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7.xml" ContentType="application/vnd.openxmlformats-officedocument.wordprocessingml.header+xml"/>
  <Override PartName="/word/footer4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0.xml" ContentType="application/vnd.openxmlformats-officedocument.wordprocessingml.header+xml"/>
  <Override PartName="/word/footer51.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3.xml" ContentType="application/vnd.openxmlformats-officedocument.wordprocessingml.header+xml"/>
  <Override PartName="/word/footer54.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6.xml" ContentType="application/vnd.openxmlformats-officedocument.wordprocessingml.header+xml"/>
  <Override PartName="/word/footer5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E1A0F" w14:textId="0BD570D8" w:rsidR="00CF2E2A" w:rsidRPr="00CB093C" w:rsidRDefault="007868FC" w:rsidP="0079035A">
      <w:pPr>
        <w:tabs>
          <w:tab w:val="left" w:pos="2127"/>
        </w:tabs>
        <w:spacing w:after="200" w:line="276" w:lineRule="auto"/>
        <w:rPr>
          <w:rFonts w:cs="Arial"/>
          <w:sz w:val="20"/>
          <w:szCs w:val="20"/>
        </w:rPr>
      </w:pPr>
      <w:r w:rsidRPr="006F1F1A">
        <w:rPr>
          <w:rFonts w:asciiTheme="minorHAnsi" w:eastAsiaTheme="minorHAnsi" w:hAnsiTheme="minorHAnsi" w:cstheme="minorBidi"/>
          <w:noProof/>
          <w:szCs w:val="22"/>
          <w:lang w:eastAsia="en-AU"/>
        </w:rPr>
        <w:drawing>
          <wp:anchor distT="0" distB="0" distL="114300" distR="114300" simplePos="0" relativeHeight="251659264" behindDoc="0" locked="0" layoutInCell="1" allowOverlap="1" wp14:anchorId="4000DE61" wp14:editId="4FF2E1E3">
            <wp:simplePos x="0" y="0"/>
            <wp:positionH relativeFrom="margin">
              <wp:posOffset>-871220</wp:posOffset>
            </wp:positionH>
            <wp:positionV relativeFrom="paragraph">
              <wp:posOffset>-882650</wp:posOffset>
            </wp:positionV>
            <wp:extent cx="7539990" cy="10662920"/>
            <wp:effectExtent l="0" t="0" r="3810" b="5080"/>
            <wp:wrapNone/>
            <wp:docPr id="23" name="Picture 23" descr="Logos, Report title: Annual Report for inshore seagrass monitoring 2018-19 and image: Seagrass on the reef flat at Green Island ©Dieter Tracey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rmpa.gov.au\SHARES\Publications\2018-0311 MMP Report Covers\Covers JPG\MMP InshoreSeagrass Cover_2017-18.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7539990" cy="1066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42A6F">
        <w:rPr>
          <w:rFonts w:asciiTheme="minorHAnsi" w:eastAsiaTheme="minorHAnsi" w:hAnsiTheme="minorHAnsi" w:cstheme="minorBidi"/>
          <w:noProof/>
          <w:szCs w:val="22"/>
          <w:lang w:eastAsia="en-AU"/>
        </w:rPr>
        <w:br w:type="column"/>
      </w:r>
      <w:r w:rsidR="00CF2E2A" w:rsidRPr="00CB093C">
        <w:rPr>
          <w:rFonts w:cs="Arial"/>
          <w:sz w:val="20"/>
          <w:szCs w:val="20"/>
        </w:rPr>
        <w:lastRenderedPageBreak/>
        <w:t>© James Cook University (TropWATER), 20</w:t>
      </w:r>
      <w:r w:rsidR="00D91B0F">
        <w:rPr>
          <w:rFonts w:cs="Arial"/>
          <w:sz w:val="20"/>
          <w:szCs w:val="20"/>
        </w:rPr>
        <w:t>21</w:t>
      </w:r>
    </w:p>
    <w:p w14:paraId="69EA6F0A" w14:textId="77777777" w:rsidR="00CF2E2A" w:rsidRPr="00CB093C" w:rsidRDefault="00CF2E2A" w:rsidP="00CF2E2A">
      <w:pPr>
        <w:spacing w:line="276" w:lineRule="auto"/>
        <w:ind w:left="284" w:hanging="284"/>
        <w:rPr>
          <w:rFonts w:cs="Arial"/>
          <w:sz w:val="20"/>
          <w:szCs w:val="20"/>
        </w:rPr>
      </w:pPr>
      <w:r w:rsidRPr="00CB093C">
        <w:rPr>
          <w:rFonts w:cs="Arial"/>
          <w:sz w:val="20"/>
          <w:szCs w:val="20"/>
        </w:rPr>
        <w:t>Published by the Great Barrier Reef Marine Park Authority</w:t>
      </w:r>
    </w:p>
    <w:p w14:paraId="2D4BF710" w14:textId="61035DC4" w:rsidR="0079035A" w:rsidRDefault="0079035A" w:rsidP="00CF2E2A">
      <w:pPr>
        <w:spacing w:line="276" w:lineRule="auto"/>
        <w:rPr>
          <w:rFonts w:cs="Arial"/>
          <w:sz w:val="20"/>
          <w:szCs w:val="20"/>
        </w:rPr>
      </w:pPr>
    </w:p>
    <w:p w14:paraId="61B2B84F" w14:textId="319B7F94" w:rsidR="00CF2E2A" w:rsidRPr="00CB093C" w:rsidRDefault="00CF2E2A" w:rsidP="00CF2E2A">
      <w:pPr>
        <w:spacing w:line="276" w:lineRule="auto"/>
        <w:rPr>
          <w:rFonts w:cs="Arial"/>
          <w:sz w:val="20"/>
          <w:szCs w:val="20"/>
          <w:lang w:eastAsia="en-AU"/>
        </w:rPr>
      </w:pPr>
      <w:r w:rsidRPr="00CB093C">
        <w:rPr>
          <w:rFonts w:cs="Arial"/>
          <w:sz w:val="20"/>
          <w:szCs w:val="20"/>
        </w:rPr>
        <w:t>IS</w:t>
      </w:r>
      <w:r w:rsidR="00542340" w:rsidRPr="00CB093C">
        <w:rPr>
          <w:rFonts w:cs="Arial"/>
          <w:sz w:val="20"/>
          <w:szCs w:val="20"/>
        </w:rPr>
        <w:t>SN</w:t>
      </w:r>
      <w:r w:rsidRPr="00CB093C">
        <w:rPr>
          <w:rFonts w:cs="Arial"/>
          <w:sz w:val="20"/>
          <w:szCs w:val="20"/>
        </w:rPr>
        <w:t xml:space="preserve">: </w:t>
      </w:r>
      <w:r w:rsidR="00542340" w:rsidRPr="00CB093C">
        <w:rPr>
          <w:rFonts w:cs="Arial"/>
          <w:sz w:val="20"/>
          <w:szCs w:val="20"/>
        </w:rPr>
        <w:t>2208-4037</w:t>
      </w:r>
    </w:p>
    <w:p w14:paraId="61EACAAF" w14:textId="77777777" w:rsidR="005959D0" w:rsidRPr="00CB093C" w:rsidRDefault="005959D0" w:rsidP="005959D0">
      <w:pPr>
        <w:ind w:left="284" w:hanging="284"/>
        <w:rPr>
          <w:rFonts w:cs="Arial"/>
          <w:b/>
          <w:sz w:val="20"/>
          <w:szCs w:val="20"/>
        </w:rPr>
      </w:pPr>
      <w:r w:rsidRPr="00CB093C">
        <w:rPr>
          <w:rFonts w:cs="Arial"/>
          <w:b/>
          <w:sz w:val="20"/>
          <w:szCs w:val="20"/>
        </w:rPr>
        <w:t>A catalogue record for this publication is available from the National Library of Australia</w:t>
      </w:r>
    </w:p>
    <w:p w14:paraId="20559B33" w14:textId="77777777" w:rsidR="00CF2E2A" w:rsidRPr="00CB093C" w:rsidRDefault="00CF2E2A" w:rsidP="00CF2E2A">
      <w:pPr>
        <w:ind w:left="284" w:hanging="284"/>
        <w:rPr>
          <w:rFonts w:cs="Arial"/>
          <w:sz w:val="20"/>
          <w:szCs w:val="20"/>
        </w:rPr>
      </w:pPr>
    </w:p>
    <w:p w14:paraId="0F2FA79B" w14:textId="4197A81F" w:rsidR="00CF2E2A" w:rsidRPr="00CB093C" w:rsidRDefault="005959D0" w:rsidP="00CF2E2A">
      <w:pPr>
        <w:rPr>
          <w:rFonts w:cs="Arial"/>
          <w:sz w:val="20"/>
          <w:szCs w:val="20"/>
        </w:rPr>
      </w:pPr>
      <w:r w:rsidRPr="005959D0">
        <w:rPr>
          <w:rFonts w:cs="Arial"/>
          <w:color w:val="000000"/>
          <w:sz w:val="20"/>
          <w:szCs w:val="20"/>
          <w:lang w:val="en-US"/>
        </w:rPr>
        <w:t>This document</w:t>
      </w:r>
      <w:r w:rsidR="00CF2E2A" w:rsidRPr="005959D0">
        <w:rPr>
          <w:rFonts w:cs="Arial"/>
          <w:color w:val="000000"/>
          <w:sz w:val="20"/>
          <w:szCs w:val="20"/>
          <w:lang w:val="en-US"/>
        </w:rPr>
        <w:t xml:space="preserve"> </w:t>
      </w:r>
      <w:r w:rsidR="00CF2E2A" w:rsidRPr="005959D0">
        <w:rPr>
          <w:rFonts w:cs="Arial"/>
          <w:sz w:val="20"/>
          <w:szCs w:val="20"/>
        </w:rPr>
        <w:t>is</w:t>
      </w:r>
      <w:r w:rsidR="00CF2E2A" w:rsidRPr="00CB093C">
        <w:rPr>
          <w:rFonts w:cs="Arial"/>
          <w:sz w:val="20"/>
          <w:szCs w:val="20"/>
        </w:rPr>
        <w:t xml:space="preserve"> licensed for use under a Creative Commons By Attribution 4.0 International licence with the exception of the Coat of Arms of the Commonwealth of Australia, the logos of the Great Barrier Reef Marine Park Authority, James Cook University and TropWATER, any other material protected by a trademark, content supplied by third parties and any photographs. For licence conditions see: </w:t>
      </w:r>
      <w:hyperlink r:id="rId14" w:history="1">
        <w:r w:rsidR="00CF2E2A" w:rsidRPr="00CB093C">
          <w:rPr>
            <w:rFonts w:cs="Arial"/>
            <w:sz w:val="20"/>
            <w:szCs w:val="20"/>
          </w:rPr>
          <w:t>http://creativecommons.org/licences/by/4.0</w:t>
        </w:r>
      </w:hyperlink>
      <w:r w:rsidR="00CF2E2A" w:rsidRPr="00CB093C">
        <w:rPr>
          <w:rFonts w:cs="Arial"/>
          <w:sz w:val="20"/>
          <w:szCs w:val="20"/>
        </w:rPr>
        <w:t xml:space="preserve"> </w:t>
      </w:r>
    </w:p>
    <w:p w14:paraId="323DA200" w14:textId="77777777" w:rsidR="00CF2E2A" w:rsidRPr="00CB093C" w:rsidRDefault="00CF2E2A" w:rsidP="00CF2E2A">
      <w:pPr>
        <w:ind w:left="284" w:hanging="284"/>
        <w:rPr>
          <w:rFonts w:cs="Arial"/>
          <w:sz w:val="20"/>
          <w:szCs w:val="20"/>
        </w:rPr>
      </w:pPr>
      <w:r w:rsidRPr="00CB093C">
        <w:rPr>
          <w:rFonts w:eastAsiaTheme="minorEastAsia" w:cs="Arial"/>
          <w:noProof/>
          <w:sz w:val="20"/>
          <w:szCs w:val="20"/>
          <w:lang w:eastAsia="en-AU"/>
        </w:rPr>
        <w:drawing>
          <wp:inline distT="0" distB="0" distL="0" distR="0" wp14:anchorId="1777FEAD" wp14:editId="7171E0ED">
            <wp:extent cx="1228725" cy="428625"/>
            <wp:effectExtent l="0" t="0" r="0" b="9525"/>
            <wp:docPr id="545" name="Picture 545"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34" name="Picture 34"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r:id="rId15"/>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inline>
        </w:drawing>
      </w:r>
    </w:p>
    <w:p w14:paraId="017CB8CA" w14:textId="77777777" w:rsidR="00CF2E2A" w:rsidRPr="00CB093C" w:rsidRDefault="00CF2E2A" w:rsidP="00CF2E2A">
      <w:pPr>
        <w:ind w:left="284" w:hanging="284"/>
        <w:rPr>
          <w:rFonts w:cs="Arial"/>
          <w:sz w:val="20"/>
          <w:szCs w:val="20"/>
        </w:rPr>
      </w:pPr>
    </w:p>
    <w:p w14:paraId="28C9C83E" w14:textId="77777777" w:rsidR="00CF2E2A" w:rsidRPr="00CB093C" w:rsidRDefault="00CF2E2A" w:rsidP="00223B18">
      <w:pPr>
        <w:ind w:left="284" w:hanging="284"/>
        <w:rPr>
          <w:rFonts w:cs="Arial"/>
          <w:b/>
          <w:sz w:val="20"/>
          <w:szCs w:val="20"/>
        </w:rPr>
      </w:pPr>
      <w:r w:rsidRPr="00CB093C">
        <w:rPr>
          <w:rFonts w:cs="Arial"/>
          <w:b/>
          <w:sz w:val="20"/>
          <w:szCs w:val="20"/>
        </w:rPr>
        <w:t xml:space="preserve">This publication should be cited as: </w:t>
      </w:r>
    </w:p>
    <w:p w14:paraId="6013C877" w14:textId="47535CF8" w:rsidR="00CF2E2A" w:rsidRPr="00CB093C" w:rsidRDefault="00CF2E2A" w:rsidP="00CF2E2A">
      <w:pPr>
        <w:rPr>
          <w:rFonts w:cs="Arial"/>
          <w:sz w:val="20"/>
          <w:szCs w:val="20"/>
        </w:rPr>
      </w:pPr>
      <w:r w:rsidRPr="00CB093C">
        <w:rPr>
          <w:rFonts w:cs="Arial"/>
          <w:sz w:val="20"/>
          <w:szCs w:val="20"/>
        </w:rPr>
        <w:t xml:space="preserve">McKenzie, L.J., Collier, C.J, Langlois, L.A., Yoshida, R.L., </w:t>
      </w:r>
      <w:r w:rsidR="00CC37A2" w:rsidRPr="00CB093C">
        <w:rPr>
          <w:rFonts w:cs="Arial"/>
          <w:sz w:val="20"/>
          <w:szCs w:val="20"/>
        </w:rPr>
        <w:t xml:space="preserve">Uusitalo, </w:t>
      </w:r>
      <w:r w:rsidR="00E70F6B" w:rsidRPr="00CB093C">
        <w:rPr>
          <w:rFonts w:cs="Arial"/>
          <w:sz w:val="20"/>
          <w:szCs w:val="20"/>
        </w:rPr>
        <w:t>J.</w:t>
      </w:r>
      <w:r w:rsidR="00F405A2">
        <w:rPr>
          <w:rFonts w:cs="Arial"/>
          <w:sz w:val="20"/>
          <w:szCs w:val="20"/>
        </w:rPr>
        <w:t xml:space="preserve"> </w:t>
      </w:r>
      <w:r w:rsidRPr="00CB093C">
        <w:rPr>
          <w:rFonts w:cs="Arial"/>
          <w:sz w:val="20"/>
          <w:szCs w:val="20"/>
        </w:rPr>
        <w:t>and Waycott, M. 20</w:t>
      </w:r>
      <w:r w:rsidR="00D91B0F">
        <w:rPr>
          <w:rFonts w:cs="Arial"/>
          <w:sz w:val="20"/>
          <w:szCs w:val="20"/>
        </w:rPr>
        <w:t>21</w:t>
      </w:r>
      <w:bookmarkStart w:id="0" w:name="_GoBack"/>
      <w:bookmarkEnd w:id="0"/>
      <w:r w:rsidRPr="00CB093C">
        <w:rPr>
          <w:rFonts w:cs="Arial"/>
          <w:sz w:val="20"/>
          <w:szCs w:val="20"/>
        </w:rPr>
        <w:t xml:space="preserve">, </w:t>
      </w:r>
      <w:r w:rsidRPr="00CB093C">
        <w:rPr>
          <w:rFonts w:cs="Arial"/>
          <w:i/>
          <w:sz w:val="20"/>
          <w:szCs w:val="20"/>
        </w:rPr>
        <w:t>Marine Monitoring Program</w:t>
      </w:r>
      <w:r w:rsidR="008F265A" w:rsidRPr="00CB093C">
        <w:rPr>
          <w:rFonts w:cs="Arial"/>
          <w:i/>
          <w:sz w:val="20"/>
          <w:szCs w:val="20"/>
        </w:rPr>
        <w:t>:</w:t>
      </w:r>
      <w:r w:rsidRPr="00CB093C">
        <w:rPr>
          <w:rFonts w:cs="Arial"/>
          <w:i/>
          <w:sz w:val="20"/>
          <w:szCs w:val="20"/>
        </w:rPr>
        <w:t xml:space="preserve"> Annual Report for </w:t>
      </w:r>
      <w:r w:rsidR="00A10F54">
        <w:rPr>
          <w:rFonts w:cs="Arial"/>
          <w:i/>
          <w:sz w:val="20"/>
          <w:szCs w:val="20"/>
        </w:rPr>
        <w:t>I</w:t>
      </w:r>
      <w:r w:rsidRPr="00CB093C">
        <w:rPr>
          <w:rFonts w:cs="Arial"/>
          <w:i/>
          <w:sz w:val="20"/>
          <w:szCs w:val="20"/>
        </w:rPr>
        <w:t xml:space="preserve">nshore </w:t>
      </w:r>
      <w:r w:rsidR="00A10F54">
        <w:rPr>
          <w:rFonts w:cs="Arial"/>
          <w:i/>
          <w:sz w:val="20"/>
          <w:szCs w:val="20"/>
        </w:rPr>
        <w:t>S</w:t>
      </w:r>
      <w:r w:rsidRPr="00CB093C">
        <w:rPr>
          <w:rFonts w:cs="Arial"/>
          <w:i/>
          <w:sz w:val="20"/>
          <w:szCs w:val="20"/>
        </w:rPr>
        <w:t xml:space="preserve">eagrass </w:t>
      </w:r>
      <w:r w:rsidR="00A10F54">
        <w:rPr>
          <w:rFonts w:cs="Arial"/>
          <w:i/>
          <w:sz w:val="20"/>
          <w:szCs w:val="20"/>
        </w:rPr>
        <w:t>M</w:t>
      </w:r>
      <w:r w:rsidRPr="00CB093C">
        <w:rPr>
          <w:rFonts w:cs="Arial"/>
          <w:i/>
          <w:sz w:val="20"/>
          <w:szCs w:val="20"/>
        </w:rPr>
        <w:t>onitoring</w:t>
      </w:r>
      <w:r w:rsidRPr="00CB093C">
        <w:rPr>
          <w:rFonts w:cs="Arial"/>
          <w:i/>
          <w:color w:val="000000"/>
          <w:sz w:val="20"/>
          <w:szCs w:val="20"/>
        </w:rPr>
        <w:t xml:space="preserve"> </w:t>
      </w:r>
      <w:r w:rsidR="008C0E45">
        <w:rPr>
          <w:rFonts w:cs="Arial"/>
          <w:i/>
          <w:color w:val="000000"/>
          <w:sz w:val="20"/>
          <w:szCs w:val="20"/>
        </w:rPr>
        <w:t>201</w:t>
      </w:r>
      <w:r w:rsidR="00F42A6F">
        <w:rPr>
          <w:rFonts w:cs="Arial"/>
          <w:i/>
          <w:color w:val="000000"/>
          <w:sz w:val="20"/>
          <w:szCs w:val="20"/>
        </w:rPr>
        <w:t>8</w:t>
      </w:r>
      <w:r w:rsidR="008C0E45">
        <w:rPr>
          <w:rFonts w:cs="Arial"/>
          <w:i/>
          <w:color w:val="000000"/>
          <w:sz w:val="20"/>
          <w:szCs w:val="20"/>
        </w:rPr>
        <w:t>–1</w:t>
      </w:r>
      <w:r w:rsidR="00F42A6F">
        <w:rPr>
          <w:rFonts w:cs="Arial"/>
          <w:i/>
          <w:color w:val="000000"/>
          <w:sz w:val="20"/>
          <w:szCs w:val="20"/>
        </w:rPr>
        <w:t>9</w:t>
      </w:r>
      <w:r w:rsidRPr="00CB093C">
        <w:rPr>
          <w:rFonts w:cs="Arial"/>
          <w:i/>
          <w:color w:val="000000"/>
          <w:sz w:val="20"/>
          <w:szCs w:val="20"/>
        </w:rPr>
        <w:t xml:space="preserve">. Report </w:t>
      </w:r>
      <w:r w:rsidRPr="00CB093C">
        <w:rPr>
          <w:rFonts w:cs="Arial"/>
          <w:i/>
          <w:sz w:val="20"/>
          <w:szCs w:val="20"/>
        </w:rPr>
        <w:t>for the Great Barrier Reef Marine Park Authority</w:t>
      </w:r>
      <w:r w:rsidRPr="00CB093C">
        <w:rPr>
          <w:rFonts w:cs="Arial"/>
          <w:sz w:val="20"/>
          <w:szCs w:val="20"/>
        </w:rPr>
        <w:t xml:space="preserve">, Great Barrier Reef Marine Park Authority, Townsville, </w:t>
      </w:r>
      <w:r w:rsidR="005C672B">
        <w:rPr>
          <w:rFonts w:cs="Arial"/>
          <w:sz w:val="20"/>
          <w:szCs w:val="20"/>
        </w:rPr>
        <w:t>206</w:t>
      </w:r>
      <w:r w:rsidRPr="00CB093C">
        <w:rPr>
          <w:rFonts w:cs="Arial"/>
          <w:sz w:val="20"/>
          <w:szCs w:val="20"/>
        </w:rPr>
        <w:t>pp.</w:t>
      </w:r>
    </w:p>
    <w:p w14:paraId="71FE6FAE" w14:textId="77777777" w:rsidR="00CF2E2A" w:rsidRPr="00CB093C" w:rsidRDefault="00CF2E2A" w:rsidP="00CF2E2A">
      <w:pPr>
        <w:ind w:left="284" w:hanging="284"/>
        <w:rPr>
          <w:rFonts w:cs="Arial"/>
          <w:sz w:val="20"/>
          <w:szCs w:val="20"/>
        </w:rPr>
      </w:pPr>
    </w:p>
    <w:p w14:paraId="6119840E" w14:textId="722B8274" w:rsidR="00AF7473" w:rsidRPr="00AF7473" w:rsidRDefault="00AF7473" w:rsidP="00AF7473">
      <w:pPr>
        <w:rPr>
          <w:rFonts w:eastAsia="MS Mincho" w:cs="Arial"/>
          <w:sz w:val="20"/>
          <w:szCs w:val="20"/>
          <w:lang w:eastAsia="ja-JP"/>
        </w:rPr>
      </w:pPr>
      <w:r w:rsidRPr="00AF7473">
        <w:rPr>
          <w:rFonts w:eastAsia="MS Mincho" w:cs="Arial"/>
          <w:sz w:val="20"/>
          <w:szCs w:val="20"/>
          <w:lang w:eastAsia="ja-JP"/>
        </w:rPr>
        <w:t xml:space="preserve">Front cover image: Seagrass on the reef flat at Green Island </w:t>
      </w:r>
      <w:r w:rsidRPr="00AF7473">
        <w:rPr>
          <w:rFonts w:eastAsia="MS Mincho" w:cs="Arial"/>
          <w:sz w:val="20"/>
          <w:szCs w:val="20"/>
          <w:lang w:eastAsia="ja-JP"/>
        </w:rPr>
        <w:sym w:font="Symbol" w:char="F0E3"/>
      </w:r>
      <w:r w:rsidR="001858A8">
        <w:rPr>
          <w:rFonts w:eastAsia="MS Mincho" w:cs="Arial"/>
          <w:sz w:val="20"/>
          <w:szCs w:val="20"/>
          <w:lang w:eastAsia="ja-JP"/>
        </w:rPr>
        <w:t xml:space="preserve"> </w:t>
      </w:r>
      <w:r w:rsidRPr="00AF7473">
        <w:rPr>
          <w:rFonts w:eastAsia="MS Mincho" w:cs="Arial"/>
          <w:sz w:val="20"/>
          <w:szCs w:val="20"/>
          <w:lang w:eastAsia="ja-JP"/>
        </w:rPr>
        <w:t>Dieter Tracey 2013.</w:t>
      </w:r>
    </w:p>
    <w:p w14:paraId="19BD25E9" w14:textId="06ED3F23" w:rsidR="00AF7473" w:rsidRDefault="00AF7473" w:rsidP="00CF2E2A">
      <w:pPr>
        <w:rPr>
          <w:rFonts w:eastAsia="MS Mincho" w:cs="Arial"/>
          <w:sz w:val="20"/>
          <w:szCs w:val="20"/>
          <w:lang w:eastAsia="ja-JP"/>
        </w:rPr>
      </w:pPr>
    </w:p>
    <w:p w14:paraId="25C372DC" w14:textId="77777777" w:rsidR="00705B42" w:rsidRPr="005175C8" w:rsidRDefault="00705B42" w:rsidP="00705B42">
      <w:pPr>
        <w:spacing w:before="200"/>
        <w:rPr>
          <w:rFonts w:eastAsia="MS Mincho" w:cs="Arial"/>
          <w:sz w:val="20"/>
          <w:szCs w:val="20"/>
          <w:lang w:eastAsia="ja-JP"/>
        </w:rPr>
      </w:pPr>
      <w:r w:rsidRPr="005175C8">
        <w:rPr>
          <w:rFonts w:eastAsia="MS Mincho" w:cs="Arial"/>
          <w:sz w:val="20"/>
          <w:szCs w:val="20"/>
          <w:lang w:eastAsia="ja-JP"/>
        </w:rPr>
        <w:t>The Great Barrier Reef Marine Park Authority acknowledges the continuing Sea Country management and custodianship of the Great Barrier Reef by Aboriginal and Torres Strait Island Traditional Owners whose rich cultures, heritage values, enduring connections and shared efforts protect the Reef for future generations.</w:t>
      </w:r>
    </w:p>
    <w:p w14:paraId="60FFD728" w14:textId="77777777" w:rsidR="00CF2E2A" w:rsidRPr="00CB093C" w:rsidRDefault="00CF2E2A" w:rsidP="00CF2E2A">
      <w:pPr>
        <w:rPr>
          <w:rFonts w:eastAsia="MS Mincho" w:cs="Arial"/>
          <w:b/>
          <w:sz w:val="20"/>
          <w:szCs w:val="20"/>
          <w:lang w:eastAsia="ja-JP"/>
        </w:rPr>
      </w:pPr>
    </w:p>
    <w:p w14:paraId="51EDF77E" w14:textId="77777777" w:rsidR="00CF2E2A" w:rsidRPr="00CB093C" w:rsidRDefault="00CF2E2A" w:rsidP="009F09A4">
      <w:pPr>
        <w:ind w:left="284" w:hanging="284"/>
        <w:rPr>
          <w:rFonts w:cs="Arial"/>
          <w:b/>
          <w:sz w:val="20"/>
          <w:szCs w:val="20"/>
        </w:rPr>
      </w:pPr>
      <w:r w:rsidRPr="00CB093C">
        <w:rPr>
          <w:rFonts w:cs="Arial"/>
          <w:b/>
          <w:sz w:val="20"/>
          <w:szCs w:val="20"/>
        </w:rPr>
        <w:lastRenderedPageBreak/>
        <w:t>DISCLAIMER</w:t>
      </w:r>
    </w:p>
    <w:p w14:paraId="313C6E12" w14:textId="3712AECB" w:rsidR="00CF2E2A" w:rsidRPr="00CB093C" w:rsidRDefault="00CF2E2A" w:rsidP="00CF2E2A">
      <w:pPr>
        <w:rPr>
          <w:rFonts w:eastAsia="MS Mincho" w:cs="Arial"/>
          <w:sz w:val="20"/>
          <w:szCs w:val="20"/>
          <w:lang w:eastAsia="ja-JP"/>
        </w:rPr>
      </w:pPr>
      <w:r w:rsidRPr="00CB093C">
        <w:rPr>
          <w:rFonts w:eastAsia="MS Mincho" w:cs="Arial"/>
          <w:sz w:val="20"/>
          <w:szCs w:val="20"/>
          <w:lang w:eastAsia="ja-JP"/>
        </w:rPr>
        <w:t xml:space="preserve">While reasonable efforts have been made to ensure that the contents of this document are factually correct, JCU and </w:t>
      </w:r>
      <w:r w:rsidR="009E0200" w:rsidRPr="00CB093C">
        <w:rPr>
          <w:rFonts w:eastAsia="MS Mincho" w:cs="Arial"/>
          <w:sz w:val="20"/>
          <w:szCs w:val="20"/>
          <w:lang w:eastAsia="ja-JP"/>
        </w:rPr>
        <w:t>TropWATER</w:t>
      </w:r>
      <w:r w:rsidRPr="00CB093C">
        <w:rPr>
          <w:rFonts w:eastAsia="MS Mincho" w:cs="Arial"/>
          <w:sz w:val="20"/>
          <w:szCs w:val="20"/>
          <w:lang w:eastAsia="ja-JP"/>
        </w:rPr>
        <w:t xml:space="preserve"> do not make any representation or give any warranty regarding the accuracy, completeness, currency or suitability for any particular purpose of the information or statements contained in this document. To the extent permitted by law JCU and </w:t>
      </w:r>
      <w:r w:rsidR="009E0200" w:rsidRPr="00CB093C">
        <w:rPr>
          <w:rFonts w:eastAsia="MS Mincho" w:cs="Arial"/>
          <w:sz w:val="20"/>
          <w:szCs w:val="20"/>
          <w:lang w:eastAsia="ja-JP"/>
        </w:rPr>
        <w:t>TropWATER</w:t>
      </w:r>
      <w:r w:rsidRPr="00CB093C">
        <w:rPr>
          <w:rFonts w:eastAsia="MS Mincho" w:cs="Arial"/>
          <w:sz w:val="20"/>
          <w:szCs w:val="20"/>
          <w:lang w:eastAsia="ja-JP"/>
        </w:rPr>
        <w:t xml:space="preserve"> shall not be liable for any loss, damage, cost or expense that may be occasioned directly or indirectly through the use of or reliance on the contents of this document.</w:t>
      </w:r>
    </w:p>
    <w:p w14:paraId="76578572" w14:textId="77777777" w:rsidR="00CF2E2A" w:rsidRPr="00CB093C" w:rsidRDefault="00CF2E2A" w:rsidP="00CF2E2A">
      <w:pPr>
        <w:ind w:left="284" w:hanging="284"/>
        <w:rPr>
          <w:rFonts w:cs="Arial"/>
          <w:sz w:val="20"/>
          <w:szCs w:val="20"/>
        </w:rPr>
      </w:pPr>
    </w:p>
    <w:p w14:paraId="16A76F9C" w14:textId="77777777" w:rsidR="00CF2E2A" w:rsidRPr="00CB093C" w:rsidRDefault="00CF2E2A" w:rsidP="00CF2E2A">
      <w:pPr>
        <w:rPr>
          <w:rFonts w:cs="Arial"/>
          <w:sz w:val="20"/>
          <w:szCs w:val="20"/>
        </w:rPr>
      </w:pPr>
      <w:r w:rsidRPr="00CB093C">
        <w:rPr>
          <w:rFonts w:cs="Arial"/>
          <w:sz w:val="20"/>
          <w:szCs w:val="20"/>
        </w:rPr>
        <w:t>Comments and questions regarding this document are welcome and should be addressed to:</w:t>
      </w:r>
    </w:p>
    <w:p w14:paraId="0CED47AF" w14:textId="77777777" w:rsidR="00CF2E2A" w:rsidRPr="00CB093C" w:rsidRDefault="00CF2E2A" w:rsidP="00CF2E2A">
      <w:pPr>
        <w:tabs>
          <w:tab w:val="left" w:pos="2700"/>
          <w:tab w:val="left" w:pos="5040"/>
        </w:tabs>
        <w:spacing w:after="0"/>
        <w:rPr>
          <w:rFonts w:cs="Arial"/>
          <w:color w:val="000000"/>
          <w:sz w:val="20"/>
          <w:szCs w:val="20"/>
          <w:lang w:eastAsia="en-GB"/>
        </w:rPr>
      </w:pPr>
    </w:p>
    <w:p w14:paraId="05E3AEEA" w14:textId="77777777" w:rsidR="00CF2E2A" w:rsidRPr="00CB093C" w:rsidRDefault="00CF2E2A" w:rsidP="009F09A4">
      <w:pPr>
        <w:tabs>
          <w:tab w:val="left" w:pos="2700"/>
          <w:tab w:val="left" w:pos="5040"/>
        </w:tabs>
        <w:spacing w:after="0"/>
        <w:rPr>
          <w:rFonts w:cs="Arial"/>
          <w:color w:val="000000"/>
          <w:sz w:val="20"/>
          <w:szCs w:val="20"/>
          <w:lang w:eastAsia="en-GB"/>
        </w:rPr>
      </w:pPr>
      <w:r w:rsidRPr="00CB093C">
        <w:rPr>
          <w:rFonts w:cs="Arial"/>
          <w:color w:val="000000"/>
          <w:sz w:val="20"/>
          <w:szCs w:val="20"/>
          <w:lang w:eastAsia="en-GB"/>
        </w:rPr>
        <w:t>TropWATER- Centre for Tropical Water and Aquatic Ecosystem Research</w:t>
      </w:r>
    </w:p>
    <w:p w14:paraId="0AB9EC2D" w14:textId="77777777" w:rsidR="00CF2E2A" w:rsidRPr="00CB093C" w:rsidRDefault="00CF2E2A" w:rsidP="00CF2E2A">
      <w:pPr>
        <w:tabs>
          <w:tab w:val="left" w:pos="2700"/>
          <w:tab w:val="left" w:pos="5040"/>
        </w:tabs>
        <w:spacing w:after="0"/>
        <w:rPr>
          <w:rFonts w:cs="Arial"/>
          <w:color w:val="000000"/>
          <w:sz w:val="20"/>
          <w:szCs w:val="20"/>
          <w:lang w:eastAsia="en-GB"/>
        </w:rPr>
      </w:pPr>
      <w:r w:rsidRPr="00CB093C">
        <w:rPr>
          <w:rFonts w:cs="Arial"/>
          <w:color w:val="000000"/>
          <w:sz w:val="20"/>
          <w:szCs w:val="20"/>
          <w:lang w:eastAsia="en-GB"/>
        </w:rPr>
        <w:t>James Cook University</w:t>
      </w:r>
    </w:p>
    <w:p w14:paraId="19A6316C" w14:textId="77777777" w:rsidR="00CF2E2A" w:rsidRPr="00CB093C" w:rsidRDefault="00CF2E2A" w:rsidP="00CF2E2A">
      <w:pPr>
        <w:tabs>
          <w:tab w:val="left" w:pos="2700"/>
          <w:tab w:val="left" w:pos="5040"/>
        </w:tabs>
        <w:spacing w:after="0"/>
        <w:rPr>
          <w:rFonts w:cs="Arial"/>
          <w:color w:val="000000"/>
          <w:sz w:val="20"/>
          <w:szCs w:val="20"/>
          <w:lang w:eastAsia="en-GB"/>
        </w:rPr>
      </w:pPr>
      <w:r w:rsidRPr="00CB093C">
        <w:rPr>
          <w:rFonts w:cs="Arial"/>
          <w:color w:val="000000"/>
          <w:sz w:val="20"/>
          <w:szCs w:val="20"/>
          <w:lang w:eastAsia="en-GB"/>
        </w:rPr>
        <w:t>Townsville, Qld 4811</w:t>
      </w:r>
    </w:p>
    <w:p w14:paraId="17C2C31F" w14:textId="72197E08" w:rsidR="00CF2E2A" w:rsidRPr="00CB093C" w:rsidRDefault="00D91B0F" w:rsidP="009F09A4">
      <w:pPr>
        <w:tabs>
          <w:tab w:val="left" w:pos="2700"/>
          <w:tab w:val="left" w:pos="5040"/>
        </w:tabs>
        <w:spacing w:after="0"/>
        <w:rPr>
          <w:rFonts w:cs="Arial"/>
          <w:color w:val="0563C1"/>
          <w:sz w:val="20"/>
          <w:szCs w:val="20"/>
          <w:u w:val="single"/>
          <w:lang w:eastAsia="en-GB"/>
        </w:rPr>
      </w:pPr>
      <w:hyperlink r:id="rId17" w:history="1">
        <w:r w:rsidR="00CF2E2A" w:rsidRPr="00CB093C">
          <w:rPr>
            <w:rFonts w:cs="Arial"/>
            <w:color w:val="0563C1"/>
            <w:sz w:val="20"/>
            <w:szCs w:val="20"/>
            <w:u w:val="single"/>
            <w:lang w:eastAsia="en-GB"/>
          </w:rPr>
          <w:t>Tropwater@jcu.edu.au</w:t>
        </w:r>
      </w:hyperlink>
    </w:p>
    <w:p w14:paraId="25C4294C" w14:textId="77777777" w:rsidR="00CF2E2A" w:rsidRPr="00CB093C" w:rsidRDefault="00CF2E2A" w:rsidP="00CF2E2A">
      <w:pPr>
        <w:rPr>
          <w:rFonts w:cs="Arial"/>
          <w:sz w:val="20"/>
          <w:szCs w:val="20"/>
        </w:rPr>
      </w:pPr>
    </w:p>
    <w:p w14:paraId="57674619" w14:textId="77777777" w:rsidR="006070CB" w:rsidRPr="00DA741D" w:rsidRDefault="006070CB" w:rsidP="006070CB">
      <w:pPr>
        <w:tabs>
          <w:tab w:val="left" w:pos="2127"/>
        </w:tabs>
        <w:rPr>
          <w:rFonts w:ascii="Arial Narrow" w:eastAsia="MS Mincho" w:hAnsi="Arial Narrow" w:cs="Arial"/>
          <w:szCs w:val="22"/>
          <w:lang w:eastAsia="ja-JP"/>
        </w:rPr>
      </w:pPr>
    </w:p>
    <w:p w14:paraId="2FF91A8E" w14:textId="77777777" w:rsidR="006070CB" w:rsidRPr="00DA741D" w:rsidRDefault="006070CB" w:rsidP="006070CB">
      <w:pPr>
        <w:tabs>
          <w:tab w:val="left" w:pos="2127"/>
        </w:tabs>
        <w:rPr>
          <w:rFonts w:ascii="Arial Narrow" w:eastAsia="MS Mincho" w:hAnsi="Arial Narrow" w:cs="Arial"/>
          <w:szCs w:val="22"/>
          <w:lang w:eastAsia="ja-JP"/>
        </w:rPr>
      </w:pPr>
    </w:p>
    <w:p w14:paraId="027C7B87" w14:textId="77777777" w:rsidR="006070CB" w:rsidRPr="00DA741D" w:rsidRDefault="006070CB" w:rsidP="006070CB">
      <w:pPr>
        <w:tabs>
          <w:tab w:val="left" w:pos="2127"/>
        </w:tabs>
        <w:rPr>
          <w:rFonts w:ascii="Arial Narrow" w:eastAsia="MS Mincho" w:hAnsi="Arial Narrow" w:cs="Arial"/>
          <w:szCs w:val="22"/>
          <w:lang w:eastAsia="ja-JP"/>
        </w:rPr>
        <w:sectPr w:rsidR="006070CB" w:rsidRPr="00DA741D" w:rsidSect="0085398A">
          <w:headerReference w:type="even" r:id="rId18"/>
          <w:headerReference w:type="default" r:id="rId19"/>
          <w:footerReference w:type="even" r:id="rId20"/>
          <w:footerReference w:type="default" r:id="rId21"/>
          <w:headerReference w:type="first" r:id="rId22"/>
          <w:footerReference w:type="first" r:id="rId23"/>
          <w:pgSz w:w="11906" w:h="16838" w:code="9"/>
          <w:pgMar w:top="1418" w:right="1418" w:bottom="1418" w:left="1418" w:header="709" w:footer="709" w:gutter="0"/>
          <w:pgNumType w:fmt="lowerRoman" w:start="2"/>
          <w:cols w:space="720"/>
          <w:docGrid w:linePitch="299"/>
        </w:sectPr>
      </w:pPr>
    </w:p>
    <w:p w14:paraId="7C9B9785" w14:textId="77777777" w:rsidR="001F4593" w:rsidRPr="00F63373" w:rsidRDefault="001F4593" w:rsidP="00DD3BAE">
      <w:pPr>
        <w:rPr>
          <w:rFonts w:cs="Arial"/>
          <w:b/>
          <w:sz w:val="32"/>
          <w:szCs w:val="32"/>
        </w:rPr>
      </w:pPr>
      <w:r w:rsidRPr="00F63373">
        <w:rPr>
          <w:rFonts w:cs="Arial"/>
          <w:b/>
          <w:sz w:val="32"/>
          <w:szCs w:val="32"/>
        </w:rPr>
        <w:lastRenderedPageBreak/>
        <w:t>Contents</w:t>
      </w:r>
    </w:p>
    <w:p w14:paraId="09BCB786" w14:textId="0189BF63" w:rsidR="00FC6908" w:rsidRDefault="00FC6908" w:rsidP="00FC6908"/>
    <w:p w14:paraId="769EA8C3" w14:textId="2ABE91CB" w:rsidR="00737FD3" w:rsidRDefault="00C57FC5">
      <w:pPr>
        <w:pStyle w:val="TOC1"/>
        <w:rPr>
          <w:rFonts w:asciiTheme="minorHAnsi" w:eastAsiaTheme="minorEastAsia" w:hAnsiTheme="minorHAnsi" w:cstheme="minorBidi"/>
          <w:b w:val="0"/>
          <w:noProof/>
          <w:szCs w:val="22"/>
          <w:lang w:eastAsia="en-AU"/>
        </w:rPr>
      </w:pPr>
      <w:r>
        <w:rPr>
          <w:rFonts w:cs="Arial"/>
          <w:color w:val="000000"/>
        </w:rPr>
        <w:fldChar w:fldCharType="begin"/>
      </w:r>
      <w:r>
        <w:rPr>
          <w:rFonts w:cs="Arial"/>
          <w:color w:val="000000"/>
        </w:rPr>
        <w:instrText xml:space="preserve"> TOC \o "1-4" \h \z \u </w:instrText>
      </w:r>
      <w:r>
        <w:rPr>
          <w:rFonts w:cs="Arial"/>
          <w:color w:val="000000"/>
        </w:rPr>
        <w:fldChar w:fldCharType="separate"/>
      </w:r>
      <w:hyperlink w:anchor="_Toc43986997" w:history="1">
        <w:r w:rsidR="00737FD3" w:rsidRPr="006D6639">
          <w:rPr>
            <w:rStyle w:val="Hyperlink"/>
            <w:noProof/>
          </w:rPr>
          <w:t>List of Figures</w:t>
        </w:r>
        <w:r w:rsidR="00737FD3">
          <w:rPr>
            <w:noProof/>
            <w:webHidden/>
          </w:rPr>
          <w:tab/>
        </w:r>
        <w:r w:rsidR="00737FD3">
          <w:rPr>
            <w:noProof/>
            <w:webHidden/>
          </w:rPr>
          <w:fldChar w:fldCharType="begin"/>
        </w:r>
        <w:r w:rsidR="00737FD3">
          <w:rPr>
            <w:noProof/>
            <w:webHidden/>
          </w:rPr>
          <w:instrText xml:space="preserve"> PAGEREF _Toc43986997 \h </w:instrText>
        </w:r>
        <w:r w:rsidR="00737FD3">
          <w:rPr>
            <w:noProof/>
            <w:webHidden/>
          </w:rPr>
        </w:r>
        <w:r w:rsidR="00737FD3">
          <w:rPr>
            <w:noProof/>
            <w:webHidden/>
          </w:rPr>
          <w:fldChar w:fldCharType="separate"/>
        </w:r>
        <w:r w:rsidR="00561C92">
          <w:rPr>
            <w:noProof/>
            <w:webHidden/>
          </w:rPr>
          <w:t>4</w:t>
        </w:r>
        <w:r w:rsidR="00737FD3">
          <w:rPr>
            <w:noProof/>
            <w:webHidden/>
          </w:rPr>
          <w:fldChar w:fldCharType="end"/>
        </w:r>
      </w:hyperlink>
    </w:p>
    <w:p w14:paraId="3FBD458A" w14:textId="67A8DD8A" w:rsidR="00737FD3" w:rsidRDefault="00D91B0F">
      <w:pPr>
        <w:pStyle w:val="TOC1"/>
        <w:rPr>
          <w:rFonts w:asciiTheme="minorHAnsi" w:eastAsiaTheme="minorEastAsia" w:hAnsiTheme="minorHAnsi" w:cstheme="minorBidi"/>
          <w:b w:val="0"/>
          <w:noProof/>
          <w:szCs w:val="22"/>
          <w:lang w:eastAsia="en-AU"/>
        </w:rPr>
      </w:pPr>
      <w:hyperlink w:anchor="_Toc43986998" w:history="1">
        <w:r w:rsidR="00737FD3" w:rsidRPr="006D6639">
          <w:rPr>
            <w:rStyle w:val="Hyperlink"/>
            <w:noProof/>
          </w:rPr>
          <w:t>List of Tables</w:t>
        </w:r>
        <w:r w:rsidR="00737FD3">
          <w:rPr>
            <w:noProof/>
            <w:webHidden/>
          </w:rPr>
          <w:tab/>
        </w:r>
        <w:r w:rsidR="00737FD3">
          <w:rPr>
            <w:noProof/>
            <w:webHidden/>
          </w:rPr>
          <w:fldChar w:fldCharType="begin"/>
        </w:r>
        <w:r w:rsidR="00737FD3">
          <w:rPr>
            <w:noProof/>
            <w:webHidden/>
          </w:rPr>
          <w:instrText xml:space="preserve"> PAGEREF _Toc43986998 \h </w:instrText>
        </w:r>
        <w:r w:rsidR="00737FD3">
          <w:rPr>
            <w:noProof/>
            <w:webHidden/>
          </w:rPr>
        </w:r>
        <w:r w:rsidR="00737FD3">
          <w:rPr>
            <w:noProof/>
            <w:webHidden/>
          </w:rPr>
          <w:fldChar w:fldCharType="separate"/>
        </w:r>
        <w:r w:rsidR="00561C92">
          <w:rPr>
            <w:noProof/>
            <w:webHidden/>
          </w:rPr>
          <w:t>10</w:t>
        </w:r>
        <w:r w:rsidR="00737FD3">
          <w:rPr>
            <w:noProof/>
            <w:webHidden/>
          </w:rPr>
          <w:fldChar w:fldCharType="end"/>
        </w:r>
      </w:hyperlink>
    </w:p>
    <w:p w14:paraId="5B218CFB" w14:textId="5584AE50" w:rsidR="00737FD3" w:rsidRDefault="00D91B0F">
      <w:pPr>
        <w:pStyle w:val="TOC1"/>
        <w:rPr>
          <w:rFonts w:asciiTheme="minorHAnsi" w:eastAsiaTheme="minorEastAsia" w:hAnsiTheme="minorHAnsi" w:cstheme="minorBidi"/>
          <w:b w:val="0"/>
          <w:noProof/>
          <w:szCs w:val="22"/>
          <w:lang w:eastAsia="en-AU"/>
        </w:rPr>
      </w:pPr>
      <w:hyperlink w:anchor="_Toc43986999" w:history="1">
        <w:r w:rsidR="00737FD3" w:rsidRPr="006D6639">
          <w:rPr>
            <w:rStyle w:val="Hyperlink"/>
            <w:noProof/>
          </w:rPr>
          <w:t>Acronyms, abbreviations and units</w:t>
        </w:r>
        <w:r w:rsidR="00737FD3">
          <w:rPr>
            <w:noProof/>
            <w:webHidden/>
          </w:rPr>
          <w:tab/>
        </w:r>
        <w:r w:rsidR="00737FD3">
          <w:rPr>
            <w:noProof/>
            <w:webHidden/>
          </w:rPr>
          <w:fldChar w:fldCharType="begin"/>
        </w:r>
        <w:r w:rsidR="00737FD3">
          <w:rPr>
            <w:noProof/>
            <w:webHidden/>
          </w:rPr>
          <w:instrText xml:space="preserve"> PAGEREF _Toc43986999 \h </w:instrText>
        </w:r>
        <w:r w:rsidR="00737FD3">
          <w:rPr>
            <w:noProof/>
            <w:webHidden/>
          </w:rPr>
        </w:r>
        <w:r w:rsidR="00737FD3">
          <w:rPr>
            <w:noProof/>
            <w:webHidden/>
          </w:rPr>
          <w:fldChar w:fldCharType="separate"/>
        </w:r>
        <w:r w:rsidR="00561C92">
          <w:rPr>
            <w:noProof/>
            <w:webHidden/>
          </w:rPr>
          <w:t>11</w:t>
        </w:r>
        <w:r w:rsidR="00737FD3">
          <w:rPr>
            <w:noProof/>
            <w:webHidden/>
          </w:rPr>
          <w:fldChar w:fldCharType="end"/>
        </w:r>
      </w:hyperlink>
    </w:p>
    <w:p w14:paraId="312A6ED2" w14:textId="42F7E0CF" w:rsidR="00737FD3" w:rsidRDefault="00D91B0F">
      <w:pPr>
        <w:pStyle w:val="TOC1"/>
        <w:rPr>
          <w:rFonts w:asciiTheme="minorHAnsi" w:eastAsiaTheme="minorEastAsia" w:hAnsiTheme="minorHAnsi" w:cstheme="minorBidi"/>
          <w:b w:val="0"/>
          <w:noProof/>
          <w:szCs w:val="22"/>
          <w:lang w:eastAsia="en-AU"/>
        </w:rPr>
      </w:pPr>
      <w:hyperlink w:anchor="_Toc43987000" w:history="1">
        <w:r w:rsidR="00737FD3" w:rsidRPr="006D6639">
          <w:rPr>
            <w:rStyle w:val="Hyperlink"/>
            <w:noProof/>
          </w:rPr>
          <w:t>Acknowledgements</w:t>
        </w:r>
        <w:r w:rsidR="00737FD3">
          <w:rPr>
            <w:noProof/>
            <w:webHidden/>
          </w:rPr>
          <w:tab/>
        </w:r>
        <w:r w:rsidR="00737FD3">
          <w:rPr>
            <w:noProof/>
            <w:webHidden/>
          </w:rPr>
          <w:fldChar w:fldCharType="begin"/>
        </w:r>
        <w:r w:rsidR="00737FD3">
          <w:rPr>
            <w:noProof/>
            <w:webHidden/>
          </w:rPr>
          <w:instrText xml:space="preserve"> PAGEREF _Toc43987000 \h </w:instrText>
        </w:r>
        <w:r w:rsidR="00737FD3">
          <w:rPr>
            <w:noProof/>
            <w:webHidden/>
          </w:rPr>
        </w:r>
        <w:r w:rsidR="00737FD3">
          <w:rPr>
            <w:noProof/>
            <w:webHidden/>
          </w:rPr>
          <w:fldChar w:fldCharType="separate"/>
        </w:r>
        <w:r w:rsidR="00561C92">
          <w:rPr>
            <w:noProof/>
            <w:webHidden/>
          </w:rPr>
          <w:t>12</w:t>
        </w:r>
        <w:r w:rsidR="00737FD3">
          <w:rPr>
            <w:noProof/>
            <w:webHidden/>
          </w:rPr>
          <w:fldChar w:fldCharType="end"/>
        </w:r>
      </w:hyperlink>
    </w:p>
    <w:p w14:paraId="43EA4EDF" w14:textId="181C967D" w:rsidR="00737FD3" w:rsidRDefault="00D91B0F">
      <w:pPr>
        <w:pStyle w:val="TOC1"/>
        <w:rPr>
          <w:rFonts w:asciiTheme="minorHAnsi" w:eastAsiaTheme="minorEastAsia" w:hAnsiTheme="minorHAnsi" w:cstheme="minorBidi"/>
          <w:b w:val="0"/>
          <w:noProof/>
          <w:szCs w:val="22"/>
          <w:lang w:eastAsia="en-AU"/>
        </w:rPr>
      </w:pPr>
      <w:hyperlink w:anchor="_Toc43987001" w:history="1">
        <w:r w:rsidR="00737FD3" w:rsidRPr="006D6639">
          <w:rPr>
            <w:rStyle w:val="Hyperlink"/>
            <w:noProof/>
          </w:rPr>
          <w:t>Executive summary</w:t>
        </w:r>
        <w:r w:rsidR="00737FD3">
          <w:rPr>
            <w:noProof/>
            <w:webHidden/>
          </w:rPr>
          <w:tab/>
        </w:r>
        <w:r w:rsidR="00737FD3">
          <w:rPr>
            <w:noProof/>
            <w:webHidden/>
          </w:rPr>
          <w:fldChar w:fldCharType="begin"/>
        </w:r>
        <w:r w:rsidR="00737FD3">
          <w:rPr>
            <w:noProof/>
            <w:webHidden/>
          </w:rPr>
          <w:instrText xml:space="preserve"> PAGEREF _Toc43987001 \h </w:instrText>
        </w:r>
        <w:r w:rsidR="00737FD3">
          <w:rPr>
            <w:noProof/>
            <w:webHidden/>
          </w:rPr>
        </w:r>
        <w:r w:rsidR="00737FD3">
          <w:rPr>
            <w:noProof/>
            <w:webHidden/>
          </w:rPr>
          <w:fldChar w:fldCharType="separate"/>
        </w:r>
        <w:r w:rsidR="00561C92">
          <w:rPr>
            <w:noProof/>
            <w:webHidden/>
          </w:rPr>
          <w:t>13</w:t>
        </w:r>
        <w:r w:rsidR="00737FD3">
          <w:rPr>
            <w:noProof/>
            <w:webHidden/>
          </w:rPr>
          <w:fldChar w:fldCharType="end"/>
        </w:r>
      </w:hyperlink>
    </w:p>
    <w:p w14:paraId="0EE0A006" w14:textId="01D860E6"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02" w:history="1">
        <w:r w:rsidR="00737FD3" w:rsidRPr="006D6639">
          <w:rPr>
            <w:rStyle w:val="Hyperlink"/>
            <w:noProof/>
          </w:rPr>
          <w:t>1</w:t>
        </w:r>
        <w:r w:rsidR="00737FD3">
          <w:rPr>
            <w:rFonts w:asciiTheme="minorHAnsi" w:eastAsiaTheme="minorEastAsia" w:hAnsiTheme="minorHAnsi" w:cstheme="minorBidi"/>
            <w:b w:val="0"/>
            <w:noProof/>
            <w:szCs w:val="22"/>
            <w:lang w:eastAsia="en-AU"/>
          </w:rPr>
          <w:tab/>
        </w:r>
        <w:r w:rsidR="00737FD3" w:rsidRPr="006D6639">
          <w:rPr>
            <w:rStyle w:val="Hyperlink"/>
            <w:noProof/>
          </w:rPr>
          <w:t>Introduction</w:t>
        </w:r>
        <w:r w:rsidR="00737FD3">
          <w:rPr>
            <w:noProof/>
            <w:webHidden/>
          </w:rPr>
          <w:tab/>
        </w:r>
        <w:r w:rsidR="00737FD3">
          <w:rPr>
            <w:noProof/>
            <w:webHidden/>
          </w:rPr>
          <w:fldChar w:fldCharType="begin"/>
        </w:r>
        <w:r w:rsidR="00737FD3">
          <w:rPr>
            <w:noProof/>
            <w:webHidden/>
          </w:rPr>
          <w:instrText xml:space="preserve"> PAGEREF _Toc43987002 \h </w:instrText>
        </w:r>
        <w:r w:rsidR="00737FD3">
          <w:rPr>
            <w:noProof/>
            <w:webHidden/>
          </w:rPr>
        </w:r>
        <w:r w:rsidR="00737FD3">
          <w:rPr>
            <w:noProof/>
            <w:webHidden/>
          </w:rPr>
          <w:fldChar w:fldCharType="separate"/>
        </w:r>
        <w:r w:rsidR="00561C92">
          <w:rPr>
            <w:noProof/>
            <w:webHidden/>
          </w:rPr>
          <w:t>16</w:t>
        </w:r>
        <w:r w:rsidR="00737FD3">
          <w:rPr>
            <w:noProof/>
            <w:webHidden/>
          </w:rPr>
          <w:fldChar w:fldCharType="end"/>
        </w:r>
      </w:hyperlink>
    </w:p>
    <w:p w14:paraId="5A67C5F1" w14:textId="7057C20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03" w:history="1">
        <w:r w:rsidR="00737FD3" w:rsidRPr="006D6639">
          <w:rPr>
            <w:rStyle w:val="Hyperlink"/>
            <w:noProof/>
          </w:rPr>
          <w:t>1.1</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monitoring in the Marine Monitoring Program</w:t>
        </w:r>
        <w:r w:rsidR="00737FD3">
          <w:rPr>
            <w:noProof/>
            <w:webHidden/>
          </w:rPr>
          <w:tab/>
        </w:r>
        <w:r w:rsidR="00737FD3">
          <w:rPr>
            <w:noProof/>
            <w:webHidden/>
          </w:rPr>
          <w:fldChar w:fldCharType="begin"/>
        </w:r>
        <w:r w:rsidR="00737FD3">
          <w:rPr>
            <w:noProof/>
            <w:webHidden/>
          </w:rPr>
          <w:instrText xml:space="preserve"> PAGEREF _Toc43987003 \h </w:instrText>
        </w:r>
        <w:r w:rsidR="00737FD3">
          <w:rPr>
            <w:noProof/>
            <w:webHidden/>
          </w:rPr>
        </w:r>
        <w:r w:rsidR="00737FD3">
          <w:rPr>
            <w:noProof/>
            <w:webHidden/>
          </w:rPr>
          <w:fldChar w:fldCharType="separate"/>
        </w:r>
        <w:r w:rsidR="00561C92">
          <w:rPr>
            <w:noProof/>
            <w:webHidden/>
          </w:rPr>
          <w:t>16</w:t>
        </w:r>
        <w:r w:rsidR="00737FD3">
          <w:rPr>
            <w:noProof/>
            <w:webHidden/>
          </w:rPr>
          <w:fldChar w:fldCharType="end"/>
        </w:r>
      </w:hyperlink>
    </w:p>
    <w:p w14:paraId="5A219E7E" w14:textId="283F5A08"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04" w:history="1">
        <w:r w:rsidR="00737FD3" w:rsidRPr="006D6639">
          <w:rPr>
            <w:rStyle w:val="Hyperlink"/>
            <w:noProof/>
          </w:rPr>
          <w:t>1.2</w:t>
        </w:r>
        <w:r w:rsidR="00737FD3">
          <w:rPr>
            <w:rFonts w:asciiTheme="minorHAnsi" w:eastAsiaTheme="minorEastAsia" w:hAnsiTheme="minorHAnsi" w:cstheme="minorBidi"/>
            <w:noProof/>
            <w:sz w:val="22"/>
            <w:szCs w:val="22"/>
            <w:lang w:eastAsia="en-AU"/>
          </w:rPr>
          <w:tab/>
        </w:r>
        <w:r w:rsidR="00737FD3" w:rsidRPr="006D6639">
          <w:rPr>
            <w:rStyle w:val="Hyperlink"/>
            <w:noProof/>
          </w:rPr>
          <w:t>Conceptual basis for indicator selection</w:t>
        </w:r>
        <w:r w:rsidR="00737FD3">
          <w:rPr>
            <w:noProof/>
            <w:webHidden/>
          </w:rPr>
          <w:tab/>
        </w:r>
        <w:r w:rsidR="00737FD3">
          <w:rPr>
            <w:noProof/>
            <w:webHidden/>
          </w:rPr>
          <w:fldChar w:fldCharType="begin"/>
        </w:r>
        <w:r w:rsidR="00737FD3">
          <w:rPr>
            <w:noProof/>
            <w:webHidden/>
          </w:rPr>
          <w:instrText xml:space="preserve"> PAGEREF _Toc43987004 \h </w:instrText>
        </w:r>
        <w:r w:rsidR="00737FD3">
          <w:rPr>
            <w:noProof/>
            <w:webHidden/>
          </w:rPr>
        </w:r>
        <w:r w:rsidR="00737FD3">
          <w:rPr>
            <w:noProof/>
            <w:webHidden/>
          </w:rPr>
          <w:fldChar w:fldCharType="separate"/>
        </w:r>
        <w:r w:rsidR="00561C92">
          <w:rPr>
            <w:noProof/>
            <w:webHidden/>
          </w:rPr>
          <w:t>18</w:t>
        </w:r>
        <w:r w:rsidR="00737FD3">
          <w:rPr>
            <w:noProof/>
            <w:webHidden/>
          </w:rPr>
          <w:fldChar w:fldCharType="end"/>
        </w:r>
      </w:hyperlink>
    </w:p>
    <w:p w14:paraId="56CA2FD9" w14:textId="070B471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05" w:history="1">
        <w:r w:rsidR="00737FD3" w:rsidRPr="006D6639">
          <w:rPr>
            <w:rStyle w:val="Hyperlink"/>
            <w:noProof/>
          </w:rPr>
          <w:t>1.3</w:t>
        </w:r>
        <w:r w:rsidR="00737FD3">
          <w:rPr>
            <w:rFonts w:asciiTheme="minorHAnsi" w:eastAsiaTheme="minorEastAsia" w:hAnsiTheme="minorHAnsi" w:cstheme="minorBidi"/>
            <w:noProof/>
            <w:sz w:val="22"/>
            <w:szCs w:val="22"/>
            <w:lang w:eastAsia="en-AU"/>
          </w:rPr>
          <w:tab/>
        </w:r>
        <w:r w:rsidR="00737FD3" w:rsidRPr="006D6639">
          <w:rPr>
            <w:rStyle w:val="Hyperlink"/>
            <w:noProof/>
          </w:rPr>
          <w:t>Structure of the Report</w:t>
        </w:r>
        <w:r w:rsidR="00737FD3">
          <w:rPr>
            <w:noProof/>
            <w:webHidden/>
          </w:rPr>
          <w:tab/>
        </w:r>
        <w:r w:rsidR="00737FD3">
          <w:rPr>
            <w:noProof/>
            <w:webHidden/>
          </w:rPr>
          <w:fldChar w:fldCharType="begin"/>
        </w:r>
        <w:r w:rsidR="00737FD3">
          <w:rPr>
            <w:noProof/>
            <w:webHidden/>
          </w:rPr>
          <w:instrText xml:space="preserve"> PAGEREF _Toc43987005 \h </w:instrText>
        </w:r>
        <w:r w:rsidR="00737FD3">
          <w:rPr>
            <w:noProof/>
            <w:webHidden/>
          </w:rPr>
        </w:r>
        <w:r w:rsidR="00737FD3">
          <w:rPr>
            <w:noProof/>
            <w:webHidden/>
          </w:rPr>
          <w:fldChar w:fldCharType="separate"/>
        </w:r>
        <w:r w:rsidR="00561C92">
          <w:rPr>
            <w:noProof/>
            <w:webHidden/>
          </w:rPr>
          <w:t>21</w:t>
        </w:r>
        <w:r w:rsidR="00737FD3">
          <w:rPr>
            <w:noProof/>
            <w:webHidden/>
          </w:rPr>
          <w:fldChar w:fldCharType="end"/>
        </w:r>
      </w:hyperlink>
    </w:p>
    <w:p w14:paraId="259A7D23" w14:textId="54863026"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06" w:history="1">
        <w:r w:rsidR="00737FD3" w:rsidRPr="006D6639">
          <w:rPr>
            <w:rStyle w:val="Hyperlink"/>
            <w:noProof/>
          </w:rPr>
          <w:t>2</w:t>
        </w:r>
        <w:r w:rsidR="00737FD3">
          <w:rPr>
            <w:rFonts w:asciiTheme="minorHAnsi" w:eastAsiaTheme="minorEastAsia" w:hAnsiTheme="minorHAnsi" w:cstheme="minorBidi"/>
            <w:b w:val="0"/>
            <w:noProof/>
            <w:szCs w:val="22"/>
            <w:lang w:eastAsia="en-AU"/>
          </w:rPr>
          <w:tab/>
        </w:r>
        <w:r w:rsidR="00737FD3" w:rsidRPr="006D6639">
          <w:rPr>
            <w:rStyle w:val="Hyperlink"/>
            <w:noProof/>
          </w:rPr>
          <w:t>Methods summary</w:t>
        </w:r>
        <w:r w:rsidR="00737FD3">
          <w:rPr>
            <w:noProof/>
            <w:webHidden/>
          </w:rPr>
          <w:tab/>
        </w:r>
        <w:r w:rsidR="00737FD3">
          <w:rPr>
            <w:noProof/>
            <w:webHidden/>
          </w:rPr>
          <w:fldChar w:fldCharType="begin"/>
        </w:r>
        <w:r w:rsidR="00737FD3">
          <w:rPr>
            <w:noProof/>
            <w:webHidden/>
          </w:rPr>
          <w:instrText xml:space="preserve"> PAGEREF _Toc43987006 \h </w:instrText>
        </w:r>
        <w:r w:rsidR="00737FD3">
          <w:rPr>
            <w:noProof/>
            <w:webHidden/>
          </w:rPr>
        </w:r>
        <w:r w:rsidR="00737FD3">
          <w:rPr>
            <w:noProof/>
            <w:webHidden/>
          </w:rPr>
          <w:fldChar w:fldCharType="separate"/>
        </w:r>
        <w:r w:rsidR="00561C92">
          <w:rPr>
            <w:noProof/>
            <w:webHidden/>
          </w:rPr>
          <w:t>23</w:t>
        </w:r>
        <w:r w:rsidR="00737FD3">
          <w:rPr>
            <w:noProof/>
            <w:webHidden/>
          </w:rPr>
          <w:fldChar w:fldCharType="end"/>
        </w:r>
      </w:hyperlink>
    </w:p>
    <w:p w14:paraId="32BF715F" w14:textId="7A7F4501"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07" w:history="1">
        <w:r w:rsidR="00737FD3" w:rsidRPr="006D6639">
          <w:rPr>
            <w:rStyle w:val="Hyperlink"/>
            <w:noProof/>
          </w:rPr>
          <w:t>2.1</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_Toc43987007 \h </w:instrText>
        </w:r>
        <w:r w:rsidR="00737FD3">
          <w:rPr>
            <w:noProof/>
            <w:webHidden/>
          </w:rPr>
        </w:r>
        <w:r w:rsidR="00737FD3">
          <w:rPr>
            <w:noProof/>
            <w:webHidden/>
          </w:rPr>
          <w:fldChar w:fldCharType="separate"/>
        </w:r>
        <w:r w:rsidR="00561C92">
          <w:rPr>
            <w:noProof/>
            <w:webHidden/>
          </w:rPr>
          <w:t>23</w:t>
        </w:r>
        <w:r w:rsidR="00737FD3">
          <w:rPr>
            <w:noProof/>
            <w:webHidden/>
          </w:rPr>
          <w:fldChar w:fldCharType="end"/>
        </w:r>
      </w:hyperlink>
    </w:p>
    <w:p w14:paraId="756D1230" w14:textId="5037A64B" w:rsidR="00737FD3" w:rsidRDefault="00D91B0F">
      <w:pPr>
        <w:pStyle w:val="TOC3"/>
        <w:tabs>
          <w:tab w:val="left" w:pos="1320"/>
          <w:tab w:val="right" w:leader="dot" w:pos="9054"/>
        </w:tabs>
        <w:rPr>
          <w:rFonts w:asciiTheme="minorHAnsi" w:eastAsiaTheme="minorEastAsia" w:hAnsiTheme="minorHAnsi" w:cstheme="minorBidi"/>
          <w:noProof/>
          <w:sz w:val="22"/>
          <w:szCs w:val="22"/>
          <w:lang w:eastAsia="en-AU"/>
        </w:rPr>
      </w:pPr>
      <w:hyperlink w:anchor="_Toc43987008" w:history="1">
        <w:r w:rsidR="00737FD3" w:rsidRPr="006D6639">
          <w:rPr>
            <w:rStyle w:val="Hyperlink"/>
            <w:noProof/>
          </w:rPr>
          <w:t>2.1.1.</w:t>
        </w:r>
        <w:r w:rsidR="00737FD3">
          <w:rPr>
            <w:rFonts w:asciiTheme="minorHAnsi" w:eastAsiaTheme="minorEastAsia" w:hAnsiTheme="minorHAnsi" w:cstheme="minorBidi"/>
            <w:noProof/>
            <w:sz w:val="22"/>
            <w:szCs w:val="22"/>
            <w:lang w:eastAsia="en-AU"/>
          </w:rPr>
          <w:tab/>
        </w:r>
        <w:r w:rsidR="00737FD3" w:rsidRPr="006D6639">
          <w:rPr>
            <w:rStyle w:val="Hyperlink"/>
            <w:noProof/>
          </w:rPr>
          <w:t>Climate</w:t>
        </w:r>
        <w:r w:rsidR="00737FD3">
          <w:rPr>
            <w:noProof/>
            <w:webHidden/>
          </w:rPr>
          <w:tab/>
        </w:r>
        <w:r w:rsidR="00737FD3">
          <w:rPr>
            <w:noProof/>
            <w:webHidden/>
          </w:rPr>
          <w:fldChar w:fldCharType="begin"/>
        </w:r>
        <w:r w:rsidR="00737FD3">
          <w:rPr>
            <w:noProof/>
            <w:webHidden/>
          </w:rPr>
          <w:instrText xml:space="preserve"> PAGEREF _Toc43987008 \h </w:instrText>
        </w:r>
        <w:r w:rsidR="00737FD3">
          <w:rPr>
            <w:noProof/>
            <w:webHidden/>
          </w:rPr>
        </w:r>
        <w:r w:rsidR="00737FD3">
          <w:rPr>
            <w:noProof/>
            <w:webHidden/>
          </w:rPr>
          <w:fldChar w:fldCharType="separate"/>
        </w:r>
        <w:r w:rsidR="00561C92">
          <w:rPr>
            <w:noProof/>
            <w:webHidden/>
          </w:rPr>
          <w:t>23</w:t>
        </w:r>
        <w:r w:rsidR="00737FD3">
          <w:rPr>
            <w:noProof/>
            <w:webHidden/>
          </w:rPr>
          <w:fldChar w:fldCharType="end"/>
        </w:r>
      </w:hyperlink>
    </w:p>
    <w:p w14:paraId="745FC2FB" w14:textId="2D40F660" w:rsidR="00737FD3" w:rsidRDefault="00D91B0F">
      <w:pPr>
        <w:pStyle w:val="TOC3"/>
        <w:tabs>
          <w:tab w:val="left" w:pos="1320"/>
          <w:tab w:val="right" w:leader="dot" w:pos="9054"/>
        </w:tabs>
        <w:rPr>
          <w:rFonts w:asciiTheme="minorHAnsi" w:eastAsiaTheme="minorEastAsia" w:hAnsiTheme="minorHAnsi" w:cstheme="minorBidi"/>
          <w:noProof/>
          <w:sz w:val="22"/>
          <w:szCs w:val="22"/>
          <w:lang w:eastAsia="en-AU"/>
        </w:rPr>
      </w:pPr>
      <w:hyperlink w:anchor="_Toc43987009" w:history="1">
        <w:r w:rsidR="00737FD3" w:rsidRPr="006D6639">
          <w:rPr>
            <w:rStyle w:val="Hyperlink"/>
            <w:noProof/>
          </w:rPr>
          <w:t>2.1.2.</w:t>
        </w:r>
        <w:r w:rsidR="00737FD3">
          <w:rPr>
            <w:rFonts w:asciiTheme="minorHAnsi" w:eastAsiaTheme="minorEastAsia" w:hAnsiTheme="minorHAnsi" w:cstheme="minorBidi"/>
            <w:noProof/>
            <w:sz w:val="22"/>
            <w:szCs w:val="22"/>
            <w:lang w:eastAsia="en-AU"/>
          </w:rPr>
          <w:tab/>
        </w:r>
        <w:r w:rsidR="00737FD3" w:rsidRPr="006D6639">
          <w:rPr>
            <w:rStyle w:val="Hyperlink"/>
            <w:noProof/>
          </w:rPr>
          <w:t>Environment within seagrass canopy</w:t>
        </w:r>
        <w:r w:rsidR="00737FD3">
          <w:rPr>
            <w:noProof/>
            <w:webHidden/>
          </w:rPr>
          <w:tab/>
        </w:r>
        <w:r w:rsidR="00737FD3">
          <w:rPr>
            <w:noProof/>
            <w:webHidden/>
          </w:rPr>
          <w:fldChar w:fldCharType="begin"/>
        </w:r>
        <w:r w:rsidR="00737FD3">
          <w:rPr>
            <w:noProof/>
            <w:webHidden/>
          </w:rPr>
          <w:instrText xml:space="preserve"> PAGEREF _Toc43987009 \h </w:instrText>
        </w:r>
        <w:r w:rsidR="00737FD3">
          <w:rPr>
            <w:noProof/>
            <w:webHidden/>
          </w:rPr>
        </w:r>
        <w:r w:rsidR="00737FD3">
          <w:rPr>
            <w:noProof/>
            <w:webHidden/>
          </w:rPr>
          <w:fldChar w:fldCharType="separate"/>
        </w:r>
        <w:r w:rsidR="00561C92">
          <w:rPr>
            <w:noProof/>
            <w:webHidden/>
          </w:rPr>
          <w:t>24</w:t>
        </w:r>
        <w:r w:rsidR="00737FD3">
          <w:rPr>
            <w:noProof/>
            <w:webHidden/>
          </w:rPr>
          <w:fldChar w:fldCharType="end"/>
        </w:r>
      </w:hyperlink>
    </w:p>
    <w:p w14:paraId="18C807A7" w14:textId="5F5BA65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10" w:history="1">
        <w:r w:rsidR="00737FD3" w:rsidRPr="006D6639">
          <w:rPr>
            <w:rStyle w:val="Hyperlink"/>
            <w:noProof/>
          </w:rPr>
          <w:t>2.2</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_Toc43987010 \h </w:instrText>
        </w:r>
        <w:r w:rsidR="00737FD3">
          <w:rPr>
            <w:noProof/>
            <w:webHidden/>
          </w:rPr>
        </w:r>
        <w:r w:rsidR="00737FD3">
          <w:rPr>
            <w:noProof/>
            <w:webHidden/>
          </w:rPr>
          <w:fldChar w:fldCharType="separate"/>
        </w:r>
        <w:r w:rsidR="00561C92">
          <w:rPr>
            <w:noProof/>
            <w:webHidden/>
          </w:rPr>
          <w:t>26</w:t>
        </w:r>
        <w:r w:rsidR="00737FD3">
          <w:rPr>
            <w:noProof/>
            <w:webHidden/>
          </w:rPr>
          <w:fldChar w:fldCharType="end"/>
        </w:r>
      </w:hyperlink>
    </w:p>
    <w:p w14:paraId="4CDA5DDF" w14:textId="1252D05E"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1" w:history="1">
        <w:r w:rsidR="00737FD3" w:rsidRPr="006D6639">
          <w:rPr>
            <w:rStyle w:val="Hyperlink"/>
            <w:noProof/>
          </w:rPr>
          <w:t>2.2.1</w:t>
        </w:r>
        <w:r w:rsidR="00737FD3">
          <w:rPr>
            <w:rFonts w:asciiTheme="minorHAnsi" w:eastAsiaTheme="minorEastAsia" w:hAnsiTheme="minorHAnsi" w:cstheme="minorBidi"/>
            <w:noProof/>
            <w:sz w:val="22"/>
            <w:szCs w:val="22"/>
            <w:lang w:eastAsia="en-AU"/>
          </w:rPr>
          <w:tab/>
        </w:r>
        <w:r w:rsidR="00737FD3" w:rsidRPr="006D6639">
          <w:rPr>
            <w:rStyle w:val="Hyperlink"/>
            <w:noProof/>
          </w:rPr>
          <w:t>Sampling design and site selection</w:t>
        </w:r>
        <w:r w:rsidR="00737FD3">
          <w:rPr>
            <w:noProof/>
            <w:webHidden/>
          </w:rPr>
          <w:tab/>
        </w:r>
        <w:r w:rsidR="00737FD3">
          <w:rPr>
            <w:noProof/>
            <w:webHidden/>
          </w:rPr>
          <w:fldChar w:fldCharType="begin"/>
        </w:r>
        <w:r w:rsidR="00737FD3">
          <w:rPr>
            <w:noProof/>
            <w:webHidden/>
          </w:rPr>
          <w:instrText xml:space="preserve"> PAGEREF _Toc43987011 \h </w:instrText>
        </w:r>
        <w:r w:rsidR="00737FD3">
          <w:rPr>
            <w:noProof/>
            <w:webHidden/>
          </w:rPr>
        </w:r>
        <w:r w:rsidR="00737FD3">
          <w:rPr>
            <w:noProof/>
            <w:webHidden/>
          </w:rPr>
          <w:fldChar w:fldCharType="separate"/>
        </w:r>
        <w:r w:rsidR="00561C92">
          <w:rPr>
            <w:noProof/>
            <w:webHidden/>
          </w:rPr>
          <w:t>26</w:t>
        </w:r>
        <w:r w:rsidR="00737FD3">
          <w:rPr>
            <w:noProof/>
            <w:webHidden/>
          </w:rPr>
          <w:fldChar w:fldCharType="end"/>
        </w:r>
      </w:hyperlink>
    </w:p>
    <w:p w14:paraId="7050036F" w14:textId="7B15D723"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2" w:history="1">
        <w:r w:rsidR="00737FD3" w:rsidRPr="006D6639">
          <w:rPr>
            <w:rStyle w:val="Hyperlink"/>
            <w:noProof/>
          </w:rPr>
          <w:t>2.2.2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_Toc43987012 \h </w:instrText>
        </w:r>
        <w:r w:rsidR="00737FD3">
          <w:rPr>
            <w:noProof/>
            <w:webHidden/>
          </w:rPr>
        </w:r>
        <w:r w:rsidR="00737FD3">
          <w:rPr>
            <w:noProof/>
            <w:webHidden/>
          </w:rPr>
          <w:fldChar w:fldCharType="separate"/>
        </w:r>
        <w:r w:rsidR="00561C92">
          <w:rPr>
            <w:noProof/>
            <w:webHidden/>
          </w:rPr>
          <w:t>28</w:t>
        </w:r>
        <w:r w:rsidR="00737FD3">
          <w:rPr>
            <w:noProof/>
            <w:webHidden/>
          </w:rPr>
          <w:fldChar w:fldCharType="end"/>
        </w:r>
      </w:hyperlink>
    </w:p>
    <w:p w14:paraId="48A0A7D8" w14:textId="31156268"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3" w:history="1">
        <w:r w:rsidR="00737FD3" w:rsidRPr="006D6639">
          <w:rPr>
            <w:rStyle w:val="Hyperlink"/>
            <w:noProof/>
          </w:rPr>
          <w:t>2.2.3</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_Toc43987013 \h </w:instrText>
        </w:r>
        <w:r w:rsidR="00737FD3">
          <w:rPr>
            <w:noProof/>
            <w:webHidden/>
          </w:rPr>
        </w:r>
        <w:r w:rsidR="00737FD3">
          <w:rPr>
            <w:noProof/>
            <w:webHidden/>
          </w:rPr>
          <w:fldChar w:fldCharType="separate"/>
        </w:r>
        <w:r w:rsidR="00561C92">
          <w:rPr>
            <w:noProof/>
            <w:webHidden/>
          </w:rPr>
          <w:t>31</w:t>
        </w:r>
        <w:r w:rsidR="00737FD3">
          <w:rPr>
            <w:noProof/>
            <w:webHidden/>
          </w:rPr>
          <w:fldChar w:fldCharType="end"/>
        </w:r>
      </w:hyperlink>
    </w:p>
    <w:p w14:paraId="5653E04F" w14:textId="33C18274"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4" w:history="1">
        <w:r w:rsidR="00737FD3" w:rsidRPr="006D6639">
          <w:rPr>
            <w:rStyle w:val="Hyperlink"/>
            <w:noProof/>
          </w:rPr>
          <w:t>2.2.4</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_Toc43987014 \h </w:instrText>
        </w:r>
        <w:r w:rsidR="00737FD3">
          <w:rPr>
            <w:noProof/>
            <w:webHidden/>
          </w:rPr>
        </w:r>
        <w:r w:rsidR="00737FD3">
          <w:rPr>
            <w:noProof/>
            <w:webHidden/>
          </w:rPr>
          <w:fldChar w:fldCharType="separate"/>
        </w:r>
        <w:r w:rsidR="00561C92">
          <w:rPr>
            <w:noProof/>
            <w:webHidden/>
          </w:rPr>
          <w:t>31</w:t>
        </w:r>
        <w:r w:rsidR="00737FD3">
          <w:rPr>
            <w:noProof/>
            <w:webHidden/>
          </w:rPr>
          <w:fldChar w:fldCharType="end"/>
        </w:r>
      </w:hyperlink>
    </w:p>
    <w:p w14:paraId="6AD1248B" w14:textId="2438D0A4"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5" w:history="1">
        <w:r w:rsidR="00737FD3" w:rsidRPr="006D6639">
          <w:rPr>
            <w:rStyle w:val="Hyperlink"/>
            <w:noProof/>
          </w:rPr>
          <w:t>2.2.5</w:t>
        </w:r>
        <w:r w:rsidR="00737FD3">
          <w:rPr>
            <w:rFonts w:asciiTheme="minorHAnsi" w:eastAsiaTheme="minorEastAsia" w:hAnsiTheme="minorHAnsi" w:cstheme="minorBidi"/>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_Toc43987015 \h </w:instrText>
        </w:r>
        <w:r w:rsidR="00737FD3">
          <w:rPr>
            <w:noProof/>
            <w:webHidden/>
          </w:rPr>
        </w:r>
        <w:r w:rsidR="00737FD3">
          <w:rPr>
            <w:noProof/>
            <w:webHidden/>
          </w:rPr>
          <w:fldChar w:fldCharType="separate"/>
        </w:r>
        <w:r w:rsidR="00561C92">
          <w:rPr>
            <w:noProof/>
            <w:webHidden/>
          </w:rPr>
          <w:t>31</w:t>
        </w:r>
        <w:r w:rsidR="00737FD3">
          <w:rPr>
            <w:noProof/>
            <w:webHidden/>
          </w:rPr>
          <w:fldChar w:fldCharType="end"/>
        </w:r>
      </w:hyperlink>
    </w:p>
    <w:p w14:paraId="7473CD46" w14:textId="4AA2312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16" w:history="1">
        <w:r w:rsidR="00737FD3" w:rsidRPr="006D6639">
          <w:rPr>
            <w:rStyle w:val="Hyperlink"/>
            <w:noProof/>
          </w:rPr>
          <w:t>2.3</w:t>
        </w:r>
        <w:r w:rsidR="00737FD3">
          <w:rPr>
            <w:rFonts w:asciiTheme="minorHAnsi" w:eastAsiaTheme="minorEastAsia" w:hAnsiTheme="minorHAnsi" w:cstheme="minorBidi"/>
            <w:noProof/>
            <w:sz w:val="22"/>
            <w:szCs w:val="22"/>
            <w:lang w:eastAsia="en-AU"/>
          </w:rPr>
          <w:tab/>
        </w:r>
        <w:r w:rsidR="00737FD3" w:rsidRPr="006D6639">
          <w:rPr>
            <w:rStyle w:val="Hyperlink"/>
            <w:noProof/>
          </w:rPr>
          <w:t>Data analyses</w:t>
        </w:r>
        <w:r w:rsidR="00737FD3">
          <w:rPr>
            <w:noProof/>
            <w:webHidden/>
          </w:rPr>
          <w:tab/>
        </w:r>
        <w:r w:rsidR="00737FD3">
          <w:rPr>
            <w:noProof/>
            <w:webHidden/>
          </w:rPr>
          <w:fldChar w:fldCharType="begin"/>
        </w:r>
        <w:r w:rsidR="00737FD3">
          <w:rPr>
            <w:noProof/>
            <w:webHidden/>
          </w:rPr>
          <w:instrText xml:space="preserve"> PAGEREF _Toc43987016 \h </w:instrText>
        </w:r>
        <w:r w:rsidR="00737FD3">
          <w:rPr>
            <w:noProof/>
            <w:webHidden/>
          </w:rPr>
        </w:r>
        <w:r w:rsidR="00737FD3">
          <w:rPr>
            <w:noProof/>
            <w:webHidden/>
          </w:rPr>
          <w:fldChar w:fldCharType="separate"/>
        </w:r>
        <w:r w:rsidR="00561C92">
          <w:rPr>
            <w:noProof/>
            <w:webHidden/>
          </w:rPr>
          <w:t>31</w:t>
        </w:r>
        <w:r w:rsidR="00737FD3">
          <w:rPr>
            <w:noProof/>
            <w:webHidden/>
          </w:rPr>
          <w:fldChar w:fldCharType="end"/>
        </w:r>
      </w:hyperlink>
    </w:p>
    <w:p w14:paraId="1996DC1C" w14:textId="1AE5DF8B"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17" w:history="1">
        <w:r w:rsidR="00737FD3" w:rsidRPr="006D6639">
          <w:rPr>
            <w:rStyle w:val="Hyperlink"/>
            <w:noProof/>
          </w:rPr>
          <w:t>2.4</w:t>
        </w:r>
        <w:r w:rsidR="00737FD3">
          <w:rPr>
            <w:rFonts w:asciiTheme="minorHAnsi" w:eastAsiaTheme="minorEastAsia" w:hAnsiTheme="minorHAnsi" w:cstheme="minorBidi"/>
            <w:noProof/>
            <w:sz w:val="22"/>
            <w:szCs w:val="22"/>
            <w:lang w:eastAsia="en-AU"/>
          </w:rPr>
          <w:tab/>
        </w:r>
        <w:r w:rsidR="00737FD3" w:rsidRPr="006D6639">
          <w:rPr>
            <w:rStyle w:val="Hyperlink"/>
            <w:noProof/>
          </w:rPr>
          <w:t>Reporting approach</w:t>
        </w:r>
        <w:r w:rsidR="00737FD3">
          <w:rPr>
            <w:noProof/>
            <w:webHidden/>
          </w:rPr>
          <w:tab/>
        </w:r>
        <w:r w:rsidR="00737FD3">
          <w:rPr>
            <w:noProof/>
            <w:webHidden/>
          </w:rPr>
          <w:fldChar w:fldCharType="begin"/>
        </w:r>
        <w:r w:rsidR="00737FD3">
          <w:rPr>
            <w:noProof/>
            <w:webHidden/>
          </w:rPr>
          <w:instrText xml:space="preserve"> PAGEREF _Toc43987017 \h </w:instrText>
        </w:r>
        <w:r w:rsidR="00737FD3">
          <w:rPr>
            <w:noProof/>
            <w:webHidden/>
          </w:rPr>
        </w:r>
        <w:r w:rsidR="00737FD3">
          <w:rPr>
            <w:noProof/>
            <w:webHidden/>
          </w:rPr>
          <w:fldChar w:fldCharType="separate"/>
        </w:r>
        <w:r w:rsidR="00561C92">
          <w:rPr>
            <w:noProof/>
            <w:webHidden/>
          </w:rPr>
          <w:t>33</w:t>
        </w:r>
        <w:r w:rsidR="00737FD3">
          <w:rPr>
            <w:noProof/>
            <w:webHidden/>
          </w:rPr>
          <w:fldChar w:fldCharType="end"/>
        </w:r>
      </w:hyperlink>
    </w:p>
    <w:p w14:paraId="4B86E461" w14:textId="233FB74B"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18" w:history="1">
        <w:r w:rsidR="00737FD3" w:rsidRPr="006D6639">
          <w:rPr>
            <w:rStyle w:val="Hyperlink"/>
            <w:noProof/>
          </w:rPr>
          <w:t>2.5</w:t>
        </w:r>
        <w:r w:rsidR="00737FD3">
          <w:rPr>
            <w:rFonts w:asciiTheme="minorHAnsi" w:eastAsiaTheme="minorEastAsia" w:hAnsiTheme="minorHAnsi" w:cstheme="minorBidi"/>
            <w:noProof/>
            <w:sz w:val="22"/>
            <w:szCs w:val="22"/>
            <w:lang w:eastAsia="en-AU"/>
          </w:rPr>
          <w:tab/>
        </w:r>
        <w:r w:rsidR="00737FD3" w:rsidRPr="006D6639">
          <w:rPr>
            <w:rStyle w:val="Hyperlink"/>
            <w:noProof/>
          </w:rPr>
          <w:t>Calculating report card scores</w:t>
        </w:r>
        <w:r w:rsidR="00737FD3">
          <w:rPr>
            <w:noProof/>
            <w:webHidden/>
          </w:rPr>
          <w:tab/>
        </w:r>
        <w:r w:rsidR="00737FD3">
          <w:rPr>
            <w:noProof/>
            <w:webHidden/>
          </w:rPr>
          <w:fldChar w:fldCharType="begin"/>
        </w:r>
        <w:r w:rsidR="00737FD3">
          <w:rPr>
            <w:noProof/>
            <w:webHidden/>
          </w:rPr>
          <w:instrText xml:space="preserve"> PAGEREF _Toc43987018 \h </w:instrText>
        </w:r>
        <w:r w:rsidR="00737FD3">
          <w:rPr>
            <w:noProof/>
            <w:webHidden/>
          </w:rPr>
        </w:r>
        <w:r w:rsidR="00737FD3">
          <w:rPr>
            <w:noProof/>
            <w:webHidden/>
          </w:rPr>
          <w:fldChar w:fldCharType="separate"/>
        </w:r>
        <w:r w:rsidR="00561C92">
          <w:rPr>
            <w:noProof/>
            <w:webHidden/>
          </w:rPr>
          <w:t>33</w:t>
        </w:r>
        <w:r w:rsidR="00737FD3">
          <w:rPr>
            <w:noProof/>
            <w:webHidden/>
          </w:rPr>
          <w:fldChar w:fldCharType="end"/>
        </w:r>
      </w:hyperlink>
    </w:p>
    <w:p w14:paraId="10F43EA6" w14:textId="19BB4781"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19" w:history="1">
        <w:r w:rsidR="00737FD3" w:rsidRPr="006D6639">
          <w:rPr>
            <w:rStyle w:val="Hyperlink"/>
            <w:noProof/>
          </w:rPr>
          <w:t>2.5.1</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abundance</w:t>
        </w:r>
        <w:r w:rsidR="00737FD3">
          <w:rPr>
            <w:noProof/>
            <w:webHidden/>
          </w:rPr>
          <w:tab/>
        </w:r>
        <w:r w:rsidR="00737FD3">
          <w:rPr>
            <w:noProof/>
            <w:webHidden/>
          </w:rPr>
          <w:fldChar w:fldCharType="begin"/>
        </w:r>
        <w:r w:rsidR="00737FD3">
          <w:rPr>
            <w:noProof/>
            <w:webHidden/>
          </w:rPr>
          <w:instrText xml:space="preserve"> PAGEREF _Toc43987019 \h </w:instrText>
        </w:r>
        <w:r w:rsidR="00737FD3">
          <w:rPr>
            <w:noProof/>
            <w:webHidden/>
          </w:rPr>
        </w:r>
        <w:r w:rsidR="00737FD3">
          <w:rPr>
            <w:noProof/>
            <w:webHidden/>
          </w:rPr>
          <w:fldChar w:fldCharType="separate"/>
        </w:r>
        <w:r w:rsidR="00561C92">
          <w:rPr>
            <w:noProof/>
            <w:webHidden/>
          </w:rPr>
          <w:t>33</w:t>
        </w:r>
        <w:r w:rsidR="00737FD3">
          <w:rPr>
            <w:noProof/>
            <w:webHidden/>
          </w:rPr>
          <w:fldChar w:fldCharType="end"/>
        </w:r>
      </w:hyperlink>
    </w:p>
    <w:p w14:paraId="05141EE1" w14:textId="24C618E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20" w:history="1">
        <w:r w:rsidR="00737FD3" w:rsidRPr="006D6639">
          <w:rPr>
            <w:rStyle w:val="Hyperlink"/>
            <w:noProof/>
          </w:rPr>
          <w:t>2.5.2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reproductive effort</w:t>
        </w:r>
        <w:r w:rsidR="00737FD3">
          <w:rPr>
            <w:noProof/>
            <w:webHidden/>
          </w:rPr>
          <w:tab/>
        </w:r>
        <w:r w:rsidR="00737FD3">
          <w:rPr>
            <w:noProof/>
            <w:webHidden/>
          </w:rPr>
          <w:fldChar w:fldCharType="begin"/>
        </w:r>
        <w:r w:rsidR="00737FD3">
          <w:rPr>
            <w:noProof/>
            <w:webHidden/>
          </w:rPr>
          <w:instrText xml:space="preserve"> PAGEREF _Toc43987020 \h </w:instrText>
        </w:r>
        <w:r w:rsidR="00737FD3">
          <w:rPr>
            <w:noProof/>
            <w:webHidden/>
          </w:rPr>
        </w:r>
        <w:r w:rsidR="00737FD3">
          <w:rPr>
            <w:noProof/>
            <w:webHidden/>
          </w:rPr>
          <w:fldChar w:fldCharType="separate"/>
        </w:r>
        <w:r w:rsidR="00561C92">
          <w:rPr>
            <w:noProof/>
            <w:webHidden/>
          </w:rPr>
          <w:t>34</w:t>
        </w:r>
        <w:r w:rsidR="00737FD3">
          <w:rPr>
            <w:noProof/>
            <w:webHidden/>
          </w:rPr>
          <w:fldChar w:fldCharType="end"/>
        </w:r>
      </w:hyperlink>
    </w:p>
    <w:p w14:paraId="6FF15688" w14:textId="4BDB520B"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21" w:history="1">
        <w:r w:rsidR="00737FD3" w:rsidRPr="006D6639">
          <w:rPr>
            <w:rStyle w:val="Hyperlink"/>
            <w:noProof/>
          </w:rPr>
          <w:t>2.5.3</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nutrient status</w:t>
        </w:r>
        <w:r w:rsidR="00737FD3">
          <w:rPr>
            <w:noProof/>
            <w:webHidden/>
          </w:rPr>
          <w:tab/>
        </w:r>
        <w:r w:rsidR="00737FD3">
          <w:rPr>
            <w:noProof/>
            <w:webHidden/>
          </w:rPr>
          <w:fldChar w:fldCharType="begin"/>
        </w:r>
        <w:r w:rsidR="00737FD3">
          <w:rPr>
            <w:noProof/>
            <w:webHidden/>
          </w:rPr>
          <w:instrText xml:space="preserve"> PAGEREF _Toc43987021 \h </w:instrText>
        </w:r>
        <w:r w:rsidR="00737FD3">
          <w:rPr>
            <w:noProof/>
            <w:webHidden/>
          </w:rPr>
        </w:r>
        <w:r w:rsidR="00737FD3">
          <w:rPr>
            <w:noProof/>
            <w:webHidden/>
          </w:rPr>
          <w:fldChar w:fldCharType="separate"/>
        </w:r>
        <w:r w:rsidR="00561C92">
          <w:rPr>
            <w:noProof/>
            <w:webHidden/>
          </w:rPr>
          <w:t>35</w:t>
        </w:r>
        <w:r w:rsidR="00737FD3">
          <w:rPr>
            <w:noProof/>
            <w:webHidden/>
          </w:rPr>
          <w:fldChar w:fldCharType="end"/>
        </w:r>
      </w:hyperlink>
    </w:p>
    <w:p w14:paraId="18919379" w14:textId="7D43B95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22" w:history="1">
        <w:r w:rsidR="00737FD3" w:rsidRPr="006D6639">
          <w:rPr>
            <w:rStyle w:val="Hyperlink"/>
            <w:noProof/>
          </w:rPr>
          <w:t>2.5.4</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condition index</w:t>
        </w:r>
        <w:r w:rsidR="00737FD3">
          <w:rPr>
            <w:noProof/>
            <w:webHidden/>
          </w:rPr>
          <w:tab/>
        </w:r>
        <w:r w:rsidR="00737FD3">
          <w:rPr>
            <w:noProof/>
            <w:webHidden/>
          </w:rPr>
          <w:fldChar w:fldCharType="begin"/>
        </w:r>
        <w:r w:rsidR="00737FD3">
          <w:rPr>
            <w:noProof/>
            <w:webHidden/>
          </w:rPr>
          <w:instrText xml:space="preserve"> PAGEREF _Toc43987022 \h </w:instrText>
        </w:r>
        <w:r w:rsidR="00737FD3">
          <w:rPr>
            <w:noProof/>
            <w:webHidden/>
          </w:rPr>
        </w:r>
        <w:r w:rsidR="00737FD3">
          <w:rPr>
            <w:noProof/>
            <w:webHidden/>
          </w:rPr>
          <w:fldChar w:fldCharType="separate"/>
        </w:r>
        <w:r w:rsidR="00561C92">
          <w:rPr>
            <w:noProof/>
            <w:webHidden/>
          </w:rPr>
          <w:t>35</w:t>
        </w:r>
        <w:r w:rsidR="00737FD3">
          <w:rPr>
            <w:noProof/>
            <w:webHidden/>
          </w:rPr>
          <w:fldChar w:fldCharType="end"/>
        </w:r>
      </w:hyperlink>
    </w:p>
    <w:p w14:paraId="23D34A5F" w14:textId="40780E97"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23" w:history="1">
        <w:r w:rsidR="00737FD3" w:rsidRPr="006D6639">
          <w:rPr>
            <w:rStyle w:val="Hyperlink"/>
            <w:noProof/>
          </w:rPr>
          <w:t>2.5.5</w:t>
        </w:r>
        <w:r w:rsidR="00737FD3">
          <w:rPr>
            <w:rFonts w:asciiTheme="minorHAnsi" w:eastAsiaTheme="minorEastAsia" w:hAnsiTheme="minorHAnsi" w:cstheme="minorBidi"/>
            <w:noProof/>
            <w:sz w:val="22"/>
            <w:szCs w:val="22"/>
            <w:lang w:eastAsia="en-AU"/>
          </w:rPr>
          <w:tab/>
        </w:r>
        <w:r w:rsidR="00737FD3" w:rsidRPr="006D6639">
          <w:rPr>
            <w:rStyle w:val="Hyperlink"/>
            <w:noProof/>
          </w:rPr>
          <w:t>Revision of seagrass scores</w:t>
        </w:r>
        <w:r w:rsidR="00737FD3">
          <w:rPr>
            <w:noProof/>
            <w:webHidden/>
          </w:rPr>
          <w:tab/>
        </w:r>
        <w:r w:rsidR="00737FD3">
          <w:rPr>
            <w:noProof/>
            <w:webHidden/>
          </w:rPr>
          <w:fldChar w:fldCharType="begin"/>
        </w:r>
        <w:r w:rsidR="00737FD3">
          <w:rPr>
            <w:noProof/>
            <w:webHidden/>
          </w:rPr>
          <w:instrText xml:space="preserve"> PAGEREF _Toc43987023 \h </w:instrText>
        </w:r>
        <w:r w:rsidR="00737FD3">
          <w:rPr>
            <w:noProof/>
            <w:webHidden/>
          </w:rPr>
        </w:r>
        <w:r w:rsidR="00737FD3">
          <w:rPr>
            <w:noProof/>
            <w:webHidden/>
          </w:rPr>
          <w:fldChar w:fldCharType="separate"/>
        </w:r>
        <w:r w:rsidR="00561C92">
          <w:rPr>
            <w:noProof/>
            <w:webHidden/>
          </w:rPr>
          <w:t>36</w:t>
        </w:r>
        <w:r w:rsidR="00737FD3">
          <w:rPr>
            <w:noProof/>
            <w:webHidden/>
          </w:rPr>
          <w:fldChar w:fldCharType="end"/>
        </w:r>
      </w:hyperlink>
    </w:p>
    <w:p w14:paraId="7BD8E7F0" w14:textId="7A355D19"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24" w:history="1">
        <w:r w:rsidR="00737FD3" w:rsidRPr="006D6639">
          <w:rPr>
            <w:rStyle w:val="Hyperlink"/>
            <w:noProof/>
          </w:rPr>
          <w:t>3</w:t>
        </w:r>
        <w:r w:rsidR="00737FD3">
          <w:rPr>
            <w:rFonts w:asciiTheme="minorHAnsi" w:eastAsiaTheme="minorEastAsia" w:hAnsiTheme="minorHAnsi" w:cstheme="minorBidi"/>
            <w:b w:val="0"/>
            <w:noProof/>
            <w:szCs w:val="22"/>
            <w:lang w:eastAsia="en-AU"/>
          </w:rPr>
          <w:tab/>
        </w:r>
        <w:r w:rsidR="00737FD3" w:rsidRPr="006D6639">
          <w:rPr>
            <w:rStyle w:val="Hyperlink"/>
            <w:noProof/>
          </w:rPr>
          <w:t>Drivers and pressures influencing seagrass meadows in 2018–19</w:t>
        </w:r>
        <w:r w:rsidR="00737FD3">
          <w:rPr>
            <w:noProof/>
            <w:webHidden/>
          </w:rPr>
          <w:tab/>
        </w:r>
        <w:r w:rsidR="00737FD3">
          <w:rPr>
            <w:noProof/>
            <w:webHidden/>
          </w:rPr>
          <w:fldChar w:fldCharType="begin"/>
        </w:r>
        <w:r w:rsidR="00737FD3">
          <w:rPr>
            <w:noProof/>
            <w:webHidden/>
          </w:rPr>
          <w:instrText xml:space="preserve"> PAGEREF _Toc43987024 \h </w:instrText>
        </w:r>
        <w:r w:rsidR="00737FD3">
          <w:rPr>
            <w:noProof/>
            <w:webHidden/>
          </w:rPr>
        </w:r>
        <w:r w:rsidR="00737FD3">
          <w:rPr>
            <w:noProof/>
            <w:webHidden/>
          </w:rPr>
          <w:fldChar w:fldCharType="separate"/>
        </w:r>
        <w:r w:rsidR="00561C92">
          <w:rPr>
            <w:noProof/>
            <w:webHidden/>
          </w:rPr>
          <w:t>37</w:t>
        </w:r>
        <w:r w:rsidR="00737FD3">
          <w:rPr>
            <w:noProof/>
            <w:webHidden/>
          </w:rPr>
          <w:fldChar w:fldCharType="end"/>
        </w:r>
      </w:hyperlink>
    </w:p>
    <w:p w14:paraId="4B46E2B0" w14:textId="2345945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25" w:history="1">
        <w:r w:rsidR="00737FD3" w:rsidRPr="006D6639">
          <w:rPr>
            <w:rStyle w:val="Hyperlink"/>
            <w:noProof/>
          </w:rPr>
          <w:t>3.1</w:t>
        </w:r>
        <w:r w:rsidR="00737FD3">
          <w:rPr>
            <w:rFonts w:asciiTheme="minorHAnsi" w:eastAsiaTheme="minorEastAsia" w:hAnsiTheme="minorHAnsi" w:cstheme="minorBidi"/>
            <w:noProof/>
            <w:sz w:val="22"/>
            <w:szCs w:val="22"/>
            <w:lang w:eastAsia="en-AU"/>
          </w:rPr>
          <w:tab/>
        </w:r>
        <w:r w:rsidR="00737FD3" w:rsidRPr="006D6639">
          <w:rPr>
            <w:rStyle w:val="Hyperlink"/>
            <w:noProof/>
          </w:rPr>
          <w:t>Summary</w:t>
        </w:r>
        <w:r w:rsidR="00737FD3">
          <w:rPr>
            <w:noProof/>
            <w:webHidden/>
          </w:rPr>
          <w:tab/>
        </w:r>
        <w:r w:rsidR="00737FD3">
          <w:rPr>
            <w:noProof/>
            <w:webHidden/>
          </w:rPr>
          <w:fldChar w:fldCharType="begin"/>
        </w:r>
        <w:r w:rsidR="00737FD3">
          <w:rPr>
            <w:noProof/>
            <w:webHidden/>
          </w:rPr>
          <w:instrText xml:space="preserve"> PAGEREF _Toc43987025 \h </w:instrText>
        </w:r>
        <w:r w:rsidR="00737FD3">
          <w:rPr>
            <w:noProof/>
            <w:webHidden/>
          </w:rPr>
        </w:r>
        <w:r w:rsidR="00737FD3">
          <w:rPr>
            <w:noProof/>
            <w:webHidden/>
          </w:rPr>
          <w:fldChar w:fldCharType="separate"/>
        </w:r>
        <w:r w:rsidR="00561C92">
          <w:rPr>
            <w:noProof/>
            <w:webHidden/>
          </w:rPr>
          <w:t>37</w:t>
        </w:r>
        <w:r w:rsidR="00737FD3">
          <w:rPr>
            <w:noProof/>
            <w:webHidden/>
          </w:rPr>
          <w:fldChar w:fldCharType="end"/>
        </w:r>
      </w:hyperlink>
    </w:p>
    <w:p w14:paraId="7973678E" w14:textId="2919F005"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26" w:history="1">
        <w:r w:rsidR="00737FD3" w:rsidRPr="006D6639">
          <w:rPr>
            <w:rStyle w:val="Hyperlink"/>
            <w:noProof/>
          </w:rPr>
          <w:t>3.2</w:t>
        </w:r>
        <w:r w:rsidR="00737FD3">
          <w:rPr>
            <w:rFonts w:asciiTheme="minorHAnsi" w:eastAsiaTheme="minorEastAsia" w:hAnsiTheme="minorHAnsi" w:cstheme="minorBidi"/>
            <w:noProof/>
            <w:sz w:val="22"/>
            <w:szCs w:val="22"/>
            <w:lang w:eastAsia="en-AU"/>
          </w:rPr>
          <w:tab/>
        </w:r>
        <w:r w:rsidR="00737FD3" w:rsidRPr="006D6639">
          <w:rPr>
            <w:rStyle w:val="Hyperlink"/>
            <w:noProof/>
          </w:rPr>
          <w:t>Rainfall</w:t>
        </w:r>
        <w:r w:rsidR="00737FD3">
          <w:rPr>
            <w:noProof/>
            <w:webHidden/>
          </w:rPr>
          <w:tab/>
        </w:r>
        <w:r w:rsidR="00737FD3">
          <w:rPr>
            <w:noProof/>
            <w:webHidden/>
          </w:rPr>
          <w:fldChar w:fldCharType="begin"/>
        </w:r>
        <w:r w:rsidR="00737FD3">
          <w:rPr>
            <w:noProof/>
            <w:webHidden/>
          </w:rPr>
          <w:instrText xml:space="preserve"> PAGEREF _Toc43987026 \h </w:instrText>
        </w:r>
        <w:r w:rsidR="00737FD3">
          <w:rPr>
            <w:noProof/>
            <w:webHidden/>
          </w:rPr>
        </w:r>
        <w:r w:rsidR="00737FD3">
          <w:rPr>
            <w:noProof/>
            <w:webHidden/>
          </w:rPr>
          <w:fldChar w:fldCharType="separate"/>
        </w:r>
        <w:r w:rsidR="00561C92">
          <w:rPr>
            <w:noProof/>
            <w:webHidden/>
          </w:rPr>
          <w:t>38</w:t>
        </w:r>
        <w:r w:rsidR="00737FD3">
          <w:rPr>
            <w:noProof/>
            <w:webHidden/>
          </w:rPr>
          <w:fldChar w:fldCharType="end"/>
        </w:r>
      </w:hyperlink>
    </w:p>
    <w:p w14:paraId="5B58A8D2" w14:textId="4E491865"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27" w:history="1">
        <w:r w:rsidR="00737FD3" w:rsidRPr="006D6639">
          <w:rPr>
            <w:rStyle w:val="Hyperlink"/>
            <w:noProof/>
          </w:rPr>
          <w:t>3.3</w:t>
        </w:r>
        <w:r w:rsidR="00737FD3">
          <w:rPr>
            <w:rFonts w:asciiTheme="minorHAnsi" w:eastAsiaTheme="minorEastAsia" w:hAnsiTheme="minorHAnsi" w:cstheme="minorBidi"/>
            <w:noProof/>
            <w:sz w:val="22"/>
            <w:szCs w:val="22"/>
            <w:lang w:eastAsia="en-AU"/>
          </w:rPr>
          <w:tab/>
        </w:r>
        <w:r w:rsidR="00737FD3" w:rsidRPr="006D6639">
          <w:rPr>
            <w:rStyle w:val="Hyperlink"/>
            <w:noProof/>
          </w:rPr>
          <w:t>River discharge</w:t>
        </w:r>
        <w:r w:rsidR="00737FD3">
          <w:rPr>
            <w:noProof/>
            <w:webHidden/>
          </w:rPr>
          <w:tab/>
        </w:r>
        <w:r w:rsidR="00737FD3">
          <w:rPr>
            <w:noProof/>
            <w:webHidden/>
          </w:rPr>
          <w:fldChar w:fldCharType="begin"/>
        </w:r>
        <w:r w:rsidR="00737FD3">
          <w:rPr>
            <w:noProof/>
            <w:webHidden/>
          </w:rPr>
          <w:instrText xml:space="preserve"> PAGEREF _Toc43987027 \h </w:instrText>
        </w:r>
        <w:r w:rsidR="00737FD3">
          <w:rPr>
            <w:noProof/>
            <w:webHidden/>
          </w:rPr>
        </w:r>
        <w:r w:rsidR="00737FD3">
          <w:rPr>
            <w:noProof/>
            <w:webHidden/>
          </w:rPr>
          <w:fldChar w:fldCharType="separate"/>
        </w:r>
        <w:r w:rsidR="00561C92">
          <w:rPr>
            <w:noProof/>
            <w:webHidden/>
          </w:rPr>
          <w:t>39</w:t>
        </w:r>
        <w:r w:rsidR="00737FD3">
          <w:rPr>
            <w:noProof/>
            <w:webHidden/>
          </w:rPr>
          <w:fldChar w:fldCharType="end"/>
        </w:r>
      </w:hyperlink>
    </w:p>
    <w:p w14:paraId="73517267" w14:textId="02F041A1"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28" w:history="1">
        <w:r w:rsidR="00737FD3" w:rsidRPr="006D6639">
          <w:rPr>
            <w:rStyle w:val="Hyperlink"/>
            <w:noProof/>
          </w:rPr>
          <w:t>3.4</w:t>
        </w:r>
        <w:r w:rsidR="00737FD3">
          <w:rPr>
            <w:rFonts w:asciiTheme="minorHAnsi" w:eastAsiaTheme="minorEastAsia" w:hAnsiTheme="minorHAnsi" w:cstheme="minorBidi"/>
            <w:noProof/>
            <w:sz w:val="22"/>
            <w:szCs w:val="22"/>
            <w:lang w:eastAsia="en-AU"/>
          </w:rPr>
          <w:tab/>
        </w:r>
        <w:r w:rsidR="00737FD3" w:rsidRPr="006D6639">
          <w:rPr>
            <w:rStyle w:val="Hyperlink"/>
            <w:noProof/>
          </w:rPr>
          <w:t>Turbid water exposure and flood plume extent</w:t>
        </w:r>
        <w:r w:rsidR="00737FD3">
          <w:rPr>
            <w:noProof/>
            <w:webHidden/>
          </w:rPr>
          <w:tab/>
        </w:r>
        <w:r w:rsidR="00737FD3">
          <w:rPr>
            <w:noProof/>
            <w:webHidden/>
          </w:rPr>
          <w:fldChar w:fldCharType="begin"/>
        </w:r>
        <w:r w:rsidR="00737FD3">
          <w:rPr>
            <w:noProof/>
            <w:webHidden/>
          </w:rPr>
          <w:instrText xml:space="preserve"> PAGEREF _Toc43987028 \h </w:instrText>
        </w:r>
        <w:r w:rsidR="00737FD3">
          <w:rPr>
            <w:noProof/>
            <w:webHidden/>
          </w:rPr>
        </w:r>
        <w:r w:rsidR="00737FD3">
          <w:rPr>
            <w:noProof/>
            <w:webHidden/>
          </w:rPr>
          <w:fldChar w:fldCharType="separate"/>
        </w:r>
        <w:r w:rsidR="00561C92">
          <w:rPr>
            <w:noProof/>
            <w:webHidden/>
          </w:rPr>
          <w:t>41</w:t>
        </w:r>
        <w:r w:rsidR="00737FD3">
          <w:rPr>
            <w:noProof/>
            <w:webHidden/>
          </w:rPr>
          <w:fldChar w:fldCharType="end"/>
        </w:r>
      </w:hyperlink>
    </w:p>
    <w:p w14:paraId="169ECBC3" w14:textId="07E1C37E"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29" w:history="1">
        <w:r w:rsidR="00737FD3" w:rsidRPr="006D6639">
          <w:rPr>
            <w:rStyle w:val="Hyperlink"/>
            <w:noProof/>
          </w:rPr>
          <w:t>3.5</w:t>
        </w:r>
        <w:r w:rsidR="00737FD3">
          <w:rPr>
            <w:rFonts w:asciiTheme="minorHAnsi" w:eastAsiaTheme="minorEastAsia" w:hAnsiTheme="minorHAnsi" w:cstheme="minorBidi"/>
            <w:noProof/>
            <w:sz w:val="22"/>
            <w:szCs w:val="22"/>
            <w:lang w:eastAsia="en-AU"/>
          </w:rPr>
          <w:tab/>
        </w:r>
        <w:r w:rsidR="00737FD3" w:rsidRPr="006D6639">
          <w:rPr>
            <w:rStyle w:val="Hyperlink"/>
            <w:noProof/>
          </w:rPr>
          <w:t>Daily incident light</w:t>
        </w:r>
        <w:r w:rsidR="00737FD3">
          <w:rPr>
            <w:noProof/>
            <w:webHidden/>
          </w:rPr>
          <w:tab/>
        </w:r>
        <w:r w:rsidR="00737FD3">
          <w:rPr>
            <w:noProof/>
            <w:webHidden/>
          </w:rPr>
          <w:fldChar w:fldCharType="begin"/>
        </w:r>
        <w:r w:rsidR="00737FD3">
          <w:rPr>
            <w:noProof/>
            <w:webHidden/>
          </w:rPr>
          <w:instrText xml:space="preserve"> PAGEREF _Toc43987029 \h </w:instrText>
        </w:r>
        <w:r w:rsidR="00737FD3">
          <w:rPr>
            <w:noProof/>
            <w:webHidden/>
          </w:rPr>
        </w:r>
        <w:r w:rsidR="00737FD3">
          <w:rPr>
            <w:noProof/>
            <w:webHidden/>
          </w:rPr>
          <w:fldChar w:fldCharType="separate"/>
        </w:r>
        <w:r w:rsidR="00561C92">
          <w:rPr>
            <w:noProof/>
            <w:webHidden/>
          </w:rPr>
          <w:t>42</w:t>
        </w:r>
        <w:r w:rsidR="00737FD3">
          <w:rPr>
            <w:noProof/>
            <w:webHidden/>
          </w:rPr>
          <w:fldChar w:fldCharType="end"/>
        </w:r>
      </w:hyperlink>
    </w:p>
    <w:p w14:paraId="64FBB282" w14:textId="095256E7"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30" w:history="1">
        <w:r w:rsidR="00737FD3" w:rsidRPr="006D6639">
          <w:rPr>
            <w:rStyle w:val="Hyperlink"/>
            <w:noProof/>
          </w:rPr>
          <w:t>3.6</w:t>
        </w:r>
        <w:r w:rsidR="00737FD3">
          <w:rPr>
            <w:rFonts w:asciiTheme="minorHAnsi" w:eastAsiaTheme="minorEastAsia" w:hAnsiTheme="minorHAnsi" w:cstheme="minorBidi"/>
            <w:noProof/>
            <w:sz w:val="22"/>
            <w:szCs w:val="22"/>
            <w:lang w:eastAsia="en-AU"/>
          </w:rPr>
          <w:tab/>
        </w:r>
        <w:r w:rsidR="00737FD3" w:rsidRPr="006D6639">
          <w:rPr>
            <w:rStyle w:val="Hyperlink"/>
            <w:noProof/>
          </w:rPr>
          <w:t>Within-canopy seawater temperature</w:t>
        </w:r>
        <w:r w:rsidR="00737FD3">
          <w:rPr>
            <w:noProof/>
            <w:webHidden/>
          </w:rPr>
          <w:tab/>
        </w:r>
        <w:r w:rsidR="00737FD3">
          <w:rPr>
            <w:noProof/>
            <w:webHidden/>
          </w:rPr>
          <w:fldChar w:fldCharType="begin"/>
        </w:r>
        <w:r w:rsidR="00737FD3">
          <w:rPr>
            <w:noProof/>
            <w:webHidden/>
          </w:rPr>
          <w:instrText xml:space="preserve"> PAGEREF _Toc43987030 \h </w:instrText>
        </w:r>
        <w:r w:rsidR="00737FD3">
          <w:rPr>
            <w:noProof/>
            <w:webHidden/>
          </w:rPr>
        </w:r>
        <w:r w:rsidR="00737FD3">
          <w:rPr>
            <w:noProof/>
            <w:webHidden/>
          </w:rPr>
          <w:fldChar w:fldCharType="separate"/>
        </w:r>
        <w:r w:rsidR="00561C92">
          <w:rPr>
            <w:noProof/>
            <w:webHidden/>
          </w:rPr>
          <w:t>43</w:t>
        </w:r>
        <w:r w:rsidR="00737FD3">
          <w:rPr>
            <w:noProof/>
            <w:webHidden/>
          </w:rPr>
          <w:fldChar w:fldCharType="end"/>
        </w:r>
      </w:hyperlink>
    </w:p>
    <w:p w14:paraId="26FC07AF" w14:textId="37EACC13"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31" w:history="1">
        <w:r w:rsidR="00737FD3" w:rsidRPr="006D6639">
          <w:rPr>
            <w:rStyle w:val="Hyperlink"/>
            <w:noProof/>
          </w:rPr>
          <w:t>3.7</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meadow sediments</w:t>
        </w:r>
        <w:r w:rsidR="00737FD3">
          <w:rPr>
            <w:noProof/>
            <w:webHidden/>
          </w:rPr>
          <w:tab/>
        </w:r>
        <w:r w:rsidR="00737FD3">
          <w:rPr>
            <w:noProof/>
            <w:webHidden/>
          </w:rPr>
          <w:fldChar w:fldCharType="begin"/>
        </w:r>
        <w:r w:rsidR="00737FD3">
          <w:rPr>
            <w:noProof/>
            <w:webHidden/>
          </w:rPr>
          <w:instrText xml:space="preserve"> PAGEREF _Toc43987031 \h </w:instrText>
        </w:r>
        <w:r w:rsidR="00737FD3">
          <w:rPr>
            <w:noProof/>
            <w:webHidden/>
          </w:rPr>
        </w:r>
        <w:r w:rsidR="00737FD3">
          <w:rPr>
            <w:noProof/>
            <w:webHidden/>
          </w:rPr>
          <w:fldChar w:fldCharType="separate"/>
        </w:r>
        <w:r w:rsidR="00561C92">
          <w:rPr>
            <w:noProof/>
            <w:webHidden/>
          </w:rPr>
          <w:t>46</w:t>
        </w:r>
        <w:r w:rsidR="00737FD3">
          <w:rPr>
            <w:noProof/>
            <w:webHidden/>
          </w:rPr>
          <w:fldChar w:fldCharType="end"/>
        </w:r>
      </w:hyperlink>
    </w:p>
    <w:p w14:paraId="2DBF91FA" w14:textId="37580EBF"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32" w:history="1">
        <w:r w:rsidR="00737FD3" w:rsidRPr="006D6639">
          <w:rPr>
            <w:rStyle w:val="Hyperlink"/>
            <w:noProof/>
          </w:rPr>
          <w:t>4</w:t>
        </w:r>
        <w:r w:rsidR="00737FD3">
          <w:rPr>
            <w:rFonts w:asciiTheme="minorHAnsi" w:eastAsiaTheme="minorEastAsia" w:hAnsiTheme="minorHAnsi" w:cstheme="minorBidi"/>
            <w:b w:val="0"/>
            <w:noProof/>
            <w:szCs w:val="22"/>
            <w:lang w:eastAsia="en-AU"/>
          </w:rPr>
          <w:tab/>
        </w:r>
        <w:r w:rsidR="00737FD3" w:rsidRPr="006D6639">
          <w:rPr>
            <w:rStyle w:val="Hyperlink"/>
            <w:noProof/>
          </w:rPr>
          <w:t>Seagrass condition and trend</w:t>
        </w:r>
        <w:r w:rsidR="00737FD3">
          <w:rPr>
            <w:noProof/>
            <w:webHidden/>
          </w:rPr>
          <w:tab/>
        </w:r>
        <w:r w:rsidR="00737FD3">
          <w:rPr>
            <w:noProof/>
            <w:webHidden/>
          </w:rPr>
          <w:fldChar w:fldCharType="begin"/>
        </w:r>
        <w:r w:rsidR="00737FD3">
          <w:rPr>
            <w:noProof/>
            <w:webHidden/>
          </w:rPr>
          <w:instrText xml:space="preserve"> PAGEREF _Toc43987032 \h </w:instrText>
        </w:r>
        <w:r w:rsidR="00737FD3">
          <w:rPr>
            <w:noProof/>
            <w:webHidden/>
          </w:rPr>
        </w:r>
        <w:r w:rsidR="00737FD3">
          <w:rPr>
            <w:noProof/>
            <w:webHidden/>
          </w:rPr>
          <w:fldChar w:fldCharType="separate"/>
        </w:r>
        <w:r w:rsidR="00561C92">
          <w:rPr>
            <w:noProof/>
            <w:webHidden/>
          </w:rPr>
          <w:t>48</w:t>
        </w:r>
        <w:r w:rsidR="00737FD3">
          <w:rPr>
            <w:noProof/>
            <w:webHidden/>
          </w:rPr>
          <w:fldChar w:fldCharType="end"/>
        </w:r>
      </w:hyperlink>
    </w:p>
    <w:p w14:paraId="294FEFA6" w14:textId="7CE679CD"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33" w:history="1">
        <w:r w:rsidR="00737FD3" w:rsidRPr="006D6639">
          <w:rPr>
            <w:rStyle w:val="Hyperlink"/>
            <w:noProof/>
          </w:rPr>
          <w:t>4.1</w:t>
        </w:r>
        <w:r w:rsidR="00737FD3">
          <w:rPr>
            <w:rFonts w:asciiTheme="minorHAnsi" w:eastAsiaTheme="minorEastAsia" w:hAnsiTheme="minorHAnsi" w:cstheme="minorBidi"/>
            <w:noProof/>
            <w:sz w:val="22"/>
            <w:szCs w:val="22"/>
            <w:lang w:eastAsia="en-AU"/>
          </w:rPr>
          <w:tab/>
        </w:r>
        <w:r w:rsidR="00737FD3" w:rsidRPr="006D6639">
          <w:rPr>
            <w:rStyle w:val="Hyperlink"/>
            <w:noProof/>
          </w:rPr>
          <w:t>Reef-wide seagrass condition and trend</w:t>
        </w:r>
        <w:r w:rsidR="00737FD3">
          <w:rPr>
            <w:noProof/>
            <w:webHidden/>
          </w:rPr>
          <w:tab/>
        </w:r>
        <w:r w:rsidR="00737FD3">
          <w:rPr>
            <w:noProof/>
            <w:webHidden/>
          </w:rPr>
          <w:fldChar w:fldCharType="begin"/>
        </w:r>
        <w:r w:rsidR="00737FD3">
          <w:rPr>
            <w:noProof/>
            <w:webHidden/>
          </w:rPr>
          <w:instrText xml:space="preserve"> PAGEREF _Toc43987033 \h </w:instrText>
        </w:r>
        <w:r w:rsidR="00737FD3">
          <w:rPr>
            <w:noProof/>
            <w:webHidden/>
          </w:rPr>
        </w:r>
        <w:r w:rsidR="00737FD3">
          <w:rPr>
            <w:noProof/>
            <w:webHidden/>
          </w:rPr>
          <w:fldChar w:fldCharType="separate"/>
        </w:r>
        <w:r w:rsidR="00561C92">
          <w:rPr>
            <w:noProof/>
            <w:webHidden/>
          </w:rPr>
          <w:t>48</w:t>
        </w:r>
        <w:r w:rsidR="00737FD3">
          <w:rPr>
            <w:noProof/>
            <w:webHidden/>
          </w:rPr>
          <w:fldChar w:fldCharType="end"/>
        </w:r>
      </w:hyperlink>
    </w:p>
    <w:p w14:paraId="7AA9863F" w14:textId="255EA57C"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34" w:history="1">
        <w:r w:rsidR="00737FD3" w:rsidRPr="006D6639">
          <w:rPr>
            <w:rStyle w:val="Hyperlink"/>
            <w:noProof/>
          </w:rPr>
          <w:t>4.2</w:t>
        </w:r>
        <w:r w:rsidR="00737FD3">
          <w:rPr>
            <w:rFonts w:asciiTheme="minorHAnsi" w:eastAsiaTheme="minorEastAsia" w:hAnsiTheme="minorHAnsi" w:cstheme="minorBidi"/>
            <w:noProof/>
            <w:sz w:val="22"/>
            <w:szCs w:val="22"/>
            <w:lang w:eastAsia="en-AU"/>
          </w:rPr>
          <w:tab/>
        </w:r>
        <w:r w:rsidR="00737FD3" w:rsidRPr="006D6639">
          <w:rPr>
            <w:rStyle w:val="Hyperlink"/>
            <w:noProof/>
          </w:rPr>
          <w:t>Trends in seagrass condition indicators between regions</w:t>
        </w:r>
        <w:r w:rsidR="00737FD3">
          <w:rPr>
            <w:noProof/>
            <w:webHidden/>
          </w:rPr>
          <w:tab/>
        </w:r>
        <w:r w:rsidR="00737FD3">
          <w:rPr>
            <w:noProof/>
            <w:webHidden/>
          </w:rPr>
          <w:fldChar w:fldCharType="begin"/>
        </w:r>
        <w:r w:rsidR="00737FD3">
          <w:rPr>
            <w:noProof/>
            <w:webHidden/>
          </w:rPr>
          <w:instrText xml:space="preserve"> PAGEREF _Toc43987034 \h </w:instrText>
        </w:r>
        <w:r w:rsidR="00737FD3">
          <w:rPr>
            <w:noProof/>
            <w:webHidden/>
          </w:rPr>
        </w:r>
        <w:r w:rsidR="00737FD3">
          <w:rPr>
            <w:noProof/>
            <w:webHidden/>
          </w:rPr>
          <w:fldChar w:fldCharType="separate"/>
        </w:r>
        <w:r w:rsidR="00561C92">
          <w:rPr>
            <w:noProof/>
            <w:webHidden/>
          </w:rPr>
          <w:t>49</w:t>
        </w:r>
        <w:r w:rsidR="00737FD3">
          <w:rPr>
            <w:noProof/>
            <w:webHidden/>
          </w:rPr>
          <w:fldChar w:fldCharType="end"/>
        </w:r>
      </w:hyperlink>
    </w:p>
    <w:p w14:paraId="54902203" w14:textId="3F7C3E99"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35" w:history="1">
        <w:r w:rsidR="00737FD3" w:rsidRPr="006D6639">
          <w:rPr>
            <w:rStyle w:val="Hyperlink"/>
            <w:noProof/>
          </w:rPr>
          <w:t>4.3</w:t>
        </w:r>
        <w:r w:rsidR="00737FD3">
          <w:rPr>
            <w:rFonts w:asciiTheme="minorHAnsi" w:eastAsiaTheme="minorEastAsia" w:hAnsiTheme="minorHAnsi" w:cstheme="minorBidi"/>
            <w:noProof/>
            <w:sz w:val="22"/>
            <w:szCs w:val="22"/>
            <w:lang w:eastAsia="en-AU"/>
          </w:rPr>
          <w:tab/>
        </w:r>
        <w:r w:rsidR="00737FD3" w:rsidRPr="006D6639">
          <w:rPr>
            <w:rStyle w:val="Hyperlink"/>
            <w:noProof/>
          </w:rPr>
          <w:t>Trends in seagrass condition indicators by habitat type</w:t>
        </w:r>
        <w:r w:rsidR="00737FD3">
          <w:rPr>
            <w:noProof/>
            <w:webHidden/>
          </w:rPr>
          <w:tab/>
        </w:r>
        <w:r w:rsidR="00737FD3">
          <w:rPr>
            <w:noProof/>
            <w:webHidden/>
          </w:rPr>
          <w:fldChar w:fldCharType="begin"/>
        </w:r>
        <w:r w:rsidR="00737FD3">
          <w:rPr>
            <w:noProof/>
            <w:webHidden/>
          </w:rPr>
          <w:instrText xml:space="preserve"> PAGEREF _Toc43987035 \h </w:instrText>
        </w:r>
        <w:r w:rsidR="00737FD3">
          <w:rPr>
            <w:noProof/>
            <w:webHidden/>
          </w:rPr>
        </w:r>
        <w:r w:rsidR="00737FD3">
          <w:rPr>
            <w:noProof/>
            <w:webHidden/>
          </w:rPr>
          <w:fldChar w:fldCharType="separate"/>
        </w:r>
        <w:r w:rsidR="00561C92">
          <w:rPr>
            <w:noProof/>
            <w:webHidden/>
          </w:rPr>
          <w:t>51</w:t>
        </w:r>
        <w:r w:rsidR="00737FD3">
          <w:rPr>
            <w:noProof/>
            <w:webHidden/>
          </w:rPr>
          <w:fldChar w:fldCharType="end"/>
        </w:r>
      </w:hyperlink>
    </w:p>
    <w:p w14:paraId="3875A222" w14:textId="03D90705"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36" w:history="1">
        <w:r w:rsidR="00737FD3" w:rsidRPr="006D6639">
          <w:rPr>
            <w:rStyle w:val="Hyperlink"/>
            <w:noProof/>
          </w:rPr>
          <w:t>4.3.1</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_Toc43987036 \h </w:instrText>
        </w:r>
        <w:r w:rsidR="00737FD3">
          <w:rPr>
            <w:noProof/>
            <w:webHidden/>
          </w:rPr>
        </w:r>
        <w:r w:rsidR="00737FD3">
          <w:rPr>
            <w:noProof/>
            <w:webHidden/>
          </w:rPr>
          <w:fldChar w:fldCharType="separate"/>
        </w:r>
        <w:r w:rsidR="00561C92">
          <w:rPr>
            <w:noProof/>
            <w:webHidden/>
          </w:rPr>
          <w:t>51</w:t>
        </w:r>
        <w:r w:rsidR="00737FD3">
          <w:rPr>
            <w:noProof/>
            <w:webHidden/>
          </w:rPr>
          <w:fldChar w:fldCharType="end"/>
        </w:r>
      </w:hyperlink>
    </w:p>
    <w:p w14:paraId="13D9D26A" w14:textId="62CF3D70"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37" w:history="1">
        <w:r w:rsidR="00737FD3" w:rsidRPr="006D6639">
          <w:rPr>
            <w:rStyle w:val="Hyperlink"/>
            <w:noProof/>
          </w:rPr>
          <w:t>4.3.2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_Toc43987037 \h </w:instrText>
        </w:r>
        <w:r w:rsidR="00737FD3">
          <w:rPr>
            <w:noProof/>
            <w:webHidden/>
          </w:rPr>
        </w:r>
        <w:r w:rsidR="00737FD3">
          <w:rPr>
            <w:noProof/>
            <w:webHidden/>
          </w:rPr>
          <w:fldChar w:fldCharType="separate"/>
        </w:r>
        <w:r w:rsidR="00561C92">
          <w:rPr>
            <w:noProof/>
            <w:webHidden/>
          </w:rPr>
          <w:t>54</w:t>
        </w:r>
        <w:r w:rsidR="00737FD3">
          <w:rPr>
            <w:noProof/>
            <w:webHidden/>
          </w:rPr>
          <w:fldChar w:fldCharType="end"/>
        </w:r>
      </w:hyperlink>
    </w:p>
    <w:p w14:paraId="2669DABE" w14:textId="303B6B32"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38" w:history="1">
        <w:r w:rsidR="00737FD3" w:rsidRPr="006D6639">
          <w:rPr>
            <w:rStyle w:val="Hyperlink"/>
            <w:noProof/>
          </w:rPr>
          <w:t>4.3.3</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_Toc43987038 \h </w:instrText>
        </w:r>
        <w:r w:rsidR="00737FD3">
          <w:rPr>
            <w:noProof/>
            <w:webHidden/>
          </w:rPr>
        </w:r>
        <w:r w:rsidR="00737FD3">
          <w:rPr>
            <w:noProof/>
            <w:webHidden/>
          </w:rPr>
          <w:fldChar w:fldCharType="separate"/>
        </w:r>
        <w:r w:rsidR="00561C92">
          <w:rPr>
            <w:noProof/>
            <w:webHidden/>
          </w:rPr>
          <w:t>56</w:t>
        </w:r>
        <w:r w:rsidR="00737FD3">
          <w:rPr>
            <w:noProof/>
            <w:webHidden/>
          </w:rPr>
          <w:fldChar w:fldCharType="end"/>
        </w:r>
      </w:hyperlink>
    </w:p>
    <w:p w14:paraId="45F96146" w14:textId="3C046E0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39" w:history="1">
        <w:r w:rsidR="00737FD3" w:rsidRPr="006D6639">
          <w:rPr>
            <w:rStyle w:val="Hyperlink"/>
            <w:noProof/>
          </w:rPr>
          <w:t>4.3.4</w:t>
        </w:r>
        <w:r w:rsidR="00737FD3">
          <w:rPr>
            <w:rFonts w:asciiTheme="minorHAnsi" w:eastAsiaTheme="minorEastAsia" w:hAnsiTheme="minorHAnsi" w:cstheme="minorBidi"/>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_Toc43987039 \h </w:instrText>
        </w:r>
        <w:r w:rsidR="00737FD3">
          <w:rPr>
            <w:noProof/>
            <w:webHidden/>
          </w:rPr>
        </w:r>
        <w:r w:rsidR="00737FD3">
          <w:rPr>
            <w:noProof/>
            <w:webHidden/>
          </w:rPr>
          <w:fldChar w:fldCharType="separate"/>
        </w:r>
        <w:r w:rsidR="00561C92">
          <w:rPr>
            <w:noProof/>
            <w:webHidden/>
          </w:rPr>
          <w:t>58</w:t>
        </w:r>
        <w:r w:rsidR="00737FD3">
          <w:rPr>
            <w:noProof/>
            <w:webHidden/>
          </w:rPr>
          <w:fldChar w:fldCharType="end"/>
        </w:r>
      </w:hyperlink>
    </w:p>
    <w:p w14:paraId="0B158164" w14:textId="195268F8"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40" w:history="1">
        <w:r w:rsidR="00737FD3" w:rsidRPr="006D6639">
          <w:rPr>
            <w:rStyle w:val="Hyperlink"/>
            <w:noProof/>
          </w:rPr>
          <w:t>5</w:t>
        </w:r>
        <w:r w:rsidR="00737FD3">
          <w:rPr>
            <w:rFonts w:asciiTheme="minorHAnsi" w:eastAsiaTheme="minorEastAsia" w:hAnsiTheme="minorHAnsi" w:cstheme="minorBidi"/>
            <w:b w:val="0"/>
            <w:noProof/>
            <w:szCs w:val="22"/>
            <w:lang w:eastAsia="en-AU"/>
          </w:rPr>
          <w:tab/>
        </w:r>
        <w:r w:rsidR="00737FD3" w:rsidRPr="006D6639">
          <w:rPr>
            <w:rStyle w:val="Hyperlink"/>
            <w:noProof/>
          </w:rPr>
          <w:t>Regional Reports</w:t>
        </w:r>
        <w:r w:rsidR="00737FD3">
          <w:rPr>
            <w:noProof/>
            <w:webHidden/>
          </w:rPr>
          <w:tab/>
        </w:r>
        <w:r w:rsidR="00737FD3">
          <w:rPr>
            <w:noProof/>
            <w:webHidden/>
          </w:rPr>
          <w:fldChar w:fldCharType="begin"/>
        </w:r>
        <w:r w:rsidR="00737FD3">
          <w:rPr>
            <w:noProof/>
            <w:webHidden/>
          </w:rPr>
          <w:instrText xml:space="preserve"> PAGEREF _Toc43987040 \h </w:instrText>
        </w:r>
        <w:r w:rsidR="00737FD3">
          <w:rPr>
            <w:noProof/>
            <w:webHidden/>
          </w:rPr>
        </w:r>
        <w:r w:rsidR="00737FD3">
          <w:rPr>
            <w:noProof/>
            <w:webHidden/>
          </w:rPr>
          <w:fldChar w:fldCharType="separate"/>
        </w:r>
        <w:r w:rsidR="00561C92">
          <w:rPr>
            <w:noProof/>
            <w:webHidden/>
          </w:rPr>
          <w:t>59</w:t>
        </w:r>
        <w:r w:rsidR="00737FD3">
          <w:rPr>
            <w:noProof/>
            <w:webHidden/>
          </w:rPr>
          <w:fldChar w:fldCharType="end"/>
        </w:r>
      </w:hyperlink>
    </w:p>
    <w:p w14:paraId="53118D54" w14:textId="3E8C8E61"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41" w:history="1">
        <w:r w:rsidR="00737FD3" w:rsidRPr="006D6639">
          <w:rPr>
            <w:rStyle w:val="Hyperlink"/>
            <w:noProof/>
          </w:rPr>
          <w:t>5.1</w:t>
        </w:r>
        <w:r w:rsidR="00737FD3">
          <w:rPr>
            <w:rFonts w:asciiTheme="minorHAnsi" w:eastAsiaTheme="minorEastAsia" w:hAnsiTheme="minorHAnsi" w:cstheme="minorBidi"/>
            <w:noProof/>
            <w:sz w:val="22"/>
            <w:szCs w:val="22"/>
            <w:lang w:eastAsia="en-AU"/>
          </w:rPr>
          <w:tab/>
        </w:r>
        <w:r w:rsidR="00737FD3" w:rsidRPr="006D6639">
          <w:rPr>
            <w:rStyle w:val="Hyperlink"/>
            <w:noProof/>
          </w:rPr>
          <w:t>Cape York</w:t>
        </w:r>
        <w:r w:rsidR="00737FD3">
          <w:rPr>
            <w:noProof/>
            <w:webHidden/>
          </w:rPr>
          <w:tab/>
        </w:r>
        <w:r w:rsidR="00737FD3">
          <w:rPr>
            <w:noProof/>
            <w:webHidden/>
          </w:rPr>
          <w:fldChar w:fldCharType="begin"/>
        </w:r>
        <w:r w:rsidR="00737FD3">
          <w:rPr>
            <w:noProof/>
            <w:webHidden/>
          </w:rPr>
          <w:instrText xml:space="preserve"> PAGEREF _Toc43987041 \h </w:instrText>
        </w:r>
        <w:r w:rsidR="00737FD3">
          <w:rPr>
            <w:noProof/>
            <w:webHidden/>
          </w:rPr>
        </w:r>
        <w:r w:rsidR="00737FD3">
          <w:rPr>
            <w:noProof/>
            <w:webHidden/>
          </w:rPr>
          <w:fldChar w:fldCharType="separate"/>
        </w:r>
        <w:r w:rsidR="00561C92">
          <w:rPr>
            <w:noProof/>
            <w:webHidden/>
          </w:rPr>
          <w:t>59</w:t>
        </w:r>
        <w:r w:rsidR="00737FD3">
          <w:rPr>
            <w:noProof/>
            <w:webHidden/>
          </w:rPr>
          <w:fldChar w:fldCharType="end"/>
        </w:r>
      </w:hyperlink>
    </w:p>
    <w:p w14:paraId="6367AB9A" w14:textId="6D42A3E7"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42" w:history="1">
        <w:r w:rsidR="00737FD3" w:rsidRPr="006D6639">
          <w:rPr>
            <w:rStyle w:val="Hyperlink"/>
            <w:noProof/>
          </w:rPr>
          <w:t>5.1.1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_Toc43987042 \h </w:instrText>
        </w:r>
        <w:r w:rsidR="00737FD3">
          <w:rPr>
            <w:noProof/>
            <w:webHidden/>
          </w:rPr>
        </w:r>
        <w:r w:rsidR="00737FD3">
          <w:rPr>
            <w:noProof/>
            <w:webHidden/>
          </w:rPr>
          <w:fldChar w:fldCharType="separate"/>
        </w:r>
        <w:r w:rsidR="00561C92">
          <w:rPr>
            <w:noProof/>
            <w:webHidden/>
          </w:rPr>
          <w:t>59</w:t>
        </w:r>
        <w:r w:rsidR="00737FD3">
          <w:rPr>
            <w:noProof/>
            <w:webHidden/>
          </w:rPr>
          <w:fldChar w:fldCharType="end"/>
        </w:r>
      </w:hyperlink>
    </w:p>
    <w:p w14:paraId="1B2F15DA" w14:textId="39FB53AC"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43" w:history="1">
        <w:r w:rsidR="00737FD3" w:rsidRPr="006D6639">
          <w:rPr>
            <w:rStyle w:val="Hyperlink"/>
            <w:noProof/>
          </w:rPr>
          <w:t>5.1.2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_Toc43987043 \h </w:instrText>
        </w:r>
        <w:r w:rsidR="00737FD3">
          <w:rPr>
            <w:noProof/>
            <w:webHidden/>
          </w:rPr>
        </w:r>
        <w:r w:rsidR="00737FD3">
          <w:rPr>
            <w:noProof/>
            <w:webHidden/>
          </w:rPr>
          <w:fldChar w:fldCharType="separate"/>
        </w:r>
        <w:r w:rsidR="00561C92">
          <w:rPr>
            <w:noProof/>
            <w:webHidden/>
          </w:rPr>
          <w:t>60</w:t>
        </w:r>
        <w:r w:rsidR="00737FD3">
          <w:rPr>
            <w:noProof/>
            <w:webHidden/>
          </w:rPr>
          <w:fldChar w:fldCharType="end"/>
        </w:r>
      </w:hyperlink>
    </w:p>
    <w:p w14:paraId="78661D0A" w14:textId="4A4C7021"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44" w:history="1">
        <w:r w:rsidR="00737FD3" w:rsidRPr="006D6639">
          <w:rPr>
            <w:rStyle w:val="Hyperlink"/>
            <w:noProof/>
          </w:rPr>
          <w:t>5.1.3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_Toc43987044 \h </w:instrText>
        </w:r>
        <w:r w:rsidR="00737FD3">
          <w:rPr>
            <w:noProof/>
            <w:webHidden/>
          </w:rPr>
        </w:r>
        <w:r w:rsidR="00737FD3">
          <w:rPr>
            <w:noProof/>
            <w:webHidden/>
          </w:rPr>
          <w:fldChar w:fldCharType="separate"/>
        </w:r>
        <w:r w:rsidR="00561C92">
          <w:rPr>
            <w:noProof/>
            <w:webHidden/>
          </w:rPr>
          <w:t>62</w:t>
        </w:r>
        <w:r w:rsidR="00737FD3">
          <w:rPr>
            <w:noProof/>
            <w:webHidden/>
          </w:rPr>
          <w:fldChar w:fldCharType="end"/>
        </w:r>
      </w:hyperlink>
    </w:p>
    <w:p w14:paraId="00750877" w14:textId="3D77A8B2"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45" w:history="1">
        <w:r w:rsidR="00737FD3" w:rsidRPr="006D6639">
          <w:rPr>
            <w:rStyle w:val="Hyperlink"/>
            <w:noProof/>
          </w:rPr>
          <w:t>5.1.3.1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_Toc43987045 \h </w:instrText>
        </w:r>
        <w:r w:rsidR="00737FD3">
          <w:rPr>
            <w:noProof/>
            <w:webHidden/>
          </w:rPr>
        </w:r>
        <w:r w:rsidR="00737FD3">
          <w:rPr>
            <w:noProof/>
            <w:webHidden/>
          </w:rPr>
          <w:fldChar w:fldCharType="separate"/>
        </w:r>
        <w:r w:rsidR="00561C92">
          <w:rPr>
            <w:noProof/>
            <w:webHidden/>
          </w:rPr>
          <w:t>62</w:t>
        </w:r>
        <w:r w:rsidR="00737FD3">
          <w:rPr>
            <w:noProof/>
            <w:webHidden/>
          </w:rPr>
          <w:fldChar w:fldCharType="end"/>
        </w:r>
      </w:hyperlink>
    </w:p>
    <w:p w14:paraId="24D26C36" w14:textId="48DBA76A"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46" w:history="1">
        <w:r w:rsidR="00737FD3" w:rsidRPr="006D6639">
          <w:rPr>
            <w:rStyle w:val="Hyperlink"/>
            <w:noProof/>
          </w:rPr>
          <w:t>5.1.3.2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_Toc43987046 \h </w:instrText>
        </w:r>
        <w:r w:rsidR="00737FD3">
          <w:rPr>
            <w:noProof/>
            <w:webHidden/>
          </w:rPr>
        </w:r>
        <w:r w:rsidR="00737FD3">
          <w:rPr>
            <w:noProof/>
            <w:webHidden/>
          </w:rPr>
          <w:fldChar w:fldCharType="separate"/>
        </w:r>
        <w:r w:rsidR="00561C92">
          <w:rPr>
            <w:noProof/>
            <w:webHidden/>
          </w:rPr>
          <w:t>63</w:t>
        </w:r>
        <w:r w:rsidR="00737FD3">
          <w:rPr>
            <w:noProof/>
            <w:webHidden/>
          </w:rPr>
          <w:fldChar w:fldCharType="end"/>
        </w:r>
      </w:hyperlink>
    </w:p>
    <w:p w14:paraId="378E2930" w14:textId="47C08508"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47" w:history="1">
        <w:r w:rsidR="00737FD3" w:rsidRPr="006D6639">
          <w:rPr>
            <w:rStyle w:val="Hyperlink"/>
            <w:noProof/>
          </w:rPr>
          <w:t>5.1.3.3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_Toc43987047 \h </w:instrText>
        </w:r>
        <w:r w:rsidR="00737FD3">
          <w:rPr>
            <w:noProof/>
            <w:webHidden/>
          </w:rPr>
        </w:r>
        <w:r w:rsidR="00737FD3">
          <w:rPr>
            <w:noProof/>
            <w:webHidden/>
          </w:rPr>
          <w:fldChar w:fldCharType="separate"/>
        </w:r>
        <w:r w:rsidR="00561C92">
          <w:rPr>
            <w:noProof/>
            <w:webHidden/>
          </w:rPr>
          <w:t>65</w:t>
        </w:r>
        <w:r w:rsidR="00737FD3">
          <w:rPr>
            <w:noProof/>
            <w:webHidden/>
          </w:rPr>
          <w:fldChar w:fldCharType="end"/>
        </w:r>
      </w:hyperlink>
    </w:p>
    <w:p w14:paraId="63CEE60C" w14:textId="715C6D31"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48" w:history="1">
        <w:r w:rsidR="00737FD3" w:rsidRPr="006D6639">
          <w:rPr>
            <w:rStyle w:val="Hyperlink"/>
            <w:noProof/>
          </w:rPr>
          <w:t>5.1.3.4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_Toc43987048 \h </w:instrText>
        </w:r>
        <w:r w:rsidR="00737FD3">
          <w:rPr>
            <w:noProof/>
            <w:webHidden/>
          </w:rPr>
        </w:r>
        <w:r w:rsidR="00737FD3">
          <w:rPr>
            <w:noProof/>
            <w:webHidden/>
          </w:rPr>
          <w:fldChar w:fldCharType="separate"/>
        </w:r>
        <w:r w:rsidR="00561C92">
          <w:rPr>
            <w:noProof/>
            <w:webHidden/>
          </w:rPr>
          <w:t>66</w:t>
        </w:r>
        <w:r w:rsidR="00737FD3">
          <w:rPr>
            <w:noProof/>
            <w:webHidden/>
          </w:rPr>
          <w:fldChar w:fldCharType="end"/>
        </w:r>
      </w:hyperlink>
    </w:p>
    <w:p w14:paraId="135C4729" w14:textId="75485A45"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49" w:history="1">
        <w:r w:rsidR="00737FD3" w:rsidRPr="006D6639">
          <w:rPr>
            <w:rStyle w:val="Hyperlink"/>
            <w:noProof/>
          </w:rPr>
          <w:t>5.1.3.5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_Toc43987049 \h </w:instrText>
        </w:r>
        <w:r w:rsidR="00737FD3">
          <w:rPr>
            <w:noProof/>
            <w:webHidden/>
          </w:rPr>
        </w:r>
        <w:r w:rsidR="00737FD3">
          <w:rPr>
            <w:noProof/>
            <w:webHidden/>
          </w:rPr>
          <w:fldChar w:fldCharType="separate"/>
        </w:r>
        <w:r w:rsidR="00561C92">
          <w:rPr>
            <w:noProof/>
            <w:webHidden/>
          </w:rPr>
          <w:t>67</w:t>
        </w:r>
        <w:r w:rsidR="00737FD3">
          <w:rPr>
            <w:noProof/>
            <w:webHidden/>
          </w:rPr>
          <w:fldChar w:fldCharType="end"/>
        </w:r>
      </w:hyperlink>
    </w:p>
    <w:p w14:paraId="5622997B" w14:textId="214E24D3"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50" w:history="1">
        <w:r w:rsidR="00737FD3" w:rsidRPr="006D6639">
          <w:rPr>
            <w:rStyle w:val="Hyperlink"/>
            <w:noProof/>
          </w:rPr>
          <w:t>5.2</w:t>
        </w:r>
        <w:r w:rsidR="00737FD3">
          <w:rPr>
            <w:rFonts w:asciiTheme="minorHAnsi" w:eastAsiaTheme="minorEastAsia" w:hAnsiTheme="minorHAnsi" w:cstheme="minorBidi"/>
            <w:noProof/>
            <w:sz w:val="22"/>
            <w:szCs w:val="22"/>
            <w:lang w:eastAsia="en-AU"/>
          </w:rPr>
          <w:tab/>
        </w:r>
        <w:r w:rsidR="00737FD3" w:rsidRPr="006D6639">
          <w:rPr>
            <w:rStyle w:val="Hyperlink"/>
            <w:noProof/>
          </w:rPr>
          <w:t>Wet Tropics</w:t>
        </w:r>
        <w:r w:rsidR="00737FD3">
          <w:rPr>
            <w:noProof/>
            <w:webHidden/>
          </w:rPr>
          <w:tab/>
        </w:r>
        <w:r w:rsidR="00737FD3">
          <w:rPr>
            <w:noProof/>
            <w:webHidden/>
          </w:rPr>
          <w:fldChar w:fldCharType="begin"/>
        </w:r>
        <w:r w:rsidR="00737FD3">
          <w:rPr>
            <w:noProof/>
            <w:webHidden/>
          </w:rPr>
          <w:instrText xml:space="preserve"> PAGEREF _Toc43987050 \h </w:instrText>
        </w:r>
        <w:r w:rsidR="00737FD3">
          <w:rPr>
            <w:noProof/>
            <w:webHidden/>
          </w:rPr>
        </w:r>
        <w:r w:rsidR="00737FD3">
          <w:rPr>
            <w:noProof/>
            <w:webHidden/>
          </w:rPr>
          <w:fldChar w:fldCharType="separate"/>
        </w:r>
        <w:r w:rsidR="00561C92">
          <w:rPr>
            <w:noProof/>
            <w:webHidden/>
          </w:rPr>
          <w:t>69</w:t>
        </w:r>
        <w:r w:rsidR="00737FD3">
          <w:rPr>
            <w:noProof/>
            <w:webHidden/>
          </w:rPr>
          <w:fldChar w:fldCharType="end"/>
        </w:r>
      </w:hyperlink>
    </w:p>
    <w:p w14:paraId="0866D642" w14:textId="1885471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51" w:history="1">
        <w:r w:rsidR="00737FD3" w:rsidRPr="006D6639">
          <w:rPr>
            <w:rStyle w:val="Hyperlink"/>
            <w:noProof/>
          </w:rPr>
          <w:t>5.2.1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_Toc43987051 \h </w:instrText>
        </w:r>
        <w:r w:rsidR="00737FD3">
          <w:rPr>
            <w:noProof/>
            <w:webHidden/>
          </w:rPr>
        </w:r>
        <w:r w:rsidR="00737FD3">
          <w:rPr>
            <w:noProof/>
            <w:webHidden/>
          </w:rPr>
          <w:fldChar w:fldCharType="separate"/>
        </w:r>
        <w:r w:rsidR="00561C92">
          <w:rPr>
            <w:noProof/>
            <w:webHidden/>
          </w:rPr>
          <w:t>69</w:t>
        </w:r>
        <w:r w:rsidR="00737FD3">
          <w:rPr>
            <w:noProof/>
            <w:webHidden/>
          </w:rPr>
          <w:fldChar w:fldCharType="end"/>
        </w:r>
      </w:hyperlink>
    </w:p>
    <w:p w14:paraId="6C365BE5" w14:textId="2A8322E0"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52" w:history="1">
        <w:r w:rsidR="00737FD3" w:rsidRPr="006D6639">
          <w:rPr>
            <w:rStyle w:val="Hyperlink"/>
            <w:noProof/>
          </w:rPr>
          <w:t>5.2.2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_Toc43987052 \h </w:instrText>
        </w:r>
        <w:r w:rsidR="00737FD3">
          <w:rPr>
            <w:noProof/>
            <w:webHidden/>
          </w:rPr>
        </w:r>
        <w:r w:rsidR="00737FD3">
          <w:rPr>
            <w:noProof/>
            <w:webHidden/>
          </w:rPr>
          <w:fldChar w:fldCharType="separate"/>
        </w:r>
        <w:r w:rsidR="00561C92">
          <w:rPr>
            <w:noProof/>
            <w:webHidden/>
          </w:rPr>
          <w:t>70</w:t>
        </w:r>
        <w:r w:rsidR="00737FD3">
          <w:rPr>
            <w:noProof/>
            <w:webHidden/>
          </w:rPr>
          <w:fldChar w:fldCharType="end"/>
        </w:r>
      </w:hyperlink>
    </w:p>
    <w:p w14:paraId="7C7049B0" w14:textId="27CC7EF8"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53" w:history="1">
        <w:r w:rsidR="00737FD3" w:rsidRPr="006D6639">
          <w:rPr>
            <w:rStyle w:val="Hyperlink"/>
            <w:noProof/>
          </w:rPr>
          <w:t>5.2.3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_Toc43987053 \h </w:instrText>
        </w:r>
        <w:r w:rsidR="00737FD3">
          <w:rPr>
            <w:noProof/>
            <w:webHidden/>
          </w:rPr>
        </w:r>
        <w:r w:rsidR="00737FD3">
          <w:rPr>
            <w:noProof/>
            <w:webHidden/>
          </w:rPr>
          <w:fldChar w:fldCharType="separate"/>
        </w:r>
        <w:r w:rsidR="00561C92">
          <w:rPr>
            <w:noProof/>
            <w:webHidden/>
          </w:rPr>
          <w:t>74</w:t>
        </w:r>
        <w:r w:rsidR="00737FD3">
          <w:rPr>
            <w:noProof/>
            <w:webHidden/>
          </w:rPr>
          <w:fldChar w:fldCharType="end"/>
        </w:r>
      </w:hyperlink>
    </w:p>
    <w:p w14:paraId="7AC7DB8C" w14:textId="30A5423C"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54" w:history="1">
        <w:r w:rsidR="00737FD3" w:rsidRPr="006D6639">
          <w:rPr>
            <w:rStyle w:val="Hyperlink"/>
            <w:noProof/>
          </w:rPr>
          <w:t>5.2.3.1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_Toc43987054 \h </w:instrText>
        </w:r>
        <w:r w:rsidR="00737FD3">
          <w:rPr>
            <w:noProof/>
            <w:webHidden/>
          </w:rPr>
        </w:r>
        <w:r w:rsidR="00737FD3">
          <w:rPr>
            <w:noProof/>
            <w:webHidden/>
          </w:rPr>
          <w:fldChar w:fldCharType="separate"/>
        </w:r>
        <w:r w:rsidR="00561C92">
          <w:rPr>
            <w:noProof/>
            <w:webHidden/>
          </w:rPr>
          <w:t>74</w:t>
        </w:r>
        <w:r w:rsidR="00737FD3">
          <w:rPr>
            <w:noProof/>
            <w:webHidden/>
          </w:rPr>
          <w:fldChar w:fldCharType="end"/>
        </w:r>
      </w:hyperlink>
    </w:p>
    <w:p w14:paraId="603E7861" w14:textId="1567A347"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55" w:history="1">
        <w:r w:rsidR="00737FD3" w:rsidRPr="006D6639">
          <w:rPr>
            <w:rStyle w:val="Hyperlink"/>
            <w:noProof/>
          </w:rPr>
          <w:t>5.2.3.2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community and extent</w:t>
        </w:r>
        <w:r w:rsidR="00737FD3">
          <w:rPr>
            <w:noProof/>
            <w:webHidden/>
          </w:rPr>
          <w:tab/>
        </w:r>
        <w:r w:rsidR="00737FD3">
          <w:rPr>
            <w:noProof/>
            <w:webHidden/>
          </w:rPr>
          <w:fldChar w:fldCharType="begin"/>
        </w:r>
        <w:r w:rsidR="00737FD3">
          <w:rPr>
            <w:noProof/>
            <w:webHidden/>
          </w:rPr>
          <w:instrText xml:space="preserve"> PAGEREF _Toc43987055 \h </w:instrText>
        </w:r>
        <w:r w:rsidR="00737FD3">
          <w:rPr>
            <w:noProof/>
            <w:webHidden/>
          </w:rPr>
        </w:r>
        <w:r w:rsidR="00737FD3">
          <w:rPr>
            <w:noProof/>
            <w:webHidden/>
          </w:rPr>
          <w:fldChar w:fldCharType="separate"/>
        </w:r>
        <w:r w:rsidR="00561C92">
          <w:rPr>
            <w:noProof/>
            <w:webHidden/>
          </w:rPr>
          <w:t>76</w:t>
        </w:r>
        <w:r w:rsidR="00737FD3">
          <w:rPr>
            <w:noProof/>
            <w:webHidden/>
          </w:rPr>
          <w:fldChar w:fldCharType="end"/>
        </w:r>
      </w:hyperlink>
    </w:p>
    <w:p w14:paraId="579CF814" w14:textId="77BB9D1C"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56" w:history="1">
        <w:r w:rsidR="00737FD3" w:rsidRPr="006D6639">
          <w:rPr>
            <w:rStyle w:val="Hyperlink"/>
            <w:noProof/>
          </w:rPr>
          <w:t>5.2.3.3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_Toc43987056 \h </w:instrText>
        </w:r>
        <w:r w:rsidR="00737FD3">
          <w:rPr>
            <w:noProof/>
            <w:webHidden/>
          </w:rPr>
        </w:r>
        <w:r w:rsidR="00737FD3">
          <w:rPr>
            <w:noProof/>
            <w:webHidden/>
          </w:rPr>
          <w:fldChar w:fldCharType="separate"/>
        </w:r>
        <w:r w:rsidR="00561C92">
          <w:rPr>
            <w:noProof/>
            <w:webHidden/>
          </w:rPr>
          <w:t>80</w:t>
        </w:r>
        <w:r w:rsidR="00737FD3">
          <w:rPr>
            <w:noProof/>
            <w:webHidden/>
          </w:rPr>
          <w:fldChar w:fldCharType="end"/>
        </w:r>
      </w:hyperlink>
    </w:p>
    <w:p w14:paraId="3BE6051C" w14:textId="7B540593"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57" w:history="1">
        <w:r w:rsidR="00737FD3" w:rsidRPr="006D6639">
          <w:rPr>
            <w:rStyle w:val="Hyperlink"/>
            <w:noProof/>
          </w:rPr>
          <w:t>5.2.3.4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_Toc43987057 \h </w:instrText>
        </w:r>
        <w:r w:rsidR="00737FD3">
          <w:rPr>
            <w:noProof/>
            <w:webHidden/>
          </w:rPr>
        </w:r>
        <w:r w:rsidR="00737FD3">
          <w:rPr>
            <w:noProof/>
            <w:webHidden/>
          </w:rPr>
          <w:fldChar w:fldCharType="separate"/>
        </w:r>
        <w:r w:rsidR="00561C92">
          <w:rPr>
            <w:noProof/>
            <w:webHidden/>
          </w:rPr>
          <w:t>81</w:t>
        </w:r>
        <w:r w:rsidR="00737FD3">
          <w:rPr>
            <w:noProof/>
            <w:webHidden/>
          </w:rPr>
          <w:fldChar w:fldCharType="end"/>
        </w:r>
      </w:hyperlink>
    </w:p>
    <w:p w14:paraId="025EE7F4" w14:textId="71E3636C"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58" w:history="1">
        <w:r w:rsidR="00737FD3" w:rsidRPr="006D6639">
          <w:rPr>
            <w:rStyle w:val="Hyperlink"/>
            <w:noProof/>
          </w:rPr>
          <w:t>5.2.3.5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_Toc43987058 \h </w:instrText>
        </w:r>
        <w:r w:rsidR="00737FD3">
          <w:rPr>
            <w:noProof/>
            <w:webHidden/>
          </w:rPr>
        </w:r>
        <w:r w:rsidR="00737FD3">
          <w:rPr>
            <w:noProof/>
            <w:webHidden/>
          </w:rPr>
          <w:fldChar w:fldCharType="separate"/>
        </w:r>
        <w:r w:rsidR="00561C92">
          <w:rPr>
            <w:noProof/>
            <w:webHidden/>
          </w:rPr>
          <w:t>83</w:t>
        </w:r>
        <w:r w:rsidR="00737FD3">
          <w:rPr>
            <w:noProof/>
            <w:webHidden/>
          </w:rPr>
          <w:fldChar w:fldCharType="end"/>
        </w:r>
      </w:hyperlink>
    </w:p>
    <w:p w14:paraId="0DF53AE2" w14:textId="69DC9C33"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59" w:history="1">
        <w:r w:rsidR="00737FD3" w:rsidRPr="006D6639">
          <w:rPr>
            <w:rStyle w:val="Hyperlink"/>
            <w:noProof/>
          </w:rPr>
          <w:t>5.3</w:t>
        </w:r>
        <w:r w:rsidR="00737FD3">
          <w:rPr>
            <w:rFonts w:asciiTheme="minorHAnsi" w:eastAsiaTheme="minorEastAsia" w:hAnsiTheme="minorHAnsi" w:cstheme="minorBidi"/>
            <w:noProof/>
            <w:sz w:val="22"/>
            <w:szCs w:val="22"/>
            <w:lang w:eastAsia="en-AU"/>
          </w:rPr>
          <w:tab/>
        </w:r>
        <w:r w:rsidR="00737FD3" w:rsidRPr="006D6639">
          <w:rPr>
            <w:rStyle w:val="Hyperlink"/>
            <w:noProof/>
          </w:rPr>
          <w:t>Burdekin</w:t>
        </w:r>
        <w:r w:rsidR="00737FD3">
          <w:rPr>
            <w:noProof/>
            <w:webHidden/>
          </w:rPr>
          <w:tab/>
        </w:r>
        <w:r w:rsidR="00737FD3">
          <w:rPr>
            <w:noProof/>
            <w:webHidden/>
          </w:rPr>
          <w:fldChar w:fldCharType="begin"/>
        </w:r>
        <w:r w:rsidR="00737FD3">
          <w:rPr>
            <w:noProof/>
            <w:webHidden/>
          </w:rPr>
          <w:instrText xml:space="preserve"> PAGEREF _Toc43987059 \h </w:instrText>
        </w:r>
        <w:r w:rsidR="00737FD3">
          <w:rPr>
            <w:noProof/>
            <w:webHidden/>
          </w:rPr>
        </w:r>
        <w:r w:rsidR="00737FD3">
          <w:rPr>
            <w:noProof/>
            <w:webHidden/>
          </w:rPr>
          <w:fldChar w:fldCharType="separate"/>
        </w:r>
        <w:r w:rsidR="00561C92">
          <w:rPr>
            <w:noProof/>
            <w:webHidden/>
          </w:rPr>
          <w:t>86</w:t>
        </w:r>
        <w:r w:rsidR="00737FD3">
          <w:rPr>
            <w:noProof/>
            <w:webHidden/>
          </w:rPr>
          <w:fldChar w:fldCharType="end"/>
        </w:r>
      </w:hyperlink>
    </w:p>
    <w:p w14:paraId="13E0AF45" w14:textId="0DC21153"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60" w:history="1">
        <w:r w:rsidR="00737FD3" w:rsidRPr="006D6639">
          <w:rPr>
            <w:rStyle w:val="Hyperlink"/>
            <w:noProof/>
          </w:rPr>
          <w:t>5.3.1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_Toc43987060 \h </w:instrText>
        </w:r>
        <w:r w:rsidR="00737FD3">
          <w:rPr>
            <w:noProof/>
            <w:webHidden/>
          </w:rPr>
        </w:r>
        <w:r w:rsidR="00737FD3">
          <w:rPr>
            <w:noProof/>
            <w:webHidden/>
          </w:rPr>
          <w:fldChar w:fldCharType="separate"/>
        </w:r>
        <w:r w:rsidR="00561C92">
          <w:rPr>
            <w:noProof/>
            <w:webHidden/>
          </w:rPr>
          <w:t>86</w:t>
        </w:r>
        <w:r w:rsidR="00737FD3">
          <w:rPr>
            <w:noProof/>
            <w:webHidden/>
          </w:rPr>
          <w:fldChar w:fldCharType="end"/>
        </w:r>
      </w:hyperlink>
    </w:p>
    <w:p w14:paraId="2DB0B944" w14:textId="6240C05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61" w:history="1">
        <w:r w:rsidR="00737FD3" w:rsidRPr="006D6639">
          <w:rPr>
            <w:rStyle w:val="Hyperlink"/>
            <w:noProof/>
          </w:rPr>
          <w:t>5.3.2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_Toc43987061 \h </w:instrText>
        </w:r>
        <w:r w:rsidR="00737FD3">
          <w:rPr>
            <w:noProof/>
            <w:webHidden/>
          </w:rPr>
        </w:r>
        <w:r w:rsidR="00737FD3">
          <w:rPr>
            <w:noProof/>
            <w:webHidden/>
          </w:rPr>
          <w:fldChar w:fldCharType="separate"/>
        </w:r>
        <w:r w:rsidR="00561C92">
          <w:rPr>
            <w:noProof/>
            <w:webHidden/>
          </w:rPr>
          <w:t>87</w:t>
        </w:r>
        <w:r w:rsidR="00737FD3">
          <w:rPr>
            <w:noProof/>
            <w:webHidden/>
          </w:rPr>
          <w:fldChar w:fldCharType="end"/>
        </w:r>
      </w:hyperlink>
    </w:p>
    <w:p w14:paraId="6FC03F51" w14:textId="40369AAA"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62" w:history="1">
        <w:r w:rsidR="00737FD3" w:rsidRPr="006D6639">
          <w:rPr>
            <w:rStyle w:val="Hyperlink"/>
            <w:noProof/>
          </w:rPr>
          <w:t>5.3.3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_Toc43987062 \h </w:instrText>
        </w:r>
        <w:r w:rsidR="00737FD3">
          <w:rPr>
            <w:noProof/>
            <w:webHidden/>
          </w:rPr>
        </w:r>
        <w:r w:rsidR="00737FD3">
          <w:rPr>
            <w:noProof/>
            <w:webHidden/>
          </w:rPr>
          <w:fldChar w:fldCharType="separate"/>
        </w:r>
        <w:r w:rsidR="00561C92">
          <w:rPr>
            <w:noProof/>
            <w:webHidden/>
          </w:rPr>
          <w:t>89</w:t>
        </w:r>
        <w:r w:rsidR="00737FD3">
          <w:rPr>
            <w:noProof/>
            <w:webHidden/>
          </w:rPr>
          <w:fldChar w:fldCharType="end"/>
        </w:r>
      </w:hyperlink>
    </w:p>
    <w:p w14:paraId="3D49E98E" w14:textId="1C8A9594"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63" w:history="1">
        <w:r w:rsidR="00737FD3" w:rsidRPr="006D6639">
          <w:rPr>
            <w:rStyle w:val="Hyperlink"/>
            <w:noProof/>
          </w:rPr>
          <w:t>5.3.3.1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_Toc43987063 \h </w:instrText>
        </w:r>
        <w:r w:rsidR="00737FD3">
          <w:rPr>
            <w:noProof/>
            <w:webHidden/>
          </w:rPr>
        </w:r>
        <w:r w:rsidR="00737FD3">
          <w:rPr>
            <w:noProof/>
            <w:webHidden/>
          </w:rPr>
          <w:fldChar w:fldCharType="separate"/>
        </w:r>
        <w:r w:rsidR="00561C92">
          <w:rPr>
            <w:noProof/>
            <w:webHidden/>
          </w:rPr>
          <w:t>89</w:t>
        </w:r>
        <w:r w:rsidR="00737FD3">
          <w:rPr>
            <w:noProof/>
            <w:webHidden/>
          </w:rPr>
          <w:fldChar w:fldCharType="end"/>
        </w:r>
      </w:hyperlink>
    </w:p>
    <w:p w14:paraId="5791D26A" w14:textId="6EBEB168"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64" w:history="1">
        <w:r w:rsidR="00737FD3" w:rsidRPr="006D6639">
          <w:rPr>
            <w:rStyle w:val="Hyperlink"/>
            <w:noProof/>
          </w:rPr>
          <w:t>5.3.3.2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_Toc43987064 \h </w:instrText>
        </w:r>
        <w:r w:rsidR="00737FD3">
          <w:rPr>
            <w:noProof/>
            <w:webHidden/>
          </w:rPr>
        </w:r>
        <w:r w:rsidR="00737FD3">
          <w:rPr>
            <w:noProof/>
            <w:webHidden/>
          </w:rPr>
          <w:fldChar w:fldCharType="separate"/>
        </w:r>
        <w:r w:rsidR="00561C92">
          <w:rPr>
            <w:noProof/>
            <w:webHidden/>
          </w:rPr>
          <w:t>90</w:t>
        </w:r>
        <w:r w:rsidR="00737FD3">
          <w:rPr>
            <w:noProof/>
            <w:webHidden/>
          </w:rPr>
          <w:fldChar w:fldCharType="end"/>
        </w:r>
      </w:hyperlink>
    </w:p>
    <w:p w14:paraId="10420095" w14:textId="614326A3"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65" w:history="1">
        <w:r w:rsidR="00737FD3" w:rsidRPr="006D6639">
          <w:rPr>
            <w:rStyle w:val="Hyperlink"/>
            <w:noProof/>
          </w:rPr>
          <w:t>5.3.3.3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_Toc43987065 \h </w:instrText>
        </w:r>
        <w:r w:rsidR="00737FD3">
          <w:rPr>
            <w:noProof/>
            <w:webHidden/>
          </w:rPr>
        </w:r>
        <w:r w:rsidR="00737FD3">
          <w:rPr>
            <w:noProof/>
            <w:webHidden/>
          </w:rPr>
          <w:fldChar w:fldCharType="separate"/>
        </w:r>
        <w:r w:rsidR="00561C92">
          <w:rPr>
            <w:noProof/>
            <w:webHidden/>
          </w:rPr>
          <w:t>92</w:t>
        </w:r>
        <w:r w:rsidR="00737FD3">
          <w:rPr>
            <w:noProof/>
            <w:webHidden/>
          </w:rPr>
          <w:fldChar w:fldCharType="end"/>
        </w:r>
      </w:hyperlink>
    </w:p>
    <w:p w14:paraId="4F1CFFF6" w14:textId="0135E880"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66" w:history="1">
        <w:r w:rsidR="00737FD3" w:rsidRPr="006D6639">
          <w:rPr>
            <w:rStyle w:val="Hyperlink"/>
            <w:noProof/>
          </w:rPr>
          <w:t>5.3.3.4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_Toc43987066 \h </w:instrText>
        </w:r>
        <w:r w:rsidR="00737FD3">
          <w:rPr>
            <w:noProof/>
            <w:webHidden/>
          </w:rPr>
        </w:r>
        <w:r w:rsidR="00737FD3">
          <w:rPr>
            <w:noProof/>
            <w:webHidden/>
          </w:rPr>
          <w:fldChar w:fldCharType="separate"/>
        </w:r>
        <w:r w:rsidR="00561C92">
          <w:rPr>
            <w:noProof/>
            <w:webHidden/>
          </w:rPr>
          <w:t>93</w:t>
        </w:r>
        <w:r w:rsidR="00737FD3">
          <w:rPr>
            <w:noProof/>
            <w:webHidden/>
          </w:rPr>
          <w:fldChar w:fldCharType="end"/>
        </w:r>
      </w:hyperlink>
    </w:p>
    <w:p w14:paraId="2694642C" w14:textId="081BAEC1"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67" w:history="1">
        <w:r w:rsidR="00737FD3" w:rsidRPr="006D6639">
          <w:rPr>
            <w:rStyle w:val="Hyperlink"/>
            <w:noProof/>
          </w:rPr>
          <w:t>5.3.3.5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_Toc43987067 \h </w:instrText>
        </w:r>
        <w:r w:rsidR="00737FD3">
          <w:rPr>
            <w:noProof/>
            <w:webHidden/>
          </w:rPr>
        </w:r>
        <w:r w:rsidR="00737FD3">
          <w:rPr>
            <w:noProof/>
            <w:webHidden/>
          </w:rPr>
          <w:fldChar w:fldCharType="separate"/>
        </w:r>
        <w:r w:rsidR="00561C92">
          <w:rPr>
            <w:noProof/>
            <w:webHidden/>
          </w:rPr>
          <w:t>94</w:t>
        </w:r>
        <w:r w:rsidR="00737FD3">
          <w:rPr>
            <w:noProof/>
            <w:webHidden/>
          </w:rPr>
          <w:fldChar w:fldCharType="end"/>
        </w:r>
      </w:hyperlink>
    </w:p>
    <w:p w14:paraId="25D3C3BA" w14:textId="0FE0B764"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68" w:history="1">
        <w:r w:rsidR="00737FD3" w:rsidRPr="006D6639">
          <w:rPr>
            <w:rStyle w:val="Hyperlink"/>
            <w:noProof/>
          </w:rPr>
          <w:t>5.4</w:t>
        </w:r>
        <w:r w:rsidR="00737FD3">
          <w:rPr>
            <w:rFonts w:asciiTheme="minorHAnsi" w:eastAsiaTheme="minorEastAsia" w:hAnsiTheme="minorHAnsi" w:cstheme="minorBidi"/>
            <w:noProof/>
            <w:sz w:val="22"/>
            <w:szCs w:val="22"/>
            <w:lang w:eastAsia="en-AU"/>
          </w:rPr>
          <w:tab/>
        </w:r>
        <w:r w:rsidR="00737FD3" w:rsidRPr="006D6639">
          <w:rPr>
            <w:rStyle w:val="Hyperlink"/>
            <w:noProof/>
          </w:rPr>
          <w:t>Mackay–Whitsunday</w:t>
        </w:r>
        <w:r w:rsidR="00737FD3">
          <w:rPr>
            <w:noProof/>
            <w:webHidden/>
          </w:rPr>
          <w:tab/>
        </w:r>
        <w:r w:rsidR="00737FD3">
          <w:rPr>
            <w:noProof/>
            <w:webHidden/>
          </w:rPr>
          <w:fldChar w:fldCharType="begin"/>
        </w:r>
        <w:r w:rsidR="00737FD3">
          <w:rPr>
            <w:noProof/>
            <w:webHidden/>
          </w:rPr>
          <w:instrText xml:space="preserve"> PAGEREF _Toc43987068 \h </w:instrText>
        </w:r>
        <w:r w:rsidR="00737FD3">
          <w:rPr>
            <w:noProof/>
            <w:webHidden/>
          </w:rPr>
        </w:r>
        <w:r w:rsidR="00737FD3">
          <w:rPr>
            <w:noProof/>
            <w:webHidden/>
          </w:rPr>
          <w:fldChar w:fldCharType="separate"/>
        </w:r>
        <w:r w:rsidR="00561C92">
          <w:rPr>
            <w:noProof/>
            <w:webHidden/>
          </w:rPr>
          <w:t>96</w:t>
        </w:r>
        <w:r w:rsidR="00737FD3">
          <w:rPr>
            <w:noProof/>
            <w:webHidden/>
          </w:rPr>
          <w:fldChar w:fldCharType="end"/>
        </w:r>
      </w:hyperlink>
    </w:p>
    <w:p w14:paraId="480884F2" w14:textId="459AD254"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69" w:history="1">
        <w:r w:rsidR="00737FD3" w:rsidRPr="006D6639">
          <w:rPr>
            <w:rStyle w:val="Hyperlink"/>
            <w:noProof/>
          </w:rPr>
          <w:t>5.4.1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_Toc43987069 \h </w:instrText>
        </w:r>
        <w:r w:rsidR="00737FD3">
          <w:rPr>
            <w:noProof/>
            <w:webHidden/>
          </w:rPr>
        </w:r>
        <w:r w:rsidR="00737FD3">
          <w:rPr>
            <w:noProof/>
            <w:webHidden/>
          </w:rPr>
          <w:fldChar w:fldCharType="separate"/>
        </w:r>
        <w:r w:rsidR="00561C92">
          <w:rPr>
            <w:noProof/>
            <w:webHidden/>
          </w:rPr>
          <w:t>96</w:t>
        </w:r>
        <w:r w:rsidR="00737FD3">
          <w:rPr>
            <w:noProof/>
            <w:webHidden/>
          </w:rPr>
          <w:fldChar w:fldCharType="end"/>
        </w:r>
      </w:hyperlink>
    </w:p>
    <w:p w14:paraId="09E1119B" w14:textId="7EF21694"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70" w:history="1">
        <w:r w:rsidR="00737FD3" w:rsidRPr="006D6639">
          <w:rPr>
            <w:rStyle w:val="Hyperlink"/>
            <w:noProof/>
          </w:rPr>
          <w:t>5.4.2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_Toc43987070 \h </w:instrText>
        </w:r>
        <w:r w:rsidR="00737FD3">
          <w:rPr>
            <w:noProof/>
            <w:webHidden/>
          </w:rPr>
        </w:r>
        <w:r w:rsidR="00737FD3">
          <w:rPr>
            <w:noProof/>
            <w:webHidden/>
          </w:rPr>
          <w:fldChar w:fldCharType="separate"/>
        </w:r>
        <w:r w:rsidR="00561C92">
          <w:rPr>
            <w:noProof/>
            <w:webHidden/>
          </w:rPr>
          <w:t>97</w:t>
        </w:r>
        <w:r w:rsidR="00737FD3">
          <w:rPr>
            <w:noProof/>
            <w:webHidden/>
          </w:rPr>
          <w:fldChar w:fldCharType="end"/>
        </w:r>
      </w:hyperlink>
    </w:p>
    <w:p w14:paraId="1A6D2B0C" w14:textId="1F1AABCB"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71" w:history="1">
        <w:r w:rsidR="00737FD3" w:rsidRPr="006D6639">
          <w:rPr>
            <w:rStyle w:val="Hyperlink"/>
            <w:noProof/>
          </w:rPr>
          <w:t>5.4.3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_Toc43987071 \h </w:instrText>
        </w:r>
        <w:r w:rsidR="00737FD3">
          <w:rPr>
            <w:noProof/>
            <w:webHidden/>
          </w:rPr>
        </w:r>
        <w:r w:rsidR="00737FD3">
          <w:rPr>
            <w:noProof/>
            <w:webHidden/>
          </w:rPr>
          <w:fldChar w:fldCharType="separate"/>
        </w:r>
        <w:r w:rsidR="00561C92">
          <w:rPr>
            <w:noProof/>
            <w:webHidden/>
          </w:rPr>
          <w:t>99</w:t>
        </w:r>
        <w:r w:rsidR="00737FD3">
          <w:rPr>
            <w:noProof/>
            <w:webHidden/>
          </w:rPr>
          <w:fldChar w:fldCharType="end"/>
        </w:r>
      </w:hyperlink>
    </w:p>
    <w:p w14:paraId="691926A0" w14:textId="1BCA4963"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72" w:history="1">
        <w:r w:rsidR="00737FD3" w:rsidRPr="006D6639">
          <w:rPr>
            <w:rStyle w:val="Hyperlink"/>
            <w:noProof/>
          </w:rPr>
          <w:t>5.4.3.1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_Toc43987072 \h </w:instrText>
        </w:r>
        <w:r w:rsidR="00737FD3">
          <w:rPr>
            <w:noProof/>
            <w:webHidden/>
          </w:rPr>
        </w:r>
        <w:r w:rsidR="00737FD3">
          <w:rPr>
            <w:noProof/>
            <w:webHidden/>
          </w:rPr>
          <w:fldChar w:fldCharType="separate"/>
        </w:r>
        <w:r w:rsidR="00561C92">
          <w:rPr>
            <w:noProof/>
            <w:webHidden/>
          </w:rPr>
          <w:t>99</w:t>
        </w:r>
        <w:r w:rsidR="00737FD3">
          <w:rPr>
            <w:noProof/>
            <w:webHidden/>
          </w:rPr>
          <w:fldChar w:fldCharType="end"/>
        </w:r>
      </w:hyperlink>
    </w:p>
    <w:p w14:paraId="04EBBBF8" w14:textId="32CC6B4F"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73" w:history="1">
        <w:r w:rsidR="00737FD3" w:rsidRPr="006D6639">
          <w:rPr>
            <w:rStyle w:val="Hyperlink"/>
            <w:noProof/>
          </w:rPr>
          <w:t>5.4.3.2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community and extent</w:t>
        </w:r>
        <w:r w:rsidR="00737FD3">
          <w:rPr>
            <w:noProof/>
            <w:webHidden/>
          </w:rPr>
          <w:tab/>
        </w:r>
        <w:r w:rsidR="00737FD3">
          <w:rPr>
            <w:noProof/>
            <w:webHidden/>
          </w:rPr>
          <w:fldChar w:fldCharType="begin"/>
        </w:r>
        <w:r w:rsidR="00737FD3">
          <w:rPr>
            <w:noProof/>
            <w:webHidden/>
          </w:rPr>
          <w:instrText xml:space="preserve"> PAGEREF _Toc43987073 \h </w:instrText>
        </w:r>
        <w:r w:rsidR="00737FD3">
          <w:rPr>
            <w:noProof/>
            <w:webHidden/>
          </w:rPr>
        </w:r>
        <w:r w:rsidR="00737FD3">
          <w:rPr>
            <w:noProof/>
            <w:webHidden/>
          </w:rPr>
          <w:fldChar w:fldCharType="separate"/>
        </w:r>
        <w:r w:rsidR="00561C92">
          <w:rPr>
            <w:noProof/>
            <w:webHidden/>
          </w:rPr>
          <w:t>100</w:t>
        </w:r>
        <w:r w:rsidR="00737FD3">
          <w:rPr>
            <w:noProof/>
            <w:webHidden/>
          </w:rPr>
          <w:fldChar w:fldCharType="end"/>
        </w:r>
      </w:hyperlink>
    </w:p>
    <w:p w14:paraId="6296C586" w14:textId="06BDFAB2"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74" w:history="1">
        <w:r w:rsidR="00737FD3" w:rsidRPr="006D6639">
          <w:rPr>
            <w:rStyle w:val="Hyperlink"/>
            <w:noProof/>
          </w:rPr>
          <w:t>5.4.3.3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_Toc43987074 \h </w:instrText>
        </w:r>
        <w:r w:rsidR="00737FD3">
          <w:rPr>
            <w:noProof/>
            <w:webHidden/>
          </w:rPr>
        </w:r>
        <w:r w:rsidR="00737FD3">
          <w:rPr>
            <w:noProof/>
            <w:webHidden/>
          </w:rPr>
          <w:fldChar w:fldCharType="separate"/>
        </w:r>
        <w:r w:rsidR="00561C92">
          <w:rPr>
            <w:noProof/>
            <w:webHidden/>
          </w:rPr>
          <w:t>102</w:t>
        </w:r>
        <w:r w:rsidR="00737FD3">
          <w:rPr>
            <w:noProof/>
            <w:webHidden/>
          </w:rPr>
          <w:fldChar w:fldCharType="end"/>
        </w:r>
      </w:hyperlink>
    </w:p>
    <w:p w14:paraId="4D249ADE" w14:textId="0305646F"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75" w:history="1">
        <w:r w:rsidR="00737FD3" w:rsidRPr="006D6639">
          <w:rPr>
            <w:rStyle w:val="Hyperlink"/>
            <w:noProof/>
          </w:rPr>
          <w:t>5.4.3.4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_Toc43987075 \h </w:instrText>
        </w:r>
        <w:r w:rsidR="00737FD3">
          <w:rPr>
            <w:noProof/>
            <w:webHidden/>
          </w:rPr>
        </w:r>
        <w:r w:rsidR="00737FD3">
          <w:rPr>
            <w:noProof/>
            <w:webHidden/>
          </w:rPr>
          <w:fldChar w:fldCharType="separate"/>
        </w:r>
        <w:r w:rsidR="00561C92">
          <w:rPr>
            <w:noProof/>
            <w:webHidden/>
          </w:rPr>
          <w:t>103</w:t>
        </w:r>
        <w:r w:rsidR="00737FD3">
          <w:rPr>
            <w:noProof/>
            <w:webHidden/>
          </w:rPr>
          <w:fldChar w:fldCharType="end"/>
        </w:r>
      </w:hyperlink>
    </w:p>
    <w:p w14:paraId="105613CA" w14:textId="107A3C43"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76" w:history="1">
        <w:r w:rsidR="00737FD3" w:rsidRPr="006D6639">
          <w:rPr>
            <w:rStyle w:val="Hyperlink"/>
            <w:noProof/>
          </w:rPr>
          <w:t>5.4.3.5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_Toc43987076 \h </w:instrText>
        </w:r>
        <w:r w:rsidR="00737FD3">
          <w:rPr>
            <w:noProof/>
            <w:webHidden/>
          </w:rPr>
        </w:r>
        <w:r w:rsidR="00737FD3">
          <w:rPr>
            <w:noProof/>
            <w:webHidden/>
          </w:rPr>
          <w:fldChar w:fldCharType="separate"/>
        </w:r>
        <w:r w:rsidR="00561C92">
          <w:rPr>
            <w:noProof/>
            <w:webHidden/>
          </w:rPr>
          <w:t>104</w:t>
        </w:r>
        <w:r w:rsidR="00737FD3">
          <w:rPr>
            <w:noProof/>
            <w:webHidden/>
          </w:rPr>
          <w:fldChar w:fldCharType="end"/>
        </w:r>
      </w:hyperlink>
    </w:p>
    <w:p w14:paraId="5141D764" w14:textId="22E5663D"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77" w:history="1">
        <w:r w:rsidR="00737FD3" w:rsidRPr="006D6639">
          <w:rPr>
            <w:rStyle w:val="Hyperlink"/>
            <w:noProof/>
          </w:rPr>
          <w:t>5.5</w:t>
        </w:r>
        <w:r w:rsidR="00737FD3">
          <w:rPr>
            <w:rFonts w:asciiTheme="minorHAnsi" w:eastAsiaTheme="minorEastAsia" w:hAnsiTheme="minorHAnsi" w:cstheme="minorBidi"/>
            <w:noProof/>
            <w:sz w:val="22"/>
            <w:szCs w:val="22"/>
            <w:lang w:eastAsia="en-AU"/>
          </w:rPr>
          <w:tab/>
        </w:r>
        <w:r w:rsidR="00737FD3" w:rsidRPr="006D6639">
          <w:rPr>
            <w:rStyle w:val="Hyperlink"/>
            <w:noProof/>
          </w:rPr>
          <w:t>Fitzroy</w:t>
        </w:r>
        <w:r w:rsidR="00737FD3">
          <w:rPr>
            <w:noProof/>
            <w:webHidden/>
          </w:rPr>
          <w:tab/>
        </w:r>
        <w:r w:rsidR="00737FD3">
          <w:rPr>
            <w:noProof/>
            <w:webHidden/>
          </w:rPr>
          <w:fldChar w:fldCharType="begin"/>
        </w:r>
        <w:r w:rsidR="00737FD3">
          <w:rPr>
            <w:noProof/>
            <w:webHidden/>
          </w:rPr>
          <w:instrText xml:space="preserve"> PAGEREF _Toc43987077 \h </w:instrText>
        </w:r>
        <w:r w:rsidR="00737FD3">
          <w:rPr>
            <w:noProof/>
            <w:webHidden/>
          </w:rPr>
        </w:r>
        <w:r w:rsidR="00737FD3">
          <w:rPr>
            <w:noProof/>
            <w:webHidden/>
          </w:rPr>
          <w:fldChar w:fldCharType="separate"/>
        </w:r>
        <w:r w:rsidR="00561C92">
          <w:rPr>
            <w:noProof/>
            <w:webHidden/>
          </w:rPr>
          <w:t>106</w:t>
        </w:r>
        <w:r w:rsidR="00737FD3">
          <w:rPr>
            <w:noProof/>
            <w:webHidden/>
          </w:rPr>
          <w:fldChar w:fldCharType="end"/>
        </w:r>
      </w:hyperlink>
    </w:p>
    <w:p w14:paraId="65F0FB35" w14:textId="64899027"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78" w:history="1">
        <w:r w:rsidR="00737FD3" w:rsidRPr="006D6639">
          <w:rPr>
            <w:rStyle w:val="Hyperlink"/>
            <w:noProof/>
          </w:rPr>
          <w:t>5.5.1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_Toc43987078 \h </w:instrText>
        </w:r>
        <w:r w:rsidR="00737FD3">
          <w:rPr>
            <w:noProof/>
            <w:webHidden/>
          </w:rPr>
        </w:r>
        <w:r w:rsidR="00737FD3">
          <w:rPr>
            <w:noProof/>
            <w:webHidden/>
          </w:rPr>
          <w:fldChar w:fldCharType="separate"/>
        </w:r>
        <w:r w:rsidR="00561C92">
          <w:rPr>
            <w:noProof/>
            <w:webHidden/>
          </w:rPr>
          <w:t>106</w:t>
        </w:r>
        <w:r w:rsidR="00737FD3">
          <w:rPr>
            <w:noProof/>
            <w:webHidden/>
          </w:rPr>
          <w:fldChar w:fldCharType="end"/>
        </w:r>
      </w:hyperlink>
    </w:p>
    <w:p w14:paraId="68E1FEF6" w14:textId="088B39D1"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79" w:history="1">
        <w:r w:rsidR="00737FD3" w:rsidRPr="006D6639">
          <w:rPr>
            <w:rStyle w:val="Hyperlink"/>
            <w:noProof/>
          </w:rPr>
          <w:t>5.5.2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_Toc43987079 \h </w:instrText>
        </w:r>
        <w:r w:rsidR="00737FD3">
          <w:rPr>
            <w:noProof/>
            <w:webHidden/>
          </w:rPr>
        </w:r>
        <w:r w:rsidR="00737FD3">
          <w:rPr>
            <w:noProof/>
            <w:webHidden/>
          </w:rPr>
          <w:fldChar w:fldCharType="separate"/>
        </w:r>
        <w:r w:rsidR="00561C92">
          <w:rPr>
            <w:noProof/>
            <w:webHidden/>
          </w:rPr>
          <w:t>107</w:t>
        </w:r>
        <w:r w:rsidR="00737FD3">
          <w:rPr>
            <w:noProof/>
            <w:webHidden/>
          </w:rPr>
          <w:fldChar w:fldCharType="end"/>
        </w:r>
      </w:hyperlink>
    </w:p>
    <w:p w14:paraId="40FF13FC" w14:textId="18DF627E"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80" w:history="1">
        <w:r w:rsidR="00737FD3" w:rsidRPr="006D6639">
          <w:rPr>
            <w:rStyle w:val="Hyperlink"/>
            <w:noProof/>
          </w:rPr>
          <w:t>5.5.3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_Toc43987080 \h </w:instrText>
        </w:r>
        <w:r w:rsidR="00737FD3">
          <w:rPr>
            <w:noProof/>
            <w:webHidden/>
          </w:rPr>
        </w:r>
        <w:r w:rsidR="00737FD3">
          <w:rPr>
            <w:noProof/>
            <w:webHidden/>
          </w:rPr>
          <w:fldChar w:fldCharType="separate"/>
        </w:r>
        <w:r w:rsidR="00561C92">
          <w:rPr>
            <w:noProof/>
            <w:webHidden/>
          </w:rPr>
          <w:t>109</w:t>
        </w:r>
        <w:r w:rsidR="00737FD3">
          <w:rPr>
            <w:noProof/>
            <w:webHidden/>
          </w:rPr>
          <w:fldChar w:fldCharType="end"/>
        </w:r>
      </w:hyperlink>
    </w:p>
    <w:p w14:paraId="14AE849D" w14:textId="037987D6"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81" w:history="1">
        <w:r w:rsidR="00737FD3" w:rsidRPr="006D6639">
          <w:rPr>
            <w:rStyle w:val="Hyperlink"/>
            <w:noProof/>
          </w:rPr>
          <w:t>5.5.3.1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_Toc43987081 \h </w:instrText>
        </w:r>
        <w:r w:rsidR="00737FD3">
          <w:rPr>
            <w:noProof/>
            <w:webHidden/>
          </w:rPr>
        </w:r>
        <w:r w:rsidR="00737FD3">
          <w:rPr>
            <w:noProof/>
            <w:webHidden/>
          </w:rPr>
          <w:fldChar w:fldCharType="separate"/>
        </w:r>
        <w:r w:rsidR="00561C92">
          <w:rPr>
            <w:noProof/>
            <w:webHidden/>
          </w:rPr>
          <w:t>109</w:t>
        </w:r>
        <w:r w:rsidR="00737FD3">
          <w:rPr>
            <w:noProof/>
            <w:webHidden/>
          </w:rPr>
          <w:fldChar w:fldCharType="end"/>
        </w:r>
      </w:hyperlink>
    </w:p>
    <w:p w14:paraId="06223B41" w14:textId="57A9A450"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82" w:history="1">
        <w:r w:rsidR="00737FD3" w:rsidRPr="006D6639">
          <w:rPr>
            <w:rStyle w:val="Hyperlink"/>
            <w:noProof/>
          </w:rPr>
          <w:t>5.5.3.2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_Toc43987082 \h </w:instrText>
        </w:r>
        <w:r w:rsidR="00737FD3">
          <w:rPr>
            <w:noProof/>
            <w:webHidden/>
          </w:rPr>
        </w:r>
        <w:r w:rsidR="00737FD3">
          <w:rPr>
            <w:noProof/>
            <w:webHidden/>
          </w:rPr>
          <w:fldChar w:fldCharType="separate"/>
        </w:r>
        <w:r w:rsidR="00561C92">
          <w:rPr>
            <w:noProof/>
            <w:webHidden/>
          </w:rPr>
          <w:t>110</w:t>
        </w:r>
        <w:r w:rsidR="00737FD3">
          <w:rPr>
            <w:noProof/>
            <w:webHidden/>
          </w:rPr>
          <w:fldChar w:fldCharType="end"/>
        </w:r>
      </w:hyperlink>
    </w:p>
    <w:p w14:paraId="6A47D346" w14:textId="716A3B8C"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83" w:history="1">
        <w:r w:rsidR="00737FD3" w:rsidRPr="006D6639">
          <w:rPr>
            <w:rStyle w:val="Hyperlink"/>
            <w:noProof/>
          </w:rPr>
          <w:t>5.5.3.3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_Toc43987083 \h </w:instrText>
        </w:r>
        <w:r w:rsidR="00737FD3">
          <w:rPr>
            <w:noProof/>
            <w:webHidden/>
          </w:rPr>
        </w:r>
        <w:r w:rsidR="00737FD3">
          <w:rPr>
            <w:noProof/>
            <w:webHidden/>
          </w:rPr>
          <w:fldChar w:fldCharType="separate"/>
        </w:r>
        <w:r w:rsidR="00561C92">
          <w:rPr>
            <w:noProof/>
            <w:webHidden/>
          </w:rPr>
          <w:t>113</w:t>
        </w:r>
        <w:r w:rsidR="00737FD3">
          <w:rPr>
            <w:noProof/>
            <w:webHidden/>
          </w:rPr>
          <w:fldChar w:fldCharType="end"/>
        </w:r>
      </w:hyperlink>
    </w:p>
    <w:p w14:paraId="60811A24" w14:textId="77E1DBBE"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84" w:history="1">
        <w:r w:rsidR="00737FD3" w:rsidRPr="006D6639">
          <w:rPr>
            <w:rStyle w:val="Hyperlink"/>
            <w:noProof/>
          </w:rPr>
          <w:t>5.5.3.4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_Toc43987084 \h </w:instrText>
        </w:r>
        <w:r w:rsidR="00737FD3">
          <w:rPr>
            <w:noProof/>
            <w:webHidden/>
          </w:rPr>
        </w:r>
        <w:r w:rsidR="00737FD3">
          <w:rPr>
            <w:noProof/>
            <w:webHidden/>
          </w:rPr>
          <w:fldChar w:fldCharType="separate"/>
        </w:r>
        <w:r w:rsidR="00561C92">
          <w:rPr>
            <w:noProof/>
            <w:webHidden/>
          </w:rPr>
          <w:t>113</w:t>
        </w:r>
        <w:r w:rsidR="00737FD3">
          <w:rPr>
            <w:noProof/>
            <w:webHidden/>
          </w:rPr>
          <w:fldChar w:fldCharType="end"/>
        </w:r>
      </w:hyperlink>
    </w:p>
    <w:p w14:paraId="53D4BEA1" w14:textId="16263D85"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85" w:history="1">
        <w:r w:rsidR="00737FD3" w:rsidRPr="006D6639">
          <w:rPr>
            <w:rStyle w:val="Hyperlink"/>
            <w:noProof/>
          </w:rPr>
          <w:t>5.5.3.5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_Toc43987085 \h </w:instrText>
        </w:r>
        <w:r w:rsidR="00737FD3">
          <w:rPr>
            <w:noProof/>
            <w:webHidden/>
          </w:rPr>
        </w:r>
        <w:r w:rsidR="00737FD3">
          <w:rPr>
            <w:noProof/>
            <w:webHidden/>
          </w:rPr>
          <w:fldChar w:fldCharType="separate"/>
        </w:r>
        <w:r w:rsidR="00561C92">
          <w:rPr>
            <w:noProof/>
            <w:webHidden/>
          </w:rPr>
          <w:t>114</w:t>
        </w:r>
        <w:r w:rsidR="00737FD3">
          <w:rPr>
            <w:noProof/>
            <w:webHidden/>
          </w:rPr>
          <w:fldChar w:fldCharType="end"/>
        </w:r>
      </w:hyperlink>
    </w:p>
    <w:p w14:paraId="23A20161" w14:textId="0CB4746B"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86" w:history="1">
        <w:r w:rsidR="00737FD3" w:rsidRPr="006D6639">
          <w:rPr>
            <w:rStyle w:val="Hyperlink"/>
            <w:noProof/>
          </w:rPr>
          <w:t>5.6</w:t>
        </w:r>
        <w:r w:rsidR="00737FD3">
          <w:rPr>
            <w:rFonts w:asciiTheme="minorHAnsi" w:eastAsiaTheme="minorEastAsia" w:hAnsiTheme="minorHAnsi" w:cstheme="minorBidi"/>
            <w:noProof/>
            <w:sz w:val="22"/>
            <w:szCs w:val="22"/>
            <w:lang w:eastAsia="en-AU"/>
          </w:rPr>
          <w:tab/>
        </w:r>
        <w:r w:rsidR="00737FD3" w:rsidRPr="006D6639">
          <w:rPr>
            <w:rStyle w:val="Hyperlink"/>
            <w:noProof/>
          </w:rPr>
          <w:t>Burnett–Mary</w:t>
        </w:r>
        <w:r w:rsidR="00737FD3">
          <w:rPr>
            <w:noProof/>
            <w:webHidden/>
          </w:rPr>
          <w:tab/>
        </w:r>
        <w:r w:rsidR="00737FD3">
          <w:rPr>
            <w:noProof/>
            <w:webHidden/>
          </w:rPr>
          <w:fldChar w:fldCharType="begin"/>
        </w:r>
        <w:r w:rsidR="00737FD3">
          <w:rPr>
            <w:noProof/>
            <w:webHidden/>
          </w:rPr>
          <w:instrText xml:space="preserve"> PAGEREF _Toc43987086 \h </w:instrText>
        </w:r>
        <w:r w:rsidR="00737FD3">
          <w:rPr>
            <w:noProof/>
            <w:webHidden/>
          </w:rPr>
        </w:r>
        <w:r w:rsidR="00737FD3">
          <w:rPr>
            <w:noProof/>
            <w:webHidden/>
          </w:rPr>
          <w:fldChar w:fldCharType="separate"/>
        </w:r>
        <w:r w:rsidR="00561C92">
          <w:rPr>
            <w:noProof/>
            <w:webHidden/>
          </w:rPr>
          <w:t>116</w:t>
        </w:r>
        <w:r w:rsidR="00737FD3">
          <w:rPr>
            <w:noProof/>
            <w:webHidden/>
          </w:rPr>
          <w:fldChar w:fldCharType="end"/>
        </w:r>
      </w:hyperlink>
    </w:p>
    <w:p w14:paraId="191BA661" w14:textId="7630885F"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87" w:history="1">
        <w:r w:rsidR="00737FD3" w:rsidRPr="006D6639">
          <w:rPr>
            <w:rStyle w:val="Hyperlink"/>
            <w:noProof/>
          </w:rPr>
          <w:t>5.6.1</w:t>
        </w:r>
        <w:r w:rsidR="00737FD3">
          <w:rPr>
            <w:rFonts w:asciiTheme="minorHAnsi" w:eastAsiaTheme="minorEastAsia" w:hAnsiTheme="minorHAnsi" w:cstheme="minorBidi"/>
            <w:noProof/>
            <w:sz w:val="22"/>
            <w:szCs w:val="22"/>
            <w:lang w:eastAsia="en-AU"/>
          </w:rPr>
          <w:tab/>
        </w:r>
        <w:r w:rsidR="00737FD3" w:rsidRPr="006D6639">
          <w:rPr>
            <w:rStyle w:val="Hyperlink"/>
            <w:noProof/>
          </w:rPr>
          <w:t>2018–19 Summary</w:t>
        </w:r>
        <w:r w:rsidR="00737FD3">
          <w:rPr>
            <w:noProof/>
            <w:webHidden/>
          </w:rPr>
          <w:tab/>
        </w:r>
        <w:r w:rsidR="00737FD3">
          <w:rPr>
            <w:noProof/>
            <w:webHidden/>
          </w:rPr>
          <w:fldChar w:fldCharType="begin"/>
        </w:r>
        <w:r w:rsidR="00737FD3">
          <w:rPr>
            <w:noProof/>
            <w:webHidden/>
          </w:rPr>
          <w:instrText xml:space="preserve"> PAGEREF _Toc43987087 \h </w:instrText>
        </w:r>
        <w:r w:rsidR="00737FD3">
          <w:rPr>
            <w:noProof/>
            <w:webHidden/>
          </w:rPr>
        </w:r>
        <w:r w:rsidR="00737FD3">
          <w:rPr>
            <w:noProof/>
            <w:webHidden/>
          </w:rPr>
          <w:fldChar w:fldCharType="separate"/>
        </w:r>
        <w:r w:rsidR="00561C92">
          <w:rPr>
            <w:noProof/>
            <w:webHidden/>
          </w:rPr>
          <w:t>116</w:t>
        </w:r>
        <w:r w:rsidR="00737FD3">
          <w:rPr>
            <w:noProof/>
            <w:webHidden/>
          </w:rPr>
          <w:fldChar w:fldCharType="end"/>
        </w:r>
      </w:hyperlink>
    </w:p>
    <w:p w14:paraId="54CA9D4C" w14:textId="106125ED"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88" w:history="1">
        <w:r w:rsidR="00737FD3" w:rsidRPr="006D6639">
          <w:rPr>
            <w:rStyle w:val="Hyperlink"/>
            <w:noProof/>
          </w:rPr>
          <w:t>5.6.2</w:t>
        </w:r>
        <w:r w:rsidR="00737FD3">
          <w:rPr>
            <w:rFonts w:asciiTheme="minorHAnsi" w:eastAsiaTheme="minorEastAsia" w:hAnsiTheme="minorHAnsi" w:cstheme="minorBidi"/>
            <w:noProof/>
            <w:sz w:val="22"/>
            <w:szCs w:val="22"/>
            <w:lang w:eastAsia="en-AU"/>
          </w:rPr>
          <w:tab/>
        </w:r>
        <w:r w:rsidR="00737FD3" w:rsidRPr="006D6639">
          <w:rPr>
            <w:rStyle w:val="Hyperlink"/>
            <w:noProof/>
          </w:rPr>
          <w:t>Climate and environmental pressures</w:t>
        </w:r>
        <w:r w:rsidR="00737FD3">
          <w:rPr>
            <w:noProof/>
            <w:webHidden/>
          </w:rPr>
          <w:tab/>
        </w:r>
        <w:r w:rsidR="00737FD3">
          <w:rPr>
            <w:noProof/>
            <w:webHidden/>
          </w:rPr>
          <w:fldChar w:fldCharType="begin"/>
        </w:r>
        <w:r w:rsidR="00737FD3">
          <w:rPr>
            <w:noProof/>
            <w:webHidden/>
          </w:rPr>
          <w:instrText xml:space="preserve"> PAGEREF _Toc43987088 \h </w:instrText>
        </w:r>
        <w:r w:rsidR="00737FD3">
          <w:rPr>
            <w:noProof/>
            <w:webHidden/>
          </w:rPr>
        </w:r>
        <w:r w:rsidR="00737FD3">
          <w:rPr>
            <w:noProof/>
            <w:webHidden/>
          </w:rPr>
          <w:fldChar w:fldCharType="separate"/>
        </w:r>
        <w:r w:rsidR="00561C92">
          <w:rPr>
            <w:noProof/>
            <w:webHidden/>
          </w:rPr>
          <w:t>117</w:t>
        </w:r>
        <w:r w:rsidR="00737FD3">
          <w:rPr>
            <w:noProof/>
            <w:webHidden/>
          </w:rPr>
          <w:fldChar w:fldCharType="end"/>
        </w:r>
      </w:hyperlink>
    </w:p>
    <w:p w14:paraId="7C014013" w14:textId="331096C6" w:rsidR="00737FD3" w:rsidRDefault="00D91B0F">
      <w:pPr>
        <w:pStyle w:val="TOC3"/>
        <w:tabs>
          <w:tab w:val="left" w:pos="1100"/>
          <w:tab w:val="right" w:leader="dot" w:pos="9054"/>
        </w:tabs>
        <w:rPr>
          <w:rFonts w:asciiTheme="minorHAnsi" w:eastAsiaTheme="minorEastAsia" w:hAnsiTheme="minorHAnsi" w:cstheme="minorBidi"/>
          <w:noProof/>
          <w:sz w:val="22"/>
          <w:szCs w:val="22"/>
          <w:lang w:eastAsia="en-AU"/>
        </w:rPr>
      </w:pPr>
      <w:hyperlink w:anchor="_Toc43987089" w:history="1">
        <w:r w:rsidR="00737FD3" w:rsidRPr="006D6639">
          <w:rPr>
            <w:rStyle w:val="Hyperlink"/>
            <w:noProof/>
          </w:rPr>
          <w:t>5.6.3</w:t>
        </w:r>
        <w:r w:rsidR="00737FD3">
          <w:rPr>
            <w:rFonts w:asciiTheme="minorHAnsi" w:eastAsiaTheme="minorEastAsia" w:hAnsiTheme="minorHAnsi" w:cstheme="minorBidi"/>
            <w:noProof/>
            <w:sz w:val="22"/>
            <w:szCs w:val="22"/>
            <w:lang w:eastAsia="en-AU"/>
          </w:rPr>
          <w:tab/>
        </w:r>
        <w:r w:rsidR="00737FD3" w:rsidRPr="006D6639">
          <w:rPr>
            <w:rStyle w:val="Hyperlink"/>
            <w:noProof/>
          </w:rPr>
          <w:t>Inshore seagrass and habitat condition</w:t>
        </w:r>
        <w:r w:rsidR="00737FD3">
          <w:rPr>
            <w:noProof/>
            <w:webHidden/>
          </w:rPr>
          <w:tab/>
        </w:r>
        <w:r w:rsidR="00737FD3">
          <w:rPr>
            <w:noProof/>
            <w:webHidden/>
          </w:rPr>
          <w:fldChar w:fldCharType="begin"/>
        </w:r>
        <w:r w:rsidR="00737FD3">
          <w:rPr>
            <w:noProof/>
            <w:webHidden/>
          </w:rPr>
          <w:instrText xml:space="preserve"> PAGEREF _Toc43987089 \h </w:instrText>
        </w:r>
        <w:r w:rsidR="00737FD3">
          <w:rPr>
            <w:noProof/>
            <w:webHidden/>
          </w:rPr>
        </w:r>
        <w:r w:rsidR="00737FD3">
          <w:rPr>
            <w:noProof/>
            <w:webHidden/>
          </w:rPr>
          <w:fldChar w:fldCharType="separate"/>
        </w:r>
        <w:r w:rsidR="00561C92">
          <w:rPr>
            <w:noProof/>
            <w:webHidden/>
          </w:rPr>
          <w:t>119</w:t>
        </w:r>
        <w:r w:rsidR="00737FD3">
          <w:rPr>
            <w:noProof/>
            <w:webHidden/>
          </w:rPr>
          <w:fldChar w:fldCharType="end"/>
        </w:r>
      </w:hyperlink>
    </w:p>
    <w:p w14:paraId="57042671" w14:textId="40B143D9"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90" w:history="1">
        <w:r w:rsidR="00737FD3" w:rsidRPr="006D6639">
          <w:rPr>
            <w:rStyle w:val="Hyperlink"/>
            <w:noProof/>
          </w:rPr>
          <w:t>5.6.3.1</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index and indicator scores</w:t>
        </w:r>
        <w:r w:rsidR="00737FD3">
          <w:rPr>
            <w:noProof/>
            <w:webHidden/>
          </w:rPr>
          <w:tab/>
        </w:r>
        <w:r w:rsidR="00737FD3">
          <w:rPr>
            <w:noProof/>
            <w:webHidden/>
          </w:rPr>
          <w:fldChar w:fldCharType="begin"/>
        </w:r>
        <w:r w:rsidR="00737FD3">
          <w:rPr>
            <w:noProof/>
            <w:webHidden/>
          </w:rPr>
          <w:instrText xml:space="preserve"> PAGEREF _Toc43987090 \h </w:instrText>
        </w:r>
        <w:r w:rsidR="00737FD3">
          <w:rPr>
            <w:noProof/>
            <w:webHidden/>
          </w:rPr>
        </w:r>
        <w:r w:rsidR="00737FD3">
          <w:rPr>
            <w:noProof/>
            <w:webHidden/>
          </w:rPr>
          <w:fldChar w:fldCharType="separate"/>
        </w:r>
        <w:r w:rsidR="00561C92">
          <w:rPr>
            <w:noProof/>
            <w:webHidden/>
          </w:rPr>
          <w:t>119</w:t>
        </w:r>
        <w:r w:rsidR="00737FD3">
          <w:rPr>
            <w:noProof/>
            <w:webHidden/>
          </w:rPr>
          <w:fldChar w:fldCharType="end"/>
        </w:r>
      </w:hyperlink>
    </w:p>
    <w:p w14:paraId="55439B89" w14:textId="22F7A180"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91" w:history="1">
        <w:r w:rsidR="00737FD3" w:rsidRPr="006D6639">
          <w:rPr>
            <w:rStyle w:val="Hyperlink"/>
            <w:noProof/>
          </w:rPr>
          <w:t>5.6.3.2</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abundance, composition and extent</w:t>
        </w:r>
        <w:r w:rsidR="00737FD3">
          <w:rPr>
            <w:noProof/>
            <w:webHidden/>
          </w:rPr>
          <w:tab/>
        </w:r>
        <w:r w:rsidR="00737FD3">
          <w:rPr>
            <w:noProof/>
            <w:webHidden/>
          </w:rPr>
          <w:fldChar w:fldCharType="begin"/>
        </w:r>
        <w:r w:rsidR="00737FD3">
          <w:rPr>
            <w:noProof/>
            <w:webHidden/>
          </w:rPr>
          <w:instrText xml:space="preserve"> PAGEREF _Toc43987091 \h </w:instrText>
        </w:r>
        <w:r w:rsidR="00737FD3">
          <w:rPr>
            <w:noProof/>
            <w:webHidden/>
          </w:rPr>
        </w:r>
        <w:r w:rsidR="00737FD3">
          <w:rPr>
            <w:noProof/>
            <w:webHidden/>
          </w:rPr>
          <w:fldChar w:fldCharType="separate"/>
        </w:r>
        <w:r w:rsidR="00561C92">
          <w:rPr>
            <w:noProof/>
            <w:webHidden/>
          </w:rPr>
          <w:t>120</w:t>
        </w:r>
        <w:r w:rsidR="00737FD3">
          <w:rPr>
            <w:noProof/>
            <w:webHidden/>
          </w:rPr>
          <w:fldChar w:fldCharType="end"/>
        </w:r>
      </w:hyperlink>
    </w:p>
    <w:p w14:paraId="1DB2B27C" w14:textId="024721F9"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92" w:history="1">
        <w:r w:rsidR="00737FD3" w:rsidRPr="006D6639">
          <w:rPr>
            <w:rStyle w:val="Hyperlink"/>
            <w:noProof/>
          </w:rPr>
          <w:t>5.6.3.3</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reproductive status</w:t>
        </w:r>
        <w:r w:rsidR="00737FD3">
          <w:rPr>
            <w:noProof/>
            <w:webHidden/>
          </w:rPr>
          <w:tab/>
        </w:r>
        <w:r w:rsidR="00737FD3">
          <w:rPr>
            <w:noProof/>
            <w:webHidden/>
          </w:rPr>
          <w:fldChar w:fldCharType="begin"/>
        </w:r>
        <w:r w:rsidR="00737FD3">
          <w:rPr>
            <w:noProof/>
            <w:webHidden/>
          </w:rPr>
          <w:instrText xml:space="preserve"> PAGEREF _Toc43987092 \h </w:instrText>
        </w:r>
        <w:r w:rsidR="00737FD3">
          <w:rPr>
            <w:noProof/>
            <w:webHidden/>
          </w:rPr>
        </w:r>
        <w:r w:rsidR="00737FD3">
          <w:rPr>
            <w:noProof/>
            <w:webHidden/>
          </w:rPr>
          <w:fldChar w:fldCharType="separate"/>
        </w:r>
        <w:r w:rsidR="00561C92">
          <w:rPr>
            <w:noProof/>
            <w:webHidden/>
          </w:rPr>
          <w:t>122</w:t>
        </w:r>
        <w:r w:rsidR="00737FD3">
          <w:rPr>
            <w:noProof/>
            <w:webHidden/>
          </w:rPr>
          <w:fldChar w:fldCharType="end"/>
        </w:r>
      </w:hyperlink>
    </w:p>
    <w:p w14:paraId="6B75FF1C" w14:textId="3A66598C"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93" w:history="1">
        <w:r w:rsidR="00737FD3" w:rsidRPr="006D6639">
          <w:rPr>
            <w:rStyle w:val="Hyperlink"/>
            <w:noProof/>
          </w:rPr>
          <w:t>5.6.3.4</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Seagrass leaf tissue nutrients</w:t>
        </w:r>
        <w:r w:rsidR="00737FD3">
          <w:rPr>
            <w:noProof/>
            <w:webHidden/>
          </w:rPr>
          <w:tab/>
        </w:r>
        <w:r w:rsidR="00737FD3">
          <w:rPr>
            <w:noProof/>
            <w:webHidden/>
          </w:rPr>
          <w:fldChar w:fldCharType="begin"/>
        </w:r>
        <w:r w:rsidR="00737FD3">
          <w:rPr>
            <w:noProof/>
            <w:webHidden/>
          </w:rPr>
          <w:instrText xml:space="preserve"> PAGEREF _Toc43987093 \h </w:instrText>
        </w:r>
        <w:r w:rsidR="00737FD3">
          <w:rPr>
            <w:noProof/>
            <w:webHidden/>
          </w:rPr>
        </w:r>
        <w:r w:rsidR="00737FD3">
          <w:rPr>
            <w:noProof/>
            <w:webHidden/>
          </w:rPr>
          <w:fldChar w:fldCharType="separate"/>
        </w:r>
        <w:r w:rsidR="00561C92">
          <w:rPr>
            <w:noProof/>
            <w:webHidden/>
          </w:rPr>
          <w:t>122</w:t>
        </w:r>
        <w:r w:rsidR="00737FD3">
          <w:rPr>
            <w:noProof/>
            <w:webHidden/>
          </w:rPr>
          <w:fldChar w:fldCharType="end"/>
        </w:r>
      </w:hyperlink>
    </w:p>
    <w:p w14:paraId="28C8BAA0" w14:textId="5FE29A1F" w:rsidR="00737FD3" w:rsidRDefault="00D91B0F">
      <w:pPr>
        <w:pStyle w:val="TOC4"/>
        <w:tabs>
          <w:tab w:val="left" w:pos="1540"/>
          <w:tab w:val="right" w:leader="dot" w:pos="9054"/>
        </w:tabs>
        <w:rPr>
          <w:rFonts w:asciiTheme="minorHAnsi" w:eastAsiaTheme="minorEastAsia" w:hAnsiTheme="minorHAnsi" w:cstheme="minorBidi"/>
          <w:i w:val="0"/>
          <w:noProof/>
          <w:sz w:val="22"/>
          <w:szCs w:val="22"/>
          <w:lang w:eastAsia="en-AU"/>
        </w:rPr>
      </w:pPr>
      <w:hyperlink w:anchor="_Toc43987094" w:history="1">
        <w:r w:rsidR="00737FD3" w:rsidRPr="006D6639">
          <w:rPr>
            <w:rStyle w:val="Hyperlink"/>
            <w:noProof/>
          </w:rPr>
          <w:t>5.6.3.5</w:t>
        </w:r>
        <w:r w:rsidR="00737FD3">
          <w:rPr>
            <w:rFonts w:asciiTheme="minorHAnsi" w:eastAsiaTheme="minorEastAsia" w:hAnsiTheme="minorHAnsi" w:cstheme="minorBidi"/>
            <w:i w:val="0"/>
            <w:noProof/>
            <w:sz w:val="22"/>
            <w:szCs w:val="22"/>
            <w:lang w:eastAsia="en-AU"/>
          </w:rPr>
          <w:tab/>
        </w:r>
        <w:r w:rsidR="00737FD3" w:rsidRPr="006D6639">
          <w:rPr>
            <w:rStyle w:val="Hyperlink"/>
            <w:noProof/>
          </w:rPr>
          <w:t>Epiphytes and macroalgae</w:t>
        </w:r>
        <w:r w:rsidR="00737FD3">
          <w:rPr>
            <w:noProof/>
            <w:webHidden/>
          </w:rPr>
          <w:tab/>
        </w:r>
        <w:r w:rsidR="00737FD3">
          <w:rPr>
            <w:noProof/>
            <w:webHidden/>
          </w:rPr>
          <w:fldChar w:fldCharType="begin"/>
        </w:r>
        <w:r w:rsidR="00737FD3">
          <w:rPr>
            <w:noProof/>
            <w:webHidden/>
          </w:rPr>
          <w:instrText xml:space="preserve"> PAGEREF _Toc43987094 \h </w:instrText>
        </w:r>
        <w:r w:rsidR="00737FD3">
          <w:rPr>
            <w:noProof/>
            <w:webHidden/>
          </w:rPr>
        </w:r>
        <w:r w:rsidR="00737FD3">
          <w:rPr>
            <w:noProof/>
            <w:webHidden/>
          </w:rPr>
          <w:fldChar w:fldCharType="separate"/>
        </w:r>
        <w:r w:rsidR="00561C92">
          <w:rPr>
            <w:noProof/>
            <w:webHidden/>
          </w:rPr>
          <w:t>124</w:t>
        </w:r>
        <w:r w:rsidR="00737FD3">
          <w:rPr>
            <w:noProof/>
            <w:webHidden/>
          </w:rPr>
          <w:fldChar w:fldCharType="end"/>
        </w:r>
      </w:hyperlink>
    </w:p>
    <w:p w14:paraId="37AC63DE" w14:textId="7BCE3AC3"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95" w:history="1">
        <w:r w:rsidR="00737FD3" w:rsidRPr="006D6639">
          <w:rPr>
            <w:rStyle w:val="Hyperlink"/>
            <w:noProof/>
          </w:rPr>
          <w:t>6</w:t>
        </w:r>
        <w:r w:rsidR="00737FD3">
          <w:rPr>
            <w:rFonts w:asciiTheme="minorHAnsi" w:eastAsiaTheme="minorEastAsia" w:hAnsiTheme="minorHAnsi" w:cstheme="minorBidi"/>
            <w:b w:val="0"/>
            <w:noProof/>
            <w:szCs w:val="22"/>
            <w:lang w:eastAsia="en-AU"/>
          </w:rPr>
          <w:tab/>
        </w:r>
        <w:r w:rsidR="00737FD3" w:rsidRPr="006D6639">
          <w:rPr>
            <w:rStyle w:val="Hyperlink"/>
            <w:noProof/>
          </w:rPr>
          <w:t>Discussion</w:t>
        </w:r>
        <w:r w:rsidR="00737FD3">
          <w:rPr>
            <w:noProof/>
            <w:webHidden/>
          </w:rPr>
          <w:tab/>
        </w:r>
        <w:r w:rsidR="00737FD3">
          <w:rPr>
            <w:noProof/>
            <w:webHidden/>
          </w:rPr>
          <w:fldChar w:fldCharType="begin"/>
        </w:r>
        <w:r w:rsidR="00737FD3">
          <w:rPr>
            <w:noProof/>
            <w:webHidden/>
          </w:rPr>
          <w:instrText xml:space="preserve"> PAGEREF _Toc43987095 \h </w:instrText>
        </w:r>
        <w:r w:rsidR="00737FD3">
          <w:rPr>
            <w:noProof/>
            <w:webHidden/>
          </w:rPr>
        </w:r>
        <w:r w:rsidR="00737FD3">
          <w:rPr>
            <w:noProof/>
            <w:webHidden/>
          </w:rPr>
          <w:fldChar w:fldCharType="separate"/>
        </w:r>
        <w:r w:rsidR="00561C92">
          <w:rPr>
            <w:noProof/>
            <w:webHidden/>
          </w:rPr>
          <w:t>125</w:t>
        </w:r>
        <w:r w:rsidR="00737FD3">
          <w:rPr>
            <w:noProof/>
            <w:webHidden/>
          </w:rPr>
          <w:fldChar w:fldCharType="end"/>
        </w:r>
      </w:hyperlink>
    </w:p>
    <w:p w14:paraId="6B800A05" w14:textId="1BB3128F"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96" w:history="1">
        <w:r w:rsidR="00737FD3" w:rsidRPr="006D6639">
          <w:rPr>
            <w:rStyle w:val="Hyperlink"/>
            <w:noProof/>
          </w:rPr>
          <w:t>6.1</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resilience</w:t>
        </w:r>
        <w:r w:rsidR="00737FD3">
          <w:rPr>
            <w:noProof/>
            <w:webHidden/>
          </w:rPr>
          <w:tab/>
        </w:r>
        <w:r w:rsidR="00737FD3">
          <w:rPr>
            <w:noProof/>
            <w:webHidden/>
          </w:rPr>
          <w:fldChar w:fldCharType="begin"/>
        </w:r>
        <w:r w:rsidR="00737FD3">
          <w:rPr>
            <w:noProof/>
            <w:webHidden/>
          </w:rPr>
          <w:instrText xml:space="preserve"> PAGEREF _Toc43987096 \h </w:instrText>
        </w:r>
        <w:r w:rsidR="00737FD3">
          <w:rPr>
            <w:noProof/>
            <w:webHidden/>
          </w:rPr>
        </w:r>
        <w:r w:rsidR="00737FD3">
          <w:rPr>
            <w:noProof/>
            <w:webHidden/>
          </w:rPr>
          <w:fldChar w:fldCharType="separate"/>
        </w:r>
        <w:r w:rsidR="00561C92">
          <w:rPr>
            <w:noProof/>
            <w:webHidden/>
          </w:rPr>
          <w:t>125</w:t>
        </w:r>
        <w:r w:rsidR="00737FD3">
          <w:rPr>
            <w:noProof/>
            <w:webHidden/>
          </w:rPr>
          <w:fldChar w:fldCharType="end"/>
        </w:r>
      </w:hyperlink>
    </w:p>
    <w:p w14:paraId="2A0D61DF" w14:textId="2431B5B6"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97" w:history="1">
        <w:r w:rsidR="00737FD3" w:rsidRPr="006D6639">
          <w:rPr>
            <w:rStyle w:val="Hyperlink"/>
            <w:noProof/>
          </w:rPr>
          <w:t>6.2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ecosystem service provisioning</w:t>
        </w:r>
        <w:r w:rsidR="00737FD3">
          <w:rPr>
            <w:noProof/>
            <w:webHidden/>
          </w:rPr>
          <w:tab/>
        </w:r>
        <w:r w:rsidR="00737FD3">
          <w:rPr>
            <w:noProof/>
            <w:webHidden/>
          </w:rPr>
          <w:fldChar w:fldCharType="begin"/>
        </w:r>
        <w:r w:rsidR="00737FD3">
          <w:rPr>
            <w:noProof/>
            <w:webHidden/>
          </w:rPr>
          <w:instrText xml:space="preserve"> PAGEREF _Toc43987097 \h </w:instrText>
        </w:r>
        <w:r w:rsidR="00737FD3">
          <w:rPr>
            <w:noProof/>
            <w:webHidden/>
          </w:rPr>
        </w:r>
        <w:r w:rsidR="00737FD3">
          <w:rPr>
            <w:noProof/>
            <w:webHidden/>
          </w:rPr>
          <w:fldChar w:fldCharType="separate"/>
        </w:r>
        <w:r w:rsidR="00561C92">
          <w:rPr>
            <w:noProof/>
            <w:webHidden/>
          </w:rPr>
          <w:t>125</w:t>
        </w:r>
        <w:r w:rsidR="00737FD3">
          <w:rPr>
            <w:noProof/>
            <w:webHidden/>
          </w:rPr>
          <w:fldChar w:fldCharType="end"/>
        </w:r>
      </w:hyperlink>
    </w:p>
    <w:p w14:paraId="5E706BD2" w14:textId="1EA89D6F"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098" w:history="1">
        <w:r w:rsidR="00737FD3" w:rsidRPr="006D6639">
          <w:rPr>
            <w:rStyle w:val="Hyperlink"/>
            <w:noProof/>
          </w:rPr>
          <w:t>6.3</w:t>
        </w:r>
        <w:r w:rsidR="00737FD3">
          <w:rPr>
            <w:rFonts w:asciiTheme="minorHAnsi" w:eastAsiaTheme="minorEastAsia" w:hAnsiTheme="minorHAnsi" w:cstheme="minorBidi"/>
            <w:noProof/>
            <w:sz w:val="22"/>
            <w:szCs w:val="22"/>
            <w:lang w:eastAsia="en-AU"/>
          </w:rPr>
          <w:tab/>
        </w:r>
        <w:r w:rsidR="00737FD3" w:rsidRPr="006D6639">
          <w:rPr>
            <w:rStyle w:val="Hyperlink"/>
            <w:noProof/>
          </w:rPr>
          <w:t>Emerging priorities for management</w:t>
        </w:r>
        <w:r w:rsidR="00737FD3">
          <w:rPr>
            <w:noProof/>
            <w:webHidden/>
          </w:rPr>
          <w:tab/>
        </w:r>
        <w:r w:rsidR="00737FD3">
          <w:rPr>
            <w:noProof/>
            <w:webHidden/>
          </w:rPr>
          <w:fldChar w:fldCharType="begin"/>
        </w:r>
        <w:r w:rsidR="00737FD3">
          <w:rPr>
            <w:noProof/>
            <w:webHidden/>
          </w:rPr>
          <w:instrText xml:space="preserve"> PAGEREF _Toc43987098 \h </w:instrText>
        </w:r>
        <w:r w:rsidR="00737FD3">
          <w:rPr>
            <w:noProof/>
            <w:webHidden/>
          </w:rPr>
        </w:r>
        <w:r w:rsidR="00737FD3">
          <w:rPr>
            <w:noProof/>
            <w:webHidden/>
          </w:rPr>
          <w:fldChar w:fldCharType="separate"/>
        </w:r>
        <w:r w:rsidR="00561C92">
          <w:rPr>
            <w:noProof/>
            <w:webHidden/>
          </w:rPr>
          <w:t>126</w:t>
        </w:r>
        <w:r w:rsidR="00737FD3">
          <w:rPr>
            <w:noProof/>
            <w:webHidden/>
          </w:rPr>
          <w:fldChar w:fldCharType="end"/>
        </w:r>
      </w:hyperlink>
    </w:p>
    <w:p w14:paraId="19E53FE4" w14:textId="58C25BCD"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099" w:history="1">
        <w:r w:rsidR="00737FD3" w:rsidRPr="006D6639">
          <w:rPr>
            <w:rStyle w:val="Hyperlink"/>
            <w:noProof/>
          </w:rPr>
          <w:t>7</w:t>
        </w:r>
        <w:r w:rsidR="00737FD3">
          <w:rPr>
            <w:rFonts w:asciiTheme="minorHAnsi" w:eastAsiaTheme="minorEastAsia" w:hAnsiTheme="minorHAnsi" w:cstheme="minorBidi"/>
            <w:b w:val="0"/>
            <w:noProof/>
            <w:szCs w:val="22"/>
            <w:lang w:eastAsia="en-AU"/>
          </w:rPr>
          <w:tab/>
        </w:r>
        <w:r w:rsidR="00737FD3" w:rsidRPr="006D6639">
          <w:rPr>
            <w:rStyle w:val="Hyperlink"/>
            <w:noProof/>
          </w:rPr>
          <w:t>Conclusion</w:t>
        </w:r>
        <w:r w:rsidR="00737FD3">
          <w:rPr>
            <w:noProof/>
            <w:webHidden/>
          </w:rPr>
          <w:tab/>
        </w:r>
        <w:r w:rsidR="00737FD3">
          <w:rPr>
            <w:noProof/>
            <w:webHidden/>
          </w:rPr>
          <w:fldChar w:fldCharType="begin"/>
        </w:r>
        <w:r w:rsidR="00737FD3">
          <w:rPr>
            <w:noProof/>
            <w:webHidden/>
          </w:rPr>
          <w:instrText xml:space="preserve"> PAGEREF _Toc43987099 \h </w:instrText>
        </w:r>
        <w:r w:rsidR="00737FD3">
          <w:rPr>
            <w:noProof/>
            <w:webHidden/>
          </w:rPr>
        </w:r>
        <w:r w:rsidR="00737FD3">
          <w:rPr>
            <w:noProof/>
            <w:webHidden/>
          </w:rPr>
          <w:fldChar w:fldCharType="separate"/>
        </w:r>
        <w:r w:rsidR="00561C92">
          <w:rPr>
            <w:noProof/>
            <w:webHidden/>
          </w:rPr>
          <w:t>128</w:t>
        </w:r>
        <w:r w:rsidR="00737FD3">
          <w:rPr>
            <w:noProof/>
            <w:webHidden/>
          </w:rPr>
          <w:fldChar w:fldCharType="end"/>
        </w:r>
      </w:hyperlink>
    </w:p>
    <w:p w14:paraId="0AD0D730" w14:textId="73FC16B2" w:rsidR="00737FD3" w:rsidRDefault="00D91B0F">
      <w:pPr>
        <w:pStyle w:val="TOC1"/>
        <w:tabs>
          <w:tab w:val="left" w:pos="442"/>
        </w:tabs>
        <w:rPr>
          <w:rFonts w:asciiTheme="minorHAnsi" w:eastAsiaTheme="minorEastAsia" w:hAnsiTheme="minorHAnsi" w:cstheme="minorBidi"/>
          <w:b w:val="0"/>
          <w:noProof/>
          <w:szCs w:val="22"/>
          <w:lang w:eastAsia="en-AU"/>
        </w:rPr>
      </w:pPr>
      <w:hyperlink w:anchor="_Toc43987100" w:history="1">
        <w:r w:rsidR="00737FD3" w:rsidRPr="006D6639">
          <w:rPr>
            <w:rStyle w:val="Hyperlink"/>
            <w:noProof/>
          </w:rPr>
          <w:t>8</w:t>
        </w:r>
        <w:r w:rsidR="00737FD3">
          <w:rPr>
            <w:rFonts w:asciiTheme="minorHAnsi" w:eastAsiaTheme="minorEastAsia" w:hAnsiTheme="minorHAnsi" w:cstheme="minorBidi"/>
            <w:b w:val="0"/>
            <w:noProof/>
            <w:szCs w:val="22"/>
            <w:lang w:eastAsia="en-AU"/>
          </w:rPr>
          <w:tab/>
        </w:r>
        <w:r w:rsidR="00737FD3" w:rsidRPr="006D6639">
          <w:rPr>
            <w:rStyle w:val="Hyperlink"/>
            <w:noProof/>
          </w:rPr>
          <w:t>References</w:t>
        </w:r>
        <w:r w:rsidR="00737FD3">
          <w:rPr>
            <w:noProof/>
            <w:webHidden/>
          </w:rPr>
          <w:tab/>
        </w:r>
        <w:r w:rsidR="00737FD3">
          <w:rPr>
            <w:noProof/>
            <w:webHidden/>
          </w:rPr>
          <w:fldChar w:fldCharType="begin"/>
        </w:r>
        <w:r w:rsidR="00737FD3">
          <w:rPr>
            <w:noProof/>
            <w:webHidden/>
          </w:rPr>
          <w:instrText xml:space="preserve"> PAGEREF _Toc43987100 \h </w:instrText>
        </w:r>
        <w:r w:rsidR="00737FD3">
          <w:rPr>
            <w:noProof/>
            <w:webHidden/>
          </w:rPr>
        </w:r>
        <w:r w:rsidR="00737FD3">
          <w:rPr>
            <w:noProof/>
            <w:webHidden/>
          </w:rPr>
          <w:fldChar w:fldCharType="separate"/>
        </w:r>
        <w:r w:rsidR="00561C92">
          <w:rPr>
            <w:noProof/>
            <w:webHidden/>
          </w:rPr>
          <w:t>131</w:t>
        </w:r>
        <w:r w:rsidR="00737FD3">
          <w:rPr>
            <w:noProof/>
            <w:webHidden/>
          </w:rPr>
          <w:fldChar w:fldCharType="end"/>
        </w:r>
      </w:hyperlink>
    </w:p>
    <w:p w14:paraId="08DBF940" w14:textId="4E865D82" w:rsidR="00737FD3" w:rsidRDefault="00D91B0F">
      <w:pPr>
        <w:pStyle w:val="TOC1"/>
        <w:tabs>
          <w:tab w:val="left" w:pos="1540"/>
        </w:tabs>
        <w:rPr>
          <w:rFonts w:asciiTheme="minorHAnsi" w:eastAsiaTheme="minorEastAsia" w:hAnsiTheme="minorHAnsi" w:cstheme="minorBidi"/>
          <w:b w:val="0"/>
          <w:noProof/>
          <w:szCs w:val="22"/>
          <w:lang w:eastAsia="en-AU"/>
        </w:rPr>
      </w:pPr>
      <w:hyperlink w:anchor="_Toc43987101" w:history="1">
        <w:r w:rsidR="00737FD3" w:rsidRPr="006D6639">
          <w:rPr>
            <w:rStyle w:val="Hyperlink"/>
            <w:rFonts w:ascii="Century Gothic" w:hAnsi="Century Gothic"/>
            <w:noProof/>
          </w:rPr>
          <w:t>Appendix 1</w:t>
        </w:r>
        <w:r w:rsidR="00737FD3">
          <w:rPr>
            <w:rFonts w:asciiTheme="minorHAnsi" w:eastAsiaTheme="minorEastAsia" w:hAnsiTheme="minorHAnsi" w:cstheme="minorBidi"/>
            <w:b w:val="0"/>
            <w:noProof/>
            <w:szCs w:val="22"/>
            <w:lang w:eastAsia="en-AU"/>
          </w:rPr>
          <w:tab/>
        </w:r>
        <w:r w:rsidR="00737FD3" w:rsidRPr="006D6639">
          <w:rPr>
            <w:rStyle w:val="Hyperlink"/>
            <w:noProof/>
          </w:rPr>
          <w:t>Case study</w:t>
        </w:r>
        <w:r w:rsidR="00737FD3">
          <w:rPr>
            <w:noProof/>
            <w:webHidden/>
          </w:rPr>
          <w:tab/>
        </w:r>
        <w:r w:rsidR="00737FD3">
          <w:rPr>
            <w:noProof/>
            <w:webHidden/>
          </w:rPr>
          <w:fldChar w:fldCharType="begin"/>
        </w:r>
        <w:r w:rsidR="00737FD3">
          <w:rPr>
            <w:noProof/>
            <w:webHidden/>
          </w:rPr>
          <w:instrText xml:space="preserve"> PAGEREF _Toc43987101 \h </w:instrText>
        </w:r>
        <w:r w:rsidR="00737FD3">
          <w:rPr>
            <w:noProof/>
            <w:webHidden/>
          </w:rPr>
        </w:r>
        <w:r w:rsidR="00737FD3">
          <w:rPr>
            <w:noProof/>
            <w:webHidden/>
          </w:rPr>
          <w:fldChar w:fldCharType="separate"/>
        </w:r>
        <w:r w:rsidR="00561C92">
          <w:rPr>
            <w:noProof/>
            <w:webHidden/>
          </w:rPr>
          <w:t>141</w:t>
        </w:r>
        <w:r w:rsidR="00737FD3">
          <w:rPr>
            <w:noProof/>
            <w:webHidden/>
          </w:rPr>
          <w:fldChar w:fldCharType="end"/>
        </w:r>
      </w:hyperlink>
    </w:p>
    <w:p w14:paraId="79F5B130" w14:textId="17C63798" w:rsidR="00737FD3" w:rsidRDefault="00D91B0F">
      <w:pPr>
        <w:pStyle w:val="TOC2"/>
        <w:tabs>
          <w:tab w:val="right" w:leader="dot" w:pos="9054"/>
        </w:tabs>
        <w:rPr>
          <w:rFonts w:asciiTheme="minorHAnsi" w:eastAsiaTheme="minorEastAsia" w:hAnsiTheme="minorHAnsi" w:cstheme="minorBidi"/>
          <w:noProof/>
          <w:sz w:val="22"/>
          <w:szCs w:val="22"/>
          <w:lang w:eastAsia="en-AU"/>
        </w:rPr>
      </w:pPr>
      <w:hyperlink w:anchor="_Toc43987102" w:history="1">
        <w:r w:rsidR="00737FD3" w:rsidRPr="006D6639">
          <w:rPr>
            <w:rStyle w:val="Hyperlink"/>
            <w:noProof/>
          </w:rPr>
          <w:t>Leaf tissue nutrient C:N ratio in relation to water quality: Model assessment and implications for report card metrics</w:t>
        </w:r>
        <w:r w:rsidR="00737FD3">
          <w:rPr>
            <w:noProof/>
            <w:webHidden/>
          </w:rPr>
          <w:tab/>
        </w:r>
        <w:r w:rsidR="00737FD3">
          <w:rPr>
            <w:noProof/>
            <w:webHidden/>
          </w:rPr>
          <w:fldChar w:fldCharType="begin"/>
        </w:r>
        <w:r w:rsidR="00737FD3">
          <w:rPr>
            <w:noProof/>
            <w:webHidden/>
          </w:rPr>
          <w:instrText xml:space="preserve"> PAGEREF _Toc43987102 \h </w:instrText>
        </w:r>
        <w:r w:rsidR="00737FD3">
          <w:rPr>
            <w:noProof/>
            <w:webHidden/>
          </w:rPr>
        </w:r>
        <w:r w:rsidR="00737FD3">
          <w:rPr>
            <w:noProof/>
            <w:webHidden/>
          </w:rPr>
          <w:fldChar w:fldCharType="separate"/>
        </w:r>
        <w:r w:rsidR="00561C92">
          <w:rPr>
            <w:noProof/>
            <w:webHidden/>
          </w:rPr>
          <w:t>142</w:t>
        </w:r>
        <w:r w:rsidR="00737FD3">
          <w:rPr>
            <w:noProof/>
            <w:webHidden/>
          </w:rPr>
          <w:fldChar w:fldCharType="end"/>
        </w:r>
      </w:hyperlink>
    </w:p>
    <w:p w14:paraId="619B6D54" w14:textId="6E2AC859"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03" w:history="1">
        <w:r w:rsidR="00737FD3" w:rsidRPr="006D6639">
          <w:rPr>
            <w:rStyle w:val="Hyperlink"/>
            <w:noProof/>
          </w:rPr>
          <w:t>Executive summary</w:t>
        </w:r>
        <w:r w:rsidR="00737FD3">
          <w:rPr>
            <w:noProof/>
            <w:webHidden/>
          </w:rPr>
          <w:tab/>
        </w:r>
        <w:r w:rsidR="00737FD3">
          <w:rPr>
            <w:noProof/>
            <w:webHidden/>
          </w:rPr>
          <w:fldChar w:fldCharType="begin"/>
        </w:r>
        <w:r w:rsidR="00737FD3">
          <w:rPr>
            <w:noProof/>
            <w:webHidden/>
          </w:rPr>
          <w:instrText xml:space="preserve"> PAGEREF _Toc43987103 \h </w:instrText>
        </w:r>
        <w:r w:rsidR="00737FD3">
          <w:rPr>
            <w:noProof/>
            <w:webHidden/>
          </w:rPr>
        </w:r>
        <w:r w:rsidR="00737FD3">
          <w:rPr>
            <w:noProof/>
            <w:webHidden/>
          </w:rPr>
          <w:fldChar w:fldCharType="separate"/>
        </w:r>
        <w:r w:rsidR="00561C92">
          <w:rPr>
            <w:noProof/>
            <w:webHidden/>
          </w:rPr>
          <w:t>142</w:t>
        </w:r>
        <w:r w:rsidR="00737FD3">
          <w:rPr>
            <w:noProof/>
            <w:webHidden/>
          </w:rPr>
          <w:fldChar w:fldCharType="end"/>
        </w:r>
      </w:hyperlink>
    </w:p>
    <w:p w14:paraId="22BE2920" w14:textId="105839CE"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04" w:history="1">
        <w:r w:rsidR="00737FD3" w:rsidRPr="006D6639">
          <w:rPr>
            <w:rStyle w:val="Hyperlink"/>
            <w:noProof/>
          </w:rPr>
          <w:t>Introduction</w:t>
        </w:r>
        <w:r w:rsidR="00737FD3">
          <w:rPr>
            <w:noProof/>
            <w:webHidden/>
          </w:rPr>
          <w:tab/>
        </w:r>
        <w:r w:rsidR="00737FD3">
          <w:rPr>
            <w:noProof/>
            <w:webHidden/>
          </w:rPr>
          <w:fldChar w:fldCharType="begin"/>
        </w:r>
        <w:r w:rsidR="00737FD3">
          <w:rPr>
            <w:noProof/>
            <w:webHidden/>
          </w:rPr>
          <w:instrText xml:space="preserve"> PAGEREF _Toc43987104 \h </w:instrText>
        </w:r>
        <w:r w:rsidR="00737FD3">
          <w:rPr>
            <w:noProof/>
            <w:webHidden/>
          </w:rPr>
        </w:r>
        <w:r w:rsidR="00737FD3">
          <w:rPr>
            <w:noProof/>
            <w:webHidden/>
          </w:rPr>
          <w:fldChar w:fldCharType="separate"/>
        </w:r>
        <w:r w:rsidR="00561C92">
          <w:rPr>
            <w:noProof/>
            <w:webHidden/>
          </w:rPr>
          <w:t>143</w:t>
        </w:r>
        <w:r w:rsidR="00737FD3">
          <w:rPr>
            <w:noProof/>
            <w:webHidden/>
          </w:rPr>
          <w:fldChar w:fldCharType="end"/>
        </w:r>
      </w:hyperlink>
    </w:p>
    <w:p w14:paraId="743C82E5" w14:textId="79A4E63E"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05" w:history="1">
        <w:r w:rsidR="00737FD3" w:rsidRPr="006D6639">
          <w:rPr>
            <w:rStyle w:val="Hyperlink"/>
            <w:noProof/>
          </w:rPr>
          <w:t>Methods</w:t>
        </w:r>
        <w:r w:rsidR="00737FD3">
          <w:rPr>
            <w:noProof/>
            <w:webHidden/>
          </w:rPr>
          <w:tab/>
        </w:r>
        <w:r w:rsidR="00737FD3">
          <w:rPr>
            <w:noProof/>
            <w:webHidden/>
          </w:rPr>
          <w:fldChar w:fldCharType="begin"/>
        </w:r>
        <w:r w:rsidR="00737FD3">
          <w:rPr>
            <w:noProof/>
            <w:webHidden/>
          </w:rPr>
          <w:instrText xml:space="preserve"> PAGEREF _Toc43987105 \h </w:instrText>
        </w:r>
        <w:r w:rsidR="00737FD3">
          <w:rPr>
            <w:noProof/>
            <w:webHidden/>
          </w:rPr>
        </w:r>
        <w:r w:rsidR="00737FD3">
          <w:rPr>
            <w:noProof/>
            <w:webHidden/>
          </w:rPr>
          <w:fldChar w:fldCharType="separate"/>
        </w:r>
        <w:r w:rsidR="00561C92">
          <w:rPr>
            <w:noProof/>
            <w:webHidden/>
          </w:rPr>
          <w:t>144</w:t>
        </w:r>
        <w:r w:rsidR="00737FD3">
          <w:rPr>
            <w:noProof/>
            <w:webHidden/>
          </w:rPr>
          <w:fldChar w:fldCharType="end"/>
        </w:r>
      </w:hyperlink>
    </w:p>
    <w:p w14:paraId="507675F7" w14:textId="4049ED78"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06" w:history="1">
        <w:r w:rsidR="00737FD3" w:rsidRPr="006D6639">
          <w:rPr>
            <w:rStyle w:val="Hyperlink"/>
            <w:noProof/>
          </w:rPr>
          <w:t>Data variables and availability</w:t>
        </w:r>
        <w:r w:rsidR="00737FD3">
          <w:rPr>
            <w:noProof/>
            <w:webHidden/>
          </w:rPr>
          <w:tab/>
        </w:r>
        <w:r w:rsidR="00737FD3">
          <w:rPr>
            <w:noProof/>
            <w:webHidden/>
          </w:rPr>
          <w:fldChar w:fldCharType="begin"/>
        </w:r>
        <w:r w:rsidR="00737FD3">
          <w:rPr>
            <w:noProof/>
            <w:webHidden/>
          </w:rPr>
          <w:instrText xml:space="preserve"> PAGEREF _Toc43987106 \h </w:instrText>
        </w:r>
        <w:r w:rsidR="00737FD3">
          <w:rPr>
            <w:noProof/>
            <w:webHidden/>
          </w:rPr>
        </w:r>
        <w:r w:rsidR="00737FD3">
          <w:rPr>
            <w:noProof/>
            <w:webHidden/>
          </w:rPr>
          <w:fldChar w:fldCharType="separate"/>
        </w:r>
        <w:r w:rsidR="00561C92">
          <w:rPr>
            <w:noProof/>
            <w:webHidden/>
          </w:rPr>
          <w:t>144</w:t>
        </w:r>
        <w:r w:rsidR="00737FD3">
          <w:rPr>
            <w:noProof/>
            <w:webHidden/>
          </w:rPr>
          <w:fldChar w:fldCharType="end"/>
        </w:r>
      </w:hyperlink>
    </w:p>
    <w:p w14:paraId="6B98586C" w14:textId="6690B76B"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07" w:history="1">
        <w:r w:rsidR="00737FD3" w:rsidRPr="006D6639">
          <w:rPr>
            <w:rStyle w:val="Hyperlink"/>
            <w:noProof/>
          </w:rPr>
          <w:t>In situ water quality</w:t>
        </w:r>
        <w:r w:rsidR="00737FD3">
          <w:rPr>
            <w:noProof/>
            <w:webHidden/>
          </w:rPr>
          <w:tab/>
        </w:r>
        <w:r w:rsidR="00737FD3">
          <w:rPr>
            <w:noProof/>
            <w:webHidden/>
          </w:rPr>
          <w:fldChar w:fldCharType="begin"/>
        </w:r>
        <w:r w:rsidR="00737FD3">
          <w:rPr>
            <w:noProof/>
            <w:webHidden/>
          </w:rPr>
          <w:instrText xml:space="preserve"> PAGEREF _Toc43987107 \h </w:instrText>
        </w:r>
        <w:r w:rsidR="00737FD3">
          <w:rPr>
            <w:noProof/>
            <w:webHidden/>
          </w:rPr>
        </w:r>
        <w:r w:rsidR="00737FD3">
          <w:rPr>
            <w:noProof/>
            <w:webHidden/>
          </w:rPr>
          <w:fldChar w:fldCharType="separate"/>
        </w:r>
        <w:r w:rsidR="00561C92">
          <w:rPr>
            <w:noProof/>
            <w:webHidden/>
          </w:rPr>
          <w:t>145</w:t>
        </w:r>
        <w:r w:rsidR="00737FD3">
          <w:rPr>
            <w:noProof/>
            <w:webHidden/>
          </w:rPr>
          <w:fldChar w:fldCharType="end"/>
        </w:r>
      </w:hyperlink>
    </w:p>
    <w:p w14:paraId="4E852351" w14:textId="37D28DC7"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08" w:history="1">
        <w:r w:rsidR="00737FD3" w:rsidRPr="006D6639">
          <w:rPr>
            <w:rStyle w:val="Hyperlink"/>
            <w:noProof/>
          </w:rPr>
          <w:t>Statistical analysis</w:t>
        </w:r>
        <w:r w:rsidR="00737FD3">
          <w:rPr>
            <w:noProof/>
            <w:webHidden/>
          </w:rPr>
          <w:tab/>
        </w:r>
        <w:r w:rsidR="00737FD3">
          <w:rPr>
            <w:noProof/>
            <w:webHidden/>
          </w:rPr>
          <w:fldChar w:fldCharType="begin"/>
        </w:r>
        <w:r w:rsidR="00737FD3">
          <w:rPr>
            <w:noProof/>
            <w:webHidden/>
          </w:rPr>
          <w:instrText xml:space="preserve"> PAGEREF _Toc43987108 \h </w:instrText>
        </w:r>
        <w:r w:rsidR="00737FD3">
          <w:rPr>
            <w:noProof/>
            <w:webHidden/>
          </w:rPr>
        </w:r>
        <w:r w:rsidR="00737FD3">
          <w:rPr>
            <w:noProof/>
            <w:webHidden/>
          </w:rPr>
          <w:fldChar w:fldCharType="separate"/>
        </w:r>
        <w:r w:rsidR="00561C92">
          <w:rPr>
            <w:noProof/>
            <w:webHidden/>
          </w:rPr>
          <w:t>148</w:t>
        </w:r>
        <w:r w:rsidR="00737FD3">
          <w:rPr>
            <w:noProof/>
            <w:webHidden/>
          </w:rPr>
          <w:fldChar w:fldCharType="end"/>
        </w:r>
      </w:hyperlink>
    </w:p>
    <w:p w14:paraId="64A8AC78" w14:textId="680AD46F"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09" w:history="1">
        <w:r w:rsidR="00737FD3" w:rsidRPr="006D6639">
          <w:rPr>
            <w:rStyle w:val="Hyperlink"/>
            <w:rFonts w:cstheme="minorHAnsi"/>
            <w:noProof/>
          </w:rPr>
          <w:t>Results</w:t>
        </w:r>
        <w:r w:rsidR="00737FD3">
          <w:rPr>
            <w:noProof/>
            <w:webHidden/>
          </w:rPr>
          <w:tab/>
        </w:r>
        <w:r w:rsidR="00737FD3">
          <w:rPr>
            <w:noProof/>
            <w:webHidden/>
          </w:rPr>
          <w:fldChar w:fldCharType="begin"/>
        </w:r>
        <w:r w:rsidR="00737FD3">
          <w:rPr>
            <w:noProof/>
            <w:webHidden/>
          </w:rPr>
          <w:instrText xml:space="preserve"> PAGEREF _Toc43987109 \h </w:instrText>
        </w:r>
        <w:r w:rsidR="00737FD3">
          <w:rPr>
            <w:noProof/>
            <w:webHidden/>
          </w:rPr>
        </w:r>
        <w:r w:rsidR="00737FD3">
          <w:rPr>
            <w:noProof/>
            <w:webHidden/>
          </w:rPr>
          <w:fldChar w:fldCharType="separate"/>
        </w:r>
        <w:r w:rsidR="00561C92">
          <w:rPr>
            <w:noProof/>
            <w:webHidden/>
          </w:rPr>
          <w:t>151</w:t>
        </w:r>
        <w:r w:rsidR="00737FD3">
          <w:rPr>
            <w:noProof/>
            <w:webHidden/>
          </w:rPr>
          <w:fldChar w:fldCharType="end"/>
        </w:r>
      </w:hyperlink>
    </w:p>
    <w:p w14:paraId="35ED73D3" w14:textId="329DC832"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10" w:history="1">
        <w:r w:rsidR="00737FD3" w:rsidRPr="006D6639">
          <w:rPr>
            <w:rStyle w:val="Hyperlink"/>
            <w:noProof/>
          </w:rPr>
          <w:t>Long-term baseline summary of leaf C:N in seagrasses of the Reef</w:t>
        </w:r>
        <w:r w:rsidR="00737FD3">
          <w:rPr>
            <w:noProof/>
            <w:webHidden/>
          </w:rPr>
          <w:tab/>
        </w:r>
        <w:r w:rsidR="00737FD3">
          <w:rPr>
            <w:noProof/>
            <w:webHidden/>
          </w:rPr>
          <w:fldChar w:fldCharType="begin"/>
        </w:r>
        <w:r w:rsidR="00737FD3">
          <w:rPr>
            <w:noProof/>
            <w:webHidden/>
          </w:rPr>
          <w:instrText xml:space="preserve"> PAGEREF _Toc43987110 \h </w:instrText>
        </w:r>
        <w:r w:rsidR="00737FD3">
          <w:rPr>
            <w:noProof/>
            <w:webHidden/>
          </w:rPr>
        </w:r>
        <w:r w:rsidR="00737FD3">
          <w:rPr>
            <w:noProof/>
            <w:webHidden/>
          </w:rPr>
          <w:fldChar w:fldCharType="separate"/>
        </w:r>
        <w:r w:rsidR="00561C92">
          <w:rPr>
            <w:noProof/>
            <w:webHidden/>
          </w:rPr>
          <w:t>151</w:t>
        </w:r>
        <w:r w:rsidR="00737FD3">
          <w:rPr>
            <w:noProof/>
            <w:webHidden/>
          </w:rPr>
          <w:fldChar w:fldCharType="end"/>
        </w:r>
      </w:hyperlink>
    </w:p>
    <w:p w14:paraId="718145A2" w14:textId="455403AD"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11" w:history="1">
        <w:r w:rsidR="00737FD3" w:rsidRPr="006D6639">
          <w:rPr>
            <w:rStyle w:val="Hyperlink"/>
            <w:noProof/>
          </w:rPr>
          <w:t>Changes in C:N (species pooled) in relation to DIN loads and daily light</w:t>
        </w:r>
        <w:r w:rsidR="00737FD3">
          <w:rPr>
            <w:noProof/>
            <w:webHidden/>
          </w:rPr>
          <w:tab/>
        </w:r>
        <w:r w:rsidR="00737FD3">
          <w:rPr>
            <w:noProof/>
            <w:webHidden/>
          </w:rPr>
          <w:fldChar w:fldCharType="begin"/>
        </w:r>
        <w:r w:rsidR="00737FD3">
          <w:rPr>
            <w:noProof/>
            <w:webHidden/>
          </w:rPr>
          <w:instrText xml:space="preserve"> PAGEREF _Toc43987111 \h </w:instrText>
        </w:r>
        <w:r w:rsidR="00737FD3">
          <w:rPr>
            <w:noProof/>
            <w:webHidden/>
          </w:rPr>
        </w:r>
        <w:r w:rsidR="00737FD3">
          <w:rPr>
            <w:noProof/>
            <w:webHidden/>
          </w:rPr>
          <w:fldChar w:fldCharType="separate"/>
        </w:r>
        <w:r w:rsidR="00561C92">
          <w:rPr>
            <w:noProof/>
            <w:webHidden/>
          </w:rPr>
          <w:t>152</w:t>
        </w:r>
        <w:r w:rsidR="00737FD3">
          <w:rPr>
            <w:noProof/>
            <w:webHidden/>
          </w:rPr>
          <w:fldChar w:fldCharType="end"/>
        </w:r>
      </w:hyperlink>
    </w:p>
    <w:p w14:paraId="07594BD8" w14:textId="09010C18"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12" w:history="1">
        <w:r w:rsidR="00737FD3" w:rsidRPr="006D6639">
          <w:rPr>
            <w:rStyle w:val="Hyperlink"/>
            <w:noProof/>
          </w:rPr>
          <w:t>Changes in C:N (H. uninervis) in relation to relative DIN exposure and light</w:t>
        </w:r>
        <w:r w:rsidR="00737FD3">
          <w:rPr>
            <w:noProof/>
            <w:webHidden/>
          </w:rPr>
          <w:tab/>
        </w:r>
        <w:r w:rsidR="00737FD3">
          <w:rPr>
            <w:noProof/>
            <w:webHidden/>
          </w:rPr>
          <w:fldChar w:fldCharType="begin"/>
        </w:r>
        <w:r w:rsidR="00737FD3">
          <w:rPr>
            <w:noProof/>
            <w:webHidden/>
          </w:rPr>
          <w:instrText xml:space="preserve"> PAGEREF _Toc43987112 \h </w:instrText>
        </w:r>
        <w:r w:rsidR="00737FD3">
          <w:rPr>
            <w:noProof/>
            <w:webHidden/>
          </w:rPr>
        </w:r>
        <w:r w:rsidR="00737FD3">
          <w:rPr>
            <w:noProof/>
            <w:webHidden/>
          </w:rPr>
          <w:fldChar w:fldCharType="separate"/>
        </w:r>
        <w:r w:rsidR="00561C92">
          <w:rPr>
            <w:noProof/>
            <w:webHidden/>
          </w:rPr>
          <w:t>154</w:t>
        </w:r>
        <w:r w:rsidR="00737FD3">
          <w:rPr>
            <w:noProof/>
            <w:webHidden/>
          </w:rPr>
          <w:fldChar w:fldCharType="end"/>
        </w:r>
      </w:hyperlink>
    </w:p>
    <w:p w14:paraId="07BF57D7" w14:textId="307EB13C" w:rsidR="00737FD3" w:rsidRDefault="00D91B0F">
      <w:pPr>
        <w:pStyle w:val="TOC4"/>
        <w:tabs>
          <w:tab w:val="right" w:leader="dot" w:pos="9054"/>
        </w:tabs>
        <w:rPr>
          <w:rFonts w:asciiTheme="minorHAnsi" w:eastAsiaTheme="minorEastAsia" w:hAnsiTheme="minorHAnsi" w:cstheme="minorBidi"/>
          <w:i w:val="0"/>
          <w:noProof/>
          <w:sz w:val="22"/>
          <w:szCs w:val="22"/>
          <w:lang w:eastAsia="en-AU"/>
        </w:rPr>
      </w:pPr>
      <w:hyperlink w:anchor="_Toc43987113" w:history="1">
        <w:r w:rsidR="00737FD3" w:rsidRPr="006D6639">
          <w:rPr>
            <w:rStyle w:val="Hyperlink"/>
            <w:noProof/>
          </w:rPr>
          <w:t>Changes in C:N (Z. muelleri) in relation to DIN loads and daily light</w:t>
        </w:r>
        <w:r w:rsidR="00737FD3">
          <w:rPr>
            <w:noProof/>
            <w:webHidden/>
          </w:rPr>
          <w:tab/>
        </w:r>
        <w:r w:rsidR="00737FD3">
          <w:rPr>
            <w:noProof/>
            <w:webHidden/>
          </w:rPr>
          <w:fldChar w:fldCharType="begin"/>
        </w:r>
        <w:r w:rsidR="00737FD3">
          <w:rPr>
            <w:noProof/>
            <w:webHidden/>
          </w:rPr>
          <w:instrText xml:space="preserve"> PAGEREF _Toc43987113 \h </w:instrText>
        </w:r>
        <w:r w:rsidR="00737FD3">
          <w:rPr>
            <w:noProof/>
            <w:webHidden/>
          </w:rPr>
        </w:r>
        <w:r w:rsidR="00737FD3">
          <w:rPr>
            <w:noProof/>
            <w:webHidden/>
          </w:rPr>
          <w:fldChar w:fldCharType="separate"/>
        </w:r>
        <w:r w:rsidR="00561C92">
          <w:rPr>
            <w:noProof/>
            <w:webHidden/>
          </w:rPr>
          <w:t>157</w:t>
        </w:r>
        <w:r w:rsidR="00737FD3">
          <w:rPr>
            <w:noProof/>
            <w:webHidden/>
          </w:rPr>
          <w:fldChar w:fldCharType="end"/>
        </w:r>
      </w:hyperlink>
    </w:p>
    <w:p w14:paraId="529999B0" w14:textId="4124F25A"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14" w:history="1">
        <w:r w:rsidR="00737FD3" w:rsidRPr="006D6639">
          <w:rPr>
            <w:rStyle w:val="Hyperlink"/>
            <w:noProof/>
          </w:rPr>
          <w:t>Conclusions</w:t>
        </w:r>
        <w:r w:rsidR="00737FD3">
          <w:rPr>
            <w:noProof/>
            <w:webHidden/>
          </w:rPr>
          <w:tab/>
        </w:r>
        <w:r w:rsidR="00737FD3">
          <w:rPr>
            <w:noProof/>
            <w:webHidden/>
          </w:rPr>
          <w:fldChar w:fldCharType="begin"/>
        </w:r>
        <w:r w:rsidR="00737FD3">
          <w:rPr>
            <w:noProof/>
            <w:webHidden/>
          </w:rPr>
          <w:instrText xml:space="preserve"> PAGEREF _Toc43987114 \h </w:instrText>
        </w:r>
        <w:r w:rsidR="00737FD3">
          <w:rPr>
            <w:noProof/>
            <w:webHidden/>
          </w:rPr>
        </w:r>
        <w:r w:rsidR="00737FD3">
          <w:rPr>
            <w:noProof/>
            <w:webHidden/>
          </w:rPr>
          <w:fldChar w:fldCharType="separate"/>
        </w:r>
        <w:r w:rsidR="00561C92">
          <w:rPr>
            <w:noProof/>
            <w:webHidden/>
          </w:rPr>
          <w:t>165</w:t>
        </w:r>
        <w:r w:rsidR="00737FD3">
          <w:rPr>
            <w:noProof/>
            <w:webHidden/>
          </w:rPr>
          <w:fldChar w:fldCharType="end"/>
        </w:r>
      </w:hyperlink>
    </w:p>
    <w:p w14:paraId="69A9D2D2" w14:textId="69907CE3"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15" w:history="1">
        <w:r w:rsidR="00737FD3" w:rsidRPr="006D6639">
          <w:rPr>
            <w:rStyle w:val="Hyperlink"/>
            <w:noProof/>
          </w:rPr>
          <w:t>References</w:t>
        </w:r>
        <w:r w:rsidR="00737FD3">
          <w:rPr>
            <w:noProof/>
            <w:webHidden/>
          </w:rPr>
          <w:tab/>
        </w:r>
        <w:r w:rsidR="00737FD3">
          <w:rPr>
            <w:noProof/>
            <w:webHidden/>
          </w:rPr>
          <w:fldChar w:fldCharType="begin"/>
        </w:r>
        <w:r w:rsidR="00737FD3">
          <w:rPr>
            <w:noProof/>
            <w:webHidden/>
          </w:rPr>
          <w:instrText xml:space="preserve"> PAGEREF _Toc43987115 \h </w:instrText>
        </w:r>
        <w:r w:rsidR="00737FD3">
          <w:rPr>
            <w:noProof/>
            <w:webHidden/>
          </w:rPr>
        </w:r>
        <w:r w:rsidR="00737FD3">
          <w:rPr>
            <w:noProof/>
            <w:webHidden/>
          </w:rPr>
          <w:fldChar w:fldCharType="separate"/>
        </w:r>
        <w:r w:rsidR="00561C92">
          <w:rPr>
            <w:noProof/>
            <w:webHidden/>
          </w:rPr>
          <w:t>167</w:t>
        </w:r>
        <w:r w:rsidR="00737FD3">
          <w:rPr>
            <w:noProof/>
            <w:webHidden/>
          </w:rPr>
          <w:fldChar w:fldCharType="end"/>
        </w:r>
      </w:hyperlink>
    </w:p>
    <w:p w14:paraId="3309B2FB" w14:textId="38822A58" w:rsidR="00737FD3" w:rsidRDefault="00D91B0F">
      <w:pPr>
        <w:pStyle w:val="TOC3"/>
        <w:tabs>
          <w:tab w:val="right" w:leader="dot" w:pos="9054"/>
        </w:tabs>
        <w:rPr>
          <w:rFonts w:asciiTheme="minorHAnsi" w:eastAsiaTheme="minorEastAsia" w:hAnsiTheme="minorHAnsi" w:cstheme="minorBidi"/>
          <w:noProof/>
          <w:sz w:val="22"/>
          <w:szCs w:val="22"/>
          <w:lang w:eastAsia="en-AU"/>
        </w:rPr>
      </w:pPr>
      <w:hyperlink w:anchor="_Toc43987116" w:history="1">
        <w:r w:rsidR="00737FD3" w:rsidRPr="006D6639">
          <w:rPr>
            <w:rStyle w:val="Hyperlink"/>
            <w:noProof/>
          </w:rPr>
          <w:t>Case study Supplementary Material – Statistical outputs</w:t>
        </w:r>
        <w:r w:rsidR="00737FD3">
          <w:rPr>
            <w:noProof/>
            <w:webHidden/>
          </w:rPr>
          <w:tab/>
        </w:r>
        <w:r w:rsidR="00737FD3">
          <w:rPr>
            <w:noProof/>
            <w:webHidden/>
          </w:rPr>
          <w:fldChar w:fldCharType="begin"/>
        </w:r>
        <w:r w:rsidR="00737FD3">
          <w:rPr>
            <w:noProof/>
            <w:webHidden/>
          </w:rPr>
          <w:instrText xml:space="preserve"> PAGEREF _Toc43987116 \h </w:instrText>
        </w:r>
        <w:r w:rsidR="00737FD3">
          <w:rPr>
            <w:noProof/>
            <w:webHidden/>
          </w:rPr>
        </w:r>
        <w:r w:rsidR="00737FD3">
          <w:rPr>
            <w:noProof/>
            <w:webHidden/>
          </w:rPr>
          <w:fldChar w:fldCharType="separate"/>
        </w:r>
        <w:r w:rsidR="00561C92">
          <w:rPr>
            <w:noProof/>
            <w:webHidden/>
          </w:rPr>
          <w:t>170</w:t>
        </w:r>
        <w:r w:rsidR="00737FD3">
          <w:rPr>
            <w:noProof/>
            <w:webHidden/>
          </w:rPr>
          <w:fldChar w:fldCharType="end"/>
        </w:r>
      </w:hyperlink>
    </w:p>
    <w:p w14:paraId="16242838" w14:textId="4F578987" w:rsidR="00737FD3" w:rsidRDefault="00D91B0F">
      <w:pPr>
        <w:pStyle w:val="TOC1"/>
        <w:tabs>
          <w:tab w:val="left" w:pos="1540"/>
        </w:tabs>
        <w:rPr>
          <w:rFonts w:asciiTheme="minorHAnsi" w:eastAsiaTheme="minorEastAsia" w:hAnsiTheme="minorHAnsi" w:cstheme="minorBidi"/>
          <w:b w:val="0"/>
          <w:noProof/>
          <w:szCs w:val="22"/>
          <w:lang w:eastAsia="en-AU"/>
        </w:rPr>
      </w:pPr>
      <w:hyperlink w:anchor="_Toc43987117" w:history="1">
        <w:r w:rsidR="00737FD3" w:rsidRPr="006D6639">
          <w:rPr>
            <w:rStyle w:val="Hyperlink"/>
            <w:rFonts w:ascii="Century Gothic" w:hAnsi="Century Gothic"/>
            <w:noProof/>
          </w:rPr>
          <w:t>Appendix 2</w:t>
        </w:r>
        <w:r w:rsidR="00737FD3">
          <w:rPr>
            <w:rFonts w:asciiTheme="minorHAnsi" w:eastAsiaTheme="minorEastAsia" w:hAnsiTheme="minorHAnsi" w:cstheme="minorBidi"/>
            <w:b w:val="0"/>
            <w:noProof/>
            <w:szCs w:val="22"/>
            <w:lang w:eastAsia="en-AU"/>
          </w:rPr>
          <w:tab/>
        </w:r>
        <w:r w:rsidR="00737FD3" w:rsidRPr="006D6639">
          <w:rPr>
            <w:rStyle w:val="Hyperlink"/>
            <w:noProof/>
          </w:rPr>
          <w:t>Seagrass condition indicator guidelines</w:t>
        </w:r>
        <w:r w:rsidR="00737FD3">
          <w:rPr>
            <w:noProof/>
            <w:webHidden/>
          </w:rPr>
          <w:tab/>
        </w:r>
        <w:r w:rsidR="00737FD3">
          <w:rPr>
            <w:noProof/>
            <w:webHidden/>
          </w:rPr>
          <w:fldChar w:fldCharType="begin"/>
        </w:r>
        <w:r w:rsidR="00737FD3">
          <w:rPr>
            <w:noProof/>
            <w:webHidden/>
          </w:rPr>
          <w:instrText xml:space="preserve"> PAGEREF _Toc43987117 \h </w:instrText>
        </w:r>
        <w:r w:rsidR="00737FD3">
          <w:rPr>
            <w:noProof/>
            <w:webHidden/>
          </w:rPr>
        </w:r>
        <w:r w:rsidR="00737FD3">
          <w:rPr>
            <w:noProof/>
            <w:webHidden/>
          </w:rPr>
          <w:fldChar w:fldCharType="separate"/>
        </w:r>
        <w:r w:rsidR="00561C92">
          <w:rPr>
            <w:noProof/>
            <w:webHidden/>
          </w:rPr>
          <w:t>174</w:t>
        </w:r>
        <w:r w:rsidR="00737FD3">
          <w:rPr>
            <w:noProof/>
            <w:webHidden/>
          </w:rPr>
          <w:fldChar w:fldCharType="end"/>
        </w:r>
      </w:hyperlink>
    </w:p>
    <w:p w14:paraId="0427A871" w14:textId="25D94068"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118" w:history="1">
        <w:r w:rsidR="00737FD3" w:rsidRPr="006D6639">
          <w:rPr>
            <w:rStyle w:val="Hyperlink"/>
            <w:noProof/>
          </w:rPr>
          <w:t>A2.1</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abundance</w:t>
        </w:r>
        <w:r w:rsidR="00737FD3">
          <w:rPr>
            <w:noProof/>
            <w:webHidden/>
          </w:rPr>
          <w:tab/>
        </w:r>
        <w:r w:rsidR="00737FD3">
          <w:rPr>
            <w:noProof/>
            <w:webHidden/>
          </w:rPr>
          <w:fldChar w:fldCharType="begin"/>
        </w:r>
        <w:r w:rsidR="00737FD3">
          <w:rPr>
            <w:noProof/>
            <w:webHidden/>
          </w:rPr>
          <w:instrText xml:space="preserve"> PAGEREF _Toc43987118 \h </w:instrText>
        </w:r>
        <w:r w:rsidR="00737FD3">
          <w:rPr>
            <w:noProof/>
            <w:webHidden/>
          </w:rPr>
        </w:r>
        <w:r w:rsidR="00737FD3">
          <w:rPr>
            <w:noProof/>
            <w:webHidden/>
          </w:rPr>
          <w:fldChar w:fldCharType="separate"/>
        </w:r>
        <w:r w:rsidR="00561C92">
          <w:rPr>
            <w:noProof/>
            <w:webHidden/>
          </w:rPr>
          <w:t>175</w:t>
        </w:r>
        <w:r w:rsidR="00737FD3">
          <w:rPr>
            <w:noProof/>
            <w:webHidden/>
          </w:rPr>
          <w:fldChar w:fldCharType="end"/>
        </w:r>
      </w:hyperlink>
    </w:p>
    <w:p w14:paraId="00759E18" w14:textId="434715B7"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119" w:history="1">
        <w:r w:rsidR="00737FD3" w:rsidRPr="006D6639">
          <w:rPr>
            <w:rStyle w:val="Hyperlink"/>
            <w:noProof/>
          </w:rPr>
          <w:t>A2.2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reproductive effort</w:t>
        </w:r>
        <w:r w:rsidR="00737FD3">
          <w:rPr>
            <w:noProof/>
            <w:webHidden/>
          </w:rPr>
          <w:tab/>
        </w:r>
        <w:r w:rsidR="00737FD3">
          <w:rPr>
            <w:noProof/>
            <w:webHidden/>
          </w:rPr>
          <w:fldChar w:fldCharType="begin"/>
        </w:r>
        <w:r w:rsidR="00737FD3">
          <w:rPr>
            <w:noProof/>
            <w:webHidden/>
          </w:rPr>
          <w:instrText xml:space="preserve"> PAGEREF _Toc43987119 \h </w:instrText>
        </w:r>
        <w:r w:rsidR="00737FD3">
          <w:rPr>
            <w:noProof/>
            <w:webHidden/>
          </w:rPr>
        </w:r>
        <w:r w:rsidR="00737FD3">
          <w:rPr>
            <w:noProof/>
            <w:webHidden/>
          </w:rPr>
          <w:fldChar w:fldCharType="separate"/>
        </w:r>
        <w:r w:rsidR="00561C92">
          <w:rPr>
            <w:noProof/>
            <w:webHidden/>
          </w:rPr>
          <w:t>179</w:t>
        </w:r>
        <w:r w:rsidR="00737FD3">
          <w:rPr>
            <w:noProof/>
            <w:webHidden/>
          </w:rPr>
          <w:fldChar w:fldCharType="end"/>
        </w:r>
      </w:hyperlink>
    </w:p>
    <w:p w14:paraId="3B3EA42F" w14:textId="0377FCDA"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120" w:history="1">
        <w:r w:rsidR="00737FD3" w:rsidRPr="006D6639">
          <w:rPr>
            <w:rStyle w:val="Hyperlink"/>
            <w:noProof/>
          </w:rPr>
          <w:t>A2.3</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nutrient status.</w:t>
        </w:r>
        <w:r w:rsidR="00737FD3">
          <w:rPr>
            <w:noProof/>
            <w:webHidden/>
          </w:rPr>
          <w:tab/>
        </w:r>
        <w:r w:rsidR="00737FD3">
          <w:rPr>
            <w:noProof/>
            <w:webHidden/>
          </w:rPr>
          <w:fldChar w:fldCharType="begin"/>
        </w:r>
        <w:r w:rsidR="00737FD3">
          <w:rPr>
            <w:noProof/>
            <w:webHidden/>
          </w:rPr>
          <w:instrText xml:space="preserve"> PAGEREF _Toc43987120 \h </w:instrText>
        </w:r>
        <w:r w:rsidR="00737FD3">
          <w:rPr>
            <w:noProof/>
            <w:webHidden/>
          </w:rPr>
        </w:r>
        <w:r w:rsidR="00737FD3">
          <w:rPr>
            <w:noProof/>
            <w:webHidden/>
          </w:rPr>
          <w:fldChar w:fldCharType="separate"/>
        </w:r>
        <w:r w:rsidR="00561C92">
          <w:rPr>
            <w:noProof/>
            <w:webHidden/>
          </w:rPr>
          <w:t>179</w:t>
        </w:r>
        <w:r w:rsidR="00737FD3">
          <w:rPr>
            <w:noProof/>
            <w:webHidden/>
          </w:rPr>
          <w:fldChar w:fldCharType="end"/>
        </w:r>
      </w:hyperlink>
    </w:p>
    <w:p w14:paraId="6D2D7205" w14:textId="28553C02" w:rsidR="00737FD3" w:rsidRDefault="00D91B0F">
      <w:pPr>
        <w:pStyle w:val="TOC1"/>
        <w:tabs>
          <w:tab w:val="left" w:pos="1540"/>
        </w:tabs>
        <w:rPr>
          <w:rFonts w:asciiTheme="minorHAnsi" w:eastAsiaTheme="minorEastAsia" w:hAnsiTheme="minorHAnsi" w:cstheme="minorBidi"/>
          <w:b w:val="0"/>
          <w:noProof/>
          <w:szCs w:val="22"/>
          <w:lang w:eastAsia="en-AU"/>
        </w:rPr>
      </w:pPr>
      <w:hyperlink w:anchor="_Toc43987121" w:history="1">
        <w:r w:rsidR="00737FD3" w:rsidRPr="006D6639">
          <w:rPr>
            <w:rStyle w:val="Hyperlink"/>
            <w:rFonts w:ascii="Century Gothic" w:hAnsi="Century Gothic"/>
            <w:noProof/>
          </w:rPr>
          <w:t>Appendix 3</w:t>
        </w:r>
        <w:r w:rsidR="00737FD3">
          <w:rPr>
            <w:rFonts w:asciiTheme="minorHAnsi" w:eastAsiaTheme="minorEastAsia" w:hAnsiTheme="minorHAnsi" w:cstheme="minorBidi"/>
            <w:b w:val="0"/>
            <w:noProof/>
            <w:szCs w:val="22"/>
            <w:lang w:eastAsia="en-AU"/>
          </w:rPr>
          <w:tab/>
        </w:r>
        <w:r w:rsidR="00737FD3" w:rsidRPr="006D6639">
          <w:rPr>
            <w:rStyle w:val="Hyperlink"/>
            <w:noProof/>
          </w:rPr>
          <w:t>Detailed data</w:t>
        </w:r>
        <w:r w:rsidR="00737FD3">
          <w:rPr>
            <w:noProof/>
            <w:webHidden/>
          </w:rPr>
          <w:tab/>
        </w:r>
        <w:r w:rsidR="00737FD3">
          <w:rPr>
            <w:noProof/>
            <w:webHidden/>
          </w:rPr>
          <w:fldChar w:fldCharType="begin"/>
        </w:r>
        <w:r w:rsidR="00737FD3">
          <w:rPr>
            <w:noProof/>
            <w:webHidden/>
          </w:rPr>
          <w:instrText xml:space="preserve"> PAGEREF _Toc43987121 \h </w:instrText>
        </w:r>
        <w:r w:rsidR="00737FD3">
          <w:rPr>
            <w:noProof/>
            <w:webHidden/>
          </w:rPr>
        </w:r>
        <w:r w:rsidR="00737FD3">
          <w:rPr>
            <w:noProof/>
            <w:webHidden/>
          </w:rPr>
          <w:fldChar w:fldCharType="separate"/>
        </w:r>
        <w:r w:rsidR="00561C92">
          <w:rPr>
            <w:noProof/>
            <w:webHidden/>
          </w:rPr>
          <w:t>180</w:t>
        </w:r>
        <w:r w:rsidR="00737FD3">
          <w:rPr>
            <w:noProof/>
            <w:webHidden/>
          </w:rPr>
          <w:fldChar w:fldCharType="end"/>
        </w:r>
      </w:hyperlink>
    </w:p>
    <w:p w14:paraId="037C120C" w14:textId="7B91BB22"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122" w:history="1">
        <w:r w:rsidR="00737FD3" w:rsidRPr="006D6639">
          <w:rPr>
            <w:rStyle w:val="Hyperlink"/>
            <w:noProof/>
          </w:rPr>
          <w:t>A3.1</w:t>
        </w:r>
        <w:r w:rsidR="00737FD3">
          <w:rPr>
            <w:rFonts w:asciiTheme="minorHAnsi" w:eastAsiaTheme="minorEastAsia" w:hAnsiTheme="minorHAnsi" w:cstheme="minorBidi"/>
            <w:noProof/>
            <w:sz w:val="22"/>
            <w:szCs w:val="22"/>
            <w:lang w:eastAsia="en-AU"/>
          </w:rPr>
          <w:tab/>
        </w:r>
        <w:r w:rsidR="00737FD3" w:rsidRPr="006D6639">
          <w:rPr>
            <w:rStyle w:val="Hyperlink"/>
            <w:noProof/>
          </w:rPr>
          <w:t>Environmental pressures</w:t>
        </w:r>
        <w:r w:rsidR="00737FD3">
          <w:rPr>
            <w:noProof/>
            <w:webHidden/>
          </w:rPr>
          <w:tab/>
        </w:r>
        <w:r w:rsidR="00737FD3">
          <w:rPr>
            <w:noProof/>
            <w:webHidden/>
          </w:rPr>
          <w:fldChar w:fldCharType="begin"/>
        </w:r>
        <w:r w:rsidR="00737FD3">
          <w:rPr>
            <w:noProof/>
            <w:webHidden/>
          </w:rPr>
          <w:instrText xml:space="preserve"> PAGEREF _Toc43987122 \h </w:instrText>
        </w:r>
        <w:r w:rsidR="00737FD3">
          <w:rPr>
            <w:noProof/>
            <w:webHidden/>
          </w:rPr>
        </w:r>
        <w:r w:rsidR="00737FD3">
          <w:rPr>
            <w:noProof/>
            <w:webHidden/>
          </w:rPr>
          <w:fldChar w:fldCharType="separate"/>
        </w:r>
        <w:r w:rsidR="00561C92">
          <w:rPr>
            <w:noProof/>
            <w:webHidden/>
          </w:rPr>
          <w:t>183</w:t>
        </w:r>
        <w:r w:rsidR="00737FD3">
          <w:rPr>
            <w:noProof/>
            <w:webHidden/>
          </w:rPr>
          <w:fldChar w:fldCharType="end"/>
        </w:r>
      </w:hyperlink>
    </w:p>
    <w:p w14:paraId="49CCFCF2" w14:textId="152C074F" w:rsidR="00737FD3" w:rsidRDefault="00D91B0F">
      <w:pPr>
        <w:pStyle w:val="TOC3"/>
        <w:tabs>
          <w:tab w:val="left" w:pos="1320"/>
          <w:tab w:val="right" w:leader="dot" w:pos="9054"/>
        </w:tabs>
        <w:rPr>
          <w:rFonts w:asciiTheme="minorHAnsi" w:eastAsiaTheme="minorEastAsia" w:hAnsiTheme="minorHAnsi" w:cstheme="minorBidi"/>
          <w:noProof/>
          <w:sz w:val="22"/>
          <w:szCs w:val="22"/>
          <w:lang w:eastAsia="en-AU"/>
        </w:rPr>
      </w:pPr>
      <w:hyperlink w:anchor="_Toc43987123" w:history="1">
        <w:r w:rsidR="00737FD3" w:rsidRPr="006D6639">
          <w:rPr>
            <w:rStyle w:val="Hyperlink"/>
            <w:noProof/>
          </w:rPr>
          <w:t>A3.1.1</w:t>
        </w:r>
        <w:r w:rsidR="00737FD3">
          <w:rPr>
            <w:rFonts w:asciiTheme="minorHAnsi" w:eastAsiaTheme="minorEastAsia" w:hAnsiTheme="minorHAnsi" w:cstheme="minorBidi"/>
            <w:noProof/>
            <w:sz w:val="22"/>
            <w:szCs w:val="22"/>
            <w:lang w:eastAsia="en-AU"/>
          </w:rPr>
          <w:tab/>
        </w:r>
        <w:r w:rsidR="00737FD3" w:rsidRPr="006D6639">
          <w:rPr>
            <w:rStyle w:val="Hyperlink"/>
            <w:noProof/>
          </w:rPr>
          <w:t>Tidal exposure</w:t>
        </w:r>
        <w:r w:rsidR="00737FD3">
          <w:rPr>
            <w:noProof/>
            <w:webHidden/>
          </w:rPr>
          <w:tab/>
        </w:r>
        <w:r w:rsidR="00737FD3">
          <w:rPr>
            <w:noProof/>
            <w:webHidden/>
          </w:rPr>
          <w:fldChar w:fldCharType="begin"/>
        </w:r>
        <w:r w:rsidR="00737FD3">
          <w:rPr>
            <w:noProof/>
            <w:webHidden/>
          </w:rPr>
          <w:instrText xml:space="preserve"> PAGEREF _Toc43987123 \h </w:instrText>
        </w:r>
        <w:r w:rsidR="00737FD3">
          <w:rPr>
            <w:noProof/>
            <w:webHidden/>
          </w:rPr>
        </w:r>
        <w:r w:rsidR="00737FD3">
          <w:rPr>
            <w:noProof/>
            <w:webHidden/>
          </w:rPr>
          <w:fldChar w:fldCharType="separate"/>
        </w:r>
        <w:r w:rsidR="00561C92">
          <w:rPr>
            <w:noProof/>
            <w:webHidden/>
          </w:rPr>
          <w:t>183</w:t>
        </w:r>
        <w:r w:rsidR="00737FD3">
          <w:rPr>
            <w:noProof/>
            <w:webHidden/>
          </w:rPr>
          <w:fldChar w:fldCharType="end"/>
        </w:r>
      </w:hyperlink>
    </w:p>
    <w:p w14:paraId="5810BEA8" w14:textId="7DF7EF7D" w:rsidR="00737FD3" w:rsidRDefault="00D91B0F">
      <w:pPr>
        <w:pStyle w:val="TOC3"/>
        <w:tabs>
          <w:tab w:val="left" w:pos="1320"/>
          <w:tab w:val="right" w:leader="dot" w:pos="9054"/>
        </w:tabs>
        <w:rPr>
          <w:rFonts w:asciiTheme="minorHAnsi" w:eastAsiaTheme="minorEastAsia" w:hAnsiTheme="minorHAnsi" w:cstheme="minorBidi"/>
          <w:noProof/>
          <w:sz w:val="22"/>
          <w:szCs w:val="22"/>
          <w:lang w:eastAsia="en-AU"/>
        </w:rPr>
      </w:pPr>
      <w:hyperlink w:anchor="_Toc43987124" w:history="1">
        <w:r w:rsidR="00737FD3" w:rsidRPr="006D6639">
          <w:rPr>
            <w:rStyle w:val="Hyperlink"/>
            <w:noProof/>
          </w:rPr>
          <w:t>A3.1.2</w:t>
        </w:r>
        <w:r w:rsidR="00737FD3">
          <w:rPr>
            <w:rFonts w:asciiTheme="minorHAnsi" w:eastAsiaTheme="minorEastAsia" w:hAnsiTheme="minorHAnsi" w:cstheme="minorBidi"/>
            <w:noProof/>
            <w:sz w:val="22"/>
            <w:szCs w:val="22"/>
            <w:lang w:eastAsia="en-AU"/>
          </w:rPr>
          <w:tab/>
        </w:r>
        <w:r w:rsidR="00737FD3" w:rsidRPr="006D6639">
          <w:rPr>
            <w:rStyle w:val="Hyperlink"/>
            <w:noProof/>
          </w:rPr>
          <w:t>Light at seagrass canopy</w:t>
        </w:r>
        <w:r w:rsidR="00737FD3">
          <w:rPr>
            <w:noProof/>
            <w:webHidden/>
          </w:rPr>
          <w:tab/>
        </w:r>
        <w:r w:rsidR="00737FD3">
          <w:rPr>
            <w:noProof/>
            <w:webHidden/>
          </w:rPr>
          <w:fldChar w:fldCharType="begin"/>
        </w:r>
        <w:r w:rsidR="00737FD3">
          <w:rPr>
            <w:noProof/>
            <w:webHidden/>
          </w:rPr>
          <w:instrText xml:space="preserve"> PAGEREF _Toc43987124 \h </w:instrText>
        </w:r>
        <w:r w:rsidR="00737FD3">
          <w:rPr>
            <w:noProof/>
            <w:webHidden/>
          </w:rPr>
        </w:r>
        <w:r w:rsidR="00737FD3">
          <w:rPr>
            <w:noProof/>
            <w:webHidden/>
          </w:rPr>
          <w:fldChar w:fldCharType="separate"/>
        </w:r>
        <w:r w:rsidR="00561C92">
          <w:rPr>
            <w:noProof/>
            <w:webHidden/>
          </w:rPr>
          <w:t>187</w:t>
        </w:r>
        <w:r w:rsidR="00737FD3">
          <w:rPr>
            <w:noProof/>
            <w:webHidden/>
          </w:rPr>
          <w:fldChar w:fldCharType="end"/>
        </w:r>
      </w:hyperlink>
    </w:p>
    <w:p w14:paraId="156F1EB5" w14:textId="6F8E8241" w:rsidR="00737FD3" w:rsidRDefault="00D91B0F">
      <w:pPr>
        <w:pStyle w:val="TOC2"/>
        <w:tabs>
          <w:tab w:val="left" w:pos="880"/>
          <w:tab w:val="right" w:leader="dot" w:pos="9054"/>
        </w:tabs>
        <w:rPr>
          <w:rFonts w:asciiTheme="minorHAnsi" w:eastAsiaTheme="minorEastAsia" w:hAnsiTheme="minorHAnsi" w:cstheme="minorBidi"/>
          <w:noProof/>
          <w:sz w:val="22"/>
          <w:szCs w:val="22"/>
          <w:lang w:eastAsia="en-AU"/>
        </w:rPr>
      </w:pPr>
      <w:hyperlink w:anchor="_Toc43987125" w:history="1">
        <w:r w:rsidR="00737FD3" w:rsidRPr="006D6639">
          <w:rPr>
            <w:rStyle w:val="Hyperlink"/>
            <w:noProof/>
          </w:rPr>
          <w:t>A3.2</w:t>
        </w:r>
        <w:r w:rsidR="00737FD3">
          <w:rPr>
            <w:rFonts w:asciiTheme="minorHAnsi" w:eastAsiaTheme="minorEastAsia" w:hAnsiTheme="minorHAnsi" w:cstheme="minorBidi"/>
            <w:noProof/>
            <w:sz w:val="22"/>
            <w:szCs w:val="22"/>
            <w:lang w:eastAsia="en-AU"/>
          </w:rPr>
          <w:tab/>
        </w:r>
        <w:r w:rsidR="00737FD3" w:rsidRPr="006D6639">
          <w:rPr>
            <w:rStyle w:val="Hyperlink"/>
            <w:noProof/>
          </w:rPr>
          <w:t>Seagrass habitat condition: Sediments composition</w:t>
        </w:r>
        <w:r w:rsidR="00737FD3">
          <w:rPr>
            <w:noProof/>
            <w:webHidden/>
          </w:rPr>
          <w:tab/>
        </w:r>
        <w:r w:rsidR="00737FD3">
          <w:rPr>
            <w:noProof/>
            <w:webHidden/>
          </w:rPr>
          <w:fldChar w:fldCharType="begin"/>
        </w:r>
        <w:r w:rsidR="00737FD3">
          <w:rPr>
            <w:noProof/>
            <w:webHidden/>
          </w:rPr>
          <w:instrText xml:space="preserve"> PAGEREF _Toc43987125 \h </w:instrText>
        </w:r>
        <w:r w:rsidR="00737FD3">
          <w:rPr>
            <w:noProof/>
            <w:webHidden/>
          </w:rPr>
        </w:r>
        <w:r w:rsidR="00737FD3">
          <w:rPr>
            <w:noProof/>
            <w:webHidden/>
          </w:rPr>
          <w:fldChar w:fldCharType="separate"/>
        </w:r>
        <w:r w:rsidR="00561C92">
          <w:rPr>
            <w:noProof/>
            <w:webHidden/>
          </w:rPr>
          <w:t>192</w:t>
        </w:r>
        <w:r w:rsidR="00737FD3">
          <w:rPr>
            <w:noProof/>
            <w:webHidden/>
          </w:rPr>
          <w:fldChar w:fldCharType="end"/>
        </w:r>
      </w:hyperlink>
    </w:p>
    <w:p w14:paraId="62F9B9E7" w14:textId="3082D3D7" w:rsidR="00737FD3" w:rsidRDefault="00D91B0F">
      <w:pPr>
        <w:pStyle w:val="TOC1"/>
        <w:tabs>
          <w:tab w:val="left" w:pos="1540"/>
        </w:tabs>
        <w:rPr>
          <w:rFonts w:asciiTheme="minorHAnsi" w:eastAsiaTheme="minorEastAsia" w:hAnsiTheme="minorHAnsi" w:cstheme="minorBidi"/>
          <w:b w:val="0"/>
          <w:noProof/>
          <w:szCs w:val="22"/>
          <w:lang w:eastAsia="en-AU"/>
        </w:rPr>
      </w:pPr>
      <w:hyperlink w:anchor="_Toc43987126" w:history="1">
        <w:r w:rsidR="00737FD3" w:rsidRPr="006D6639">
          <w:rPr>
            <w:rStyle w:val="Hyperlink"/>
            <w:rFonts w:ascii="Century Gothic" w:hAnsi="Century Gothic"/>
            <w:noProof/>
          </w:rPr>
          <w:t>Appendix 4</w:t>
        </w:r>
        <w:r w:rsidR="00737FD3">
          <w:rPr>
            <w:rFonts w:asciiTheme="minorHAnsi" w:eastAsiaTheme="minorEastAsia" w:hAnsiTheme="minorHAnsi" w:cstheme="minorBidi"/>
            <w:b w:val="0"/>
            <w:noProof/>
            <w:szCs w:val="22"/>
            <w:lang w:eastAsia="en-AU"/>
          </w:rPr>
          <w:tab/>
        </w:r>
        <w:r w:rsidR="00737FD3" w:rsidRPr="006D6639">
          <w:rPr>
            <w:rStyle w:val="Hyperlink"/>
            <w:noProof/>
          </w:rPr>
          <w:t>Results of statistical analysis</w:t>
        </w:r>
        <w:r w:rsidR="00737FD3">
          <w:rPr>
            <w:noProof/>
            <w:webHidden/>
          </w:rPr>
          <w:tab/>
        </w:r>
        <w:r w:rsidR="00737FD3">
          <w:rPr>
            <w:noProof/>
            <w:webHidden/>
          </w:rPr>
          <w:fldChar w:fldCharType="begin"/>
        </w:r>
        <w:r w:rsidR="00737FD3">
          <w:rPr>
            <w:noProof/>
            <w:webHidden/>
          </w:rPr>
          <w:instrText xml:space="preserve"> PAGEREF _Toc43987126 \h </w:instrText>
        </w:r>
        <w:r w:rsidR="00737FD3">
          <w:rPr>
            <w:noProof/>
            <w:webHidden/>
          </w:rPr>
        </w:r>
        <w:r w:rsidR="00737FD3">
          <w:rPr>
            <w:noProof/>
            <w:webHidden/>
          </w:rPr>
          <w:fldChar w:fldCharType="separate"/>
        </w:r>
        <w:r w:rsidR="00561C92">
          <w:rPr>
            <w:noProof/>
            <w:webHidden/>
          </w:rPr>
          <w:t>203</w:t>
        </w:r>
        <w:r w:rsidR="00737FD3">
          <w:rPr>
            <w:noProof/>
            <w:webHidden/>
          </w:rPr>
          <w:fldChar w:fldCharType="end"/>
        </w:r>
      </w:hyperlink>
    </w:p>
    <w:p w14:paraId="1C7FEE17" w14:textId="6E2AAF94" w:rsidR="00C57FC5" w:rsidRDefault="00C57FC5" w:rsidP="00C57FC5">
      <w:pPr>
        <w:rPr>
          <w:rFonts w:cs="Arial"/>
          <w:color w:val="000000"/>
        </w:rPr>
      </w:pPr>
      <w:r>
        <w:rPr>
          <w:rFonts w:cs="Arial"/>
          <w:color w:val="000000"/>
        </w:rPr>
        <w:fldChar w:fldCharType="end"/>
      </w:r>
    </w:p>
    <w:p w14:paraId="20C91C11" w14:textId="77777777" w:rsidR="00C57FC5" w:rsidRDefault="00C57FC5">
      <w:pPr>
        <w:spacing w:before="0" w:after="0"/>
        <w:rPr>
          <w:rFonts w:cs="Arial"/>
          <w:color w:val="000000"/>
        </w:rPr>
      </w:pPr>
      <w:r>
        <w:rPr>
          <w:rFonts w:cs="Arial"/>
          <w:color w:val="000000"/>
        </w:rPr>
        <w:br w:type="page"/>
      </w:r>
    </w:p>
    <w:p w14:paraId="7C85F0CF" w14:textId="783F2109" w:rsidR="001F4593" w:rsidRPr="00F63373" w:rsidRDefault="001F4593" w:rsidP="00742F73">
      <w:pPr>
        <w:pStyle w:val="Heading1"/>
        <w:numPr>
          <w:ilvl w:val="0"/>
          <w:numId w:val="0"/>
        </w:numPr>
      </w:pPr>
      <w:bookmarkStart w:id="1" w:name="_Toc37775023"/>
      <w:bookmarkStart w:id="2" w:name="_Toc43986997"/>
      <w:r w:rsidRPr="00F63373">
        <w:lastRenderedPageBreak/>
        <w:t>List of Figures</w:t>
      </w:r>
      <w:bookmarkEnd w:id="1"/>
      <w:bookmarkEnd w:id="2"/>
    </w:p>
    <w:p w14:paraId="5C051FFA" w14:textId="77777777" w:rsidR="00DD3376" w:rsidRPr="00DD3376" w:rsidRDefault="00DD3376" w:rsidP="00DD3376"/>
    <w:p w14:paraId="55DB09E8" w14:textId="6BAE7FF6" w:rsidR="007C215D" w:rsidRDefault="004916B0">
      <w:pPr>
        <w:pStyle w:val="TableofFigures"/>
        <w:tabs>
          <w:tab w:val="right" w:leader="dot" w:pos="9054"/>
        </w:tabs>
        <w:rPr>
          <w:rFonts w:asciiTheme="minorHAnsi" w:eastAsiaTheme="minorEastAsia" w:hAnsiTheme="minorHAnsi" w:cstheme="minorBidi"/>
          <w:noProof/>
          <w:szCs w:val="22"/>
          <w:lang w:eastAsia="en-AU"/>
        </w:rPr>
      </w:pPr>
      <w:r>
        <w:rPr>
          <w:rFonts w:cs="Arial"/>
          <w:color w:val="000000"/>
          <w:szCs w:val="22"/>
        </w:rPr>
        <w:fldChar w:fldCharType="begin"/>
      </w:r>
      <w:r>
        <w:rPr>
          <w:rFonts w:cs="Arial"/>
          <w:color w:val="000000"/>
          <w:szCs w:val="22"/>
        </w:rPr>
        <w:instrText xml:space="preserve"> TOC \h \z \c "Figure" </w:instrText>
      </w:r>
      <w:r>
        <w:rPr>
          <w:rFonts w:cs="Arial"/>
          <w:color w:val="000000"/>
          <w:szCs w:val="22"/>
        </w:rPr>
        <w:fldChar w:fldCharType="separate"/>
      </w:r>
      <w:hyperlink w:anchor="_Toc38634105" w:history="1">
        <w:r w:rsidR="007C215D" w:rsidRPr="00DD5403">
          <w:rPr>
            <w:rStyle w:val="Hyperlink"/>
            <w:rFonts w:eastAsiaTheme="majorEastAsia" w:cs="Arial"/>
            <w:noProof/>
          </w:rPr>
          <w:t xml:space="preserve">Figure 1. </w:t>
        </w:r>
        <w:r w:rsidR="007C215D" w:rsidRPr="00DD5403">
          <w:rPr>
            <w:rStyle w:val="Hyperlink"/>
            <w:rFonts w:eastAsiaTheme="majorEastAsia" w:cs="Arial"/>
            <w:i/>
            <w:noProof/>
          </w:rPr>
          <w:t>Reef-wide seagrass condition index (±SE) with contributing indicator scores over the life of the MMP</w:t>
        </w:r>
        <w:r w:rsidR="007C215D">
          <w:rPr>
            <w:noProof/>
            <w:webHidden/>
          </w:rPr>
          <w:tab/>
        </w:r>
        <w:r w:rsidR="007C215D">
          <w:rPr>
            <w:noProof/>
            <w:webHidden/>
          </w:rPr>
          <w:fldChar w:fldCharType="begin"/>
        </w:r>
        <w:r w:rsidR="007C215D">
          <w:rPr>
            <w:noProof/>
            <w:webHidden/>
          </w:rPr>
          <w:instrText xml:space="preserve"> PAGEREF _Toc38634105 \h </w:instrText>
        </w:r>
        <w:r w:rsidR="007C215D">
          <w:rPr>
            <w:noProof/>
            <w:webHidden/>
          </w:rPr>
        </w:r>
        <w:r w:rsidR="007C215D">
          <w:rPr>
            <w:noProof/>
            <w:webHidden/>
          </w:rPr>
          <w:fldChar w:fldCharType="separate"/>
        </w:r>
        <w:r w:rsidR="00561C92">
          <w:rPr>
            <w:noProof/>
            <w:webHidden/>
          </w:rPr>
          <w:t>13</w:t>
        </w:r>
        <w:r w:rsidR="007C215D">
          <w:rPr>
            <w:noProof/>
            <w:webHidden/>
          </w:rPr>
          <w:fldChar w:fldCharType="end"/>
        </w:r>
      </w:hyperlink>
    </w:p>
    <w:p w14:paraId="4F17FF11" w14:textId="45F8954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06" w:history="1">
        <w:r w:rsidR="007C215D" w:rsidRPr="00DD5403">
          <w:rPr>
            <w:rStyle w:val="Hyperlink"/>
            <w:rFonts w:eastAsiaTheme="majorEastAsia" w:cs="Arial"/>
            <w:noProof/>
          </w:rPr>
          <w:t xml:space="preserve">Figure 2. </w:t>
        </w:r>
        <w:r w:rsidR="007C215D" w:rsidRPr="00DD5403">
          <w:rPr>
            <w:rStyle w:val="Hyperlink"/>
            <w:rFonts w:eastAsiaTheme="majorEastAsia" w:cs="Arial"/>
            <w:i/>
            <w:noProof/>
          </w:rPr>
          <w:t>Major marine ecosystems (coral reefs and surveyed seagrass meadows) in the World Heritage Area and Natural Resource Management regions (including marine)</w:t>
        </w:r>
        <w:r w:rsidR="007C215D">
          <w:rPr>
            <w:noProof/>
            <w:webHidden/>
          </w:rPr>
          <w:tab/>
        </w:r>
        <w:r w:rsidR="007C215D">
          <w:rPr>
            <w:noProof/>
            <w:webHidden/>
          </w:rPr>
          <w:fldChar w:fldCharType="begin"/>
        </w:r>
        <w:r w:rsidR="007C215D">
          <w:rPr>
            <w:noProof/>
            <w:webHidden/>
          </w:rPr>
          <w:instrText xml:space="preserve"> PAGEREF _Toc38634106 \h </w:instrText>
        </w:r>
        <w:r w:rsidR="007C215D">
          <w:rPr>
            <w:noProof/>
            <w:webHidden/>
          </w:rPr>
        </w:r>
        <w:r w:rsidR="007C215D">
          <w:rPr>
            <w:noProof/>
            <w:webHidden/>
          </w:rPr>
          <w:fldChar w:fldCharType="separate"/>
        </w:r>
        <w:r w:rsidR="00561C92">
          <w:rPr>
            <w:noProof/>
            <w:webHidden/>
          </w:rPr>
          <w:t>17</w:t>
        </w:r>
        <w:r w:rsidR="007C215D">
          <w:rPr>
            <w:noProof/>
            <w:webHidden/>
          </w:rPr>
          <w:fldChar w:fldCharType="end"/>
        </w:r>
      </w:hyperlink>
    </w:p>
    <w:p w14:paraId="66A11DB1" w14:textId="497F9DA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07" w:history="1">
        <w:r w:rsidR="007C215D" w:rsidRPr="00DD5403">
          <w:rPr>
            <w:rStyle w:val="Hyperlink"/>
            <w:rFonts w:eastAsiaTheme="majorEastAsia" w:cs="Arial"/>
            <w:noProof/>
          </w:rPr>
          <w:t xml:space="preserve">Figure 3. </w:t>
        </w:r>
        <w:r w:rsidR="007C215D" w:rsidRPr="00DD5403">
          <w:rPr>
            <w:rStyle w:val="Hyperlink"/>
            <w:rFonts w:eastAsiaTheme="majorEastAsia" w:cs="Arial"/>
            <w:i/>
            <w:noProof/>
          </w:rPr>
          <w:t>Climate, environmental, seagrass condition and seagrass resilience indicators reported as part of inshore seagrass monitoring.</w:t>
        </w:r>
        <w:r w:rsidR="007C215D">
          <w:rPr>
            <w:noProof/>
            <w:webHidden/>
          </w:rPr>
          <w:tab/>
        </w:r>
        <w:r w:rsidR="007C215D">
          <w:rPr>
            <w:noProof/>
            <w:webHidden/>
          </w:rPr>
          <w:fldChar w:fldCharType="begin"/>
        </w:r>
        <w:r w:rsidR="007C215D">
          <w:rPr>
            <w:noProof/>
            <w:webHidden/>
          </w:rPr>
          <w:instrText xml:space="preserve"> PAGEREF _Toc38634107 \h </w:instrText>
        </w:r>
        <w:r w:rsidR="007C215D">
          <w:rPr>
            <w:noProof/>
            <w:webHidden/>
          </w:rPr>
        </w:r>
        <w:r w:rsidR="007C215D">
          <w:rPr>
            <w:noProof/>
            <w:webHidden/>
          </w:rPr>
          <w:fldChar w:fldCharType="separate"/>
        </w:r>
        <w:r w:rsidR="00561C92">
          <w:rPr>
            <w:noProof/>
            <w:webHidden/>
          </w:rPr>
          <w:t>19</w:t>
        </w:r>
        <w:r w:rsidR="007C215D">
          <w:rPr>
            <w:noProof/>
            <w:webHidden/>
          </w:rPr>
          <w:fldChar w:fldCharType="end"/>
        </w:r>
      </w:hyperlink>
    </w:p>
    <w:p w14:paraId="4DFD0C6E" w14:textId="6E47725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08" w:history="1">
        <w:r w:rsidR="007C215D" w:rsidRPr="00DD5403">
          <w:rPr>
            <w:rStyle w:val="Hyperlink"/>
            <w:rFonts w:eastAsiaTheme="majorEastAsia" w:cs="Arial"/>
            <w:noProof/>
          </w:rPr>
          <w:t>Figure 4</w:t>
        </w:r>
        <w:r w:rsidR="007C215D" w:rsidRPr="00DD5403">
          <w:rPr>
            <w:rStyle w:val="Hyperlink"/>
            <w:rFonts w:eastAsiaTheme="majorEastAsia" w:cs="Arial"/>
            <w:i/>
            <w:noProof/>
          </w:rPr>
          <w:t>. General conceptual model of seagrass habitats in north east Australia and the water quality impacts affecting the habitat</w:t>
        </w:r>
        <w:r w:rsidR="007C215D">
          <w:rPr>
            <w:noProof/>
            <w:webHidden/>
          </w:rPr>
          <w:tab/>
        </w:r>
        <w:r w:rsidR="007C215D">
          <w:rPr>
            <w:noProof/>
            <w:webHidden/>
          </w:rPr>
          <w:fldChar w:fldCharType="begin"/>
        </w:r>
        <w:r w:rsidR="007C215D">
          <w:rPr>
            <w:noProof/>
            <w:webHidden/>
          </w:rPr>
          <w:instrText xml:space="preserve"> PAGEREF _Toc38634108 \h </w:instrText>
        </w:r>
        <w:r w:rsidR="007C215D">
          <w:rPr>
            <w:noProof/>
            <w:webHidden/>
          </w:rPr>
        </w:r>
        <w:r w:rsidR="007C215D">
          <w:rPr>
            <w:noProof/>
            <w:webHidden/>
          </w:rPr>
          <w:fldChar w:fldCharType="separate"/>
        </w:r>
        <w:r w:rsidR="00561C92">
          <w:rPr>
            <w:noProof/>
            <w:webHidden/>
          </w:rPr>
          <w:t>20</w:t>
        </w:r>
        <w:r w:rsidR="007C215D">
          <w:rPr>
            <w:noProof/>
            <w:webHidden/>
          </w:rPr>
          <w:fldChar w:fldCharType="end"/>
        </w:r>
      </w:hyperlink>
    </w:p>
    <w:p w14:paraId="7FD2BED5" w14:textId="72ACE5E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09" w:history="1">
        <w:r w:rsidR="007C215D" w:rsidRPr="00DD5403">
          <w:rPr>
            <w:rStyle w:val="Hyperlink"/>
            <w:rFonts w:eastAsiaTheme="majorEastAsia" w:cs="Arial"/>
            <w:noProof/>
          </w:rPr>
          <w:t>Figure 5.</w:t>
        </w:r>
        <w:r w:rsidR="007C215D" w:rsidRPr="00DD5403">
          <w:rPr>
            <w:rStyle w:val="Hyperlink"/>
            <w:rFonts w:eastAsiaTheme="majorEastAsia" w:cs="Arial"/>
            <w:i/>
            <w:noProof/>
          </w:rPr>
          <w:t xml:space="preserve"> Illustration of seagrass recovery after loss and the categories of successional species over time.</w:t>
        </w:r>
        <w:r w:rsidR="007C215D">
          <w:rPr>
            <w:noProof/>
            <w:webHidden/>
          </w:rPr>
          <w:tab/>
        </w:r>
        <w:r w:rsidR="007C215D">
          <w:rPr>
            <w:noProof/>
            <w:webHidden/>
          </w:rPr>
          <w:fldChar w:fldCharType="begin"/>
        </w:r>
        <w:r w:rsidR="007C215D">
          <w:rPr>
            <w:noProof/>
            <w:webHidden/>
          </w:rPr>
          <w:instrText xml:space="preserve"> PAGEREF _Toc38634109 \h </w:instrText>
        </w:r>
        <w:r w:rsidR="007C215D">
          <w:rPr>
            <w:noProof/>
            <w:webHidden/>
          </w:rPr>
        </w:r>
        <w:r w:rsidR="007C215D">
          <w:rPr>
            <w:noProof/>
            <w:webHidden/>
          </w:rPr>
          <w:fldChar w:fldCharType="separate"/>
        </w:r>
        <w:r w:rsidR="00561C92">
          <w:rPr>
            <w:noProof/>
            <w:webHidden/>
          </w:rPr>
          <w:t>21</w:t>
        </w:r>
        <w:r w:rsidR="007C215D">
          <w:rPr>
            <w:noProof/>
            <w:webHidden/>
          </w:rPr>
          <w:fldChar w:fldCharType="end"/>
        </w:r>
      </w:hyperlink>
    </w:p>
    <w:p w14:paraId="52F000A4" w14:textId="718724B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0" w:history="1">
        <w:r w:rsidR="007C215D" w:rsidRPr="00DD5403">
          <w:rPr>
            <w:rStyle w:val="Hyperlink"/>
            <w:rFonts w:eastAsiaTheme="majorEastAsia" w:cs="Arial"/>
            <w:noProof/>
          </w:rPr>
          <w:t xml:space="preserve">Figure 6. Difference between </w:t>
        </w:r>
        <w:r w:rsidR="007C215D" w:rsidRPr="00DD5403">
          <w:rPr>
            <w:rStyle w:val="Hyperlink"/>
            <w:rFonts w:eastAsiaTheme="majorEastAsia" w:cs="Arial"/>
            <w:i/>
            <w:noProof/>
          </w:rPr>
          <w:t>annual average daily wet season rainfall (December 2017–April 2019) and the long-term average (1961–1990).</w:t>
        </w:r>
        <w:r w:rsidR="007C215D">
          <w:rPr>
            <w:noProof/>
            <w:webHidden/>
          </w:rPr>
          <w:tab/>
        </w:r>
        <w:r w:rsidR="007C215D">
          <w:rPr>
            <w:noProof/>
            <w:webHidden/>
          </w:rPr>
          <w:fldChar w:fldCharType="begin"/>
        </w:r>
        <w:r w:rsidR="007C215D">
          <w:rPr>
            <w:noProof/>
            <w:webHidden/>
          </w:rPr>
          <w:instrText xml:space="preserve"> PAGEREF _Toc38634110 \h </w:instrText>
        </w:r>
        <w:r w:rsidR="007C215D">
          <w:rPr>
            <w:noProof/>
            <w:webHidden/>
          </w:rPr>
        </w:r>
        <w:r w:rsidR="007C215D">
          <w:rPr>
            <w:noProof/>
            <w:webHidden/>
          </w:rPr>
          <w:fldChar w:fldCharType="separate"/>
        </w:r>
        <w:r w:rsidR="00561C92">
          <w:rPr>
            <w:noProof/>
            <w:webHidden/>
          </w:rPr>
          <w:t>38</w:t>
        </w:r>
        <w:r w:rsidR="007C215D">
          <w:rPr>
            <w:noProof/>
            <w:webHidden/>
          </w:rPr>
          <w:fldChar w:fldCharType="end"/>
        </w:r>
      </w:hyperlink>
    </w:p>
    <w:p w14:paraId="5C5578CE" w14:textId="12E9F79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1" w:history="1">
        <w:r w:rsidR="007C215D" w:rsidRPr="00DD5403">
          <w:rPr>
            <w:rStyle w:val="Hyperlink"/>
            <w:rFonts w:eastAsiaTheme="majorEastAsia" w:cs="Arial"/>
            <w:noProof/>
          </w:rPr>
          <w:t xml:space="preserve">Figure 7. </w:t>
        </w:r>
        <w:r w:rsidR="007C215D" w:rsidRPr="00DD5403">
          <w:rPr>
            <w:rStyle w:val="Hyperlink"/>
            <w:rFonts w:eastAsiaTheme="majorEastAsia" w:cs="Arial"/>
            <w:i/>
            <w:noProof/>
          </w:rPr>
          <w:t>Average daily rainfall (mm/day) in the Reef catchment</w:t>
        </w:r>
        <w:r w:rsidR="007C215D">
          <w:rPr>
            <w:noProof/>
            <w:webHidden/>
          </w:rPr>
          <w:tab/>
        </w:r>
        <w:r w:rsidR="007C215D">
          <w:rPr>
            <w:noProof/>
            <w:webHidden/>
          </w:rPr>
          <w:fldChar w:fldCharType="begin"/>
        </w:r>
        <w:r w:rsidR="007C215D">
          <w:rPr>
            <w:noProof/>
            <w:webHidden/>
          </w:rPr>
          <w:instrText xml:space="preserve"> PAGEREF _Toc38634111 \h </w:instrText>
        </w:r>
        <w:r w:rsidR="007C215D">
          <w:rPr>
            <w:noProof/>
            <w:webHidden/>
          </w:rPr>
        </w:r>
        <w:r w:rsidR="007C215D">
          <w:rPr>
            <w:noProof/>
            <w:webHidden/>
          </w:rPr>
          <w:fldChar w:fldCharType="separate"/>
        </w:r>
        <w:r w:rsidR="00561C92">
          <w:rPr>
            <w:noProof/>
            <w:webHidden/>
          </w:rPr>
          <w:t>39</w:t>
        </w:r>
        <w:r w:rsidR="007C215D">
          <w:rPr>
            <w:noProof/>
            <w:webHidden/>
          </w:rPr>
          <w:fldChar w:fldCharType="end"/>
        </w:r>
      </w:hyperlink>
    </w:p>
    <w:p w14:paraId="56085FE2" w14:textId="1CA20AD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2" w:history="1">
        <w:r w:rsidR="007C215D" w:rsidRPr="00DD5403">
          <w:rPr>
            <w:rStyle w:val="Hyperlink"/>
            <w:rFonts w:eastAsiaTheme="majorEastAsia" w:cs="Arial"/>
            <w:noProof/>
          </w:rPr>
          <w:t xml:space="preserve">Figure 8. </w:t>
        </w:r>
        <w:r w:rsidR="007C215D" w:rsidRPr="00DD5403">
          <w:rPr>
            <w:rStyle w:val="Hyperlink"/>
            <w:rFonts w:eastAsiaTheme="majorEastAsia" w:cs="Arial"/>
            <w:i/>
            <w:noProof/>
          </w:rPr>
          <w:t>Environmental pressures in the Reef during 2018–19 and relative to long-term</w:t>
        </w:r>
        <w:r w:rsidR="007C215D">
          <w:rPr>
            <w:noProof/>
            <w:webHidden/>
          </w:rPr>
          <w:tab/>
        </w:r>
        <w:r w:rsidR="007C215D">
          <w:rPr>
            <w:noProof/>
            <w:webHidden/>
          </w:rPr>
          <w:fldChar w:fldCharType="begin"/>
        </w:r>
        <w:r w:rsidR="007C215D">
          <w:rPr>
            <w:noProof/>
            <w:webHidden/>
          </w:rPr>
          <w:instrText xml:space="preserve"> PAGEREF _Toc38634112 \h </w:instrText>
        </w:r>
        <w:r w:rsidR="007C215D">
          <w:rPr>
            <w:noProof/>
            <w:webHidden/>
          </w:rPr>
        </w:r>
        <w:r w:rsidR="007C215D">
          <w:rPr>
            <w:noProof/>
            <w:webHidden/>
          </w:rPr>
          <w:fldChar w:fldCharType="separate"/>
        </w:r>
        <w:r w:rsidR="00561C92">
          <w:rPr>
            <w:noProof/>
            <w:webHidden/>
          </w:rPr>
          <w:t>41</w:t>
        </w:r>
        <w:r w:rsidR="007C215D">
          <w:rPr>
            <w:noProof/>
            <w:webHidden/>
          </w:rPr>
          <w:fldChar w:fldCharType="end"/>
        </w:r>
      </w:hyperlink>
    </w:p>
    <w:p w14:paraId="1A535445" w14:textId="6FF152D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3" w:history="1">
        <w:r w:rsidR="007C215D" w:rsidRPr="00DD5403">
          <w:rPr>
            <w:rStyle w:val="Hyperlink"/>
            <w:rFonts w:eastAsiaTheme="majorEastAsia" w:cs="Arial"/>
            <w:noProof/>
          </w:rPr>
          <w:t xml:space="preserve">Figure 9. </w:t>
        </w:r>
        <w:r w:rsidR="007C215D" w:rsidRPr="00DD5403">
          <w:rPr>
            <w:rStyle w:val="Hyperlink"/>
            <w:rFonts w:eastAsiaTheme="majorEastAsia" w:cs="Arial"/>
            <w:i/>
            <w:noProof/>
          </w:rPr>
          <w:t>Difference in the frequency of exposure to water colour classes 1 to 4 (left) and 1 to 5 (right) at seagrass monitoring sites during the wet season (December 2018–April 2019) compared to the long-term multiannual exposure (2003–2018).</w:t>
        </w:r>
        <w:r w:rsidR="007C215D">
          <w:rPr>
            <w:noProof/>
            <w:webHidden/>
          </w:rPr>
          <w:tab/>
        </w:r>
        <w:r w:rsidR="007C215D">
          <w:rPr>
            <w:noProof/>
            <w:webHidden/>
          </w:rPr>
          <w:fldChar w:fldCharType="begin"/>
        </w:r>
        <w:r w:rsidR="007C215D">
          <w:rPr>
            <w:noProof/>
            <w:webHidden/>
          </w:rPr>
          <w:instrText xml:space="preserve"> PAGEREF _Toc38634113 \h </w:instrText>
        </w:r>
        <w:r w:rsidR="007C215D">
          <w:rPr>
            <w:noProof/>
            <w:webHidden/>
          </w:rPr>
        </w:r>
        <w:r w:rsidR="007C215D">
          <w:rPr>
            <w:noProof/>
            <w:webHidden/>
          </w:rPr>
          <w:fldChar w:fldCharType="separate"/>
        </w:r>
        <w:r w:rsidR="00561C92">
          <w:rPr>
            <w:noProof/>
            <w:webHidden/>
          </w:rPr>
          <w:t>42</w:t>
        </w:r>
        <w:r w:rsidR="007C215D">
          <w:rPr>
            <w:noProof/>
            <w:webHidden/>
          </w:rPr>
          <w:fldChar w:fldCharType="end"/>
        </w:r>
      </w:hyperlink>
    </w:p>
    <w:p w14:paraId="09D49584" w14:textId="26ECC21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4" w:history="1">
        <w:r w:rsidR="007C215D" w:rsidRPr="00DD5403">
          <w:rPr>
            <w:rStyle w:val="Hyperlink"/>
            <w:rFonts w:eastAsiaTheme="majorEastAsia" w:cs="Arial"/>
            <w:noProof/>
          </w:rPr>
          <w:t xml:space="preserve">Figure 10. </w:t>
        </w:r>
        <w:r w:rsidR="007C215D" w:rsidRPr="00DD5403">
          <w:rPr>
            <w:rStyle w:val="Hyperlink"/>
            <w:rFonts w:eastAsiaTheme="majorEastAsia" w:cs="Arial"/>
            <w:i/>
            <w:noProof/>
          </w:rPr>
          <w:t>Daily light for all sites combined from 2008 to 2019. In 2008–2009, light data is from the Burdekin and Wet Tropics regions only. Other regions were included from 2009–2010, with Cape York added post 2012–2013 reporting period.</w:t>
        </w:r>
        <w:r w:rsidR="007C215D">
          <w:rPr>
            <w:noProof/>
            <w:webHidden/>
          </w:rPr>
          <w:tab/>
        </w:r>
        <w:r w:rsidR="007C215D">
          <w:rPr>
            <w:noProof/>
            <w:webHidden/>
          </w:rPr>
          <w:fldChar w:fldCharType="begin"/>
        </w:r>
        <w:r w:rsidR="007C215D">
          <w:rPr>
            <w:noProof/>
            <w:webHidden/>
          </w:rPr>
          <w:instrText xml:space="preserve"> PAGEREF _Toc38634114 \h </w:instrText>
        </w:r>
        <w:r w:rsidR="007C215D">
          <w:rPr>
            <w:noProof/>
            <w:webHidden/>
          </w:rPr>
        </w:r>
        <w:r w:rsidR="007C215D">
          <w:rPr>
            <w:noProof/>
            <w:webHidden/>
          </w:rPr>
          <w:fldChar w:fldCharType="separate"/>
        </w:r>
        <w:r w:rsidR="00561C92">
          <w:rPr>
            <w:noProof/>
            <w:webHidden/>
          </w:rPr>
          <w:t>43</w:t>
        </w:r>
        <w:r w:rsidR="007C215D">
          <w:rPr>
            <w:noProof/>
            <w:webHidden/>
          </w:rPr>
          <w:fldChar w:fldCharType="end"/>
        </w:r>
      </w:hyperlink>
    </w:p>
    <w:p w14:paraId="3B789024" w14:textId="21C26A1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5" w:history="1">
        <w:r w:rsidR="007C215D" w:rsidRPr="00DD5403">
          <w:rPr>
            <w:rStyle w:val="Hyperlink"/>
            <w:rFonts w:eastAsiaTheme="majorEastAsia" w:cs="Arial"/>
            <w:noProof/>
          </w:rPr>
          <w:t xml:space="preserve">Figure 11. </w:t>
        </w:r>
        <w:r w:rsidR="007C215D" w:rsidRPr="00DD5403">
          <w:rPr>
            <w:rStyle w:val="Hyperlink"/>
            <w:rFonts w:eastAsiaTheme="majorEastAsia" w:cs="Arial"/>
            <w:i/>
            <w:noProof/>
          </w:rPr>
          <w:t>Number of days when inshore intertidal sea temperature exceeded 35°C, 38°C, 40°C and 43°C in each monitoring period in each NRM region.</w:t>
        </w:r>
        <w:r w:rsidR="007C215D">
          <w:rPr>
            <w:noProof/>
            <w:webHidden/>
          </w:rPr>
          <w:tab/>
        </w:r>
        <w:r w:rsidR="007C215D">
          <w:rPr>
            <w:noProof/>
            <w:webHidden/>
          </w:rPr>
          <w:fldChar w:fldCharType="begin"/>
        </w:r>
        <w:r w:rsidR="007C215D">
          <w:rPr>
            <w:noProof/>
            <w:webHidden/>
          </w:rPr>
          <w:instrText xml:space="preserve"> PAGEREF _Toc38634115 \h </w:instrText>
        </w:r>
        <w:r w:rsidR="007C215D">
          <w:rPr>
            <w:noProof/>
            <w:webHidden/>
          </w:rPr>
        </w:r>
        <w:r w:rsidR="007C215D">
          <w:rPr>
            <w:noProof/>
            <w:webHidden/>
          </w:rPr>
          <w:fldChar w:fldCharType="separate"/>
        </w:r>
        <w:r w:rsidR="00561C92">
          <w:rPr>
            <w:noProof/>
            <w:webHidden/>
          </w:rPr>
          <w:t>45</w:t>
        </w:r>
        <w:r w:rsidR="007C215D">
          <w:rPr>
            <w:noProof/>
            <w:webHidden/>
          </w:rPr>
          <w:fldChar w:fldCharType="end"/>
        </w:r>
      </w:hyperlink>
    </w:p>
    <w:p w14:paraId="1B3E8ED8" w14:textId="2F9F2E62"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6" w:history="1">
        <w:r w:rsidR="007C215D" w:rsidRPr="00DD5403">
          <w:rPr>
            <w:rStyle w:val="Hyperlink"/>
            <w:rFonts w:eastAsiaTheme="majorEastAsia" w:cs="Arial"/>
            <w:noProof/>
          </w:rPr>
          <w:t xml:space="preserve">Figure 12. </w:t>
        </w:r>
        <w:r w:rsidR="007C215D" w:rsidRPr="00DD5403">
          <w:rPr>
            <w:rStyle w:val="Hyperlink"/>
            <w:rFonts w:eastAsiaTheme="majorEastAsia" w:cs="Arial"/>
            <w:i/>
            <w:noProof/>
          </w:rPr>
          <w:t>Number of days when inshore subtidal sea temperature exceeded 35°C, 38°C, 40°C and 43°C in each monitoring period in each NRM region.</w:t>
        </w:r>
        <w:r w:rsidR="007C215D">
          <w:rPr>
            <w:noProof/>
            <w:webHidden/>
          </w:rPr>
          <w:tab/>
        </w:r>
        <w:r w:rsidR="007C215D">
          <w:rPr>
            <w:noProof/>
            <w:webHidden/>
          </w:rPr>
          <w:fldChar w:fldCharType="begin"/>
        </w:r>
        <w:r w:rsidR="007C215D">
          <w:rPr>
            <w:noProof/>
            <w:webHidden/>
          </w:rPr>
          <w:instrText xml:space="preserve"> PAGEREF _Toc38634116 \h </w:instrText>
        </w:r>
        <w:r w:rsidR="007C215D">
          <w:rPr>
            <w:noProof/>
            <w:webHidden/>
          </w:rPr>
        </w:r>
        <w:r w:rsidR="007C215D">
          <w:rPr>
            <w:noProof/>
            <w:webHidden/>
          </w:rPr>
          <w:fldChar w:fldCharType="separate"/>
        </w:r>
        <w:r w:rsidR="00561C92">
          <w:rPr>
            <w:noProof/>
            <w:webHidden/>
          </w:rPr>
          <w:t>45</w:t>
        </w:r>
        <w:r w:rsidR="007C215D">
          <w:rPr>
            <w:noProof/>
            <w:webHidden/>
          </w:rPr>
          <w:fldChar w:fldCharType="end"/>
        </w:r>
      </w:hyperlink>
    </w:p>
    <w:p w14:paraId="49FABF2C" w14:textId="6540C86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7" w:history="1">
        <w:r w:rsidR="007C215D" w:rsidRPr="00DD5403">
          <w:rPr>
            <w:rStyle w:val="Hyperlink"/>
            <w:rFonts w:eastAsiaTheme="majorEastAsia" w:cs="Arial"/>
            <w:noProof/>
          </w:rPr>
          <w:t xml:space="preserve">Figure 13. </w:t>
        </w:r>
        <w:r w:rsidR="007C215D" w:rsidRPr="00DD5403">
          <w:rPr>
            <w:rStyle w:val="Hyperlink"/>
            <w:rFonts w:eastAsiaTheme="majorEastAsia" w:cs="Arial"/>
            <w:i/>
            <w:noProof/>
          </w:rPr>
          <w:t>Inshore intertidal sea temperature deviations from baseline for Reef seagrass habitats from 2003 to 2019.</w:t>
        </w:r>
        <w:r w:rsidR="007C215D">
          <w:rPr>
            <w:noProof/>
            <w:webHidden/>
          </w:rPr>
          <w:tab/>
        </w:r>
        <w:r w:rsidR="007C215D">
          <w:rPr>
            <w:noProof/>
            <w:webHidden/>
          </w:rPr>
          <w:fldChar w:fldCharType="begin"/>
        </w:r>
        <w:r w:rsidR="007C215D">
          <w:rPr>
            <w:noProof/>
            <w:webHidden/>
          </w:rPr>
          <w:instrText xml:space="preserve"> PAGEREF _Toc38634117 \h </w:instrText>
        </w:r>
        <w:r w:rsidR="007C215D">
          <w:rPr>
            <w:noProof/>
            <w:webHidden/>
          </w:rPr>
        </w:r>
        <w:r w:rsidR="007C215D">
          <w:rPr>
            <w:noProof/>
            <w:webHidden/>
          </w:rPr>
          <w:fldChar w:fldCharType="separate"/>
        </w:r>
        <w:r w:rsidR="00561C92">
          <w:rPr>
            <w:noProof/>
            <w:webHidden/>
          </w:rPr>
          <w:t>46</w:t>
        </w:r>
        <w:r w:rsidR="007C215D">
          <w:rPr>
            <w:noProof/>
            <w:webHidden/>
          </w:rPr>
          <w:fldChar w:fldCharType="end"/>
        </w:r>
      </w:hyperlink>
    </w:p>
    <w:p w14:paraId="3384D87F" w14:textId="601840E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8" w:history="1">
        <w:r w:rsidR="007C215D" w:rsidRPr="00DD5403">
          <w:rPr>
            <w:rStyle w:val="Hyperlink"/>
            <w:rFonts w:eastAsiaTheme="majorEastAsia" w:cs="Arial"/>
            <w:noProof/>
          </w:rPr>
          <w:t xml:space="preserve">Figure 14. </w:t>
        </w:r>
        <w:r w:rsidR="007C215D" w:rsidRPr="00DD5403">
          <w:rPr>
            <w:rStyle w:val="Hyperlink"/>
            <w:rFonts w:eastAsiaTheme="majorEastAsia" w:cs="Arial"/>
            <w:i/>
            <w:noProof/>
          </w:rPr>
          <w:t>Proportion of sediment composed of mud (grain size &lt;63µm) at Reef seagrass monitoring habitats from 1999–2019.</w:t>
        </w:r>
        <w:r w:rsidR="007C215D">
          <w:rPr>
            <w:noProof/>
            <w:webHidden/>
          </w:rPr>
          <w:tab/>
        </w:r>
        <w:r w:rsidR="007C215D">
          <w:rPr>
            <w:noProof/>
            <w:webHidden/>
          </w:rPr>
          <w:fldChar w:fldCharType="begin"/>
        </w:r>
        <w:r w:rsidR="007C215D">
          <w:rPr>
            <w:noProof/>
            <w:webHidden/>
          </w:rPr>
          <w:instrText xml:space="preserve"> PAGEREF _Toc38634118 \h </w:instrText>
        </w:r>
        <w:r w:rsidR="007C215D">
          <w:rPr>
            <w:noProof/>
            <w:webHidden/>
          </w:rPr>
        </w:r>
        <w:r w:rsidR="007C215D">
          <w:rPr>
            <w:noProof/>
            <w:webHidden/>
          </w:rPr>
          <w:fldChar w:fldCharType="separate"/>
        </w:r>
        <w:r w:rsidR="00561C92">
          <w:rPr>
            <w:noProof/>
            <w:webHidden/>
          </w:rPr>
          <w:t>47</w:t>
        </w:r>
        <w:r w:rsidR="007C215D">
          <w:rPr>
            <w:noProof/>
            <w:webHidden/>
          </w:rPr>
          <w:fldChar w:fldCharType="end"/>
        </w:r>
      </w:hyperlink>
    </w:p>
    <w:p w14:paraId="0A724DFE" w14:textId="164153E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19" w:history="1">
        <w:r w:rsidR="007C215D" w:rsidRPr="00DD5403">
          <w:rPr>
            <w:rStyle w:val="Hyperlink"/>
            <w:rFonts w:eastAsiaTheme="majorEastAsia" w:cs="Arial"/>
            <w:noProof/>
          </w:rPr>
          <w:t xml:space="preserve">Figure 15. </w:t>
        </w:r>
        <w:r w:rsidR="007C215D" w:rsidRPr="00DD5403">
          <w:rPr>
            <w:rStyle w:val="Hyperlink"/>
            <w:rFonts w:eastAsiaTheme="majorEastAsia" w:cs="Arial"/>
            <w:i/>
            <w:noProof/>
          </w:rPr>
          <w:t>Reef-wide seagrass condition index (±SE) with contributing indicator scores over the life of the MMP</w:t>
        </w:r>
        <w:r w:rsidR="007C215D">
          <w:rPr>
            <w:noProof/>
            <w:webHidden/>
          </w:rPr>
          <w:tab/>
        </w:r>
        <w:r w:rsidR="007C215D">
          <w:rPr>
            <w:noProof/>
            <w:webHidden/>
          </w:rPr>
          <w:fldChar w:fldCharType="begin"/>
        </w:r>
        <w:r w:rsidR="007C215D">
          <w:rPr>
            <w:noProof/>
            <w:webHidden/>
          </w:rPr>
          <w:instrText xml:space="preserve"> PAGEREF _Toc38634119 \h </w:instrText>
        </w:r>
        <w:r w:rsidR="007C215D">
          <w:rPr>
            <w:noProof/>
            <w:webHidden/>
          </w:rPr>
        </w:r>
        <w:r w:rsidR="007C215D">
          <w:rPr>
            <w:noProof/>
            <w:webHidden/>
          </w:rPr>
          <w:fldChar w:fldCharType="separate"/>
        </w:r>
        <w:r w:rsidR="00561C92">
          <w:rPr>
            <w:noProof/>
            <w:webHidden/>
          </w:rPr>
          <w:t>49</w:t>
        </w:r>
        <w:r w:rsidR="007C215D">
          <w:rPr>
            <w:noProof/>
            <w:webHidden/>
          </w:rPr>
          <w:fldChar w:fldCharType="end"/>
        </w:r>
      </w:hyperlink>
    </w:p>
    <w:p w14:paraId="5E26B22F" w14:textId="7A3AC49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0" w:history="1">
        <w:r w:rsidR="007C215D" w:rsidRPr="00DD5403">
          <w:rPr>
            <w:rStyle w:val="Hyperlink"/>
            <w:rFonts w:eastAsiaTheme="majorEastAsia" w:cs="Arial"/>
            <w:noProof/>
          </w:rPr>
          <w:t xml:space="preserve">Figure 16. </w:t>
        </w:r>
        <w:r w:rsidR="007C215D" w:rsidRPr="00DD5403">
          <w:rPr>
            <w:rStyle w:val="Hyperlink"/>
            <w:rFonts w:eastAsiaTheme="majorEastAsia" w:cs="Arial"/>
            <w:i/>
            <w:noProof/>
          </w:rPr>
          <w:t>Seagrass condition index (±SE) with contributing indicator scores for each NRM region over the life of the MMP</w:t>
        </w:r>
        <w:r w:rsidR="007C215D">
          <w:rPr>
            <w:noProof/>
            <w:webHidden/>
          </w:rPr>
          <w:tab/>
        </w:r>
        <w:r w:rsidR="007C215D">
          <w:rPr>
            <w:noProof/>
            <w:webHidden/>
          </w:rPr>
          <w:fldChar w:fldCharType="begin"/>
        </w:r>
        <w:r w:rsidR="007C215D">
          <w:rPr>
            <w:noProof/>
            <w:webHidden/>
          </w:rPr>
          <w:instrText xml:space="preserve"> PAGEREF _Toc38634120 \h </w:instrText>
        </w:r>
        <w:r w:rsidR="007C215D">
          <w:rPr>
            <w:noProof/>
            <w:webHidden/>
          </w:rPr>
        </w:r>
        <w:r w:rsidR="007C215D">
          <w:rPr>
            <w:noProof/>
            <w:webHidden/>
          </w:rPr>
          <w:fldChar w:fldCharType="separate"/>
        </w:r>
        <w:r w:rsidR="00561C92">
          <w:rPr>
            <w:noProof/>
            <w:webHidden/>
          </w:rPr>
          <w:t>50</w:t>
        </w:r>
        <w:r w:rsidR="007C215D">
          <w:rPr>
            <w:noProof/>
            <w:webHidden/>
          </w:rPr>
          <w:fldChar w:fldCharType="end"/>
        </w:r>
      </w:hyperlink>
    </w:p>
    <w:p w14:paraId="0D8E95A9" w14:textId="0D29D04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1" w:history="1">
        <w:r w:rsidR="007C215D" w:rsidRPr="00DD5403">
          <w:rPr>
            <w:rStyle w:val="Hyperlink"/>
            <w:rFonts w:eastAsiaTheme="majorEastAsia" w:cs="Arial"/>
            <w:noProof/>
          </w:rPr>
          <w:t xml:space="preserve">Figure 17. </w:t>
        </w:r>
        <w:r w:rsidR="007C215D" w:rsidRPr="00DD5403">
          <w:rPr>
            <w:rStyle w:val="Hyperlink"/>
            <w:rFonts w:eastAsiaTheme="majorEastAsia" w:cs="Arial"/>
            <w:i/>
            <w:noProof/>
          </w:rPr>
          <w:t>Trends in the seagrass condition index and indicators used to calculate the index</w:t>
        </w:r>
        <w:r w:rsidR="007C215D">
          <w:rPr>
            <w:noProof/>
            <w:webHidden/>
          </w:rPr>
          <w:tab/>
        </w:r>
        <w:r w:rsidR="007C215D">
          <w:rPr>
            <w:noProof/>
            <w:webHidden/>
          </w:rPr>
          <w:fldChar w:fldCharType="begin"/>
        </w:r>
        <w:r w:rsidR="007C215D">
          <w:rPr>
            <w:noProof/>
            <w:webHidden/>
          </w:rPr>
          <w:instrText xml:space="preserve"> PAGEREF _Toc38634121 \h </w:instrText>
        </w:r>
        <w:r w:rsidR="007C215D">
          <w:rPr>
            <w:noProof/>
            <w:webHidden/>
          </w:rPr>
        </w:r>
        <w:r w:rsidR="007C215D">
          <w:rPr>
            <w:noProof/>
            <w:webHidden/>
          </w:rPr>
          <w:fldChar w:fldCharType="separate"/>
        </w:r>
        <w:r w:rsidR="00561C92">
          <w:rPr>
            <w:noProof/>
            <w:webHidden/>
          </w:rPr>
          <w:t>51</w:t>
        </w:r>
        <w:r w:rsidR="007C215D">
          <w:rPr>
            <w:noProof/>
            <w:webHidden/>
          </w:rPr>
          <w:fldChar w:fldCharType="end"/>
        </w:r>
      </w:hyperlink>
    </w:p>
    <w:p w14:paraId="32102D0B" w14:textId="34989DB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2" w:history="1">
        <w:r w:rsidR="007C215D" w:rsidRPr="00DD5403">
          <w:rPr>
            <w:rStyle w:val="Hyperlink"/>
            <w:rFonts w:eastAsiaTheme="majorEastAsia" w:cs="Arial"/>
            <w:noProof/>
          </w:rPr>
          <w:t xml:space="preserve">Figure 18. </w:t>
        </w:r>
        <w:r w:rsidR="007C215D" w:rsidRPr="00DD5403">
          <w:rPr>
            <w:rStyle w:val="Hyperlink"/>
            <w:rFonts w:eastAsiaTheme="majorEastAsia" w:cs="Arial"/>
            <w:i/>
            <w:noProof/>
          </w:rPr>
          <w:t>Seagrass per cent cover measures per quadrat from meadows monitored from June 1999 to May 2019 (sites and habitats pooled).</w:t>
        </w:r>
        <w:r w:rsidR="007C215D">
          <w:rPr>
            <w:noProof/>
            <w:webHidden/>
          </w:rPr>
          <w:tab/>
        </w:r>
        <w:r w:rsidR="007C215D">
          <w:rPr>
            <w:noProof/>
            <w:webHidden/>
          </w:rPr>
          <w:fldChar w:fldCharType="begin"/>
        </w:r>
        <w:r w:rsidR="007C215D">
          <w:rPr>
            <w:noProof/>
            <w:webHidden/>
          </w:rPr>
          <w:instrText xml:space="preserve"> PAGEREF _Toc38634122 \h </w:instrText>
        </w:r>
        <w:r w:rsidR="007C215D">
          <w:rPr>
            <w:noProof/>
            <w:webHidden/>
          </w:rPr>
        </w:r>
        <w:r w:rsidR="007C215D">
          <w:rPr>
            <w:noProof/>
            <w:webHidden/>
          </w:rPr>
          <w:fldChar w:fldCharType="separate"/>
        </w:r>
        <w:r w:rsidR="00561C92">
          <w:rPr>
            <w:noProof/>
            <w:webHidden/>
          </w:rPr>
          <w:t>52</w:t>
        </w:r>
        <w:r w:rsidR="007C215D">
          <w:rPr>
            <w:noProof/>
            <w:webHidden/>
          </w:rPr>
          <w:fldChar w:fldCharType="end"/>
        </w:r>
      </w:hyperlink>
    </w:p>
    <w:p w14:paraId="319CBEC3" w14:textId="6A258F8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3" w:history="1">
        <w:r w:rsidR="007C215D" w:rsidRPr="00DD5403">
          <w:rPr>
            <w:rStyle w:val="Hyperlink"/>
            <w:rFonts w:eastAsiaTheme="majorEastAsia" w:cs="Arial"/>
            <w:noProof/>
          </w:rPr>
          <w:t xml:space="preserve">Figure 19. </w:t>
        </w:r>
        <w:r w:rsidR="007C215D" w:rsidRPr="00DD5403">
          <w:rPr>
            <w:rStyle w:val="Hyperlink"/>
            <w:rFonts w:eastAsiaTheme="majorEastAsia" w:cs="Arial"/>
            <w:i/>
            <w:noProof/>
          </w:rPr>
          <w:t>Average relative spatial extent of seagrass distribution at monitoring sites across inshore Reef</w:t>
        </w:r>
        <w:r w:rsidR="007C215D">
          <w:rPr>
            <w:noProof/>
            <w:webHidden/>
          </w:rPr>
          <w:tab/>
        </w:r>
        <w:r w:rsidR="007C215D">
          <w:rPr>
            <w:noProof/>
            <w:webHidden/>
          </w:rPr>
          <w:fldChar w:fldCharType="begin"/>
        </w:r>
        <w:r w:rsidR="007C215D">
          <w:rPr>
            <w:noProof/>
            <w:webHidden/>
          </w:rPr>
          <w:instrText xml:space="preserve"> PAGEREF _Toc38634123 \h </w:instrText>
        </w:r>
        <w:r w:rsidR="007C215D">
          <w:rPr>
            <w:noProof/>
            <w:webHidden/>
          </w:rPr>
        </w:r>
        <w:r w:rsidR="007C215D">
          <w:rPr>
            <w:noProof/>
            <w:webHidden/>
          </w:rPr>
          <w:fldChar w:fldCharType="separate"/>
        </w:r>
        <w:r w:rsidR="00561C92">
          <w:rPr>
            <w:noProof/>
            <w:webHidden/>
          </w:rPr>
          <w:t>53</w:t>
        </w:r>
        <w:r w:rsidR="007C215D">
          <w:rPr>
            <w:noProof/>
            <w:webHidden/>
          </w:rPr>
          <w:fldChar w:fldCharType="end"/>
        </w:r>
      </w:hyperlink>
    </w:p>
    <w:p w14:paraId="654F086B" w14:textId="6E75B2E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4" w:history="1">
        <w:r w:rsidR="007C215D" w:rsidRPr="00DD5403">
          <w:rPr>
            <w:rStyle w:val="Hyperlink"/>
            <w:rFonts w:eastAsiaTheme="majorEastAsia" w:cs="Arial"/>
            <w:noProof/>
          </w:rPr>
          <w:t xml:space="preserve">Figure 20. </w:t>
        </w:r>
        <w:r w:rsidR="007C215D" w:rsidRPr="00DD5403">
          <w:rPr>
            <w:rStyle w:val="Hyperlink"/>
            <w:rFonts w:eastAsiaTheme="majorEastAsia" w:cs="Arial"/>
            <w:i/>
            <w:noProof/>
          </w:rPr>
          <w:t>Proportion of total seagrass abundance composed of species displaying colonising traits</w:t>
        </w:r>
        <w:r w:rsidR="007C215D">
          <w:rPr>
            <w:noProof/>
            <w:webHidden/>
          </w:rPr>
          <w:tab/>
        </w:r>
        <w:r w:rsidR="007C215D">
          <w:rPr>
            <w:noProof/>
            <w:webHidden/>
          </w:rPr>
          <w:fldChar w:fldCharType="begin"/>
        </w:r>
        <w:r w:rsidR="007C215D">
          <w:rPr>
            <w:noProof/>
            <w:webHidden/>
          </w:rPr>
          <w:instrText xml:space="preserve"> PAGEREF _Toc38634124 \h </w:instrText>
        </w:r>
        <w:r w:rsidR="007C215D">
          <w:rPr>
            <w:noProof/>
            <w:webHidden/>
          </w:rPr>
        </w:r>
        <w:r w:rsidR="007C215D">
          <w:rPr>
            <w:noProof/>
            <w:webHidden/>
          </w:rPr>
          <w:fldChar w:fldCharType="separate"/>
        </w:r>
        <w:r w:rsidR="00561C92">
          <w:rPr>
            <w:noProof/>
            <w:webHidden/>
          </w:rPr>
          <w:t>53</w:t>
        </w:r>
        <w:r w:rsidR="007C215D">
          <w:rPr>
            <w:noProof/>
            <w:webHidden/>
          </w:rPr>
          <w:fldChar w:fldCharType="end"/>
        </w:r>
      </w:hyperlink>
    </w:p>
    <w:p w14:paraId="2402D8F3" w14:textId="27B0CD1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5" w:history="1">
        <w:r w:rsidR="007C215D" w:rsidRPr="00DD5403">
          <w:rPr>
            <w:rStyle w:val="Hyperlink"/>
            <w:rFonts w:eastAsiaTheme="majorEastAsia" w:cs="Arial"/>
            <w:noProof/>
          </w:rPr>
          <w:t xml:space="preserve">Figure 21. </w:t>
        </w:r>
        <w:r w:rsidR="007C215D" w:rsidRPr="00DD5403">
          <w:rPr>
            <w:rStyle w:val="Hyperlink"/>
            <w:rFonts w:eastAsiaTheme="majorEastAsia" w:cs="Arial"/>
            <w:i/>
            <w:noProof/>
          </w:rPr>
          <w:t>Seagrass reproductive effort (number of reproductive structures produced by all seagrass species) during the late dry of each monitoring period</w:t>
        </w:r>
        <w:r w:rsidR="007C215D">
          <w:rPr>
            <w:noProof/>
            <w:webHidden/>
          </w:rPr>
          <w:tab/>
        </w:r>
        <w:r w:rsidR="007C215D">
          <w:rPr>
            <w:noProof/>
            <w:webHidden/>
          </w:rPr>
          <w:fldChar w:fldCharType="begin"/>
        </w:r>
        <w:r w:rsidR="007C215D">
          <w:rPr>
            <w:noProof/>
            <w:webHidden/>
          </w:rPr>
          <w:instrText xml:space="preserve"> PAGEREF _Toc38634125 \h </w:instrText>
        </w:r>
        <w:r w:rsidR="007C215D">
          <w:rPr>
            <w:noProof/>
            <w:webHidden/>
          </w:rPr>
        </w:r>
        <w:r w:rsidR="007C215D">
          <w:rPr>
            <w:noProof/>
            <w:webHidden/>
          </w:rPr>
          <w:fldChar w:fldCharType="separate"/>
        </w:r>
        <w:r w:rsidR="00561C92">
          <w:rPr>
            <w:noProof/>
            <w:webHidden/>
          </w:rPr>
          <w:t>55</w:t>
        </w:r>
        <w:r w:rsidR="007C215D">
          <w:rPr>
            <w:noProof/>
            <w:webHidden/>
          </w:rPr>
          <w:fldChar w:fldCharType="end"/>
        </w:r>
      </w:hyperlink>
    </w:p>
    <w:p w14:paraId="1C49A138" w14:textId="4038FDF8"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6" w:history="1">
        <w:r w:rsidR="007C215D" w:rsidRPr="00DD5403">
          <w:rPr>
            <w:rStyle w:val="Hyperlink"/>
            <w:rFonts w:eastAsiaTheme="majorEastAsia" w:cs="Arial"/>
            <w:noProof/>
          </w:rPr>
          <w:t xml:space="preserve">Figure 22. </w:t>
        </w:r>
        <w:r w:rsidR="007C215D" w:rsidRPr="00DD5403">
          <w:rPr>
            <w:rStyle w:val="Hyperlink"/>
            <w:rFonts w:eastAsiaTheme="majorEastAsia" w:cs="Arial"/>
            <w:i/>
            <w:noProof/>
          </w:rPr>
          <w:t>Average seeds banks (seeds per square metre of sediment surface, all sites and species pooled) in Reef seagrass habitats</w:t>
        </w:r>
        <w:r w:rsidR="007C215D">
          <w:rPr>
            <w:noProof/>
            <w:webHidden/>
          </w:rPr>
          <w:tab/>
        </w:r>
        <w:r w:rsidR="007C215D">
          <w:rPr>
            <w:noProof/>
            <w:webHidden/>
          </w:rPr>
          <w:fldChar w:fldCharType="begin"/>
        </w:r>
        <w:r w:rsidR="007C215D">
          <w:rPr>
            <w:noProof/>
            <w:webHidden/>
          </w:rPr>
          <w:instrText xml:space="preserve"> PAGEREF _Toc38634126 \h </w:instrText>
        </w:r>
        <w:r w:rsidR="007C215D">
          <w:rPr>
            <w:noProof/>
            <w:webHidden/>
          </w:rPr>
        </w:r>
        <w:r w:rsidR="007C215D">
          <w:rPr>
            <w:noProof/>
            <w:webHidden/>
          </w:rPr>
          <w:fldChar w:fldCharType="separate"/>
        </w:r>
        <w:r w:rsidR="00561C92">
          <w:rPr>
            <w:noProof/>
            <w:webHidden/>
          </w:rPr>
          <w:t>55</w:t>
        </w:r>
        <w:r w:rsidR="007C215D">
          <w:rPr>
            <w:noProof/>
            <w:webHidden/>
          </w:rPr>
          <w:fldChar w:fldCharType="end"/>
        </w:r>
      </w:hyperlink>
    </w:p>
    <w:p w14:paraId="4FBAAAFF" w14:textId="44047863"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7" w:history="1">
        <w:r w:rsidR="007C215D" w:rsidRPr="00DD5403">
          <w:rPr>
            <w:rStyle w:val="Hyperlink"/>
            <w:rFonts w:eastAsiaTheme="majorEastAsia" w:cs="Arial"/>
            <w:noProof/>
          </w:rPr>
          <w:t xml:space="preserve">Figure 23.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seagrass habitat each year</w:t>
        </w:r>
        <w:r w:rsidR="007C215D">
          <w:rPr>
            <w:noProof/>
            <w:webHidden/>
          </w:rPr>
          <w:tab/>
        </w:r>
        <w:r w:rsidR="007C215D">
          <w:rPr>
            <w:noProof/>
            <w:webHidden/>
          </w:rPr>
          <w:fldChar w:fldCharType="begin"/>
        </w:r>
        <w:r w:rsidR="007C215D">
          <w:rPr>
            <w:noProof/>
            <w:webHidden/>
          </w:rPr>
          <w:instrText xml:space="preserve"> PAGEREF _Toc38634127 \h </w:instrText>
        </w:r>
        <w:r w:rsidR="007C215D">
          <w:rPr>
            <w:noProof/>
            <w:webHidden/>
          </w:rPr>
        </w:r>
        <w:r w:rsidR="007C215D">
          <w:rPr>
            <w:noProof/>
            <w:webHidden/>
          </w:rPr>
          <w:fldChar w:fldCharType="separate"/>
        </w:r>
        <w:r w:rsidR="00561C92">
          <w:rPr>
            <w:noProof/>
            <w:webHidden/>
          </w:rPr>
          <w:t>57</w:t>
        </w:r>
        <w:r w:rsidR="007C215D">
          <w:rPr>
            <w:noProof/>
            <w:webHidden/>
          </w:rPr>
          <w:fldChar w:fldCharType="end"/>
        </w:r>
      </w:hyperlink>
    </w:p>
    <w:p w14:paraId="473EE7AE" w14:textId="6FE61B0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8" w:history="1">
        <w:r w:rsidR="007C215D" w:rsidRPr="00DD5403">
          <w:rPr>
            <w:rStyle w:val="Hyperlink"/>
            <w:rFonts w:eastAsiaTheme="majorEastAsia" w:cs="Arial"/>
            <w:noProof/>
          </w:rPr>
          <w:t xml:space="preserve">Figure 24. </w:t>
        </w:r>
        <w:r w:rsidR="007C215D" w:rsidRPr="00DD5403">
          <w:rPr>
            <w:rStyle w:val="Hyperlink"/>
            <w:rFonts w:eastAsiaTheme="majorEastAsia" w:cs="Arial"/>
            <w:i/>
            <w:noProof/>
          </w:rPr>
          <w:t>Epiphyte abundance (per cent cover) relative to the long-term average (the zero axis) for each Reef seagrass habitat</w:t>
        </w:r>
        <w:r w:rsidR="007C215D">
          <w:rPr>
            <w:noProof/>
            <w:webHidden/>
          </w:rPr>
          <w:tab/>
        </w:r>
        <w:r w:rsidR="007C215D">
          <w:rPr>
            <w:noProof/>
            <w:webHidden/>
          </w:rPr>
          <w:fldChar w:fldCharType="begin"/>
        </w:r>
        <w:r w:rsidR="007C215D">
          <w:rPr>
            <w:noProof/>
            <w:webHidden/>
          </w:rPr>
          <w:instrText xml:space="preserve"> PAGEREF _Toc38634128 \h </w:instrText>
        </w:r>
        <w:r w:rsidR="007C215D">
          <w:rPr>
            <w:noProof/>
            <w:webHidden/>
          </w:rPr>
        </w:r>
        <w:r w:rsidR="007C215D">
          <w:rPr>
            <w:noProof/>
            <w:webHidden/>
          </w:rPr>
          <w:fldChar w:fldCharType="separate"/>
        </w:r>
        <w:r w:rsidR="00561C92">
          <w:rPr>
            <w:noProof/>
            <w:webHidden/>
          </w:rPr>
          <w:t>58</w:t>
        </w:r>
        <w:r w:rsidR="007C215D">
          <w:rPr>
            <w:noProof/>
            <w:webHidden/>
          </w:rPr>
          <w:fldChar w:fldCharType="end"/>
        </w:r>
      </w:hyperlink>
    </w:p>
    <w:p w14:paraId="534ADF64" w14:textId="5B9FFF6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29" w:history="1">
        <w:r w:rsidR="007C215D" w:rsidRPr="00DD5403">
          <w:rPr>
            <w:rStyle w:val="Hyperlink"/>
            <w:rFonts w:eastAsiaTheme="majorEastAsia" w:cs="Arial"/>
            <w:noProof/>
          </w:rPr>
          <w:t xml:space="preserve">Figure 25. </w:t>
        </w:r>
        <w:r w:rsidR="007C215D" w:rsidRPr="00DD5403">
          <w:rPr>
            <w:rStyle w:val="Hyperlink"/>
            <w:rFonts w:eastAsiaTheme="majorEastAsia" w:cs="Arial"/>
            <w:i/>
            <w:noProof/>
          </w:rPr>
          <w:t>Macroalgae abundance (per cent cover) relative to the long-term average for each inshore Reef seagrass habitat</w:t>
        </w:r>
        <w:r w:rsidR="007C215D">
          <w:rPr>
            <w:noProof/>
            <w:webHidden/>
          </w:rPr>
          <w:tab/>
        </w:r>
        <w:r w:rsidR="007C215D">
          <w:rPr>
            <w:noProof/>
            <w:webHidden/>
          </w:rPr>
          <w:fldChar w:fldCharType="begin"/>
        </w:r>
        <w:r w:rsidR="007C215D">
          <w:rPr>
            <w:noProof/>
            <w:webHidden/>
          </w:rPr>
          <w:instrText xml:space="preserve"> PAGEREF _Toc38634129 \h </w:instrText>
        </w:r>
        <w:r w:rsidR="007C215D">
          <w:rPr>
            <w:noProof/>
            <w:webHidden/>
          </w:rPr>
        </w:r>
        <w:r w:rsidR="007C215D">
          <w:rPr>
            <w:noProof/>
            <w:webHidden/>
          </w:rPr>
          <w:fldChar w:fldCharType="separate"/>
        </w:r>
        <w:r w:rsidR="00561C92">
          <w:rPr>
            <w:noProof/>
            <w:webHidden/>
          </w:rPr>
          <w:t>58</w:t>
        </w:r>
        <w:r w:rsidR="007C215D">
          <w:rPr>
            <w:noProof/>
            <w:webHidden/>
          </w:rPr>
          <w:fldChar w:fldCharType="end"/>
        </w:r>
      </w:hyperlink>
    </w:p>
    <w:p w14:paraId="7A68EFB8" w14:textId="0D49BBD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0" w:history="1">
        <w:r w:rsidR="007C215D" w:rsidRPr="00DD5403">
          <w:rPr>
            <w:rStyle w:val="Hyperlink"/>
            <w:rFonts w:eastAsiaTheme="majorEastAsia" w:cs="Arial"/>
            <w:noProof/>
          </w:rPr>
          <w:t xml:space="preserve">Figure 26. </w:t>
        </w:r>
        <w:r w:rsidR="007C215D" w:rsidRPr="00DD5403">
          <w:rPr>
            <w:rStyle w:val="Hyperlink"/>
            <w:rFonts w:eastAsiaTheme="majorEastAsia" w:cs="Arial"/>
            <w:i/>
            <w:noProof/>
          </w:rPr>
          <w:t>Seagrass condition index (±SE) with contributing indicator scores for the Cape York NRM region</w:t>
        </w:r>
        <w:r w:rsidR="007C215D">
          <w:rPr>
            <w:noProof/>
            <w:webHidden/>
          </w:rPr>
          <w:tab/>
        </w:r>
        <w:r w:rsidR="007C215D">
          <w:rPr>
            <w:noProof/>
            <w:webHidden/>
          </w:rPr>
          <w:fldChar w:fldCharType="begin"/>
        </w:r>
        <w:r w:rsidR="007C215D">
          <w:rPr>
            <w:noProof/>
            <w:webHidden/>
          </w:rPr>
          <w:instrText xml:space="preserve"> PAGEREF _Toc38634130 \h </w:instrText>
        </w:r>
        <w:r w:rsidR="007C215D">
          <w:rPr>
            <w:noProof/>
            <w:webHidden/>
          </w:rPr>
        </w:r>
        <w:r w:rsidR="007C215D">
          <w:rPr>
            <w:noProof/>
            <w:webHidden/>
          </w:rPr>
          <w:fldChar w:fldCharType="separate"/>
        </w:r>
        <w:r w:rsidR="00561C92">
          <w:rPr>
            <w:noProof/>
            <w:webHidden/>
          </w:rPr>
          <w:t>60</w:t>
        </w:r>
        <w:r w:rsidR="007C215D">
          <w:rPr>
            <w:noProof/>
            <w:webHidden/>
          </w:rPr>
          <w:fldChar w:fldCharType="end"/>
        </w:r>
      </w:hyperlink>
    </w:p>
    <w:p w14:paraId="26C1515E" w14:textId="3BC3FA4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1" w:history="1">
        <w:r w:rsidR="007C215D" w:rsidRPr="00DD5403">
          <w:rPr>
            <w:rStyle w:val="Hyperlink"/>
            <w:rFonts w:eastAsiaTheme="majorEastAsia" w:cs="Arial"/>
            <w:noProof/>
          </w:rPr>
          <w:t xml:space="preserve">Figure 27. </w:t>
        </w:r>
        <w:r w:rsidR="007C215D" w:rsidRPr="00DD5403">
          <w:rPr>
            <w:rStyle w:val="Hyperlink"/>
            <w:rFonts w:eastAsiaTheme="majorEastAsia" w:cs="Arial"/>
            <w:i/>
            <w:noProof/>
          </w:rPr>
          <w:t>Environmental pressures in the Cape York region</w:t>
        </w:r>
        <w:r w:rsidR="007C215D">
          <w:rPr>
            <w:noProof/>
            <w:webHidden/>
          </w:rPr>
          <w:tab/>
        </w:r>
        <w:r w:rsidR="007C215D">
          <w:rPr>
            <w:noProof/>
            <w:webHidden/>
          </w:rPr>
          <w:fldChar w:fldCharType="begin"/>
        </w:r>
        <w:r w:rsidR="007C215D">
          <w:rPr>
            <w:noProof/>
            <w:webHidden/>
          </w:rPr>
          <w:instrText xml:space="preserve"> PAGEREF _Toc38634131 \h </w:instrText>
        </w:r>
        <w:r w:rsidR="007C215D">
          <w:rPr>
            <w:noProof/>
            <w:webHidden/>
          </w:rPr>
        </w:r>
        <w:r w:rsidR="007C215D">
          <w:rPr>
            <w:noProof/>
            <w:webHidden/>
          </w:rPr>
          <w:fldChar w:fldCharType="separate"/>
        </w:r>
        <w:r w:rsidR="00561C92">
          <w:rPr>
            <w:noProof/>
            <w:webHidden/>
          </w:rPr>
          <w:t>61</w:t>
        </w:r>
        <w:r w:rsidR="007C215D">
          <w:rPr>
            <w:noProof/>
            <w:webHidden/>
          </w:rPr>
          <w:fldChar w:fldCharType="end"/>
        </w:r>
      </w:hyperlink>
    </w:p>
    <w:p w14:paraId="615B4FCC" w14:textId="5C02A2F2"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2" w:history="1">
        <w:r w:rsidR="007C215D" w:rsidRPr="00DD5403">
          <w:rPr>
            <w:rStyle w:val="Hyperlink"/>
            <w:rFonts w:eastAsiaTheme="majorEastAsia" w:cs="Arial"/>
            <w:noProof/>
          </w:rPr>
          <w:t xml:space="preserve">Figure 28.  </w:t>
        </w:r>
        <w:r w:rsidR="007C215D" w:rsidRPr="00DD5403">
          <w:rPr>
            <w:rStyle w:val="Hyperlink"/>
            <w:rFonts w:eastAsiaTheme="majorEastAsia" w:cs="Arial"/>
            <w:i/>
            <w:noProof/>
          </w:rPr>
          <w:t>Temporal trends in the Cape York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_Toc38634132 \h </w:instrText>
        </w:r>
        <w:r w:rsidR="007C215D">
          <w:rPr>
            <w:noProof/>
            <w:webHidden/>
          </w:rPr>
        </w:r>
        <w:r w:rsidR="007C215D">
          <w:rPr>
            <w:noProof/>
            <w:webHidden/>
          </w:rPr>
          <w:fldChar w:fldCharType="separate"/>
        </w:r>
        <w:r w:rsidR="00561C92">
          <w:rPr>
            <w:noProof/>
            <w:webHidden/>
          </w:rPr>
          <w:t>63</w:t>
        </w:r>
        <w:r w:rsidR="007C215D">
          <w:rPr>
            <w:noProof/>
            <w:webHidden/>
          </w:rPr>
          <w:fldChar w:fldCharType="end"/>
        </w:r>
      </w:hyperlink>
    </w:p>
    <w:p w14:paraId="07113E59" w14:textId="56BF403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3" w:history="1">
        <w:r w:rsidR="007C215D" w:rsidRPr="00DD5403">
          <w:rPr>
            <w:rStyle w:val="Hyperlink"/>
            <w:rFonts w:eastAsiaTheme="majorEastAsia" w:cs="Arial"/>
            <w:noProof/>
          </w:rPr>
          <w:t xml:space="preserve">Figure 29. </w:t>
        </w:r>
        <w:r w:rsidR="007C215D" w:rsidRPr="00DD5403">
          <w:rPr>
            <w:rStyle w:val="Hyperlink"/>
            <w:rFonts w:eastAsiaTheme="majorEastAsia" w:cs="Arial"/>
            <w:i/>
            <w:noProof/>
          </w:rPr>
          <w:t>Seagrass per cent cover measures per quadrat (sites pooled) and long-term trends for each habitat monitored in the Cape York region from June 2005 to May 2019.</w:t>
        </w:r>
        <w:r w:rsidR="007C215D">
          <w:rPr>
            <w:noProof/>
            <w:webHidden/>
          </w:rPr>
          <w:tab/>
        </w:r>
        <w:r w:rsidR="007C215D">
          <w:rPr>
            <w:noProof/>
            <w:webHidden/>
          </w:rPr>
          <w:fldChar w:fldCharType="begin"/>
        </w:r>
        <w:r w:rsidR="007C215D">
          <w:rPr>
            <w:noProof/>
            <w:webHidden/>
          </w:rPr>
          <w:instrText xml:space="preserve"> PAGEREF _Toc38634133 \h </w:instrText>
        </w:r>
        <w:r w:rsidR="007C215D">
          <w:rPr>
            <w:noProof/>
            <w:webHidden/>
          </w:rPr>
        </w:r>
        <w:r w:rsidR="007C215D">
          <w:rPr>
            <w:noProof/>
            <w:webHidden/>
          </w:rPr>
          <w:fldChar w:fldCharType="separate"/>
        </w:r>
        <w:r w:rsidR="00561C92">
          <w:rPr>
            <w:noProof/>
            <w:webHidden/>
          </w:rPr>
          <w:t>64</w:t>
        </w:r>
        <w:r w:rsidR="007C215D">
          <w:rPr>
            <w:noProof/>
            <w:webHidden/>
          </w:rPr>
          <w:fldChar w:fldCharType="end"/>
        </w:r>
      </w:hyperlink>
    </w:p>
    <w:p w14:paraId="3B918BC3" w14:textId="136DDBED"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4" w:history="1">
        <w:r w:rsidR="007C215D" w:rsidRPr="00DD5403">
          <w:rPr>
            <w:rStyle w:val="Hyperlink"/>
            <w:rFonts w:eastAsiaTheme="majorEastAsia" w:cs="Arial"/>
            <w:noProof/>
          </w:rPr>
          <w:t xml:space="preserve">Figure 30. </w:t>
        </w:r>
        <w:r w:rsidR="007C215D" w:rsidRPr="00DD5403">
          <w:rPr>
            <w:rStyle w:val="Hyperlink"/>
            <w:rFonts w:eastAsiaTheme="majorEastAsia" w:cs="Arial"/>
            <w:i/>
            <w:noProof/>
          </w:rPr>
          <w:t xml:space="preserve">Proportion of seagrass abundance composed of </w:t>
        </w:r>
        <w:r w:rsidR="007C215D" w:rsidRPr="00DD5403">
          <w:rPr>
            <w:rStyle w:val="Hyperlink"/>
            <w:rFonts w:eastAsiaTheme="majorEastAsia" w:cs="Arial"/>
            <w:i/>
            <w:noProof/>
            <w:lang w:val="en-GB"/>
          </w:rPr>
          <w:t xml:space="preserve">species displaying </w:t>
        </w:r>
        <w:r w:rsidR="007C215D" w:rsidRPr="00DD5403">
          <w:rPr>
            <w:rStyle w:val="Hyperlink"/>
            <w:rFonts w:eastAsiaTheme="majorEastAsia" w:cs="Arial"/>
            <w:i/>
            <w:noProof/>
          </w:rPr>
          <w:t>colonising</w:t>
        </w:r>
        <w:r w:rsidR="007C215D" w:rsidRPr="00DD5403">
          <w:rPr>
            <w:rStyle w:val="Hyperlink"/>
            <w:rFonts w:eastAsiaTheme="majorEastAsia" w:cs="Arial"/>
            <w:i/>
            <w:noProof/>
            <w:lang w:val="en-GB"/>
          </w:rPr>
          <w:t xml:space="preserve"> traits at inshore habitats in the Cape York region</w:t>
        </w:r>
        <w:r w:rsidR="007C215D">
          <w:rPr>
            <w:noProof/>
            <w:webHidden/>
          </w:rPr>
          <w:tab/>
        </w:r>
        <w:r w:rsidR="007C215D">
          <w:rPr>
            <w:noProof/>
            <w:webHidden/>
          </w:rPr>
          <w:fldChar w:fldCharType="begin"/>
        </w:r>
        <w:r w:rsidR="007C215D">
          <w:rPr>
            <w:noProof/>
            <w:webHidden/>
          </w:rPr>
          <w:instrText xml:space="preserve"> PAGEREF _Toc38634134 \h </w:instrText>
        </w:r>
        <w:r w:rsidR="007C215D">
          <w:rPr>
            <w:noProof/>
            <w:webHidden/>
          </w:rPr>
        </w:r>
        <w:r w:rsidR="007C215D">
          <w:rPr>
            <w:noProof/>
            <w:webHidden/>
          </w:rPr>
          <w:fldChar w:fldCharType="separate"/>
        </w:r>
        <w:r w:rsidR="00561C92">
          <w:rPr>
            <w:noProof/>
            <w:webHidden/>
          </w:rPr>
          <w:t>65</w:t>
        </w:r>
        <w:r w:rsidR="007C215D">
          <w:rPr>
            <w:noProof/>
            <w:webHidden/>
          </w:rPr>
          <w:fldChar w:fldCharType="end"/>
        </w:r>
      </w:hyperlink>
    </w:p>
    <w:p w14:paraId="59AB90DA" w14:textId="4B066D3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5" w:history="1">
        <w:r w:rsidR="007C215D" w:rsidRPr="00DD5403">
          <w:rPr>
            <w:rStyle w:val="Hyperlink"/>
            <w:rFonts w:eastAsiaTheme="majorEastAsia" w:cs="Arial"/>
            <w:noProof/>
          </w:rPr>
          <w:t xml:space="preserve">Figure 31. </w:t>
        </w:r>
        <w:r w:rsidR="007C215D" w:rsidRPr="00DD5403">
          <w:rPr>
            <w:rStyle w:val="Hyperlink"/>
            <w:rFonts w:eastAsiaTheme="majorEastAsia" w:cs="Arial"/>
            <w:i/>
            <w:noProof/>
          </w:rPr>
          <w:t>Change in spatial extent of seagrass meadows within monitoring sites for each intertidal coastal and reef habitat and monitoring period across the eastern Cape York NRM region.</w:t>
        </w:r>
        <w:r w:rsidR="007C215D">
          <w:rPr>
            <w:noProof/>
            <w:webHidden/>
          </w:rPr>
          <w:tab/>
        </w:r>
        <w:r w:rsidR="007C215D">
          <w:rPr>
            <w:noProof/>
            <w:webHidden/>
          </w:rPr>
          <w:fldChar w:fldCharType="begin"/>
        </w:r>
        <w:r w:rsidR="007C215D">
          <w:rPr>
            <w:noProof/>
            <w:webHidden/>
          </w:rPr>
          <w:instrText xml:space="preserve"> PAGEREF _Toc38634135 \h </w:instrText>
        </w:r>
        <w:r w:rsidR="007C215D">
          <w:rPr>
            <w:noProof/>
            <w:webHidden/>
          </w:rPr>
        </w:r>
        <w:r w:rsidR="007C215D">
          <w:rPr>
            <w:noProof/>
            <w:webHidden/>
          </w:rPr>
          <w:fldChar w:fldCharType="separate"/>
        </w:r>
        <w:r w:rsidR="00561C92">
          <w:rPr>
            <w:noProof/>
            <w:webHidden/>
          </w:rPr>
          <w:t>65</w:t>
        </w:r>
        <w:r w:rsidR="007C215D">
          <w:rPr>
            <w:noProof/>
            <w:webHidden/>
          </w:rPr>
          <w:fldChar w:fldCharType="end"/>
        </w:r>
      </w:hyperlink>
    </w:p>
    <w:p w14:paraId="25E0F34F" w14:textId="4676BCF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6" w:history="1">
        <w:r w:rsidR="007C215D" w:rsidRPr="00DD5403">
          <w:rPr>
            <w:rStyle w:val="Hyperlink"/>
            <w:rFonts w:eastAsiaTheme="majorEastAsia" w:cs="Arial"/>
            <w:noProof/>
          </w:rPr>
          <w:t xml:space="preserve">Figure 32. </w:t>
        </w:r>
        <w:r w:rsidR="007C215D" w:rsidRPr="00DD5403">
          <w:rPr>
            <w:rStyle w:val="Hyperlink"/>
            <w:rFonts w:eastAsiaTheme="majorEastAsia" w:cs="Arial"/>
            <w:i/>
            <w:noProof/>
          </w:rPr>
          <w:t>Seed banks and reproductive effort at inshore intertidal coastal (a) and reef (b) habitats in the Cape York region</w:t>
        </w:r>
        <w:r w:rsidR="007C215D">
          <w:rPr>
            <w:noProof/>
            <w:webHidden/>
          </w:rPr>
          <w:tab/>
        </w:r>
        <w:r w:rsidR="007C215D">
          <w:rPr>
            <w:noProof/>
            <w:webHidden/>
          </w:rPr>
          <w:fldChar w:fldCharType="begin"/>
        </w:r>
        <w:r w:rsidR="007C215D">
          <w:rPr>
            <w:noProof/>
            <w:webHidden/>
          </w:rPr>
          <w:instrText xml:space="preserve"> PAGEREF _Toc38634136 \h </w:instrText>
        </w:r>
        <w:r w:rsidR="007C215D">
          <w:rPr>
            <w:noProof/>
            <w:webHidden/>
          </w:rPr>
        </w:r>
        <w:r w:rsidR="007C215D">
          <w:rPr>
            <w:noProof/>
            <w:webHidden/>
          </w:rPr>
          <w:fldChar w:fldCharType="separate"/>
        </w:r>
        <w:r w:rsidR="00561C92">
          <w:rPr>
            <w:noProof/>
            <w:webHidden/>
          </w:rPr>
          <w:t>66</w:t>
        </w:r>
        <w:r w:rsidR="007C215D">
          <w:rPr>
            <w:noProof/>
            <w:webHidden/>
          </w:rPr>
          <w:fldChar w:fldCharType="end"/>
        </w:r>
      </w:hyperlink>
    </w:p>
    <w:p w14:paraId="41E2D7B2" w14:textId="76F0EC4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7" w:history="1">
        <w:r w:rsidR="007C215D" w:rsidRPr="00DD5403">
          <w:rPr>
            <w:rStyle w:val="Hyperlink"/>
            <w:rFonts w:eastAsiaTheme="majorEastAsia" w:cs="Arial"/>
            <w:noProof/>
          </w:rPr>
          <w:t xml:space="preserve">Figure 33.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Cape York NRM region</w:t>
        </w:r>
        <w:r w:rsidR="007C215D">
          <w:rPr>
            <w:noProof/>
            <w:webHidden/>
          </w:rPr>
          <w:tab/>
        </w:r>
        <w:r w:rsidR="007C215D">
          <w:rPr>
            <w:noProof/>
            <w:webHidden/>
          </w:rPr>
          <w:fldChar w:fldCharType="begin"/>
        </w:r>
        <w:r w:rsidR="007C215D">
          <w:rPr>
            <w:noProof/>
            <w:webHidden/>
          </w:rPr>
          <w:instrText xml:space="preserve"> PAGEREF _Toc38634137 \h </w:instrText>
        </w:r>
        <w:r w:rsidR="007C215D">
          <w:rPr>
            <w:noProof/>
            <w:webHidden/>
          </w:rPr>
        </w:r>
        <w:r w:rsidR="007C215D">
          <w:rPr>
            <w:noProof/>
            <w:webHidden/>
          </w:rPr>
          <w:fldChar w:fldCharType="separate"/>
        </w:r>
        <w:r w:rsidR="00561C92">
          <w:rPr>
            <w:noProof/>
            <w:webHidden/>
          </w:rPr>
          <w:t>67</w:t>
        </w:r>
        <w:r w:rsidR="007C215D">
          <w:rPr>
            <w:noProof/>
            <w:webHidden/>
          </w:rPr>
          <w:fldChar w:fldCharType="end"/>
        </w:r>
      </w:hyperlink>
    </w:p>
    <w:p w14:paraId="367991C5" w14:textId="6D791AD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8" w:history="1">
        <w:r w:rsidR="007C215D" w:rsidRPr="00DD5403">
          <w:rPr>
            <w:rStyle w:val="Hyperlink"/>
            <w:rFonts w:eastAsiaTheme="majorEastAsia" w:cs="Arial"/>
            <w:noProof/>
          </w:rPr>
          <w:t xml:space="preserve">Figure 34. </w:t>
        </w:r>
        <w:r w:rsidR="007C215D" w:rsidRPr="00DD5403">
          <w:rPr>
            <w:rStyle w:val="Hyperlink"/>
            <w:rFonts w:eastAsiaTheme="majorEastAsia" w:cs="Arial"/>
            <w:i/>
            <w:noProof/>
          </w:rPr>
          <w:t>Deviations in mean epiphyte and macroalgae abundance (per cent cover) at monitoring habitats in the Cape York region, relative to the Reef long-term average</w:t>
        </w:r>
        <w:r w:rsidR="007C215D">
          <w:rPr>
            <w:noProof/>
            <w:webHidden/>
          </w:rPr>
          <w:tab/>
        </w:r>
        <w:r w:rsidR="007C215D">
          <w:rPr>
            <w:noProof/>
            <w:webHidden/>
          </w:rPr>
          <w:fldChar w:fldCharType="begin"/>
        </w:r>
        <w:r w:rsidR="007C215D">
          <w:rPr>
            <w:noProof/>
            <w:webHidden/>
          </w:rPr>
          <w:instrText xml:space="preserve"> PAGEREF _Toc38634138 \h </w:instrText>
        </w:r>
        <w:r w:rsidR="007C215D">
          <w:rPr>
            <w:noProof/>
            <w:webHidden/>
          </w:rPr>
        </w:r>
        <w:r w:rsidR="007C215D">
          <w:rPr>
            <w:noProof/>
            <w:webHidden/>
          </w:rPr>
          <w:fldChar w:fldCharType="separate"/>
        </w:r>
        <w:r w:rsidR="00561C92">
          <w:rPr>
            <w:noProof/>
            <w:webHidden/>
          </w:rPr>
          <w:t>68</w:t>
        </w:r>
        <w:r w:rsidR="007C215D">
          <w:rPr>
            <w:noProof/>
            <w:webHidden/>
          </w:rPr>
          <w:fldChar w:fldCharType="end"/>
        </w:r>
      </w:hyperlink>
    </w:p>
    <w:p w14:paraId="70D9FEB1" w14:textId="3A81CD5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39" w:history="1">
        <w:r w:rsidR="007C215D" w:rsidRPr="00DD5403">
          <w:rPr>
            <w:rStyle w:val="Hyperlink"/>
            <w:rFonts w:eastAsiaTheme="majorEastAsia" w:cs="Arial"/>
            <w:noProof/>
          </w:rPr>
          <w:t xml:space="preserve">Figure 35. </w:t>
        </w:r>
        <w:r w:rsidR="007C215D" w:rsidRPr="00DD5403">
          <w:rPr>
            <w:rStyle w:val="Hyperlink"/>
            <w:rFonts w:eastAsiaTheme="majorEastAsia" w:cs="Arial"/>
            <w:i/>
            <w:noProof/>
          </w:rPr>
          <w:t>Report card of seagrass index and indicators for the northern (a.) and southern (b.) Wet Tropics NRM region</w:t>
        </w:r>
        <w:r w:rsidR="007C215D">
          <w:rPr>
            <w:noProof/>
            <w:webHidden/>
          </w:rPr>
          <w:tab/>
        </w:r>
        <w:r w:rsidR="007C215D">
          <w:rPr>
            <w:noProof/>
            <w:webHidden/>
          </w:rPr>
          <w:fldChar w:fldCharType="begin"/>
        </w:r>
        <w:r w:rsidR="007C215D">
          <w:rPr>
            <w:noProof/>
            <w:webHidden/>
          </w:rPr>
          <w:instrText xml:space="preserve"> PAGEREF _Toc38634139 \h </w:instrText>
        </w:r>
        <w:r w:rsidR="007C215D">
          <w:rPr>
            <w:noProof/>
            <w:webHidden/>
          </w:rPr>
        </w:r>
        <w:r w:rsidR="007C215D">
          <w:rPr>
            <w:noProof/>
            <w:webHidden/>
          </w:rPr>
          <w:fldChar w:fldCharType="separate"/>
        </w:r>
        <w:r w:rsidR="00561C92">
          <w:rPr>
            <w:noProof/>
            <w:webHidden/>
          </w:rPr>
          <w:t>70</w:t>
        </w:r>
        <w:r w:rsidR="007C215D">
          <w:rPr>
            <w:noProof/>
            <w:webHidden/>
          </w:rPr>
          <w:fldChar w:fldCharType="end"/>
        </w:r>
      </w:hyperlink>
    </w:p>
    <w:p w14:paraId="760CBB1E" w14:textId="233A92A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0" w:history="1">
        <w:r w:rsidR="007C215D" w:rsidRPr="00DD5403">
          <w:rPr>
            <w:rStyle w:val="Hyperlink"/>
            <w:rFonts w:eastAsiaTheme="majorEastAsia" w:cs="Arial"/>
            <w:noProof/>
          </w:rPr>
          <w:t xml:space="preserve">Figure 36. </w:t>
        </w:r>
        <w:r w:rsidR="007C215D" w:rsidRPr="00DD5403">
          <w:rPr>
            <w:rStyle w:val="Hyperlink"/>
            <w:rFonts w:eastAsiaTheme="majorEastAsia" w:cs="Arial"/>
            <w:i/>
            <w:noProof/>
          </w:rPr>
          <w:t>Environmental pressures in the northern Wet Tropics region</w:t>
        </w:r>
        <w:r w:rsidR="007C215D">
          <w:rPr>
            <w:noProof/>
            <w:webHidden/>
          </w:rPr>
          <w:tab/>
        </w:r>
        <w:r w:rsidR="007C215D">
          <w:rPr>
            <w:noProof/>
            <w:webHidden/>
          </w:rPr>
          <w:fldChar w:fldCharType="begin"/>
        </w:r>
        <w:r w:rsidR="007C215D">
          <w:rPr>
            <w:noProof/>
            <w:webHidden/>
          </w:rPr>
          <w:instrText xml:space="preserve"> PAGEREF _Toc38634140 \h </w:instrText>
        </w:r>
        <w:r w:rsidR="007C215D">
          <w:rPr>
            <w:noProof/>
            <w:webHidden/>
          </w:rPr>
        </w:r>
        <w:r w:rsidR="007C215D">
          <w:rPr>
            <w:noProof/>
            <w:webHidden/>
          </w:rPr>
          <w:fldChar w:fldCharType="separate"/>
        </w:r>
        <w:r w:rsidR="00561C92">
          <w:rPr>
            <w:noProof/>
            <w:webHidden/>
          </w:rPr>
          <w:t>71</w:t>
        </w:r>
        <w:r w:rsidR="007C215D">
          <w:rPr>
            <w:noProof/>
            <w:webHidden/>
          </w:rPr>
          <w:fldChar w:fldCharType="end"/>
        </w:r>
      </w:hyperlink>
    </w:p>
    <w:p w14:paraId="6173609D" w14:textId="064BEB3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1" w:history="1">
        <w:r w:rsidR="007C215D" w:rsidRPr="00DD5403">
          <w:rPr>
            <w:rStyle w:val="Hyperlink"/>
            <w:rFonts w:eastAsiaTheme="majorEastAsia" w:cs="Arial"/>
            <w:noProof/>
          </w:rPr>
          <w:t xml:space="preserve">Figure 37. </w:t>
        </w:r>
        <w:r w:rsidR="007C215D" w:rsidRPr="00DD5403">
          <w:rPr>
            <w:rStyle w:val="Hyperlink"/>
            <w:rFonts w:eastAsiaTheme="majorEastAsia" w:cs="Arial"/>
            <w:i/>
            <w:noProof/>
          </w:rPr>
          <w:t>Environmental pressures in the southern Wet Tropics region</w:t>
        </w:r>
        <w:r w:rsidR="007C215D">
          <w:rPr>
            <w:noProof/>
            <w:webHidden/>
          </w:rPr>
          <w:tab/>
        </w:r>
        <w:r w:rsidR="007C215D">
          <w:rPr>
            <w:noProof/>
            <w:webHidden/>
          </w:rPr>
          <w:fldChar w:fldCharType="begin"/>
        </w:r>
        <w:r w:rsidR="007C215D">
          <w:rPr>
            <w:noProof/>
            <w:webHidden/>
          </w:rPr>
          <w:instrText xml:space="preserve"> PAGEREF _Toc38634141 \h </w:instrText>
        </w:r>
        <w:r w:rsidR="007C215D">
          <w:rPr>
            <w:noProof/>
            <w:webHidden/>
          </w:rPr>
        </w:r>
        <w:r w:rsidR="007C215D">
          <w:rPr>
            <w:noProof/>
            <w:webHidden/>
          </w:rPr>
          <w:fldChar w:fldCharType="separate"/>
        </w:r>
        <w:r w:rsidR="00561C92">
          <w:rPr>
            <w:noProof/>
            <w:webHidden/>
          </w:rPr>
          <w:t>73</w:t>
        </w:r>
        <w:r w:rsidR="007C215D">
          <w:rPr>
            <w:noProof/>
            <w:webHidden/>
          </w:rPr>
          <w:fldChar w:fldCharType="end"/>
        </w:r>
      </w:hyperlink>
    </w:p>
    <w:p w14:paraId="224E4479" w14:textId="14F272C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2" w:history="1">
        <w:r w:rsidR="007C215D" w:rsidRPr="00DD5403">
          <w:rPr>
            <w:rStyle w:val="Hyperlink"/>
            <w:rFonts w:eastAsiaTheme="majorEastAsia" w:cs="Arial"/>
            <w:noProof/>
          </w:rPr>
          <w:t xml:space="preserve">Figure 38. </w:t>
        </w:r>
        <w:r w:rsidR="007C215D" w:rsidRPr="00DD5403">
          <w:rPr>
            <w:rStyle w:val="Hyperlink"/>
            <w:rFonts w:eastAsiaTheme="majorEastAsia" w:cs="Arial"/>
            <w:i/>
            <w:noProof/>
          </w:rPr>
          <w:t>Temporal trends in the northern Wet Tropics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_Toc38634142 \h </w:instrText>
        </w:r>
        <w:r w:rsidR="007C215D">
          <w:rPr>
            <w:noProof/>
            <w:webHidden/>
          </w:rPr>
        </w:r>
        <w:r w:rsidR="007C215D">
          <w:rPr>
            <w:noProof/>
            <w:webHidden/>
          </w:rPr>
          <w:fldChar w:fldCharType="separate"/>
        </w:r>
        <w:r w:rsidR="00561C92">
          <w:rPr>
            <w:noProof/>
            <w:webHidden/>
          </w:rPr>
          <w:t>75</w:t>
        </w:r>
        <w:r w:rsidR="007C215D">
          <w:rPr>
            <w:noProof/>
            <w:webHidden/>
          </w:rPr>
          <w:fldChar w:fldCharType="end"/>
        </w:r>
      </w:hyperlink>
    </w:p>
    <w:p w14:paraId="2FA59CD7" w14:textId="6091B79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3" w:history="1">
        <w:r w:rsidR="007C215D" w:rsidRPr="00DD5403">
          <w:rPr>
            <w:rStyle w:val="Hyperlink"/>
            <w:rFonts w:eastAsiaTheme="majorEastAsia" w:cs="Arial"/>
            <w:noProof/>
          </w:rPr>
          <w:t xml:space="preserve">Figure 39. </w:t>
        </w:r>
        <w:r w:rsidR="007C215D" w:rsidRPr="00DD5403">
          <w:rPr>
            <w:rStyle w:val="Hyperlink"/>
            <w:rFonts w:eastAsiaTheme="majorEastAsia" w:cs="Arial"/>
            <w:i/>
            <w:noProof/>
          </w:rPr>
          <w:t>Temporal trends in the southern Wet Tropics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_Toc38634143 \h </w:instrText>
        </w:r>
        <w:r w:rsidR="007C215D">
          <w:rPr>
            <w:noProof/>
            <w:webHidden/>
          </w:rPr>
        </w:r>
        <w:r w:rsidR="007C215D">
          <w:rPr>
            <w:noProof/>
            <w:webHidden/>
          </w:rPr>
          <w:fldChar w:fldCharType="separate"/>
        </w:r>
        <w:r w:rsidR="00561C92">
          <w:rPr>
            <w:noProof/>
            <w:webHidden/>
          </w:rPr>
          <w:t>76</w:t>
        </w:r>
        <w:r w:rsidR="007C215D">
          <w:rPr>
            <w:noProof/>
            <w:webHidden/>
          </w:rPr>
          <w:fldChar w:fldCharType="end"/>
        </w:r>
      </w:hyperlink>
    </w:p>
    <w:p w14:paraId="7F7EB77F" w14:textId="66DBB3C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4" w:history="1">
        <w:r w:rsidR="007C215D" w:rsidRPr="00DD5403">
          <w:rPr>
            <w:rStyle w:val="Hyperlink"/>
            <w:rFonts w:eastAsiaTheme="majorEastAsia" w:cs="Arial"/>
            <w:noProof/>
          </w:rPr>
          <w:t>Figure 40.</w:t>
        </w:r>
        <w:r w:rsidR="007C215D" w:rsidRPr="00DD5403">
          <w:rPr>
            <w:rStyle w:val="Hyperlink"/>
            <w:rFonts w:eastAsiaTheme="majorEastAsia" w:cs="Arial"/>
            <w:i/>
            <w:noProof/>
          </w:rPr>
          <w:t xml:space="preserve"> Seagrass per cent cover measures per quadrat (sites pooled) and long-term trends, for each habitat monitored in the northern Wet Tropics NRM region from 2001 to 2019.</w:t>
        </w:r>
        <w:r w:rsidR="007C215D">
          <w:rPr>
            <w:noProof/>
            <w:webHidden/>
          </w:rPr>
          <w:tab/>
        </w:r>
        <w:r w:rsidR="007C215D">
          <w:rPr>
            <w:noProof/>
            <w:webHidden/>
          </w:rPr>
          <w:fldChar w:fldCharType="begin"/>
        </w:r>
        <w:r w:rsidR="007C215D">
          <w:rPr>
            <w:noProof/>
            <w:webHidden/>
          </w:rPr>
          <w:instrText xml:space="preserve"> PAGEREF _Toc38634144 \h </w:instrText>
        </w:r>
        <w:r w:rsidR="007C215D">
          <w:rPr>
            <w:noProof/>
            <w:webHidden/>
          </w:rPr>
        </w:r>
        <w:r w:rsidR="007C215D">
          <w:rPr>
            <w:noProof/>
            <w:webHidden/>
          </w:rPr>
          <w:fldChar w:fldCharType="separate"/>
        </w:r>
        <w:r w:rsidR="00561C92">
          <w:rPr>
            <w:noProof/>
            <w:webHidden/>
          </w:rPr>
          <w:t>77</w:t>
        </w:r>
        <w:r w:rsidR="007C215D">
          <w:rPr>
            <w:noProof/>
            <w:webHidden/>
          </w:rPr>
          <w:fldChar w:fldCharType="end"/>
        </w:r>
      </w:hyperlink>
    </w:p>
    <w:p w14:paraId="3B5289B5" w14:textId="11D82CB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5" w:history="1">
        <w:r w:rsidR="007C215D" w:rsidRPr="00DD5403">
          <w:rPr>
            <w:rStyle w:val="Hyperlink"/>
            <w:rFonts w:eastAsiaTheme="majorEastAsia" w:cs="Arial"/>
            <w:noProof/>
          </w:rPr>
          <w:t>Figure 41.</w:t>
        </w:r>
        <w:r w:rsidR="007C215D" w:rsidRPr="00DD5403">
          <w:rPr>
            <w:rStyle w:val="Hyperlink"/>
            <w:rFonts w:eastAsiaTheme="majorEastAsia" w:cs="Arial"/>
            <w:i/>
            <w:noProof/>
          </w:rPr>
          <w:t xml:space="preserve"> Seagrass per cent cover measures per quadrat (sites pooled) and long-term trends, for each habitat monitored in the southern Wet Tropics NRM region from 2001 to 2019.</w:t>
        </w:r>
        <w:r w:rsidR="007C215D">
          <w:rPr>
            <w:noProof/>
            <w:webHidden/>
          </w:rPr>
          <w:tab/>
        </w:r>
        <w:r w:rsidR="007C215D">
          <w:rPr>
            <w:noProof/>
            <w:webHidden/>
          </w:rPr>
          <w:fldChar w:fldCharType="begin"/>
        </w:r>
        <w:r w:rsidR="007C215D">
          <w:rPr>
            <w:noProof/>
            <w:webHidden/>
          </w:rPr>
          <w:instrText xml:space="preserve"> PAGEREF _Toc38634145 \h </w:instrText>
        </w:r>
        <w:r w:rsidR="007C215D">
          <w:rPr>
            <w:noProof/>
            <w:webHidden/>
          </w:rPr>
        </w:r>
        <w:r w:rsidR="007C215D">
          <w:rPr>
            <w:noProof/>
            <w:webHidden/>
          </w:rPr>
          <w:fldChar w:fldCharType="separate"/>
        </w:r>
        <w:r w:rsidR="00561C92">
          <w:rPr>
            <w:noProof/>
            <w:webHidden/>
          </w:rPr>
          <w:t>78</w:t>
        </w:r>
        <w:r w:rsidR="007C215D">
          <w:rPr>
            <w:noProof/>
            <w:webHidden/>
          </w:rPr>
          <w:fldChar w:fldCharType="end"/>
        </w:r>
      </w:hyperlink>
    </w:p>
    <w:p w14:paraId="6879C748" w14:textId="0F74E45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6" w:history="1">
        <w:r w:rsidR="007C215D" w:rsidRPr="00DD5403">
          <w:rPr>
            <w:rStyle w:val="Hyperlink"/>
            <w:rFonts w:eastAsiaTheme="majorEastAsia" w:cs="Arial"/>
            <w:noProof/>
          </w:rPr>
          <w:t xml:space="preserve">Figure 42. </w:t>
        </w:r>
        <w:r w:rsidR="007C215D" w:rsidRPr="00DD5403">
          <w:rPr>
            <w:rStyle w:val="Hyperlink"/>
            <w:rFonts w:eastAsiaTheme="majorEastAsia" w:cs="Arial"/>
            <w:i/>
            <w:noProof/>
          </w:rPr>
          <w:t>Proportion of seagrass abundance composed of colonising species at inshore habitats in the northern Wet Tropics region, from the 2000–2001 to the 2018–19 reporting periods.</w:t>
        </w:r>
        <w:r w:rsidR="007C215D">
          <w:rPr>
            <w:noProof/>
            <w:webHidden/>
          </w:rPr>
          <w:tab/>
        </w:r>
        <w:r w:rsidR="007C215D">
          <w:rPr>
            <w:noProof/>
            <w:webHidden/>
          </w:rPr>
          <w:fldChar w:fldCharType="begin"/>
        </w:r>
        <w:r w:rsidR="007C215D">
          <w:rPr>
            <w:noProof/>
            <w:webHidden/>
          </w:rPr>
          <w:instrText xml:space="preserve"> PAGEREF _Toc38634146 \h </w:instrText>
        </w:r>
        <w:r w:rsidR="007C215D">
          <w:rPr>
            <w:noProof/>
            <w:webHidden/>
          </w:rPr>
        </w:r>
        <w:r w:rsidR="007C215D">
          <w:rPr>
            <w:noProof/>
            <w:webHidden/>
          </w:rPr>
          <w:fldChar w:fldCharType="separate"/>
        </w:r>
        <w:r w:rsidR="00561C92">
          <w:rPr>
            <w:noProof/>
            <w:webHidden/>
          </w:rPr>
          <w:t>78</w:t>
        </w:r>
        <w:r w:rsidR="007C215D">
          <w:rPr>
            <w:noProof/>
            <w:webHidden/>
          </w:rPr>
          <w:fldChar w:fldCharType="end"/>
        </w:r>
      </w:hyperlink>
    </w:p>
    <w:p w14:paraId="22DF0FE4" w14:textId="4ACC621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7" w:history="1">
        <w:r w:rsidR="007C215D" w:rsidRPr="00DD5403">
          <w:rPr>
            <w:rStyle w:val="Hyperlink"/>
            <w:rFonts w:eastAsiaTheme="majorEastAsia" w:cs="Arial"/>
            <w:noProof/>
          </w:rPr>
          <w:t xml:space="preserve">Figure 43. </w:t>
        </w:r>
        <w:r w:rsidR="007C215D" w:rsidRPr="00DD5403">
          <w:rPr>
            <w:rStyle w:val="Hyperlink"/>
            <w:rFonts w:eastAsiaTheme="majorEastAsia" w:cs="Arial"/>
            <w:i/>
            <w:noProof/>
          </w:rPr>
          <w:t>Proportion of seagrass abundance composed of colonising species at inshore habitats in the southern Wet Tropics region, from the 2000–2001 to the 2018–19 reporting periods.</w:t>
        </w:r>
        <w:r w:rsidR="007C215D">
          <w:rPr>
            <w:noProof/>
            <w:webHidden/>
          </w:rPr>
          <w:tab/>
        </w:r>
        <w:r w:rsidR="007C215D">
          <w:rPr>
            <w:noProof/>
            <w:webHidden/>
          </w:rPr>
          <w:fldChar w:fldCharType="begin"/>
        </w:r>
        <w:r w:rsidR="007C215D">
          <w:rPr>
            <w:noProof/>
            <w:webHidden/>
          </w:rPr>
          <w:instrText xml:space="preserve"> PAGEREF _Toc38634147 \h </w:instrText>
        </w:r>
        <w:r w:rsidR="007C215D">
          <w:rPr>
            <w:noProof/>
            <w:webHidden/>
          </w:rPr>
        </w:r>
        <w:r w:rsidR="007C215D">
          <w:rPr>
            <w:noProof/>
            <w:webHidden/>
          </w:rPr>
          <w:fldChar w:fldCharType="separate"/>
        </w:r>
        <w:r w:rsidR="00561C92">
          <w:rPr>
            <w:noProof/>
            <w:webHidden/>
          </w:rPr>
          <w:t>79</w:t>
        </w:r>
        <w:r w:rsidR="007C215D">
          <w:rPr>
            <w:noProof/>
            <w:webHidden/>
          </w:rPr>
          <w:fldChar w:fldCharType="end"/>
        </w:r>
      </w:hyperlink>
    </w:p>
    <w:p w14:paraId="62716588" w14:textId="6E49FDA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8" w:history="1">
        <w:r w:rsidR="007C215D" w:rsidRPr="00DD5403">
          <w:rPr>
            <w:rStyle w:val="Hyperlink"/>
            <w:rFonts w:eastAsiaTheme="majorEastAsia" w:cs="Arial"/>
            <w:noProof/>
          </w:rPr>
          <w:t xml:space="preserve">Figure 44. </w:t>
        </w:r>
        <w:r w:rsidR="007C215D" w:rsidRPr="00DD5403">
          <w:rPr>
            <w:rStyle w:val="Hyperlink"/>
            <w:rFonts w:eastAsiaTheme="majorEastAsia" w:cs="Arial"/>
            <w:i/>
            <w:noProof/>
          </w:rPr>
          <w:t>Change in relative spatial extent (±SE) of seagrass meadows within monitoring sites for each habitat and monitoring period across the northern Wet Tropics NRM region.</w:t>
        </w:r>
        <w:r w:rsidR="007C215D">
          <w:rPr>
            <w:noProof/>
            <w:webHidden/>
          </w:rPr>
          <w:tab/>
        </w:r>
        <w:r w:rsidR="007C215D">
          <w:rPr>
            <w:noProof/>
            <w:webHidden/>
          </w:rPr>
          <w:fldChar w:fldCharType="begin"/>
        </w:r>
        <w:r w:rsidR="007C215D">
          <w:rPr>
            <w:noProof/>
            <w:webHidden/>
          </w:rPr>
          <w:instrText xml:space="preserve"> PAGEREF _Toc38634148 \h </w:instrText>
        </w:r>
        <w:r w:rsidR="007C215D">
          <w:rPr>
            <w:noProof/>
            <w:webHidden/>
          </w:rPr>
        </w:r>
        <w:r w:rsidR="007C215D">
          <w:rPr>
            <w:noProof/>
            <w:webHidden/>
          </w:rPr>
          <w:fldChar w:fldCharType="separate"/>
        </w:r>
        <w:r w:rsidR="00561C92">
          <w:rPr>
            <w:noProof/>
            <w:webHidden/>
          </w:rPr>
          <w:t>79</w:t>
        </w:r>
        <w:r w:rsidR="007C215D">
          <w:rPr>
            <w:noProof/>
            <w:webHidden/>
          </w:rPr>
          <w:fldChar w:fldCharType="end"/>
        </w:r>
      </w:hyperlink>
    </w:p>
    <w:p w14:paraId="33510C17" w14:textId="528FA7D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49" w:history="1">
        <w:r w:rsidR="007C215D" w:rsidRPr="00DD5403">
          <w:rPr>
            <w:rStyle w:val="Hyperlink"/>
            <w:rFonts w:eastAsiaTheme="majorEastAsia" w:cs="Arial"/>
            <w:noProof/>
          </w:rPr>
          <w:t xml:space="preserve">Figure 45. </w:t>
        </w:r>
        <w:r w:rsidR="007C215D" w:rsidRPr="00DD5403">
          <w:rPr>
            <w:rStyle w:val="Hyperlink"/>
            <w:rFonts w:eastAsiaTheme="majorEastAsia" w:cs="Arial"/>
            <w:i/>
            <w:noProof/>
          </w:rPr>
          <w:t>Change in relative spatial extent (±SE) of seagrass meadows within monitoring sites for each habitat and monitoring period across the southern Wet Tropics NRM region.</w:t>
        </w:r>
        <w:r w:rsidR="007C215D">
          <w:rPr>
            <w:noProof/>
            <w:webHidden/>
          </w:rPr>
          <w:tab/>
        </w:r>
        <w:r w:rsidR="007C215D">
          <w:rPr>
            <w:noProof/>
            <w:webHidden/>
          </w:rPr>
          <w:fldChar w:fldCharType="begin"/>
        </w:r>
        <w:r w:rsidR="007C215D">
          <w:rPr>
            <w:noProof/>
            <w:webHidden/>
          </w:rPr>
          <w:instrText xml:space="preserve"> PAGEREF _Toc38634149 \h </w:instrText>
        </w:r>
        <w:r w:rsidR="007C215D">
          <w:rPr>
            <w:noProof/>
            <w:webHidden/>
          </w:rPr>
        </w:r>
        <w:r w:rsidR="007C215D">
          <w:rPr>
            <w:noProof/>
            <w:webHidden/>
          </w:rPr>
          <w:fldChar w:fldCharType="separate"/>
        </w:r>
        <w:r w:rsidR="00561C92">
          <w:rPr>
            <w:noProof/>
            <w:webHidden/>
          </w:rPr>
          <w:t>80</w:t>
        </w:r>
        <w:r w:rsidR="007C215D">
          <w:rPr>
            <w:noProof/>
            <w:webHidden/>
          </w:rPr>
          <w:fldChar w:fldCharType="end"/>
        </w:r>
      </w:hyperlink>
    </w:p>
    <w:p w14:paraId="4749A798" w14:textId="24762DA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0" w:history="1">
        <w:r w:rsidR="007C215D" w:rsidRPr="00DD5403">
          <w:rPr>
            <w:rStyle w:val="Hyperlink"/>
            <w:rFonts w:eastAsiaTheme="majorEastAsia" w:cs="Arial"/>
            <w:noProof/>
          </w:rPr>
          <w:t xml:space="preserve">Figure 46. </w:t>
        </w:r>
        <w:r w:rsidR="007C215D" w:rsidRPr="00DD5403">
          <w:rPr>
            <w:rStyle w:val="Hyperlink"/>
            <w:rFonts w:eastAsiaTheme="majorEastAsia" w:cs="Arial"/>
            <w:i/>
            <w:noProof/>
          </w:rPr>
          <w:t>Reproductive effort and seed banks for inshore intertidal coast and reef habitats in the northern Wet Tropics region, 2001–2019.</w:t>
        </w:r>
        <w:r w:rsidR="007C215D">
          <w:rPr>
            <w:noProof/>
            <w:webHidden/>
          </w:rPr>
          <w:tab/>
        </w:r>
        <w:r w:rsidR="007C215D">
          <w:rPr>
            <w:noProof/>
            <w:webHidden/>
          </w:rPr>
          <w:fldChar w:fldCharType="begin"/>
        </w:r>
        <w:r w:rsidR="007C215D">
          <w:rPr>
            <w:noProof/>
            <w:webHidden/>
          </w:rPr>
          <w:instrText xml:space="preserve"> PAGEREF _Toc38634150 \h </w:instrText>
        </w:r>
        <w:r w:rsidR="007C215D">
          <w:rPr>
            <w:noProof/>
            <w:webHidden/>
          </w:rPr>
        </w:r>
        <w:r w:rsidR="007C215D">
          <w:rPr>
            <w:noProof/>
            <w:webHidden/>
          </w:rPr>
          <w:fldChar w:fldCharType="separate"/>
        </w:r>
        <w:r w:rsidR="00561C92">
          <w:rPr>
            <w:noProof/>
            <w:webHidden/>
          </w:rPr>
          <w:t>80</w:t>
        </w:r>
        <w:r w:rsidR="007C215D">
          <w:rPr>
            <w:noProof/>
            <w:webHidden/>
          </w:rPr>
          <w:fldChar w:fldCharType="end"/>
        </w:r>
      </w:hyperlink>
    </w:p>
    <w:p w14:paraId="6FAF58DE" w14:textId="2C34635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1" w:history="1">
        <w:r w:rsidR="007C215D" w:rsidRPr="00DD5403">
          <w:rPr>
            <w:rStyle w:val="Hyperlink"/>
            <w:rFonts w:eastAsiaTheme="majorEastAsia" w:cs="Arial"/>
            <w:noProof/>
          </w:rPr>
          <w:t xml:space="preserve">Figure 47. </w:t>
        </w:r>
        <w:r w:rsidR="007C215D" w:rsidRPr="00DD5403">
          <w:rPr>
            <w:rStyle w:val="Hyperlink"/>
            <w:rFonts w:eastAsiaTheme="majorEastAsia" w:cs="Arial"/>
            <w:i/>
            <w:noProof/>
          </w:rPr>
          <w:t>Reproductive effort and seed banks for inshore intertidal coast and reef habitats in the southern Wet Tropics region, 2001–18.</w:t>
        </w:r>
        <w:r w:rsidR="007C215D">
          <w:rPr>
            <w:noProof/>
            <w:webHidden/>
          </w:rPr>
          <w:tab/>
        </w:r>
        <w:r w:rsidR="007C215D">
          <w:rPr>
            <w:noProof/>
            <w:webHidden/>
          </w:rPr>
          <w:fldChar w:fldCharType="begin"/>
        </w:r>
        <w:r w:rsidR="007C215D">
          <w:rPr>
            <w:noProof/>
            <w:webHidden/>
          </w:rPr>
          <w:instrText xml:space="preserve"> PAGEREF _Toc38634151 \h </w:instrText>
        </w:r>
        <w:r w:rsidR="007C215D">
          <w:rPr>
            <w:noProof/>
            <w:webHidden/>
          </w:rPr>
        </w:r>
        <w:r w:rsidR="007C215D">
          <w:rPr>
            <w:noProof/>
            <w:webHidden/>
          </w:rPr>
          <w:fldChar w:fldCharType="separate"/>
        </w:r>
        <w:r w:rsidR="00561C92">
          <w:rPr>
            <w:noProof/>
            <w:webHidden/>
          </w:rPr>
          <w:t>81</w:t>
        </w:r>
        <w:r w:rsidR="007C215D">
          <w:rPr>
            <w:noProof/>
            <w:webHidden/>
          </w:rPr>
          <w:fldChar w:fldCharType="end"/>
        </w:r>
      </w:hyperlink>
    </w:p>
    <w:p w14:paraId="34F13702" w14:textId="75DEC048"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2" w:history="1">
        <w:r w:rsidR="007C215D" w:rsidRPr="00DD5403">
          <w:rPr>
            <w:rStyle w:val="Hyperlink"/>
            <w:rFonts w:eastAsiaTheme="majorEastAsia" w:cs="Arial"/>
            <w:noProof/>
          </w:rPr>
          <w:t xml:space="preserve">Figure 48.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northern Wet Tropics region</w:t>
        </w:r>
        <w:r w:rsidR="007C215D">
          <w:rPr>
            <w:noProof/>
            <w:webHidden/>
          </w:rPr>
          <w:tab/>
        </w:r>
        <w:r w:rsidR="007C215D">
          <w:rPr>
            <w:noProof/>
            <w:webHidden/>
          </w:rPr>
          <w:fldChar w:fldCharType="begin"/>
        </w:r>
        <w:r w:rsidR="007C215D">
          <w:rPr>
            <w:noProof/>
            <w:webHidden/>
          </w:rPr>
          <w:instrText xml:space="preserve"> PAGEREF _Toc38634152 \h </w:instrText>
        </w:r>
        <w:r w:rsidR="007C215D">
          <w:rPr>
            <w:noProof/>
            <w:webHidden/>
          </w:rPr>
        </w:r>
        <w:r w:rsidR="007C215D">
          <w:rPr>
            <w:noProof/>
            <w:webHidden/>
          </w:rPr>
          <w:fldChar w:fldCharType="separate"/>
        </w:r>
        <w:r w:rsidR="00561C92">
          <w:rPr>
            <w:noProof/>
            <w:webHidden/>
          </w:rPr>
          <w:t>82</w:t>
        </w:r>
        <w:r w:rsidR="007C215D">
          <w:rPr>
            <w:noProof/>
            <w:webHidden/>
          </w:rPr>
          <w:fldChar w:fldCharType="end"/>
        </w:r>
      </w:hyperlink>
    </w:p>
    <w:p w14:paraId="24D81308" w14:textId="6EBBD2D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3" w:history="1">
        <w:r w:rsidR="007C215D" w:rsidRPr="00DD5403">
          <w:rPr>
            <w:rStyle w:val="Hyperlink"/>
            <w:rFonts w:eastAsiaTheme="majorEastAsia" w:cs="Arial"/>
            <w:noProof/>
          </w:rPr>
          <w:t xml:space="preserve">Figure 49.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southern Wet Tropics region</w:t>
        </w:r>
        <w:r w:rsidR="007C215D">
          <w:rPr>
            <w:noProof/>
            <w:webHidden/>
          </w:rPr>
          <w:tab/>
        </w:r>
        <w:r w:rsidR="007C215D">
          <w:rPr>
            <w:noProof/>
            <w:webHidden/>
          </w:rPr>
          <w:fldChar w:fldCharType="begin"/>
        </w:r>
        <w:r w:rsidR="007C215D">
          <w:rPr>
            <w:noProof/>
            <w:webHidden/>
          </w:rPr>
          <w:instrText xml:space="preserve"> PAGEREF _Toc38634153 \h </w:instrText>
        </w:r>
        <w:r w:rsidR="007C215D">
          <w:rPr>
            <w:noProof/>
            <w:webHidden/>
          </w:rPr>
        </w:r>
        <w:r w:rsidR="007C215D">
          <w:rPr>
            <w:noProof/>
            <w:webHidden/>
          </w:rPr>
          <w:fldChar w:fldCharType="separate"/>
        </w:r>
        <w:r w:rsidR="00561C92">
          <w:rPr>
            <w:noProof/>
            <w:webHidden/>
          </w:rPr>
          <w:t>83</w:t>
        </w:r>
        <w:r w:rsidR="007C215D">
          <w:rPr>
            <w:noProof/>
            <w:webHidden/>
          </w:rPr>
          <w:fldChar w:fldCharType="end"/>
        </w:r>
      </w:hyperlink>
    </w:p>
    <w:p w14:paraId="105EE271" w14:textId="1A2E6A0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4" w:history="1">
        <w:r w:rsidR="007C215D" w:rsidRPr="00DD5403">
          <w:rPr>
            <w:rStyle w:val="Hyperlink"/>
            <w:rFonts w:eastAsiaTheme="majorEastAsia" w:cs="Arial"/>
            <w:noProof/>
          </w:rPr>
          <w:t xml:space="preserve">Figure 50. </w:t>
        </w:r>
        <w:r w:rsidR="007C215D" w:rsidRPr="00DD5403">
          <w:rPr>
            <w:rStyle w:val="Hyperlink"/>
            <w:rFonts w:eastAsiaTheme="majorEastAsia" w:cs="Arial"/>
            <w:i/>
            <w:noProof/>
          </w:rPr>
          <w:t>Long-term trend in mean epiphyte and macroalgae abundance (per cent cover) relative to the long-term average for each inshore seagrass habitat in the northern Wet Tropics region, 2001–2019</w:t>
        </w:r>
        <w:r w:rsidR="007C215D">
          <w:rPr>
            <w:noProof/>
            <w:webHidden/>
          </w:rPr>
          <w:tab/>
        </w:r>
        <w:r w:rsidR="007C215D">
          <w:rPr>
            <w:noProof/>
            <w:webHidden/>
          </w:rPr>
          <w:fldChar w:fldCharType="begin"/>
        </w:r>
        <w:r w:rsidR="007C215D">
          <w:rPr>
            <w:noProof/>
            <w:webHidden/>
          </w:rPr>
          <w:instrText xml:space="preserve"> PAGEREF _Toc38634154 \h </w:instrText>
        </w:r>
        <w:r w:rsidR="007C215D">
          <w:rPr>
            <w:noProof/>
            <w:webHidden/>
          </w:rPr>
        </w:r>
        <w:r w:rsidR="007C215D">
          <w:rPr>
            <w:noProof/>
            <w:webHidden/>
          </w:rPr>
          <w:fldChar w:fldCharType="separate"/>
        </w:r>
        <w:r w:rsidR="00561C92">
          <w:rPr>
            <w:noProof/>
            <w:webHidden/>
          </w:rPr>
          <w:t>84</w:t>
        </w:r>
        <w:r w:rsidR="007C215D">
          <w:rPr>
            <w:noProof/>
            <w:webHidden/>
          </w:rPr>
          <w:fldChar w:fldCharType="end"/>
        </w:r>
      </w:hyperlink>
    </w:p>
    <w:p w14:paraId="2321B5EF" w14:textId="058046B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5" w:history="1">
        <w:r w:rsidR="007C215D" w:rsidRPr="00DD5403">
          <w:rPr>
            <w:rStyle w:val="Hyperlink"/>
            <w:rFonts w:eastAsiaTheme="majorEastAsia" w:cs="Arial"/>
            <w:noProof/>
          </w:rPr>
          <w:t xml:space="preserve">Figure 51. </w:t>
        </w:r>
        <w:r w:rsidR="007C215D" w:rsidRPr="00DD5403">
          <w:rPr>
            <w:rStyle w:val="Hyperlink"/>
            <w:rFonts w:eastAsiaTheme="majorEastAsia" w:cs="Arial"/>
            <w:i/>
            <w:noProof/>
          </w:rPr>
          <w:t>Long-term trend in mean epiphyte and macroalgae abundance (per cent cover) relative to the long-term average for each inshore seagrass habitat in the southern Wet Tropics region, 2001–19</w:t>
        </w:r>
        <w:r w:rsidR="007C215D">
          <w:rPr>
            <w:noProof/>
            <w:webHidden/>
          </w:rPr>
          <w:tab/>
        </w:r>
        <w:r w:rsidR="007C215D">
          <w:rPr>
            <w:noProof/>
            <w:webHidden/>
          </w:rPr>
          <w:fldChar w:fldCharType="begin"/>
        </w:r>
        <w:r w:rsidR="007C215D">
          <w:rPr>
            <w:noProof/>
            <w:webHidden/>
          </w:rPr>
          <w:instrText xml:space="preserve"> PAGEREF _Toc38634155 \h </w:instrText>
        </w:r>
        <w:r w:rsidR="007C215D">
          <w:rPr>
            <w:noProof/>
            <w:webHidden/>
          </w:rPr>
        </w:r>
        <w:r w:rsidR="007C215D">
          <w:rPr>
            <w:noProof/>
            <w:webHidden/>
          </w:rPr>
          <w:fldChar w:fldCharType="separate"/>
        </w:r>
        <w:r w:rsidR="00561C92">
          <w:rPr>
            <w:noProof/>
            <w:webHidden/>
          </w:rPr>
          <w:t>85</w:t>
        </w:r>
        <w:r w:rsidR="007C215D">
          <w:rPr>
            <w:noProof/>
            <w:webHidden/>
          </w:rPr>
          <w:fldChar w:fldCharType="end"/>
        </w:r>
      </w:hyperlink>
    </w:p>
    <w:p w14:paraId="5F4D6418" w14:textId="6EC5D9A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6" w:history="1">
        <w:r w:rsidR="007C215D" w:rsidRPr="00DD5403">
          <w:rPr>
            <w:rStyle w:val="Hyperlink"/>
            <w:rFonts w:eastAsiaTheme="majorEastAsia" w:cs="Arial"/>
            <w:noProof/>
          </w:rPr>
          <w:t xml:space="preserve">Figure 52. </w:t>
        </w:r>
        <w:r w:rsidR="007C215D" w:rsidRPr="00DD5403">
          <w:rPr>
            <w:rStyle w:val="Hyperlink"/>
            <w:rFonts w:eastAsiaTheme="majorEastAsia" w:cs="Arial"/>
            <w:i/>
            <w:noProof/>
          </w:rPr>
          <w:t>Report card of seagrass status indicators and index for the Burdekin NRM region</w:t>
        </w:r>
        <w:r w:rsidR="007C215D">
          <w:rPr>
            <w:noProof/>
            <w:webHidden/>
          </w:rPr>
          <w:tab/>
        </w:r>
        <w:r w:rsidR="007C215D">
          <w:rPr>
            <w:noProof/>
            <w:webHidden/>
          </w:rPr>
          <w:fldChar w:fldCharType="begin"/>
        </w:r>
        <w:r w:rsidR="007C215D">
          <w:rPr>
            <w:noProof/>
            <w:webHidden/>
          </w:rPr>
          <w:instrText xml:space="preserve"> PAGEREF _Toc38634156 \h </w:instrText>
        </w:r>
        <w:r w:rsidR="007C215D">
          <w:rPr>
            <w:noProof/>
            <w:webHidden/>
          </w:rPr>
        </w:r>
        <w:r w:rsidR="007C215D">
          <w:rPr>
            <w:noProof/>
            <w:webHidden/>
          </w:rPr>
          <w:fldChar w:fldCharType="separate"/>
        </w:r>
        <w:r w:rsidR="00561C92">
          <w:rPr>
            <w:noProof/>
            <w:webHidden/>
          </w:rPr>
          <w:t>86</w:t>
        </w:r>
        <w:r w:rsidR="007C215D">
          <w:rPr>
            <w:noProof/>
            <w:webHidden/>
          </w:rPr>
          <w:fldChar w:fldCharType="end"/>
        </w:r>
      </w:hyperlink>
    </w:p>
    <w:p w14:paraId="3705D77E" w14:textId="0318ECC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7" w:history="1">
        <w:r w:rsidR="007C215D" w:rsidRPr="00DD5403">
          <w:rPr>
            <w:rStyle w:val="Hyperlink"/>
            <w:rFonts w:eastAsiaTheme="majorEastAsia" w:cs="Arial"/>
            <w:noProof/>
          </w:rPr>
          <w:t xml:space="preserve">Figure 53. </w:t>
        </w:r>
        <w:r w:rsidR="007C215D" w:rsidRPr="00DD5403">
          <w:rPr>
            <w:rStyle w:val="Hyperlink"/>
            <w:rFonts w:eastAsiaTheme="majorEastAsia" w:cs="Arial"/>
            <w:i/>
            <w:noProof/>
          </w:rPr>
          <w:t>Environmental pressures in the Burdekin region</w:t>
        </w:r>
        <w:r w:rsidR="007C215D">
          <w:rPr>
            <w:noProof/>
            <w:webHidden/>
          </w:rPr>
          <w:tab/>
        </w:r>
        <w:r w:rsidR="007C215D">
          <w:rPr>
            <w:noProof/>
            <w:webHidden/>
          </w:rPr>
          <w:fldChar w:fldCharType="begin"/>
        </w:r>
        <w:r w:rsidR="007C215D">
          <w:rPr>
            <w:noProof/>
            <w:webHidden/>
          </w:rPr>
          <w:instrText xml:space="preserve"> PAGEREF _Toc38634157 \h </w:instrText>
        </w:r>
        <w:r w:rsidR="007C215D">
          <w:rPr>
            <w:noProof/>
            <w:webHidden/>
          </w:rPr>
        </w:r>
        <w:r w:rsidR="007C215D">
          <w:rPr>
            <w:noProof/>
            <w:webHidden/>
          </w:rPr>
          <w:fldChar w:fldCharType="separate"/>
        </w:r>
        <w:r w:rsidR="00561C92">
          <w:rPr>
            <w:noProof/>
            <w:webHidden/>
          </w:rPr>
          <w:t>88</w:t>
        </w:r>
        <w:r w:rsidR="007C215D">
          <w:rPr>
            <w:noProof/>
            <w:webHidden/>
          </w:rPr>
          <w:fldChar w:fldCharType="end"/>
        </w:r>
      </w:hyperlink>
    </w:p>
    <w:p w14:paraId="7628D064" w14:textId="532309C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8" w:history="1">
        <w:r w:rsidR="007C215D" w:rsidRPr="00DD5403">
          <w:rPr>
            <w:rStyle w:val="Hyperlink"/>
            <w:rFonts w:eastAsiaTheme="majorEastAsia" w:cs="Arial"/>
            <w:noProof/>
          </w:rPr>
          <w:t xml:space="preserve">Figure 54. </w:t>
        </w:r>
        <w:r w:rsidR="007C215D" w:rsidRPr="00DD5403">
          <w:rPr>
            <w:rStyle w:val="Hyperlink"/>
            <w:rFonts w:eastAsiaTheme="majorEastAsia" w:cs="Arial"/>
            <w:i/>
            <w:noProof/>
          </w:rPr>
          <w:t>Temporal trends in the Burdekin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_Toc38634158 \h </w:instrText>
        </w:r>
        <w:r w:rsidR="007C215D">
          <w:rPr>
            <w:noProof/>
            <w:webHidden/>
          </w:rPr>
        </w:r>
        <w:r w:rsidR="007C215D">
          <w:rPr>
            <w:noProof/>
            <w:webHidden/>
          </w:rPr>
          <w:fldChar w:fldCharType="separate"/>
        </w:r>
        <w:r w:rsidR="00561C92">
          <w:rPr>
            <w:noProof/>
            <w:webHidden/>
          </w:rPr>
          <w:t>90</w:t>
        </w:r>
        <w:r w:rsidR="007C215D">
          <w:rPr>
            <w:noProof/>
            <w:webHidden/>
          </w:rPr>
          <w:fldChar w:fldCharType="end"/>
        </w:r>
      </w:hyperlink>
    </w:p>
    <w:p w14:paraId="16CF8172" w14:textId="7B2BEE0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59" w:history="1">
        <w:r w:rsidR="007C215D" w:rsidRPr="00DD5403">
          <w:rPr>
            <w:rStyle w:val="Hyperlink"/>
            <w:rFonts w:eastAsiaTheme="majorEastAsia" w:cs="Arial"/>
            <w:noProof/>
          </w:rPr>
          <w:t xml:space="preserve">Figure 55.  </w:t>
        </w:r>
        <w:r w:rsidR="007C215D" w:rsidRPr="00DD5403">
          <w:rPr>
            <w:rStyle w:val="Hyperlink"/>
            <w:rFonts w:eastAsiaTheme="majorEastAsia" w:cs="Arial"/>
            <w:i/>
            <w:noProof/>
          </w:rPr>
          <w:t>Seagrass per cent cover measures per quadrat (sites pooled) and long-term trends, for each habitat monitored in the Burdekin NRM region from 2001 to 2019.</w:t>
        </w:r>
        <w:r w:rsidR="007C215D">
          <w:rPr>
            <w:noProof/>
            <w:webHidden/>
          </w:rPr>
          <w:tab/>
        </w:r>
        <w:r w:rsidR="007C215D">
          <w:rPr>
            <w:noProof/>
            <w:webHidden/>
          </w:rPr>
          <w:fldChar w:fldCharType="begin"/>
        </w:r>
        <w:r w:rsidR="007C215D">
          <w:rPr>
            <w:noProof/>
            <w:webHidden/>
          </w:rPr>
          <w:instrText xml:space="preserve"> PAGEREF _Toc38634159 \h </w:instrText>
        </w:r>
        <w:r w:rsidR="007C215D">
          <w:rPr>
            <w:noProof/>
            <w:webHidden/>
          </w:rPr>
        </w:r>
        <w:r w:rsidR="007C215D">
          <w:rPr>
            <w:noProof/>
            <w:webHidden/>
          </w:rPr>
          <w:fldChar w:fldCharType="separate"/>
        </w:r>
        <w:r w:rsidR="00561C92">
          <w:rPr>
            <w:noProof/>
            <w:webHidden/>
          </w:rPr>
          <w:t>91</w:t>
        </w:r>
        <w:r w:rsidR="007C215D">
          <w:rPr>
            <w:noProof/>
            <w:webHidden/>
          </w:rPr>
          <w:fldChar w:fldCharType="end"/>
        </w:r>
      </w:hyperlink>
    </w:p>
    <w:p w14:paraId="31A5A24B" w14:textId="64B9484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0" w:history="1">
        <w:r w:rsidR="007C215D" w:rsidRPr="00DD5403">
          <w:rPr>
            <w:rStyle w:val="Hyperlink"/>
            <w:rFonts w:eastAsiaTheme="majorEastAsia" w:cs="Arial"/>
            <w:noProof/>
          </w:rPr>
          <w:t xml:space="preserve">Figure 56. </w:t>
        </w:r>
        <w:r w:rsidR="007C215D" w:rsidRPr="00DD5403">
          <w:rPr>
            <w:rStyle w:val="Hyperlink"/>
            <w:rFonts w:eastAsiaTheme="majorEastAsia" w:cs="Arial"/>
            <w:i/>
            <w:noProof/>
          </w:rPr>
          <w:t>Proportion of seagrass abundance composed of colonising species at inshore habitats in the Burdekin region, 2001–2019.</w:t>
        </w:r>
        <w:r w:rsidR="007C215D">
          <w:rPr>
            <w:noProof/>
            <w:webHidden/>
          </w:rPr>
          <w:tab/>
        </w:r>
        <w:r w:rsidR="007C215D">
          <w:rPr>
            <w:noProof/>
            <w:webHidden/>
          </w:rPr>
          <w:fldChar w:fldCharType="begin"/>
        </w:r>
        <w:r w:rsidR="007C215D">
          <w:rPr>
            <w:noProof/>
            <w:webHidden/>
          </w:rPr>
          <w:instrText xml:space="preserve"> PAGEREF _Toc38634160 \h </w:instrText>
        </w:r>
        <w:r w:rsidR="007C215D">
          <w:rPr>
            <w:noProof/>
            <w:webHidden/>
          </w:rPr>
        </w:r>
        <w:r w:rsidR="007C215D">
          <w:rPr>
            <w:noProof/>
            <w:webHidden/>
          </w:rPr>
          <w:fldChar w:fldCharType="separate"/>
        </w:r>
        <w:r w:rsidR="00561C92">
          <w:rPr>
            <w:noProof/>
            <w:webHidden/>
          </w:rPr>
          <w:t>92</w:t>
        </w:r>
        <w:r w:rsidR="007C215D">
          <w:rPr>
            <w:noProof/>
            <w:webHidden/>
          </w:rPr>
          <w:fldChar w:fldCharType="end"/>
        </w:r>
      </w:hyperlink>
    </w:p>
    <w:p w14:paraId="3A4FF3B5" w14:textId="20087A33"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1" w:history="1">
        <w:r w:rsidR="007C215D" w:rsidRPr="00DD5403">
          <w:rPr>
            <w:rStyle w:val="Hyperlink"/>
            <w:rFonts w:eastAsiaTheme="majorEastAsia" w:cs="Arial"/>
            <w:noProof/>
          </w:rPr>
          <w:t xml:space="preserve">Figure 57. </w:t>
        </w:r>
        <w:r w:rsidR="007C215D" w:rsidRPr="00DD5403">
          <w:rPr>
            <w:rStyle w:val="Hyperlink"/>
            <w:rFonts w:eastAsiaTheme="majorEastAsia" w:cs="Arial"/>
            <w:i/>
            <w:noProof/>
          </w:rPr>
          <w:t>Change in spatial extent of seagrass meadows within monitoring sites for each inshore intertidal habitat and monitoring period across the Burdekin region, 2005–2018.</w:t>
        </w:r>
        <w:r w:rsidR="007C215D">
          <w:rPr>
            <w:noProof/>
            <w:webHidden/>
          </w:rPr>
          <w:tab/>
        </w:r>
        <w:r w:rsidR="007C215D">
          <w:rPr>
            <w:noProof/>
            <w:webHidden/>
          </w:rPr>
          <w:fldChar w:fldCharType="begin"/>
        </w:r>
        <w:r w:rsidR="007C215D">
          <w:rPr>
            <w:noProof/>
            <w:webHidden/>
          </w:rPr>
          <w:instrText xml:space="preserve"> PAGEREF _Toc38634161 \h </w:instrText>
        </w:r>
        <w:r w:rsidR="007C215D">
          <w:rPr>
            <w:noProof/>
            <w:webHidden/>
          </w:rPr>
        </w:r>
        <w:r w:rsidR="007C215D">
          <w:rPr>
            <w:noProof/>
            <w:webHidden/>
          </w:rPr>
          <w:fldChar w:fldCharType="separate"/>
        </w:r>
        <w:r w:rsidR="00561C92">
          <w:rPr>
            <w:noProof/>
            <w:webHidden/>
          </w:rPr>
          <w:t>92</w:t>
        </w:r>
        <w:r w:rsidR="007C215D">
          <w:rPr>
            <w:noProof/>
            <w:webHidden/>
          </w:rPr>
          <w:fldChar w:fldCharType="end"/>
        </w:r>
      </w:hyperlink>
    </w:p>
    <w:p w14:paraId="28454624" w14:textId="67A0CA7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2" w:history="1">
        <w:r w:rsidR="007C215D" w:rsidRPr="00DD5403">
          <w:rPr>
            <w:rStyle w:val="Hyperlink"/>
            <w:rFonts w:eastAsiaTheme="majorEastAsia" w:cs="Arial"/>
            <w:noProof/>
          </w:rPr>
          <w:t xml:space="preserve">Figure 58. </w:t>
        </w:r>
        <w:r w:rsidR="007C215D" w:rsidRPr="00DD5403">
          <w:rPr>
            <w:rStyle w:val="Hyperlink"/>
            <w:rFonts w:eastAsiaTheme="majorEastAsia" w:cs="Arial"/>
            <w:i/>
            <w:noProof/>
          </w:rPr>
          <w:t>Reproductive effort at inshore intertidal coast and reef and subtidal reef habitats in the Burdekin region.</w:t>
        </w:r>
        <w:r w:rsidR="007C215D">
          <w:rPr>
            <w:noProof/>
            <w:webHidden/>
          </w:rPr>
          <w:tab/>
        </w:r>
        <w:r w:rsidR="007C215D">
          <w:rPr>
            <w:noProof/>
            <w:webHidden/>
          </w:rPr>
          <w:fldChar w:fldCharType="begin"/>
        </w:r>
        <w:r w:rsidR="007C215D">
          <w:rPr>
            <w:noProof/>
            <w:webHidden/>
          </w:rPr>
          <w:instrText xml:space="preserve"> PAGEREF _Toc38634162 \h </w:instrText>
        </w:r>
        <w:r w:rsidR="007C215D">
          <w:rPr>
            <w:noProof/>
            <w:webHidden/>
          </w:rPr>
        </w:r>
        <w:r w:rsidR="007C215D">
          <w:rPr>
            <w:noProof/>
            <w:webHidden/>
          </w:rPr>
          <w:fldChar w:fldCharType="separate"/>
        </w:r>
        <w:r w:rsidR="00561C92">
          <w:rPr>
            <w:noProof/>
            <w:webHidden/>
          </w:rPr>
          <w:t>93</w:t>
        </w:r>
        <w:r w:rsidR="007C215D">
          <w:rPr>
            <w:noProof/>
            <w:webHidden/>
          </w:rPr>
          <w:fldChar w:fldCharType="end"/>
        </w:r>
      </w:hyperlink>
    </w:p>
    <w:p w14:paraId="04A08F53" w14:textId="423918E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3" w:history="1">
        <w:r w:rsidR="007C215D" w:rsidRPr="00DD5403">
          <w:rPr>
            <w:rStyle w:val="Hyperlink"/>
            <w:rFonts w:eastAsiaTheme="majorEastAsia" w:cs="Arial"/>
            <w:noProof/>
          </w:rPr>
          <w:t xml:space="preserve">Figure 59.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Burdekin region</w:t>
        </w:r>
        <w:r w:rsidR="007C215D">
          <w:rPr>
            <w:noProof/>
            <w:webHidden/>
          </w:rPr>
          <w:tab/>
        </w:r>
        <w:r w:rsidR="007C215D">
          <w:rPr>
            <w:noProof/>
            <w:webHidden/>
          </w:rPr>
          <w:fldChar w:fldCharType="begin"/>
        </w:r>
        <w:r w:rsidR="007C215D">
          <w:rPr>
            <w:noProof/>
            <w:webHidden/>
          </w:rPr>
          <w:instrText xml:space="preserve"> PAGEREF _Toc38634163 \h </w:instrText>
        </w:r>
        <w:r w:rsidR="007C215D">
          <w:rPr>
            <w:noProof/>
            <w:webHidden/>
          </w:rPr>
        </w:r>
        <w:r w:rsidR="007C215D">
          <w:rPr>
            <w:noProof/>
            <w:webHidden/>
          </w:rPr>
          <w:fldChar w:fldCharType="separate"/>
        </w:r>
        <w:r w:rsidR="00561C92">
          <w:rPr>
            <w:noProof/>
            <w:webHidden/>
          </w:rPr>
          <w:t>94</w:t>
        </w:r>
        <w:r w:rsidR="007C215D">
          <w:rPr>
            <w:noProof/>
            <w:webHidden/>
          </w:rPr>
          <w:fldChar w:fldCharType="end"/>
        </w:r>
      </w:hyperlink>
    </w:p>
    <w:p w14:paraId="1EA71821" w14:textId="31ED07E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4" w:history="1">
        <w:r w:rsidR="007C215D" w:rsidRPr="00DD5403">
          <w:rPr>
            <w:rStyle w:val="Hyperlink"/>
            <w:rFonts w:eastAsiaTheme="majorEastAsia" w:cs="Arial"/>
            <w:noProof/>
          </w:rPr>
          <w:t xml:space="preserve">Figure 60. </w:t>
        </w:r>
        <w:r w:rsidR="007C215D" w:rsidRPr="00DD5403">
          <w:rPr>
            <w:rStyle w:val="Hyperlink"/>
            <w:rFonts w:eastAsiaTheme="majorEastAsia" w:cs="Arial"/>
            <w:i/>
            <w:noProof/>
          </w:rPr>
          <w:t>Long-term trend in mean epiphyte and macroalgae abundance (per cent cover) relative to the long-term Reef average for each inshore seagrass habitat in the Burdekin region</w:t>
        </w:r>
        <w:r w:rsidR="007C215D">
          <w:rPr>
            <w:noProof/>
            <w:webHidden/>
          </w:rPr>
          <w:tab/>
        </w:r>
        <w:r w:rsidR="007C215D">
          <w:rPr>
            <w:noProof/>
            <w:webHidden/>
          </w:rPr>
          <w:fldChar w:fldCharType="begin"/>
        </w:r>
        <w:r w:rsidR="007C215D">
          <w:rPr>
            <w:noProof/>
            <w:webHidden/>
          </w:rPr>
          <w:instrText xml:space="preserve"> PAGEREF _Toc38634164 \h </w:instrText>
        </w:r>
        <w:r w:rsidR="007C215D">
          <w:rPr>
            <w:noProof/>
            <w:webHidden/>
          </w:rPr>
        </w:r>
        <w:r w:rsidR="007C215D">
          <w:rPr>
            <w:noProof/>
            <w:webHidden/>
          </w:rPr>
          <w:fldChar w:fldCharType="separate"/>
        </w:r>
        <w:r w:rsidR="00561C92">
          <w:rPr>
            <w:noProof/>
            <w:webHidden/>
          </w:rPr>
          <w:t>95</w:t>
        </w:r>
        <w:r w:rsidR="007C215D">
          <w:rPr>
            <w:noProof/>
            <w:webHidden/>
          </w:rPr>
          <w:fldChar w:fldCharType="end"/>
        </w:r>
      </w:hyperlink>
    </w:p>
    <w:p w14:paraId="0B556D94" w14:textId="6CAD547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5" w:history="1">
        <w:r w:rsidR="007C215D" w:rsidRPr="00DD5403">
          <w:rPr>
            <w:rStyle w:val="Hyperlink"/>
            <w:rFonts w:eastAsiaTheme="majorEastAsia" w:cs="Arial"/>
            <w:noProof/>
          </w:rPr>
          <w:t xml:space="preserve">Figure 61. </w:t>
        </w:r>
        <w:r w:rsidR="007C215D" w:rsidRPr="00DD5403">
          <w:rPr>
            <w:rStyle w:val="Hyperlink"/>
            <w:rFonts w:eastAsiaTheme="majorEastAsia" w:cs="Arial"/>
            <w:i/>
            <w:noProof/>
          </w:rPr>
          <w:t>Report card of seagrass status indicators and index for the Mackay–Whitsunday NRM region</w:t>
        </w:r>
        <w:r w:rsidR="007C215D">
          <w:rPr>
            <w:noProof/>
            <w:webHidden/>
          </w:rPr>
          <w:tab/>
        </w:r>
        <w:r w:rsidR="007C215D">
          <w:rPr>
            <w:noProof/>
            <w:webHidden/>
          </w:rPr>
          <w:fldChar w:fldCharType="begin"/>
        </w:r>
        <w:r w:rsidR="007C215D">
          <w:rPr>
            <w:noProof/>
            <w:webHidden/>
          </w:rPr>
          <w:instrText xml:space="preserve"> PAGEREF _Toc38634165 \h </w:instrText>
        </w:r>
        <w:r w:rsidR="007C215D">
          <w:rPr>
            <w:noProof/>
            <w:webHidden/>
          </w:rPr>
        </w:r>
        <w:r w:rsidR="007C215D">
          <w:rPr>
            <w:noProof/>
            <w:webHidden/>
          </w:rPr>
          <w:fldChar w:fldCharType="separate"/>
        </w:r>
        <w:r w:rsidR="00561C92">
          <w:rPr>
            <w:noProof/>
            <w:webHidden/>
          </w:rPr>
          <w:t>96</w:t>
        </w:r>
        <w:r w:rsidR="007C215D">
          <w:rPr>
            <w:noProof/>
            <w:webHidden/>
          </w:rPr>
          <w:fldChar w:fldCharType="end"/>
        </w:r>
      </w:hyperlink>
    </w:p>
    <w:p w14:paraId="67597418" w14:textId="7D9EDA8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6" w:history="1">
        <w:r w:rsidR="007C215D" w:rsidRPr="00DD5403">
          <w:rPr>
            <w:rStyle w:val="Hyperlink"/>
            <w:rFonts w:eastAsiaTheme="majorEastAsia" w:cs="Arial"/>
            <w:noProof/>
          </w:rPr>
          <w:t xml:space="preserve">Figure 62. </w:t>
        </w:r>
        <w:r w:rsidR="007C215D" w:rsidRPr="00DD5403">
          <w:rPr>
            <w:rStyle w:val="Hyperlink"/>
            <w:rFonts w:eastAsiaTheme="majorEastAsia" w:cs="Arial"/>
            <w:i/>
            <w:noProof/>
          </w:rPr>
          <w:t>Environmental pressures in the Mackay–Whitsunday NRM region</w:t>
        </w:r>
        <w:r w:rsidR="007C215D">
          <w:rPr>
            <w:noProof/>
            <w:webHidden/>
          </w:rPr>
          <w:tab/>
        </w:r>
        <w:r w:rsidR="007C215D">
          <w:rPr>
            <w:noProof/>
            <w:webHidden/>
          </w:rPr>
          <w:fldChar w:fldCharType="begin"/>
        </w:r>
        <w:r w:rsidR="007C215D">
          <w:rPr>
            <w:noProof/>
            <w:webHidden/>
          </w:rPr>
          <w:instrText xml:space="preserve"> PAGEREF _Toc38634166 \h </w:instrText>
        </w:r>
        <w:r w:rsidR="007C215D">
          <w:rPr>
            <w:noProof/>
            <w:webHidden/>
          </w:rPr>
        </w:r>
        <w:r w:rsidR="007C215D">
          <w:rPr>
            <w:noProof/>
            <w:webHidden/>
          </w:rPr>
          <w:fldChar w:fldCharType="separate"/>
        </w:r>
        <w:r w:rsidR="00561C92">
          <w:rPr>
            <w:noProof/>
            <w:webHidden/>
          </w:rPr>
          <w:t>98</w:t>
        </w:r>
        <w:r w:rsidR="007C215D">
          <w:rPr>
            <w:noProof/>
            <w:webHidden/>
          </w:rPr>
          <w:fldChar w:fldCharType="end"/>
        </w:r>
      </w:hyperlink>
    </w:p>
    <w:p w14:paraId="6DC7B8CC" w14:textId="6E338ED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7" w:history="1">
        <w:r w:rsidR="007C215D" w:rsidRPr="00DD5403">
          <w:rPr>
            <w:rStyle w:val="Hyperlink"/>
            <w:rFonts w:eastAsiaTheme="majorEastAsia" w:cs="Arial"/>
            <w:noProof/>
          </w:rPr>
          <w:t xml:space="preserve">Figure 63. </w:t>
        </w:r>
        <w:r w:rsidR="007C215D" w:rsidRPr="00DD5403">
          <w:rPr>
            <w:rStyle w:val="Hyperlink"/>
            <w:rFonts w:eastAsiaTheme="majorEastAsia" w:cs="Arial"/>
            <w:i/>
            <w:noProof/>
          </w:rPr>
          <w:t>Temporal trends in the Mackay–Whitsunday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_Toc38634167 \h </w:instrText>
        </w:r>
        <w:r w:rsidR="007C215D">
          <w:rPr>
            <w:noProof/>
            <w:webHidden/>
          </w:rPr>
        </w:r>
        <w:r w:rsidR="007C215D">
          <w:rPr>
            <w:noProof/>
            <w:webHidden/>
          </w:rPr>
          <w:fldChar w:fldCharType="separate"/>
        </w:r>
        <w:r w:rsidR="00561C92">
          <w:rPr>
            <w:noProof/>
            <w:webHidden/>
          </w:rPr>
          <w:t>100</w:t>
        </w:r>
        <w:r w:rsidR="007C215D">
          <w:rPr>
            <w:noProof/>
            <w:webHidden/>
          </w:rPr>
          <w:fldChar w:fldCharType="end"/>
        </w:r>
      </w:hyperlink>
    </w:p>
    <w:p w14:paraId="22096285" w14:textId="5F8CC9F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8" w:history="1">
        <w:r w:rsidR="007C215D" w:rsidRPr="00DD5403">
          <w:rPr>
            <w:rStyle w:val="Hyperlink"/>
            <w:rFonts w:eastAsiaTheme="majorEastAsia" w:cs="Arial"/>
            <w:noProof/>
          </w:rPr>
          <w:t xml:space="preserve">Figure 64. </w:t>
        </w:r>
        <w:r w:rsidR="007C215D" w:rsidRPr="00DD5403">
          <w:rPr>
            <w:rStyle w:val="Hyperlink"/>
            <w:rFonts w:eastAsiaTheme="majorEastAsia" w:cs="Arial"/>
            <w:i/>
            <w:noProof/>
          </w:rPr>
          <w:t>Seagrass per cent cover measures per quadrat (sites pooled) and long-term trends, for each habitat monitored in the Mackay–Whitsunday NRM region from 1999 to 2019.</w:t>
        </w:r>
        <w:r w:rsidR="007C215D">
          <w:rPr>
            <w:noProof/>
            <w:webHidden/>
          </w:rPr>
          <w:tab/>
        </w:r>
        <w:r w:rsidR="007C215D">
          <w:rPr>
            <w:noProof/>
            <w:webHidden/>
          </w:rPr>
          <w:fldChar w:fldCharType="begin"/>
        </w:r>
        <w:r w:rsidR="007C215D">
          <w:rPr>
            <w:noProof/>
            <w:webHidden/>
          </w:rPr>
          <w:instrText xml:space="preserve"> PAGEREF _Toc38634168 \h </w:instrText>
        </w:r>
        <w:r w:rsidR="007C215D">
          <w:rPr>
            <w:noProof/>
            <w:webHidden/>
          </w:rPr>
        </w:r>
        <w:r w:rsidR="007C215D">
          <w:rPr>
            <w:noProof/>
            <w:webHidden/>
          </w:rPr>
          <w:fldChar w:fldCharType="separate"/>
        </w:r>
        <w:r w:rsidR="00561C92">
          <w:rPr>
            <w:noProof/>
            <w:webHidden/>
          </w:rPr>
          <w:t>101</w:t>
        </w:r>
        <w:r w:rsidR="007C215D">
          <w:rPr>
            <w:noProof/>
            <w:webHidden/>
          </w:rPr>
          <w:fldChar w:fldCharType="end"/>
        </w:r>
      </w:hyperlink>
    </w:p>
    <w:p w14:paraId="5D155E42" w14:textId="70A75DD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69" w:history="1">
        <w:r w:rsidR="007C215D" w:rsidRPr="00DD5403">
          <w:rPr>
            <w:rStyle w:val="Hyperlink"/>
            <w:rFonts w:eastAsiaTheme="majorEastAsia" w:cs="Arial"/>
            <w:noProof/>
          </w:rPr>
          <w:t xml:space="preserve">Figure 65. </w:t>
        </w:r>
        <w:r w:rsidR="007C215D" w:rsidRPr="00DD5403">
          <w:rPr>
            <w:rStyle w:val="Hyperlink"/>
            <w:rFonts w:eastAsiaTheme="majorEastAsia" w:cs="Arial"/>
            <w:i/>
            <w:noProof/>
          </w:rPr>
          <w:t>Proportion of seagrass abundance composed of colonising species at inshore intertidal habitats in the Mackay–Whitsunday region, 1999–2019.</w:t>
        </w:r>
        <w:r w:rsidR="007C215D">
          <w:rPr>
            <w:noProof/>
            <w:webHidden/>
          </w:rPr>
          <w:tab/>
        </w:r>
        <w:r w:rsidR="007C215D">
          <w:rPr>
            <w:noProof/>
            <w:webHidden/>
          </w:rPr>
          <w:fldChar w:fldCharType="begin"/>
        </w:r>
        <w:r w:rsidR="007C215D">
          <w:rPr>
            <w:noProof/>
            <w:webHidden/>
          </w:rPr>
          <w:instrText xml:space="preserve"> PAGEREF _Toc38634169 \h </w:instrText>
        </w:r>
        <w:r w:rsidR="007C215D">
          <w:rPr>
            <w:noProof/>
            <w:webHidden/>
          </w:rPr>
        </w:r>
        <w:r w:rsidR="007C215D">
          <w:rPr>
            <w:noProof/>
            <w:webHidden/>
          </w:rPr>
          <w:fldChar w:fldCharType="separate"/>
        </w:r>
        <w:r w:rsidR="00561C92">
          <w:rPr>
            <w:noProof/>
            <w:webHidden/>
          </w:rPr>
          <w:t>102</w:t>
        </w:r>
        <w:r w:rsidR="007C215D">
          <w:rPr>
            <w:noProof/>
            <w:webHidden/>
          </w:rPr>
          <w:fldChar w:fldCharType="end"/>
        </w:r>
      </w:hyperlink>
    </w:p>
    <w:p w14:paraId="17CDF0EE" w14:textId="22814E9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0" w:history="1">
        <w:r w:rsidR="007C215D" w:rsidRPr="00DD5403">
          <w:rPr>
            <w:rStyle w:val="Hyperlink"/>
            <w:rFonts w:eastAsiaTheme="majorEastAsia" w:cs="Arial"/>
            <w:noProof/>
          </w:rPr>
          <w:t>Figure 66.</w:t>
        </w:r>
        <w:r w:rsidR="007C215D" w:rsidRPr="00DD5403">
          <w:rPr>
            <w:rStyle w:val="Hyperlink"/>
            <w:rFonts w:eastAsiaTheme="majorEastAsia" w:cs="Arial"/>
            <w:i/>
            <w:noProof/>
          </w:rPr>
          <w:t xml:space="preserve"> Change in spatial extent of seagrass meadows within monitoring sites for each inshore intertidal habitat and monitoring period across the Mackay–Whitsunday NRM region.</w:t>
        </w:r>
        <w:r w:rsidR="007C215D">
          <w:rPr>
            <w:noProof/>
            <w:webHidden/>
          </w:rPr>
          <w:tab/>
        </w:r>
        <w:r w:rsidR="007C215D">
          <w:rPr>
            <w:noProof/>
            <w:webHidden/>
          </w:rPr>
          <w:fldChar w:fldCharType="begin"/>
        </w:r>
        <w:r w:rsidR="007C215D">
          <w:rPr>
            <w:noProof/>
            <w:webHidden/>
          </w:rPr>
          <w:instrText xml:space="preserve"> PAGEREF _Toc38634170 \h </w:instrText>
        </w:r>
        <w:r w:rsidR="007C215D">
          <w:rPr>
            <w:noProof/>
            <w:webHidden/>
          </w:rPr>
        </w:r>
        <w:r w:rsidR="007C215D">
          <w:rPr>
            <w:noProof/>
            <w:webHidden/>
          </w:rPr>
          <w:fldChar w:fldCharType="separate"/>
        </w:r>
        <w:r w:rsidR="00561C92">
          <w:rPr>
            <w:noProof/>
            <w:webHidden/>
          </w:rPr>
          <w:t>102</w:t>
        </w:r>
        <w:r w:rsidR="007C215D">
          <w:rPr>
            <w:noProof/>
            <w:webHidden/>
          </w:rPr>
          <w:fldChar w:fldCharType="end"/>
        </w:r>
      </w:hyperlink>
    </w:p>
    <w:p w14:paraId="52A0A3F7" w14:textId="6093A90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1" w:history="1">
        <w:r w:rsidR="007C215D" w:rsidRPr="00DD5403">
          <w:rPr>
            <w:rStyle w:val="Hyperlink"/>
            <w:rFonts w:eastAsiaTheme="majorEastAsia" w:cs="Arial"/>
            <w:noProof/>
          </w:rPr>
          <w:t xml:space="preserve">Figure 67. </w:t>
        </w:r>
        <w:r w:rsidR="007C215D" w:rsidRPr="00DD5403">
          <w:rPr>
            <w:rStyle w:val="Hyperlink"/>
            <w:rFonts w:eastAsiaTheme="majorEastAsia" w:cs="Arial"/>
            <w:i/>
            <w:noProof/>
          </w:rPr>
          <w:t>Seed bank and reproductive effort at inshore intertidal coast, estuary, and reef habitats in the Mackay–Whitsunday region, 2001–2019.</w:t>
        </w:r>
        <w:r w:rsidR="007C215D">
          <w:rPr>
            <w:noProof/>
            <w:webHidden/>
          </w:rPr>
          <w:tab/>
        </w:r>
        <w:r w:rsidR="007C215D">
          <w:rPr>
            <w:noProof/>
            <w:webHidden/>
          </w:rPr>
          <w:fldChar w:fldCharType="begin"/>
        </w:r>
        <w:r w:rsidR="007C215D">
          <w:rPr>
            <w:noProof/>
            <w:webHidden/>
          </w:rPr>
          <w:instrText xml:space="preserve"> PAGEREF _Toc38634171 \h </w:instrText>
        </w:r>
        <w:r w:rsidR="007C215D">
          <w:rPr>
            <w:noProof/>
            <w:webHidden/>
          </w:rPr>
        </w:r>
        <w:r w:rsidR="007C215D">
          <w:rPr>
            <w:noProof/>
            <w:webHidden/>
          </w:rPr>
          <w:fldChar w:fldCharType="separate"/>
        </w:r>
        <w:r w:rsidR="00561C92">
          <w:rPr>
            <w:noProof/>
            <w:webHidden/>
          </w:rPr>
          <w:t>103</w:t>
        </w:r>
        <w:r w:rsidR="007C215D">
          <w:rPr>
            <w:noProof/>
            <w:webHidden/>
          </w:rPr>
          <w:fldChar w:fldCharType="end"/>
        </w:r>
      </w:hyperlink>
    </w:p>
    <w:p w14:paraId="77BF1BD6" w14:textId="16CC2BD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2" w:history="1">
        <w:r w:rsidR="007C215D" w:rsidRPr="00DD5403">
          <w:rPr>
            <w:rStyle w:val="Hyperlink"/>
            <w:rFonts w:eastAsiaTheme="majorEastAsia" w:cs="Arial"/>
            <w:noProof/>
          </w:rPr>
          <w:t xml:space="preserve">Figure 68.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Mackay–Whitsunday region</w:t>
        </w:r>
        <w:r w:rsidR="007C215D">
          <w:rPr>
            <w:noProof/>
            <w:webHidden/>
          </w:rPr>
          <w:tab/>
        </w:r>
        <w:r w:rsidR="007C215D">
          <w:rPr>
            <w:noProof/>
            <w:webHidden/>
          </w:rPr>
          <w:fldChar w:fldCharType="begin"/>
        </w:r>
        <w:r w:rsidR="007C215D">
          <w:rPr>
            <w:noProof/>
            <w:webHidden/>
          </w:rPr>
          <w:instrText xml:space="preserve"> PAGEREF _Toc38634172 \h </w:instrText>
        </w:r>
        <w:r w:rsidR="007C215D">
          <w:rPr>
            <w:noProof/>
            <w:webHidden/>
          </w:rPr>
        </w:r>
        <w:r w:rsidR="007C215D">
          <w:rPr>
            <w:noProof/>
            <w:webHidden/>
          </w:rPr>
          <w:fldChar w:fldCharType="separate"/>
        </w:r>
        <w:r w:rsidR="00561C92">
          <w:rPr>
            <w:noProof/>
            <w:webHidden/>
          </w:rPr>
          <w:t>104</w:t>
        </w:r>
        <w:r w:rsidR="007C215D">
          <w:rPr>
            <w:noProof/>
            <w:webHidden/>
          </w:rPr>
          <w:fldChar w:fldCharType="end"/>
        </w:r>
      </w:hyperlink>
    </w:p>
    <w:p w14:paraId="799BCA2A" w14:textId="631EC8F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3" w:history="1">
        <w:r w:rsidR="007C215D" w:rsidRPr="00DD5403">
          <w:rPr>
            <w:rStyle w:val="Hyperlink"/>
            <w:rFonts w:eastAsiaTheme="majorEastAsia" w:cs="Arial"/>
            <w:noProof/>
          </w:rPr>
          <w:t xml:space="preserve">Figure 69. </w:t>
        </w:r>
        <w:r w:rsidR="007C215D" w:rsidRPr="00DD5403">
          <w:rPr>
            <w:rStyle w:val="Hyperlink"/>
            <w:rFonts w:eastAsiaTheme="majorEastAsia" w:cs="Arial"/>
            <w:i/>
            <w:noProof/>
          </w:rPr>
          <w:t>Long-term trend in mean epiphyte and macroalgae abundance (per cent cover) relative to the long-term average for each inshore intertidal habitat in the Mackay–Whitsunday region, 1999–2018</w:t>
        </w:r>
        <w:r w:rsidR="007C215D">
          <w:rPr>
            <w:noProof/>
            <w:webHidden/>
          </w:rPr>
          <w:tab/>
        </w:r>
        <w:r w:rsidR="007C215D">
          <w:rPr>
            <w:noProof/>
            <w:webHidden/>
          </w:rPr>
          <w:fldChar w:fldCharType="begin"/>
        </w:r>
        <w:r w:rsidR="007C215D">
          <w:rPr>
            <w:noProof/>
            <w:webHidden/>
          </w:rPr>
          <w:instrText xml:space="preserve"> PAGEREF _Toc38634173 \h </w:instrText>
        </w:r>
        <w:r w:rsidR="007C215D">
          <w:rPr>
            <w:noProof/>
            <w:webHidden/>
          </w:rPr>
        </w:r>
        <w:r w:rsidR="007C215D">
          <w:rPr>
            <w:noProof/>
            <w:webHidden/>
          </w:rPr>
          <w:fldChar w:fldCharType="separate"/>
        </w:r>
        <w:r w:rsidR="00561C92">
          <w:rPr>
            <w:noProof/>
            <w:webHidden/>
          </w:rPr>
          <w:t>105</w:t>
        </w:r>
        <w:r w:rsidR="007C215D">
          <w:rPr>
            <w:noProof/>
            <w:webHidden/>
          </w:rPr>
          <w:fldChar w:fldCharType="end"/>
        </w:r>
      </w:hyperlink>
    </w:p>
    <w:p w14:paraId="68A79CF9" w14:textId="3C17C61D"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4" w:history="1">
        <w:r w:rsidR="007C215D" w:rsidRPr="00DD5403">
          <w:rPr>
            <w:rStyle w:val="Hyperlink"/>
            <w:rFonts w:eastAsiaTheme="majorEastAsia" w:cs="Arial"/>
            <w:noProof/>
          </w:rPr>
          <w:t xml:space="preserve">Figure 70. </w:t>
        </w:r>
        <w:r w:rsidR="007C215D" w:rsidRPr="00DD5403">
          <w:rPr>
            <w:rStyle w:val="Hyperlink"/>
            <w:rFonts w:eastAsiaTheme="majorEastAsia" w:cs="Arial"/>
            <w:i/>
            <w:noProof/>
          </w:rPr>
          <w:t>Report card of seagrass status index and indicators for the Fitzroy NRM region</w:t>
        </w:r>
        <w:r w:rsidR="007C215D">
          <w:rPr>
            <w:noProof/>
            <w:webHidden/>
          </w:rPr>
          <w:tab/>
        </w:r>
        <w:r w:rsidR="007C215D">
          <w:rPr>
            <w:noProof/>
            <w:webHidden/>
          </w:rPr>
          <w:fldChar w:fldCharType="begin"/>
        </w:r>
        <w:r w:rsidR="007C215D">
          <w:rPr>
            <w:noProof/>
            <w:webHidden/>
          </w:rPr>
          <w:instrText xml:space="preserve"> PAGEREF _Toc38634174 \h </w:instrText>
        </w:r>
        <w:r w:rsidR="007C215D">
          <w:rPr>
            <w:noProof/>
            <w:webHidden/>
          </w:rPr>
        </w:r>
        <w:r w:rsidR="007C215D">
          <w:rPr>
            <w:noProof/>
            <w:webHidden/>
          </w:rPr>
          <w:fldChar w:fldCharType="separate"/>
        </w:r>
        <w:r w:rsidR="00561C92">
          <w:rPr>
            <w:noProof/>
            <w:webHidden/>
          </w:rPr>
          <w:t>107</w:t>
        </w:r>
        <w:r w:rsidR="007C215D">
          <w:rPr>
            <w:noProof/>
            <w:webHidden/>
          </w:rPr>
          <w:fldChar w:fldCharType="end"/>
        </w:r>
      </w:hyperlink>
    </w:p>
    <w:p w14:paraId="013DF612" w14:textId="451270C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5" w:history="1">
        <w:r w:rsidR="007C215D" w:rsidRPr="00DD5403">
          <w:rPr>
            <w:rStyle w:val="Hyperlink"/>
            <w:rFonts w:eastAsiaTheme="majorEastAsia" w:cs="Arial"/>
            <w:noProof/>
          </w:rPr>
          <w:t xml:space="preserve">Figure 71. </w:t>
        </w:r>
        <w:r w:rsidR="007C215D" w:rsidRPr="00DD5403">
          <w:rPr>
            <w:rStyle w:val="Hyperlink"/>
            <w:rFonts w:eastAsiaTheme="majorEastAsia" w:cs="Arial"/>
            <w:i/>
            <w:noProof/>
          </w:rPr>
          <w:t>Environmental pressures in the Fitzroy region</w:t>
        </w:r>
        <w:r w:rsidR="007C215D">
          <w:rPr>
            <w:noProof/>
            <w:webHidden/>
          </w:rPr>
          <w:tab/>
        </w:r>
        <w:r w:rsidR="007C215D">
          <w:rPr>
            <w:noProof/>
            <w:webHidden/>
          </w:rPr>
          <w:fldChar w:fldCharType="begin"/>
        </w:r>
        <w:r w:rsidR="007C215D">
          <w:rPr>
            <w:noProof/>
            <w:webHidden/>
          </w:rPr>
          <w:instrText xml:space="preserve"> PAGEREF _Toc38634175 \h </w:instrText>
        </w:r>
        <w:r w:rsidR="007C215D">
          <w:rPr>
            <w:noProof/>
            <w:webHidden/>
          </w:rPr>
        </w:r>
        <w:r w:rsidR="007C215D">
          <w:rPr>
            <w:noProof/>
            <w:webHidden/>
          </w:rPr>
          <w:fldChar w:fldCharType="separate"/>
        </w:r>
        <w:r w:rsidR="00561C92">
          <w:rPr>
            <w:noProof/>
            <w:webHidden/>
          </w:rPr>
          <w:t>108</w:t>
        </w:r>
        <w:r w:rsidR="007C215D">
          <w:rPr>
            <w:noProof/>
            <w:webHidden/>
          </w:rPr>
          <w:fldChar w:fldCharType="end"/>
        </w:r>
      </w:hyperlink>
    </w:p>
    <w:p w14:paraId="4115BC73" w14:textId="79B9BCA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6" w:history="1">
        <w:r w:rsidR="007C215D" w:rsidRPr="00DD5403">
          <w:rPr>
            <w:rStyle w:val="Hyperlink"/>
            <w:rFonts w:eastAsiaTheme="majorEastAsia" w:cs="Arial"/>
            <w:noProof/>
          </w:rPr>
          <w:t xml:space="preserve">Figure 72.  </w:t>
        </w:r>
        <w:r w:rsidR="007C215D" w:rsidRPr="00DD5403">
          <w:rPr>
            <w:rStyle w:val="Hyperlink"/>
            <w:rFonts w:eastAsiaTheme="majorEastAsia" w:cs="Arial"/>
            <w:i/>
            <w:noProof/>
          </w:rPr>
          <w:t>Temporal trends in the Fitzroy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_Toc38634176 \h </w:instrText>
        </w:r>
        <w:r w:rsidR="007C215D">
          <w:rPr>
            <w:noProof/>
            <w:webHidden/>
          </w:rPr>
        </w:r>
        <w:r w:rsidR="007C215D">
          <w:rPr>
            <w:noProof/>
            <w:webHidden/>
          </w:rPr>
          <w:fldChar w:fldCharType="separate"/>
        </w:r>
        <w:r w:rsidR="00561C92">
          <w:rPr>
            <w:noProof/>
            <w:webHidden/>
          </w:rPr>
          <w:t>110</w:t>
        </w:r>
        <w:r w:rsidR="007C215D">
          <w:rPr>
            <w:noProof/>
            <w:webHidden/>
          </w:rPr>
          <w:fldChar w:fldCharType="end"/>
        </w:r>
      </w:hyperlink>
    </w:p>
    <w:p w14:paraId="79EB4C2F" w14:textId="3D988DF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7" w:history="1">
        <w:r w:rsidR="007C215D" w:rsidRPr="00DD5403">
          <w:rPr>
            <w:rStyle w:val="Hyperlink"/>
            <w:rFonts w:eastAsiaTheme="majorEastAsia" w:cs="Arial"/>
            <w:noProof/>
          </w:rPr>
          <w:t xml:space="preserve">Figure 73. </w:t>
        </w:r>
        <w:r w:rsidR="007C215D" w:rsidRPr="00DD5403">
          <w:rPr>
            <w:rStyle w:val="Hyperlink"/>
            <w:rFonts w:eastAsiaTheme="majorEastAsia" w:cs="Arial"/>
            <w:i/>
            <w:noProof/>
          </w:rPr>
          <w:t>Seagrass per cent cover measures per quadrat (sites pooled) and long-term trends, for each habitat monitored in the Fitzroy NRM region from 2002 to 2019.</w:t>
        </w:r>
        <w:r w:rsidR="007C215D">
          <w:rPr>
            <w:noProof/>
            <w:webHidden/>
          </w:rPr>
          <w:tab/>
        </w:r>
        <w:r w:rsidR="007C215D">
          <w:rPr>
            <w:noProof/>
            <w:webHidden/>
          </w:rPr>
          <w:fldChar w:fldCharType="begin"/>
        </w:r>
        <w:r w:rsidR="007C215D">
          <w:rPr>
            <w:noProof/>
            <w:webHidden/>
          </w:rPr>
          <w:instrText xml:space="preserve"> PAGEREF _Toc38634177 \h </w:instrText>
        </w:r>
        <w:r w:rsidR="007C215D">
          <w:rPr>
            <w:noProof/>
            <w:webHidden/>
          </w:rPr>
        </w:r>
        <w:r w:rsidR="007C215D">
          <w:rPr>
            <w:noProof/>
            <w:webHidden/>
          </w:rPr>
          <w:fldChar w:fldCharType="separate"/>
        </w:r>
        <w:r w:rsidR="00561C92">
          <w:rPr>
            <w:noProof/>
            <w:webHidden/>
          </w:rPr>
          <w:t>111</w:t>
        </w:r>
        <w:r w:rsidR="007C215D">
          <w:rPr>
            <w:noProof/>
            <w:webHidden/>
          </w:rPr>
          <w:fldChar w:fldCharType="end"/>
        </w:r>
      </w:hyperlink>
    </w:p>
    <w:p w14:paraId="52D6AC85" w14:textId="7638D89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8" w:history="1">
        <w:r w:rsidR="007C215D" w:rsidRPr="00DD5403">
          <w:rPr>
            <w:rStyle w:val="Hyperlink"/>
            <w:rFonts w:eastAsiaTheme="majorEastAsia" w:cs="Arial"/>
            <w:noProof/>
          </w:rPr>
          <w:t xml:space="preserve">Figure 74. </w:t>
        </w:r>
        <w:r w:rsidR="007C215D" w:rsidRPr="00DD5403">
          <w:rPr>
            <w:rStyle w:val="Hyperlink"/>
            <w:rFonts w:eastAsiaTheme="majorEastAsia" w:cs="Arial"/>
            <w:i/>
            <w:noProof/>
          </w:rPr>
          <w:t>Proportion of seagrass abundance composed of colonising species in inshore intertidal habitats of the Fitzroy region, 2001–2019.</w:t>
        </w:r>
        <w:r w:rsidR="007C215D">
          <w:rPr>
            <w:noProof/>
            <w:webHidden/>
          </w:rPr>
          <w:tab/>
        </w:r>
        <w:r w:rsidR="007C215D">
          <w:rPr>
            <w:noProof/>
            <w:webHidden/>
          </w:rPr>
          <w:fldChar w:fldCharType="begin"/>
        </w:r>
        <w:r w:rsidR="007C215D">
          <w:rPr>
            <w:noProof/>
            <w:webHidden/>
          </w:rPr>
          <w:instrText xml:space="preserve"> PAGEREF _Toc38634178 \h </w:instrText>
        </w:r>
        <w:r w:rsidR="007C215D">
          <w:rPr>
            <w:noProof/>
            <w:webHidden/>
          </w:rPr>
        </w:r>
        <w:r w:rsidR="007C215D">
          <w:rPr>
            <w:noProof/>
            <w:webHidden/>
          </w:rPr>
          <w:fldChar w:fldCharType="separate"/>
        </w:r>
        <w:r w:rsidR="00561C92">
          <w:rPr>
            <w:noProof/>
            <w:webHidden/>
          </w:rPr>
          <w:t>112</w:t>
        </w:r>
        <w:r w:rsidR="007C215D">
          <w:rPr>
            <w:noProof/>
            <w:webHidden/>
          </w:rPr>
          <w:fldChar w:fldCharType="end"/>
        </w:r>
      </w:hyperlink>
    </w:p>
    <w:p w14:paraId="10A5577D" w14:textId="7AD6EE0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79" w:history="1">
        <w:r w:rsidR="007C215D" w:rsidRPr="00DD5403">
          <w:rPr>
            <w:rStyle w:val="Hyperlink"/>
            <w:rFonts w:eastAsiaTheme="majorEastAsia" w:cs="Arial"/>
            <w:noProof/>
          </w:rPr>
          <w:t xml:space="preserve">Figure 75. </w:t>
        </w:r>
        <w:r w:rsidR="007C215D" w:rsidRPr="00DD5403">
          <w:rPr>
            <w:rStyle w:val="Hyperlink"/>
            <w:rFonts w:eastAsiaTheme="majorEastAsia" w:cs="Arial"/>
            <w:i/>
            <w:noProof/>
          </w:rPr>
          <w:t>Change in spatial extent of seagrass meadows within monitoring sites for each inshore intertidal habitat across the Fitzroy NRM region, 2005–2019.</w:t>
        </w:r>
        <w:r w:rsidR="007C215D">
          <w:rPr>
            <w:noProof/>
            <w:webHidden/>
          </w:rPr>
          <w:tab/>
        </w:r>
        <w:r w:rsidR="007C215D">
          <w:rPr>
            <w:noProof/>
            <w:webHidden/>
          </w:rPr>
          <w:fldChar w:fldCharType="begin"/>
        </w:r>
        <w:r w:rsidR="007C215D">
          <w:rPr>
            <w:noProof/>
            <w:webHidden/>
          </w:rPr>
          <w:instrText xml:space="preserve"> PAGEREF _Toc38634179 \h </w:instrText>
        </w:r>
        <w:r w:rsidR="007C215D">
          <w:rPr>
            <w:noProof/>
            <w:webHidden/>
          </w:rPr>
        </w:r>
        <w:r w:rsidR="007C215D">
          <w:rPr>
            <w:noProof/>
            <w:webHidden/>
          </w:rPr>
          <w:fldChar w:fldCharType="separate"/>
        </w:r>
        <w:r w:rsidR="00561C92">
          <w:rPr>
            <w:noProof/>
            <w:webHidden/>
          </w:rPr>
          <w:t>112</w:t>
        </w:r>
        <w:r w:rsidR="007C215D">
          <w:rPr>
            <w:noProof/>
            <w:webHidden/>
          </w:rPr>
          <w:fldChar w:fldCharType="end"/>
        </w:r>
      </w:hyperlink>
    </w:p>
    <w:p w14:paraId="321A22D7" w14:textId="47C1283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0" w:history="1">
        <w:r w:rsidR="007C215D" w:rsidRPr="00DD5403">
          <w:rPr>
            <w:rStyle w:val="Hyperlink"/>
            <w:rFonts w:eastAsiaTheme="majorEastAsia" w:cs="Arial"/>
            <w:noProof/>
          </w:rPr>
          <w:t>Figure 76.</w:t>
        </w:r>
        <w:r w:rsidR="007C215D" w:rsidRPr="00DD5403">
          <w:rPr>
            <w:rStyle w:val="Hyperlink"/>
            <w:rFonts w:eastAsiaTheme="majorEastAsia" w:cs="Arial"/>
            <w:i/>
            <w:noProof/>
          </w:rPr>
          <w:t xml:space="preserve"> Reproductive effort for inshore intertidal coastal, estuary and reef habitats in the Fitzroy region, 2005–2019.</w:t>
        </w:r>
        <w:r w:rsidR="007C215D">
          <w:rPr>
            <w:noProof/>
            <w:webHidden/>
          </w:rPr>
          <w:tab/>
        </w:r>
        <w:r w:rsidR="007C215D">
          <w:rPr>
            <w:noProof/>
            <w:webHidden/>
          </w:rPr>
          <w:fldChar w:fldCharType="begin"/>
        </w:r>
        <w:r w:rsidR="007C215D">
          <w:rPr>
            <w:noProof/>
            <w:webHidden/>
          </w:rPr>
          <w:instrText xml:space="preserve"> PAGEREF _Toc38634180 \h </w:instrText>
        </w:r>
        <w:r w:rsidR="007C215D">
          <w:rPr>
            <w:noProof/>
            <w:webHidden/>
          </w:rPr>
        </w:r>
        <w:r w:rsidR="007C215D">
          <w:rPr>
            <w:noProof/>
            <w:webHidden/>
          </w:rPr>
          <w:fldChar w:fldCharType="separate"/>
        </w:r>
        <w:r w:rsidR="00561C92">
          <w:rPr>
            <w:noProof/>
            <w:webHidden/>
          </w:rPr>
          <w:t>113</w:t>
        </w:r>
        <w:r w:rsidR="007C215D">
          <w:rPr>
            <w:noProof/>
            <w:webHidden/>
          </w:rPr>
          <w:fldChar w:fldCharType="end"/>
        </w:r>
      </w:hyperlink>
    </w:p>
    <w:p w14:paraId="2FB75013" w14:textId="55A439C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1" w:history="1">
        <w:r w:rsidR="007C215D" w:rsidRPr="00DD5403">
          <w:rPr>
            <w:rStyle w:val="Hyperlink"/>
            <w:rFonts w:eastAsiaTheme="majorEastAsia" w:cs="Arial"/>
            <w:noProof/>
          </w:rPr>
          <w:t xml:space="preserve">Figure 77.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Fitzroy region</w:t>
        </w:r>
        <w:r w:rsidR="007C215D">
          <w:rPr>
            <w:noProof/>
            <w:webHidden/>
          </w:rPr>
          <w:tab/>
        </w:r>
        <w:r w:rsidR="007C215D">
          <w:rPr>
            <w:noProof/>
            <w:webHidden/>
          </w:rPr>
          <w:fldChar w:fldCharType="begin"/>
        </w:r>
        <w:r w:rsidR="007C215D">
          <w:rPr>
            <w:noProof/>
            <w:webHidden/>
          </w:rPr>
          <w:instrText xml:space="preserve"> PAGEREF _Toc38634181 \h </w:instrText>
        </w:r>
        <w:r w:rsidR="007C215D">
          <w:rPr>
            <w:noProof/>
            <w:webHidden/>
          </w:rPr>
        </w:r>
        <w:r w:rsidR="007C215D">
          <w:rPr>
            <w:noProof/>
            <w:webHidden/>
          </w:rPr>
          <w:fldChar w:fldCharType="separate"/>
        </w:r>
        <w:r w:rsidR="00561C92">
          <w:rPr>
            <w:noProof/>
            <w:webHidden/>
          </w:rPr>
          <w:t>114</w:t>
        </w:r>
        <w:r w:rsidR="007C215D">
          <w:rPr>
            <w:noProof/>
            <w:webHidden/>
          </w:rPr>
          <w:fldChar w:fldCharType="end"/>
        </w:r>
      </w:hyperlink>
    </w:p>
    <w:p w14:paraId="2687A4B2" w14:textId="4D37D26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2" w:history="1">
        <w:r w:rsidR="007C215D" w:rsidRPr="00DD5403">
          <w:rPr>
            <w:rStyle w:val="Hyperlink"/>
            <w:rFonts w:eastAsiaTheme="majorEastAsia" w:cs="Arial"/>
            <w:noProof/>
          </w:rPr>
          <w:t xml:space="preserve">Figure 78. </w:t>
        </w:r>
        <w:r w:rsidR="007C215D" w:rsidRPr="00DD5403">
          <w:rPr>
            <w:rStyle w:val="Hyperlink"/>
            <w:rFonts w:eastAsiaTheme="majorEastAsia" w:cs="Arial"/>
            <w:i/>
            <w:noProof/>
          </w:rPr>
          <w:t>Long-term trend in mean epiphyte and macroalgae abundance (per cent cover) relative to the long-term average (2005-2018) for each inshore intertidal seagrass habitat in the Fitzroy region, 2005–2019</w:t>
        </w:r>
        <w:r w:rsidR="007C215D">
          <w:rPr>
            <w:noProof/>
            <w:webHidden/>
          </w:rPr>
          <w:tab/>
        </w:r>
        <w:r w:rsidR="007C215D">
          <w:rPr>
            <w:noProof/>
            <w:webHidden/>
          </w:rPr>
          <w:fldChar w:fldCharType="begin"/>
        </w:r>
        <w:r w:rsidR="007C215D">
          <w:rPr>
            <w:noProof/>
            <w:webHidden/>
          </w:rPr>
          <w:instrText xml:space="preserve"> PAGEREF _Toc38634182 \h </w:instrText>
        </w:r>
        <w:r w:rsidR="007C215D">
          <w:rPr>
            <w:noProof/>
            <w:webHidden/>
          </w:rPr>
        </w:r>
        <w:r w:rsidR="007C215D">
          <w:rPr>
            <w:noProof/>
            <w:webHidden/>
          </w:rPr>
          <w:fldChar w:fldCharType="separate"/>
        </w:r>
        <w:r w:rsidR="00561C92">
          <w:rPr>
            <w:noProof/>
            <w:webHidden/>
          </w:rPr>
          <w:t>115</w:t>
        </w:r>
        <w:r w:rsidR="007C215D">
          <w:rPr>
            <w:noProof/>
            <w:webHidden/>
          </w:rPr>
          <w:fldChar w:fldCharType="end"/>
        </w:r>
      </w:hyperlink>
    </w:p>
    <w:p w14:paraId="3CC6188E" w14:textId="6806D0F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3" w:history="1">
        <w:r w:rsidR="007C215D" w:rsidRPr="00DD5403">
          <w:rPr>
            <w:rStyle w:val="Hyperlink"/>
            <w:rFonts w:eastAsiaTheme="majorEastAsia" w:cs="Arial"/>
            <w:noProof/>
          </w:rPr>
          <w:t xml:space="preserve">Figure 79. </w:t>
        </w:r>
        <w:r w:rsidR="007C215D" w:rsidRPr="00DD5403">
          <w:rPr>
            <w:rStyle w:val="Hyperlink"/>
            <w:rFonts w:eastAsiaTheme="majorEastAsia" w:cs="Arial"/>
            <w:i/>
            <w:noProof/>
          </w:rPr>
          <w:t>Report card of seagrass index and indicators for the Burnett–Mary region</w:t>
        </w:r>
        <w:r w:rsidR="007C215D">
          <w:rPr>
            <w:noProof/>
            <w:webHidden/>
          </w:rPr>
          <w:tab/>
        </w:r>
        <w:r w:rsidR="007C215D">
          <w:rPr>
            <w:noProof/>
            <w:webHidden/>
          </w:rPr>
          <w:fldChar w:fldCharType="begin"/>
        </w:r>
        <w:r w:rsidR="007C215D">
          <w:rPr>
            <w:noProof/>
            <w:webHidden/>
          </w:rPr>
          <w:instrText xml:space="preserve"> PAGEREF _Toc38634183 \h </w:instrText>
        </w:r>
        <w:r w:rsidR="007C215D">
          <w:rPr>
            <w:noProof/>
            <w:webHidden/>
          </w:rPr>
        </w:r>
        <w:r w:rsidR="007C215D">
          <w:rPr>
            <w:noProof/>
            <w:webHidden/>
          </w:rPr>
          <w:fldChar w:fldCharType="separate"/>
        </w:r>
        <w:r w:rsidR="00561C92">
          <w:rPr>
            <w:noProof/>
            <w:webHidden/>
          </w:rPr>
          <w:t>116</w:t>
        </w:r>
        <w:r w:rsidR="007C215D">
          <w:rPr>
            <w:noProof/>
            <w:webHidden/>
          </w:rPr>
          <w:fldChar w:fldCharType="end"/>
        </w:r>
      </w:hyperlink>
    </w:p>
    <w:p w14:paraId="16A8DBE7" w14:textId="198331C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4" w:history="1">
        <w:r w:rsidR="007C215D" w:rsidRPr="00DD5403">
          <w:rPr>
            <w:rStyle w:val="Hyperlink"/>
            <w:rFonts w:eastAsiaTheme="majorEastAsia" w:cs="Arial"/>
            <w:noProof/>
          </w:rPr>
          <w:t xml:space="preserve">Figure 80. </w:t>
        </w:r>
        <w:r w:rsidR="007C215D" w:rsidRPr="00DD5403">
          <w:rPr>
            <w:rStyle w:val="Hyperlink"/>
            <w:rFonts w:eastAsiaTheme="majorEastAsia" w:cs="Arial"/>
            <w:i/>
            <w:noProof/>
          </w:rPr>
          <w:t>Environmental pressures in the Burnett–Mary region</w:t>
        </w:r>
        <w:r w:rsidR="007C215D">
          <w:rPr>
            <w:noProof/>
            <w:webHidden/>
          </w:rPr>
          <w:tab/>
        </w:r>
        <w:r w:rsidR="007C215D">
          <w:rPr>
            <w:noProof/>
            <w:webHidden/>
          </w:rPr>
          <w:fldChar w:fldCharType="begin"/>
        </w:r>
        <w:r w:rsidR="007C215D">
          <w:rPr>
            <w:noProof/>
            <w:webHidden/>
          </w:rPr>
          <w:instrText xml:space="preserve"> PAGEREF _Toc38634184 \h </w:instrText>
        </w:r>
        <w:r w:rsidR="007C215D">
          <w:rPr>
            <w:noProof/>
            <w:webHidden/>
          </w:rPr>
        </w:r>
        <w:r w:rsidR="007C215D">
          <w:rPr>
            <w:noProof/>
            <w:webHidden/>
          </w:rPr>
          <w:fldChar w:fldCharType="separate"/>
        </w:r>
        <w:r w:rsidR="00561C92">
          <w:rPr>
            <w:noProof/>
            <w:webHidden/>
          </w:rPr>
          <w:t>118</w:t>
        </w:r>
        <w:r w:rsidR="007C215D">
          <w:rPr>
            <w:noProof/>
            <w:webHidden/>
          </w:rPr>
          <w:fldChar w:fldCharType="end"/>
        </w:r>
      </w:hyperlink>
    </w:p>
    <w:p w14:paraId="6708D800" w14:textId="3BF3BE4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5" w:history="1">
        <w:r w:rsidR="007C215D" w:rsidRPr="00DD5403">
          <w:rPr>
            <w:rStyle w:val="Hyperlink"/>
            <w:rFonts w:eastAsiaTheme="majorEastAsia" w:cs="Arial"/>
            <w:noProof/>
          </w:rPr>
          <w:t xml:space="preserve">Figure 81.  </w:t>
        </w:r>
        <w:r w:rsidR="007C215D" w:rsidRPr="00DD5403">
          <w:rPr>
            <w:rStyle w:val="Hyperlink"/>
            <w:rFonts w:eastAsiaTheme="majorEastAsia" w:cs="Arial"/>
            <w:i/>
            <w:noProof/>
          </w:rPr>
          <w:t>Temporal trends in the Burnett–Mary seagrass condition index and the indicators used to calculate the index</w:t>
        </w:r>
        <w:r w:rsidR="007C215D">
          <w:rPr>
            <w:noProof/>
            <w:webHidden/>
          </w:rPr>
          <w:tab/>
        </w:r>
        <w:r w:rsidR="007C215D">
          <w:rPr>
            <w:noProof/>
            <w:webHidden/>
          </w:rPr>
          <w:fldChar w:fldCharType="begin"/>
        </w:r>
        <w:r w:rsidR="007C215D">
          <w:rPr>
            <w:noProof/>
            <w:webHidden/>
          </w:rPr>
          <w:instrText xml:space="preserve"> PAGEREF _Toc38634185 \h </w:instrText>
        </w:r>
        <w:r w:rsidR="007C215D">
          <w:rPr>
            <w:noProof/>
            <w:webHidden/>
          </w:rPr>
        </w:r>
        <w:r w:rsidR="007C215D">
          <w:rPr>
            <w:noProof/>
            <w:webHidden/>
          </w:rPr>
          <w:fldChar w:fldCharType="separate"/>
        </w:r>
        <w:r w:rsidR="00561C92">
          <w:rPr>
            <w:noProof/>
            <w:webHidden/>
          </w:rPr>
          <w:t>120</w:t>
        </w:r>
        <w:r w:rsidR="007C215D">
          <w:rPr>
            <w:noProof/>
            <w:webHidden/>
          </w:rPr>
          <w:fldChar w:fldCharType="end"/>
        </w:r>
      </w:hyperlink>
    </w:p>
    <w:p w14:paraId="595362D9" w14:textId="4D2DE6B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6" w:history="1">
        <w:r w:rsidR="007C215D" w:rsidRPr="00DD5403">
          <w:rPr>
            <w:rStyle w:val="Hyperlink"/>
            <w:rFonts w:eastAsiaTheme="majorEastAsia" w:cs="Arial"/>
            <w:noProof/>
          </w:rPr>
          <w:t xml:space="preserve">Figure 82. </w:t>
        </w:r>
        <w:r w:rsidR="007C215D" w:rsidRPr="00DD5403">
          <w:rPr>
            <w:rStyle w:val="Hyperlink"/>
            <w:rFonts w:eastAsiaTheme="majorEastAsia" w:cs="Arial"/>
            <w:i/>
            <w:noProof/>
          </w:rPr>
          <w:t>Seagrass per cent cover measures per quadrat (sites pooled) and long-term trends, for each habitat monitored in the Burnett–Mary NRM region from 1999 to 2019.</w:t>
        </w:r>
        <w:r w:rsidR="007C215D">
          <w:rPr>
            <w:noProof/>
            <w:webHidden/>
          </w:rPr>
          <w:tab/>
        </w:r>
        <w:r w:rsidR="007C215D">
          <w:rPr>
            <w:noProof/>
            <w:webHidden/>
          </w:rPr>
          <w:fldChar w:fldCharType="begin"/>
        </w:r>
        <w:r w:rsidR="007C215D">
          <w:rPr>
            <w:noProof/>
            <w:webHidden/>
          </w:rPr>
          <w:instrText xml:space="preserve"> PAGEREF _Toc38634186 \h </w:instrText>
        </w:r>
        <w:r w:rsidR="007C215D">
          <w:rPr>
            <w:noProof/>
            <w:webHidden/>
          </w:rPr>
        </w:r>
        <w:r w:rsidR="007C215D">
          <w:rPr>
            <w:noProof/>
            <w:webHidden/>
          </w:rPr>
          <w:fldChar w:fldCharType="separate"/>
        </w:r>
        <w:r w:rsidR="00561C92">
          <w:rPr>
            <w:noProof/>
            <w:webHidden/>
          </w:rPr>
          <w:t>121</w:t>
        </w:r>
        <w:r w:rsidR="007C215D">
          <w:rPr>
            <w:noProof/>
            <w:webHidden/>
          </w:rPr>
          <w:fldChar w:fldCharType="end"/>
        </w:r>
      </w:hyperlink>
    </w:p>
    <w:p w14:paraId="6F03F96B" w14:textId="2B5862B3"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7" w:history="1">
        <w:r w:rsidR="007C215D" w:rsidRPr="00DD5403">
          <w:rPr>
            <w:rStyle w:val="Hyperlink"/>
            <w:rFonts w:eastAsiaTheme="majorEastAsia" w:cs="Arial"/>
            <w:noProof/>
          </w:rPr>
          <w:t xml:space="preserve">Figure 83. </w:t>
        </w:r>
        <w:r w:rsidR="007C215D" w:rsidRPr="00DD5403">
          <w:rPr>
            <w:rStyle w:val="Hyperlink"/>
            <w:rFonts w:eastAsiaTheme="majorEastAsia" w:cs="Arial"/>
            <w:i/>
            <w:noProof/>
          </w:rPr>
          <w:t>Proportion of seagrass abundance composed of colonising species at: a. estuary and b. coastal habitats in the Burnett–Mary region, 1998–2019.</w:t>
        </w:r>
        <w:r w:rsidR="007C215D">
          <w:rPr>
            <w:noProof/>
            <w:webHidden/>
          </w:rPr>
          <w:tab/>
        </w:r>
        <w:r w:rsidR="007C215D">
          <w:rPr>
            <w:noProof/>
            <w:webHidden/>
          </w:rPr>
          <w:fldChar w:fldCharType="begin"/>
        </w:r>
        <w:r w:rsidR="007C215D">
          <w:rPr>
            <w:noProof/>
            <w:webHidden/>
          </w:rPr>
          <w:instrText xml:space="preserve"> PAGEREF _Toc38634187 \h </w:instrText>
        </w:r>
        <w:r w:rsidR="007C215D">
          <w:rPr>
            <w:noProof/>
            <w:webHidden/>
          </w:rPr>
        </w:r>
        <w:r w:rsidR="007C215D">
          <w:rPr>
            <w:noProof/>
            <w:webHidden/>
          </w:rPr>
          <w:fldChar w:fldCharType="separate"/>
        </w:r>
        <w:r w:rsidR="00561C92">
          <w:rPr>
            <w:noProof/>
            <w:webHidden/>
          </w:rPr>
          <w:t>121</w:t>
        </w:r>
        <w:r w:rsidR="007C215D">
          <w:rPr>
            <w:noProof/>
            <w:webHidden/>
          </w:rPr>
          <w:fldChar w:fldCharType="end"/>
        </w:r>
      </w:hyperlink>
    </w:p>
    <w:p w14:paraId="06846EDE" w14:textId="6379A3B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8" w:history="1">
        <w:r w:rsidR="007C215D" w:rsidRPr="00DD5403">
          <w:rPr>
            <w:rStyle w:val="Hyperlink"/>
            <w:rFonts w:eastAsiaTheme="majorEastAsia" w:cs="Arial"/>
            <w:noProof/>
            <w:lang w:val="en-US"/>
          </w:rPr>
          <w:t xml:space="preserve">Figure 84. </w:t>
        </w:r>
        <w:r w:rsidR="007C215D" w:rsidRPr="00DD5403">
          <w:rPr>
            <w:rStyle w:val="Hyperlink"/>
            <w:rFonts w:eastAsiaTheme="majorEastAsia" w:cs="Arial"/>
            <w:i/>
            <w:noProof/>
            <w:lang w:val="en-US"/>
          </w:rPr>
          <w:t>Change in spatial extent of estuary seagrass meadows within monitoring sites for each habitat and monitoring period across the Burnett–Mary NRM region.</w:t>
        </w:r>
        <w:r w:rsidR="007C215D">
          <w:rPr>
            <w:noProof/>
            <w:webHidden/>
          </w:rPr>
          <w:tab/>
        </w:r>
        <w:r w:rsidR="007C215D">
          <w:rPr>
            <w:noProof/>
            <w:webHidden/>
          </w:rPr>
          <w:fldChar w:fldCharType="begin"/>
        </w:r>
        <w:r w:rsidR="007C215D">
          <w:rPr>
            <w:noProof/>
            <w:webHidden/>
          </w:rPr>
          <w:instrText xml:space="preserve"> PAGEREF _Toc38634188 \h </w:instrText>
        </w:r>
        <w:r w:rsidR="007C215D">
          <w:rPr>
            <w:noProof/>
            <w:webHidden/>
          </w:rPr>
        </w:r>
        <w:r w:rsidR="007C215D">
          <w:rPr>
            <w:noProof/>
            <w:webHidden/>
          </w:rPr>
          <w:fldChar w:fldCharType="separate"/>
        </w:r>
        <w:r w:rsidR="00561C92">
          <w:rPr>
            <w:noProof/>
            <w:webHidden/>
          </w:rPr>
          <w:t>122</w:t>
        </w:r>
        <w:r w:rsidR="007C215D">
          <w:rPr>
            <w:noProof/>
            <w:webHidden/>
          </w:rPr>
          <w:fldChar w:fldCharType="end"/>
        </w:r>
      </w:hyperlink>
    </w:p>
    <w:p w14:paraId="219DEAD4" w14:textId="442FB6F0"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89" w:history="1">
        <w:r w:rsidR="007C215D" w:rsidRPr="00DD5403">
          <w:rPr>
            <w:rStyle w:val="Hyperlink"/>
            <w:rFonts w:eastAsiaTheme="majorEastAsia" w:cs="Arial"/>
            <w:noProof/>
          </w:rPr>
          <w:t xml:space="preserve">Figure 85. </w:t>
        </w:r>
        <w:r w:rsidR="007C215D" w:rsidRPr="00DD5403">
          <w:rPr>
            <w:rStyle w:val="Hyperlink"/>
            <w:rFonts w:eastAsiaTheme="majorEastAsia" w:cs="Arial"/>
            <w:i/>
            <w:noProof/>
          </w:rPr>
          <w:t>Burnett–Mary estuary seed bank and reproductive effort</w:t>
        </w:r>
        <w:r w:rsidR="007C215D">
          <w:rPr>
            <w:noProof/>
            <w:webHidden/>
          </w:rPr>
          <w:tab/>
        </w:r>
        <w:r w:rsidR="007C215D">
          <w:rPr>
            <w:noProof/>
            <w:webHidden/>
          </w:rPr>
          <w:fldChar w:fldCharType="begin"/>
        </w:r>
        <w:r w:rsidR="007C215D">
          <w:rPr>
            <w:noProof/>
            <w:webHidden/>
          </w:rPr>
          <w:instrText xml:space="preserve"> PAGEREF _Toc38634189 \h </w:instrText>
        </w:r>
        <w:r w:rsidR="007C215D">
          <w:rPr>
            <w:noProof/>
            <w:webHidden/>
          </w:rPr>
        </w:r>
        <w:r w:rsidR="007C215D">
          <w:rPr>
            <w:noProof/>
            <w:webHidden/>
          </w:rPr>
          <w:fldChar w:fldCharType="separate"/>
        </w:r>
        <w:r w:rsidR="00561C92">
          <w:rPr>
            <w:noProof/>
            <w:webHidden/>
          </w:rPr>
          <w:t>122</w:t>
        </w:r>
        <w:r w:rsidR="007C215D">
          <w:rPr>
            <w:noProof/>
            <w:webHidden/>
          </w:rPr>
          <w:fldChar w:fldCharType="end"/>
        </w:r>
      </w:hyperlink>
    </w:p>
    <w:p w14:paraId="424698FD" w14:textId="4C461C3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0" w:history="1">
        <w:r w:rsidR="007C215D" w:rsidRPr="00DD5403">
          <w:rPr>
            <w:rStyle w:val="Hyperlink"/>
            <w:rFonts w:eastAsiaTheme="majorEastAsia" w:cs="Arial"/>
            <w:noProof/>
          </w:rPr>
          <w:t xml:space="preserve">Figure 86. </w:t>
        </w:r>
        <w:r w:rsidR="007C215D" w:rsidRPr="00DD5403">
          <w:rPr>
            <w:rStyle w:val="Hyperlink"/>
            <w:rFonts w:eastAsiaTheme="majorEastAsia" w:cs="Arial"/>
            <w:i/>
            <w:noProof/>
            <w:lang w:eastAsia="en-AU"/>
          </w:rPr>
          <w:t xml:space="preserve">Seagrass leaf tissue nutrient elemental ratios (C:N:P) and </w:t>
        </w:r>
        <w:r w:rsidR="007C215D" w:rsidRPr="00DD5403">
          <w:rPr>
            <w:rStyle w:val="Hyperlink"/>
            <w:rFonts w:eastAsiaTheme="majorEastAsia" w:cs="Arial"/>
            <w:i/>
            <w:noProof/>
            <w:lang w:val="en-US"/>
          </w:rPr>
          <w:t>concentrations (</w:t>
        </w:r>
        <w:r w:rsidR="007C215D" w:rsidRPr="00DD5403">
          <w:rPr>
            <w:rStyle w:val="Hyperlink"/>
            <w:rFonts w:eastAsiaTheme="majorEastAsia" w:cs="Arial"/>
            <w:i/>
            <w:noProof/>
            <w:lang w:eastAsia="en-AU"/>
          </w:rPr>
          <w:t xml:space="preserve">%N, %P,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13</w:t>
        </w:r>
        <w:r w:rsidR="007C215D" w:rsidRPr="00DD5403">
          <w:rPr>
            <w:rStyle w:val="Hyperlink"/>
            <w:rFonts w:eastAsiaTheme="majorEastAsia" w:cs="Arial"/>
            <w:i/>
            <w:noProof/>
          </w:rPr>
          <w:t>C</w:t>
        </w:r>
        <w:r w:rsidR="007C215D" w:rsidRPr="00DD5403">
          <w:rPr>
            <w:rStyle w:val="Hyperlink"/>
            <w:rFonts w:eastAsiaTheme="majorEastAsia" w:cs="Arial"/>
            <w:i/>
            <w:noProof/>
            <w:lang w:val="en-US"/>
          </w:rPr>
          <w:t xml:space="preserve"> and </w:t>
        </w:r>
        <w:r w:rsidR="007C215D" w:rsidRPr="00DD5403">
          <w:rPr>
            <w:rStyle w:val="Hyperlink"/>
            <w:rFonts w:eastAsiaTheme="majorEastAsia" w:cs="Arial"/>
            <w:i/>
            <w:noProof/>
          </w:rPr>
          <w:t>δ</w:t>
        </w:r>
        <w:r w:rsidR="007C215D" w:rsidRPr="00DD5403">
          <w:rPr>
            <w:rStyle w:val="Hyperlink"/>
            <w:rFonts w:eastAsiaTheme="majorEastAsia" w:cs="Arial"/>
            <w:i/>
            <w:noProof/>
            <w:vertAlign w:val="superscript"/>
          </w:rPr>
          <w:t>15</w:t>
        </w:r>
        <w:r w:rsidR="007C215D" w:rsidRPr="00DD5403">
          <w:rPr>
            <w:rStyle w:val="Hyperlink"/>
            <w:rFonts w:eastAsiaTheme="majorEastAsia" w:cs="Arial"/>
            <w:i/>
            <w:noProof/>
          </w:rPr>
          <w:t>N)</w:t>
        </w:r>
        <w:r w:rsidR="007C215D" w:rsidRPr="00DD5403">
          <w:rPr>
            <w:rStyle w:val="Hyperlink"/>
            <w:rFonts w:eastAsiaTheme="majorEastAsia" w:cs="Arial"/>
            <w:i/>
            <w:noProof/>
            <w:lang w:val="en-US"/>
          </w:rPr>
          <w:t xml:space="preserve"> </w:t>
        </w:r>
        <w:r w:rsidR="007C215D" w:rsidRPr="00DD5403">
          <w:rPr>
            <w:rStyle w:val="Hyperlink"/>
            <w:rFonts w:eastAsiaTheme="majorEastAsia" w:cs="Arial"/>
            <w:i/>
            <w:noProof/>
            <w:lang w:eastAsia="en-AU"/>
          </w:rPr>
          <w:t>for each habitat in the Burnett–Mary region</w:t>
        </w:r>
        <w:r w:rsidR="007C215D">
          <w:rPr>
            <w:noProof/>
            <w:webHidden/>
          </w:rPr>
          <w:tab/>
        </w:r>
        <w:r w:rsidR="007C215D">
          <w:rPr>
            <w:noProof/>
            <w:webHidden/>
          </w:rPr>
          <w:fldChar w:fldCharType="begin"/>
        </w:r>
        <w:r w:rsidR="007C215D">
          <w:rPr>
            <w:noProof/>
            <w:webHidden/>
          </w:rPr>
          <w:instrText xml:space="preserve"> PAGEREF _Toc38634190 \h </w:instrText>
        </w:r>
        <w:r w:rsidR="007C215D">
          <w:rPr>
            <w:noProof/>
            <w:webHidden/>
          </w:rPr>
        </w:r>
        <w:r w:rsidR="007C215D">
          <w:rPr>
            <w:noProof/>
            <w:webHidden/>
          </w:rPr>
          <w:fldChar w:fldCharType="separate"/>
        </w:r>
        <w:r w:rsidR="00561C92">
          <w:rPr>
            <w:noProof/>
            <w:webHidden/>
          </w:rPr>
          <w:t>123</w:t>
        </w:r>
        <w:r w:rsidR="007C215D">
          <w:rPr>
            <w:noProof/>
            <w:webHidden/>
          </w:rPr>
          <w:fldChar w:fldCharType="end"/>
        </w:r>
      </w:hyperlink>
    </w:p>
    <w:p w14:paraId="2967F0D0" w14:textId="768750ED"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1" w:history="1">
        <w:r w:rsidR="007C215D" w:rsidRPr="00DD5403">
          <w:rPr>
            <w:rStyle w:val="Hyperlink"/>
            <w:rFonts w:eastAsiaTheme="majorEastAsia" w:cs="Arial"/>
            <w:noProof/>
          </w:rPr>
          <w:t xml:space="preserve">Figure 87. </w:t>
        </w:r>
        <w:r w:rsidR="007C215D" w:rsidRPr="00DD5403">
          <w:rPr>
            <w:rStyle w:val="Hyperlink"/>
            <w:rFonts w:eastAsiaTheme="majorEastAsia" w:cs="Arial"/>
            <w:i/>
            <w:noProof/>
          </w:rPr>
          <w:t>Long-term trend in mean epiphyte and macroalgae abundance (per cent cover) relative to the long-term average for each seagrass habitat in the Burnett–Mary NRM region</w:t>
        </w:r>
        <w:r w:rsidR="007C215D">
          <w:rPr>
            <w:noProof/>
            <w:webHidden/>
          </w:rPr>
          <w:tab/>
        </w:r>
        <w:r w:rsidR="007C215D">
          <w:rPr>
            <w:noProof/>
            <w:webHidden/>
          </w:rPr>
          <w:fldChar w:fldCharType="begin"/>
        </w:r>
        <w:r w:rsidR="007C215D">
          <w:rPr>
            <w:noProof/>
            <w:webHidden/>
          </w:rPr>
          <w:instrText xml:space="preserve"> PAGEREF _Toc38634191 \h </w:instrText>
        </w:r>
        <w:r w:rsidR="007C215D">
          <w:rPr>
            <w:noProof/>
            <w:webHidden/>
          </w:rPr>
        </w:r>
        <w:r w:rsidR="007C215D">
          <w:rPr>
            <w:noProof/>
            <w:webHidden/>
          </w:rPr>
          <w:fldChar w:fldCharType="separate"/>
        </w:r>
        <w:r w:rsidR="00561C92">
          <w:rPr>
            <w:noProof/>
            <w:webHidden/>
          </w:rPr>
          <w:t>124</w:t>
        </w:r>
        <w:r w:rsidR="007C215D">
          <w:rPr>
            <w:noProof/>
            <w:webHidden/>
          </w:rPr>
          <w:fldChar w:fldCharType="end"/>
        </w:r>
      </w:hyperlink>
    </w:p>
    <w:p w14:paraId="138E194E" w14:textId="4BB3FC0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2" w:history="1">
        <w:r w:rsidR="007C215D" w:rsidRPr="00DD5403">
          <w:rPr>
            <w:rStyle w:val="Hyperlink"/>
            <w:rFonts w:eastAsiaTheme="majorEastAsia" w:cs="Arial"/>
            <w:noProof/>
          </w:rPr>
          <w:t xml:space="preserve">Figure 88. </w:t>
        </w:r>
        <w:r w:rsidR="007C215D" w:rsidRPr="00DD5403">
          <w:rPr>
            <w:rStyle w:val="Hyperlink"/>
            <w:rFonts w:eastAsiaTheme="majorEastAsia" w:cs="Arial"/>
            <w:i/>
            <w:noProof/>
          </w:rPr>
          <w:t>Summary of inshore seagrass state illustrating pressures, abundance of foundation / colonising species, seed banks and reproductive effort from 2005 to 2019</w:t>
        </w:r>
        <w:r w:rsidR="007C215D">
          <w:rPr>
            <w:noProof/>
            <w:webHidden/>
          </w:rPr>
          <w:tab/>
        </w:r>
        <w:r w:rsidR="007C215D">
          <w:rPr>
            <w:noProof/>
            <w:webHidden/>
          </w:rPr>
          <w:fldChar w:fldCharType="begin"/>
        </w:r>
        <w:r w:rsidR="007C215D">
          <w:rPr>
            <w:noProof/>
            <w:webHidden/>
          </w:rPr>
          <w:instrText xml:space="preserve"> PAGEREF _Toc38634192 \h </w:instrText>
        </w:r>
        <w:r w:rsidR="007C215D">
          <w:rPr>
            <w:noProof/>
            <w:webHidden/>
          </w:rPr>
        </w:r>
        <w:r w:rsidR="007C215D">
          <w:rPr>
            <w:noProof/>
            <w:webHidden/>
          </w:rPr>
          <w:fldChar w:fldCharType="separate"/>
        </w:r>
        <w:r w:rsidR="00561C92">
          <w:rPr>
            <w:noProof/>
            <w:webHidden/>
          </w:rPr>
          <w:t>129</w:t>
        </w:r>
        <w:r w:rsidR="007C215D">
          <w:rPr>
            <w:noProof/>
            <w:webHidden/>
          </w:rPr>
          <w:fldChar w:fldCharType="end"/>
        </w:r>
      </w:hyperlink>
    </w:p>
    <w:p w14:paraId="4D6D9296" w14:textId="6699DDC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3" w:history="1">
        <w:r w:rsidR="007C215D" w:rsidRPr="00DD5403">
          <w:rPr>
            <w:rStyle w:val="Hyperlink"/>
            <w:rFonts w:eastAsiaTheme="majorEastAsia" w:cs="Arial"/>
            <w:noProof/>
          </w:rPr>
          <w:t xml:space="preserve">Figure 89. </w:t>
        </w:r>
        <w:r w:rsidR="007C215D" w:rsidRPr="00DD5403">
          <w:rPr>
            <w:rStyle w:val="Hyperlink"/>
            <w:rFonts w:eastAsiaTheme="majorEastAsia" w:cs="Arial"/>
            <w:i/>
            <w:noProof/>
          </w:rPr>
          <w:t>Relationship between sample size and the error in estimation of percentile values for seagrass abundance (per cent cover) in coastal and reef seagrass habitats in the Wet Tropics NRM.</w:t>
        </w:r>
        <w:r w:rsidR="007C215D">
          <w:rPr>
            <w:noProof/>
            <w:webHidden/>
          </w:rPr>
          <w:tab/>
        </w:r>
        <w:r w:rsidR="007C215D">
          <w:rPr>
            <w:noProof/>
            <w:webHidden/>
          </w:rPr>
          <w:fldChar w:fldCharType="begin"/>
        </w:r>
        <w:r w:rsidR="007C215D">
          <w:rPr>
            <w:noProof/>
            <w:webHidden/>
          </w:rPr>
          <w:instrText xml:space="preserve"> PAGEREF _Toc38634193 \h </w:instrText>
        </w:r>
        <w:r w:rsidR="007C215D">
          <w:rPr>
            <w:noProof/>
            <w:webHidden/>
          </w:rPr>
        </w:r>
        <w:r w:rsidR="007C215D">
          <w:rPr>
            <w:noProof/>
            <w:webHidden/>
          </w:rPr>
          <w:fldChar w:fldCharType="separate"/>
        </w:r>
        <w:r w:rsidR="00561C92">
          <w:rPr>
            <w:noProof/>
            <w:webHidden/>
          </w:rPr>
          <w:t>176</w:t>
        </w:r>
        <w:r w:rsidR="007C215D">
          <w:rPr>
            <w:noProof/>
            <w:webHidden/>
          </w:rPr>
          <w:fldChar w:fldCharType="end"/>
        </w:r>
      </w:hyperlink>
    </w:p>
    <w:p w14:paraId="7F9D68BE" w14:textId="22D7A1B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4" w:history="1">
        <w:r w:rsidR="007C215D" w:rsidRPr="00DD5403">
          <w:rPr>
            <w:rStyle w:val="Hyperlink"/>
            <w:rFonts w:eastAsiaTheme="majorEastAsia" w:cs="Arial"/>
            <w:noProof/>
          </w:rPr>
          <w:t>Figure 90.</w:t>
        </w:r>
        <w:r w:rsidR="007C215D" w:rsidRPr="00DD5403">
          <w:rPr>
            <w:rStyle w:val="Hyperlink"/>
            <w:rFonts w:eastAsiaTheme="majorEastAsia" w:cs="Arial"/>
            <w:i/>
            <w:noProof/>
          </w:rPr>
          <w:t xml:space="preserve"> Median seagrass abundance (per cent cover) at Yule Point (left) and Green Island (right) plotted against the 50</w:t>
        </w:r>
        <w:r w:rsidR="007C215D" w:rsidRPr="00DD5403">
          <w:rPr>
            <w:rStyle w:val="Hyperlink"/>
            <w:rFonts w:eastAsiaTheme="majorEastAsia" w:cs="Arial"/>
            <w:i/>
            <w:noProof/>
            <w:vertAlign w:val="superscript"/>
          </w:rPr>
          <w:t>th</w:t>
        </w:r>
        <w:r w:rsidR="007C215D" w:rsidRPr="00DD5403">
          <w:rPr>
            <w:rStyle w:val="Hyperlink"/>
            <w:rFonts w:eastAsiaTheme="majorEastAsia" w:cs="Arial"/>
            <w:i/>
            <w:noProof/>
          </w:rPr>
          <w:t xml:space="preserve"> and 20</w:t>
        </w:r>
        <w:r w:rsidR="007C215D" w:rsidRPr="00DD5403">
          <w:rPr>
            <w:rStyle w:val="Hyperlink"/>
            <w:rFonts w:eastAsiaTheme="majorEastAsia" w:cs="Arial"/>
            <w:i/>
            <w:noProof/>
            <w:vertAlign w:val="superscript"/>
          </w:rPr>
          <w:t>th</w:t>
        </w:r>
        <w:r w:rsidR="007C215D" w:rsidRPr="00DD5403">
          <w:rPr>
            <w:rStyle w:val="Hyperlink"/>
            <w:rFonts w:eastAsiaTheme="majorEastAsia" w:cs="Arial"/>
            <w:i/>
            <w:noProof/>
          </w:rPr>
          <w:t xml:space="preserve"> percentiles for coastal and intertidal reef seagrass habitat in the Wet Tropics.</w:t>
        </w:r>
        <w:r w:rsidR="007C215D">
          <w:rPr>
            <w:noProof/>
            <w:webHidden/>
          </w:rPr>
          <w:tab/>
        </w:r>
        <w:r w:rsidR="007C215D">
          <w:rPr>
            <w:noProof/>
            <w:webHidden/>
          </w:rPr>
          <w:fldChar w:fldCharType="begin"/>
        </w:r>
        <w:r w:rsidR="007C215D">
          <w:rPr>
            <w:noProof/>
            <w:webHidden/>
          </w:rPr>
          <w:instrText xml:space="preserve"> PAGEREF _Toc38634194 \h </w:instrText>
        </w:r>
        <w:r w:rsidR="007C215D">
          <w:rPr>
            <w:noProof/>
            <w:webHidden/>
          </w:rPr>
        </w:r>
        <w:r w:rsidR="007C215D">
          <w:rPr>
            <w:noProof/>
            <w:webHidden/>
          </w:rPr>
          <w:fldChar w:fldCharType="separate"/>
        </w:r>
        <w:r w:rsidR="00561C92">
          <w:rPr>
            <w:noProof/>
            <w:webHidden/>
          </w:rPr>
          <w:t>177</w:t>
        </w:r>
        <w:r w:rsidR="007C215D">
          <w:rPr>
            <w:noProof/>
            <w:webHidden/>
          </w:rPr>
          <w:fldChar w:fldCharType="end"/>
        </w:r>
      </w:hyperlink>
    </w:p>
    <w:p w14:paraId="54C84293" w14:textId="2571DCD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5" w:history="1">
        <w:r w:rsidR="007C215D" w:rsidRPr="00DD5403">
          <w:rPr>
            <w:rStyle w:val="Hyperlink"/>
            <w:rFonts w:eastAsiaTheme="majorEastAsia" w:cs="Arial"/>
            <w:noProof/>
          </w:rPr>
          <w:t xml:space="preserve">Figure 91. </w:t>
        </w:r>
        <w:r w:rsidR="007C215D" w:rsidRPr="00DD5403">
          <w:rPr>
            <w:rStyle w:val="Hyperlink"/>
            <w:rFonts w:eastAsiaTheme="majorEastAsia" w:cs="Arial"/>
            <w:i/>
            <w:noProof/>
          </w:rPr>
          <w:t>Annual daytime tidal exposure (total hours) and long-term median (dashed line) of intertidal reef seagrass meadows at Archer Point, Cape York NRM region; 2011–2019</w:t>
        </w:r>
        <w:r w:rsidR="007C215D">
          <w:rPr>
            <w:noProof/>
            <w:webHidden/>
          </w:rPr>
          <w:tab/>
        </w:r>
        <w:r w:rsidR="007C215D">
          <w:rPr>
            <w:noProof/>
            <w:webHidden/>
          </w:rPr>
          <w:fldChar w:fldCharType="begin"/>
        </w:r>
        <w:r w:rsidR="007C215D">
          <w:rPr>
            <w:noProof/>
            <w:webHidden/>
          </w:rPr>
          <w:instrText xml:space="preserve"> PAGEREF _Toc38634195 \h </w:instrText>
        </w:r>
        <w:r w:rsidR="007C215D">
          <w:rPr>
            <w:noProof/>
            <w:webHidden/>
          </w:rPr>
        </w:r>
        <w:r w:rsidR="007C215D">
          <w:rPr>
            <w:noProof/>
            <w:webHidden/>
          </w:rPr>
          <w:fldChar w:fldCharType="separate"/>
        </w:r>
        <w:r w:rsidR="00561C92">
          <w:rPr>
            <w:noProof/>
            <w:webHidden/>
          </w:rPr>
          <w:t>184</w:t>
        </w:r>
        <w:r w:rsidR="007C215D">
          <w:rPr>
            <w:noProof/>
            <w:webHidden/>
          </w:rPr>
          <w:fldChar w:fldCharType="end"/>
        </w:r>
      </w:hyperlink>
    </w:p>
    <w:p w14:paraId="21AEDD7E" w14:textId="7DA2294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6" w:history="1">
        <w:r w:rsidR="007C215D" w:rsidRPr="00DD5403">
          <w:rPr>
            <w:rStyle w:val="Hyperlink"/>
            <w:rFonts w:eastAsiaTheme="majorEastAsia" w:cs="Arial"/>
            <w:noProof/>
          </w:rPr>
          <w:t xml:space="preserve">Figure 92. </w:t>
        </w:r>
        <w:r w:rsidR="007C215D" w:rsidRPr="00DD5403">
          <w:rPr>
            <w:rStyle w:val="Hyperlink"/>
            <w:rFonts w:eastAsiaTheme="majorEastAsia" w:cs="Arial"/>
            <w:i/>
            <w:noProof/>
          </w:rPr>
          <w:t>Annual daytime tidal exposure (total hours) and long-term median (dashed line) of intertidal reef seagrass meadows in the Wet Tropics NRM region; 1999–2019.</w:t>
        </w:r>
        <w:r w:rsidR="007C215D">
          <w:rPr>
            <w:noProof/>
            <w:webHidden/>
          </w:rPr>
          <w:tab/>
        </w:r>
        <w:r w:rsidR="007C215D">
          <w:rPr>
            <w:noProof/>
            <w:webHidden/>
          </w:rPr>
          <w:fldChar w:fldCharType="begin"/>
        </w:r>
        <w:r w:rsidR="007C215D">
          <w:rPr>
            <w:noProof/>
            <w:webHidden/>
          </w:rPr>
          <w:instrText xml:space="preserve"> PAGEREF _Toc38634196 \h </w:instrText>
        </w:r>
        <w:r w:rsidR="007C215D">
          <w:rPr>
            <w:noProof/>
            <w:webHidden/>
          </w:rPr>
        </w:r>
        <w:r w:rsidR="007C215D">
          <w:rPr>
            <w:noProof/>
            <w:webHidden/>
          </w:rPr>
          <w:fldChar w:fldCharType="separate"/>
        </w:r>
        <w:r w:rsidR="00561C92">
          <w:rPr>
            <w:noProof/>
            <w:webHidden/>
          </w:rPr>
          <w:t>184</w:t>
        </w:r>
        <w:r w:rsidR="007C215D">
          <w:rPr>
            <w:noProof/>
            <w:webHidden/>
          </w:rPr>
          <w:fldChar w:fldCharType="end"/>
        </w:r>
      </w:hyperlink>
    </w:p>
    <w:p w14:paraId="4C73E751" w14:textId="5872E03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7" w:history="1">
        <w:r w:rsidR="007C215D" w:rsidRPr="00DD5403">
          <w:rPr>
            <w:rStyle w:val="Hyperlink"/>
            <w:rFonts w:eastAsiaTheme="majorEastAsia" w:cs="Arial"/>
            <w:noProof/>
          </w:rPr>
          <w:t xml:space="preserve">Figure 93. </w:t>
        </w:r>
        <w:r w:rsidR="007C215D" w:rsidRPr="00DD5403">
          <w:rPr>
            <w:rStyle w:val="Hyperlink"/>
            <w:rFonts w:eastAsiaTheme="majorEastAsia" w:cs="Arial"/>
            <w:i/>
            <w:noProof/>
          </w:rPr>
          <w:t>Annual daytime tidal exposure (total hours) and long-term median (dashed line) of intertidal coastal seagrass meadows in Wet Tropics NRM region; 1999–2019.</w:t>
        </w:r>
        <w:r w:rsidR="007C215D">
          <w:rPr>
            <w:noProof/>
            <w:webHidden/>
          </w:rPr>
          <w:tab/>
        </w:r>
        <w:r w:rsidR="007C215D">
          <w:rPr>
            <w:noProof/>
            <w:webHidden/>
          </w:rPr>
          <w:fldChar w:fldCharType="begin"/>
        </w:r>
        <w:r w:rsidR="007C215D">
          <w:rPr>
            <w:noProof/>
            <w:webHidden/>
          </w:rPr>
          <w:instrText xml:space="preserve"> PAGEREF _Toc38634197 \h </w:instrText>
        </w:r>
        <w:r w:rsidR="007C215D">
          <w:rPr>
            <w:noProof/>
            <w:webHidden/>
          </w:rPr>
        </w:r>
        <w:r w:rsidR="007C215D">
          <w:rPr>
            <w:noProof/>
            <w:webHidden/>
          </w:rPr>
          <w:fldChar w:fldCharType="separate"/>
        </w:r>
        <w:r w:rsidR="00561C92">
          <w:rPr>
            <w:noProof/>
            <w:webHidden/>
          </w:rPr>
          <w:t>184</w:t>
        </w:r>
        <w:r w:rsidR="007C215D">
          <w:rPr>
            <w:noProof/>
            <w:webHidden/>
          </w:rPr>
          <w:fldChar w:fldCharType="end"/>
        </w:r>
      </w:hyperlink>
    </w:p>
    <w:p w14:paraId="157DDF47" w14:textId="4D48E6E1"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8" w:history="1">
        <w:r w:rsidR="007C215D" w:rsidRPr="00DD5403">
          <w:rPr>
            <w:rStyle w:val="Hyperlink"/>
            <w:rFonts w:eastAsiaTheme="majorEastAsia" w:cs="Arial"/>
            <w:noProof/>
          </w:rPr>
          <w:t xml:space="preserve">Figure 94. </w:t>
        </w:r>
        <w:r w:rsidR="007C215D" w:rsidRPr="00DD5403">
          <w:rPr>
            <w:rStyle w:val="Hyperlink"/>
            <w:rFonts w:eastAsiaTheme="majorEastAsia" w:cs="Arial"/>
            <w:i/>
            <w:noProof/>
          </w:rPr>
          <w:t>Annual daytime tidal exposure (total hours) and long-term median (dashed line) of intertidal coastal seagrass meadows in Burdekin NRM region; 2000–2019.</w:t>
        </w:r>
        <w:r w:rsidR="007C215D">
          <w:rPr>
            <w:noProof/>
            <w:webHidden/>
          </w:rPr>
          <w:tab/>
        </w:r>
        <w:r w:rsidR="007C215D">
          <w:rPr>
            <w:noProof/>
            <w:webHidden/>
          </w:rPr>
          <w:fldChar w:fldCharType="begin"/>
        </w:r>
        <w:r w:rsidR="007C215D">
          <w:rPr>
            <w:noProof/>
            <w:webHidden/>
          </w:rPr>
          <w:instrText xml:space="preserve"> PAGEREF _Toc38634198 \h </w:instrText>
        </w:r>
        <w:r w:rsidR="007C215D">
          <w:rPr>
            <w:noProof/>
            <w:webHidden/>
          </w:rPr>
        </w:r>
        <w:r w:rsidR="007C215D">
          <w:rPr>
            <w:noProof/>
            <w:webHidden/>
          </w:rPr>
          <w:fldChar w:fldCharType="separate"/>
        </w:r>
        <w:r w:rsidR="00561C92">
          <w:rPr>
            <w:noProof/>
            <w:webHidden/>
          </w:rPr>
          <w:t>185</w:t>
        </w:r>
        <w:r w:rsidR="007C215D">
          <w:rPr>
            <w:noProof/>
            <w:webHidden/>
          </w:rPr>
          <w:fldChar w:fldCharType="end"/>
        </w:r>
      </w:hyperlink>
    </w:p>
    <w:p w14:paraId="18EB59E6" w14:textId="5D47F358"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199" w:history="1">
        <w:r w:rsidR="007C215D" w:rsidRPr="00DD5403">
          <w:rPr>
            <w:rStyle w:val="Hyperlink"/>
            <w:rFonts w:eastAsiaTheme="majorEastAsia" w:cs="Arial"/>
            <w:noProof/>
          </w:rPr>
          <w:t xml:space="preserve">Figure 95. </w:t>
        </w:r>
        <w:r w:rsidR="007C215D" w:rsidRPr="00DD5403">
          <w:rPr>
            <w:rStyle w:val="Hyperlink"/>
            <w:rFonts w:eastAsiaTheme="majorEastAsia" w:cs="Arial"/>
            <w:i/>
            <w:noProof/>
          </w:rPr>
          <w:t>Annual daytime tidal exposure (total hours) and long-term median (dashed line) of intertidal reef seagrass meadows in Burdekin NRM region; 2000–2019.</w:t>
        </w:r>
        <w:r w:rsidR="007C215D">
          <w:rPr>
            <w:noProof/>
            <w:webHidden/>
          </w:rPr>
          <w:tab/>
        </w:r>
        <w:r w:rsidR="007C215D">
          <w:rPr>
            <w:noProof/>
            <w:webHidden/>
          </w:rPr>
          <w:fldChar w:fldCharType="begin"/>
        </w:r>
        <w:r w:rsidR="007C215D">
          <w:rPr>
            <w:noProof/>
            <w:webHidden/>
          </w:rPr>
          <w:instrText xml:space="preserve"> PAGEREF _Toc38634199 \h </w:instrText>
        </w:r>
        <w:r w:rsidR="007C215D">
          <w:rPr>
            <w:noProof/>
            <w:webHidden/>
          </w:rPr>
        </w:r>
        <w:r w:rsidR="007C215D">
          <w:rPr>
            <w:noProof/>
            <w:webHidden/>
          </w:rPr>
          <w:fldChar w:fldCharType="separate"/>
        </w:r>
        <w:r w:rsidR="00561C92">
          <w:rPr>
            <w:noProof/>
            <w:webHidden/>
          </w:rPr>
          <w:t>185</w:t>
        </w:r>
        <w:r w:rsidR="007C215D">
          <w:rPr>
            <w:noProof/>
            <w:webHidden/>
          </w:rPr>
          <w:fldChar w:fldCharType="end"/>
        </w:r>
      </w:hyperlink>
    </w:p>
    <w:p w14:paraId="17E47B63" w14:textId="6E501CD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0" w:history="1">
        <w:r w:rsidR="007C215D" w:rsidRPr="00DD5403">
          <w:rPr>
            <w:rStyle w:val="Hyperlink"/>
            <w:rFonts w:eastAsiaTheme="majorEastAsia" w:cs="Arial"/>
            <w:noProof/>
          </w:rPr>
          <w:t xml:space="preserve">Figure 96. </w:t>
        </w:r>
        <w:r w:rsidR="007C215D" w:rsidRPr="00DD5403">
          <w:rPr>
            <w:rStyle w:val="Hyperlink"/>
            <w:rFonts w:eastAsiaTheme="majorEastAsia" w:cs="Arial"/>
            <w:i/>
            <w:noProof/>
          </w:rPr>
          <w:t>Annual daytime tidal exposure (total hours) and long-term median (dashed line) of intertidal estuarine (a, b) coastal (c, d) and reef (e, f) seagrass meadows in Mackay–Whitsunday NRM region; 1999–2019.</w:t>
        </w:r>
        <w:r w:rsidR="007C215D">
          <w:rPr>
            <w:noProof/>
            <w:webHidden/>
          </w:rPr>
          <w:tab/>
        </w:r>
        <w:r w:rsidR="007C215D">
          <w:rPr>
            <w:noProof/>
            <w:webHidden/>
          </w:rPr>
          <w:fldChar w:fldCharType="begin"/>
        </w:r>
        <w:r w:rsidR="007C215D">
          <w:rPr>
            <w:noProof/>
            <w:webHidden/>
          </w:rPr>
          <w:instrText xml:space="preserve"> PAGEREF _Toc38634200 \h </w:instrText>
        </w:r>
        <w:r w:rsidR="007C215D">
          <w:rPr>
            <w:noProof/>
            <w:webHidden/>
          </w:rPr>
        </w:r>
        <w:r w:rsidR="007C215D">
          <w:rPr>
            <w:noProof/>
            <w:webHidden/>
          </w:rPr>
          <w:fldChar w:fldCharType="separate"/>
        </w:r>
        <w:r w:rsidR="00561C92">
          <w:rPr>
            <w:noProof/>
            <w:webHidden/>
          </w:rPr>
          <w:t>185</w:t>
        </w:r>
        <w:r w:rsidR="007C215D">
          <w:rPr>
            <w:noProof/>
            <w:webHidden/>
          </w:rPr>
          <w:fldChar w:fldCharType="end"/>
        </w:r>
      </w:hyperlink>
    </w:p>
    <w:p w14:paraId="335E4C99" w14:textId="1DA57AC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1" w:history="1">
        <w:r w:rsidR="007C215D" w:rsidRPr="00DD5403">
          <w:rPr>
            <w:rStyle w:val="Hyperlink"/>
            <w:rFonts w:eastAsiaTheme="majorEastAsia" w:cs="Arial"/>
            <w:noProof/>
          </w:rPr>
          <w:t xml:space="preserve">Figure 97. </w:t>
        </w:r>
        <w:r w:rsidR="007C215D" w:rsidRPr="00DD5403">
          <w:rPr>
            <w:rStyle w:val="Hyperlink"/>
            <w:rFonts w:eastAsiaTheme="majorEastAsia" w:cs="Arial"/>
            <w:i/>
            <w:noProof/>
          </w:rPr>
          <w:t>Annual daytime tidal exposure (total hours) and long-term median (dashed line) of intertidal estuarine (a, b) coastal (c, d) and reef (e, f) seagrass meadows in the Fitzroy NRM region; 1999–2019.</w:t>
        </w:r>
        <w:r w:rsidR="007C215D">
          <w:rPr>
            <w:noProof/>
            <w:webHidden/>
          </w:rPr>
          <w:tab/>
        </w:r>
        <w:r w:rsidR="007C215D">
          <w:rPr>
            <w:noProof/>
            <w:webHidden/>
          </w:rPr>
          <w:fldChar w:fldCharType="begin"/>
        </w:r>
        <w:r w:rsidR="007C215D">
          <w:rPr>
            <w:noProof/>
            <w:webHidden/>
          </w:rPr>
          <w:instrText xml:space="preserve"> PAGEREF _Toc38634201 \h </w:instrText>
        </w:r>
        <w:r w:rsidR="007C215D">
          <w:rPr>
            <w:noProof/>
            <w:webHidden/>
          </w:rPr>
        </w:r>
        <w:r w:rsidR="007C215D">
          <w:rPr>
            <w:noProof/>
            <w:webHidden/>
          </w:rPr>
          <w:fldChar w:fldCharType="separate"/>
        </w:r>
        <w:r w:rsidR="00561C92">
          <w:rPr>
            <w:noProof/>
            <w:webHidden/>
          </w:rPr>
          <w:t>186</w:t>
        </w:r>
        <w:r w:rsidR="007C215D">
          <w:rPr>
            <w:noProof/>
            <w:webHidden/>
          </w:rPr>
          <w:fldChar w:fldCharType="end"/>
        </w:r>
      </w:hyperlink>
    </w:p>
    <w:p w14:paraId="43AD55EF" w14:textId="7D18A7F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2" w:history="1">
        <w:r w:rsidR="007C215D" w:rsidRPr="00DD5403">
          <w:rPr>
            <w:rStyle w:val="Hyperlink"/>
            <w:rFonts w:eastAsiaTheme="majorEastAsia" w:cs="Arial"/>
            <w:noProof/>
          </w:rPr>
          <w:t xml:space="preserve">Figure 98. </w:t>
        </w:r>
        <w:r w:rsidR="007C215D" w:rsidRPr="00DD5403">
          <w:rPr>
            <w:rStyle w:val="Hyperlink"/>
            <w:rFonts w:eastAsiaTheme="majorEastAsia" w:cs="Arial"/>
            <w:i/>
            <w:noProof/>
          </w:rPr>
          <w:t>Annual daytime tidal exposure (total hours) and long-term median (dashed line) of intertidal estuarine seagrass meadows in the Burnett–Mary NRM region; 1999–2019.</w:t>
        </w:r>
        <w:r w:rsidR="007C215D">
          <w:rPr>
            <w:noProof/>
            <w:webHidden/>
          </w:rPr>
          <w:tab/>
        </w:r>
        <w:r w:rsidR="007C215D">
          <w:rPr>
            <w:noProof/>
            <w:webHidden/>
          </w:rPr>
          <w:fldChar w:fldCharType="begin"/>
        </w:r>
        <w:r w:rsidR="007C215D">
          <w:rPr>
            <w:noProof/>
            <w:webHidden/>
          </w:rPr>
          <w:instrText xml:space="preserve"> PAGEREF _Toc38634202 \h </w:instrText>
        </w:r>
        <w:r w:rsidR="007C215D">
          <w:rPr>
            <w:noProof/>
            <w:webHidden/>
          </w:rPr>
        </w:r>
        <w:r w:rsidR="007C215D">
          <w:rPr>
            <w:noProof/>
            <w:webHidden/>
          </w:rPr>
          <w:fldChar w:fldCharType="separate"/>
        </w:r>
        <w:r w:rsidR="00561C92">
          <w:rPr>
            <w:noProof/>
            <w:webHidden/>
          </w:rPr>
          <w:t>186</w:t>
        </w:r>
        <w:r w:rsidR="007C215D">
          <w:rPr>
            <w:noProof/>
            <w:webHidden/>
          </w:rPr>
          <w:fldChar w:fldCharType="end"/>
        </w:r>
      </w:hyperlink>
    </w:p>
    <w:p w14:paraId="6BC68F2F" w14:textId="642F447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3" w:history="1">
        <w:r w:rsidR="007C215D" w:rsidRPr="00DD5403">
          <w:rPr>
            <w:rStyle w:val="Hyperlink"/>
            <w:rFonts w:eastAsiaTheme="majorEastAsia" w:cs="Arial"/>
            <w:noProof/>
          </w:rPr>
          <w:t xml:space="preserve">Figure 99. </w:t>
        </w:r>
        <w:r w:rsidR="007C215D" w:rsidRPr="00DD5403">
          <w:rPr>
            <w:rStyle w:val="Hyperlink"/>
            <w:rFonts w:eastAsiaTheme="majorEastAsia" w:cs="Arial"/>
            <w:i/>
            <w:noProof/>
          </w:rPr>
          <w:t>Daily light and 28-day rolling average at Cape York locations.</w:t>
        </w:r>
        <w:r w:rsidR="007C215D">
          <w:rPr>
            <w:noProof/>
            <w:webHidden/>
          </w:rPr>
          <w:tab/>
        </w:r>
        <w:r w:rsidR="007C215D">
          <w:rPr>
            <w:noProof/>
            <w:webHidden/>
          </w:rPr>
          <w:fldChar w:fldCharType="begin"/>
        </w:r>
        <w:r w:rsidR="007C215D">
          <w:rPr>
            <w:noProof/>
            <w:webHidden/>
          </w:rPr>
          <w:instrText xml:space="preserve"> PAGEREF _Toc38634203 \h </w:instrText>
        </w:r>
        <w:r w:rsidR="007C215D">
          <w:rPr>
            <w:noProof/>
            <w:webHidden/>
          </w:rPr>
        </w:r>
        <w:r w:rsidR="007C215D">
          <w:rPr>
            <w:noProof/>
            <w:webHidden/>
          </w:rPr>
          <w:fldChar w:fldCharType="separate"/>
        </w:r>
        <w:r w:rsidR="00561C92">
          <w:rPr>
            <w:noProof/>
            <w:webHidden/>
          </w:rPr>
          <w:t>187</w:t>
        </w:r>
        <w:r w:rsidR="007C215D">
          <w:rPr>
            <w:noProof/>
            <w:webHidden/>
          </w:rPr>
          <w:fldChar w:fldCharType="end"/>
        </w:r>
      </w:hyperlink>
    </w:p>
    <w:p w14:paraId="3B6FE45A" w14:textId="2B7DAB3B"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4" w:history="1">
        <w:r w:rsidR="007C215D" w:rsidRPr="00DD5403">
          <w:rPr>
            <w:rStyle w:val="Hyperlink"/>
            <w:rFonts w:eastAsiaTheme="majorEastAsia" w:cs="Arial"/>
            <w:noProof/>
          </w:rPr>
          <w:t xml:space="preserve">Figure 100. </w:t>
        </w:r>
        <w:r w:rsidR="007C215D" w:rsidRPr="00DD5403">
          <w:rPr>
            <w:rStyle w:val="Hyperlink"/>
            <w:rFonts w:eastAsiaTheme="majorEastAsia" w:cs="Arial"/>
            <w:i/>
            <w:noProof/>
          </w:rPr>
          <w:t>Daily light (yellow line) and 28-day rolling average (orange, bold line) for locations in the northern Wet Tropics.</w:t>
        </w:r>
        <w:r w:rsidR="007C215D">
          <w:rPr>
            <w:noProof/>
            <w:webHidden/>
          </w:rPr>
          <w:tab/>
        </w:r>
        <w:r w:rsidR="007C215D">
          <w:rPr>
            <w:noProof/>
            <w:webHidden/>
          </w:rPr>
          <w:fldChar w:fldCharType="begin"/>
        </w:r>
        <w:r w:rsidR="007C215D">
          <w:rPr>
            <w:noProof/>
            <w:webHidden/>
          </w:rPr>
          <w:instrText xml:space="preserve"> PAGEREF _Toc38634204 \h </w:instrText>
        </w:r>
        <w:r w:rsidR="007C215D">
          <w:rPr>
            <w:noProof/>
            <w:webHidden/>
          </w:rPr>
        </w:r>
        <w:r w:rsidR="007C215D">
          <w:rPr>
            <w:noProof/>
            <w:webHidden/>
          </w:rPr>
          <w:fldChar w:fldCharType="separate"/>
        </w:r>
        <w:r w:rsidR="00561C92">
          <w:rPr>
            <w:noProof/>
            <w:webHidden/>
          </w:rPr>
          <w:t>188</w:t>
        </w:r>
        <w:r w:rsidR="007C215D">
          <w:rPr>
            <w:noProof/>
            <w:webHidden/>
          </w:rPr>
          <w:fldChar w:fldCharType="end"/>
        </w:r>
      </w:hyperlink>
    </w:p>
    <w:p w14:paraId="4E982849" w14:textId="0884948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5" w:history="1">
        <w:r w:rsidR="007C215D" w:rsidRPr="00DD5403">
          <w:rPr>
            <w:rStyle w:val="Hyperlink"/>
            <w:rFonts w:eastAsiaTheme="majorEastAsia" w:cs="Arial"/>
            <w:noProof/>
          </w:rPr>
          <w:t xml:space="preserve">Figure 101. </w:t>
        </w:r>
        <w:r w:rsidR="007C215D" w:rsidRPr="00DD5403">
          <w:rPr>
            <w:rStyle w:val="Hyperlink"/>
            <w:rFonts w:eastAsiaTheme="majorEastAsia" w:cs="Arial"/>
            <w:i/>
            <w:noProof/>
          </w:rPr>
          <w:t>Daily light (yellow line) and 28-day rolling average (orange, bold line) for locations in the southern Wet Tropics.</w:t>
        </w:r>
        <w:r w:rsidR="007C215D">
          <w:rPr>
            <w:noProof/>
            <w:webHidden/>
          </w:rPr>
          <w:tab/>
        </w:r>
        <w:r w:rsidR="007C215D">
          <w:rPr>
            <w:noProof/>
            <w:webHidden/>
          </w:rPr>
          <w:fldChar w:fldCharType="begin"/>
        </w:r>
        <w:r w:rsidR="007C215D">
          <w:rPr>
            <w:noProof/>
            <w:webHidden/>
          </w:rPr>
          <w:instrText xml:space="preserve"> PAGEREF _Toc38634205 \h </w:instrText>
        </w:r>
        <w:r w:rsidR="007C215D">
          <w:rPr>
            <w:noProof/>
            <w:webHidden/>
          </w:rPr>
        </w:r>
        <w:r w:rsidR="007C215D">
          <w:rPr>
            <w:noProof/>
            <w:webHidden/>
          </w:rPr>
          <w:fldChar w:fldCharType="separate"/>
        </w:r>
        <w:r w:rsidR="00561C92">
          <w:rPr>
            <w:noProof/>
            <w:webHidden/>
          </w:rPr>
          <w:t>188</w:t>
        </w:r>
        <w:r w:rsidR="007C215D">
          <w:rPr>
            <w:noProof/>
            <w:webHidden/>
          </w:rPr>
          <w:fldChar w:fldCharType="end"/>
        </w:r>
      </w:hyperlink>
    </w:p>
    <w:p w14:paraId="3E4E5F52" w14:textId="2809491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6" w:history="1">
        <w:r w:rsidR="007C215D" w:rsidRPr="00DD5403">
          <w:rPr>
            <w:rStyle w:val="Hyperlink"/>
            <w:rFonts w:eastAsiaTheme="majorEastAsia" w:cs="Arial"/>
            <w:noProof/>
          </w:rPr>
          <w:t xml:space="preserve">Figure 102. </w:t>
        </w:r>
        <w:r w:rsidR="007C215D" w:rsidRPr="00DD5403">
          <w:rPr>
            <w:rStyle w:val="Hyperlink"/>
            <w:rFonts w:eastAsiaTheme="majorEastAsia" w:cs="Arial"/>
            <w:i/>
            <w:noProof/>
          </w:rPr>
          <w:t>Daily light (yellow line) and 28-day rolling average (orange, bold line) at locations in the Burdekin region.</w:t>
        </w:r>
        <w:r w:rsidR="007C215D">
          <w:rPr>
            <w:noProof/>
            <w:webHidden/>
          </w:rPr>
          <w:tab/>
        </w:r>
        <w:r w:rsidR="007C215D">
          <w:rPr>
            <w:noProof/>
            <w:webHidden/>
          </w:rPr>
          <w:fldChar w:fldCharType="begin"/>
        </w:r>
        <w:r w:rsidR="007C215D">
          <w:rPr>
            <w:noProof/>
            <w:webHidden/>
          </w:rPr>
          <w:instrText xml:space="preserve"> PAGEREF _Toc38634206 \h </w:instrText>
        </w:r>
        <w:r w:rsidR="007C215D">
          <w:rPr>
            <w:noProof/>
            <w:webHidden/>
          </w:rPr>
        </w:r>
        <w:r w:rsidR="007C215D">
          <w:rPr>
            <w:noProof/>
            <w:webHidden/>
          </w:rPr>
          <w:fldChar w:fldCharType="separate"/>
        </w:r>
        <w:r w:rsidR="00561C92">
          <w:rPr>
            <w:noProof/>
            <w:webHidden/>
          </w:rPr>
          <w:t>189</w:t>
        </w:r>
        <w:r w:rsidR="007C215D">
          <w:rPr>
            <w:noProof/>
            <w:webHidden/>
          </w:rPr>
          <w:fldChar w:fldCharType="end"/>
        </w:r>
      </w:hyperlink>
    </w:p>
    <w:p w14:paraId="5FABAEB8" w14:textId="6984256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7" w:history="1">
        <w:r w:rsidR="007C215D" w:rsidRPr="00DD5403">
          <w:rPr>
            <w:rStyle w:val="Hyperlink"/>
            <w:rFonts w:eastAsiaTheme="majorEastAsia" w:cs="Arial"/>
            <w:noProof/>
            <w:lang w:val="en-GB"/>
          </w:rPr>
          <w:t>Figure 103.</w:t>
        </w:r>
        <w:r w:rsidR="007C215D" w:rsidRPr="00DD5403">
          <w:rPr>
            <w:rStyle w:val="Hyperlink"/>
            <w:rFonts w:eastAsiaTheme="majorEastAsia" w:cs="Arial"/>
            <w:i/>
            <w:noProof/>
          </w:rPr>
          <w:t xml:space="preserve"> Daily light (yellow line) and 28-day rolling average (orange, bold line) at Mackay–Whitsunday habitats.</w:t>
        </w:r>
        <w:r w:rsidR="007C215D">
          <w:rPr>
            <w:noProof/>
            <w:webHidden/>
          </w:rPr>
          <w:tab/>
        </w:r>
        <w:r w:rsidR="007C215D">
          <w:rPr>
            <w:noProof/>
            <w:webHidden/>
          </w:rPr>
          <w:fldChar w:fldCharType="begin"/>
        </w:r>
        <w:r w:rsidR="007C215D">
          <w:rPr>
            <w:noProof/>
            <w:webHidden/>
          </w:rPr>
          <w:instrText xml:space="preserve"> PAGEREF _Toc38634207 \h </w:instrText>
        </w:r>
        <w:r w:rsidR="007C215D">
          <w:rPr>
            <w:noProof/>
            <w:webHidden/>
          </w:rPr>
        </w:r>
        <w:r w:rsidR="007C215D">
          <w:rPr>
            <w:noProof/>
            <w:webHidden/>
          </w:rPr>
          <w:fldChar w:fldCharType="separate"/>
        </w:r>
        <w:r w:rsidR="00561C92">
          <w:rPr>
            <w:noProof/>
            <w:webHidden/>
          </w:rPr>
          <w:t>190</w:t>
        </w:r>
        <w:r w:rsidR="007C215D">
          <w:rPr>
            <w:noProof/>
            <w:webHidden/>
          </w:rPr>
          <w:fldChar w:fldCharType="end"/>
        </w:r>
      </w:hyperlink>
    </w:p>
    <w:p w14:paraId="585AB231" w14:textId="54F0DAF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8" w:history="1">
        <w:r w:rsidR="007C215D" w:rsidRPr="00DD5403">
          <w:rPr>
            <w:rStyle w:val="Hyperlink"/>
            <w:rFonts w:eastAsiaTheme="majorEastAsia" w:cs="Arial"/>
            <w:noProof/>
          </w:rPr>
          <w:t xml:space="preserve">Figure 104. </w:t>
        </w:r>
        <w:r w:rsidR="007C215D" w:rsidRPr="00DD5403">
          <w:rPr>
            <w:rStyle w:val="Hyperlink"/>
            <w:rFonts w:eastAsiaTheme="majorEastAsia" w:cs="Arial"/>
            <w:i/>
            <w:noProof/>
          </w:rPr>
          <w:t>Daily light (yellow line) and 28-day rolling average (orange, bold line) at monitoring locations in the Fitzroy NRM region.</w:t>
        </w:r>
        <w:r w:rsidR="007C215D">
          <w:rPr>
            <w:noProof/>
            <w:webHidden/>
          </w:rPr>
          <w:tab/>
        </w:r>
        <w:r w:rsidR="007C215D">
          <w:rPr>
            <w:noProof/>
            <w:webHidden/>
          </w:rPr>
          <w:fldChar w:fldCharType="begin"/>
        </w:r>
        <w:r w:rsidR="007C215D">
          <w:rPr>
            <w:noProof/>
            <w:webHidden/>
          </w:rPr>
          <w:instrText xml:space="preserve"> PAGEREF _Toc38634208 \h </w:instrText>
        </w:r>
        <w:r w:rsidR="007C215D">
          <w:rPr>
            <w:noProof/>
            <w:webHidden/>
          </w:rPr>
        </w:r>
        <w:r w:rsidR="007C215D">
          <w:rPr>
            <w:noProof/>
            <w:webHidden/>
          </w:rPr>
          <w:fldChar w:fldCharType="separate"/>
        </w:r>
        <w:r w:rsidR="00561C92">
          <w:rPr>
            <w:noProof/>
            <w:webHidden/>
          </w:rPr>
          <w:t>190</w:t>
        </w:r>
        <w:r w:rsidR="007C215D">
          <w:rPr>
            <w:noProof/>
            <w:webHidden/>
          </w:rPr>
          <w:fldChar w:fldCharType="end"/>
        </w:r>
      </w:hyperlink>
    </w:p>
    <w:p w14:paraId="2A72EA7A" w14:textId="2E035A46"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09" w:history="1">
        <w:r w:rsidR="007C215D" w:rsidRPr="00DD5403">
          <w:rPr>
            <w:rStyle w:val="Hyperlink"/>
            <w:rFonts w:eastAsiaTheme="majorEastAsia" w:cs="Arial"/>
            <w:noProof/>
            <w:lang w:val="en-GB"/>
          </w:rPr>
          <w:t xml:space="preserve">Figure 105. </w:t>
        </w:r>
        <w:r w:rsidR="007C215D" w:rsidRPr="00DD5403">
          <w:rPr>
            <w:rStyle w:val="Hyperlink"/>
            <w:rFonts w:eastAsiaTheme="majorEastAsia" w:cs="Arial"/>
            <w:i/>
            <w:noProof/>
          </w:rPr>
          <w:t>Daily light (yellow line) and 28-day rolling average (orange, bold line) at monitoring locations in the Burnett–Mary NRM region.</w:t>
        </w:r>
        <w:r w:rsidR="007C215D">
          <w:rPr>
            <w:noProof/>
            <w:webHidden/>
          </w:rPr>
          <w:tab/>
        </w:r>
        <w:r w:rsidR="007C215D">
          <w:rPr>
            <w:noProof/>
            <w:webHidden/>
          </w:rPr>
          <w:fldChar w:fldCharType="begin"/>
        </w:r>
        <w:r w:rsidR="007C215D">
          <w:rPr>
            <w:noProof/>
            <w:webHidden/>
          </w:rPr>
          <w:instrText xml:space="preserve"> PAGEREF _Toc38634209 \h </w:instrText>
        </w:r>
        <w:r w:rsidR="007C215D">
          <w:rPr>
            <w:noProof/>
            <w:webHidden/>
          </w:rPr>
        </w:r>
        <w:r w:rsidR="007C215D">
          <w:rPr>
            <w:noProof/>
            <w:webHidden/>
          </w:rPr>
          <w:fldChar w:fldCharType="separate"/>
        </w:r>
        <w:r w:rsidR="00561C92">
          <w:rPr>
            <w:noProof/>
            <w:webHidden/>
          </w:rPr>
          <w:t>191</w:t>
        </w:r>
        <w:r w:rsidR="007C215D">
          <w:rPr>
            <w:noProof/>
            <w:webHidden/>
          </w:rPr>
          <w:fldChar w:fldCharType="end"/>
        </w:r>
      </w:hyperlink>
    </w:p>
    <w:p w14:paraId="159A1AA5" w14:textId="5F29B847"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0" w:history="1">
        <w:r w:rsidR="007C215D" w:rsidRPr="00DD5403">
          <w:rPr>
            <w:rStyle w:val="Hyperlink"/>
            <w:rFonts w:eastAsiaTheme="majorEastAsia" w:cs="Arial"/>
            <w:noProof/>
          </w:rPr>
          <w:t xml:space="preserve">Figure 106. </w:t>
        </w:r>
        <w:r w:rsidR="007C215D" w:rsidRPr="00DD5403">
          <w:rPr>
            <w:rStyle w:val="Hyperlink"/>
            <w:rFonts w:eastAsiaTheme="majorEastAsia" w:cs="Arial"/>
            <w:i/>
            <w:noProof/>
          </w:rPr>
          <w:t>Sediment grain size composition at reef habitat monitoring sites in the Cape York region, 2003–2019.</w:t>
        </w:r>
        <w:r w:rsidR="007C215D">
          <w:rPr>
            <w:noProof/>
            <w:webHidden/>
          </w:rPr>
          <w:tab/>
        </w:r>
        <w:r w:rsidR="007C215D">
          <w:rPr>
            <w:noProof/>
            <w:webHidden/>
          </w:rPr>
          <w:fldChar w:fldCharType="begin"/>
        </w:r>
        <w:r w:rsidR="007C215D">
          <w:rPr>
            <w:noProof/>
            <w:webHidden/>
          </w:rPr>
          <w:instrText xml:space="preserve"> PAGEREF _Toc38634210 \h </w:instrText>
        </w:r>
        <w:r w:rsidR="007C215D">
          <w:rPr>
            <w:noProof/>
            <w:webHidden/>
          </w:rPr>
        </w:r>
        <w:r w:rsidR="007C215D">
          <w:rPr>
            <w:noProof/>
            <w:webHidden/>
          </w:rPr>
          <w:fldChar w:fldCharType="separate"/>
        </w:r>
        <w:r w:rsidR="00561C92">
          <w:rPr>
            <w:noProof/>
            <w:webHidden/>
          </w:rPr>
          <w:t>192</w:t>
        </w:r>
        <w:r w:rsidR="007C215D">
          <w:rPr>
            <w:noProof/>
            <w:webHidden/>
          </w:rPr>
          <w:fldChar w:fldCharType="end"/>
        </w:r>
      </w:hyperlink>
    </w:p>
    <w:p w14:paraId="53FCFAFD" w14:textId="2D12963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1" w:history="1">
        <w:r w:rsidR="007C215D" w:rsidRPr="00DD5403">
          <w:rPr>
            <w:rStyle w:val="Hyperlink"/>
            <w:rFonts w:eastAsiaTheme="majorEastAsia" w:cs="Arial"/>
            <w:noProof/>
          </w:rPr>
          <w:t xml:space="preserve">Figure 107. </w:t>
        </w:r>
        <w:r w:rsidR="007C215D" w:rsidRPr="00DD5403">
          <w:rPr>
            <w:rStyle w:val="Hyperlink"/>
            <w:rFonts w:eastAsiaTheme="majorEastAsia" w:cs="Arial"/>
            <w:i/>
            <w:noProof/>
          </w:rPr>
          <w:t>Sediment grain size composition at coastal habitat monitoring sites in the Cape York region, 2010–-2019.</w:t>
        </w:r>
        <w:r w:rsidR="007C215D">
          <w:rPr>
            <w:noProof/>
            <w:webHidden/>
          </w:rPr>
          <w:tab/>
        </w:r>
        <w:r w:rsidR="007C215D">
          <w:rPr>
            <w:noProof/>
            <w:webHidden/>
          </w:rPr>
          <w:fldChar w:fldCharType="begin"/>
        </w:r>
        <w:r w:rsidR="007C215D">
          <w:rPr>
            <w:noProof/>
            <w:webHidden/>
          </w:rPr>
          <w:instrText xml:space="preserve"> PAGEREF _Toc38634211 \h </w:instrText>
        </w:r>
        <w:r w:rsidR="007C215D">
          <w:rPr>
            <w:noProof/>
            <w:webHidden/>
          </w:rPr>
        </w:r>
        <w:r w:rsidR="007C215D">
          <w:rPr>
            <w:noProof/>
            <w:webHidden/>
          </w:rPr>
          <w:fldChar w:fldCharType="separate"/>
        </w:r>
        <w:r w:rsidR="00561C92">
          <w:rPr>
            <w:noProof/>
            <w:webHidden/>
          </w:rPr>
          <w:t>193</w:t>
        </w:r>
        <w:r w:rsidR="007C215D">
          <w:rPr>
            <w:noProof/>
            <w:webHidden/>
          </w:rPr>
          <w:fldChar w:fldCharType="end"/>
        </w:r>
      </w:hyperlink>
    </w:p>
    <w:p w14:paraId="2B35ADF4" w14:textId="2A823348"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2" w:history="1">
        <w:r w:rsidR="007C215D" w:rsidRPr="00DD5403">
          <w:rPr>
            <w:rStyle w:val="Hyperlink"/>
            <w:rFonts w:eastAsiaTheme="majorEastAsia" w:cs="Arial"/>
            <w:noProof/>
          </w:rPr>
          <w:t xml:space="preserve">Figure 108.  </w:t>
        </w:r>
        <w:r w:rsidR="007C215D" w:rsidRPr="00DD5403">
          <w:rPr>
            <w:rStyle w:val="Hyperlink"/>
            <w:rFonts w:eastAsiaTheme="majorEastAsia" w:cs="Arial"/>
            <w:i/>
            <w:noProof/>
          </w:rPr>
          <w:t>Sediment grain size composition at intertidal coastal habitat monitoring sites in the Wet Tropics region, 2001–2019.</w:t>
        </w:r>
        <w:r w:rsidR="007C215D">
          <w:rPr>
            <w:noProof/>
            <w:webHidden/>
          </w:rPr>
          <w:tab/>
        </w:r>
        <w:r w:rsidR="007C215D">
          <w:rPr>
            <w:noProof/>
            <w:webHidden/>
          </w:rPr>
          <w:fldChar w:fldCharType="begin"/>
        </w:r>
        <w:r w:rsidR="007C215D">
          <w:rPr>
            <w:noProof/>
            <w:webHidden/>
          </w:rPr>
          <w:instrText xml:space="preserve"> PAGEREF _Toc38634212 \h </w:instrText>
        </w:r>
        <w:r w:rsidR="007C215D">
          <w:rPr>
            <w:noProof/>
            <w:webHidden/>
          </w:rPr>
        </w:r>
        <w:r w:rsidR="007C215D">
          <w:rPr>
            <w:noProof/>
            <w:webHidden/>
          </w:rPr>
          <w:fldChar w:fldCharType="separate"/>
        </w:r>
        <w:r w:rsidR="00561C92">
          <w:rPr>
            <w:noProof/>
            <w:webHidden/>
          </w:rPr>
          <w:t>194</w:t>
        </w:r>
        <w:r w:rsidR="007C215D">
          <w:rPr>
            <w:noProof/>
            <w:webHidden/>
          </w:rPr>
          <w:fldChar w:fldCharType="end"/>
        </w:r>
      </w:hyperlink>
    </w:p>
    <w:p w14:paraId="455F2EA6" w14:textId="598F49E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3" w:history="1">
        <w:r w:rsidR="007C215D" w:rsidRPr="00DD5403">
          <w:rPr>
            <w:rStyle w:val="Hyperlink"/>
            <w:rFonts w:eastAsiaTheme="majorEastAsia" w:cs="Arial"/>
            <w:noProof/>
          </w:rPr>
          <w:t xml:space="preserve">Figure 109.  </w:t>
        </w:r>
        <w:r w:rsidR="007C215D" w:rsidRPr="00DD5403">
          <w:rPr>
            <w:rStyle w:val="Hyperlink"/>
            <w:rFonts w:eastAsiaTheme="majorEastAsia" w:cs="Arial"/>
            <w:i/>
            <w:noProof/>
          </w:rPr>
          <w:t>Sediment grain size composition at intertidal reef habitat monitoring sites in the Wet Tropics region, 2001–2019.</w:t>
        </w:r>
        <w:r w:rsidR="007C215D">
          <w:rPr>
            <w:noProof/>
            <w:webHidden/>
          </w:rPr>
          <w:tab/>
        </w:r>
        <w:r w:rsidR="007C215D">
          <w:rPr>
            <w:noProof/>
            <w:webHidden/>
          </w:rPr>
          <w:fldChar w:fldCharType="begin"/>
        </w:r>
        <w:r w:rsidR="007C215D">
          <w:rPr>
            <w:noProof/>
            <w:webHidden/>
          </w:rPr>
          <w:instrText xml:space="preserve"> PAGEREF _Toc38634213 \h </w:instrText>
        </w:r>
        <w:r w:rsidR="007C215D">
          <w:rPr>
            <w:noProof/>
            <w:webHidden/>
          </w:rPr>
        </w:r>
        <w:r w:rsidR="007C215D">
          <w:rPr>
            <w:noProof/>
            <w:webHidden/>
          </w:rPr>
          <w:fldChar w:fldCharType="separate"/>
        </w:r>
        <w:r w:rsidR="00561C92">
          <w:rPr>
            <w:noProof/>
            <w:webHidden/>
          </w:rPr>
          <w:t>195</w:t>
        </w:r>
        <w:r w:rsidR="007C215D">
          <w:rPr>
            <w:noProof/>
            <w:webHidden/>
          </w:rPr>
          <w:fldChar w:fldCharType="end"/>
        </w:r>
      </w:hyperlink>
    </w:p>
    <w:p w14:paraId="6F8D7B4E" w14:textId="36C76DD2"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4" w:history="1">
        <w:r w:rsidR="007C215D" w:rsidRPr="00DD5403">
          <w:rPr>
            <w:rStyle w:val="Hyperlink"/>
            <w:rFonts w:eastAsiaTheme="majorEastAsia" w:cs="Arial"/>
            <w:noProof/>
          </w:rPr>
          <w:t xml:space="preserve">Figure 110.  </w:t>
        </w:r>
        <w:r w:rsidR="007C215D" w:rsidRPr="00DD5403">
          <w:rPr>
            <w:rStyle w:val="Hyperlink"/>
            <w:rFonts w:eastAsiaTheme="majorEastAsia" w:cs="Arial"/>
            <w:i/>
            <w:noProof/>
          </w:rPr>
          <w:t>Sediment grain size composition at subtidal reef habitat monitoring sites in the Wet Tropics region, 2008–2019.</w:t>
        </w:r>
        <w:r w:rsidR="007C215D">
          <w:rPr>
            <w:noProof/>
            <w:webHidden/>
          </w:rPr>
          <w:tab/>
        </w:r>
        <w:r w:rsidR="007C215D">
          <w:rPr>
            <w:noProof/>
            <w:webHidden/>
          </w:rPr>
          <w:fldChar w:fldCharType="begin"/>
        </w:r>
        <w:r w:rsidR="007C215D">
          <w:rPr>
            <w:noProof/>
            <w:webHidden/>
          </w:rPr>
          <w:instrText xml:space="preserve"> PAGEREF _Toc38634214 \h </w:instrText>
        </w:r>
        <w:r w:rsidR="007C215D">
          <w:rPr>
            <w:noProof/>
            <w:webHidden/>
          </w:rPr>
        </w:r>
        <w:r w:rsidR="007C215D">
          <w:rPr>
            <w:noProof/>
            <w:webHidden/>
          </w:rPr>
          <w:fldChar w:fldCharType="separate"/>
        </w:r>
        <w:r w:rsidR="00561C92">
          <w:rPr>
            <w:noProof/>
            <w:webHidden/>
          </w:rPr>
          <w:t>196</w:t>
        </w:r>
        <w:r w:rsidR="007C215D">
          <w:rPr>
            <w:noProof/>
            <w:webHidden/>
          </w:rPr>
          <w:fldChar w:fldCharType="end"/>
        </w:r>
      </w:hyperlink>
    </w:p>
    <w:p w14:paraId="21C059D9" w14:textId="6076596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5" w:history="1">
        <w:r w:rsidR="007C215D" w:rsidRPr="00DD5403">
          <w:rPr>
            <w:rStyle w:val="Hyperlink"/>
            <w:rFonts w:eastAsiaTheme="majorEastAsia" w:cs="Arial"/>
            <w:noProof/>
          </w:rPr>
          <w:t xml:space="preserve">Figure 111. </w:t>
        </w:r>
        <w:r w:rsidR="007C215D" w:rsidRPr="00DD5403">
          <w:rPr>
            <w:rStyle w:val="Hyperlink"/>
            <w:rFonts w:eastAsiaTheme="majorEastAsia" w:cs="Arial"/>
            <w:i/>
            <w:noProof/>
          </w:rPr>
          <w:t>Sediment grain size composition at intertidal coastal habitat monitoring sites in the Burdekin region, 2001–2019.</w:t>
        </w:r>
        <w:r w:rsidR="007C215D">
          <w:rPr>
            <w:noProof/>
            <w:webHidden/>
          </w:rPr>
          <w:tab/>
        </w:r>
        <w:r w:rsidR="007C215D">
          <w:rPr>
            <w:noProof/>
            <w:webHidden/>
          </w:rPr>
          <w:fldChar w:fldCharType="begin"/>
        </w:r>
        <w:r w:rsidR="007C215D">
          <w:rPr>
            <w:noProof/>
            <w:webHidden/>
          </w:rPr>
          <w:instrText xml:space="preserve"> PAGEREF _Toc38634215 \h </w:instrText>
        </w:r>
        <w:r w:rsidR="007C215D">
          <w:rPr>
            <w:noProof/>
            <w:webHidden/>
          </w:rPr>
        </w:r>
        <w:r w:rsidR="007C215D">
          <w:rPr>
            <w:noProof/>
            <w:webHidden/>
          </w:rPr>
          <w:fldChar w:fldCharType="separate"/>
        </w:r>
        <w:r w:rsidR="00561C92">
          <w:rPr>
            <w:noProof/>
            <w:webHidden/>
          </w:rPr>
          <w:t>197</w:t>
        </w:r>
        <w:r w:rsidR="007C215D">
          <w:rPr>
            <w:noProof/>
            <w:webHidden/>
          </w:rPr>
          <w:fldChar w:fldCharType="end"/>
        </w:r>
      </w:hyperlink>
    </w:p>
    <w:p w14:paraId="6B438CB5" w14:textId="0C8DF8A9"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6" w:history="1">
        <w:r w:rsidR="007C215D" w:rsidRPr="00DD5403">
          <w:rPr>
            <w:rStyle w:val="Hyperlink"/>
            <w:rFonts w:eastAsiaTheme="majorEastAsia" w:cs="Arial"/>
            <w:noProof/>
          </w:rPr>
          <w:t xml:space="preserve">Figure 112. </w:t>
        </w:r>
        <w:r w:rsidR="007C215D" w:rsidRPr="00DD5403">
          <w:rPr>
            <w:rStyle w:val="Hyperlink"/>
            <w:rFonts w:eastAsiaTheme="majorEastAsia" w:cs="Arial"/>
            <w:i/>
            <w:noProof/>
          </w:rPr>
          <w:t>Sediment grain size composition at intertidal reef habitat monitoring sites in the Burdekin region, 2004–2019.</w:t>
        </w:r>
        <w:r w:rsidR="007C215D">
          <w:rPr>
            <w:noProof/>
            <w:webHidden/>
          </w:rPr>
          <w:tab/>
        </w:r>
        <w:r w:rsidR="007C215D">
          <w:rPr>
            <w:noProof/>
            <w:webHidden/>
          </w:rPr>
          <w:fldChar w:fldCharType="begin"/>
        </w:r>
        <w:r w:rsidR="007C215D">
          <w:rPr>
            <w:noProof/>
            <w:webHidden/>
          </w:rPr>
          <w:instrText xml:space="preserve"> PAGEREF _Toc38634216 \h </w:instrText>
        </w:r>
        <w:r w:rsidR="007C215D">
          <w:rPr>
            <w:noProof/>
            <w:webHidden/>
          </w:rPr>
        </w:r>
        <w:r w:rsidR="007C215D">
          <w:rPr>
            <w:noProof/>
            <w:webHidden/>
          </w:rPr>
          <w:fldChar w:fldCharType="separate"/>
        </w:r>
        <w:r w:rsidR="00561C92">
          <w:rPr>
            <w:noProof/>
            <w:webHidden/>
          </w:rPr>
          <w:t>197</w:t>
        </w:r>
        <w:r w:rsidR="007C215D">
          <w:rPr>
            <w:noProof/>
            <w:webHidden/>
          </w:rPr>
          <w:fldChar w:fldCharType="end"/>
        </w:r>
      </w:hyperlink>
    </w:p>
    <w:p w14:paraId="1979E269" w14:textId="01074FEA"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7" w:history="1">
        <w:r w:rsidR="007C215D" w:rsidRPr="00DD5403">
          <w:rPr>
            <w:rStyle w:val="Hyperlink"/>
            <w:rFonts w:eastAsiaTheme="majorEastAsia" w:cs="Arial"/>
            <w:noProof/>
          </w:rPr>
          <w:t xml:space="preserve">Figure 113.  </w:t>
        </w:r>
        <w:r w:rsidR="007C215D" w:rsidRPr="00DD5403">
          <w:rPr>
            <w:rStyle w:val="Hyperlink"/>
            <w:rFonts w:eastAsiaTheme="majorEastAsia" w:cs="Arial"/>
            <w:i/>
            <w:noProof/>
          </w:rPr>
          <w:t>Sediment grain size composition at subtidal reef habitat monitoring sites in the Burdekin region, 2010–2019.</w:t>
        </w:r>
        <w:r w:rsidR="007C215D">
          <w:rPr>
            <w:noProof/>
            <w:webHidden/>
          </w:rPr>
          <w:tab/>
        </w:r>
        <w:r w:rsidR="007C215D">
          <w:rPr>
            <w:noProof/>
            <w:webHidden/>
          </w:rPr>
          <w:fldChar w:fldCharType="begin"/>
        </w:r>
        <w:r w:rsidR="007C215D">
          <w:rPr>
            <w:noProof/>
            <w:webHidden/>
          </w:rPr>
          <w:instrText xml:space="preserve"> PAGEREF _Toc38634217 \h </w:instrText>
        </w:r>
        <w:r w:rsidR="007C215D">
          <w:rPr>
            <w:noProof/>
            <w:webHidden/>
          </w:rPr>
        </w:r>
        <w:r w:rsidR="007C215D">
          <w:rPr>
            <w:noProof/>
            <w:webHidden/>
          </w:rPr>
          <w:fldChar w:fldCharType="separate"/>
        </w:r>
        <w:r w:rsidR="00561C92">
          <w:rPr>
            <w:noProof/>
            <w:webHidden/>
          </w:rPr>
          <w:t>198</w:t>
        </w:r>
        <w:r w:rsidR="007C215D">
          <w:rPr>
            <w:noProof/>
            <w:webHidden/>
          </w:rPr>
          <w:fldChar w:fldCharType="end"/>
        </w:r>
      </w:hyperlink>
    </w:p>
    <w:p w14:paraId="73EF83EC" w14:textId="4CA0D675"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8" w:history="1">
        <w:r w:rsidR="007C215D" w:rsidRPr="00DD5403">
          <w:rPr>
            <w:rStyle w:val="Hyperlink"/>
            <w:rFonts w:eastAsiaTheme="majorEastAsia" w:cs="Arial"/>
            <w:noProof/>
          </w:rPr>
          <w:t xml:space="preserve">Figure 114.  </w:t>
        </w:r>
        <w:r w:rsidR="007C215D" w:rsidRPr="00DD5403">
          <w:rPr>
            <w:rStyle w:val="Hyperlink"/>
            <w:rFonts w:eastAsiaTheme="majorEastAsia" w:cs="Arial"/>
            <w:i/>
            <w:noProof/>
          </w:rPr>
          <w:t>Sediment grain size composition at intertidal estuary habitat monitoring sites in the Mackay–Whitsunday region, 2005–2019.</w:t>
        </w:r>
        <w:r w:rsidR="007C215D">
          <w:rPr>
            <w:noProof/>
            <w:webHidden/>
          </w:rPr>
          <w:tab/>
        </w:r>
        <w:r w:rsidR="007C215D">
          <w:rPr>
            <w:noProof/>
            <w:webHidden/>
          </w:rPr>
          <w:fldChar w:fldCharType="begin"/>
        </w:r>
        <w:r w:rsidR="007C215D">
          <w:rPr>
            <w:noProof/>
            <w:webHidden/>
          </w:rPr>
          <w:instrText xml:space="preserve"> PAGEREF _Toc38634218 \h </w:instrText>
        </w:r>
        <w:r w:rsidR="007C215D">
          <w:rPr>
            <w:noProof/>
            <w:webHidden/>
          </w:rPr>
        </w:r>
        <w:r w:rsidR="007C215D">
          <w:rPr>
            <w:noProof/>
            <w:webHidden/>
          </w:rPr>
          <w:fldChar w:fldCharType="separate"/>
        </w:r>
        <w:r w:rsidR="00561C92">
          <w:rPr>
            <w:noProof/>
            <w:webHidden/>
          </w:rPr>
          <w:t>198</w:t>
        </w:r>
        <w:r w:rsidR="007C215D">
          <w:rPr>
            <w:noProof/>
            <w:webHidden/>
          </w:rPr>
          <w:fldChar w:fldCharType="end"/>
        </w:r>
      </w:hyperlink>
    </w:p>
    <w:p w14:paraId="46A4F443" w14:textId="41008014"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19" w:history="1">
        <w:r w:rsidR="007C215D" w:rsidRPr="00DD5403">
          <w:rPr>
            <w:rStyle w:val="Hyperlink"/>
            <w:rFonts w:eastAsiaTheme="majorEastAsia" w:cs="Arial"/>
            <w:noProof/>
          </w:rPr>
          <w:t xml:space="preserve">Figure 115.  </w:t>
        </w:r>
        <w:r w:rsidR="007C215D" w:rsidRPr="00DD5403">
          <w:rPr>
            <w:rStyle w:val="Hyperlink"/>
            <w:rFonts w:eastAsiaTheme="majorEastAsia" w:cs="Arial"/>
            <w:i/>
            <w:noProof/>
          </w:rPr>
          <w:t>Sediment grain size composition at intertidal coastal habitat monitoring sites in the Mackay–Whitsunday region, 1999–2019.</w:t>
        </w:r>
        <w:r w:rsidR="007C215D">
          <w:rPr>
            <w:noProof/>
            <w:webHidden/>
          </w:rPr>
          <w:tab/>
        </w:r>
        <w:r w:rsidR="007C215D">
          <w:rPr>
            <w:noProof/>
            <w:webHidden/>
          </w:rPr>
          <w:fldChar w:fldCharType="begin"/>
        </w:r>
        <w:r w:rsidR="007C215D">
          <w:rPr>
            <w:noProof/>
            <w:webHidden/>
          </w:rPr>
          <w:instrText xml:space="preserve"> PAGEREF _Toc38634219 \h </w:instrText>
        </w:r>
        <w:r w:rsidR="007C215D">
          <w:rPr>
            <w:noProof/>
            <w:webHidden/>
          </w:rPr>
        </w:r>
        <w:r w:rsidR="007C215D">
          <w:rPr>
            <w:noProof/>
            <w:webHidden/>
          </w:rPr>
          <w:fldChar w:fldCharType="separate"/>
        </w:r>
        <w:r w:rsidR="00561C92">
          <w:rPr>
            <w:noProof/>
            <w:webHidden/>
          </w:rPr>
          <w:t>199</w:t>
        </w:r>
        <w:r w:rsidR="007C215D">
          <w:rPr>
            <w:noProof/>
            <w:webHidden/>
          </w:rPr>
          <w:fldChar w:fldCharType="end"/>
        </w:r>
      </w:hyperlink>
    </w:p>
    <w:p w14:paraId="413B8E2C" w14:textId="07B44392"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0" w:history="1">
        <w:r w:rsidR="007C215D" w:rsidRPr="00DD5403">
          <w:rPr>
            <w:rStyle w:val="Hyperlink"/>
            <w:rFonts w:eastAsiaTheme="majorEastAsia" w:cs="Arial"/>
            <w:noProof/>
          </w:rPr>
          <w:t xml:space="preserve">Figure 116.  </w:t>
        </w:r>
        <w:r w:rsidR="007C215D" w:rsidRPr="00DD5403">
          <w:rPr>
            <w:rStyle w:val="Hyperlink"/>
            <w:rFonts w:eastAsiaTheme="majorEastAsia" w:cs="Arial"/>
            <w:i/>
            <w:noProof/>
          </w:rPr>
          <w:t>Sediment grain size composition at intertidal reef habitat monitoring sites in the Mackay–Whitsunday region, 2007–2019.</w:t>
        </w:r>
        <w:r w:rsidR="007C215D">
          <w:rPr>
            <w:noProof/>
            <w:webHidden/>
          </w:rPr>
          <w:tab/>
        </w:r>
        <w:r w:rsidR="007C215D">
          <w:rPr>
            <w:noProof/>
            <w:webHidden/>
          </w:rPr>
          <w:fldChar w:fldCharType="begin"/>
        </w:r>
        <w:r w:rsidR="007C215D">
          <w:rPr>
            <w:noProof/>
            <w:webHidden/>
          </w:rPr>
          <w:instrText xml:space="preserve"> PAGEREF _Toc38634220 \h </w:instrText>
        </w:r>
        <w:r w:rsidR="007C215D">
          <w:rPr>
            <w:noProof/>
            <w:webHidden/>
          </w:rPr>
        </w:r>
        <w:r w:rsidR="007C215D">
          <w:rPr>
            <w:noProof/>
            <w:webHidden/>
          </w:rPr>
          <w:fldChar w:fldCharType="separate"/>
        </w:r>
        <w:r w:rsidR="00561C92">
          <w:rPr>
            <w:noProof/>
            <w:webHidden/>
          </w:rPr>
          <w:t>199</w:t>
        </w:r>
        <w:r w:rsidR="007C215D">
          <w:rPr>
            <w:noProof/>
            <w:webHidden/>
          </w:rPr>
          <w:fldChar w:fldCharType="end"/>
        </w:r>
      </w:hyperlink>
    </w:p>
    <w:p w14:paraId="24CA140A" w14:textId="7AF475F8"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1" w:history="1">
        <w:r w:rsidR="007C215D" w:rsidRPr="00DD5403">
          <w:rPr>
            <w:rStyle w:val="Hyperlink"/>
            <w:rFonts w:eastAsiaTheme="majorEastAsia" w:cs="Arial"/>
            <w:noProof/>
          </w:rPr>
          <w:t xml:space="preserve">Figure 117.  </w:t>
        </w:r>
        <w:r w:rsidR="007C215D" w:rsidRPr="00DD5403">
          <w:rPr>
            <w:rStyle w:val="Hyperlink"/>
            <w:rFonts w:eastAsiaTheme="majorEastAsia" w:cs="Arial"/>
            <w:i/>
            <w:noProof/>
          </w:rPr>
          <w:t>Sediment grain size composition at intertidal estuary habitat monitoring sites in the Fitzroy region, 2005–2019.</w:t>
        </w:r>
        <w:r w:rsidR="007C215D">
          <w:rPr>
            <w:noProof/>
            <w:webHidden/>
          </w:rPr>
          <w:tab/>
        </w:r>
        <w:r w:rsidR="007C215D">
          <w:rPr>
            <w:noProof/>
            <w:webHidden/>
          </w:rPr>
          <w:fldChar w:fldCharType="begin"/>
        </w:r>
        <w:r w:rsidR="007C215D">
          <w:rPr>
            <w:noProof/>
            <w:webHidden/>
          </w:rPr>
          <w:instrText xml:space="preserve"> PAGEREF _Toc38634221 \h </w:instrText>
        </w:r>
        <w:r w:rsidR="007C215D">
          <w:rPr>
            <w:noProof/>
            <w:webHidden/>
          </w:rPr>
        </w:r>
        <w:r w:rsidR="007C215D">
          <w:rPr>
            <w:noProof/>
            <w:webHidden/>
          </w:rPr>
          <w:fldChar w:fldCharType="separate"/>
        </w:r>
        <w:r w:rsidR="00561C92">
          <w:rPr>
            <w:noProof/>
            <w:webHidden/>
          </w:rPr>
          <w:t>200</w:t>
        </w:r>
        <w:r w:rsidR="007C215D">
          <w:rPr>
            <w:noProof/>
            <w:webHidden/>
          </w:rPr>
          <w:fldChar w:fldCharType="end"/>
        </w:r>
      </w:hyperlink>
    </w:p>
    <w:p w14:paraId="776F863E" w14:textId="60C5D69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2" w:history="1">
        <w:r w:rsidR="007C215D" w:rsidRPr="00DD5403">
          <w:rPr>
            <w:rStyle w:val="Hyperlink"/>
            <w:rFonts w:eastAsiaTheme="majorEastAsia" w:cs="Arial"/>
            <w:noProof/>
          </w:rPr>
          <w:t xml:space="preserve">Figure 118.  </w:t>
        </w:r>
        <w:r w:rsidR="007C215D" w:rsidRPr="00DD5403">
          <w:rPr>
            <w:rStyle w:val="Hyperlink"/>
            <w:rFonts w:eastAsiaTheme="majorEastAsia" w:cs="Arial"/>
            <w:i/>
            <w:noProof/>
          </w:rPr>
          <w:t>Sediment grain size composition at intertidal coastal habitat monitoring sites in the Fitzroy region, 2005–2019.</w:t>
        </w:r>
        <w:r w:rsidR="007C215D">
          <w:rPr>
            <w:noProof/>
            <w:webHidden/>
          </w:rPr>
          <w:tab/>
        </w:r>
        <w:r w:rsidR="007C215D">
          <w:rPr>
            <w:noProof/>
            <w:webHidden/>
          </w:rPr>
          <w:fldChar w:fldCharType="begin"/>
        </w:r>
        <w:r w:rsidR="007C215D">
          <w:rPr>
            <w:noProof/>
            <w:webHidden/>
          </w:rPr>
          <w:instrText xml:space="preserve"> PAGEREF _Toc38634222 \h </w:instrText>
        </w:r>
        <w:r w:rsidR="007C215D">
          <w:rPr>
            <w:noProof/>
            <w:webHidden/>
          </w:rPr>
        </w:r>
        <w:r w:rsidR="007C215D">
          <w:rPr>
            <w:noProof/>
            <w:webHidden/>
          </w:rPr>
          <w:fldChar w:fldCharType="separate"/>
        </w:r>
        <w:r w:rsidR="00561C92">
          <w:rPr>
            <w:noProof/>
            <w:webHidden/>
          </w:rPr>
          <w:t>200</w:t>
        </w:r>
        <w:r w:rsidR="007C215D">
          <w:rPr>
            <w:noProof/>
            <w:webHidden/>
          </w:rPr>
          <w:fldChar w:fldCharType="end"/>
        </w:r>
      </w:hyperlink>
    </w:p>
    <w:p w14:paraId="0C7DE4B9" w14:textId="4D7509DC"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3" w:history="1">
        <w:r w:rsidR="007C215D" w:rsidRPr="00DD5403">
          <w:rPr>
            <w:rStyle w:val="Hyperlink"/>
            <w:rFonts w:eastAsiaTheme="majorEastAsia" w:cs="Arial"/>
            <w:noProof/>
          </w:rPr>
          <w:t xml:space="preserve">Figure 119.  </w:t>
        </w:r>
        <w:r w:rsidR="007C215D" w:rsidRPr="00DD5403">
          <w:rPr>
            <w:rStyle w:val="Hyperlink"/>
            <w:rFonts w:eastAsiaTheme="majorEastAsia" w:cs="Arial"/>
            <w:i/>
            <w:noProof/>
          </w:rPr>
          <w:t>Sediment grain size composition at intertidal reef habitat monitoring sites in the Fitzroy region, 2007–2019.</w:t>
        </w:r>
        <w:r w:rsidR="007C215D">
          <w:rPr>
            <w:noProof/>
            <w:webHidden/>
          </w:rPr>
          <w:tab/>
        </w:r>
        <w:r w:rsidR="007C215D">
          <w:rPr>
            <w:noProof/>
            <w:webHidden/>
          </w:rPr>
          <w:fldChar w:fldCharType="begin"/>
        </w:r>
        <w:r w:rsidR="007C215D">
          <w:rPr>
            <w:noProof/>
            <w:webHidden/>
          </w:rPr>
          <w:instrText xml:space="preserve"> PAGEREF _Toc38634223 \h </w:instrText>
        </w:r>
        <w:r w:rsidR="007C215D">
          <w:rPr>
            <w:noProof/>
            <w:webHidden/>
          </w:rPr>
        </w:r>
        <w:r w:rsidR="007C215D">
          <w:rPr>
            <w:noProof/>
            <w:webHidden/>
          </w:rPr>
          <w:fldChar w:fldCharType="separate"/>
        </w:r>
        <w:r w:rsidR="00561C92">
          <w:rPr>
            <w:noProof/>
            <w:webHidden/>
          </w:rPr>
          <w:t>201</w:t>
        </w:r>
        <w:r w:rsidR="007C215D">
          <w:rPr>
            <w:noProof/>
            <w:webHidden/>
          </w:rPr>
          <w:fldChar w:fldCharType="end"/>
        </w:r>
      </w:hyperlink>
    </w:p>
    <w:p w14:paraId="54BC4BC5" w14:textId="60BF413E"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4" w:history="1">
        <w:r w:rsidR="007C215D" w:rsidRPr="00DD5403">
          <w:rPr>
            <w:rStyle w:val="Hyperlink"/>
            <w:rFonts w:eastAsiaTheme="majorEastAsia" w:cs="Arial"/>
            <w:noProof/>
          </w:rPr>
          <w:t xml:space="preserve">Figure 120.  </w:t>
        </w:r>
        <w:r w:rsidR="007C215D" w:rsidRPr="00DD5403">
          <w:rPr>
            <w:rStyle w:val="Hyperlink"/>
            <w:rFonts w:eastAsiaTheme="majorEastAsia" w:cs="Arial"/>
            <w:i/>
            <w:noProof/>
          </w:rPr>
          <w:t>Sediment grain size composition at intertidal estuary habitat monitoring sites in the Burnett–Mary region, 1999–2019.</w:t>
        </w:r>
        <w:r w:rsidR="007C215D">
          <w:rPr>
            <w:noProof/>
            <w:webHidden/>
          </w:rPr>
          <w:tab/>
        </w:r>
        <w:r w:rsidR="007C215D">
          <w:rPr>
            <w:noProof/>
            <w:webHidden/>
          </w:rPr>
          <w:fldChar w:fldCharType="begin"/>
        </w:r>
        <w:r w:rsidR="007C215D">
          <w:rPr>
            <w:noProof/>
            <w:webHidden/>
          </w:rPr>
          <w:instrText xml:space="preserve"> PAGEREF _Toc38634224 \h </w:instrText>
        </w:r>
        <w:r w:rsidR="007C215D">
          <w:rPr>
            <w:noProof/>
            <w:webHidden/>
          </w:rPr>
        </w:r>
        <w:r w:rsidR="007C215D">
          <w:rPr>
            <w:noProof/>
            <w:webHidden/>
          </w:rPr>
          <w:fldChar w:fldCharType="separate"/>
        </w:r>
        <w:r w:rsidR="00561C92">
          <w:rPr>
            <w:noProof/>
            <w:webHidden/>
          </w:rPr>
          <w:t>201</w:t>
        </w:r>
        <w:r w:rsidR="007C215D">
          <w:rPr>
            <w:noProof/>
            <w:webHidden/>
          </w:rPr>
          <w:fldChar w:fldCharType="end"/>
        </w:r>
      </w:hyperlink>
    </w:p>
    <w:p w14:paraId="56B3B81B" w14:textId="0F860A2F" w:rsidR="007C215D" w:rsidRDefault="00D91B0F">
      <w:pPr>
        <w:pStyle w:val="TableofFigures"/>
        <w:tabs>
          <w:tab w:val="right" w:leader="dot" w:pos="9054"/>
        </w:tabs>
        <w:rPr>
          <w:rFonts w:asciiTheme="minorHAnsi" w:eastAsiaTheme="minorEastAsia" w:hAnsiTheme="minorHAnsi" w:cstheme="minorBidi"/>
          <w:noProof/>
          <w:szCs w:val="22"/>
          <w:lang w:eastAsia="en-AU"/>
        </w:rPr>
      </w:pPr>
      <w:hyperlink w:anchor="_Toc38634225" w:history="1">
        <w:r w:rsidR="007C215D" w:rsidRPr="00DD5403">
          <w:rPr>
            <w:rStyle w:val="Hyperlink"/>
            <w:rFonts w:eastAsiaTheme="majorEastAsia" w:cs="Arial"/>
            <w:noProof/>
          </w:rPr>
          <w:t xml:space="preserve">Figure 121. </w:t>
        </w:r>
        <w:r w:rsidR="007C215D" w:rsidRPr="00DD5403">
          <w:rPr>
            <w:rStyle w:val="Hyperlink"/>
            <w:rFonts w:eastAsiaTheme="majorEastAsia" w:cs="Arial"/>
            <w:i/>
            <w:noProof/>
          </w:rPr>
          <w:t>Sediment grain size composition at intertidal coastal habitat monitoring sites in the Burnett–Mary region, 1999–2019.</w:t>
        </w:r>
        <w:r w:rsidR="007C215D">
          <w:rPr>
            <w:noProof/>
            <w:webHidden/>
          </w:rPr>
          <w:tab/>
        </w:r>
        <w:r w:rsidR="007C215D">
          <w:rPr>
            <w:noProof/>
            <w:webHidden/>
          </w:rPr>
          <w:fldChar w:fldCharType="begin"/>
        </w:r>
        <w:r w:rsidR="007C215D">
          <w:rPr>
            <w:noProof/>
            <w:webHidden/>
          </w:rPr>
          <w:instrText xml:space="preserve"> PAGEREF _Toc38634225 \h </w:instrText>
        </w:r>
        <w:r w:rsidR="007C215D">
          <w:rPr>
            <w:noProof/>
            <w:webHidden/>
          </w:rPr>
        </w:r>
        <w:r w:rsidR="007C215D">
          <w:rPr>
            <w:noProof/>
            <w:webHidden/>
          </w:rPr>
          <w:fldChar w:fldCharType="separate"/>
        </w:r>
        <w:r w:rsidR="00561C92">
          <w:rPr>
            <w:noProof/>
            <w:webHidden/>
          </w:rPr>
          <w:t>202</w:t>
        </w:r>
        <w:r w:rsidR="007C215D">
          <w:rPr>
            <w:noProof/>
            <w:webHidden/>
          </w:rPr>
          <w:fldChar w:fldCharType="end"/>
        </w:r>
      </w:hyperlink>
    </w:p>
    <w:p w14:paraId="19010526" w14:textId="3DBB4F39" w:rsidR="001208B3" w:rsidRDefault="004916B0" w:rsidP="001F4593">
      <w:pPr>
        <w:tabs>
          <w:tab w:val="left" w:pos="1134"/>
          <w:tab w:val="left" w:pos="1418"/>
          <w:tab w:val="right" w:leader="dot" w:pos="9072"/>
        </w:tabs>
        <w:ind w:left="567" w:hanging="567"/>
        <w:rPr>
          <w:rFonts w:cs="Arial"/>
          <w:color w:val="000000"/>
          <w:szCs w:val="22"/>
        </w:rPr>
      </w:pPr>
      <w:r>
        <w:rPr>
          <w:rFonts w:cs="Arial"/>
          <w:color w:val="000000"/>
          <w:szCs w:val="22"/>
        </w:rPr>
        <w:fldChar w:fldCharType="end"/>
      </w:r>
    </w:p>
    <w:p w14:paraId="2F9C0CA7" w14:textId="77777777" w:rsidR="001208B3" w:rsidRDefault="001208B3" w:rsidP="001F4593">
      <w:pPr>
        <w:tabs>
          <w:tab w:val="left" w:pos="1134"/>
          <w:tab w:val="left" w:pos="1418"/>
          <w:tab w:val="right" w:leader="dot" w:pos="9072"/>
        </w:tabs>
        <w:ind w:left="567" w:hanging="567"/>
        <w:rPr>
          <w:rFonts w:cs="Arial"/>
          <w:color w:val="000000"/>
          <w:szCs w:val="22"/>
        </w:rPr>
      </w:pPr>
    </w:p>
    <w:p w14:paraId="5168C8BC" w14:textId="3EF09BF6" w:rsidR="001F4593" w:rsidRPr="001208B3" w:rsidRDefault="001F4593" w:rsidP="001208B3">
      <w:pPr>
        <w:rPr>
          <w:rFonts w:cs="Arial"/>
          <w:color w:val="000000" w:themeColor="text1"/>
          <w:szCs w:val="22"/>
        </w:rPr>
      </w:pPr>
      <w:r w:rsidRPr="001208B3">
        <w:rPr>
          <w:rFonts w:cs="Arial"/>
          <w:color w:val="000000" w:themeColor="text1"/>
          <w:szCs w:val="22"/>
        </w:rPr>
        <w:br w:type="page"/>
      </w:r>
    </w:p>
    <w:p w14:paraId="3BE9C271" w14:textId="2E9BFE08" w:rsidR="001F4593" w:rsidRPr="00F63373" w:rsidRDefault="001F4593" w:rsidP="00742F73">
      <w:pPr>
        <w:pStyle w:val="Heading1"/>
        <w:numPr>
          <w:ilvl w:val="0"/>
          <w:numId w:val="0"/>
        </w:numPr>
      </w:pPr>
      <w:bookmarkStart w:id="3" w:name="_Toc37775024"/>
      <w:bookmarkStart w:id="4" w:name="_Toc43986998"/>
      <w:r w:rsidRPr="00F63373">
        <w:lastRenderedPageBreak/>
        <w:t>List of Tables</w:t>
      </w:r>
      <w:bookmarkEnd w:id="3"/>
      <w:bookmarkEnd w:id="4"/>
    </w:p>
    <w:p w14:paraId="316D3560" w14:textId="3C1E7F62" w:rsidR="00931EB8" w:rsidRDefault="00931EB8" w:rsidP="00931EB8"/>
    <w:p w14:paraId="518A2E51" w14:textId="2A3987A9" w:rsidR="00475F7F" w:rsidRDefault="00742F73">
      <w:pPr>
        <w:pStyle w:val="TableofFigures"/>
        <w:tabs>
          <w:tab w:val="right" w:leader="dot" w:pos="9054"/>
        </w:tabs>
        <w:rPr>
          <w:rFonts w:asciiTheme="minorHAnsi" w:eastAsiaTheme="minorEastAsia" w:hAnsiTheme="minorHAnsi" w:cstheme="minorBidi"/>
          <w:noProof/>
          <w:szCs w:val="22"/>
          <w:lang w:eastAsia="en-AU"/>
        </w:rPr>
      </w:pPr>
      <w:r>
        <w:fldChar w:fldCharType="begin"/>
      </w:r>
      <w:r>
        <w:instrText xml:space="preserve"> TOC \h \z \c "Table" </w:instrText>
      </w:r>
      <w:r>
        <w:fldChar w:fldCharType="separate"/>
      </w:r>
      <w:hyperlink w:anchor="_Toc47600675" w:history="1">
        <w:r w:rsidR="00475F7F" w:rsidRPr="004012A8">
          <w:rPr>
            <w:rStyle w:val="Hyperlink"/>
            <w:rFonts w:eastAsiaTheme="majorEastAsia" w:cs="Arial"/>
            <w:noProof/>
          </w:rPr>
          <w:t xml:space="preserve">Table 1. </w:t>
        </w:r>
        <w:r w:rsidR="00475F7F" w:rsidRPr="004012A8">
          <w:rPr>
            <w:rStyle w:val="Hyperlink"/>
            <w:rFonts w:eastAsiaTheme="majorEastAsia" w:cs="Arial"/>
            <w:i/>
            <w:noProof/>
          </w:rPr>
          <w:t xml:space="preserve"> Summary of climate and environment data included in this report</w:t>
        </w:r>
        <w:r w:rsidR="00475F7F">
          <w:rPr>
            <w:noProof/>
            <w:webHidden/>
          </w:rPr>
          <w:tab/>
        </w:r>
        <w:r w:rsidR="00475F7F">
          <w:rPr>
            <w:noProof/>
            <w:webHidden/>
          </w:rPr>
          <w:fldChar w:fldCharType="begin"/>
        </w:r>
        <w:r w:rsidR="00475F7F">
          <w:rPr>
            <w:noProof/>
            <w:webHidden/>
          </w:rPr>
          <w:instrText xml:space="preserve"> PAGEREF _Toc47600675 \h </w:instrText>
        </w:r>
        <w:r w:rsidR="00475F7F">
          <w:rPr>
            <w:noProof/>
            <w:webHidden/>
          </w:rPr>
        </w:r>
        <w:r w:rsidR="00475F7F">
          <w:rPr>
            <w:noProof/>
            <w:webHidden/>
          </w:rPr>
          <w:fldChar w:fldCharType="separate"/>
        </w:r>
        <w:r w:rsidR="00561C92">
          <w:rPr>
            <w:noProof/>
            <w:webHidden/>
          </w:rPr>
          <w:t>25</w:t>
        </w:r>
        <w:r w:rsidR="00475F7F">
          <w:rPr>
            <w:noProof/>
            <w:webHidden/>
          </w:rPr>
          <w:fldChar w:fldCharType="end"/>
        </w:r>
      </w:hyperlink>
    </w:p>
    <w:p w14:paraId="3D1FBB35" w14:textId="68022D8E"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76" w:history="1">
        <w:r w:rsidR="00475F7F" w:rsidRPr="004012A8">
          <w:rPr>
            <w:rStyle w:val="Hyperlink"/>
            <w:rFonts w:eastAsiaTheme="majorEastAsia" w:cs="Arial"/>
            <w:noProof/>
          </w:rPr>
          <w:t>Table 2</w:t>
        </w:r>
        <w:r w:rsidR="00475F7F" w:rsidRPr="004012A8">
          <w:rPr>
            <w:rStyle w:val="Hyperlink"/>
            <w:rFonts w:eastAsiaTheme="majorEastAsia" w:cs="Arial"/>
            <w:i/>
            <w:noProof/>
          </w:rPr>
          <w:t>. Inshore sentinel seagrass long-term monitoring site details including presence of foundation (</w:t>
        </w:r>
        <w:r w:rsidR="00475F7F" w:rsidRPr="004012A8">
          <w:rPr>
            <w:rStyle w:val="Hyperlink"/>
            <w:rFonts w:eastAsiaTheme="majorEastAsia" w:cs="Arial"/>
            <w:noProof/>
          </w:rPr>
          <w:sym w:font="Wingdings" w:char="F06E"/>
        </w:r>
        <w:r w:rsidR="00475F7F" w:rsidRPr="004012A8">
          <w:rPr>
            <w:rStyle w:val="Hyperlink"/>
            <w:rFonts w:eastAsiaTheme="majorEastAsia" w:cs="Arial"/>
            <w:i/>
            <w:noProof/>
          </w:rPr>
          <w:t>) and other (</w:t>
        </w:r>
        <w:r w:rsidR="00475F7F" w:rsidRPr="004012A8">
          <w:rPr>
            <w:rStyle w:val="Hyperlink"/>
            <w:rFonts w:eastAsiaTheme="majorEastAsia" w:cs="Arial"/>
            <w:noProof/>
          </w:rPr>
          <w:sym w:font="Wingdings" w:char="F0A8"/>
        </w:r>
        <w:r w:rsidR="00475F7F" w:rsidRPr="004012A8">
          <w:rPr>
            <w:rStyle w:val="Hyperlink"/>
            <w:rFonts w:eastAsiaTheme="majorEastAsia" w:cs="Arial"/>
            <w:i/>
            <w:noProof/>
          </w:rPr>
          <w:t>) seagrass species</w:t>
        </w:r>
        <w:r w:rsidR="00475F7F">
          <w:rPr>
            <w:noProof/>
            <w:webHidden/>
          </w:rPr>
          <w:tab/>
        </w:r>
        <w:r w:rsidR="00475F7F">
          <w:rPr>
            <w:noProof/>
            <w:webHidden/>
          </w:rPr>
          <w:fldChar w:fldCharType="begin"/>
        </w:r>
        <w:r w:rsidR="00475F7F">
          <w:rPr>
            <w:noProof/>
            <w:webHidden/>
          </w:rPr>
          <w:instrText xml:space="preserve"> PAGEREF _Toc47600676 \h </w:instrText>
        </w:r>
        <w:r w:rsidR="00475F7F">
          <w:rPr>
            <w:noProof/>
            <w:webHidden/>
          </w:rPr>
        </w:r>
        <w:r w:rsidR="00475F7F">
          <w:rPr>
            <w:noProof/>
            <w:webHidden/>
          </w:rPr>
          <w:fldChar w:fldCharType="separate"/>
        </w:r>
        <w:r w:rsidR="00561C92">
          <w:rPr>
            <w:noProof/>
            <w:webHidden/>
          </w:rPr>
          <w:t>29</w:t>
        </w:r>
        <w:r w:rsidR="00475F7F">
          <w:rPr>
            <w:noProof/>
            <w:webHidden/>
          </w:rPr>
          <w:fldChar w:fldCharType="end"/>
        </w:r>
      </w:hyperlink>
    </w:p>
    <w:p w14:paraId="055DBBAC" w14:textId="416FB5B6"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77" w:history="1">
        <w:r w:rsidR="00475F7F" w:rsidRPr="004012A8">
          <w:rPr>
            <w:rStyle w:val="Hyperlink"/>
            <w:rFonts w:eastAsiaTheme="majorEastAsia" w:cs="Arial"/>
            <w:noProof/>
          </w:rPr>
          <w:t>Table 3</w:t>
        </w:r>
        <w:r w:rsidR="00475F7F" w:rsidRPr="004012A8">
          <w:rPr>
            <w:rStyle w:val="Hyperlink"/>
            <w:rFonts w:eastAsiaTheme="majorEastAsia" w:cs="Arial"/>
            <w:i/>
            <w:noProof/>
          </w:rPr>
          <w:t>. Additional inshore sentinel seagrass long-term monitoring sites integrated from the Seagrass-Watch (intertidal sites)* and QPWS drop-camera (subtidal sites)^ programs, including presence of foundation (</w:t>
        </w:r>
        <w:r w:rsidR="00475F7F" w:rsidRPr="004012A8">
          <w:rPr>
            <w:rStyle w:val="Hyperlink"/>
            <w:rFonts w:eastAsiaTheme="majorEastAsia" w:cs="Arial"/>
            <w:noProof/>
          </w:rPr>
          <w:sym w:font="Wingdings" w:char="F06E"/>
        </w:r>
        <w:r w:rsidR="00475F7F" w:rsidRPr="004012A8">
          <w:rPr>
            <w:rStyle w:val="Hyperlink"/>
            <w:rFonts w:eastAsiaTheme="majorEastAsia" w:cs="Arial"/>
            <w:i/>
            <w:noProof/>
          </w:rPr>
          <w:t>) and other (</w:t>
        </w:r>
        <w:r w:rsidR="00475F7F" w:rsidRPr="004012A8">
          <w:rPr>
            <w:rStyle w:val="Hyperlink"/>
            <w:rFonts w:eastAsiaTheme="majorEastAsia" w:cs="Arial"/>
            <w:noProof/>
          </w:rPr>
          <w:sym w:font="Wingdings" w:char="F0A8"/>
        </w:r>
        <w:r w:rsidR="00475F7F" w:rsidRPr="004012A8">
          <w:rPr>
            <w:rStyle w:val="Hyperlink"/>
            <w:rFonts w:eastAsiaTheme="majorEastAsia" w:cs="Arial"/>
            <w:i/>
            <w:noProof/>
          </w:rPr>
          <w:t>) seagrass species.</w:t>
        </w:r>
        <w:r w:rsidR="00475F7F">
          <w:rPr>
            <w:noProof/>
            <w:webHidden/>
          </w:rPr>
          <w:tab/>
        </w:r>
        <w:r w:rsidR="00475F7F">
          <w:rPr>
            <w:noProof/>
            <w:webHidden/>
          </w:rPr>
          <w:fldChar w:fldCharType="begin"/>
        </w:r>
        <w:r w:rsidR="00475F7F">
          <w:rPr>
            <w:noProof/>
            <w:webHidden/>
          </w:rPr>
          <w:instrText xml:space="preserve"> PAGEREF _Toc47600677 \h </w:instrText>
        </w:r>
        <w:r w:rsidR="00475F7F">
          <w:rPr>
            <w:noProof/>
            <w:webHidden/>
          </w:rPr>
        </w:r>
        <w:r w:rsidR="00475F7F">
          <w:rPr>
            <w:noProof/>
            <w:webHidden/>
          </w:rPr>
          <w:fldChar w:fldCharType="separate"/>
        </w:r>
        <w:r w:rsidR="00561C92">
          <w:rPr>
            <w:noProof/>
            <w:webHidden/>
          </w:rPr>
          <w:t>30</w:t>
        </w:r>
        <w:r w:rsidR="00475F7F">
          <w:rPr>
            <w:noProof/>
            <w:webHidden/>
          </w:rPr>
          <w:fldChar w:fldCharType="end"/>
        </w:r>
      </w:hyperlink>
    </w:p>
    <w:p w14:paraId="77F559AC" w14:textId="78E2FA84"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78" w:history="1">
        <w:r w:rsidR="00475F7F" w:rsidRPr="004012A8">
          <w:rPr>
            <w:rStyle w:val="Hyperlink"/>
            <w:rFonts w:eastAsiaTheme="majorEastAsia" w:cs="Arial"/>
            <w:noProof/>
          </w:rPr>
          <w:t xml:space="preserve">Table 4. </w:t>
        </w:r>
        <w:r w:rsidR="00475F7F" w:rsidRPr="004012A8">
          <w:rPr>
            <w:rStyle w:val="Hyperlink"/>
            <w:rFonts w:eastAsiaTheme="majorEastAsia" w:cs="Arial"/>
            <w:i/>
            <w:noProof/>
          </w:rPr>
          <w:t>Scoring threshold table to determine seagrass abundance status.</w:t>
        </w:r>
        <w:r w:rsidR="00475F7F">
          <w:rPr>
            <w:noProof/>
            <w:webHidden/>
          </w:rPr>
          <w:tab/>
        </w:r>
        <w:r w:rsidR="00475F7F">
          <w:rPr>
            <w:noProof/>
            <w:webHidden/>
          </w:rPr>
          <w:fldChar w:fldCharType="begin"/>
        </w:r>
        <w:r w:rsidR="00475F7F">
          <w:rPr>
            <w:noProof/>
            <w:webHidden/>
          </w:rPr>
          <w:instrText xml:space="preserve"> PAGEREF _Toc47600678 \h </w:instrText>
        </w:r>
        <w:r w:rsidR="00475F7F">
          <w:rPr>
            <w:noProof/>
            <w:webHidden/>
          </w:rPr>
        </w:r>
        <w:r w:rsidR="00475F7F">
          <w:rPr>
            <w:noProof/>
            <w:webHidden/>
          </w:rPr>
          <w:fldChar w:fldCharType="separate"/>
        </w:r>
        <w:r w:rsidR="00561C92">
          <w:rPr>
            <w:noProof/>
            <w:webHidden/>
          </w:rPr>
          <w:t>34</w:t>
        </w:r>
        <w:r w:rsidR="00475F7F">
          <w:rPr>
            <w:noProof/>
            <w:webHidden/>
          </w:rPr>
          <w:fldChar w:fldCharType="end"/>
        </w:r>
      </w:hyperlink>
    </w:p>
    <w:p w14:paraId="1A7E116D" w14:textId="16F60DCF"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79" w:history="1">
        <w:r w:rsidR="00475F7F" w:rsidRPr="004012A8">
          <w:rPr>
            <w:rStyle w:val="Hyperlink"/>
            <w:rFonts w:eastAsiaTheme="majorEastAsia" w:cs="Arial"/>
            <w:noProof/>
          </w:rPr>
          <w:t xml:space="preserve">Table 5. </w:t>
        </w:r>
        <w:r w:rsidR="00475F7F" w:rsidRPr="004012A8">
          <w:rPr>
            <w:rStyle w:val="Hyperlink"/>
            <w:rFonts w:eastAsiaTheme="majorEastAsia" w:cs="Arial"/>
            <w:i/>
            <w:noProof/>
          </w:rPr>
          <w:t xml:space="preserve">Scores for </w:t>
        </w:r>
        <w:r w:rsidR="00475F7F" w:rsidRPr="004012A8">
          <w:rPr>
            <w:rStyle w:val="Hyperlink"/>
            <w:rFonts w:eastAsiaTheme="majorEastAsia" w:cs="Arial"/>
            <w:i/>
            <w:iCs/>
            <w:noProof/>
            <w:lang w:eastAsia="en-AU"/>
          </w:rPr>
          <w:t xml:space="preserve">late dry </w:t>
        </w:r>
        <w:r w:rsidR="00475F7F" w:rsidRPr="004012A8">
          <w:rPr>
            <w:rStyle w:val="Hyperlink"/>
            <w:rFonts w:eastAsiaTheme="majorEastAsia" w:cs="Arial"/>
            <w:i/>
            <w:noProof/>
          </w:rPr>
          <w:t>monitoring period reproductive effort average against Reef habitat baseline. NB: scores are unitless.</w:t>
        </w:r>
        <w:r w:rsidR="00475F7F">
          <w:rPr>
            <w:noProof/>
            <w:webHidden/>
          </w:rPr>
          <w:tab/>
        </w:r>
        <w:r w:rsidR="00475F7F">
          <w:rPr>
            <w:noProof/>
            <w:webHidden/>
          </w:rPr>
          <w:fldChar w:fldCharType="begin"/>
        </w:r>
        <w:r w:rsidR="00475F7F">
          <w:rPr>
            <w:noProof/>
            <w:webHidden/>
          </w:rPr>
          <w:instrText xml:space="preserve"> PAGEREF _Toc47600679 \h </w:instrText>
        </w:r>
        <w:r w:rsidR="00475F7F">
          <w:rPr>
            <w:noProof/>
            <w:webHidden/>
          </w:rPr>
        </w:r>
        <w:r w:rsidR="00475F7F">
          <w:rPr>
            <w:noProof/>
            <w:webHidden/>
          </w:rPr>
          <w:fldChar w:fldCharType="separate"/>
        </w:r>
        <w:r w:rsidR="00561C92">
          <w:rPr>
            <w:noProof/>
            <w:webHidden/>
          </w:rPr>
          <w:t>34</w:t>
        </w:r>
        <w:r w:rsidR="00475F7F">
          <w:rPr>
            <w:noProof/>
            <w:webHidden/>
          </w:rPr>
          <w:fldChar w:fldCharType="end"/>
        </w:r>
      </w:hyperlink>
    </w:p>
    <w:p w14:paraId="716F3279" w14:textId="05FFF8B0"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0" w:history="1">
        <w:r w:rsidR="00475F7F" w:rsidRPr="004012A8">
          <w:rPr>
            <w:rStyle w:val="Hyperlink"/>
            <w:rFonts w:eastAsiaTheme="majorEastAsia" w:cs="Arial"/>
            <w:noProof/>
          </w:rPr>
          <w:t xml:space="preserve">Table 6. </w:t>
        </w:r>
        <w:r w:rsidR="00475F7F" w:rsidRPr="004012A8">
          <w:rPr>
            <w:rStyle w:val="Hyperlink"/>
            <w:rFonts w:eastAsiaTheme="majorEastAsia" w:cs="Arial"/>
            <w:i/>
            <w:noProof/>
          </w:rPr>
          <w:t>Scores for leaf tissue C:N against guideline to determine light and nutrient availability. NB: scores are unitless.</w:t>
        </w:r>
        <w:r w:rsidR="00475F7F">
          <w:rPr>
            <w:noProof/>
            <w:webHidden/>
          </w:rPr>
          <w:tab/>
        </w:r>
        <w:r w:rsidR="00475F7F">
          <w:rPr>
            <w:noProof/>
            <w:webHidden/>
          </w:rPr>
          <w:fldChar w:fldCharType="begin"/>
        </w:r>
        <w:r w:rsidR="00475F7F">
          <w:rPr>
            <w:noProof/>
            <w:webHidden/>
          </w:rPr>
          <w:instrText xml:space="preserve"> PAGEREF _Toc47600680 \h </w:instrText>
        </w:r>
        <w:r w:rsidR="00475F7F">
          <w:rPr>
            <w:noProof/>
            <w:webHidden/>
          </w:rPr>
        </w:r>
        <w:r w:rsidR="00475F7F">
          <w:rPr>
            <w:noProof/>
            <w:webHidden/>
          </w:rPr>
          <w:fldChar w:fldCharType="separate"/>
        </w:r>
        <w:r w:rsidR="00561C92">
          <w:rPr>
            <w:noProof/>
            <w:webHidden/>
          </w:rPr>
          <w:t>35</w:t>
        </w:r>
        <w:r w:rsidR="00475F7F">
          <w:rPr>
            <w:noProof/>
            <w:webHidden/>
          </w:rPr>
          <w:fldChar w:fldCharType="end"/>
        </w:r>
      </w:hyperlink>
    </w:p>
    <w:p w14:paraId="51F04EC8" w14:textId="4BB471E6"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1" w:history="1">
        <w:r w:rsidR="00475F7F" w:rsidRPr="004012A8">
          <w:rPr>
            <w:rStyle w:val="Hyperlink"/>
            <w:rFonts w:eastAsiaTheme="majorEastAsia" w:cs="Arial"/>
            <w:noProof/>
          </w:rPr>
          <w:t xml:space="preserve">Table 7. </w:t>
        </w:r>
        <w:r w:rsidR="00475F7F" w:rsidRPr="004012A8">
          <w:rPr>
            <w:rStyle w:val="Hyperlink"/>
            <w:rFonts w:eastAsiaTheme="majorEastAsia" w:cs="Arial"/>
            <w:i/>
            <w:noProof/>
          </w:rPr>
          <w:t>Area of seagrass shallower than 15 m in each region within the boundaries of the World Heritage Area.</w:t>
        </w:r>
        <w:r w:rsidR="00475F7F">
          <w:rPr>
            <w:noProof/>
            <w:webHidden/>
          </w:rPr>
          <w:tab/>
        </w:r>
        <w:r w:rsidR="00475F7F">
          <w:rPr>
            <w:noProof/>
            <w:webHidden/>
          </w:rPr>
          <w:fldChar w:fldCharType="begin"/>
        </w:r>
        <w:r w:rsidR="00475F7F">
          <w:rPr>
            <w:noProof/>
            <w:webHidden/>
          </w:rPr>
          <w:instrText xml:space="preserve"> PAGEREF _Toc47600681 \h </w:instrText>
        </w:r>
        <w:r w:rsidR="00475F7F">
          <w:rPr>
            <w:noProof/>
            <w:webHidden/>
          </w:rPr>
        </w:r>
        <w:r w:rsidR="00475F7F">
          <w:rPr>
            <w:noProof/>
            <w:webHidden/>
          </w:rPr>
          <w:fldChar w:fldCharType="separate"/>
        </w:r>
        <w:r w:rsidR="00561C92">
          <w:rPr>
            <w:noProof/>
            <w:webHidden/>
          </w:rPr>
          <w:t>35</w:t>
        </w:r>
        <w:r w:rsidR="00475F7F">
          <w:rPr>
            <w:noProof/>
            <w:webHidden/>
          </w:rPr>
          <w:fldChar w:fldCharType="end"/>
        </w:r>
      </w:hyperlink>
    </w:p>
    <w:p w14:paraId="0B0B2E32" w14:textId="52BADE1C"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2" w:history="1">
        <w:r w:rsidR="00475F7F" w:rsidRPr="004012A8">
          <w:rPr>
            <w:rStyle w:val="Hyperlink"/>
            <w:rFonts w:eastAsiaTheme="majorEastAsia" w:cs="Arial"/>
            <w:noProof/>
          </w:rPr>
          <w:t xml:space="preserve">Table 8. </w:t>
        </w:r>
        <w:r w:rsidR="00475F7F" w:rsidRPr="004012A8">
          <w:rPr>
            <w:rStyle w:val="Hyperlink"/>
            <w:rFonts w:eastAsiaTheme="majorEastAsia" w:cs="Arial"/>
            <w:i/>
            <w:noProof/>
          </w:rPr>
          <w:t>Summary of environmental conditions at monitoring sites across the Reef in 2018-19 compared to the long-term average</w:t>
        </w:r>
        <w:r w:rsidR="00475F7F">
          <w:rPr>
            <w:noProof/>
            <w:webHidden/>
          </w:rPr>
          <w:tab/>
        </w:r>
        <w:r w:rsidR="00475F7F">
          <w:rPr>
            <w:noProof/>
            <w:webHidden/>
          </w:rPr>
          <w:fldChar w:fldCharType="begin"/>
        </w:r>
        <w:r w:rsidR="00475F7F">
          <w:rPr>
            <w:noProof/>
            <w:webHidden/>
          </w:rPr>
          <w:instrText xml:space="preserve"> PAGEREF _Toc47600682 \h </w:instrText>
        </w:r>
        <w:r w:rsidR="00475F7F">
          <w:rPr>
            <w:noProof/>
            <w:webHidden/>
          </w:rPr>
        </w:r>
        <w:r w:rsidR="00475F7F">
          <w:rPr>
            <w:noProof/>
            <w:webHidden/>
          </w:rPr>
          <w:fldChar w:fldCharType="separate"/>
        </w:r>
        <w:r w:rsidR="00561C92">
          <w:rPr>
            <w:noProof/>
            <w:webHidden/>
          </w:rPr>
          <w:t>37</w:t>
        </w:r>
        <w:r w:rsidR="00475F7F">
          <w:rPr>
            <w:noProof/>
            <w:webHidden/>
          </w:rPr>
          <w:fldChar w:fldCharType="end"/>
        </w:r>
      </w:hyperlink>
    </w:p>
    <w:p w14:paraId="46F7D7FB" w14:textId="1B59CBC2"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3" w:history="1">
        <w:r w:rsidR="00475F7F" w:rsidRPr="004012A8">
          <w:rPr>
            <w:rStyle w:val="Hyperlink"/>
            <w:rFonts w:eastAsiaTheme="majorEastAsia" w:cs="Arial"/>
            <w:i/>
            <w:noProof/>
          </w:rPr>
          <w:t>Table 9.</w:t>
        </w:r>
        <w:r w:rsidR="00475F7F" w:rsidRPr="004012A8">
          <w:rPr>
            <w:rStyle w:val="Hyperlink"/>
            <w:rFonts w:eastAsiaTheme="majorEastAsia" w:cs="Arial"/>
            <w:noProof/>
          </w:rPr>
          <w:t xml:space="preserve"> </w:t>
        </w:r>
        <w:r w:rsidR="00475F7F" w:rsidRPr="004012A8">
          <w:rPr>
            <w:rStyle w:val="Hyperlink"/>
            <w:rFonts w:eastAsiaTheme="majorEastAsia" w:cs="Arial"/>
            <w:i/>
            <w:noProof/>
          </w:rPr>
          <w:t>Annual water year discharge (ML) of the main GBR rivers (1 October 2017 to 30 September 2018, inclusive) compared to the previous seven wet seasons and long-term (LT) median discharge (1986–87 to 2018–19).</w:t>
        </w:r>
        <w:r w:rsidR="00475F7F">
          <w:rPr>
            <w:noProof/>
            <w:webHidden/>
          </w:rPr>
          <w:tab/>
        </w:r>
        <w:r w:rsidR="00475F7F">
          <w:rPr>
            <w:noProof/>
            <w:webHidden/>
          </w:rPr>
          <w:fldChar w:fldCharType="begin"/>
        </w:r>
        <w:r w:rsidR="00475F7F">
          <w:rPr>
            <w:noProof/>
            <w:webHidden/>
          </w:rPr>
          <w:instrText xml:space="preserve"> PAGEREF _Toc47600683 \h </w:instrText>
        </w:r>
        <w:r w:rsidR="00475F7F">
          <w:rPr>
            <w:noProof/>
            <w:webHidden/>
          </w:rPr>
        </w:r>
        <w:r w:rsidR="00475F7F">
          <w:rPr>
            <w:noProof/>
            <w:webHidden/>
          </w:rPr>
          <w:fldChar w:fldCharType="separate"/>
        </w:r>
        <w:r w:rsidR="00561C92">
          <w:rPr>
            <w:noProof/>
            <w:webHidden/>
          </w:rPr>
          <w:t>40</w:t>
        </w:r>
        <w:r w:rsidR="00475F7F">
          <w:rPr>
            <w:noProof/>
            <w:webHidden/>
          </w:rPr>
          <w:fldChar w:fldCharType="end"/>
        </w:r>
      </w:hyperlink>
    </w:p>
    <w:p w14:paraId="2D258B48" w14:textId="7759515C"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4" w:history="1">
        <w:r w:rsidR="00475F7F" w:rsidRPr="004012A8">
          <w:rPr>
            <w:rStyle w:val="Hyperlink"/>
            <w:rFonts w:eastAsiaTheme="majorEastAsia" w:cs="Arial"/>
            <w:noProof/>
          </w:rPr>
          <w:t xml:space="preserve">Table 10. </w:t>
        </w:r>
        <w:r w:rsidR="00475F7F" w:rsidRPr="004012A8">
          <w:rPr>
            <w:rStyle w:val="Hyperlink"/>
            <w:rFonts w:eastAsiaTheme="majorEastAsia" w:cs="Arial"/>
            <w:i/>
            <w:noProof/>
          </w:rPr>
          <w:t>Long-term average (±SE) sediment composition for each seagrass habitat (pooled across regions and time) monitoring within the Reef (1999–2018). *only 4 years of data.</w:t>
        </w:r>
        <w:r w:rsidR="00475F7F">
          <w:rPr>
            <w:noProof/>
            <w:webHidden/>
          </w:rPr>
          <w:tab/>
        </w:r>
        <w:r w:rsidR="00475F7F">
          <w:rPr>
            <w:noProof/>
            <w:webHidden/>
          </w:rPr>
          <w:fldChar w:fldCharType="begin"/>
        </w:r>
        <w:r w:rsidR="00475F7F">
          <w:rPr>
            <w:noProof/>
            <w:webHidden/>
          </w:rPr>
          <w:instrText xml:space="preserve"> PAGEREF _Toc47600684 \h </w:instrText>
        </w:r>
        <w:r w:rsidR="00475F7F">
          <w:rPr>
            <w:noProof/>
            <w:webHidden/>
          </w:rPr>
        </w:r>
        <w:r w:rsidR="00475F7F">
          <w:rPr>
            <w:noProof/>
            <w:webHidden/>
          </w:rPr>
          <w:fldChar w:fldCharType="separate"/>
        </w:r>
        <w:r w:rsidR="00561C92">
          <w:rPr>
            <w:noProof/>
            <w:webHidden/>
          </w:rPr>
          <w:t>46</w:t>
        </w:r>
        <w:r w:rsidR="00475F7F">
          <w:rPr>
            <w:noProof/>
            <w:webHidden/>
          </w:rPr>
          <w:fldChar w:fldCharType="end"/>
        </w:r>
      </w:hyperlink>
    </w:p>
    <w:p w14:paraId="145D0D7E" w14:textId="325FCF0B"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5" w:history="1">
        <w:r w:rsidR="00475F7F" w:rsidRPr="004012A8">
          <w:rPr>
            <w:rStyle w:val="Hyperlink"/>
            <w:rFonts w:eastAsiaTheme="majorEastAsia" w:cs="Arial"/>
            <w:noProof/>
          </w:rPr>
          <w:t xml:space="preserve">Table 11. </w:t>
        </w:r>
        <w:r w:rsidR="00475F7F" w:rsidRPr="004012A8">
          <w:rPr>
            <w:rStyle w:val="Hyperlink"/>
            <w:rFonts w:eastAsiaTheme="majorEastAsia" w:cs="Arial"/>
            <w:i/>
            <w:noProof/>
          </w:rPr>
          <w:t>List of data sources of seagrass and environmental condition indicators for each seagrass habitat type in the Cape York NRM region</w:t>
        </w:r>
        <w:r w:rsidR="00475F7F">
          <w:rPr>
            <w:noProof/>
            <w:webHidden/>
          </w:rPr>
          <w:tab/>
        </w:r>
        <w:r w:rsidR="00475F7F">
          <w:rPr>
            <w:noProof/>
            <w:webHidden/>
          </w:rPr>
          <w:fldChar w:fldCharType="begin"/>
        </w:r>
        <w:r w:rsidR="00475F7F">
          <w:rPr>
            <w:noProof/>
            <w:webHidden/>
          </w:rPr>
          <w:instrText xml:space="preserve"> PAGEREF _Toc47600685 \h </w:instrText>
        </w:r>
        <w:r w:rsidR="00475F7F">
          <w:rPr>
            <w:noProof/>
            <w:webHidden/>
          </w:rPr>
        </w:r>
        <w:r w:rsidR="00475F7F">
          <w:rPr>
            <w:noProof/>
            <w:webHidden/>
          </w:rPr>
          <w:fldChar w:fldCharType="separate"/>
        </w:r>
        <w:r w:rsidR="00561C92">
          <w:rPr>
            <w:noProof/>
            <w:webHidden/>
          </w:rPr>
          <w:t>62</w:t>
        </w:r>
        <w:r w:rsidR="00475F7F">
          <w:rPr>
            <w:noProof/>
            <w:webHidden/>
          </w:rPr>
          <w:fldChar w:fldCharType="end"/>
        </w:r>
      </w:hyperlink>
    </w:p>
    <w:p w14:paraId="50DB676D" w14:textId="774B09DC"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6" w:history="1">
        <w:r w:rsidR="00475F7F" w:rsidRPr="004012A8">
          <w:rPr>
            <w:rStyle w:val="Hyperlink"/>
            <w:rFonts w:eastAsiaTheme="majorEastAsia" w:cs="Arial"/>
            <w:noProof/>
          </w:rPr>
          <w:t xml:space="preserve">Table 12. </w:t>
        </w:r>
        <w:r w:rsidR="00475F7F" w:rsidRPr="004012A8">
          <w:rPr>
            <w:rStyle w:val="Hyperlink"/>
            <w:rFonts w:eastAsiaTheme="majorEastAsia" w:cs="Arial"/>
            <w:i/>
            <w:noProof/>
          </w:rPr>
          <w:t>List of data sources of seagrass and environmental condition indicators for each seagrass habitat type in the Wet Tropics NRM region.</w:t>
        </w:r>
        <w:r w:rsidR="00475F7F">
          <w:rPr>
            <w:noProof/>
            <w:webHidden/>
          </w:rPr>
          <w:tab/>
        </w:r>
        <w:r w:rsidR="00475F7F">
          <w:rPr>
            <w:noProof/>
            <w:webHidden/>
          </w:rPr>
          <w:fldChar w:fldCharType="begin"/>
        </w:r>
        <w:r w:rsidR="00475F7F">
          <w:rPr>
            <w:noProof/>
            <w:webHidden/>
          </w:rPr>
          <w:instrText xml:space="preserve"> PAGEREF _Toc47600686 \h </w:instrText>
        </w:r>
        <w:r w:rsidR="00475F7F">
          <w:rPr>
            <w:noProof/>
            <w:webHidden/>
          </w:rPr>
        </w:r>
        <w:r w:rsidR="00475F7F">
          <w:rPr>
            <w:noProof/>
            <w:webHidden/>
          </w:rPr>
          <w:fldChar w:fldCharType="separate"/>
        </w:r>
        <w:r w:rsidR="00561C92">
          <w:rPr>
            <w:noProof/>
            <w:webHidden/>
          </w:rPr>
          <w:t>74</w:t>
        </w:r>
        <w:r w:rsidR="00475F7F">
          <w:rPr>
            <w:noProof/>
            <w:webHidden/>
          </w:rPr>
          <w:fldChar w:fldCharType="end"/>
        </w:r>
      </w:hyperlink>
    </w:p>
    <w:p w14:paraId="0C1B9379" w14:textId="66ECFE88"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7" w:history="1">
        <w:r w:rsidR="00475F7F" w:rsidRPr="004012A8">
          <w:rPr>
            <w:rStyle w:val="Hyperlink"/>
            <w:rFonts w:eastAsiaTheme="majorEastAsia" w:cs="Arial"/>
            <w:noProof/>
          </w:rPr>
          <w:t xml:space="preserve">Table 13. </w:t>
        </w:r>
        <w:r w:rsidR="00475F7F" w:rsidRPr="004012A8">
          <w:rPr>
            <w:rStyle w:val="Hyperlink"/>
            <w:rFonts w:eastAsiaTheme="majorEastAsia" w:cs="Arial"/>
            <w:i/>
            <w:noProof/>
          </w:rPr>
          <w:t>List of data sources of seagrass and environmental condition indicators for each seagrass habitat type in the Burdekin NRM region.</w:t>
        </w:r>
        <w:r w:rsidR="00475F7F">
          <w:rPr>
            <w:noProof/>
            <w:webHidden/>
          </w:rPr>
          <w:tab/>
        </w:r>
        <w:r w:rsidR="00475F7F">
          <w:rPr>
            <w:noProof/>
            <w:webHidden/>
          </w:rPr>
          <w:fldChar w:fldCharType="begin"/>
        </w:r>
        <w:r w:rsidR="00475F7F">
          <w:rPr>
            <w:noProof/>
            <w:webHidden/>
          </w:rPr>
          <w:instrText xml:space="preserve"> PAGEREF _Toc47600687 \h </w:instrText>
        </w:r>
        <w:r w:rsidR="00475F7F">
          <w:rPr>
            <w:noProof/>
            <w:webHidden/>
          </w:rPr>
        </w:r>
        <w:r w:rsidR="00475F7F">
          <w:rPr>
            <w:noProof/>
            <w:webHidden/>
          </w:rPr>
          <w:fldChar w:fldCharType="separate"/>
        </w:r>
        <w:r w:rsidR="00561C92">
          <w:rPr>
            <w:noProof/>
            <w:webHidden/>
          </w:rPr>
          <w:t>89</w:t>
        </w:r>
        <w:r w:rsidR="00475F7F">
          <w:rPr>
            <w:noProof/>
            <w:webHidden/>
          </w:rPr>
          <w:fldChar w:fldCharType="end"/>
        </w:r>
      </w:hyperlink>
    </w:p>
    <w:p w14:paraId="18F53864" w14:textId="699BE053"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8" w:history="1">
        <w:r w:rsidR="00475F7F" w:rsidRPr="004012A8">
          <w:rPr>
            <w:rStyle w:val="Hyperlink"/>
            <w:rFonts w:eastAsiaTheme="majorEastAsia" w:cs="Arial"/>
            <w:noProof/>
          </w:rPr>
          <w:t xml:space="preserve">Table 14. </w:t>
        </w:r>
        <w:r w:rsidR="00475F7F" w:rsidRPr="004012A8">
          <w:rPr>
            <w:rStyle w:val="Hyperlink"/>
            <w:rFonts w:eastAsiaTheme="majorEastAsia" w:cs="Arial"/>
            <w:i/>
            <w:noProof/>
          </w:rPr>
          <w:t>List of data sources of seagrass and environmental condition indicators for each seagrass habitat type in the Mackay–Whitsunday NRM region.</w:t>
        </w:r>
        <w:r w:rsidR="00475F7F">
          <w:rPr>
            <w:noProof/>
            <w:webHidden/>
          </w:rPr>
          <w:tab/>
        </w:r>
        <w:r w:rsidR="00475F7F">
          <w:rPr>
            <w:noProof/>
            <w:webHidden/>
          </w:rPr>
          <w:fldChar w:fldCharType="begin"/>
        </w:r>
        <w:r w:rsidR="00475F7F">
          <w:rPr>
            <w:noProof/>
            <w:webHidden/>
          </w:rPr>
          <w:instrText xml:space="preserve"> PAGEREF _Toc47600688 \h </w:instrText>
        </w:r>
        <w:r w:rsidR="00475F7F">
          <w:rPr>
            <w:noProof/>
            <w:webHidden/>
          </w:rPr>
        </w:r>
        <w:r w:rsidR="00475F7F">
          <w:rPr>
            <w:noProof/>
            <w:webHidden/>
          </w:rPr>
          <w:fldChar w:fldCharType="separate"/>
        </w:r>
        <w:r w:rsidR="00561C92">
          <w:rPr>
            <w:noProof/>
            <w:webHidden/>
          </w:rPr>
          <w:t>99</w:t>
        </w:r>
        <w:r w:rsidR="00475F7F">
          <w:rPr>
            <w:noProof/>
            <w:webHidden/>
          </w:rPr>
          <w:fldChar w:fldCharType="end"/>
        </w:r>
      </w:hyperlink>
    </w:p>
    <w:p w14:paraId="128106FC" w14:textId="6D4DFC1C"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89" w:history="1">
        <w:r w:rsidR="00475F7F" w:rsidRPr="004012A8">
          <w:rPr>
            <w:rStyle w:val="Hyperlink"/>
            <w:rFonts w:eastAsiaTheme="majorEastAsia" w:cs="Arial"/>
            <w:noProof/>
          </w:rPr>
          <w:t xml:space="preserve">Table 15. </w:t>
        </w:r>
        <w:r w:rsidR="00475F7F" w:rsidRPr="004012A8">
          <w:rPr>
            <w:rStyle w:val="Hyperlink"/>
            <w:rFonts w:eastAsiaTheme="majorEastAsia" w:cs="Arial"/>
            <w:i/>
            <w:noProof/>
          </w:rPr>
          <w:t>List of data sources of seagrass and environmental condition indicators for each seagrass habitat type in the Fitzroy NRM region.</w:t>
        </w:r>
        <w:r w:rsidR="00475F7F">
          <w:rPr>
            <w:noProof/>
            <w:webHidden/>
          </w:rPr>
          <w:tab/>
        </w:r>
        <w:r w:rsidR="00475F7F">
          <w:rPr>
            <w:noProof/>
            <w:webHidden/>
          </w:rPr>
          <w:fldChar w:fldCharType="begin"/>
        </w:r>
        <w:r w:rsidR="00475F7F">
          <w:rPr>
            <w:noProof/>
            <w:webHidden/>
          </w:rPr>
          <w:instrText xml:space="preserve"> PAGEREF _Toc47600689 \h </w:instrText>
        </w:r>
        <w:r w:rsidR="00475F7F">
          <w:rPr>
            <w:noProof/>
            <w:webHidden/>
          </w:rPr>
        </w:r>
        <w:r w:rsidR="00475F7F">
          <w:rPr>
            <w:noProof/>
            <w:webHidden/>
          </w:rPr>
          <w:fldChar w:fldCharType="separate"/>
        </w:r>
        <w:r w:rsidR="00561C92">
          <w:rPr>
            <w:noProof/>
            <w:webHidden/>
          </w:rPr>
          <w:t>109</w:t>
        </w:r>
        <w:r w:rsidR="00475F7F">
          <w:rPr>
            <w:noProof/>
            <w:webHidden/>
          </w:rPr>
          <w:fldChar w:fldCharType="end"/>
        </w:r>
      </w:hyperlink>
    </w:p>
    <w:p w14:paraId="7AF59CED" w14:textId="27A3850C"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90" w:history="1">
        <w:r w:rsidR="00475F7F" w:rsidRPr="004012A8">
          <w:rPr>
            <w:rStyle w:val="Hyperlink"/>
            <w:rFonts w:eastAsiaTheme="majorEastAsia" w:cs="Arial"/>
            <w:noProof/>
          </w:rPr>
          <w:t xml:space="preserve">Table 16. </w:t>
        </w:r>
        <w:r w:rsidR="00475F7F" w:rsidRPr="004012A8">
          <w:rPr>
            <w:rStyle w:val="Hyperlink"/>
            <w:rFonts w:eastAsiaTheme="majorEastAsia" w:cs="Arial"/>
            <w:i/>
            <w:noProof/>
          </w:rPr>
          <w:t>List of data sources of seagrass and environmental condition indicators for each seagrass habitat type in the Burnett–Mary NRM region.</w:t>
        </w:r>
        <w:r w:rsidR="00475F7F">
          <w:rPr>
            <w:noProof/>
            <w:webHidden/>
          </w:rPr>
          <w:tab/>
        </w:r>
        <w:r w:rsidR="00475F7F">
          <w:rPr>
            <w:noProof/>
            <w:webHidden/>
          </w:rPr>
          <w:fldChar w:fldCharType="begin"/>
        </w:r>
        <w:r w:rsidR="00475F7F">
          <w:rPr>
            <w:noProof/>
            <w:webHidden/>
          </w:rPr>
          <w:instrText xml:space="preserve"> PAGEREF _Toc47600690 \h </w:instrText>
        </w:r>
        <w:r w:rsidR="00475F7F">
          <w:rPr>
            <w:noProof/>
            <w:webHidden/>
          </w:rPr>
        </w:r>
        <w:r w:rsidR="00475F7F">
          <w:rPr>
            <w:noProof/>
            <w:webHidden/>
          </w:rPr>
          <w:fldChar w:fldCharType="separate"/>
        </w:r>
        <w:r w:rsidR="00561C92">
          <w:rPr>
            <w:noProof/>
            <w:webHidden/>
          </w:rPr>
          <w:t>119</w:t>
        </w:r>
        <w:r w:rsidR="00475F7F">
          <w:rPr>
            <w:noProof/>
            <w:webHidden/>
          </w:rPr>
          <w:fldChar w:fldCharType="end"/>
        </w:r>
      </w:hyperlink>
    </w:p>
    <w:p w14:paraId="3B9236D2" w14:textId="784F808D"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91" w:history="1">
        <w:r w:rsidR="00475F7F" w:rsidRPr="004012A8">
          <w:rPr>
            <w:rStyle w:val="Hyperlink"/>
            <w:rFonts w:eastAsiaTheme="majorEastAsia" w:cs="Arial"/>
            <w:noProof/>
          </w:rPr>
          <w:t xml:space="preserve">Table 17. </w:t>
        </w:r>
        <w:r w:rsidR="00475F7F" w:rsidRPr="004012A8">
          <w:rPr>
            <w:rStyle w:val="Hyperlink"/>
            <w:rFonts w:eastAsiaTheme="majorEastAsia" w:cs="Arial"/>
            <w:i/>
            <w:noProof/>
          </w:rPr>
          <w:t>Seagrass percentage cover guidelines (“the seagrass guidelines”) for each site/location and the subregional guidelines (bold) for each NRM habitat.</w:t>
        </w:r>
        <w:r w:rsidR="00475F7F">
          <w:rPr>
            <w:noProof/>
            <w:webHidden/>
          </w:rPr>
          <w:tab/>
        </w:r>
        <w:r w:rsidR="00475F7F">
          <w:rPr>
            <w:noProof/>
            <w:webHidden/>
          </w:rPr>
          <w:fldChar w:fldCharType="begin"/>
        </w:r>
        <w:r w:rsidR="00475F7F">
          <w:rPr>
            <w:noProof/>
            <w:webHidden/>
          </w:rPr>
          <w:instrText xml:space="preserve"> PAGEREF _Toc47600691 \h </w:instrText>
        </w:r>
        <w:r w:rsidR="00475F7F">
          <w:rPr>
            <w:noProof/>
            <w:webHidden/>
          </w:rPr>
        </w:r>
        <w:r w:rsidR="00475F7F">
          <w:rPr>
            <w:noProof/>
            <w:webHidden/>
          </w:rPr>
          <w:fldChar w:fldCharType="separate"/>
        </w:r>
        <w:r w:rsidR="00561C92">
          <w:rPr>
            <w:noProof/>
            <w:webHidden/>
          </w:rPr>
          <w:t>177</w:t>
        </w:r>
        <w:r w:rsidR="00475F7F">
          <w:rPr>
            <w:noProof/>
            <w:webHidden/>
          </w:rPr>
          <w:fldChar w:fldCharType="end"/>
        </w:r>
      </w:hyperlink>
    </w:p>
    <w:p w14:paraId="734DE08A" w14:textId="04565B71"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92" w:history="1">
        <w:r w:rsidR="00475F7F" w:rsidRPr="004012A8">
          <w:rPr>
            <w:rStyle w:val="Hyperlink"/>
            <w:rFonts w:eastAsiaTheme="majorEastAsia" w:cs="Arial"/>
            <w:noProof/>
          </w:rPr>
          <w:t xml:space="preserve">Table 18. </w:t>
        </w:r>
        <w:r w:rsidR="00475F7F" w:rsidRPr="004012A8">
          <w:rPr>
            <w:rStyle w:val="Hyperlink"/>
            <w:rFonts w:eastAsiaTheme="majorEastAsia" w:cs="Arial"/>
            <w:i/>
            <w:noProof/>
          </w:rPr>
          <w:t>Samples collected at each MMP inshore monitoring site per parameter for each season</w:t>
        </w:r>
        <w:r w:rsidR="00475F7F">
          <w:rPr>
            <w:noProof/>
            <w:webHidden/>
          </w:rPr>
          <w:tab/>
        </w:r>
        <w:r w:rsidR="00475F7F">
          <w:rPr>
            <w:noProof/>
            <w:webHidden/>
          </w:rPr>
          <w:fldChar w:fldCharType="begin"/>
        </w:r>
        <w:r w:rsidR="00475F7F">
          <w:rPr>
            <w:noProof/>
            <w:webHidden/>
          </w:rPr>
          <w:instrText xml:space="preserve"> PAGEREF _Toc47600692 \h </w:instrText>
        </w:r>
        <w:r w:rsidR="00475F7F">
          <w:rPr>
            <w:noProof/>
            <w:webHidden/>
          </w:rPr>
        </w:r>
        <w:r w:rsidR="00475F7F">
          <w:rPr>
            <w:noProof/>
            <w:webHidden/>
          </w:rPr>
          <w:fldChar w:fldCharType="separate"/>
        </w:r>
        <w:r w:rsidR="00561C92">
          <w:rPr>
            <w:noProof/>
            <w:webHidden/>
          </w:rPr>
          <w:t>181</w:t>
        </w:r>
        <w:r w:rsidR="00475F7F">
          <w:rPr>
            <w:noProof/>
            <w:webHidden/>
          </w:rPr>
          <w:fldChar w:fldCharType="end"/>
        </w:r>
      </w:hyperlink>
    </w:p>
    <w:p w14:paraId="0DAC0E90" w14:textId="04896A07"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93" w:history="1">
        <w:r w:rsidR="00475F7F" w:rsidRPr="004012A8">
          <w:rPr>
            <w:rStyle w:val="Hyperlink"/>
            <w:rFonts w:eastAsiaTheme="majorEastAsia" w:cs="Arial"/>
            <w:noProof/>
          </w:rPr>
          <w:t xml:space="preserve">Table 19. </w:t>
        </w:r>
        <w:r w:rsidR="00475F7F" w:rsidRPr="004012A8">
          <w:rPr>
            <w:rStyle w:val="Hyperlink"/>
            <w:rFonts w:eastAsiaTheme="majorEastAsia" w:cs="Arial"/>
            <w:i/>
            <w:noProof/>
          </w:rPr>
          <w:t>Height of intertidal monitoring meadows/sites above lowest astronomical tide (LAT) and annual daytime tidal exposure (total hours) when meadows become exposed at a low tide.</w:t>
        </w:r>
        <w:r w:rsidR="00475F7F">
          <w:rPr>
            <w:noProof/>
            <w:webHidden/>
          </w:rPr>
          <w:tab/>
        </w:r>
        <w:r w:rsidR="00475F7F">
          <w:rPr>
            <w:noProof/>
            <w:webHidden/>
          </w:rPr>
          <w:fldChar w:fldCharType="begin"/>
        </w:r>
        <w:r w:rsidR="00475F7F">
          <w:rPr>
            <w:noProof/>
            <w:webHidden/>
          </w:rPr>
          <w:instrText xml:space="preserve"> PAGEREF _Toc47600693 \h </w:instrText>
        </w:r>
        <w:r w:rsidR="00475F7F">
          <w:rPr>
            <w:noProof/>
            <w:webHidden/>
          </w:rPr>
        </w:r>
        <w:r w:rsidR="00475F7F">
          <w:rPr>
            <w:noProof/>
            <w:webHidden/>
          </w:rPr>
          <w:fldChar w:fldCharType="separate"/>
        </w:r>
        <w:r w:rsidR="00561C92">
          <w:rPr>
            <w:noProof/>
            <w:webHidden/>
          </w:rPr>
          <w:t>183</w:t>
        </w:r>
        <w:r w:rsidR="00475F7F">
          <w:rPr>
            <w:noProof/>
            <w:webHidden/>
          </w:rPr>
          <w:fldChar w:fldCharType="end"/>
        </w:r>
      </w:hyperlink>
    </w:p>
    <w:p w14:paraId="1CB76AAE" w14:textId="7E88CA86" w:rsidR="00475F7F" w:rsidRDefault="00D91B0F">
      <w:pPr>
        <w:pStyle w:val="TableofFigures"/>
        <w:tabs>
          <w:tab w:val="right" w:leader="dot" w:pos="9054"/>
        </w:tabs>
        <w:rPr>
          <w:rFonts w:asciiTheme="minorHAnsi" w:eastAsiaTheme="minorEastAsia" w:hAnsiTheme="minorHAnsi" w:cstheme="minorBidi"/>
          <w:noProof/>
          <w:szCs w:val="22"/>
          <w:lang w:eastAsia="en-AU"/>
        </w:rPr>
      </w:pPr>
      <w:hyperlink w:anchor="_Toc47600694" w:history="1">
        <w:r w:rsidR="00475F7F" w:rsidRPr="004012A8">
          <w:rPr>
            <w:rStyle w:val="Hyperlink"/>
            <w:rFonts w:eastAsiaTheme="majorEastAsia" w:cs="Arial"/>
            <w:noProof/>
          </w:rPr>
          <w:t xml:space="preserve">Table 20. </w:t>
        </w:r>
        <w:r w:rsidR="00475F7F" w:rsidRPr="004012A8">
          <w:rPr>
            <w:rStyle w:val="Hyperlink"/>
            <w:rFonts w:eastAsiaTheme="majorEastAsia" w:cs="Arial"/>
            <w:i/>
            <w:noProof/>
          </w:rPr>
          <w:t>Results of</w:t>
        </w:r>
        <w:r w:rsidR="00475F7F" w:rsidRPr="004012A8">
          <w:rPr>
            <w:rStyle w:val="Hyperlink"/>
            <w:rFonts w:eastAsiaTheme="majorEastAsia" w:cs="Arial"/>
            <w:noProof/>
          </w:rPr>
          <w:t xml:space="preserve"> </w:t>
        </w:r>
        <w:r w:rsidR="00475F7F" w:rsidRPr="004012A8">
          <w:rPr>
            <w:rStyle w:val="Hyperlink"/>
            <w:rFonts w:eastAsiaTheme="majorEastAsia" w:cs="Arial"/>
            <w:i/>
            <w:noProof/>
          </w:rPr>
          <w:t>Mann­Kendall analysis to assess if there was a significant trend (decline or increase) over time in seagrass abundance (per cent cover).</w:t>
        </w:r>
        <w:r w:rsidR="00475F7F">
          <w:rPr>
            <w:noProof/>
            <w:webHidden/>
          </w:rPr>
          <w:tab/>
        </w:r>
        <w:r w:rsidR="00475F7F">
          <w:rPr>
            <w:noProof/>
            <w:webHidden/>
          </w:rPr>
          <w:fldChar w:fldCharType="begin"/>
        </w:r>
        <w:r w:rsidR="00475F7F">
          <w:rPr>
            <w:noProof/>
            <w:webHidden/>
          </w:rPr>
          <w:instrText xml:space="preserve"> PAGEREF _Toc47600694 \h </w:instrText>
        </w:r>
        <w:r w:rsidR="00475F7F">
          <w:rPr>
            <w:noProof/>
            <w:webHidden/>
          </w:rPr>
        </w:r>
        <w:r w:rsidR="00475F7F">
          <w:rPr>
            <w:noProof/>
            <w:webHidden/>
          </w:rPr>
          <w:fldChar w:fldCharType="separate"/>
        </w:r>
        <w:r w:rsidR="00561C92">
          <w:rPr>
            <w:noProof/>
            <w:webHidden/>
          </w:rPr>
          <w:t>204</w:t>
        </w:r>
        <w:r w:rsidR="00475F7F">
          <w:rPr>
            <w:noProof/>
            <w:webHidden/>
          </w:rPr>
          <w:fldChar w:fldCharType="end"/>
        </w:r>
      </w:hyperlink>
    </w:p>
    <w:p w14:paraId="199FE2A6" w14:textId="2D528377" w:rsidR="00742F73" w:rsidRDefault="00742F73" w:rsidP="00742F73">
      <w:r>
        <w:fldChar w:fldCharType="end"/>
      </w:r>
      <w:r>
        <w:br w:type="page"/>
      </w:r>
    </w:p>
    <w:p w14:paraId="2B51262B" w14:textId="77777777" w:rsidR="00742F73" w:rsidRDefault="00742F73" w:rsidP="00742F73">
      <w:pPr>
        <w:pStyle w:val="Heading1"/>
        <w:numPr>
          <w:ilvl w:val="0"/>
          <w:numId w:val="0"/>
        </w:numPr>
      </w:pPr>
      <w:bookmarkStart w:id="5" w:name="_Toc43986999"/>
      <w:r w:rsidRPr="00742F73">
        <w:lastRenderedPageBreak/>
        <w:t>Acronyms, abbreviations and units</w:t>
      </w:r>
      <w:bookmarkEnd w:id="5"/>
    </w:p>
    <w:p w14:paraId="3DD58F33" w14:textId="77777777" w:rsidR="00742F73" w:rsidRPr="00931EB8" w:rsidRDefault="00742F73" w:rsidP="00931EB8"/>
    <w:p w14:paraId="352B2AA0" w14:textId="3CA36EDE" w:rsidR="00854CC7" w:rsidRPr="00B2696E" w:rsidRDefault="00854CC7" w:rsidP="005D79A9">
      <w:pPr>
        <w:tabs>
          <w:tab w:val="left" w:pos="2835"/>
        </w:tabs>
        <w:ind w:left="2694" w:hanging="2694"/>
        <w:rPr>
          <w:rFonts w:cs="Arial"/>
          <w:color w:val="000000"/>
          <w:szCs w:val="22"/>
        </w:rPr>
      </w:pPr>
      <w:r w:rsidRPr="00B2696E">
        <w:rPr>
          <w:rFonts w:cs="Arial"/>
          <w:color w:val="000000"/>
          <w:szCs w:val="22"/>
        </w:rPr>
        <w:t>Authority</w:t>
      </w:r>
      <w:r w:rsidRPr="00B2696E">
        <w:rPr>
          <w:rFonts w:cs="Arial"/>
          <w:color w:val="000000"/>
          <w:szCs w:val="22"/>
        </w:rPr>
        <w:tab/>
      </w:r>
      <w:r w:rsidR="005D79A9" w:rsidRPr="00B2696E">
        <w:rPr>
          <w:rFonts w:cs="Arial"/>
          <w:color w:val="000000"/>
          <w:szCs w:val="22"/>
        </w:rPr>
        <w:tab/>
      </w:r>
      <w:r w:rsidRPr="00B2696E">
        <w:rPr>
          <w:rFonts w:cs="Arial"/>
          <w:color w:val="000000"/>
          <w:szCs w:val="22"/>
        </w:rPr>
        <w:t>Great Barrier Reef Marine Park Authority</w:t>
      </w:r>
    </w:p>
    <w:p w14:paraId="04A726F1" w14:textId="07D20157" w:rsidR="001F4593" w:rsidRPr="00B2696E" w:rsidRDefault="001F4593" w:rsidP="005D79A9">
      <w:pPr>
        <w:tabs>
          <w:tab w:val="left" w:pos="2694"/>
        </w:tabs>
        <w:ind w:left="2552" w:hanging="2552"/>
        <w:rPr>
          <w:rFonts w:cs="Arial"/>
          <w:color w:val="000000"/>
          <w:szCs w:val="22"/>
          <w:lang w:val="en-GB" w:eastAsia="en-AU"/>
        </w:rPr>
      </w:pPr>
      <w:r w:rsidRPr="00B2696E">
        <w:rPr>
          <w:rFonts w:cs="Arial"/>
          <w:color w:val="000000"/>
          <w:szCs w:val="22"/>
          <w:lang w:val="en-GB" w:eastAsia="en-AU"/>
        </w:rPr>
        <w:t>CV</w:t>
      </w:r>
      <w:r w:rsidRPr="00B2696E">
        <w:rPr>
          <w:rFonts w:cs="Arial"/>
          <w:color w:val="000000"/>
          <w:szCs w:val="22"/>
          <w:lang w:val="en-GB" w:eastAsia="en-AU"/>
        </w:rPr>
        <w:tab/>
      </w:r>
      <w:r w:rsidR="005D79A9" w:rsidRPr="00B2696E">
        <w:rPr>
          <w:rFonts w:cs="Arial"/>
          <w:color w:val="000000"/>
          <w:szCs w:val="22"/>
          <w:lang w:val="en-GB" w:eastAsia="en-AU"/>
        </w:rPr>
        <w:tab/>
      </w:r>
      <w:r w:rsidR="005D79A9" w:rsidRPr="00B2696E">
        <w:rPr>
          <w:rFonts w:cs="Arial"/>
          <w:color w:val="000000"/>
          <w:szCs w:val="22"/>
          <w:lang w:val="en-GB" w:eastAsia="en-AU"/>
        </w:rPr>
        <w:tab/>
      </w:r>
      <w:r w:rsidRPr="00B2696E">
        <w:rPr>
          <w:rFonts w:cs="Arial"/>
          <w:color w:val="000000"/>
          <w:szCs w:val="22"/>
          <w:lang w:val="en-GB" w:eastAsia="en-AU"/>
        </w:rPr>
        <w:t>coefficient of variation</w:t>
      </w:r>
    </w:p>
    <w:p w14:paraId="2234AB90" w14:textId="5A245350"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DE</w:t>
      </w:r>
      <w:r w:rsidR="0018318B" w:rsidRPr="00B2696E">
        <w:rPr>
          <w:rFonts w:cs="Arial"/>
          <w:color w:val="000000"/>
          <w:szCs w:val="22"/>
        </w:rPr>
        <w:t>S</w:t>
      </w:r>
      <w:r w:rsidRPr="00B2696E">
        <w:rPr>
          <w:rFonts w:cs="Arial"/>
          <w:color w:val="000000"/>
          <w:szCs w:val="22"/>
        </w:rPr>
        <w:tab/>
      </w:r>
      <w:r w:rsidR="005D79A9" w:rsidRPr="00B2696E">
        <w:rPr>
          <w:rFonts w:cs="Arial"/>
          <w:color w:val="000000"/>
          <w:szCs w:val="22"/>
        </w:rPr>
        <w:tab/>
      </w:r>
      <w:r w:rsidRPr="00B2696E">
        <w:rPr>
          <w:rFonts w:cs="Arial"/>
          <w:color w:val="000000"/>
          <w:szCs w:val="22"/>
        </w:rPr>
        <w:t xml:space="preserve">Department of Environment and </w:t>
      </w:r>
      <w:r w:rsidR="0018318B" w:rsidRPr="00B2696E">
        <w:rPr>
          <w:rFonts w:cs="Arial"/>
          <w:color w:val="000000"/>
          <w:szCs w:val="22"/>
        </w:rPr>
        <w:t>Science, Queensland</w:t>
      </w:r>
    </w:p>
    <w:p w14:paraId="1E0E69F9" w14:textId="3004A72A"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JCU</w:t>
      </w:r>
      <w:r w:rsidRPr="00B2696E">
        <w:rPr>
          <w:rFonts w:cs="Arial"/>
          <w:color w:val="000000"/>
          <w:szCs w:val="22"/>
        </w:rPr>
        <w:tab/>
      </w:r>
      <w:r w:rsidR="005D79A9" w:rsidRPr="00B2696E">
        <w:rPr>
          <w:rFonts w:cs="Arial"/>
          <w:color w:val="000000"/>
          <w:szCs w:val="22"/>
        </w:rPr>
        <w:tab/>
      </w:r>
      <w:r w:rsidRPr="00B2696E">
        <w:rPr>
          <w:rFonts w:cs="Arial"/>
          <w:color w:val="000000"/>
          <w:szCs w:val="22"/>
        </w:rPr>
        <w:t xml:space="preserve">James Cook University </w:t>
      </w:r>
    </w:p>
    <w:p w14:paraId="2A043393" w14:textId="46C242E9"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km</w:t>
      </w:r>
      <w:r w:rsidRPr="00B2696E">
        <w:rPr>
          <w:rFonts w:cs="Arial"/>
          <w:color w:val="000000"/>
          <w:szCs w:val="22"/>
        </w:rPr>
        <w:tab/>
      </w:r>
      <w:r w:rsidR="005D79A9" w:rsidRPr="00B2696E">
        <w:rPr>
          <w:rFonts w:cs="Arial"/>
          <w:color w:val="000000"/>
          <w:szCs w:val="22"/>
        </w:rPr>
        <w:tab/>
      </w:r>
      <w:r w:rsidRPr="00B2696E">
        <w:rPr>
          <w:rFonts w:cs="Arial"/>
          <w:color w:val="000000"/>
          <w:szCs w:val="22"/>
        </w:rPr>
        <w:t>kilometre</w:t>
      </w:r>
    </w:p>
    <w:p w14:paraId="7E3B5821" w14:textId="15A5916F"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m</w:t>
      </w:r>
      <w:r w:rsidRPr="00B2696E">
        <w:rPr>
          <w:rFonts w:cs="Arial"/>
          <w:color w:val="000000"/>
          <w:szCs w:val="22"/>
        </w:rPr>
        <w:tab/>
      </w:r>
      <w:r w:rsidR="005D79A9" w:rsidRPr="00B2696E">
        <w:rPr>
          <w:rFonts w:cs="Arial"/>
          <w:color w:val="000000"/>
          <w:szCs w:val="22"/>
        </w:rPr>
        <w:tab/>
      </w:r>
      <w:r w:rsidRPr="00B2696E">
        <w:rPr>
          <w:rFonts w:cs="Arial"/>
          <w:color w:val="000000"/>
          <w:szCs w:val="22"/>
        </w:rPr>
        <w:t>metre</w:t>
      </w:r>
    </w:p>
    <w:p w14:paraId="45B0E000" w14:textId="2D5F45DB"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MMP</w:t>
      </w:r>
      <w:r w:rsidRPr="00B2696E">
        <w:rPr>
          <w:rFonts w:cs="Arial"/>
          <w:color w:val="000000"/>
          <w:szCs w:val="22"/>
        </w:rPr>
        <w:tab/>
      </w:r>
      <w:r w:rsidR="005D79A9" w:rsidRPr="00B2696E">
        <w:rPr>
          <w:rFonts w:cs="Arial"/>
          <w:color w:val="000000"/>
          <w:szCs w:val="22"/>
        </w:rPr>
        <w:tab/>
      </w:r>
      <w:r w:rsidRPr="00B2696E">
        <w:rPr>
          <w:rFonts w:cs="Arial"/>
          <w:color w:val="000000"/>
          <w:szCs w:val="22"/>
        </w:rPr>
        <w:t>Marine Monitoring Program</w:t>
      </w:r>
    </w:p>
    <w:p w14:paraId="16745642" w14:textId="35C68C7B" w:rsidR="00306220" w:rsidRPr="00B2696E" w:rsidRDefault="00306220" w:rsidP="00883A72">
      <w:pPr>
        <w:tabs>
          <w:tab w:val="left" w:pos="2552"/>
        </w:tabs>
        <w:ind w:left="2552" w:hanging="2552"/>
        <w:rPr>
          <w:rFonts w:cs="Arial"/>
          <w:color w:val="000000"/>
          <w:szCs w:val="22"/>
        </w:rPr>
      </w:pPr>
      <w:r w:rsidRPr="00B2696E">
        <w:rPr>
          <w:rFonts w:cs="Arial"/>
          <w:color w:val="000000"/>
          <w:szCs w:val="22"/>
        </w:rPr>
        <w:t>MTSRF</w:t>
      </w:r>
      <w:r w:rsidRPr="00B2696E">
        <w:rPr>
          <w:rFonts w:cs="Arial"/>
          <w:color w:val="000000"/>
          <w:szCs w:val="22"/>
        </w:rPr>
        <w:tab/>
      </w:r>
      <w:r w:rsidR="005D79A9" w:rsidRPr="00B2696E">
        <w:rPr>
          <w:rFonts w:cs="Arial"/>
          <w:color w:val="000000"/>
          <w:szCs w:val="22"/>
        </w:rPr>
        <w:tab/>
      </w:r>
      <w:r w:rsidRPr="00B2696E">
        <w:rPr>
          <w:rFonts w:cs="Arial"/>
          <w:color w:val="000000"/>
          <w:szCs w:val="22"/>
        </w:rPr>
        <w:t>Marine and Tropical Sciences Research Facility</w:t>
      </w:r>
    </w:p>
    <w:p w14:paraId="2D8E3D23" w14:textId="06FA7AAC"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NRM</w:t>
      </w:r>
      <w:r w:rsidRPr="00B2696E">
        <w:rPr>
          <w:rFonts w:cs="Arial"/>
          <w:color w:val="000000"/>
          <w:szCs w:val="22"/>
        </w:rPr>
        <w:tab/>
      </w:r>
      <w:r w:rsidR="005D79A9" w:rsidRPr="00B2696E">
        <w:rPr>
          <w:rFonts w:cs="Arial"/>
          <w:color w:val="000000"/>
          <w:szCs w:val="22"/>
        </w:rPr>
        <w:tab/>
      </w:r>
      <w:r w:rsidRPr="00B2696E">
        <w:rPr>
          <w:rFonts w:cs="Arial"/>
          <w:color w:val="000000"/>
          <w:szCs w:val="22"/>
        </w:rPr>
        <w:t xml:space="preserve">Natural Resource Management </w:t>
      </w:r>
    </w:p>
    <w:p w14:paraId="0E9D8305" w14:textId="2FDD5274" w:rsidR="00883A72" w:rsidRPr="00B2696E" w:rsidRDefault="00883A72" w:rsidP="005D79A9">
      <w:pPr>
        <w:tabs>
          <w:tab w:val="left" w:pos="2977"/>
        </w:tabs>
        <w:ind w:left="2880" w:hanging="2880"/>
        <w:rPr>
          <w:rFonts w:cs="Arial"/>
          <w:color w:val="000000"/>
          <w:szCs w:val="22"/>
          <w:lang w:eastAsia="en-AU"/>
        </w:rPr>
      </w:pPr>
      <w:r w:rsidRPr="00B2696E">
        <w:rPr>
          <w:rFonts w:cs="Arial"/>
          <w:color w:val="000000"/>
          <w:szCs w:val="22"/>
          <w:lang w:eastAsia="en-AU"/>
        </w:rPr>
        <w:t>Paddock to Reef program</w:t>
      </w:r>
      <w:r w:rsidRPr="00B2696E">
        <w:rPr>
          <w:rFonts w:cs="Arial"/>
          <w:color w:val="000000"/>
          <w:szCs w:val="22"/>
          <w:lang w:eastAsia="en-AU"/>
        </w:rPr>
        <w:tab/>
        <w:t>Paddock to Reef Integrated Monitoring, Modelling and Reporting Program</w:t>
      </w:r>
    </w:p>
    <w:p w14:paraId="4BB7FF81" w14:textId="26ACED2A" w:rsidR="00883A72" w:rsidRPr="00B2696E" w:rsidRDefault="00883A72" w:rsidP="00883A72">
      <w:pPr>
        <w:tabs>
          <w:tab w:val="left" w:pos="2552"/>
        </w:tabs>
        <w:ind w:left="2552" w:hanging="2552"/>
        <w:rPr>
          <w:rFonts w:cs="Arial"/>
          <w:color w:val="000000"/>
          <w:szCs w:val="22"/>
          <w:lang w:eastAsia="en-AU"/>
        </w:rPr>
      </w:pPr>
      <w:r w:rsidRPr="00B2696E">
        <w:rPr>
          <w:rFonts w:cs="Arial"/>
          <w:color w:val="000000"/>
          <w:szCs w:val="22"/>
          <w:lang w:eastAsia="en-AU"/>
        </w:rPr>
        <w:t>QPWS</w:t>
      </w:r>
      <w:r w:rsidRPr="00B2696E">
        <w:rPr>
          <w:rFonts w:cs="Arial"/>
          <w:color w:val="000000"/>
          <w:szCs w:val="22"/>
          <w:lang w:eastAsia="en-AU"/>
        </w:rPr>
        <w:tab/>
      </w:r>
      <w:r w:rsidR="005D79A9" w:rsidRPr="00B2696E">
        <w:rPr>
          <w:rFonts w:cs="Arial"/>
          <w:color w:val="000000"/>
          <w:szCs w:val="22"/>
          <w:lang w:eastAsia="en-AU"/>
        </w:rPr>
        <w:tab/>
      </w:r>
      <w:r w:rsidRPr="00B2696E">
        <w:rPr>
          <w:rFonts w:cs="Arial"/>
          <w:color w:val="000000"/>
          <w:szCs w:val="22"/>
          <w:lang w:eastAsia="en-AU"/>
        </w:rPr>
        <w:t>Queensland Park and Wildlife Service</w:t>
      </w:r>
    </w:p>
    <w:p w14:paraId="5A313542" w14:textId="0BF5ED6E" w:rsidR="00854CC7" w:rsidRPr="00B2696E" w:rsidRDefault="00854CC7" w:rsidP="00854CC7">
      <w:pPr>
        <w:tabs>
          <w:tab w:val="left" w:pos="2552"/>
        </w:tabs>
        <w:ind w:left="2552" w:hanging="2552"/>
        <w:rPr>
          <w:rFonts w:cs="Arial"/>
          <w:color w:val="000000"/>
          <w:szCs w:val="22"/>
        </w:rPr>
      </w:pPr>
      <w:r w:rsidRPr="00B2696E">
        <w:rPr>
          <w:rFonts w:cs="Arial"/>
          <w:color w:val="000000"/>
          <w:szCs w:val="22"/>
        </w:rPr>
        <w:t>Reef</w:t>
      </w:r>
      <w:r w:rsidRPr="00B2696E">
        <w:rPr>
          <w:rFonts w:cs="Arial"/>
          <w:color w:val="000000"/>
          <w:szCs w:val="22"/>
        </w:rPr>
        <w:tab/>
      </w:r>
      <w:r w:rsidR="005D79A9" w:rsidRPr="00B2696E">
        <w:rPr>
          <w:rFonts w:cs="Arial"/>
          <w:color w:val="000000"/>
          <w:szCs w:val="22"/>
        </w:rPr>
        <w:tab/>
      </w:r>
      <w:r w:rsidRPr="00B2696E">
        <w:rPr>
          <w:rFonts w:cs="Arial"/>
          <w:color w:val="000000"/>
          <w:szCs w:val="22"/>
        </w:rPr>
        <w:t>Great Barrier Reef</w:t>
      </w:r>
    </w:p>
    <w:p w14:paraId="6CD1C38A" w14:textId="1A3D26F2" w:rsidR="00883A72" w:rsidRPr="00B2696E" w:rsidRDefault="00883A72" w:rsidP="00854CC7">
      <w:pPr>
        <w:tabs>
          <w:tab w:val="left" w:pos="2552"/>
        </w:tabs>
        <w:ind w:left="2552" w:hanging="2552"/>
        <w:rPr>
          <w:rFonts w:cs="Arial"/>
          <w:color w:val="000000"/>
          <w:szCs w:val="22"/>
          <w:lang w:eastAsia="en-AU"/>
        </w:rPr>
      </w:pPr>
      <w:r w:rsidRPr="00B2696E">
        <w:rPr>
          <w:rFonts w:cs="Arial"/>
          <w:color w:val="000000" w:themeColor="text1"/>
          <w:szCs w:val="22"/>
        </w:rPr>
        <w:t>Reef 2050 WQIP</w:t>
      </w:r>
      <w:r w:rsidRPr="00B2696E">
        <w:rPr>
          <w:rFonts w:cs="Arial"/>
          <w:color w:val="000000" w:themeColor="text1"/>
          <w:szCs w:val="22"/>
        </w:rPr>
        <w:tab/>
      </w:r>
      <w:r w:rsidR="005D79A9" w:rsidRPr="00B2696E">
        <w:rPr>
          <w:rFonts w:cs="Arial"/>
          <w:color w:val="000000" w:themeColor="text1"/>
          <w:szCs w:val="22"/>
        </w:rPr>
        <w:tab/>
      </w:r>
      <w:r w:rsidRPr="00B2696E">
        <w:rPr>
          <w:rFonts w:cs="Arial"/>
          <w:i/>
          <w:color w:val="000000"/>
          <w:szCs w:val="22"/>
          <w:lang w:eastAsia="en-AU"/>
        </w:rPr>
        <w:t>Reef 2050 Water Quality Improvement Plan</w:t>
      </w:r>
    </w:p>
    <w:p w14:paraId="46477081" w14:textId="608D1554" w:rsidR="00883A72" w:rsidRPr="00B2696E" w:rsidRDefault="00883A72" w:rsidP="00883A72">
      <w:pPr>
        <w:tabs>
          <w:tab w:val="left" w:pos="2552"/>
        </w:tabs>
        <w:ind w:left="2552" w:hanging="2552"/>
        <w:rPr>
          <w:rFonts w:cs="Arial"/>
          <w:color w:val="000000"/>
          <w:szCs w:val="22"/>
          <w:lang w:eastAsia="en-AU"/>
        </w:rPr>
      </w:pPr>
      <w:r w:rsidRPr="00B2696E">
        <w:rPr>
          <w:rFonts w:cs="Arial"/>
          <w:color w:val="000000"/>
          <w:szCs w:val="22"/>
          <w:lang w:eastAsia="en-AU"/>
        </w:rPr>
        <w:t>Reef 2050 Plan</w:t>
      </w:r>
      <w:r w:rsidRPr="00B2696E">
        <w:rPr>
          <w:rFonts w:cs="Arial"/>
          <w:color w:val="000000"/>
          <w:szCs w:val="22"/>
          <w:lang w:eastAsia="en-AU"/>
        </w:rPr>
        <w:tab/>
      </w:r>
      <w:r w:rsidR="005D79A9" w:rsidRPr="00B2696E">
        <w:rPr>
          <w:rFonts w:cs="Arial"/>
          <w:color w:val="000000"/>
          <w:szCs w:val="22"/>
          <w:lang w:eastAsia="en-AU"/>
        </w:rPr>
        <w:tab/>
      </w:r>
      <w:r w:rsidRPr="00B2696E">
        <w:rPr>
          <w:rFonts w:cs="Arial"/>
          <w:i/>
          <w:color w:val="000000"/>
          <w:szCs w:val="22"/>
          <w:lang w:eastAsia="en-AU"/>
        </w:rPr>
        <w:t>Reef 2050 Long-Term Sustainability Plan</w:t>
      </w:r>
    </w:p>
    <w:p w14:paraId="3DB3E9F1" w14:textId="2A696370" w:rsidR="00883A72" w:rsidRPr="00B2696E" w:rsidRDefault="00883A72" w:rsidP="00883A72">
      <w:pPr>
        <w:tabs>
          <w:tab w:val="left" w:pos="2552"/>
        </w:tabs>
        <w:ind w:left="2552" w:hanging="2552"/>
        <w:rPr>
          <w:rFonts w:cs="Arial"/>
          <w:color w:val="000000"/>
          <w:szCs w:val="22"/>
          <w:lang w:eastAsia="en-AU"/>
        </w:rPr>
      </w:pPr>
      <w:r w:rsidRPr="00B2696E">
        <w:rPr>
          <w:rFonts w:cs="Arial"/>
          <w:color w:val="000000"/>
          <w:szCs w:val="22"/>
          <w:lang w:eastAsia="en-AU"/>
        </w:rPr>
        <w:t>RIMReP</w:t>
      </w:r>
      <w:r w:rsidRPr="00B2696E">
        <w:rPr>
          <w:rFonts w:cs="Arial"/>
          <w:color w:val="000000"/>
          <w:szCs w:val="22"/>
          <w:lang w:eastAsia="en-AU"/>
        </w:rPr>
        <w:tab/>
      </w:r>
      <w:r w:rsidR="005D79A9" w:rsidRPr="00B2696E">
        <w:rPr>
          <w:rFonts w:cs="Arial"/>
          <w:color w:val="000000"/>
          <w:szCs w:val="22"/>
          <w:lang w:eastAsia="en-AU"/>
        </w:rPr>
        <w:tab/>
      </w:r>
      <w:r w:rsidRPr="00B2696E">
        <w:rPr>
          <w:rFonts w:cs="Arial"/>
          <w:color w:val="000000"/>
          <w:szCs w:val="22"/>
          <w:lang w:eastAsia="en-AU"/>
        </w:rPr>
        <w:t>Reef 2050 Integrated Monitoring and Reporting Program</w:t>
      </w:r>
    </w:p>
    <w:p w14:paraId="69B6E4DF" w14:textId="5A4EF963" w:rsidR="001F4593" w:rsidRPr="00B2696E" w:rsidRDefault="001F4593" w:rsidP="00883A72">
      <w:pPr>
        <w:tabs>
          <w:tab w:val="left" w:pos="2552"/>
        </w:tabs>
        <w:ind w:left="2552" w:hanging="2552"/>
        <w:rPr>
          <w:rFonts w:cs="Arial"/>
          <w:color w:val="000000"/>
          <w:szCs w:val="22"/>
        </w:rPr>
      </w:pPr>
      <w:r w:rsidRPr="00B2696E">
        <w:rPr>
          <w:rFonts w:cs="Arial"/>
          <w:color w:val="000000"/>
          <w:szCs w:val="22"/>
        </w:rPr>
        <w:t>SE</w:t>
      </w:r>
      <w:r w:rsidRPr="00B2696E">
        <w:rPr>
          <w:rFonts w:cs="Arial"/>
          <w:color w:val="000000"/>
          <w:szCs w:val="22"/>
        </w:rPr>
        <w:tab/>
      </w:r>
      <w:r w:rsidR="005D79A9" w:rsidRPr="00B2696E">
        <w:rPr>
          <w:rFonts w:cs="Arial"/>
          <w:color w:val="000000"/>
          <w:szCs w:val="22"/>
        </w:rPr>
        <w:tab/>
      </w:r>
      <w:r w:rsidRPr="00B2696E">
        <w:rPr>
          <w:rFonts w:cs="Arial"/>
          <w:color w:val="000000"/>
          <w:szCs w:val="22"/>
        </w:rPr>
        <w:t>Standard Error</w:t>
      </w:r>
    </w:p>
    <w:p w14:paraId="28771DB9" w14:textId="789631D5" w:rsidR="001F4593" w:rsidRDefault="001F4593" w:rsidP="00883A72">
      <w:pPr>
        <w:tabs>
          <w:tab w:val="left" w:pos="2552"/>
        </w:tabs>
        <w:ind w:left="2552" w:hanging="2552"/>
        <w:rPr>
          <w:rFonts w:cs="Arial"/>
          <w:color w:val="000000"/>
          <w:szCs w:val="22"/>
        </w:rPr>
      </w:pPr>
      <w:r w:rsidRPr="00B2696E">
        <w:rPr>
          <w:rFonts w:cs="Arial"/>
          <w:color w:val="000000"/>
          <w:szCs w:val="22"/>
        </w:rPr>
        <w:t>TropWATER</w:t>
      </w:r>
      <w:r w:rsidRPr="00B2696E">
        <w:rPr>
          <w:rFonts w:cs="Arial"/>
          <w:color w:val="000000"/>
          <w:szCs w:val="22"/>
        </w:rPr>
        <w:tab/>
      </w:r>
      <w:r w:rsidR="005D79A9" w:rsidRPr="00B2696E">
        <w:rPr>
          <w:rFonts w:cs="Arial"/>
          <w:color w:val="000000"/>
          <w:szCs w:val="22"/>
        </w:rPr>
        <w:tab/>
      </w:r>
      <w:r w:rsidRPr="00B2696E">
        <w:rPr>
          <w:rFonts w:cs="Arial"/>
          <w:color w:val="000000"/>
          <w:szCs w:val="22"/>
        </w:rPr>
        <w:t>Centre for Tropical Water &amp; Aquatic Ecosystem Research</w:t>
      </w:r>
    </w:p>
    <w:p w14:paraId="3502BE94" w14:textId="33121833" w:rsidR="00351069" w:rsidRDefault="00351069">
      <w:pPr>
        <w:spacing w:before="0" w:after="0"/>
        <w:rPr>
          <w:rFonts w:cs="Arial"/>
          <w:color w:val="000000"/>
          <w:szCs w:val="22"/>
        </w:rPr>
      </w:pPr>
      <w:r>
        <w:rPr>
          <w:rFonts w:cs="Arial"/>
          <w:color w:val="000000"/>
          <w:szCs w:val="22"/>
        </w:rPr>
        <w:br w:type="page"/>
      </w:r>
    </w:p>
    <w:p w14:paraId="3BABBD67" w14:textId="2AA058B4" w:rsidR="001F4593" w:rsidRPr="00F63373" w:rsidRDefault="001F4593" w:rsidP="00F55E17">
      <w:pPr>
        <w:pStyle w:val="Heading1"/>
        <w:numPr>
          <w:ilvl w:val="0"/>
          <w:numId w:val="0"/>
        </w:numPr>
      </w:pPr>
      <w:bookmarkStart w:id="6" w:name="_Toc37775026"/>
      <w:bookmarkStart w:id="7" w:name="_Toc43987000"/>
      <w:r w:rsidRPr="00F63373">
        <w:lastRenderedPageBreak/>
        <w:t>Acknowledgements</w:t>
      </w:r>
      <w:bookmarkEnd w:id="6"/>
      <w:bookmarkEnd w:id="7"/>
    </w:p>
    <w:p w14:paraId="468DDF86" w14:textId="140D1973" w:rsidR="001F4593" w:rsidRPr="00B2696E" w:rsidRDefault="001B60D4" w:rsidP="001F4593">
      <w:pPr>
        <w:rPr>
          <w:rFonts w:cs="Arial"/>
          <w:color w:val="000000" w:themeColor="text1"/>
          <w:szCs w:val="22"/>
        </w:rPr>
      </w:pPr>
      <w:r w:rsidRPr="00B2696E">
        <w:rPr>
          <w:rFonts w:cs="Arial"/>
          <w:color w:val="000000" w:themeColor="text1"/>
          <w:szCs w:val="22"/>
        </w:rPr>
        <w:t xml:space="preserve">We thank </w:t>
      </w:r>
      <w:r w:rsidR="00F405A2" w:rsidRPr="00B2696E">
        <w:rPr>
          <w:rFonts w:cs="Arial"/>
          <w:color w:val="000000" w:themeColor="text1"/>
          <w:szCs w:val="22"/>
        </w:rPr>
        <w:t xml:space="preserve">Abby Fatland, Svenja Crombach, </w:t>
      </w:r>
      <w:r w:rsidRPr="00B2696E">
        <w:rPr>
          <w:rFonts w:cs="Arial"/>
          <w:color w:val="000000" w:themeColor="text1"/>
          <w:szCs w:val="22"/>
        </w:rPr>
        <w:t xml:space="preserve">Louise Johns, </w:t>
      </w:r>
      <w:r w:rsidR="00F405A2" w:rsidRPr="00B2696E">
        <w:rPr>
          <w:rFonts w:cs="Arial"/>
          <w:color w:val="000000" w:themeColor="text1"/>
          <w:szCs w:val="22"/>
        </w:rPr>
        <w:t xml:space="preserve">Paul Myers, and Naomi Smith, </w:t>
      </w:r>
      <w:r w:rsidRPr="00B2696E">
        <w:rPr>
          <w:rFonts w:cs="Arial"/>
          <w:color w:val="000000" w:themeColor="text1"/>
          <w:szCs w:val="22"/>
        </w:rPr>
        <w:t xml:space="preserve">who assisted with field monitoring. We thank the </w:t>
      </w:r>
      <w:r w:rsidR="00CC6B37">
        <w:rPr>
          <w:rFonts w:cs="Arial"/>
          <w:color w:val="000000" w:themeColor="text1"/>
          <w:szCs w:val="22"/>
        </w:rPr>
        <w:t>Queensland Park and Wildlife Service (</w:t>
      </w:r>
      <w:r w:rsidRPr="00B2696E">
        <w:rPr>
          <w:rFonts w:cs="Arial"/>
          <w:color w:val="000000" w:themeColor="text1"/>
          <w:szCs w:val="22"/>
        </w:rPr>
        <w:t>QPWS</w:t>
      </w:r>
      <w:r w:rsidR="00CC6B37">
        <w:rPr>
          <w:rFonts w:cs="Arial"/>
          <w:color w:val="000000" w:themeColor="text1"/>
          <w:szCs w:val="22"/>
        </w:rPr>
        <w:t>)</w:t>
      </w:r>
      <w:r w:rsidRPr="00B2696E">
        <w:rPr>
          <w:rFonts w:cs="Arial"/>
          <w:color w:val="000000" w:themeColor="text1"/>
          <w:szCs w:val="22"/>
        </w:rPr>
        <w:t xml:space="preserve"> rangers who conducted the subtidal drop camera field monitoring in Cape York, southern Wet Tropics and </w:t>
      </w:r>
      <w:r w:rsidR="00B72AC4">
        <w:rPr>
          <w:rFonts w:cs="Arial"/>
          <w:color w:val="000000" w:themeColor="text1"/>
          <w:szCs w:val="22"/>
        </w:rPr>
        <w:t>Mackay–Whitsunday</w:t>
      </w:r>
      <w:r w:rsidRPr="00B2696E">
        <w:rPr>
          <w:rFonts w:cs="Arial"/>
          <w:color w:val="000000" w:themeColor="text1"/>
          <w:szCs w:val="22"/>
        </w:rPr>
        <w:t xml:space="preserve">. We also thank </w:t>
      </w:r>
      <w:r w:rsidR="00F405A2" w:rsidRPr="00B2696E">
        <w:rPr>
          <w:rFonts w:cs="Arial"/>
          <w:color w:val="000000" w:themeColor="text1"/>
          <w:szCs w:val="22"/>
        </w:rPr>
        <w:t xml:space="preserve">Abby Fatland and </w:t>
      </w:r>
      <w:r w:rsidRPr="00B2696E">
        <w:rPr>
          <w:rFonts w:cs="Arial"/>
          <w:color w:val="000000" w:themeColor="text1"/>
          <w:szCs w:val="22"/>
        </w:rPr>
        <w:t>Nicky Yoshida for assisting with the processing of laboratory samples and the many Seagrass-Watch volunteers who assisted and shared their data with us from Shelley Beach, Pioneer Bay, Hydeaway Bay</w:t>
      </w:r>
      <w:r w:rsidR="00F405A2" w:rsidRPr="00B2696E">
        <w:rPr>
          <w:rFonts w:cs="Arial"/>
          <w:color w:val="000000" w:themeColor="text1"/>
          <w:szCs w:val="22"/>
        </w:rPr>
        <w:t>, St Helens Beach</w:t>
      </w:r>
      <w:r w:rsidRPr="00B2696E">
        <w:rPr>
          <w:rFonts w:cs="Arial"/>
          <w:color w:val="000000" w:themeColor="text1"/>
          <w:szCs w:val="22"/>
        </w:rPr>
        <w:t xml:space="preserve"> and Clairview. We thank the water quality team at TropWATER (</w:t>
      </w:r>
      <w:hyperlink w:anchor="_ENREF_69" w:tooltip="Gruber, 2020 #12283" w:history="1">
        <w:r w:rsidR="009A7AB4">
          <w:rPr>
            <w:rFonts w:cs="Arial"/>
            <w:color w:val="000000" w:themeColor="text1"/>
            <w:szCs w:val="22"/>
          </w:rPr>
          <w:fldChar w:fldCharType="begin"/>
        </w:r>
        <w:r w:rsidR="009A7AB4">
          <w:rPr>
            <w:rFonts w:cs="Arial"/>
            <w:color w:val="000000" w:themeColor="text1"/>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Pr>
            <w:rFonts w:cs="Arial"/>
            <w:color w:val="000000" w:themeColor="text1"/>
            <w:szCs w:val="22"/>
          </w:rPr>
          <w:fldChar w:fldCharType="separate"/>
        </w:r>
        <w:r w:rsidR="009A7AB4">
          <w:rPr>
            <w:rFonts w:cs="Arial"/>
            <w:noProof/>
            <w:color w:val="000000" w:themeColor="text1"/>
            <w:szCs w:val="22"/>
          </w:rPr>
          <w:t>Gruber</w:t>
        </w:r>
        <w:r w:rsidR="009A7AB4" w:rsidRPr="003B40D3">
          <w:rPr>
            <w:rFonts w:cs="Arial"/>
            <w:i/>
            <w:noProof/>
            <w:color w:val="000000" w:themeColor="text1"/>
            <w:szCs w:val="22"/>
          </w:rPr>
          <w:t xml:space="preserve"> et al.</w:t>
        </w:r>
        <w:r w:rsidR="009A7AB4">
          <w:rPr>
            <w:rFonts w:cs="Arial"/>
            <w:noProof/>
            <w:color w:val="000000" w:themeColor="text1"/>
            <w:szCs w:val="22"/>
          </w:rPr>
          <w:t xml:space="preserve"> 2020</w:t>
        </w:r>
        <w:r w:rsidR="009A7AB4">
          <w:rPr>
            <w:rFonts w:cs="Arial"/>
            <w:color w:val="000000" w:themeColor="text1"/>
            <w:szCs w:val="22"/>
          </w:rPr>
          <w:fldChar w:fldCharType="end"/>
        </w:r>
      </w:hyperlink>
      <w:r w:rsidRPr="00B2696E">
        <w:rPr>
          <w:rFonts w:cs="Arial"/>
          <w:color w:val="000000" w:themeColor="text1"/>
          <w:szCs w:val="22"/>
        </w:rPr>
        <w:t xml:space="preserve">) for climate data including rainfall, river discharge and turbid water exposure maps included in this report. </w:t>
      </w:r>
      <w:r w:rsidR="00B20DDB" w:rsidRPr="00B2696E">
        <w:rPr>
          <w:rFonts w:cs="Arial"/>
          <w:color w:val="000000" w:themeColor="text1"/>
          <w:szCs w:val="22"/>
        </w:rPr>
        <w:t xml:space="preserve">We also thank </w:t>
      </w:r>
      <w:r w:rsidR="00B20DDB" w:rsidRPr="00B2696E">
        <w:rPr>
          <w:rFonts w:cs="Arial"/>
          <w:color w:val="000000" w:themeColor="text1"/>
          <w:szCs w:val="22"/>
          <w:lang w:eastAsia="en-AU"/>
        </w:rPr>
        <w:t>the Traditional Owners of the Sea Countries we visited to conduct our monitoring.</w:t>
      </w:r>
      <w:r w:rsidR="00D15D2B" w:rsidRPr="00B2696E">
        <w:rPr>
          <w:rFonts w:cs="Arial"/>
          <w:color w:val="000000" w:themeColor="text1"/>
          <w:szCs w:val="22"/>
          <w:lang w:eastAsia="en-AU"/>
        </w:rPr>
        <w:t xml:space="preserve"> In particular, we would like to thank the Wuthathi, Kuku Yau, Yuku Baja Muliku and Girringun groups for assisting in the field.</w:t>
      </w:r>
    </w:p>
    <w:p w14:paraId="4BC4FFFB" w14:textId="342A988A" w:rsidR="001F4593" w:rsidRPr="00B2696E" w:rsidRDefault="001F4593" w:rsidP="001F4593">
      <w:pPr>
        <w:rPr>
          <w:rFonts w:cs="Arial"/>
          <w:color w:val="000000" w:themeColor="text1"/>
          <w:szCs w:val="22"/>
          <w:lang w:eastAsia="en-AU"/>
        </w:rPr>
      </w:pPr>
      <w:r w:rsidRPr="00B2696E">
        <w:rPr>
          <w:rFonts w:cs="Arial"/>
          <w:color w:val="000000" w:themeColor="text1"/>
          <w:szCs w:val="22"/>
        </w:rPr>
        <w:t>We thank the Range Control Officer (Department of Defence) for providing support and access to the Shoalwater Bay Training Area to conduct biannual monitoring;</w:t>
      </w:r>
      <w:r w:rsidRPr="00B2696E">
        <w:rPr>
          <w:rFonts w:cs="Arial"/>
          <w:color w:val="000000" w:themeColor="text1"/>
          <w:szCs w:val="22"/>
          <w:lang w:eastAsia="en-AU"/>
        </w:rPr>
        <w:t xml:space="preserve"> Great Adventures (part of the Quicksilver Group) for providing discounted transfers to Green Island; and </w:t>
      </w:r>
      <w:r w:rsidR="0091359C" w:rsidRPr="00B2696E">
        <w:rPr>
          <w:rFonts w:cs="Arial"/>
          <w:color w:val="000000" w:themeColor="text1"/>
          <w:szCs w:val="22"/>
          <w:lang w:eastAsia="en-AU"/>
        </w:rPr>
        <w:t xml:space="preserve">Nancy Lowe </w:t>
      </w:r>
      <w:r w:rsidR="00216E1F" w:rsidRPr="00B2696E">
        <w:rPr>
          <w:rFonts w:cs="Arial"/>
          <w:color w:val="000000" w:themeColor="text1"/>
          <w:szCs w:val="22"/>
          <w:lang w:eastAsia="en-AU"/>
        </w:rPr>
        <w:t xml:space="preserve">of </w:t>
      </w:r>
      <w:r w:rsidRPr="00B2696E">
        <w:rPr>
          <w:rFonts w:cs="Arial"/>
          <w:color w:val="000000" w:themeColor="text1"/>
          <w:szCs w:val="22"/>
          <w:lang w:eastAsia="en-AU"/>
        </w:rPr>
        <w:t xml:space="preserve">Dunk Island </w:t>
      </w:r>
      <w:r w:rsidR="00216E1F" w:rsidRPr="00B2696E">
        <w:rPr>
          <w:rFonts w:cs="Arial"/>
          <w:color w:val="000000" w:themeColor="text1"/>
          <w:szCs w:val="22"/>
          <w:lang w:eastAsia="en-AU"/>
        </w:rPr>
        <w:t>W</w:t>
      </w:r>
      <w:r w:rsidRPr="00B2696E">
        <w:rPr>
          <w:rFonts w:cs="Arial"/>
          <w:color w:val="000000" w:themeColor="text1"/>
          <w:szCs w:val="22"/>
          <w:lang w:eastAsia="en-AU"/>
        </w:rPr>
        <w:t xml:space="preserve">ater </w:t>
      </w:r>
      <w:r w:rsidR="00216E1F" w:rsidRPr="00B2696E">
        <w:rPr>
          <w:rFonts w:cs="Arial"/>
          <w:color w:val="000000" w:themeColor="text1"/>
          <w:szCs w:val="22"/>
          <w:lang w:eastAsia="en-AU"/>
        </w:rPr>
        <w:t>T</w:t>
      </w:r>
      <w:r w:rsidRPr="00B2696E">
        <w:rPr>
          <w:rFonts w:cs="Arial"/>
          <w:color w:val="000000" w:themeColor="text1"/>
          <w:szCs w:val="22"/>
          <w:lang w:eastAsia="en-AU"/>
        </w:rPr>
        <w:t>axi for assistance with the maintenance of light loggers at Mission Beach.</w:t>
      </w:r>
    </w:p>
    <w:p w14:paraId="5F9D1407" w14:textId="24E49206" w:rsidR="001F4593" w:rsidRPr="00B2696E" w:rsidRDefault="001F4593" w:rsidP="001F4593">
      <w:pPr>
        <w:rPr>
          <w:rFonts w:cs="Arial"/>
          <w:color w:val="000000" w:themeColor="text1"/>
          <w:szCs w:val="22"/>
        </w:rPr>
      </w:pPr>
      <w:r w:rsidRPr="00B2696E">
        <w:rPr>
          <w:rFonts w:cs="Arial"/>
          <w:color w:val="000000" w:themeColor="text1"/>
          <w:szCs w:val="22"/>
        </w:rPr>
        <w:t>River discharge data provided by the State of Queensland (Department of Natural Resources</w:t>
      </w:r>
      <w:r w:rsidR="00077D6A">
        <w:rPr>
          <w:rFonts w:cs="Arial"/>
          <w:color w:val="000000" w:themeColor="text1"/>
          <w:szCs w:val="22"/>
        </w:rPr>
        <w:t xml:space="preserve"> and</w:t>
      </w:r>
      <w:r w:rsidRPr="00B2696E">
        <w:rPr>
          <w:rFonts w:cs="Arial"/>
          <w:color w:val="000000" w:themeColor="text1"/>
          <w:szCs w:val="22"/>
        </w:rPr>
        <w:t xml:space="preserve"> Mines) 201</w:t>
      </w:r>
      <w:r w:rsidR="00F405A2" w:rsidRPr="00B2696E">
        <w:rPr>
          <w:rFonts w:cs="Arial"/>
          <w:color w:val="000000" w:themeColor="text1"/>
          <w:szCs w:val="22"/>
        </w:rPr>
        <w:t>9</w:t>
      </w:r>
      <w:r w:rsidRPr="00B2696E">
        <w:rPr>
          <w:rFonts w:cs="Arial"/>
          <w:color w:val="000000" w:themeColor="text1"/>
          <w:szCs w:val="22"/>
        </w:rPr>
        <w:t>. The conceptual diagram symbols are courtesy of the Integration and Application Network (ian.umces.edu/symbols/), University of Maryland Center for Environmental Science. Climate data courtesy of the Australian Bureau of Meteorology, and tide data courtesy Maritime Safety Queensland, Department of Transport and Main Roads.</w:t>
      </w:r>
    </w:p>
    <w:p w14:paraId="28163433" w14:textId="77777777" w:rsidR="001F4593" w:rsidRPr="00B2696E" w:rsidRDefault="001F4593" w:rsidP="001F4593">
      <w:pPr>
        <w:rPr>
          <w:rFonts w:cs="Arial"/>
          <w:szCs w:val="22"/>
        </w:rPr>
      </w:pPr>
    </w:p>
    <w:p w14:paraId="76DD5254" w14:textId="4E28F753" w:rsidR="00A2023C" w:rsidRDefault="00A2023C">
      <w:pPr>
        <w:rPr>
          <w:color w:val="000000"/>
          <w:szCs w:val="22"/>
        </w:rPr>
      </w:pPr>
      <w:r>
        <w:rPr>
          <w:color w:val="000000"/>
          <w:szCs w:val="22"/>
        </w:rPr>
        <w:br w:type="page"/>
      </w:r>
    </w:p>
    <w:p w14:paraId="7DF16679" w14:textId="5E31ED16" w:rsidR="005132EF" w:rsidRPr="00F63373" w:rsidRDefault="005132EF" w:rsidP="008A70D6">
      <w:pPr>
        <w:pStyle w:val="Heading1"/>
        <w:numPr>
          <w:ilvl w:val="0"/>
          <w:numId w:val="0"/>
        </w:numPr>
      </w:pPr>
      <w:bookmarkStart w:id="8" w:name="_Toc176079531"/>
      <w:bookmarkStart w:id="9" w:name="_Toc232845888"/>
      <w:bookmarkStart w:id="10" w:name="_Toc184101941"/>
      <w:bookmarkStart w:id="11" w:name="_Toc431493732"/>
      <w:bookmarkStart w:id="12" w:name="_Toc37775027"/>
      <w:bookmarkStart w:id="13" w:name="_Toc43987001"/>
      <w:bookmarkStart w:id="14" w:name="OLE_LINK1"/>
      <w:bookmarkStart w:id="15" w:name="OLE_LINK2"/>
      <w:bookmarkStart w:id="16" w:name="_Toc175991037"/>
      <w:r w:rsidRPr="00F63373">
        <w:lastRenderedPageBreak/>
        <w:t>Executive summary</w:t>
      </w:r>
      <w:bookmarkEnd w:id="8"/>
      <w:bookmarkEnd w:id="9"/>
      <w:bookmarkEnd w:id="10"/>
      <w:bookmarkEnd w:id="11"/>
      <w:bookmarkEnd w:id="12"/>
      <w:bookmarkEnd w:id="13"/>
    </w:p>
    <w:p w14:paraId="1B9F5576" w14:textId="4AAEF081" w:rsidR="003B78E3" w:rsidRPr="00B2696E" w:rsidRDefault="00637325" w:rsidP="00C84483">
      <w:pPr>
        <w:tabs>
          <w:tab w:val="left" w:pos="6804"/>
        </w:tabs>
        <w:rPr>
          <w:rFonts w:cs="Arial"/>
          <w:color w:val="000000" w:themeColor="text1"/>
          <w:szCs w:val="22"/>
        </w:rPr>
      </w:pPr>
      <w:r w:rsidRPr="00B2696E">
        <w:rPr>
          <w:rFonts w:eastAsia="MS Mincho" w:cs="Arial"/>
          <w:szCs w:val="22"/>
        </w:rPr>
        <w:t>The</w:t>
      </w:r>
      <w:r w:rsidR="00DC6833">
        <w:rPr>
          <w:rFonts w:eastAsia="MS Mincho" w:cs="Arial"/>
          <w:szCs w:val="22"/>
        </w:rPr>
        <w:t xml:space="preserve"> Great Barrier Reef Marine Park Authority’s </w:t>
      </w:r>
      <w:r w:rsidRPr="00B2696E">
        <w:rPr>
          <w:rFonts w:eastAsia="MS Mincho" w:cs="Arial"/>
          <w:szCs w:val="22"/>
        </w:rPr>
        <w:t>Marine Monitoring Program was established in 2005 to monitor the inshore health of the Great Barrier Reef</w:t>
      </w:r>
      <w:r w:rsidR="00CC6B37">
        <w:rPr>
          <w:rFonts w:eastAsia="MS Mincho" w:cs="Arial"/>
          <w:szCs w:val="22"/>
        </w:rPr>
        <w:t xml:space="preserve"> (the Reef)</w:t>
      </w:r>
      <w:r w:rsidRPr="00B2696E">
        <w:rPr>
          <w:rFonts w:eastAsia="MS Mincho" w:cs="Arial"/>
          <w:szCs w:val="22"/>
        </w:rPr>
        <w:t xml:space="preserve">. </w:t>
      </w:r>
      <w:r w:rsidR="003B78E3" w:rsidRPr="00B2696E">
        <w:rPr>
          <w:rFonts w:eastAsia="MS Mincho" w:cs="Arial"/>
          <w:szCs w:val="22"/>
        </w:rPr>
        <w:t xml:space="preserve">This </w:t>
      </w:r>
      <w:r w:rsidRPr="00B2696E">
        <w:rPr>
          <w:rFonts w:eastAsia="MS Mincho" w:cs="Arial"/>
          <w:szCs w:val="22"/>
        </w:rPr>
        <w:t>document reports</w:t>
      </w:r>
      <w:r w:rsidR="003B78E3" w:rsidRPr="00B2696E">
        <w:rPr>
          <w:rFonts w:eastAsia="MS Mincho" w:cs="Arial"/>
          <w:szCs w:val="22"/>
        </w:rPr>
        <w:t xml:space="preserve"> </w:t>
      </w:r>
      <w:r w:rsidR="00420933" w:rsidRPr="00B2696E">
        <w:rPr>
          <w:rFonts w:eastAsia="MS Mincho" w:cs="Arial"/>
          <w:szCs w:val="22"/>
        </w:rPr>
        <w:t xml:space="preserve">on </w:t>
      </w:r>
      <w:r w:rsidR="003B78E3" w:rsidRPr="00B2696E">
        <w:rPr>
          <w:rFonts w:eastAsia="MS Mincho" w:cs="Arial"/>
          <w:szCs w:val="22"/>
        </w:rPr>
        <w:t>the long-term health</w:t>
      </w:r>
      <w:r w:rsidR="003B78E3" w:rsidRPr="00B2696E">
        <w:rPr>
          <w:rFonts w:cs="Arial"/>
          <w:szCs w:val="22"/>
        </w:rPr>
        <w:t xml:space="preserve"> of inshore seagrass meadows and presents the findings in the context of the pressures faced by the ecosystem.</w:t>
      </w:r>
    </w:p>
    <w:p w14:paraId="0ED70A69" w14:textId="11F8EE64" w:rsidR="00A55C45" w:rsidRPr="00B2696E" w:rsidRDefault="003B78E3" w:rsidP="00A55C45">
      <w:pPr>
        <w:rPr>
          <w:rFonts w:cs="Arial"/>
          <w:szCs w:val="22"/>
        </w:rPr>
      </w:pPr>
      <w:r w:rsidRPr="00B2696E">
        <w:rPr>
          <w:rFonts w:cs="Arial"/>
          <w:szCs w:val="22"/>
        </w:rPr>
        <w:t xml:space="preserve">Inshore seagrass meadows across </w:t>
      </w:r>
      <w:r w:rsidR="00415782" w:rsidRPr="00B2696E">
        <w:rPr>
          <w:rFonts w:cs="Arial"/>
          <w:color w:val="000000" w:themeColor="text1"/>
          <w:szCs w:val="22"/>
        </w:rPr>
        <w:t xml:space="preserve">the Reef </w:t>
      </w:r>
      <w:r w:rsidR="00A6044C" w:rsidRPr="00B2696E">
        <w:rPr>
          <w:rFonts w:cs="Arial"/>
          <w:color w:val="000000" w:themeColor="text1"/>
          <w:szCs w:val="22"/>
        </w:rPr>
        <w:t xml:space="preserve">continued to </w:t>
      </w:r>
      <w:r w:rsidRPr="00B2696E">
        <w:rPr>
          <w:rFonts w:cs="Arial"/>
          <w:szCs w:val="22"/>
        </w:rPr>
        <w:t>decline in overall condition in 201</w:t>
      </w:r>
      <w:r w:rsidR="00F42A6F" w:rsidRPr="00B2696E">
        <w:rPr>
          <w:rFonts w:cs="Arial"/>
          <w:szCs w:val="22"/>
        </w:rPr>
        <w:t>8</w:t>
      </w:r>
      <w:r w:rsidRPr="00B2696E">
        <w:rPr>
          <w:rFonts w:cs="Arial"/>
          <w:szCs w:val="22"/>
        </w:rPr>
        <w:t>–1</w:t>
      </w:r>
      <w:r w:rsidR="00F42A6F" w:rsidRPr="00B2696E">
        <w:rPr>
          <w:rFonts w:cs="Arial"/>
          <w:szCs w:val="22"/>
        </w:rPr>
        <w:t>9</w:t>
      </w:r>
      <w:r w:rsidRPr="00B2696E">
        <w:rPr>
          <w:rFonts w:cs="Arial"/>
          <w:szCs w:val="22"/>
        </w:rPr>
        <w:t xml:space="preserve">, </w:t>
      </w:r>
      <w:r w:rsidR="00C12BE1" w:rsidRPr="00B2696E">
        <w:rPr>
          <w:rFonts w:cs="Arial"/>
          <w:szCs w:val="22"/>
        </w:rPr>
        <w:t xml:space="preserve">further </w:t>
      </w:r>
      <w:r w:rsidRPr="00B2696E">
        <w:rPr>
          <w:rFonts w:cs="Arial"/>
          <w:szCs w:val="22"/>
        </w:rPr>
        <w:t>overturning some of the recovery experienced</w:t>
      </w:r>
      <w:r w:rsidR="00913E2C">
        <w:rPr>
          <w:rFonts w:cs="Arial"/>
          <w:szCs w:val="22"/>
        </w:rPr>
        <w:t xml:space="preserve"> during a period from mid 2010 to mid 2017.</w:t>
      </w:r>
      <w:r w:rsidRPr="00B2696E">
        <w:rPr>
          <w:rFonts w:cs="Arial"/>
          <w:szCs w:val="22"/>
        </w:rPr>
        <w:t xml:space="preserve"> </w:t>
      </w:r>
      <w:r w:rsidR="00913E2C">
        <w:rPr>
          <w:rFonts w:cs="Arial"/>
          <w:szCs w:val="22"/>
        </w:rPr>
        <w:t>T</w:t>
      </w:r>
      <w:r w:rsidRPr="00B2696E">
        <w:rPr>
          <w:rFonts w:cs="Arial"/>
          <w:color w:val="000000" w:themeColor="text1"/>
          <w:szCs w:val="22"/>
        </w:rPr>
        <w:t xml:space="preserve">he condition grade </w:t>
      </w:r>
      <w:r w:rsidR="00913E2C">
        <w:rPr>
          <w:rFonts w:cs="Arial"/>
          <w:color w:val="000000" w:themeColor="text1"/>
          <w:szCs w:val="22"/>
        </w:rPr>
        <w:t xml:space="preserve">for inshore seagrass meadows has </w:t>
      </w:r>
      <w:r w:rsidR="00913E2C" w:rsidRPr="00B2696E">
        <w:rPr>
          <w:rFonts w:cs="Arial"/>
          <w:color w:val="000000" w:themeColor="text1"/>
          <w:szCs w:val="22"/>
        </w:rPr>
        <w:t>remain</w:t>
      </w:r>
      <w:r w:rsidR="00913E2C">
        <w:rPr>
          <w:rFonts w:cs="Arial"/>
          <w:color w:val="000000" w:themeColor="text1"/>
          <w:szCs w:val="22"/>
        </w:rPr>
        <w:t xml:space="preserve">ed </w:t>
      </w:r>
      <w:r w:rsidRPr="00B2696E">
        <w:rPr>
          <w:rFonts w:cs="Arial"/>
          <w:b/>
          <w:color w:val="000000" w:themeColor="text1"/>
          <w:szCs w:val="22"/>
        </w:rPr>
        <w:t>poor</w:t>
      </w:r>
      <w:r w:rsidRPr="00B2696E">
        <w:rPr>
          <w:rFonts w:cs="Arial"/>
          <w:szCs w:val="22"/>
        </w:rPr>
        <w:t>.</w:t>
      </w:r>
      <w:r w:rsidR="00994728" w:rsidRPr="00B2696E">
        <w:rPr>
          <w:rFonts w:cs="Arial"/>
          <w:szCs w:val="22"/>
        </w:rPr>
        <w:t xml:space="preserve"> All regions this year have an overall seagrass condition grade of poor, </w:t>
      </w:r>
      <w:r w:rsidR="0058590D" w:rsidRPr="00B2696E">
        <w:rPr>
          <w:rFonts w:cs="Arial"/>
          <w:szCs w:val="22"/>
        </w:rPr>
        <w:t>including</w:t>
      </w:r>
      <w:r w:rsidR="00994728" w:rsidRPr="00B2696E">
        <w:rPr>
          <w:rFonts w:cs="Arial"/>
          <w:szCs w:val="22"/>
        </w:rPr>
        <w:t xml:space="preserve"> a downgrade from moderate in the Burdekin region and </w:t>
      </w:r>
      <w:r w:rsidR="00215B71" w:rsidRPr="00B2696E">
        <w:rPr>
          <w:rFonts w:cs="Arial"/>
          <w:szCs w:val="22"/>
        </w:rPr>
        <w:t xml:space="preserve">an </w:t>
      </w:r>
      <w:r w:rsidR="00994728" w:rsidRPr="00B2696E">
        <w:rPr>
          <w:rFonts w:cs="Arial"/>
          <w:szCs w:val="22"/>
        </w:rPr>
        <w:t xml:space="preserve">improvement from very poor in the </w:t>
      </w:r>
      <w:r w:rsidR="00B72AC4">
        <w:rPr>
          <w:rFonts w:cs="Arial"/>
          <w:szCs w:val="22"/>
        </w:rPr>
        <w:t>Burnett–Mary</w:t>
      </w:r>
      <w:r w:rsidR="00994728" w:rsidRPr="00B2696E">
        <w:rPr>
          <w:rFonts w:cs="Arial"/>
          <w:szCs w:val="22"/>
        </w:rPr>
        <w:t xml:space="preserve"> region.</w:t>
      </w:r>
    </w:p>
    <w:p w14:paraId="482B8BAC" w14:textId="77777777" w:rsidR="00402F09" w:rsidRPr="00DA741D" w:rsidRDefault="00402F09" w:rsidP="00402F09">
      <w:pPr>
        <w:keepNext/>
        <w:jc w:val="center"/>
        <w:rPr>
          <w:color w:val="000000"/>
          <w:szCs w:val="22"/>
        </w:rPr>
      </w:pPr>
      <w:r w:rsidRPr="00DA741D">
        <w:rPr>
          <w:noProof/>
          <w:color w:val="000000"/>
          <w:szCs w:val="22"/>
          <w:lang w:eastAsia="en-AU"/>
        </w:rPr>
        <w:drawing>
          <wp:inline distT="0" distB="0" distL="0" distR="0" wp14:anchorId="28353565" wp14:editId="5E58DE72">
            <wp:extent cx="5179077" cy="3401942"/>
            <wp:effectExtent l="0" t="0" r="2540" b="8255"/>
            <wp:docPr id="13" name="Picture 13" descr="Scatter plot with straight lines and markers showing the Reef-wide seagrass condition index (including standard errors), with contributing indicator scores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NDEX_GBR_2016.png"/>
                    <pic:cNvPicPr/>
                  </pic:nvPicPr>
                  <pic:blipFill>
                    <a:blip r:embed="rId24"/>
                    <a:stretch>
                      <a:fillRect/>
                    </a:stretch>
                  </pic:blipFill>
                  <pic:spPr>
                    <a:xfrm>
                      <a:off x="0" y="0"/>
                      <a:ext cx="5179077" cy="3401942"/>
                    </a:xfrm>
                    <a:prstGeom prst="rect">
                      <a:avLst/>
                    </a:prstGeom>
                  </pic:spPr>
                </pic:pic>
              </a:graphicData>
            </a:graphic>
          </wp:inline>
        </w:drawing>
      </w:r>
    </w:p>
    <w:p w14:paraId="499A1210" w14:textId="4CEDA194" w:rsidR="00402F09" w:rsidRPr="00867E8C" w:rsidRDefault="00402F09" w:rsidP="00402F09">
      <w:pPr>
        <w:rPr>
          <w:rFonts w:cs="Arial"/>
          <w:i/>
          <w:vanish/>
          <w:color w:val="000000"/>
          <w:szCs w:val="22"/>
          <w:specVanish/>
        </w:rPr>
      </w:pPr>
      <w:bookmarkStart w:id="17" w:name="_Ref533006358"/>
      <w:bookmarkStart w:id="18" w:name="_Toc38634105"/>
      <w:r w:rsidRPr="00867E8C">
        <w:rPr>
          <w:rFonts w:cs="Arial"/>
          <w:szCs w:val="22"/>
        </w:rPr>
        <w:t xml:space="preserve">Figure </w:t>
      </w:r>
      <w:r w:rsidRPr="00867E8C">
        <w:rPr>
          <w:rFonts w:cs="Arial"/>
          <w:szCs w:val="22"/>
        </w:rPr>
        <w:fldChar w:fldCharType="begin"/>
      </w:r>
      <w:r w:rsidRPr="00867E8C">
        <w:rPr>
          <w:rFonts w:cs="Arial"/>
          <w:szCs w:val="22"/>
        </w:rPr>
        <w:instrText xml:space="preserve"> SEQ Figure \* ARABIC </w:instrText>
      </w:r>
      <w:r w:rsidRPr="00867E8C">
        <w:rPr>
          <w:rFonts w:cs="Arial"/>
          <w:szCs w:val="22"/>
        </w:rPr>
        <w:fldChar w:fldCharType="separate"/>
      </w:r>
      <w:r w:rsidR="0067675D">
        <w:rPr>
          <w:rFonts w:cs="Arial"/>
          <w:noProof/>
          <w:szCs w:val="22"/>
        </w:rPr>
        <w:t>1</w:t>
      </w:r>
      <w:r w:rsidRPr="00867E8C">
        <w:rPr>
          <w:rFonts w:cs="Arial"/>
          <w:szCs w:val="22"/>
        </w:rPr>
        <w:fldChar w:fldCharType="end"/>
      </w:r>
      <w:bookmarkEnd w:id="17"/>
      <w:r w:rsidRPr="00867E8C">
        <w:rPr>
          <w:rFonts w:cs="Arial"/>
          <w:szCs w:val="22"/>
        </w:rPr>
        <w:t xml:space="preserve">. </w:t>
      </w:r>
      <w:r w:rsidRPr="00867E8C">
        <w:rPr>
          <w:rFonts w:cs="Arial"/>
          <w:i/>
          <w:szCs w:val="22"/>
        </w:rPr>
        <w:t>Reef-wide seagrass condition index (±SE) with contributing indicator scores over the life of the MMP</w:t>
      </w:r>
      <w:bookmarkEnd w:id="18"/>
    </w:p>
    <w:p w14:paraId="36B3BBB7" w14:textId="3BF1F338" w:rsidR="00402F09" w:rsidRPr="00867E8C" w:rsidRDefault="00402F09" w:rsidP="00402F09">
      <w:pPr>
        <w:rPr>
          <w:rFonts w:cs="Arial"/>
          <w:szCs w:val="22"/>
        </w:rPr>
      </w:pPr>
      <w:r w:rsidRPr="00867E8C">
        <w:rPr>
          <w:rFonts w:cs="Arial"/>
          <w:i/>
          <w:szCs w:val="22"/>
        </w:rPr>
        <w:t xml:space="preserve">. The index is derived from the aggregate of metric scores for indicators of seagrass community </w:t>
      </w:r>
      <w:r w:rsidR="003A03FE" w:rsidRPr="00867E8C">
        <w:rPr>
          <w:rFonts w:cs="Arial"/>
          <w:i/>
          <w:szCs w:val="22"/>
        </w:rPr>
        <w:t>health.</w:t>
      </w:r>
      <w:r w:rsidR="003A03FE" w:rsidRPr="00867E8C">
        <w:rPr>
          <w:rFonts w:cs="Arial"/>
          <w:i/>
          <w:color w:val="000000"/>
          <w:szCs w:val="22"/>
        </w:rPr>
        <w:t xml:space="preserve"> </w:t>
      </w:r>
      <w:r w:rsidR="003A03FE" w:rsidRPr="00867E8C">
        <w:rPr>
          <w:rFonts w:cs="Arial"/>
          <w:i/>
          <w:szCs w:val="22"/>
        </w:rPr>
        <w:t>Index</w:t>
      </w:r>
      <w:r w:rsidRPr="00867E8C">
        <w:rPr>
          <w:rFonts w:cs="Arial"/>
          <w:i/>
          <w:szCs w:val="22"/>
        </w:rPr>
        <w:t xml:space="preserve"> scores </w:t>
      </w:r>
      <w:r w:rsidRPr="00867E8C">
        <w:rPr>
          <w:rFonts w:cs="Arial"/>
          <w:i/>
          <w:szCs w:val="22"/>
        </w:rPr>
        <w:lastRenderedPageBreak/>
        <w:t xml:space="preserve">scaled from 0–100 and graded: </w:t>
      </w:r>
      <w:r w:rsidRPr="00867E8C">
        <w:rPr>
          <w:rFonts w:cs="Arial"/>
          <w:color w:val="008000"/>
          <w:szCs w:val="22"/>
        </w:rPr>
        <w:t>●</w:t>
      </w:r>
      <w:r w:rsidRPr="00867E8C">
        <w:rPr>
          <w:rFonts w:cs="Arial"/>
          <w:i/>
          <w:szCs w:val="22"/>
        </w:rPr>
        <w:t xml:space="preserve"> = very good (81-100), </w:t>
      </w:r>
      <w:r w:rsidRPr="00867E8C">
        <w:rPr>
          <w:rFonts w:cs="Arial"/>
          <w:color w:val="92D050"/>
          <w:szCs w:val="22"/>
        </w:rPr>
        <w:t>●</w:t>
      </w:r>
      <w:r w:rsidRPr="00867E8C">
        <w:rPr>
          <w:rFonts w:cs="Arial"/>
          <w:i/>
          <w:szCs w:val="22"/>
        </w:rPr>
        <w:t xml:space="preserve"> = good (61 - 80), </w:t>
      </w:r>
      <w:r w:rsidRPr="00867E8C">
        <w:rPr>
          <w:rFonts w:cs="Arial"/>
          <w:color w:val="FFFF00"/>
          <w:szCs w:val="22"/>
        </w:rPr>
        <w:t>●</w:t>
      </w:r>
      <w:r w:rsidRPr="00867E8C">
        <w:rPr>
          <w:rFonts w:cs="Arial"/>
          <w:i/>
          <w:szCs w:val="22"/>
        </w:rPr>
        <w:t xml:space="preserve"> = moderate (41 - 60), </w:t>
      </w:r>
      <w:r w:rsidRPr="00867E8C">
        <w:rPr>
          <w:rFonts w:cs="Arial"/>
          <w:i/>
          <w:color w:val="FFC000"/>
          <w:szCs w:val="22"/>
        </w:rPr>
        <w:t>●</w:t>
      </w:r>
      <w:r w:rsidRPr="00867E8C">
        <w:rPr>
          <w:rFonts w:cs="Arial"/>
          <w:i/>
          <w:szCs w:val="22"/>
        </w:rPr>
        <w:t xml:space="preserve"> = poor (21 - 40), </w:t>
      </w:r>
      <w:r w:rsidRPr="00867E8C">
        <w:rPr>
          <w:rFonts w:cs="Arial"/>
          <w:i/>
          <w:color w:val="FF0000"/>
          <w:szCs w:val="22"/>
        </w:rPr>
        <w:t>●</w:t>
      </w:r>
      <w:r w:rsidRPr="00867E8C">
        <w:rPr>
          <w:rFonts w:cs="Arial"/>
          <w:i/>
          <w:szCs w:val="22"/>
        </w:rPr>
        <w:t> = very poor (0 - 20).</w:t>
      </w:r>
      <w:r w:rsidRPr="00867E8C">
        <w:rPr>
          <w:rFonts w:cs="Arial"/>
          <w:i/>
          <w:color w:val="000000"/>
          <w:szCs w:val="22"/>
        </w:rPr>
        <w:t xml:space="preserve"> NB: Scores</w:t>
      </w:r>
      <w:r w:rsidRPr="00867E8C">
        <w:rPr>
          <w:rFonts w:cs="Arial"/>
          <w:i/>
          <w:szCs w:val="22"/>
        </w:rPr>
        <w:t xml:space="preserve"> are unitless.</w:t>
      </w:r>
    </w:p>
    <w:p w14:paraId="3F5466DC" w14:textId="77777777" w:rsidR="00402F09" w:rsidRPr="00B2696E" w:rsidRDefault="00402F09" w:rsidP="00A55C45">
      <w:pPr>
        <w:rPr>
          <w:rFonts w:cs="Arial"/>
          <w:color w:val="000000" w:themeColor="text1"/>
          <w:szCs w:val="22"/>
        </w:rPr>
      </w:pPr>
    </w:p>
    <w:p w14:paraId="723238C3" w14:textId="3C7F61A2" w:rsidR="00A6044C" w:rsidRPr="00B2696E" w:rsidRDefault="00A6044C" w:rsidP="00A6044C">
      <w:pPr>
        <w:tabs>
          <w:tab w:val="left" w:pos="6804"/>
        </w:tabs>
        <w:rPr>
          <w:rFonts w:cs="Arial"/>
          <w:color w:val="000000" w:themeColor="text1"/>
          <w:szCs w:val="22"/>
        </w:rPr>
      </w:pPr>
      <w:r w:rsidRPr="00B2696E">
        <w:rPr>
          <w:rFonts w:cs="Arial"/>
          <w:color w:val="000000" w:themeColor="text1"/>
          <w:szCs w:val="22"/>
        </w:rPr>
        <w:t xml:space="preserve">Seagrass condition is a composite of three </w:t>
      </w:r>
      <w:r w:rsidR="00B72AC4" w:rsidRPr="00B2696E">
        <w:rPr>
          <w:rFonts w:cs="Arial"/>
          <w:color w:val="000000" w:themeColor="text1"/>
          <w:szCs w:val="22"/>
        </w:rPr>
        <w:t>indicators, which</w:t>
      </w:r>
      <w:r w:rsidRPr="00B2696E">
        <w:rPr>
          <w:rFonts w:cs="Arial"/>
          <w:color w:val="000000" w:themeColor="text1"/>
          <w:szCs w:val="22"/>
        </w:rPr>
        <w:t xml:space="preserve"> are measured at </w:t>
      </w:r>
      <w:r w:rsidR="004142AC">
        <w:rPr>
          <w:rFonts w:cs="Arial"/>
          <w:color w:val="000000" w:themeColor="text1"/>
          <w:szCs w:val="22"/>
        </w:rPr>
        <w:t>30</w:t>
      </w:r>
      <w:r w:rsidRPr="00B2696E">
        <w:rPr>
          <w:rFonts w:cs="Arial"/>
          <w:color w:val="000000" w:themeColor="text1"/>
          <w:szCs w:val="22"/>
        </w:rPr>
        <w:t xml:space="preserve"> locations (with duplicate sites nested within most locations) across the Reef. Combining these scores for all monitored seagrass meadows in a natural resource management region gives a rating for seagrass condition. Indicators are:</w:t>
      </w:r>
    </w:p>
    <w:p w14:paraId="0BB87EFD" w14:textId="6619EE88" w:rsidR="00A6044C" w:rsidRPr="00B2696E" w:rsidRDefault="00A6044C" w:rsidP="00541366">
      <w:pPr>
        <w:numPr>
          <w:ilvl w:val="0"/>
          <w:numId w:val="7"/>
        </w:numPr>
        <w:tabs>
          <w:tab w:val="left" w:pos="6804"/>
        </w:tabs>
        <w:rPr>
          <w:rFonts w:cs="Arial"/>
          <w:color w:val="000000" w:themeColor="text1"/>
          <w:szCs w:val="22"/>
        </w:rPr>
      </w:pPr>
      <w:r w:rsidRPr="00B2696E">
        <w:rPr>
          <w:rFonts w:cs="Arial"/>
          <w:color w:val="000000" w:themeColor="text1"/>
          <w:szCs w:val="22"/>
        </w:rPr>
        <w:t>seagrass abundance (</w:t>
      </w:r>
      <w:r w:rsidR="00887319">
        <w:rPr>
          <w:rFonts w:cs="Arial"/>
          <w:color w:val="000000" w:themeColor="text1"/>
          <w:szCs w:val="22"/>
        </w:rPr>
        <w:t xml:space="preserve">per cent </w:t>
      </w:r>
      <w:r w:rsidRPr="00B2696E">
        <w:rPr>
          <w:rFonts w:cs="Arial"/>
          <w:color w:val="000000" w:themeColor="text1"/>
          <w:szCs w:val="22"/>
        </w:rPr>
        <w:t>cover)</w:t>
      </w:r>
    </w:p>
    <w:p w14:paraId="3FEC63FC" w14:textId="77777777" w:rsidR="00A6044C" w:rsidRPr="00B2696E" w:rsidRDefault="00A6044C" w:rsidP="00541366">
      <w:pPr>
        <w:numPr>
          <w:ilvl w:val="0"/>
          <w:numId w:val="7"/>
        </w:numPr>
        <w:tabs>
          <w:tab w:val="left" w:pos="6804"/>
        </w:tabs>
        <w:rPr>
          <w:rFonts w:cs="Arial"/>
          <w:color w:val="000000" w:themeColor="text1"/>
          <w:szCs w:val="22"/>
        </w:rPr>
      </w:pPr>
      <w:r w:rsidRPr="00B2696E">
        <w:rPr>
          <w:rFonts w:cs="Arial"/>
          <w:color w:val="000000" w:themeColor="text1"/>
          <w:szCs w:val="22"/>
        </w:rPr>
        <w:t>reproductive effort</w:t>
      </w:r>
    </w:p>
    <w:p w14:paraId="6AC49D9A" w14:textId="77777777" w:rsidR="00A6044C" w:rsidRPr="00B2696E" w:rsidRDefault="00A6044C" w:rsidP="00541366">
      <w:pPr>
        <w:numPr>
          <w:ilvl w:val="0"/>
          <w:numId w:val="7"/>
        </w:numPr>
        <w:tabs>
          <w:tab w:val="left" w:pos="6804"/>
        </w:tabs>
        <w:rPr>
          <w:rFonts w:cs="Arial"/>
          <w:color w:val="000000" w:themeColor="text1"/>
          <w:szCs w:val="22"/>
        </w:rPr>
      </w:pPr>
      <w:r w:rsidRPr="00B2696E">
        <w:rPr>
          <w:rFonts w:cs="Arial"/>
          <w:color w:val="000000" w:themeColor="text1"/>
          <w:szCs w:val="22"/>
        </w:rPr>
        <w:t xml:space="preserve">leaf tissue nutrients. </w:t>
      </w:r>
    </w:p>
    <w:p w14:paraId="4DE95944" w14:textId="51ABF089" w:rsidR="008B4E3E" w:rsidRPr="00B2696E" w:rsidRDefault="00C84483" w:rsidP="00C84483">
      <w:pPr>
        <w:tabs>
          <w:tab w:val="left" w:pos="6804"/>
        </w:tabs>
        <w:rPr>
          <w:rFonts w:cs="Arial"/>
          <w:color w:val="000000" w:themeColor="text1"/>
          <w:szCs w:val="22"/>
        </w:rPr>
      </w:pPr>
      <w:r w:rsidRPr="00B2696E">
        <w:rPr>
          <w:rFonts w:cs="Arial"/>
          <w:color w:val="000000" w:themeColor="text1"/>
          <w:szCs w:val="22"/>
        </w:rPr>
        <w:t xml:space="preserve">Additional indicators of seagrass condition and resilience </w:t>
      </w:r>
      <w:r w:rsidR="00514689" w:rsidRPr="00B2696E">
        <w:rPr>
          <w:rFonts w:cs="Arial"/>
          <w:color w:val="000000" w:themeColor="text1"/>
          <w:szCs w:val="22"/>
        </w:rPr>
        <w:t xml:space="preserve">are assessed and used to assist with the interpretation of </w:t>
      </w:r>
      <w:r w:rsidR="008B4E3E" w:rsidRPr="00B2696E">
        <w:rPr>
          <w:rFonts w:cs="Arial"/>
          <w:color w:val="000000" w:themeColor="text1"/>
          <w:szCs w:val="22"/>
        </w:rPr>
        <w:t>condition</w:t>
      </w:r>
      <w:r w:rsidR="00514689" w:rsidRPr="00B2696E">
        <w:rPr>
          <w:rFonts w:cs="Arial"/>
          <w:color w:val="000000" w:themeColor="text1"/>
          <w:szCs w:val="22"/>
        </w:rPr>
        <w:t xml:space="preserve"> including:</w:t>
      </w:r>
      <w:r w:rsidRPr="00B2696E">
        <w:rPr>
          <w:rFonts w:cs="Arial"/>
          <w:color w:val="000000" w:themeColor="text1"/>
          <w:szCs w:val="22"/>
        </w:rPr>
        <w:t xml:space="preserve"> </w:t>
      </w:r>
    </w:p>
    <w:p w14:paraId="36641AA1" w14:textId="4C37A311" w:rsidR="008B4E3E" w:rsidRPr="00B2696E" w:rsidRDefault="00C84483" w:rsidP="00541366">
      <w:pPr>
        <w:numPr>
          <w:ilvl w:val="0"/>
          <w:numId w:val="8"/>
        </w:numPr>
        <w:tabs>
          <w:tab w:val="left" w:pos="6804"/>
        </w:tabs>
        <w:rPr>
          <w:rFonts w:cs="Arial"/>
          <w:color w:val="000000" w:themeColor="text1"/>
          <w:szCs w:val="22"/>
        </w:rPr>
      </w:pPr>
      <w:r w:rsidRPr="00B2696E">
        <w:rPr>
          <w:rFonts w:cs="Arial"/>
          <w:color w:val="000000" w:themeColor="text1"/>
          <w:szCs w:val="22"/>
        </w:rPr>
        <w:t xml:space="preserve">seagrass species composition </w:t>
      </w:r>
    </w:p>
    <w:p w14:paraId="738065F0" w14:textId="0D77A137" w:rsidR="008B4E3E" w:rsidRPr="00B2696E" w:rsidRDefault="00C84483" w:rsidP="00541366">
      <w:pPr>
        <w:numPr>
          <w:ilvl w:val="0"/>
          <w:numId w:val="8"/>
        </w:numPr>
        <w:tabs>
          <w:tab w:val="left" w:pos="6804"/>
        </w:tabs>
        <w:rPr>
          <w:rFonts w:cs="Arial"/>
          <w:color w:val="000000" w:themeColor="text1"/>
          <w:szCs w:val="22"/>
        </w:rPr>
      </w:pPr>
      <w:r w:rsidRPr="00B2696E">
        <w:rPr>
          <w:rFonts w:cs="Arial"/>
          <w:color w:val="000000" w:themeColor="text1"/>
          <w:szCs w:val="22"/>
        </w:rPr>
        <w:t xml:space="preserve">relative meadow extent </w:t>
      </w:r>
    </w:p>
    <w:p w14:paraId="16153452" w14:textId="09A5E082" w:rsidR="008B4E3E" w:rsidRPr="00B2696E" w:rsidRDefault="00C84483" w:rsidP="00541366">
      <w:pPr>
        <w:numPr>
          <w:ilvl w:val="0"/>
          <w:numId w:val="8"/>
        </w:numPr>
        <w:tabs>
          <w:tab w:val="left" w:pos="6804"/>
        </w:tabs>
        <w:rPr>
          <w:rFonts w:cs="Arial"/>
          <w:color w:val="000000" w:themeColor="text1"/>
          <w:szCs w:val="22"/>
        </w:rPr>
      </w:pPr>
      <w:r w:rsidRPr="00B2696E">
        <w:rPr>
          <w:rFonts w:cs="Arial"/>
          <w:color w:val="000000" w:themeColor="text1"/>
          <w:szCs w:val="22"/>
        </w:rPr>
        <w:t>density of seeds in the seed bank</w:t>
      </w:r>
      <w:r w:rsidR="005E43D1" w:rsidRPr="00B2696E">
        <w:rPr>
          <w:rFonts w:cs="Arial"/>
          <w:color w:val="000000" w:themeColor="text1"/>
          <w:szCs w:val="22"/>
        </w:rPr>
        <w:t>.</w:t>
      </w:r>
      <w:r w:rsidRPr="00B2696E">
        <w:rPr>
          <w:rFonts w:cs="Arial"/>
          <w:color w:val="000000" w:themeColor="text1"/>
          <w:szCs w:val="22"/>
        </w:rPr>
        <w:t xml:space="preserve"> </w:t>
      </w:r>
    </w:p>
    <w:p w14:paraId="51E0B60C" w14:textId="02C7FD81" w:rsidR="008B4E3E" w:rsidRPr="00B2696E" w:rsidRDefault="00C84483" w:rsidP="00C84483">
      <w:pPr>
        <w:tabs>
          <w:tab w:val="left" w:pos="6804"/>
        </w:tabs>
        <w:rPr>
          <w:rFonts w:cs="Arial"/>
          <w:color w:val="000000" w:themeColor="text1"/>
          <w:szCs w:val="22"/>
        </w:rPr>
      </w:pPr>
      <w:r w:rsidRPr="00B2696E">
        <w:rPr>
          <w:rFonts w:cs="Arial"/>
          <w:color w:val="000000" w:themeColor="text1"/>
          <w:szCs w:val="22"/>
        </w:rPr>
        <w:t>Environmental pressures are also recorded including</w:t>
      </w:r>
      <w:r w:rsidR="008B4E3E" w:rsidRPr="00B2696E">
        <w:rPr>
          <w:rFonts w:cs="Arial"/>
          <w:color w:val="000000" w:themeColor="text1"/>
          <w:szCs w:val="22"/>
        </w:rPr>
        <w:t>:</w:t>
      </w:r>
      <w:r w:rsidRPr="00B2696E">
        <w:rPr>
          <w:rFonts w:cs="Arial"/>
          <w:color w:val="000000" w:themeColor="text1"/>
          <w:szCs w:val="22"/>
        </w:rPr>
        <w:t xml:space="preserve"> </w:t>
      </w:r>
    </w:p>
    <w:p w14:paraId="15C94AD9" w14:textId="110DF2E5" w:rsidR="008B4E3E" w:rsidRPr="00B2696E" w:rsidRDefault="00C84483" w:rsidP="00541366">
      <w:pPr>
        <w:numPr>
          <w:ilvl w:val="0"/>
          <w:numId w:val="9"/>
        </w:numPr>
        <w:tabs>
          <w:tab w:val="left" w:pos="6804"/>
        </w:tabs>
        <w:rPr>
          <w:rFonts w:cs="Arial"/>
          <w:color w:val="000000" w:themeColor="text1"/>
          <w:szCs w:val="22"/>
        </w:rPr>
      </w:pPr>
      <w:r w:rsidRPr="00B2696E">
        <w:rPr>
          <w:rFonts w:cs="Arial"/>
          <w:color w:val="000000" w:themeColor="text1"/>
          <w:szCs w:val="22"/>
        </w:rPr>
        <w:t xml:space="preserve">within-canopy water temperature </w:t>
      </w:r>
    </w:p>
    <w:p w14:paraId="20885796" w14:textId="5F2BF808" w:rsidR="008B4E3E" w:rsidRPr="00B2696E" w:rsidRDefault="00C84483" w:rsidP="00541366">
      <w:pPr>
        <w:numPr>
          <w:ilvl w:val="0"/>
          <w:numId w:val="9"/>
        </w:numPr>
        <w:tabs>
          <w:tab w:val="left" w:pos="6804"/>
        </w:tabs>
        <w:rPr>
          <w:rFonts w:cs="Arial"/>
          <w:color w:val="000000" w:themeColor="text1"/>
          <w:szCs w:val="22"/>
        </w:rPr>
      </w:pPr>
      <w:r w:rsidRPr="00B2696E">
        <w:rPr>
          <w:rFonts w:cs="Arial"/>
          <w:color w:val="000000" w:themeColor="text1"/>
          <w:szCs w:val="22"/>
        </w:rPr>
        <w:t xml:space="preserve">within-canopy benthic light </w:t>
      </w:r>
    </w:p>
    <w:p w14:paraId="4C75BDB0" w14:textId="34D737A1" w:rsidR="008B4E3E" w:rsidRPr="00B2696E" w:rsidRDefault="00C84483" w:rsidP="00541366">
      <w:pPr>
        <w:numPr>
          <w:ilvl w:val="0"/>
          <w:numId w:val="9"/>
        </w:numPr>
        <w:tabs>
          <w:tab w:val="left" w:pos="6804"/>
        </w:tabs>
        <w:rPr>
          <w:rFonts w:cs="Arial"/>
          <w:color w:val="000000" w:themeColor="text1"/>
          <w:szCs w:val="22"/>
        </w:rPr>
      </w:pPr>
      <w:r w:rsidRPr="00B2696E">
        <w:rPr>
          <w:rFonts w:cs="Arial"/>
          <w:color w:val="000000" w:themeColor="text1"/>
          <w:szCs w:val="22"/>
        </w:rPr>
        <w:t xml:space="preserve">sediment composition </w:t>
      </w:r>
    </w:p>
    <w:p w14:paraId="4281A1F9" w14:textId="260F95D7" w:rsidR="008B4E3E" w:rsidRPr="00B2696E" w:rsidRDefault="00C84483" w:rsidP="00541366">
      <w:pPr>
        <w:numPr>
          <w:ilvl w:val="0"/>
          <w:numId w:val="9"/>
        </w:numPr>
        <w:tabs>
          <w:tab w:val="left" w:pos="6804"/>
        </w:tabs>
        <w:rPr>
          <w:rFonts w:cs="Arial"/>
          <w:color w:val="000000" w:themeColor="text1"/>
          <w:szCs w:val="22"/>
        </w:rPr>
      </w:pPr>
      <w:r w:rsidRPr="00B2696E">
        <w:rPr>
          <w:rFonts w:cs="Arial"/>
          <w:color w:val="000000" w:themeColor="text1"/>
          <w:szCs w:val="22"/>
        </w:rPr>
        <w:t>macroalgae and epiphyte abundance</w:t>
      </w:r>
      <w:r w:rsidR="005E43D1" w:rsidRPr="00B2696E">
        <w:rPr>
          <w:rFonts w:cs="Arial"/>
          <w:color w:val="000000" w:themeColor="text1"/>
          <w:szCs w:val="22"/>
        </w:rPr>
        <w:t>.</w:t>
      </w:r>
      <w:r w:rsidRPr="00B2696E">
        <w:rPr>
          <w:rFonts w:cs="Arial"/>
          <w:color w:val="000000" w:themeColor="text1"/>
          <w:szCs w:val="22"/>
        </w:rPr>
        <w:t xml:space="preserve"> </w:t>
      </w:r>
    </w:p>
    <w:p w14:paraId="6BAB65C2" w14:textId="38CA5B20" w:rsidR="00C84483" w:rsidRPr="00B2696E" w:rsidRDefault="000765C6" w:rsidP="00C84483">
      <w:pPr>
        <w:tabs>
          <w:tab w:val="left" w:pos="6804"/>
        </w:tabs>
        <w:rPr>
          <w:rFonts w:cs="Arial"/>
          <w:color w:val="000000" w:themeColor="text1"/>
          <w:szCs w:val="22"/>
        </w:rPr>
      </w:pPr>
      <w:r>
        <w:rPr>
          <w:rFonts w:cs="Arial"/>
          <w:color w:val="000000" w:themeColor="text1"/>
          <w:szCs w:val="22"/>
        </w:rPr>
        <w:t>The majority of i</w:t>
      </w:r>
      <w:r w:rsidR="0082030C" w:rsidRPr="00B2696E">
        <w:rPr>
          <w:rFonts w:cs="Arial"/>
          <w:color w:val="000000" w:themeColor="text1"/>
          <w:szCs w:val="22"/>
        </w:rPr>
        <w:t>nshore seagrass monitoring s</w:t>
      </w:r>
      <w:r w:rsidR="00C84483" w:rsidRPr="00B2696E">
        <w:rPr>
          <w:rFonts w:cs="Arial"/>
          <w:color w:val="000000" w:themeColor="text1"/>
          <w:szCs w:val="22"/>
        </w:rPr>
        <w:t xml:space="preserve">ites </w:t>
      </w:r>
      <w:r>
        <w:rPr>
          <w:rFonts w:cs="Arial"/>
          <w:color w:val="000000" w:themeColor="text1"/>
          <w:szCs w:val="22"/>
        </w:rPr>
        <w:t>are located in</w:t>
      </w:r>
      <w:r w:rsidRPr="00B2696E">
        <w:rPr>
          <w:rFonts w:cs="Arial"/>
          <w:color w:val="000000" w:themeColor="text1"/>
          <w:szCs w:val="22"/>
        </w:rPr>
        <w:t xml:space="preserve"> </w:t>
      </w:r>
      <w:r w:rsidR="00C84483" w:rsidRPr="00B2696E">
        <w:rPr>
          <w:rFonts w:cs="Arial"/>
          <w:color w:val="000000" w:themeColor="text1"/>
          <w:szCs w:val="22"/>
        </w:rPr>
        <w:t xml:space="preserve">predominately lower littoral </w:t>
      </w:r>
      <w:r>
        <w:rPr>
          <w:rFonts w:cs="Arial"/>
          <w:color w:val="000000" w:themeColor="text1"/>
          <w:szCs w:val="22"/>
        </w:rPr>
        <w:t xml:space="preserve">areas </w:t>
      </w:r>
      <w:r w:rsidR="00C84483" w:rsidRPr="00B2696E">
        <w:rPr>
          <w:rFonts w:cs="Arial"/>
          <w:color w:val="000000" w:themeColor="text1"/>
          <w:szCs w:val="22"/>
        </w:rPr>
        <w:t xml:space="preserve">(only exposed to air at the lowest of low tides), hereafter referred to as intertidal, although </w:t>
      </w:r>
      <w:r w:rsidR="008F624A" w:rsidRPr="00B2696E">
        <w:rPr>
          <w:rFonts w:cs="Arial"/>
          <w:color w:val="000000" w:themeColor="text1"/>
          <w:szCs w:val="22"/>
        </w:rPr>
        <w:t>eight</w:t>
      </w:r>
      <w:r w:rsidR="00C84483" w:rsidRPr="00B2696E">
        <w:rPr>
          <w:rFonts w:cs="Arial"/>
          <w:color w:val="000000" w:themeColor="text1"/>
          <w:szCs w:val="22"/>
        </w:rPr>
        <w:t xml:space="preserve"> locations also inc</w:t>
      </w:r>
      <w:r w:rsidR="00EE4726" w:rsidRPr="00B2696E">
        <w:rPr>
          <w:rFonts w:cs="Arial"/>
          <w:color w:val="000000" w:themeColor="text1"/>
          <w:szCs w:val="22"/>
        </w:rPr>
        <w:t>luded shallow subtidal meadows. E</w:t>
      </w:r>
      <w:r w:rsidR="00C84483" w:rsidRPr="00B2696E">
        <w:rPr>
          <w:rFonts w:cs="Arial"/>
          <w:color w:val="000000" w:themeColor="text1"/>
          <w:szCs w:val="22"/>
        </w:rPr>
        <w:t xml:space="preserve">ach of the major seagrass habitat types </w:t>
      </w:r>
      <w:r w:rsidR="00EE4726" w:rsidRPr="00B2696E">
        <w:rPr>
          <w:rFonts w:cs="Arial"/>
          <w:color w:val="000000" w:themeColor="text1"/>
          <w:szCs w:val="22"/>
        </w:rPr>
        <w:t xml:space="preserve">(estuarine, coastal, reef, subtidal) were assessed in each </w:t>
      </w:r>
      <w:r w:rsidR="008B4E3E" w:rsidRPr="00B2696E">
        <w:rPr>
          <w:rFonts w:cs="Arial"/>
          <w:color w:val="000000" w:themeColor="text1"/>
          <w:szCs w:val="22"/>
        </w:rPr>
        <w:t xml:space="preserve">region </w:t>
      </w:r>
      <w:r w:rsidR="00C84483" w:rsidRPr="00B2696E">
        <w:rPr>
          <w:rFonts w:cs="Arial"/>
          <w:color w:val="000000" w:themeColor="text1"/>
          <w:szCs w:val="22"/>
        </w:rPr>
        <w:t>where possible.</w:t>
      </w:r>
    </w:p>
    <w:p w14:paraId="1672C021" w14:textId="16E11CD6" w:rsidR="00994728" w:rsidRPr="00B2696E" w:rsidRDefault="00566EC3" w:rsidP="00994728">
      <w:pPr>
        <w:autoSpaceDE w:val="0"/>
        <w:autoSpaceDN w:val="0"/>
        <w:adjustRightInd w:val="0"/>
        <w:rPr>
          <w:rFonts w:cs="Arial"/>
          <w:szCs w:val="22"/>
        </w:rPr>
      </w:pPr>
      <w:r>
        <w:rPr>
          <w:rFonts w:cs="Arial"/>
          <w:szCs w:val="22"/>
        </w:rPr>
        <w:lastRenderedPageBreak/>
        <w:t xml:space="preserve">Since </w:t>
      </w:r>
      <w:r w:rsidRPr="00B2696E">
        <w:rPr>
          <w:rFonts w:cs="Arial"/>
          <w:szCs w:val="22"/>
        </w:rPr>
        <w:t>2010–11</w:t>
      </w:r>
      <w:r>
        <w:rPr>
          <w:rFonts w:cs="Arial"/>
          <w:szCs w:val="22"/>
        </w:rPr>
        <w:t>, s</w:t>
      </w:r>
      <w:r w:rsidR="00A6044C" w:rsidRPr="00B2696E">
        <w:rPr>
          <w:rFonts w:cs="Arial"/>
          <w:szCs w:val="22"/>
        </w:rPr>
        <w:t>eagrass abundance had been increasing at most locations, but declined in condition in the past two reporting years</w:t>
      </w:r>
      <w:r>
        <w:rPr>
          <w:rFonts w:cs="Arial"/>
          <w:szCs w:val="22"/>
        </w:rPr>
        <w:t>,</w:t>
      </w:r>
      <w:r w:rsidR="00A6044C" w:rsidRPr="00B2696E">
        <w:rPr>
          <w:rFonts w:cs="Arial"/>
          <w:szCs w:val="22"/>
        </w:rPr>
        <w:t xml:space="preserve"> including</w:t>
      </w:r>
      <w:r w:rsidR="005F204E" w:rsidRPr="00B2696E">
        <w:rPr>
          <w:rFonts w:cs="Arial"/>
          <w:color w:val="000000" w:themeColor="text1"/>
          <w:szCs w:val="22"/>
        </w:rPr>
        <w:t xml:space="preserve"> 201</w:t>
      </w:r>
      <w:r w:rsidR="008B1B4D" w:rsidRPr="00B2696E">
        <w:rPr>
          <w:rFonts w:cs="Arial"/>
          <w:color w:val="000000" w:themeColor="text1"/>
          <w:szCs w:val="22"/>
        </w:rPr>
        <w:t>8</w:t>
      </w:r>
      <w:r w:rsidR="00C81636" w:rsidRPr="00B2696E">
        <w:rPr>
          <w:rFonts w:cs="Arial"/>
          <w:color w:val="000000" w:themeColor="text1"/>
          <w:szCs w:val="22"/>
        </w:rPr>
        <w:t>–</w:t>
      </w:r>
      <w:r w:rsidR="005F204E" w:rsidRPr="00B2696E">
        <w:rPr>
          <w:rFonts w:cs="Arial"/>
          <w:color w:val="000000" w:themeColor="text1"/>
          <w:szCs w:val="22"/>
        </w:rPr>
        <w:t>1</w:t>
      </w:r>
      <w:r w:rsidR="008B1B4D" w:rsidRPr="00B2696E">
        <w:rPr>
          <w:rFonts w:cs="Arial"/>
          <w:color w:val="000000" w:themeColor="text1"/>
          <w:szCs w:val="22"/>
        </w:rPr>
        <w:t>9</w:t>
      </w:r>
      <w:r w:rsidR="00A6044C" w:rsidRPr="00B2696E">
        <w:rPr>
          <w:rFonts w:cs="Arial"/>
          <w:color w:val="000000" w:themeColor="text1"/>
          <w:szCs w:val="22"/>
        </w:rPr>
        <w:t>. T</w:t>
      </w:r>
      <w:r w:rsidR="006C17B6" w:rsidRPr="00B2696E">
        <w:rPr>
          <w:rFonts w:cs="Arial"/>
          <w:color w:val="000000" w:themeColor="text1"/>
          <w:szCs w:val="22"/>
        </w:rPr>
        <w:t>he</w:t>
      </w:r>
      <w:r w:rsidR="00A6044C" w:rsidRPr="00B2696E">
        <w:rPr>
          <w:rFonts w:cs="Arial"/>
          <w:color w:val="000000" w:themeColor="text1"/>
          <w:szCs w:val="22"/>
        </w:rPr>
        <w:t xml:space="preserve"> decline </w:t>
      </w:r>
      <w:r w:rsidR="000765C6">
        <w:rPr>
          <w:rFonts w:cs="Arial"/>
          <w:color w:val="000000" w:themeColor="text1"/>
          <w:szCs w:val="22"/>
        </w:rPr>
        <w:t>over</w:t>
      </w:r>
      <w:r w:rsidR="000765C6" w:rsidRPr="00B2696E">
        <w:rPr>
          <w:rFonts w:cs="Arial"/>
          <w:color w:val="000000" w:themeColor="text1"/>
          <w:szCs w:val="22"/>
        </w:rPr>
        <w:t xml:space="preserve"> </w:t>
      </w:r>
      <w:r w:rsidR="006C17B6" w:rsidRPr="00B2696E">
        <w:rPr>
          <w:rFonts w:cs="Arial"/>
          <w:color w:val="000000" w:themeColor="text1"/>
          <w:szCs w:val="22"/>
        </w:rPr>
        <w:t xml:space="preserve">the </w:t>
      </w:r>
      <w:r w:rsidR="00215B71" w:rsidRPr="00B2696E">
        <w:rPr>
          <w:rFonts w:cs="Arial"/>
          <w:color w:val="000000" w:themeColor="text1"/>
          <w:szCs w:val="22"/>
        </w:rPr>
        <w:t>past</w:t>
      </w:r>
      <w:r w:rsidR="006C17B6" w:rsidRPr="00B2696E">
        <w:rPr>
          <w:rFonts w:cs="Arial"/>
          <w:color w:val="000000" w:themeColor="text1"/>
          <w:szCs w:val="22"/>
        </w:rPr>
        <w:t xml:space="preserve"> two years </w:t>
      </w:r>
      <w:r w:rsidR="000765C6">
        <w:rPr>
          <w:rFonts w:cs="Arial"/>
          <w:color w:val="000000" w:themeColor="text1"/>
          <w:szCs w:val="22"/>
        </w:rPr>
        <w:t xml:space="preserve">is a result of both recent and past events, </w:t>
      </w:r>
      <w:r w:rsidR="00A6044C" w:rsidRPr="00B2696E">
        <w:rPr>
          <w:rFonts w:cs="Arial"/>
          <w:szCs w:val="22"/>
        </w:rPr>
        <w:t>including</w:t>
      </w:r>
      <w:r w:rsidR="008B1B4D" w:rsidRPr="00B2696E">
        <w:rPr>
          <w:rFonts w:cs="Arial"/>
          <w:szCs w:val="22"/>
        </w:rPr>
        <w:t xml:space="preserve"> </w:t>
      </w:r>
      <w:r w:rsidR="00E1607B" w:rsidRPr="00B2696E">
        <w:rPr>
          <w:rFonts w:cs="Arial"/>
          <w:szCs w:val="22"/>
        </w:rPr>
        <w:t xml:space="preserve">cyclone </w:t>
      </w:r>
      <w:r w:rsidR="005F204E" w:rsidRPr="00B2696E">
        <w:rPr>
          <w:rFonts w:cs="Arial"/>
          <w:szCs w:val="22"/>
        </w:rPr>
        <w:t xml:space="preserve">Debbie </w:t>
      </w:r>
      <w:r w:rsidR="00B72AC4" w:rsidRPr="00B2696E">
        <w:rPr>
          <w:rFonts w:cs="Arial"/>
          <w:szCs w:val="22"/>
        </w:rPr>
        <w:t>that</w:t>
      </w:r>
      <w:r w:rsidR="005F204E" w:rsidRPr="00B2696E">
        <w:rPr>
          <w:rFonts w:cs="Arial"/>
          <w:szCs w:val="22"/>
        </w:rPr>
        <w:t xml:space="preserve"> crossed the coast near Airlie Beach in the </w:t>
      </w:r>
      <w:r w:rsidR="00B72AC4">
        <w:rPr>
          <w:rFonts w:cs="Arial"/>
          <w:szCs w:val="22"/>
        </w:rPr>
        <w:t>Mackay–Whitsunday</w:t>
      </w:r>
      <w:r w:rsidR="005F204E" w:rsidRPr="00B2696E">
        <w:rPr>
          <w:rFonts w:cs="Arial"/>
          <w:szCs w:val="22"/>
        </w:rPr>
        <w:t xml:space="preserve"> region </w:t>
      </w:r>
      <w:r w:rsidR="00A6044C" w:rsidRPr="00B2696E">
        <w:rPr>
          <w:rFonts w:cs="Arial"/>
          <w:szCs w:val="22"/>
        </w:rPr>
        <w:t xml:space="preserve">in 2017 </w:t>
      </w:r>
      <w:r w:rsidR="005F204E" w:rsidRPr="00B2696E">
        <w:rPr>
          <w:rFonts w:cs="Arial"/>
          <w:szCs w:val="22"/>
        </w:rPr>
        <w:t>and marine heatwave</w:t>
      </w:r>
      <w:r w:rsidR="000765C6">
        <w:rPr>
          <w:rFonts w:cs="Arial"/>
          <w:szCs w:val="22"/>
        </w:rPr>
        <w:t>s</w:t>
      </w:r>
      <w:r w:rsidR="005F204E" w:rsidRPr="00B2696E">
        <w:rPr>
          <w:rFonts w:cs="Arial"/>
          <w:szCs w:val="22"/>
        </w:rPr>
        <w:t xml:space="preserve"> that affected all inshore seagrass meadows</w:t>
      </w:r>
      <w:r w:rsidR="00A6044C" w:rsidRPr="00B2696E">
        <w:rPr>
          <w:rFonts w:cs="Arial"/>
          <w:szCs w:val="22"/>
        </w:rPr>
        <w:t xml:space="preserve"> in </w:t>
      </w:r>
      <w:r w:rsidR="009E31B9" w:rsidRPr="00B2696E">
        <w:rPr>
          <w:rFonts w:cs="Arial"/>
          <w:szCs w:val="22"/>
        </w:rPr>
        <w:t>2014</w:t>
      </w:r>
      <w:r w:rsidR="009E31B9" w:rsidRPr="00B2696E">
        <w:rPr>
          <w:rFonts w:cs="Arial"/>
          <w:color w:val="000000" w:themeColor="text1"/>
          <w:szCs w:val="22"/>
        </w:rPr>
        <w:t>–</w:t>
      </w:r>
      <w:r w:rsidR="00A6044C" w:rsidRPr="00B2696E">
        <w:rPr>
          <w:rFonts w:cs="Arial"/>
          <w:szCs w:val="22"/>
        </w:rPr>
        <w:t xml:space="preserve">15 and </w:t>
      </w:r>
      <w:r w:rsidR="009E31B9" w:rsidRPr="00B2696E">
        <w:rPr>
          <w:rFonts w:cs="Arial"/>
          <w:szCs w:val="22"/>
        </w:rPr>
        <w:t>2015</w:t>
      </w:r>
      <w:r w:rsidR="009E31B9" w:rsidRPr="00B2696E">
        <w:rPr>
          <w:rFonts w:cs="Arial"/>
          <w:color w:val="000000" w:themeColor="text1"/>
          <w:szCs w:val="22"/>
        </w:rPr>
        <w:t>–</w:t>
      </w:r>
      <w:r w:rsidR="00A6044C" w:rsidRPr="00B2696E">
        <w:rPr>
          <w:rFonts w:cs="Arial"/>
          <w:szCs w:val="22"/>
        </w:rPr>
        <w:t xml:space="preserve">16. In </w:t>
      </w:r>
      <w:r w:rsidR="00640A90" w:rsidRPr="00B2696E">
        <w:rPr>
          <w:rFonts w:cs="Arial"/>
          <w:szCs w:val="22"/>
        </w:rPr>
        <w:t>2018</w:t>
      </w:r>
      <w:r w:rsidR="00640A90" w:rsidRPr="00B2696E">
        <w:rPr>
          <w:rFonts w:cs="Arial"/>
          <w:color w:val="000000" w:themeColor="text1"/>
          <w:szCs w:val="22"/>
        </w:rPr>
        <w:t>–</w:t>
      </w:r>
      <w:r w:rsidR="00640A90" w:rsidRPr="00B2696E">
        <w:rPr>
          <w:rFonts w:cs="Arial"/>
          <w:szCs w:val="22"/>
        </w:rPr>
        <w:t>19</w:t>
      </w:r>
      <w:r w:rsidR="00A6044C" w:rsidRPr="00B2696E">
        <w:rPr>
          <w:rFonts w:cs="Arial"/>
          <w:szCs w:val="22"/>
        </w:rPr>
        <w:t xml:space="preserve">, heavy rainfall and above-average discharge from the Burdekin River and many of the small rivers in the Burdekin region, affected five of the six </w:t>
      </w:r>
      <w:r w:rsidR="00620160">
        <w:rPr>
          <w:rFonts w:cs="Arial"/>
          <w:szCs w:val="22"/>
        </w:rPr>
        <w:t>sentinel monitoring sites</w:t>
      </w:r>
      <w:r w:rsidR="00A6044C" w:rsidRPr="00B2696E">
        <w:rPr>
          <w:rFonts w:cs="Arial"/>
          <w:szCs w:val="22"/>
        </w:rPr>
        <w:t xml:space="preserve"> in </w:t>
      </w:r>
      <w:r w:rsidR="00ED75EA">
        <w:rPr>
          <w:rFonts w:cs="Arial"/>
          <w:szCs w:val="22"/>
        </w:rPr>
        <w:t>this area</w:t>
      </w:r>
      <w:r w:rsidR="005F204E" w:rsidRPr="00B2696E">
        <w:rPr>
          <w:rFonts w:cs="Arial"/>
          <w:szCs w:val="22"/>
        </w:rPr>
        <w:t xml:space="preserve">. </w:t>
      </w:r>
      <w:r w:rsidR="006316D3" w:rsidRPr="00B2696E">
        <w:rPr>
          <w:rFonts w:cs="Arial"/>
          <w:szCs w:val="22"/>
        </w:rPr>
        <w:t xml:space="preserve">As a result, </w:t>
      </w:r>
      <w:r w:rsidR="00A6044C" w:rsidRPr="00B2696E">
        <w:rPr>
          <w:rFonts w:cs="Arial"/>
          <w:szCs w:val="22"/>
        </w:rPr>
        <w:t xml:space="preserve">there was a </w:t>
      </w:r>
      <w:r w:rsidR="00640A90" w:rsidRPr="00B2696E">
        <w:rPr>
          <w:rFonts w:cs="Arial"/>
          <w:szCs w:val="22"/>
        </w:rPr>
        <w:t xml:space="preserve">large </w:t>
      </w:r>
      <w:r w:rsidR="00A6044C" w:rsidRPr="00B2696E">
        <w:rPr>
          <w:rFonts w:cs="Arial"/>
          <w:szCs w:val="22"/>
        </w:rPr>
        <w:t xml:space="preserve">decline in </w:t>
      </w:r>
      <w:r w:rsidR="00620160">
        <w:rPr>
          <w:rFonts w:cs="Arial"/>
          <w:szCs w:val="22"/>
        </w:rPr>
        <w:t xml:space="preserve">seagrass </w:t>
      </w:r>
      <w:r w:rsidR="00A6044C" w:rsidRPr="00B2696E">
        <w:rPr>
          <w:rFonts w:cs="Arial"/>
          <w:szCs w:val="22"/>
        </w:rPr>
        <w:t>abundance</w:t>
      </w:r>
      <w:r w:rsidR="00620160">
        <w:rPr>
          <w:rFonts w:cs="Arial"/>
          <w:szCs w:val="22"/>
        </w:rPr>
        <w:t xml:space="preserve"> and extent</w:t>
      </w:r>
      <w:r w:rsidR="00A6044C" w:rsidRPr="00B2696E">
        <w:rPr>
          <w:rFonts w:cs="Arial"/>
          <w:szCs w:val="22"/>
        </w:rPr>
        <w:t xml:space="preserve"> in the Burdekin region, </w:t>
      </w:r>
      <w:r w:rsidR="00ED75EA">
        <w:rPr>
          <w:rFonts w:cs="Arial"/>
          <w:szCs w:val="22"/>
        </w:rPr>
        <w:t>however</w:t>
      </w:r>
      <w:r w:rsidR="00ED75EA" w:rsidRPr="00B2696E">
        <w:rPr>
          <w:rFonts w:cs="Arial"/>
          <w:szCs w:val="22"/>
        </w:rPr>
        <w:t xml:space="preserve"> </w:t>
      </w:r>
      <w:r w:rsidR="00A6044C" w:rsidRPr="00B2696E">
        <w:rPr>
          <w:rFonts w:cs="Arial"/>
          <w:szCs w:val="22"/>
        </w:rPr>
        <w:t>abundance remained similar to the previous year in other regions</w:t>
      </w:r>
      <w:r>
        <w:rPr>
          <w:rFonts w:cs="Arial"/>
          <w:szCs w:val="22"/>
        </w:rPr>
        <w:t>,</w:t>
      </w:r>
      <w:r w:rsidR="006C17B6" w:rsidRPr="00B2696E">
        <w:rPr>
          <w:rFonts w:cs="Arial"/>
          <w:szCs w:val="22"/>
        </w:rPr>
        <w:t xml:space="preserve"> and overall the abundance score </w:t>
      </w:r>
      <w:r w:rsidR="00215B71" w:rsidRPr="00B2696E">
        <w:rPr>
          <w:rFonts w:cs="Arial"/>
          <w:szCs w:val="22"/>
        </w:rPr>
        <w:t xml:space="preserve">remained unchanged from </w:t>
      </w:r>
      <w:r w:rsidR="00956639" w:rsidRPr="00B2696E">
        <w:rPr>
          <w:rFonts w:cs="Arial"/>
          <w:szCs w:val="22"/>
        </w:rPr>
        <w:t>2018–19</w:t>
      </w:r>
      <w:r w:rsidR="00215B71" w:rsidRPr="00B2696E">
        <w:rPr>
          <w:rFonts w:cs="Arial"/>
          <w:szCs w:val="22"/>
        </w:rPr>
        <w:t xml:space="preserve"> </w:t>
      </w:r>
      <w:r w:rsidR="006C17B6" w:rsidRPr="00B2696E">
        <w:rPr>
          <w:rFonts w:cs="Arial"/>
          <w:szCs w:val="22"/>
        </w:rPr>
        <w:t xml:space="preserve">for the </w:t>
      </w:r>
      <w:r w:rsidR="004A2EBC">
        <w:rPr>
          <w:rFonts w:cs="Arial"/>
          <w:szCs w:val="22"/>
        </w:rPr>
        <w:t>Reef</w:t>
      </w:r>
      <w:r w:rsidR="00215B71" w:rsidRPr="00B2696E">
        <w:rPr>
          <w:rFonts w:cs="Arial"/>
          <w:szCs w:val="22"/>
        </w:rPr>
        <w:t xml:space="preserve"> as a whole</w:t>
      </w:r>
      <w:r w:rsidR="00A6044C" w:rsidRPr="00B2696E">
        <w:rPr>
          <w:rFonts w:cs="Arial"/>
          <w:szCs w:val="22"/>
        </w:rPr>
        <w:t xml:space="preserve">. </w:t>
      </w:r>
    </w:p>
    <w:p w14:paraId="7A85C024" w14:textId="045F0139" w:rsidR="005F204E" w:rsidRPr="00B2696E" w:rsidRDefault="005F204E" w:rsidP="005F204E">
      <w:pPr>
        <w:rPr>
          <w:rFonts w:cs="Arial"/>
          <w:szCs w:val="22"/>
        </w:rPr>
      </w:pPr>
      <w:r w:rsidRPr="00B2696E">
        <w:rPr>
          <w:rFonts w:cs="Arial"/>
          <w:szCs w:val="22"/>
        </w:rPr>
        <w:t>Reproductive effort is a measure of resilience</w:t>
      </w:r>
      <w:r w:rsidR="00620160">
        <w:rPr>
          <w:rFonts w:cs="Arial"/>
          <w:szCs w:val="22"/>
        </w:rPr>
        <w:t>/recovery capacity</w:t>
      </w:r>
      <w:r w:rsidRPr="00B2696E">
        <w:rPr>
          <w:rFonts w:cs="Arial"/>
          <w:szCs w:val="22"/>
        </w:rPr>
        <w:t xml:space="preserve"> where the production of new </w:t>
      </w:r>
      <w:r w:rsidR="00620160" w:rsidRPr="00B2696E">
        <w:rPr>
          <w:rFonts w:cs="Arial"/>
          <w:szCs w:val="22"/>
        </w:rPr>
        <w:t xml:space="preserve">fruits </w:t>
      </w:r>
      <w:r w:rsidRPr="00B2696E">
        <w:rPr>
          <w:rFonts w:cs="Arial"/>
          <w:szCs w:val="22"/>
        </w:rPr>
        <w:t xml:space="preserve">or </w:t>
      </w:r>
      <w:r w:rsidR="00620160" w:rsidRPr="00B2696E">
        <w:rPr>
          <w:rFonts w:cs="Arial"/>
          <w:szCs w:val="22"/>
        </w:rPr>
        <w:t xml:space="preserve">seeds </w:t>
      </w:r>
      <w:r w:rsidRPr="00B2696E">
        <w:rPr>
          <w:rFonts w:cs="Arial"/>
          <w:szCs w:val="22"/>
        </w:rPr>
        <w:t>by</w:t>
      </w:r>
      <w:r w:rsidR="00A6044C" w:rsidRPr="00B2696E">
        <w:rPr>
          <w:rFonts w:cs="Arial"/>
          <w:szCs w:val="22"/>
        </w:rPr>
        <w:t xml:space="preserve"> </w:t>
      </w:r>
      <w:r w:rsidRPr="00B2696E">
        <w:rPr>
          <w:rFonts w:cs="Arial"/>
          <w:szCs w:val="22"/>
        </w:rPr>
        <w:t xml:space="preserve">a meadow in each season provides the basis of new propagules for recruitment in the following year. </w:t>
      </w:r>
      <w:r w:rsidR="00566EC3">
        <w:rPr>
          <w:rFonts w:cs="Arial"/>
          <w:szCs w:val="22"/>
        </w:rPr>
        <w:t>T</w:t>
      </w:r>
      <w:r w:rsidRPr="00B2696E">
        <w:rPr>
          <w:rFonts w:cs="Arial"/>
          <w:szCs w:val="22"/>
        </w:rPr>
        <w:t xml:space="preserve">he likelihood that the meadows are able to recover </w:t>
      </w:r>
      <w:r w:rsidR="004A2EBC">
        <w:rPr>
          <w:rFonts w:cs="Arial"/>
          <w:szCs w:val="22"/>
        </w:rPr>
        <w:t>is</w:t>
      </w:r>
      <w:r w:rsidRPr="00B2696E">
        <w:rPr>
          <w:rFonts w:cs="Arial"/>
          <w:szCs w:val="22"/>
        </w:rPr>
        <w:t xml:space="preserve"> informed by the measure of reproductive effort. In addition, sexual reproduction is likely to enhance meadow scale genetic diversity</w:t>
      </w:r>
      <w:r w:rsidR="003C1DF5">
        <w:rPr>
          <w:rFonts w:cs="Arial"/>
          <w:szCs w:val="22"/>
        </w:rPr>
        <w:t>,</w:t>
      </w:r>
      <w:r w:rsidRPr="00B2696E">
        <w:rPr>
          <w:rFonts w:cs="Arial"/>
          <w:szCs w:val="22"/>
        </w:rPr>
        <w:t xml:space="preserve"> </w:t>
      </w:r>
      <w:r w:rsidR="003C1DF5">
        <w:rPr>
          <w:rFonts w:cs="Arial"/>
          <w:szCs w:val="22"/>
        </w:rPr>
        <w:t xml:space="preserve">therefore </w:t>
      </w:r>
      <w:r w:rsidRPr="00B2696E">
        <w:rPr>
          <w:rFonts w:cs="Arial"/>
          <w:szCs w:val="22"/>
        </w:rPr>
        <w:t>increasing ‘resistance’ of the meadow to disturbance.</w:t>
      </w:r>
      <w:r w:rsidR="006C17B6" w:rsidRPr="00B2696E">
        <w:rPr>
          <w:rFonts w:cs="Arial"/>
          <w:szCs w:val="22"/>
        </w:rPr>
        <w:t xml:space="preserve"> Reproductive effort</w:t>
      </w:r>
      <w:r w:rsidR="00D832E9">
        <w:rPr>
          <w:rFonts w:cs="Arial"/>
          <w:szCs w:val="22"/>
        </w:rPr>
        <w:t xml:space="preserve"> declined at over a third of sites, remaining very poor at two thirds of sites, and </w:t>
      </w:r>
      <w:r w:rsidR="006C17B6" w:rsidRPr="00B2696E">
        <w:rPr>
          <w:rFonts w:cs="Arial"/>
          <w:szCs w:val="22"/>
        </w:rPr>
        <w:t xml:space="preserve">very </w:t>
      </w:r>
      <w:r w:rsidR="00E0758B" w:rsidRPr="00B2696E">
        <w:rPr>
          <w:rFonts w:cs="Arial"/>
          <w:szCs w:val="22"/>
        </w:rPr>
        <w:t>poor</w:t>
      </w:r>
      <w:r w:rsidR="006C17B6" w:rsidRPr="00B2696E">
        <w:rPr>
          <w:rFonts w:cs="Arial"/>
          <w:szCs w:val="22"/>
        </w:rPr>
        <w:t xml:space="preserve"> in four regions, except the Wet Tropics and </w:t>
      </w:r>
      <w:r w:rsidR="00B72AC4">
        <w:rPr>
          <w:rFonts w:cs="Arial"/>
          <w:szCs w:val="22"/>
        </w:rPr>
        <w:t>Burnett–Mary</w:t>
      </w:r>
      <w:r w:rsidR="00D832E9">
        <w:rPr>
          <w:rFonts w:cs="Arial"/>
          <w:szCs w:val="22"/>
        </w:rPr>
        <w:t>. Th</w:t>
      </w:r>
      <w:r w:rsidR="004A2EBC">
        <w:rPr>
          <w:rFonts w:cs="Arial"/>
          <w:szCs w:val="22"/>
        </w:rPr>
        <w:t>is</w:t>
      </w:r>
      <w:r w:rsidR="00D832E9">
        <w:rPr>
          <w:rFonts w:cs="Arial"/>
          <w:szCs w:val="22"/>
        </w:rPr>
        <w:t xml:space="preserve"> very poor r</w:t>
      </w:r>
      <w:r w:rsidR="00D832E9" w:rsidRPr="00B2696E">
        <w:rPr>
          <w:rFonts w:cs="Arial"/>
          <w:szCs w:val="22"/>
        </w:rPr>
        <w:t>eproductive effort</w:t>
      </w:r>
      <w:r w:rsidR="00D832E9">
        <w:rPr>
          <w:rFonts w:cs="Arial"/>
          <w:szCs w:val="22"/>
        </w:rPr>
        <w:t xml:space="preserve"> </w:t>
      </w:r>
      <w:r w:rsidR="006C17B6" w:rsidRPr="00B2696E">
        <w:rPr>
          <w:rFonts w:cs="Arial"/>
          <w:szCs w:val="22"/>
        </w:rPr>
        <w:t>was the main cause of the continued downturn in</w:t>
      </w:r>
      <w:r w:rsidR="00E0758B" w:rsidRPr="00B2696E">
        <w:rPr>
          <w:rFonts w:cs="Arial"/>
          <w:szCs w:val="22"/>
        </w:rPr>
        <w:t xml:space="preserve"> </w:t>
      </w:r>
      <w:r w:rsidR="006C17B6" w:rsidRPr="00B2696E">
        <w:rPr>
          <w:rFonts w:cs="Arial"/>
          <w:szCs w:val="22"/>
        </w:rPr>
        <w:t xml:space="preserve">the overall condition index in </w:t>
      </w:r>
      <w:r w:rsidR="006C17B6" w:rsidRPr="00B2696E">
        <w:rPr>
          <w:rFonts w:cs="Arial"/>
          <w:color w:val="000000" w:themeColor="text1"/>
          <w:szCs w:val="22"/>
        </w:rPr>
        <w:t>2018–19</w:t>
      </w:r>
      <w:r w:rsidR="006C17B6" w:rsidRPr="00B2696E">
        <w:rPr>
          <w:rFonts w:cs="Arial"/>
          <w:szCs w:val="22"/>
        </w:rPr>
        <w:t xml:space="preserve">. </w:t>
      </w:r>
      <w:r w:rsidR="00994728" w:rsidRPr="00B2696E">
        <w:rPr>
          <w:rFonts w:cs="Arial"/>
          <w:szCs w:val="22"/>
        </w:rPr>
        <w:t xml:space="preserve">Of particular concern is that reproductive effort remains well below historical levels and continues to decline. Furthermore, most </w:t>
      </w:r>
      <w:r w:rsidR="00842B3F">
        <w:rPr>
          <w:rFonts w:cs="Arial"/>
          <w:szCs w:val="22"/>
        </w:rPr>
        <w:t xml:space="preserve">of the </w:t>
      </w:r>
      <w:r w:rsidR="00994728" w:rsidRPr="00B2696E">
        <w:rPr>
          <w:rFonts w:cs="Arial"/>
          <w:szCs w:val="22"/>
        </w:rPr>
        <w:t>reef</w:t>
      </w:r>
      <w:r w:rsidR="00842B3F">
        <w:rPr>
          <w:rFonts w:cs="Arial"/>
          <w:szCs w:val="22"/>
        </w:rPr>
        <w:t xml:space="preserve"> habitat</w:t>
      </w:r>
      <w:r w:rsidR="00994728" w:rsidRPr="00B2696E">
        <w:rPr>
          <w:rFonts w:cs="Arial"/>
          <w:szCs w:val="22"/>
        </w:rPr>
        <w:t xml:space="preserve"> </w:t>
      </w:r>
      <w:r w:rsidR="000765C6">
        <w:rPr>
          <w:rFonts w:cs="Arial"/>
          <w:szCs w:val="22"/>
        </w:rPr>
        <w:t>seagrass monitoring</w:t>
      </w:r>
      <w:r w:rsidR="000765C6" w:rsidRPr="00B2696E">
        <w:rPr>
          <w:rFonts w:cs="Arial"/>
          <w:szCs w:val="22"/>
        </w:rPr>
        <w:t xml:space="preserve"> </w:t>
      </w:r>
      <w:r w:rsidR="00994728" w:rsidRPr="00B2696E">
        <w:rPr>
          <w:rFonts w:cs="Arial"/>
          <w:szCs w:val="22"/>
        </w:rPr>
        <w:t xml:space="preserve">sites have </w:t>
      </w:r>
      <w:r w:rsidR="004142AC">
        <w:rPr>
          <w:rFonts w:cs="Arial"/>
          <w:szCs w:val="22"/>
        </w:rPr>
        <w:t xml:space="preserve">almost </w:t>
      </w:r>
      <w:r w:rsidR="00994728" w:rsidRPr="00B2696E">
        <w:rPr>
          <w:rFonts w:cs="Arial"/>
          <w:szCs w:val="22"/>
        </w:rPr>
        <w:t>no seed banks making them highly vulnerable to future disturbances.</w:t>
      </w:r>
    </w:p>
    <w:p w14:paraId="6CA7F30C" w14:textId="083360A2" w:rsidR="00E0758B" w:rsidRPr="00B2696E" w:rsidRDefault="00E0758B" w:rsidP="00E0758B">
      <w:pPr>
        <w:rPr>
          <w:rFonts w:cs="Arial"/>
          <w:szCs w:val="22"/>
        </w:rPr>
      </w:pPr>
      <w:r w:rsidRPr="00B2696E">
        <w:rPr>
          <w:rFonts w:cs="Arial"/>
          <w:szCs w:val="22"/>
        </w:rPr>
        <w:t xml:space="preserve">Seagrass tissue nutrients indicate the availability of nitrogen relative to growth demand (i.e. </w:t>
      </w:r>
      <w:r w:rsidRPr="008F796D">
        <w:rPr>
          <w:rFonts w:cs="Arial"/>
          <w:szCs w:val="22"/>
        </w:rPr>
        <w:t xml:space="preserve">carbon </w:t>
      </w:r>
      <w:r w:rsidRPr="00B431BB">
        <w:rPr>
          <w:rFonts w:cs="Arial"/>
          <w:szCs w:val="22"/>
        </w:rPr>
        <w:t xml:space="preserve">fixation). The leaf tissue nutrient indicator declined slightly in 2018–19. </w:t>
      </w:r>
      <w:r w:rsidRPr="00B431BB">
        <w:rPr>
          <w:rFonts w:cs="Arial"/>
          <w:szCs w:val="22"/>
          <w:lang w:val="en-GB"/>
        </w:rPr>
        <w:t xml:space="preserve">Just </w:t>
      </w:r>
      <w:r w:rsidR="008F796D" w:rsidRPr="00B431BB">
        <w:rPr>
          <w:rFonts w:cs="Arial"/>
          <w:szCs w:val="22"/>
          <w:lang w:val="en-GB"/>
        </w:rPr>
        <w:t>over</w:t>
      </w:r>
      <w:r w:rsidRPr="00B431BB">
        <w:rPr>
          <w:rFonts w:cs="Arial"/>
          <w:szCs w:val="22"/>
          <w:lang w:val="en-GB"/>
        </w:rPr>
        <w:t xml:space="preserve"> 50 </w:t>
      </w:r>
      <w:r w:rsidR="00887319">
        <w:rPr>
          <w:rFonts w:cs="Arial"/>
          <w:szCs w:val="22"/>
          <w:lang w:val="en-GB"/>
        </w:rPr>
        <w:t xml:space="preserve">per cent </w:t>
      </w:r>
      <w:r w:rsidRPr="00B431BB">
        <w:rPr>
          <w:rFonts w:cs="Arial"/>
          <w:szCs w:val="22"/>
          <w:lang w:val="en-GB"/>
        </w:rPr>
        <w:t xml:space="preserve">of sites displayed symptoms of nutrient enrichment, with </w:t>
      </w:r>
      <w:r w:rsidR="002876A8" w:rsidRPr="00B431BB">
        <w:rPr>
          <w:rFonts w:cs="Arial"/>
          <w:szCs w:val="22"/>
          <w:lang w:val="en-GB"/>
        </w:rPr>
        <w:t>18</w:t>
      </w:r>
      <w:r w:rsidRPr="00B431BB">
        <w:rPr>
          <w:rFonts w:cs="Arial"/>
          <w:szCs w:val="22"/>
          <w:lang w:val="en-GB"/>
        </w:rPr>
        <w:t xml:space="preserve"> </w:t>
      </w:r>
      <w:r w:rsidR="00887319">
        <w:rPr>
          <w:rFonts w:cs="Arial"/>
          <w:szCs w:val="22"/>
          <w:lang w:val="en-GB"/>
        </w:rPr>
        <w:t>per</w:t>
      </w:r>
      <w:r w:rsidR="007C25B9">
        <w:rPr>
          <w:rFonts w:cs="Arial"/>
          <w:szCs w:val="22"/>
          <w:lang w:val="en-GB"/>
        </w:rPr>
        <w:t> </w:t>
      </w:r>
      <w:r w:rsidR="00887319">
        <w:rPr>
          <w:rFonts w:cs="Arial"/>
          <w:szCs w:val="22"/>
          <w:lang w:val="en-GB"/>
        </w:rPr>
        <w:t xml:space="preserve">cent </w:t>
      </w:r>
      <w:r w:rsidRPr="00B431BB">
        <w:rPr>
          <w:rFonts w:cs="Arial"/>
          <w:szCs w:val="22"/>
          <w:lang w:val="en-GB"/>
        </w:rPr>
        <w:t xml:space="preserve">inferring elevated nitrogen </w:t>
      </w:r>
      <w:r w:rsidR="003E5B3F">
        <w:rPr>
          <w:rFonts w:cs="Arial"/>
          <w:szCs w:val="22"/>
          <w:lang w:val="en-GB"/>
        </w:rPr>
        <w:t>(predominately coastal habitats</w:t>
      </w:r>
      <w:r w:rsidRPr="00B431BB">
        <w:rPr>
          <w:rFonts w:cs="Arial"/>
          <w:szCs w:val="22"/>
          <w:lang w:val="en-GB"/>
        </w:rPr>
        <w:t xml:space="preserve">). </w:t>
      </w:r>
      <w:r w:rsidR="003C1DF5">
        <w:rPr>
          <w:rFonts w:cs="Arial"/>
          <w:szCs w:val="22"/>
          <w:lang w:val="en-GB"/>
        </w:rPr>
        <w:t>While</w:t>
      </w:r>
      <w:r w:rsidR="003C1DF5" w:rsidRPr="00B431BB">
        <w:rPr>
          <w:rFonts w:cs="Arial"/>
          <w:szCs w:val="22"/>
          <w:lang w:val="en-GB"/>
        </w:rPr>
        <w:t xml:space="preserve"> </w:t>
      </w:r>
      <w:r w:rsidR="009D0643">
        <w:rPr>
          <w:rFonts w:cs="Arial"/>
          <w:szCs w:val="22"/>
          <w:lang w:val="en-GB"/>
        </w:rPr>
        <w:t xml:space="preserve">14 per cent of sites with </w:t>
      </w:r>
      <w:r w:rsidR="009D0643" w:rsidRPr="00B431BB">
        <w:rPr>
          <w:rFonts w:cs="Arial"/>
          <w:szCs w:val="22"/>
          <w:lang w:val="en-GB"/>
        </w:rPr>
        <w:t xml:space="preserve">higher than average </w:t>
      </w:r>
      <w:r w:rsidR="009D0643">
        <w:rPr>
          <w:rFonts w:cs="Arial"/>
          <w:szCs w:val="22"/>
          <w:lang w:val="en-GB"/>
        </w:rPr>
        <w:t>and</w:t>
      </w:r>
      <w:r w:rsidRPr="00B431BB">
        <w:rPr>
          <w:rFonts w:cs="Arial"/>
          <w:szCs w:val="22"/>
          <w:lang w:val="en-GB"/>
        </w:rPr>
        <w:t xml:space="preserve"> </w:t>
      </w:r>
      <w:r w:rsidR="009D0643">
        <w:rPr>
          <w:rFonts w:cs="Arial"/>
          <w:szCs w:val="22"/>
          <w:lang w:val="en-GB"/>
        </w:rPr>
        <w:t xml:space="preserve">increasing </w:t>
      </w:r>
      <w:r w:rsidR="009D0643" w:rsidRPr="00B431BB">
        <w:rPr>
          <w:rFonts w:cs="Arial"/>
          <w:szCs w:val="22"/>
          <w:lang w:val="en-GB"/>
        </w:rPr>
        <w:t xml:space="preserve">epiphyte abundances </w:t>
      </w:r>
      <w:r w:rsidR="007C25B9" w:rsidRPr="00B431BB">
        <w:rPr>
          <w:rFonts w:cs="Arial"/>
          <w:szCs w:val="22"/>
          <w:lang w:val="en-GB"/>
        </w:rPr>
        <w:t>suggest some level of increased nutrient availability</w:t>
      </w:r>
      <w:r w:rsidR="007C25B9">
        <w:rPr>
          <w:rFonts w:cs="Arial"/>
          <w:szCs w:val="22"/>
          <w:lang w:val="en-GB"/>
        </w:rPr>
        <w:t>.</w:t>
      </w:r>
    </w:p>
    <w:p w14:paraId="44FB68E1" w14:textId="5CBE88FD" w:rsidR="002454F4" w:rsidRPr="00B2696E" w:rsidRDefault="005F204E" w:rsidP="005F204E">
      <w:pPr>
        <w:rPr>
          <w:rFonts w:cs="Arial"/>
          <w:szCs w:val="22"/>
        </w:rPr>
      </w:pPr>
      <w:r w:rsidRPr="00B2696E">
        <w:rPr>
          <w:rFonts w:cs="Arial"/>
          <w:szCs w:val="22"/>
        </w:rPr>
        <w:lastRenderedPageBreak/>
        <w:t xml:space="preserve">Indicators of </w:t>
      </w:r>
      <w:r w:rsidR="004B40AF" w:rsidRPr="00B2696E">
        <w:rPr>
          <w:rFonts w:cs="Arial"/>
          <w:szCs w:val="22"/>
        </w:rPr>
        <w:t>reduced resilience</w:t>
      </w:r>
      <w:r w:rsidRPr="00B2696E">
        <w:rPr>
          <w:rFonts w:cs="Arial"/>
          <w:szCs w:val="22"/>
        </w:rPr>
        <w:t xml:space="preserve"> include: </w:t>
      </w:r>
    </w:p>
    <w:p w14:paraId="74FCF4E7" w14:textId="300F041E" w:rsidR="005C1908" w:rsidRPr="00B2696E" w:rsidRDefault="005C1908" w:rsidP="003F4D32">
      <w:pPr>
        <w:numPr>
          <w:ilvl w:val="0"/>
          <w:numId w:val="10"/>
        </w:numPr>
        <w:rPr>
          <w:rFonts w:cs="Arial"/>
          <w:szCs w:val="22"/>
        </w:rPr>
      </w:pPr>
      <w:r w:rsidRPr="00B2696E">
        <w:rPr>
          <w:rFonts w:cs="Arial"/>
          <w:szCs w:val="22"/>
        </w:rPr>
        <w:t>decreasing abundance at nearly a third of the meadows monitored</w:t>
      </w:r>
      <w:r w:rsidR="00620160">
        <w:rPr>
          <w:rFonts w:cs="Arial"/>
          <w:szCs w:val="22"/>
        </w:rPr>
        <w:t>,</w:t>
      </w:r>
      <w:r w:rsidRPr="00B2696E">
        <w:rPr>
          <w:rFonts w:cs="Arial"/>
          <w:szCs w:val="22"/>
        </w:rPr>
        <w:t xml:space="preserve"> predominately in the Burdekin and northern Wet Tropics regions</w:t>
      </w:r>
    </w:p>
    <w:p w14:paraId="274C3CE1" w14:textId="3986C47A" w:rsidR="005C1908" w:rsidRPr="00B2696E" w:rsidRDefault="005C1908" w:rsidP="003F4D32">
      <w:pPr>
        <w:numPr>
          <w:ilvl w:val="0"/>
          <w:numId w:val="10"/>
        </w:numPr>
        <w:rPr>
          <w:rFonts w:cs="Arial"/>
          <w:szCs w:val="22"/>
        </w:rPr>
      </w:pPr>
      <w:r w:rsidRPr="00B2696E">
        <w:rPr>
          <w:rFonts w:cs="Arial"/>
          <w:szCs w:val="22"/>
        </w:rPr>
        <w:t xml:space="preserve">lower than average composition of foundational species at nearly a quarter of </w:t>
      </w:r>
      <w:r w:rsidR="00620160">
        <w:rPr>
          <w:rFonts w:cs="Arial"/>
          <w:szCs w:val="22"/>
        </w:rPr>
        <w:t xml:space="preserve">all </w:t>
      </w:r>
      <w:r w:rsidRPr="00B2696E">
        <w:rPr>
          <w:rFonts w:cs="Arial"/>
          <w:szCs w:val="22"/>
        </w:rPr>
        <w:t>sites</w:t>
      </w:r>
    </w:p>
    <w:p w14:paraId="32C850FE" w14:textId="208E3FC9" w:rsidR="005C1908" w:rsidRPr="00B2696E" w:rsidRDefault="005C1908" w:rsidP="003F4D32">
      <w:pPr>
        <w:numPr>
          <w:ilvl w:val="0"/>
          <w:numId w:val="10"/>
        </w:numPr>
        <w:rPr>
          <w:rFonts w:cs="Arial"/>
          <w:szCs w:val="22"/>
        </w:rPr>
      </w:pPr>
      <w:r w:rsidRPr="00B2696E">
        <w:rPr>
          <w:rFonts w:cs="Arial"/>
          <w:szCs w:val="22"/>
        </w:rPr>
        <w:t xml:space="preserve">declining extent at nearly a quarter of meadows, with reef habitats in the Burdekin region and estuarine habitats from </w:t>
      </w:r>
      <w:r w:rsidR="00B72AC4">
        <w:rPr>
          <w:rFonts w:cs="Arial"/>
          <w:szCs w:val="22"/>
        </w:rPr>
        <w:t>Mackay–Whitsunday</w:t>
      </w:r>
      <w:r w:rsidRPr="00B2696E">
        <w:rPr>
          <w:rFonts w:cs="Arial"/>
          <w:szCs w:val="22"/>
        </w:rPr>
        <w:t xml:space="preserve"> sou</w:t>
      </w:r>
      <w:r w:rsidR="00620160">
        <w:rPr>
          <w:rFonts w:cs="Arial"/>
          <w:szCs w:val="22"/>
        </w:rPr>
        <w:t>th showing the greatest decline</w:t>
      </w:r>
    </w:p>
    <w:p w14:paraId="49D7DE2A" w14:textId="4D42A43C" w:rsidR="005C1908" w:rsidRPr="00B2696E" w:rsidRDefault="005C1908" w:rsidP="003F4D32">
      <w:pPr>
        <w:numPr>
          <w:ilvl w:val="0"/>
          <w:numId w:val="10"/>
        </w:numPr>
        <w:rPr>
          <w:rFonts w:cs="Arial"/>
          <w:szCs w:val="22"/>
        </w:rPr>
      </w:pPr>
      <w:r w:rsidRPr="00B2696E">
        <w:rPr>
          <w:rFonts w:cs="Arial"/>
          <w:szCs w:val="22"/>
        </w:rPr>
        <w:t>below long-term average reproductive effort at 84</w:t>
      </w:r>
      <w:r w:rsidR="007F7222">
        <w:rPr>
          <w:rFonts w:cs="Arial"/>
          <w:szCs w:val="22"/>
        </w:rPr>
        <w:t xml:space="preserve"> per cent</w:t>
      </w:r>
      <w:r w:rsidRPr="00B2696E">
        <w:rPr>
          <w:rFonts w:cs="Arial"/>
          <w:szCs w:val="22"/>
        </w:rPr>
        <w:t xml:space="preserve"> of site</w:t>
      </w:r>
      <w:r w:rsidR="007F7222">
        <w:rPr>
          <w:rFonts w:cs="Arial"/>
          <w:szCs w:val="22"/>
        </w:rPr>
        <w:t>s</w:t>
      </w:r>
      <w:r w:rsidRPr="00B2696E">
        <w:rPr>
          <w:rFonts w:cs="Arial"/>
          <w:szCs w:val="22"/>
        </w:rPr>
        <w:t xml:space="preserve">, with declining and very poor reproductive effort at </w:t>
      </w:r>
      <w:r w:rsidR="00D832E9">
        <w:rPr>
          <w:rFonts w:cs="Arial"/>
          <w:szCs w:val="22"/>
        </w:rPr>
        <w:t>64</w:t>
      </w:r>
      <w:r w:rsidRPr="00B2696E">
        <w:rPr>
          <w:rFonts w:cs="Arial"/>
          <w:szCs w:val="22"/>
        </w:rPr>
        <w:t xml:space="preserve"> per cent of sites (reproductive structure</w:t>
      </w:r>
      <w:r w:rsidR="00620160">
        <w:rPr>
          <w:rFonts w:cs="Arial"/>
          <w:szCs w:val="22"/>
        </w:rPr>
        <w:t>s absent from nearly half)</w:t>
      </w:r>
    </w:p>
    <w:p w14:paraId="7972CC71" w14:textId="68E84052" w:rsidR="005C1908" w:rsidRPr="00B2696E" w:rsidRDefault="005C1908" w:rsidP="003F4D32">
      <w:pPr>
        <w:numPr>
          <w:ilvl w:val="0"/>
          <w:numId w:val="10"/>
        </w:numPr>
        <w:rPr>
          <w:rFonts w:cs="Arial"/>
          <w:szCs w:val="22"/>
        </w:rPr>
      </w:pPr>
      <w:r w:rsidRPr="00B2696E">
        <w:rPr>
          <w:rFonts w:cs="Arial"/>
          <w:szCs w:val="22"/>
        </w:rPr>
        <w:t xml:space="preserve">declining seed banks at 38 per cent of sites, with seed banks now absent from </w:t>
      </w:r>
      <w:r w:rsidR="00620160">
        <w:rPr>
          <w:rFonts w:cs="Arial"/>
          <w:szCs w:val="22"/>
        </w:rPr>
        <w:t xml:space="preserve">nearly half of the </w:t>
      </w:r>
      <w:r w:rsidRPr="00B2696E">
        <w:rPr>
          <w:rFonts w:cs="Arial"/>
          <w:szCs w:val="22"/>
        </w:rPr>
        <w:t>sites.</w:t>
      </w:r>
    </w:p>
    <w:p w14:paraId="5EB5DF3F" w14:textId="7A412AF6" w:rsidR="005F204E" w:rsidRPr="00B2696E" w:rsidRDefault="00D649A4" w:rsidP="005F204E">
      <w:pPr>
        <w:rPr>
          <w:rFonts w:cs="Arial"/>
          <w:szCs w:val="22"/>
        </w:rPr>
      </w:pPr>
      <w:r w:rsidRPr="00110E76">
        <w:rPr>
          <w:rFonts w:cs="Arial"/>
          <w:szCs w:val="22"/>
        </w:rPr>
        <w:t>B</w:t>
      </w:r>
      <w:r>
        <w:rPr>
          <w:rFonts w:cs="Arial"/>
          <w:szCs w:val="22"/>
        </w:rPr>
        <w:t>e</w:t>
      </w:r>
      <w:r w:rsidRPr="00110E76">
        <w:rPr>
          <w:rFonts w:cs="Arial"/>
          <w:szCs w:val="22"/>
        </w:rPr>
        <w:t xml:space="preserve">nthic light availability </w:t>
      </w:r>
      <w:r>
        <w:rPr>
          <w:rFonts w:cs="Arial"/>
          <w:szCs w:val="22"/>
          <w:lang w:val="en-GB"/>
        </w:rPr>
        <w:t>was</w:t>
      </w:r>
      <w:r w:rsidR="005F204E" w:rsidRPr="00110E76">
        <w:rPr>
          <w:rFonts w:cs="Arial"/>
          <w:szCs w:val="22"/>
        </w:rPr>
        <w:t xml:space="preserve"> lower </w:t>
      </w:r>
      <w:r w:rsidR="006C1554" w:rsidRPr="00110E76">
        <w:rPr>
          <w:rFonts w:cs="Arial"/>
          <w:szCs w:val="22"/>
        </w:rPr>
        <w:t xml:space="preserve">than average </w:t>
      </w:r>
      <w:r w:rsidR="005F204E" w:rsidRPr="00110E76">
        <w:rPr>
          <w:rFonts w:cs="Arial"/>
          <w:szCs w:val="22"/>
        </w:rPr>
        <w:t xml:space="preserve">at </w:t>
      </w:r>
      <w:r w:rsidR="005F204E" w:rsidRPr="00110E76">
        <w:rPr>
          <w:rFonts w:cs="Arial"/>
          <w:szCs w:val="22"/>
          <w:lang w:val="en-GB"/>
        </w:rPr>
        <w:t>nearly half the meadows monitored (particularly across the</w:t>
      </w:r>
      <w:r w:rsidR="00110E76" w:rsidRPr="00110E76">
        <w:rPr>
          <w:rFonts w:cs="Arial"/>
          <w:szCs w:val="22"/>
          <w:lang w:val="en-GB"/>
        </w:rPr>
        <w:t xml:space="preserve"> Fitzroy</w:t>
      </w:r>
      <w:r w:rsidR="00620160">
        <w:rPr>
          <w:rFonts w:cs="Arial"/>
          <w:szCs w:val="22"/>
          <w:lang w:val="en-GB"/>
        </w:rPr>
        <w:t>,</w:t>
      </w:r>
      <w:r w:rsidR="00110E76" w:rsidRPr="00110E76">
        <w:rPr>
          <w:rFonts w:cs="Arial"/>
          <w:szCs w:val="22"/>
          <w:lang w:val="en-GB"/>
        </w:rPr>
        <w:t xml:space="preserve"> Cape York and Wet Tropics </w:t>
      </w:r>
      <w:r w:rsidR="005F204E" w:rsidRPr="00110E76">
        <w:rPr>
          <w:rFonts w:cs="Arial"/>
          <w:szCs w:val="22"/>
          <w:lang w:val="en-GB"/>
        </w:rPr>
        <w:t>regions)</w:t>
      </w:r>
      <w:r w:rsidR="007F1DD7">
        <w:rPr>
          <w:rFonts w:cs="Arial"/>
          <w:szCs w:val="22"/>
          <w:lang w:val="en-GB"/>
        </w:rPr>
        <w:t>.</w:t>
      </w:r>
      <w:r w:rsidR="005F204E" w:rsidRPr="00110E76">
        <w:rPr>
          <w:rFonts w:cs="Arial"/>
          <w:szCs w:val="22"/>
          <w:lang w:val="en-GB"/>
        </w:rPr>
        <w:t xml:space="preserve"> </w:t>
      </w:r>
      <w:r w:rsidR="007F1DD7">
        <w:rPr>
          <w:rFonts w:cs="Arial"/>
          <w:szCs w:val="22"/>
          <w:lang w:val="en-GB"/>
        </w:rPr>
        <w:t>Six of the 27 locations assessed had light availability</w:t>
      </w:r>
      <w:r w:rsidR="007F1DD7" w:rsidRPr="00110E76">
        <w:rPr>
          <w:rFonts w:cs="Arial"/>
          <w:szCs w:val="22"/>
          <w:lang w:val="en-GB"/>
        </w:rPr>
        <w:t xml:space="preserve"> </w:t>
      </w:r>
      <w:r w:rsidR="007F1DD7">
        <w:rPr>
          <w:rFonts w:cs="Arial"/>
          <w:szCs w:val="22"/>
          <w:lang w:val="en-GB"/>
        </w:rPr>
        <w:t>below levels supportive of long-term growth.</w:t>
      </w:r>
    </w:p>
    <w:p w14:paraId="1A9CE754" w14:textId="168EF6FB" w:rsidR="00854CC7" w:rsidRPr="00B2696E" w:rsidRDefault="00293CEB" w:rsidP="005F204E">
      <w:pPr>
        <w:rPr>
          <w:rFonts w:cs="Arial"/>
          <w:szCs w:val="22"/>
        </w:rPr>
      </w:pPr>
      <w:r w:rsidRPr="003A15F4">
        <w:rPr>
          <w:rFonts w:cs="Arial"/>
          <w:szCs w:val="22"/>
          <w:lang w:val="en-GB"/>
        </w:rPr>
        <w:t xml:space="preserve">The findings suggest </w:t>
      </w:r>
      <w:r w:rsidR="003F2CA6">
        <w:rPr>
          <w:rFonts w:cs="Arial"/>
          <w:szCs w:val="22"/>
          <w:lang w:val="en-GB"/>
        </w:rPr>
        <w:t xml:space="preserve">seagrass in </w:t>
      </w:r>
      <w:r w:rsidR="005F204E" w:rsidRPr="003A15F4">
        <w:rPr>
          <w:rFonts w:cs="Arial"/>
          <w:szCs w:val="22"/>
          <w:lang w:val="en-GB"/>
        </w:rPr>
        <w:t>some regions</w:t>
      </w:r>
      <w:r w:rsidR="00F262EF" w:rsidRPr="003A15F4">
        <w:rPr>
          <w:rFonts w:cs="Arial"/>
          <w:szCs w:val="22"/>
          <w:lang w:val="en-GB"/>
        </w:rPr>
        <w:t xml:space="preserve">, such as the </w:t>
      </w:r>
      <w:r w:rsidR="003A15F4" w:rsidRPr="003A15F4">
        <w:rPr>
          <w:rFonts w:cs="Arial"/>
          <w:szCs w:val="22"/>
          <w:lang w:val="en-GB"/>
        </w:rPr>
        <w:t>Burdekin</w:t>
      </w:r>
      <w:r w:rsidR="00F262EF" w:rsidRPr="003A15F4">
        <w:rPr>
          <w:rFonts w:cs="Arial"/>
          <w:szCs w:val="22"/>
          <w:lang w:val="en-GB"/>
        </w:rPr>
        <w:t xml:space="preserve"> and </w:t>
      </w:r>
      <w:r w:rsidR="003A15F4" w:rsidRPr="003A15F4">
        <w:rPr>
          <w:rFonts w:cs="Arial"/>
          <w:szCs w:val="22"/>
          <w:lang w:val="en-GB"/>
        </w:rPr>
        <w:t>Cape York,</w:t>
      </w:r>
      <w:r w:rsidRPr="003A15F4">
        <w:rPr>
          <w:rFonts w:cs="Arial"/>
          <w:szCs w:val="22"/>
          <w:lang w:val="en-GB"/>
        </w:rPr>
        <w:t xml:space="preserve"> </w:t>
      </w:r>
      <w:r w:rsidR="005F204E" w:rsidRPr="003A15F4">
        <w:rPr>
          <w:rFonts w:cs="Arial"/>
          <w:szCs w:val="22"/>
          <w:lang w:val="en-GB"/>
        </w:rPr>
        <w:t xml:space="preserve">may be more vulnerable to adverse or severe disturbances in the future. Of greatest concern is the </w:t>
      </w:r>
      <w:r w:rsidR="003A15F4" w:rsidRPr="003A15F4">
        <w:rPr>
          <w:rFonts w:cs="Arial"/>
          <w:szCs w:val="22"/>
          <w:lang w:val="en-GB"/>
        </w:rPr>
        <w:t>Burdekin</w:t>
      </w:r>
      <w:r w:rsidR="005F204E" w:rsidRPr="003A15F4">
        <w:rPr>
          <w:rFonts w:cs="Arial"/>
          <w:szCs w:val="22"/>
          <w:lang w:val="en-GB"/>
        </w:rPr>
        <w:t xml:space="preserve"> region, which in </w:t>
      </w:r>
      <w:r w:rsidR="00956639" w:rsidRPr="003A15F4">
        <w:rPr>
          <w:rFonts w:cs="Arial"/>
          <w:szCs w:val="22"/>
          <w:lang w:val="en-GB"/>
        </w:rPr>
        <w:t>2018–19</w:t>
      </w:r>
      <w:r w:rsidR="00C81636" w:rsidRPr="003A15F4">
        <w:rPr>
          <w:rFonts w:cs="Arial"/>
          <w:szCs w:val="22"/>
          <w:lang w:val="en-GB"/>
        </w:rPr>
        <w:t xml:space="preserve"> </w:t>
      </w:r>
      <w:r w:rsidR="005F204E" w:rsidRPr="003A15F4">
        <w:rPr>
          <w:rFonts w:cs="Arial"/>
          <w:szCs w:val="22"/>
          <w:lang w:val="en-GB"/>
        </w:rPr>
        <w:t>had the greatest percentage of sites</w:t>
      </w:r>
      <w:r w:rsidR="003A15F4">
        <w:rPr>
          <w:rFonts w:cs="Arial"/>
          <w:szCs w:val="22"/>
          <w:lang w:val="en-GB"/>
        </w:rPr>
        <w:t>/meadows</w:t>
      </w:r>
      <w:r w:rsidR="005F204E" w:rsidRPr="003A15F4">
        <w:rPr>
          <w:rFonts w:cs="Arial"/>
          <w:szCs w:val="22"/>
          <w:lang w:val="en-GB"/>
        </w:rPr>
        <w:t xml:space="preserve"> decreas</w:t>
      </w:r>
      <w:r w:rsidR="00620160">
        <w:rPr>
          <w:rFonts w:cs="Arial"/>
          <w:szCs w:val="22"/>
          <w:lang w:val="en-GB"/>
        </w:rPr>
        <w:t>ing</w:t>
      </w:r>
      <w:r w:rsidR="005F204E" w:rsidRPr="003A15F4">
        <w:rPr>
          <w:rFonts w:cs="Arial"/>
          <w:szCs w:val="22"/>
          <w:lang w:val="en-GB"/>
        </w:rPr>
        <w:t xml:space="preserve"> in abundance</w:t>
      </w:r>
      <w:r w:rsidR="00620160">
        <w:rPr>
          <w:rFonts w:cs="Arial"/>
          <w:szCs w:val="22"/>
          <w:lang w:val="en-GB"/>
        </w:rPr>
        <w:t xml:space="preserve"> and </w:t>
      </w:r>
      <w:r w:rsidR="003A15F4">
        <w:rPr>
          <w:rFonts w:cs="Arial"/>
          <w:szCs w:val="22"/>
          <w:lang w:val="en-GB"/>
        </w:rPr>
        <w:t xml:space="preserve">extent, </w:t>
      </w:r>
      <w:r w:rsidR="00620160">
        <w:rPr>
          <w:rFonts w:cs="Arial"/>
          <w:szCs w:val="22"/>
          <w:lang w:val="en-GB"/>
        </w:rPr>
        <w:t xml:space="preserve">with </w:t>
      </w:r>
      <w:r w:rsidR="0087039E" w:rsidRPr="003A15F4">
        <w:rPr>
          <w:rFonts w:cs="Arial"/>
          <w:szCs w:val="22"/>
        </w:rPr>
        <w:t xml:space="preserve">below-average </w:t>
      </w:r>
      <w:r w:rsidR="00620160">
        <w:rPr>
          <w:rFonts w:cs="Arial"/>
          <w:szCs w:val="22"/>
        </w:rPr>
        <w:t xml:space="preserve">and </w:t>
      </w:r>
      <w:r w:rsidR="00620160" w:rsidRPr="003A15F4">
        <w:rPr>
          <w:rFonts w:cs="Arial"/>
          <w:szCs w:val="22"/>
        </w:rPr>
        <w:t>decreas</w:t>
      </w:r>
      <w:r w:rsidR="00620160">
        <w:rPr>
          <w:rFonts w:cs="Arial"/>
          <w:szCs w:val="22"/>
        </w:rPr>
        <w:t>ing</w:t>
      </w:r>
      <w:r w:rsidR="00620160" w:rsidRPr="003A15F4">
        <w:rPr>
          <w:rFonts w:cs="Arial"/>
          <w:szCs w:val="22"/>
        </w:rPr>
        <w:t xml:space="preserve"> </w:t>
      </w:r>
      <w:r w:rsidR="0087039E" w:rsidRPr="003A15F4">
        <w:rPr>
          <w:rFonts w:cs="Arial"/>
          <w:szCs w:val="22"/>
        </w:rPr>
        <w:t>reproductive effort,</w:t>
      </w:r>
      <w:r w:rsidR="0087039E" w:rsidRPr="003A15F4">
        <w:rPr>
          <w:rFonts w:cs="Arial"/>
          <w:szCs w:val="22"/>
          <w:lang w:val="en-GB"/>
        </w:rPr>
        <w:t xml:space="preserve"> </w:t>
      </w:r>
      <w:r w:rsidR="003A15F4" w:rsidRPr="003A15F4">
        <w:rPr>
          <w:rFonts w:cs="Arial"/>
          <w:szCs w:val="22"/>
          <w:lang w:val="en-GB"/>
        </w:rPr>
        <w:t xml:space="preserve">and </w:t>
      </w:r>
      <w:r w:rsidR="003A03FE">
        <w:rPr>
          <w:rFonts w:cs="Arial"/>
          <w:szCs w:val="22"/>
          <w:lang w:val="en-GB"/>
        </w:rPr>
        <w:t>diminishing</w:t>
      </w:r>
      <w:r w:rsidR="00620160" w:rsidRPr="003A15F4">
        <w:rPr>
          <w:rFonts w:cs="Arial"/>
          <w:szCs w:val="22"/>
        </w:rPr>
        <w:t xml:space="preserve"> seed bank</w:t>
      </w:r>
      <w:r w:rsidR="00620160">
        <w:rPr>
          <w:rFonts w:cs="Arial"/>
          <w:szCs w:val="22"/>
        </w:rPr>
        <w:t>s</w:t>
      </w:r>
      <w:r w:rsidR="00620160" w:rsidRPr="003A15F4">
        <w:rPr>
          <w:rFonts w:cs="Arial"/>
          <w:szCs w:val="22"/>
        </w:rPr>
        <w:t xml:space="preserve"> </w:t>
      </w:r>
      <w:r w:rsidR="00620160">
        <w:rPr>
          <w:rFonts w:cs="Arial"/>
          <w:szCs w:val="22"/>
          <w:lang w:val="en-GB"/>
        </w:rPr>
        <w:t>as a consequence</w:t>
      </w:r>
      <w:r w:rsidR="005F204E" w:rsidRPr="003A15F4">
        <w:rPr>
          <w:rFonts w:cs="Arial"/>
          <w:szCs w:val="22"/>
        </w:rPr>
        <w:t>.</w:t>
      </w:r>
    </w:p>
    <w:p w14:paraId="48AA0FAD" w14:textId="214D5C87" w:rsidR="00854CC7" w:rsidRPr="00B2696E" w:rsidRDefault="005F204E" w:rsidP="005F204E">
      <w:pPr>
        <w:rPr>
          <w:rFonts w:cs="Arial"/>
          <w:szCs w:val="22"/>
          <w:lang w:val="en-GB"/>
        </w:rPr>
      </w:pPr>
      <w:r w:rsidRPr="00B2696E">
        <w:rPr>
          <w:rFonts w:cs="Arial"/>
          <w:szCs w:val="22"/>
        </w:rPr>
        <w:t>The overall decline in seagrass condition is of concern, h</w:t>
      </w:r>
      <w:r w:rsidRPr="00B2696E">
        <w:rPr>
          <w:rFonts w:cs="Arial"/>
          <w:szCs w:val="22"/>
          <w:lang w:val="en-GB"/>
        </w:rPr>
        <w:t xml:space="preserve">owever, declines in indicators were not consistent </w:t>
      </w:r>
      <w:r w:rsidR="00854CC7" w:rsidRPr="00B2696E">
        <w:rPr>
          <w:rFonts w:cs="Arial"/>
          <w:szCs w:val="22"/>
          <w:lang w:val="en-GB"/>
        </w:rPr>
        <w:t>and</w:t>
      </w:r>
      <w:r w:rsidRPr="00B2696E">
        <w:rPr>
          <w:rFonts w:cs="Arial"/>
          <w:szCs w:val="22"/>
          <w:lang w:val="en-GB"/>
        </w:rPr>
        <w:t xml:space="preserve"> there were some </w:t>
      </w:r>
      <w:r w:rsidR="00644244" w:rsidRPr="00B2696E">
        <w:rPr>
          <w:rFonts w:cs="Arial"/>
          <w:szCs w:val="22"/>
          <w:lang w:val="en-GB"/>
        </w:rPr>
        <w:t>‘</w:t>
      </w:r>
      <w:r w:rsidRPr="00B2696E">
        <w:rPr>
          <w:rFonts w:cs="Arial"/>
          <w:szCs w:val="22"/>
          <w:lang w:val="en-GB"/>
        </w:rPr>
        <w:t>bright spots</w:t>
      </w:r>
      <w:r w:rsidR="00644244" w:rsidRPr="00B2696E">
        <w:rPr>
          <w:rFonts w:cs="Arial"/>
          <w:szCs w:val="22"/>
          <w:lang w:val="en-GB"/>
        </w:rPr>
        <w:t>’</w:t>
      </w:r>
      <w:r w:rsidRPr="00B2696E">
        <w:rPr>
          <w:rFonts w:cs="Arial"/>
          <w:szCs w:val="22"/>
          <w:lang w:val="en-GB"/>
        </w:rPr>
        <w:t xml:space="preserve"> of improvement. Examples include: </w:t>
      </w:r>
    </w:p>
    <w:p w14:paraId="32C2CCBF" w14:textId="4B56CD06" w:rsidR="005C1908" w:rsidRPr="00B2696E" w:rsidRDefault="005C1908" w:rsidP="003F4D32">
      <w:pPr>
        <w:numPr>
          <w:ilvl w:val="0"/>
          <w:numId w:val="11"/>
        </w:numPr>
        <w:rPr>
          <w:rFonts w:cs="Arial"/>
          <w:szCs w:val="22"/>
        </w:rPr>
      </w:pPr>
      <w:r w:rsidRPr="00B2696E">
        <w:rPr>
          <w:rFonts w:cs="Arial"/>
          <w:szCs w:val="22"/>
        </w:rPr>
        <w:t>increasing</w:t>
      </w:r>
      <w:r w:rsidR="003A15F4">
        <w:rPr>
          <w:rFonts w:cs="Arial"/>
          <w:szCs w:val="22"/>
        </w:rPr>
        <w:t xml:space="preserve"> or stable abundances at </w:t>
      </w:r>
      <w:r w:rsidR="00601F8D">
        <w:rPr>
          <w:rFonts w:cs="Arial"/>
          <w:szCs w:val="22"/>
        </w:rPr>
        <w:t>over</w:t>
      </w:r>
      <w:r w:rsidR="003A15F4">
        <w:rPr>
          <w:rFonts w:cs="Arial"/>
          <w:szCs w:val="22"/>
        </w:rPr>
        <w:t xml:space="preserve"> </w:t>
      </w:r>
      <w:r w:rsidR="00601F8D">
        <w:rPr>
          <w:rFonts w:cs="Arial"/>
          <w:szCs w:val="22"/>
        </w:rPr>
        <w:t>60</w:t>
      </w:r>
      <w:r w:rsidR="003A15F4">
        <w:rPr>
          <w:rFonts w:cs="Arial"/>
          <w:szCs w:val="22"/>
        </w:rPr>
        <w:t xml:space="preserve"> </w:t>
      </w:r>
      <w:r w:rsidR="00887319">
        <w:rPr>
          <w:rFonts w:cs="Arial"/>
          <w:szCs w:val="22"/>
        </w:rPr>
        <w:t xml:space="preserve">per cent </w:t>
      </w:r>
      <w:r w:rsidRPr="00B2696E">
        <w:rPr>
          <w:rFonts w:cs="Arial"/>
          <w:szCs w:val="22"/>
        </w:rPr>
        <w:t xml:space="preserve">of sites, with greatest improvements in the </w:t>
      </w:r>
      <w:r w:rsidR="00B72AC4">
        <w:rPr>
          <w:rFonts w:cs="Arial"/>
          <w:szCs w:val="22"/>
        </w:rPr>
        <w:t>Burnett–Mary</w:t>
      </w:r>
      <w:r w:rsidRPr="00B2696E">
        <w:rPr>
          <w:rFonts w:cs="Arial"/>
          <w:szCs w:val="22"/>
        </w:rPr>
        <w:t xml:space="preserve">, Fitzroy and </w:t>
      </w:r>
      <w:r w:rsidR="00B72AC4">
        <w:rPr>
          <w:rFonts w:cs="Arial"/>
          <w:szCs w:val="22"/>
        </w:rPr>
        <w:t>Mackay–Whitsunday</w:t>
      </w:r>
      <w:r w:rsidR="00620160">
        <w:rPr>
          <w:rFonts w:cs="Arial"/>
          <w:szCs w:val="22"/>
        </w:rPr>
        <w:t xml:space="preserve"> regions</w:t>
      </w:r>
    </w:p>
    <w:p w14:paraId="76357FB8" w14:textId="30E107E0" w:rsidR="005C1908" w:rsidRPr="00B2696E" w:rsidRDefault="005C1908" w:rsidP="003F4D32">
      <w:pPr>
        <w:numPr>
          <w:ilvl w:val="0"/>
          <w:numId w:val="11"/>
        </w:numPr>
        <w:rPr>
          <w:rFonts w:cs="Arial"/>
          <w:szCs w:val="22"/>
        </w:rPr>
      </w:pPr>
      <w:r w:rsidRPr="00B2696E">
        <w:rPr>
          <w:rFonts w:cs="Arial"/>
          <w:szCs w:val="22"/>
        </w:rPr>
        <w:lastRenderedPageBreak/>
        <w:t xml:space="preserve">nearly a quarter of meadows continuing to expand in area or become less fragmented, while approximately a fifth remained </w:t>
      </w:r>
      <w:r w:rsidR="00620160">
        <w:rPr>
          <w:rFonts w:cs="Arial"/>
          <w:szCs w:val="22"/>
        </w:rPr>
        <w:t>at or near their maximum extent</w:t>
      </w:r>
    </w:p>
    <w:p w14:paraId="7D71A8DB" w14:textId="070A4745" w:rsidR="005C1908" w:rsidRPr="00B2696E" w:rsidRDefault="005C1908" w:rsidP="003F4D32">
      <w:pPr>
        <w:numPr>
          <w:ilvl w:val="0"/>
          <w:numId w:val="11"/>
        </w:numPr>
        <w:rPr>
          <w:rFonts w:cs="Arial"/>
          <w:szCs w:val="22"/>
        </w:rPr>
      </w:pPr>
      <w:r w:rsidRPr="00B2696E">
        <w:rPr>
          <w:rFonts w:cs="Arial"/>
          <w:szCs w:val="22"/>
        </w:rPr>
        <w:t xml:space="preserve">declining epiphyte loads, with below average cover at 45 per cent </w:t>
      </w:r>
      <w:r w:rsidR="0040355B">
        <w:rPr>
          <w:rFonts w:cs="Arial"/>
          <w:szCs w:val="22"/>
        </w:rPr>
        <w:t xml:space="preserve">of </w:t>
      </w:r>
      <w:r w:rsidRPr="00B2696E">
        <w:rPr>
          <w:rFonts w:cs="Arial"/>
          <w:szCs w:val="22"/>
        </w:rPr>
        <w:t>sites</w:t>
      </w:r>
    </w:p>
    <w:p w14:paraId="58BCDBF7" w14:textId="20F3BE1C" w:rsidR="005C1908" w:rsidRPr="00B2696E" w:rsidRDefault="005C1908" w:rsidP="003F4D32">
      <w:pPr>
        <w:numPr>
          <w:ilvl w:val="0"/>
          <w:numId w:val="11"/>
        </w:numPr>
        <w:rPr>
          <w:rFonts w:cs="Arial"/>
          <w:szCs w:val="22"/>
          <w:lang w:val="en-GB"/>
        </w:rPr>
      </w:pPr>
      <w:r w:rsidRPr="00B2696E">
        <w:rPr>
          <w:rFonts w:cs="Arial"/>
          <w:szCs w:val="22"/>
        </w:rPr>
        <w:t xml:space="preserve">increasing reproductive effort at 43 </w:t>
      </w:r>
      <w:r w:rsidR="00887319">
        <w:rPr>
          <w:rFonts w:cs="Arial"/>
          <w:szCs w:val="22"/>
        </w:rPr>
        <w:t xml:space="preserve">per cent </w:t>
      </w:r>
      <w:r w:rsidRPr="00B2696E">
        <w:rPr>
          <w:rFonts w:cs="Arial"/>
          <w:szCs w:val="22"/>
        </w:rPr>
        <w:t xml:space="preserve">of sites, particularly in the northern Wet Tropics and southern (Fitzroy </w:t>
      </w:r>
      <w:r w:rsidR="003A15F4">
        <w:rPr>
          <w:rFonts w:cs="Arial"/>
          <w:szCs w:val="22"/>
        </w:rPr>
        <w:t xml:space="preserve">and </w:t>
      </w:r>
      <w:r w:rsidR="00B72AC4">
        <w:rPr>
          <w:rFonts w:cs="Arial"/>
          <w:szCs w:val="22"/>
        </w:rPr>
        <w:t>Burnett–Mary</w:t>
      </w:r>
      <w:r w:rsidR="003A15F4">
        <w:rPr>
          <w:rFonts w:cs="Arial"/>
          <w:szCs w:val="22"/>
        </w:rPr>
        <w:t>) regions.</w:t>
      </w:r>
    </w:p>
    <w:p w14:paraId="1A204C3D" w14:textId="67ADB83D" w:rsidR="005F204E" w:rsidRPr="00B2696E" w:rsidRDefault="005F204E" w:rsidP="005F204E">
      <w:pPr>
        <w:rPr>
          <w:rFonts w:cs="Arial"/>
          <w:szCs w:val="22"/>
          <w:lang w:val="en-GB"/>
        </w:rPr>
      </w:pPr>
      <w:r w:rsidRPr="00711C54">
        <w:rPr>
          <w:rFonts w:cs="Arial"/>
          <w:szCs w:val="22"/>
          <w:lang w:val="en-GB"/>
        </w:rPr>
        <w:t xml:space="preserve">These improvements demonstrate maintenance </w:t>
      </w:r>
      <w:r w:rsidR="003F2CA6">
        <w:rPr>
          <w:rFonts w:cs="Arial"/>
          <w:szCs w:val="22"/>
          <w:lang w:val="en-GB"/>
        </w:rPr>
        <w:t xml:space="preserve">of </w:t>
      </w:r>
      <w:r w:rsidRPr="00711C54">
        <w:rPr>
          <w:rFonts w:cs="Arial"/>
          <w:szCs w:val="22"/>
          <w:lang w:val="en-GB"/>
        </w:rPr>
        <w:t xml:space="preserve">or improvement </w:t>
      </w:r>
      <w:r w:rsidR="003F2CA6">
        <w:rPr>
          <w:rFonts w:cs="Arial"/>
          <w:szCs w:val="22"/>
          <w:lang w:val="en-GB"/>
        </w:rPr>
        <w:t>in</w:t>
      </w:r>
      <w:r w:rsidR="003F2CA6" w:rsidRPr="00711C54">
        <w:rPr>
          <w:rFonts w:cs="Arial"/>
          <w:szCs w:val="22"/>
          <w:lang w:val="en-GB"/>
        </w:rPr>
        <w:t xml:space="preserve"> </w:t>
      </w:r>
      <w:r w:rsidRPr="00711C54">
        <w:rPr>
          <w:rFonts w:cs="Arial"/>
          <w:szCs w:val="22"/>
          <w:lang w:val="en-GB"/>
        </w:rPr>
        <w:t xml:space="preserve">seagrass resilience in </w:t>
      </w:r>
      <w:r w:rsidRPr="00296562">
        <w:rPr>
          <w:rFonts w:cs="Arial"/>
          <w:szCs w:val="22"/>
          <w:lang w:val="en-GB"/>
        </w:rPr>
        <w:t>some regions, which are a consequence of variable climatic and environmental pressures. For example, benthic light availability</w:t>
      </w:r>
      <w:r w:rsidR="00291ADC">
        <w:rPr>
          <w:rFonts w:cs="Arial"/>
          <w:szCs w:val="22"/>
          <w:lang w:val="en-GB"/>
        </w:rPr>
        <w:t xml:space="preserve"> improved</w:t>
      </w:r>
      <w:r w:rsidRPr="00296562">
        <w:rPr>
          <w:rFonts w:cs="Arial"/>
          <w:szCs w:val="22"/>
          <w:lang w:val="en-GB"/>
        </w:rPr>
        <w:t xml:space="preserve"> in the </w:t>
      </w:r>
      <w:r w:rsidR="00B72AC4">
        <w:rPr>
          <w:rFonts w:cs="Arial"/>
          <w:szCs w:val="22"/>
          <w:lang w:val="en-GB"/>
        </w:rPr>
        <w:t>Burnett–Mary</w:t>
      </w:r>
      <w:r w:rsidRPr="00296562">
        <w:rPr>
          <w:rFonts w:cs="Arial"/>
          <w:szCs w:val="22"/>
          <w:lang w:val="en-GB"/>
        </w:rPr>
        <w:t xml:space="preserve"> region</w:t>
      </w:r>
      <w:r w:rsidR="00291ADC">
        <w:rPr>
          <w:rFonts w:cs="Arial"/>
          <w:szCs w:val="22"/>
          <w:lang w:val="en-GB"/>
        </w:rPr>
        <w:t xml:space="preserve"> paving the way for some recovery</w:t>
      </w:r>
      <w:r w:rsidRPr="00296562">
        <w:rPr>
          <w:rFonts w:cs="Arial"/>
          <w:szCs w:val="22"/>
          <w:lang w:val="en-GB"/>
        </w:rPr>
        <w:t xml:space="preserve">. </w:t>
      </w:r>
    </w:p>
    <w:p w14:paraId="56D56A28" w14:textId="756FA5FC" w:rsidR="005F204E" w:rsidRPr="00B2696E" w:rsidRDefault="005F204E" w:rsidP="005F204E">
      <w:pPr>
        <w:autoSpaceDE w:val="0"/>
        <w:autoSpaceDN w:val="0"/>
        <w:adjustRightInd w:val="0"/>
        <w:rPr>
          <w:rFonts w:cs="Arial"/>
          <w:szCs w:val="22"/>
        </w:rPr>
      </w:pPr>
      <w:r w:rsidRPr="00B2696E">
        <w:rPr>
          <w:rFonts w:cs="Arial"/>
          <w:szCs w:val="22"/>
        </w:rPr>
        <w:t xml:space="preserve">The </w:t>
      </w:r>
      <w:r w:rsidR="005742C2" w:rsidRPr="00B2696E">
        <w:rPr>
          <w:rFonts w:cs="Arial"/>
          <w:szCs w:val="22"/>
        </w:rPr>
        <w:t xml:space="preserve">Reef </w:t>
      </w:r>
      <w:r w:rsidRPr="00B2696E">
        <w:rPr>
          <w:rFonts w:cs="Arial"/>
          <w:szCs w:val="22"/>
        </w:rPr>
        <w:t>is characterised by ongoing cumulative impacts and dynamic seagrass meadows. Intensifying pressures are slowing recovery</w:t>
      </w:r>
      <w:r w:rsidR="00926B67">
        <w:rPr>
          <w:rFonts w:cs="Arial"/>
          <w:szCs w:val="22"/>
        </w:rPr>
        <w:t>.</w:t>
      </w:r>
      <w:r w:rsidRPr="00B2696E">
        <w:rPr>
          <w:rFonts w:cs="Arial"/>
          <w:szCs w:val="22"/>
        </w:rPr>
        <w:t xml:space="preserve"> Water quality improvements that can be gained by land management initiatives (such as </w:t>
      </w:r>
      <w:r w:rsidR="00FA4141" w:rsidRPr="00B2696E">
        <w:rPr>
          <w:rFonts w:cs="Arial"/>
          <w:szCs w:val="22"/>
        </w:rPr>
        <w:t xml:space="preserve">the </w:t>
      </w:r>
      <w:r w:rsidR="00FA4141" w:rsidRPr="00B2696E">
        <w:rPr>
          <w:rFonts w:cs="Arial"/>
          <w:color w:val="000000" w:themeColor="text1"/>
          <w:szCs w:val="22"/>
        </w:rPr>
        <w:t>Paddock to Reef program</w:t>
      </w:r>
      <w:r w:rsidRPr="00B2696E">
        <w:rPr>
          <w:rFonts w:cs="Arial"/>
          <w:szCs w:val="22"/>
        </w:rPr>
        <w:t xml:space="preserve">), will help to </w:t>
      </w:r>
      <w:r w:rsidR="00C94194" w:rsidRPr="00B2696E">
        <w:rPr>
          <w:rFonts w:cs="Arial"/>
          <w:szCs w:val="22"/>
        </w:rPr>
        <w:t>re</w:t>
      </w:r>
      <w:r w:rsidR="00C94194">
        <w:rPr>
          <w:rFonts w:cs="Arial"/>
          <w:szCs w:val="22"/>
        </w:rPr>
        <w:t>duce</w:t>
      </w:r>
      <w:r w:rsidR="00C94194" w:rsidRPr="00B2696E">
        <w:rPr>
          <w:rFonts w:cs="Arial"/>
          <w:szCs w:val="22"/>
        </w:rPr>
        <w:t xml:space="preserve"> </w:t>
      </w:r>
      <w:r w:rsidRPr="00B2696E">
        <w:rPr>
          <w:rFonts w:cs="Arial"/>
          <w:szCs w:val="22"/>
        </w:rPr>
        <w:t>the pressure</w:t>
      </w:r>
      <w:r w:rsidR="00C94194">
        <w:rPr>
          <w:rFonts w:cs="Arial"/>
          <w:szCs w:val="22"/>
        </w:rPr>
        <w:t>s</w:t>
      </w:r>
      <w:r w:rsidRPr="00B2696E">
        <w:rPr>
          <w:rFonts w:cs="Arial"/>
          <w:szCs w:val="22"/>
        </w:rPr>
        <w:t xml:space="preserve">  and improve </w:t>
      </w:r>
      <w:r w:rsidR="00C94194">
        <w:rPr>
          <w:rFonts w:cs="Arial"/>
          <w:szCs w:val="22"/>
        </w:rPr>
        <w:t>the condition and recovery capacity of seagrass meadows</w:t>
      </w:r>
      <w:r w:rsidRPr="00B2696E">
        <w:rPr>
          <w:rFonts w:cs="Arial"/>
          <w:szCs w:val="22"/>
        </w:rPr>
        <w:t>.</w:t>
      </w:r>
    </w:p>
    <w:p w14:paraId="49E200BC" w14:textId="6EA865D7" w:rsidR="00C84483" w:rsidRPr="00B2696E" w:rsidRDefault="001D19FF" w:rsidP="004D59D6">
      <w:pPr>
        <w:rPr>
          <w:rFonts w:cs="Arial"/>
          <w:i/>
          <w:color w:val="000000" w:themeColor="text1"/>
          <w:szCs w:val="22"/>
        </w:rPr>
      </w:pPr>
      <w:r w:rsidRPr="00B2696E">
        <w:rPr>
          <w:rFonts w:cs="Arial"/>
          <w:i/>
          <w:color w:val="000000" w:themeColor="text1"/>
          <w:szCs w:val="22"/>
        </w:rPr>
        <w:t>Case studies</w:t>
      </w:r>
    </w:p>
    <w:p w14:paraId="23C0974C" w14:textId="573F9EF2" w:rsidR="00355DF2" w:rsidRDefault="00A73116" w:rsidP="00994728">
      <w:pPr>
        <w:rPr>
          <w:rFonts w:cs="Arial"/>
          <w:szCs w:val="22"/>
        </w:rPr>
      </w:pPr>
      <w:r w:rsidRPr="00B2696E">
        <w:rPr>
          <w:rFonts w:cs="Arial"/>
          <w:szCs w:val="22"/>
        </w:rPr>
        <w:t xml:space="preserve">Annual case studies are </w:t>
      </w:r>
      <w:r w:rsidR="00C94194">
        <w:rPr>
          <w:rFonts w:cs="Arial"/>
          <w:szCs w:val="22"/>
        </w:rPr>
        <w:t xml:space="preserve">produced </w:t>
      </w:r>
      <w:r w:rsidRPr="00B2696E">
        <w:rPr>
          <w:rFonts w:cs="Arial"/>
          <w:szCs w:val="22"/>
        </w:rPr>
        <w:t xml:space="preserve">as part of the program every year. </w:t>
      </w:r>
      <w:r w:rsidR="00994728" w:rsidRPr="00B2696E">
        <w:rPr>
          <w:rFonts w:cs="Arial"/>
          <w:szCs w:val="22"/>
        </w:rPr>
        <w:t xml:space="preserve">The </w:t>
      </w:r>
      <w:r w:rsidR="00AC36F7" w:rsidRPr="00B2696E">
        <w:rPr>
          <w:rFonts w:cs="Arial"/>
          <w:szCs w:val="22"/>
        </w:rPr>
        <w:t>c</w:t>
      </w:r>
      <w:r w:rsidR="00994728" w:rsidRPr="00B2696E">
        <w:rPr>
          <w:rFonts w:cs="Arial"/>
          <w:szCs w:val="22"/>
        </w:rPr>
        <w:t xml:space="preserve">ase </w:t>
      </w:r>
      <w:r w:rsidR="00AC36F7" w:rsidRPr="00B2696E">
        <w:rPr>
          <w:rFonts w:cs="Arial"/>
          <w:szCs w:val="22"/>
        </w:rPr>
        <w:t>s</w:t>
      </w:r>
      <w:r w:rsidR="00994728" w:rsidRPr="00B2696E">
        <w:rPr>
          <w:rFonts w:cs="Arial"/>
          <w:szCs w:val="22"/>
        </w:rPr>
        <w:t>tudy</w:t>
      </w:r>
      <w:r w:rsidR="00215B71" w:rsidRPr="00B2696E">
        <w:rPr>
          <w:rFonts w:cs="Arial"/>
          <w:szCs w:val="22"/>
        </w:rPr>
        <w:t xml:space="preserve"> assesses one of the metrics — leaf tissue nutrient C:N — in relation to water quality, including predicted nutrient and sediment loads reaching each of the seagrass sites and </w:t>
      </w:r>
      <w:r w:rsidR="00215B71" w:rsidRPr="00B2696E">
        <w:rPr>
          <w:rFonts w:cs="Arial"/>
          <w:i/>
          <w:szCs w:val="22"/>
        </w:rPr>
        <w:t>in</w:t>
      </w:r>
      <w:r w:rsidR="00A92652">
        <w:rPr>
          <w:rFonts w:cs="Arial"/>
          <w:i/>
          <w:szCs w:val="22"/>
        </w:rPr>
        <w:t> </w:t>
      </w:r>
      <w:r w:rsidR="00215B71" w:rsidRPr="00B2696E">
        <w:rPr>
          <w:rFonts w:cs="Arial"/>
          <w:i/>
          <w:szCs w:val="22"/>
        </w:rPr>
        <w:t>situ</w:t>
      </w:r>
      <w:r w:rsidR="00215B71" w:rsidRPr="00B2696E">
        <w:rPr>
          <w:rFonts w:cs="Arial"/>
          <w:szCs w:val="22"/>
        </w:rPr>
        <w:t xml:space="preserve"> water quality </w:t>
      </w:r>
      <w:r w:rsidR="00AC36F7" w:rsidRPr="00B2696E">
        <w:rPr>
          <w:rFonts w:cs="Arial"/>
          <w:szCs w:val="22"/>
        </w:rPr>
        <w:t>at</w:t>
      </w:r>
      <w:r w:rsidR="00215B71" w:rsidRPr="00B2696E">
        <w:rPr>
          <w:rFonts w:cs="Arial"/>
          <w:szCs w:val="22"/>
        </w:rPr>
        <w:t xml:space="preserve"> some </w:t>
      </w:r>
      <w:r w:rsidR="00AC36F7" w:rsidRPr="00B2696E">
        <w:rPr>
          <w:rFonts w:cs="Arial"/>
          <w:szCs w:val="22"/>
        </w:rPr>
        <w:t>of</w:t>
      </w:r>
      <w:r w:rsidR="00215B71" w:rsidRPr="00B2696E">
        <w:rPr>
          <w:rFonts w:cs="Arial"/>
          <w:szCs w:val="22"/>
        </w:rPr>
        <w:t xml:space="preserve"> the reef sites. The water quality data is available from Gruber et al</w:t>
      </w:r>
      <w:r w:rsidR="00A92652">
        <w:rPr>
          <w:rFonts w:cs="Arial"/>
          <w:szCs w:val="22"/>
        </w:rPr>
        <w:t>.</w:t>
      </w:r>
      <w:r w:rsidR="00215B71" w:rsidRPr="00B2696E">
        <w:rPr>
          <w:rFonts w:cs="Arial"/>
          <w:szCs w:val="22"/>
        </w:rPr>
        <w:t xml:space="preserve"> </w:t>
      </w:r>
      <w:r w:rsidR="00A92652">
        <w:rPr>
          <w:rFonts w:cs="Arial"/>
          <w:szCs w:val="22"/>
        </w:rPr>
        <w:t>(2020)</w:t>
      </w:r>
      <w:r w:rsidR="00215B71" w:rsidRPr="00B2696E">
        <w:rPr>
          <w:rFonts w:cs="Arial"/>
          <w:szCs w:val="22"/>
        </w:rPr>
        <w:t xml:space="preserve">. The case study also discusses the relevance of findings to the seagrass condition </w:t>
      </w:r>
      <w:r w:rsidR="00C83FB3" w:rsidRPr="00B2696E">
        <w:rPr>
          <w:rFonts w:cs="Arial"/>
          <w:szCs w:val="22"/>
        </w:rPr>
        <w:t xml:space="preserve">index and the </w:t>
      </w:r>
      <w:r w:rsidR="00553D53">
        <w:rPr>
          <w:rFonts w:cs="Arial"/>
          <w:szCs w:val="22"/>
        </w:rPr>
        <w:t>Reef</w:t>
      </w:r>
      <w:r w:rsidR="00553D53" w:rsidRPr="00B2696E">
        <w:rPr>
          <w:rFonts w:cs="Arial"/>
          <w:szCs w:val="22"/>
        </w:rPr>
        <w:t xml:space="preserve"> </w:t>
      </w:r>
      <w:r w:rsidR="00C83FB3" w:rsidRPr="00B2696E">
        <w:rPr>
          <w:rFonts w:cs="Arial"/>
          <w:szCs w:val="22"/>
        </w:rPr>
        <w:t>Report Card.</w:t>
      </w:r>
    </w:p>
    <w:p w14:paraId="627D7A86" w14:textId="77777777" w:rsidR="00351069" w:rsidRPr="00B2696E" w:rsidRDefault="00351069" w:rsidP="00994728">
      <w:pPr>
        <w:rPr>
          <w:rFonts w:cs="Arial"/>
          <w:szCs w:val="22"/>
        </w:rPr>
      </w:pPr>
    </w:p>
    <w:p w14:paraId="039B7496" w14:textId="77777777" w:rsidR="00CF1B38" w:rsidRPr="00B2696E" w:rsidRDefault="00CF1B38" w:rsidP="00C84483">
      <w:pPr>
        <w:rPr>
          <w:rFonts w:cs="Arial"/>
          <w:szCs w:val="22"/>
        </w:rPr>
        <w:sectPr w:rsidR="00CF1B38" w:rsidRPr="00B2696E" w:rsidSect="0085398A">
          <w:headerReference w:type="even" r:id="rId25"/>
          <w:headerReference w:type="default" r:id="rId26"/>
          <w:footerReference w:type="even" r:id="rId27"/>
          <w:footerReference w:type="default" r:id="rId28"/>
          <w:headerReference w:type="first" r:id="rId29"/>
          <w:footerReference w:type="first" r:id="rId30"/>
          <w:pgSz w:w="11900" w:h="16840" w:code="9"/>
          <w:pgMar w:top="1134" w:right="1418" w:bottom="1418" w:left="1418" w:header="709" w:footer="709" w:gutter="0"/>
          <w:pgNumType w:start="1"/>
          <w:cols w:space="708"/>
          <w:docGrid w:linePitch="360"/>
        </w:sectPr>
      </w:pPr>
    </w:p>
    <w:p w14:paraId="5B69823E" w14:textId="77777777" w:rsidR="008F5FCE" w:rsidRPr="00F63373" w:rsidRDefault="008F5FCE" w:rsidP="000150D8">
      <w:pPr>
        <w:pStyle w:val="Heading1"/>
      </w:pPr>
      <w:bookmarkStart w:id="19" w:name="_Toc37775028"/>
      <w:bookmarkStart w:id="20" w:name="_Toc43987002"/>
      <w:bookmarkStart w:id="21" w:name="_Toc232845889"/>
      <w:bookmarkStart w:id="22" w:name="_Toc184101942"/>
      <w:bookmarkStart w:id="23" w:name="_Toc175991039"/>
      <w:bookmarkStart w:id="24" w:name="_Toc232845891"/>
      <w:bookmarkStart w:id="25" w:name="_Toc184101944"/>
      <w:bookmarkStart w:id="26" w:name="_Toc431493734"/>
      <w:bookmarkEnd w:id="14"/>
      <w:bookmarkEnd w:id="15"/>
      <w:bookmarkEnd w:id="16"/>
      <w:r w:rsidRPr="00F63373">
        <w:lastRenderedPageBreak/>
        <w:t>Introduction</w:t>
      </w:r>
      <w:bookmarkEnd w:id="19"/>
      <w:bookmarkEnd w:id="20"/>
    </w:p>
    <w:bookmarkEnd w:id="21"/>
    <w:bookmarkEnd w:id="22"/>
    <w:p w14:paraId="70185A6F" w14:textId="4B055CB5" w:rsidR="005306B4" w:rsidRPr="00A92652" w:rsidRDefault="000806A8" w:rsidP="005306B4">
      <w:pPr>
        <w:rPr>
          <w:rFonts w:cs="Arial"/>
          <w:szCs w:val="22"/>
          <w:lang w:eastAsia="en-AU"/>
        </w:rPr>
      </w:pPr>
      <w:r w:rsidRPr="00A92652">
        <w:rPr>
          <w:rFonts w:cs="Arial"/>
          <w:color w:val="000000" w:themeColor="text1"/>
          <w:szCs w:val="22"/>
          <w:lang w:eastAsia="en-AU"/>
        </w:rPr>
        <w:t>Approximately 3,</w:t>
      </w:r>
      <w:r w:rsidR="00DE0025" w:rsidRPr="00A92652">
        <w:rPr>
          <w:rFonts w:cs="Arial"/>
          <w:color w:val="000000" w:themeColor="text1"/>
          <w:szCs w:val="22"/>
          <w:lang w:eastAsia="en-AU"/>
        </w:rPr>
        <w:t>464</w:t>
      </w:r>
      <w:r w:rsidRPr="00A92652">
        <w:rPr>
          <w:rFonts w:cs="Arial"/>
          <w:color w:val="000000" w:themeColor="text1"/>
          <w:szCs w:val="22"/>
          <w:lang w:eastAsia="en-AU"/>
        </w:rPr>
        <w:t xml:space="preserve"> km</w:t>
      </w:r>
      <w:r w:rsidRPr="00A92652">
        <w:rPr>
          <w:rFonts w:cs="Arial"/>
          <w:color w:val="000000" w:themeColor="text1"/>
          <w:szCs w:val="22"/>
          <w:vertAlign w:val="superscript"/>
          <w:lang w:eastAsia="en-AU"/>
        </w:rPr>
        <w:t>2</w:t>
      </w:r>
      <w:r w:rsidRPr="00A92652">
        <w:rPr>
          <w:rFonts w:cs="Arial"/>
          <w:color w:val="000000" w:themeColor="text1"/>
          <w:szCs w:val="22"/>
          <w:lang w:eastAsia="en-AU"/>
        </w:rPr>
        <w:t xml:space="preserve"> of inshore seagrass meadows </w:t>
      </w:r>
      <w:r w:rsidR="00C94194" w:rsidRPr="00A92652">
        <w:rPr>
          <w:rFonts w:cs="Arial"/>
          <w:color w:val="000000" w:themeColor="text1"/>
          <w:szCs w:val="22"/>
          <w:lang w:eastAsia="en-AU"/>
        </w:rPr>
        <w:t>ha</w:t>
      </w:r>
      <w:r w:rsidR="00C94194">
        <w:rPr>
          <w:rFonts w:cs="Arial"/>
          <w:color w:val="000000" w:themeColor="text1"/>
          <w:szCs w:val="22"/>
          <w:lang w:eastAsia="en-AU"/>
        </w:rPr>
        <w:t>ve</w:t>
      </w:r>
      <w:r w:rsidR="00C94194" w:rsidRPr="00A92652">
        <w:rPr>
          <w:rFonts w:cs="Arial"/>
          <w:color w:val="000000" w:themeColor="text1"/>
          <w:szCs w:val="22"/>
          <w:lang w:eastAsia="en-AU"/>
        </w:rPr>
        <w:t xml:space="preserve"> </w:t>
      </w:r>
      <w:r w:rsidRPr="00A92652">
        <w:rPr>
          <w:rFonts w:cs="Arial"/>
          <w:color w:val="000000" w:themeColor="text1"/>
          <w:szCs w:val="22"/>
          <w:lang w:eastAsia="en-AU"/>
        </w:rPr>
        <w:t>been mapped in Great Barrier Reef World Heritage Area (</w:t>
      </w:r>
      <w:r w:rsidR="00E71D68" w:rsidRPr="00A92652">
        <w:rPr>
          <w:rFonts w:cs="Arial"/>
          <w:color w:val="000000" w:themeColor="text1"/>
          <w:szCs w:val="22"/>
          <w:lang w:eastAsia="en-AU"/>
        </w:rPr>
        <w:t>the World Heritage Area</w:t>
      </w:r>
      <w:r w:rsidRPr="00A92652">
        <w:rPr>
          <w:rFonts w:cs="Arial"/>
          <w:color w:val="000000" w:themeColor="text1"/>
          <w:szCs w:val="22"/>
          <w:lang w:eastAsia="en-AU"/>
        </w:rPr>
        <w:t>) in waters shallower than 15</w:t>
      </w:r>
      <w:r w:rsidR="00E71D68" w:rsidRPr="00A92652">
        <w:rPr>
          <w:rFonts w:cs="Arial"/>
          <w:color w:val="000000" w:themeColor="text1"/>
          <w:szCs w:val="22"/>
          <w:lang w:eastAsia="en-AU"/>
        </w:rPr>
        <w:t xml:space="preserve"> </w:t>
      </w:r>
      <w:r w:rsidRPr="00A92652">
        <w:rPr>
          <w:rFonts w:cs="Arial"/>
          <w:color w:val="000000" w:themeColor="text1"/>
          <w:szCs w:val="22"/>
          <w:lang w:eastAsia="en-AU"/>
        </w:rPr>
        <w:t>m</w:t>
      </w:r>
      <w:r w:rsidR="00DE0025" w:rsidRPr="00A92652">
        <w:rPr>
          <w:rFonts w:cs="Arial"/>
          <w:color w:val="000000" w:themeColor="text1"/>
          <w:szCs w:val="22"/>
          <w:lang w:eastAsia="en-AU"/>
        </w:rPr>
        <w:t xml:space="preserve"> (</w:t>
      </w:r>
      <w:r w:rsidR="00DE0025" w:rsidRPr="00A92652">
        <w:rPr>
          <w:rFonts w:cs="Arial"/>
          <w:color w:val="000000" w:themeColor="text1"/>
          <w:szCs w:val="22"/>
        </w:rPr>
        <w:fldChar w:fldCharType="begin">
          <w:fldData xml:space="preserve">PEVuZE5vdGU+PENpdGU+PEF1dGhvcj5DYXJ0ZXI8L0F1dGhvcj48WWVhcj4yMDE2PC9ZZWFyPjxS
ZWNOdW0+MTA1Nzg8L1JlY051bT48RGlzcGxheVRleHQ+TWNLZW56aWU8c3R5bGUgZmFjZT0iaXRh
bGljIj4gZXQgYWwuPC9zdHlsZT4gMjAxNGM7IFNhdW5kZXJzPHN0eWxlIGZhY2U9Iml0YWxpYyI+
IGV0IGFsLjwvc3R5bGU+IDIwMTU7IENhcnRlcjxzdHlsZSBmYWNlPSJpdGFsaWMiPiBldCBhbC48
L3N0eWxlPiAyMDE2OyBNY0tlbnppZTxzdHlsZSBmYWNlPSJpdGFsaWMiPiBldCBhbC48L3N0eWxl
PiAyMDE2PC9EaXNwbGF5VGV4dD48cmVjb3JkPjxyZWMtbnVtYmVyPjEwNTc4PC9yZWMtbnVtYmVy
Pjxmb3JlaWduLWtleXM+PGtleSBhcHA9IkVOIiBkYi1pZD0iMGV2ZTU1eDl5NXZmZDZlOWRhY3h0
ZXc0ZWF0dmUyZHpkczlhIiB0aW1lc3RhbXA9IjE0NTgyNzc1NzMiPjEwNTc4PC9rZXk+PC9mb3Jl
aWduLWtleXM+PHJlZi10eXBlIG5hbWU9IkJvb2siPjY8L3JlZi10eXBlPjxjb250cmlidXRvcnM+
PGF1dGhvcnM+PGF1dGhvcj5DYXJ0ZXIsIEFsZXggQjwvYXV0aG9yPjxhdXRob3I+TWNLZW5uYSwg
U2t5ZSBBPC9hdXRob3I+PGF1dGhvcj5SYXNoZWVkLCBNaWNoYWVsIEEgPC9hdXRob3I+PGF1dGhv
cj5NY0tlbnppZSwgTGVuIEogPC9hdXRob3I+PGF1dGhvcj5Db2xlcywgUm9iIEc8L2F1dGhvcj48
L2F1dGhvcnM+PC9jb250cmlidXRvcnM+PHRpdGxlcz48dGl0bGU+U2VhZ3Jhc3MgbWFwcGluZyBz
eW50aGVzaXM6IEEgcmVzb3VyY2UgZm9yIGNvYXN0YWwgbWFuYWdlbWVudCBpbiB0aGUgR3JlYXQg
QmFycmllciBSZWVmIFdvcmxkIEhlcml0YWdlIEFyZWEuIFJlcG9ydCB0byB0aGUgTmF0aW9uYWwg
RW52aXJvbm1lbnRhbCBTY2llbmNlIFByb2dyYW1tZS48L3RpdGxlPjwvdGl0bGVzPjxwYWdlcz4y
MjwvcGFnZXM+PGRhdGVzPjx5ZWFyPjIwMTY8L3llYXI+PC9kYXRlcz48cHViLWxvY2F0aW9uPkNh
aXJuczwvcHViLWxvY2F0aW9uPjxwdWJsaXNoZXI+UmVlZiBhbmQgUmFpbmZvcmVzdCBSZXNlYXJj
aCBDZW50cmUgTGltaXRlZDwvcHVibGlzaGVyPjx1cmxzPjwvdXJscz48L3JlY29yZD48L0NpdGU+
PENpdGU+PEF1dGhvcj5NY0tlbnppZTwvQXV0aG9yPjxZZWFyPjIwMTQ8L1llYXI+PFJlY051bT45
OTYxPC9SZWNOdW0+PHJlY29yZD48cmVjLW51bWJlcj45OTYxPC9yZWMtbnVtYmVyPjxmb3JlaWdu
LWtleXM+PGtleSBhcHA9IkVOIiBkYi1pZD0iMGV2ZTU1eDl5NXZmZDZlOWRhY3h0ZXc0ZWF0dmUy
ZHpkczlhIiB0aW1lc3RhbXA9IjE0MTA5MzAzMTUiPjk5NjE8L2tleT48L2ZvcmVpZ24ta2V5cz48
cmVmLXR5cGUgbmFtZT0iSm91cm5hbCBBcnRpY2xlIj4xNzwvcmVmLXR5cGU+PGNvbnRyaWJ1dG9y
cz48YXV0aG9ycz48YXV0aG9yPk1jS2VuemllLCBMZW4gSjwvYXV0aG9yPjxhdXRob3I+WW9zaGlk
YSwgUnVkb2xmIEw8L2F1dGhvcj48YXV0aG9yPlVuc3dvcnRoLCBSaWNoYXJkIEsgRjwvYXV0aG9y
PjwvYXV0aG9ycz48L2NvbnRyaWJ1dG9ycz48dGl0bGVzPjx0aXRsZT5EaXN0dXJiYW5jZSBpbmZs
dWVuY2VzIHRoZSBpbnZhc2lvbiBvZiBhIHNlYWdyYXNzIGludG8gYW4gZXhpc3RpbmcgbWVhZG93
PC90aXRsZT48c2Vjb25kYXJ5LXRpdGxlPk1hcmluZSBQb2xsdXRpb24gQnVsbGV0aW48L3NlY29u
ZGFyeS10aXRsZT48L3RpdGxlcz48cGVyaW9kaWNhbD48ZnVsbC10aXRsZT5NYXJpbmUgUG9sbHV0
aW9uIEJ1bGxldGluPC9mdWxsLXRpdGxlPjwvcGVyaW9kaWNhbD48cGFnZXM+MTg2LTE5NjwvcGFn
ZXM+PHZvbHVtZT44Njwvdm9sdW1lPjxudW1iZXI+MeKAkzI8L251bWJlcj48a2V5d29yZHM+PGtl
eXdvcmQ+U2VhZ3Jhc3M8L2tleXdvcmQ+PGtleXdvcmQ+SW52YXNpdmUgc3BlY2llczwva2V5d29y
ZD48a2V5d29yZD5EaXN0dXJiYW5jZTwva2V5d29yZD48a2V5d29yZD5Ucm9waWNhbDwva2V5d29y
ZD48a2V5d29yZD5HcmVhdCBCYXJyaWVyIFJlZWY8L2tleXdvcmQ+PC9rZXl3b3Jkcz48ZGF0ZXM+
PHllYXI+MjAxNDwveWVhcj48L2RhdGVzPjxpc2JuPjAwMjUtMzI2WDwvaXNibj48dXJscz48cmVs
YXRlZC11cmxzPjx1cmw+aHR0cDovL3d3dy5zY2llbmNlZGlyZWN0LmNvbS9zY2llbmNlL2FydGlj
bGUvcGlpL1MwMDI1MzI2WDE0MDA0NTVYPC91cmw+PC9yZWxhdGVkLXVybHM+PC91cmxzPjxlbGVj
dHJvbmljLXJlc291cmNlLW51bT5odHRwOi8vZHguZG9pLm9yZy8xMC4xMDE2L2oubWFycG9sYnVs
LjIwMTQuMDcuMDE5PC9lbGVjdHJvbmljLXJlc291cmNlLW51bT48L3JlY29yZD48L0NpdGU+PENp
dGU+PEF1dGhvcj5NY0tlbnppZTwvQXV0aG9yPjxZZWFyPjIwMTY8L1llYXI+PFJlY051bT4xMDU3
OTwvUmVjTnVtPjxyZWNvcmQ+PHJlYy1udW1iZXI+MTA1Nzk8L3JlYy1udW1iZXI+PGZvcmVpZ24t
a2V5cz48a2V5IGFwcD0iRU4iIGRiLWlkPSIwZXZlNTV4OXk1dmZkNmU5ZGFjeHRldzRlYXR2ZTJk
emRzOWEiIHRpbWVzdGFtcD0iMTQ1ODI3ODU1MSI+MTA1Nzk8L2tleT48L2ZvcmVpZ24ta2V5cz48
cmVmLXR5cGUgbmFtZT0iSm91cm5hbCBBcnRpY2xlIj4xNzwvcmVmLXR5cGU+PGNvbnRyaWJ1dG9y
cz48YXV0aG9ycz48YXV0aG9yPk1jS2VuemllLCBMZW4gSjwvYXV0aG9yPjxhdXRob3I+Um9kZXIs
IENoYW50YWwgQTwvYXV0aG9yPjxhdXRob3I+WW9zaGlkYSwgUnVkb2xmIEw8L2F1dGhvcj48L2F1
dGhvcnM+PC9jb250cmlidXRvcnM+PHRpdGxlcz48dGl0bGU+U2VhZ3Jhc3MgYW5kIGFzc29jaWF0
ZWQgYmVudGhpYyBjb21tdW5pdHkgZGF0YSBkZXJpdmVkIGZyb20gZmllbGQgc3VydmV5cyBhdCBM
b3cgSXNsZXMsIEdyZWF0IEJhcnJpZXIgUmVlZiwgY29uZHVjdGVkIEp1bHktQXVndXN0LCAxOTk3
PC90aXRsZT48c2Vjb25kYXJ5LXRpdGxlPlBBTkdBRUE8L3NlY29uZGFyeS10aXRsZT48L3RpdGxl
cz48cGVyaW9kaWNhbD48ZnVsbC10aXRsZT5QQU5HQUVBPC9mdWxsLXRpdGxlPjwvcGVyaW9kaWNh
bD48cGFnZXM+ZG9pOjEwLjE1OTQvUEFOR0FFQS44NTg5NDU8L3BhZ2VzPjxkYXRlcz48eWVhcj4y
MDE2PC95ZWFyPjwvZGF0ZXM+PHVybHM+PHJlbGF0ZWQtdXJscz48dXJsPmh0dHBzOi8vZG9pLm9y
Zy8xMC4xNTk0L1BBTkdBRUEuODU4OTQ1PC91cmw+PC9yZWxhdGVkLXVybHM+PC91cmxzPjxlbGVj
dHJvbmljLXJlc291cmNlLW51bT4xMC4xNTk0L1BBTkdBRUEuODU4OTQ1PC9lbGVjdHJvbmljLXJl
c291cmNlLW51bT48L3JlY29yZD48L0NpdGU+PENpdGU+PEF1dGhvcj5TYXVuZGVyczwvQXV0aG9y
PjxZZWFyPjIwMTU8L1llYXI+PFJlY051bT4xMDI5MTwvUmVjTnVtPjxyZWNvcmQ+PHJlYy1udW1i
ZXI+MTAyOTE8L3JlYy1udW1iZXI+PGZvcmVpZ24ta2V5cz48a2V5IGFwcD0iRU4iIGRiLWlkPSIw
ZXZlNTV4OXk1dmZkNmU5ZGFjeHRldzRlYXR2ZTJkemRzOWEiIHRpbWVzdGFtcD0iMTQ0MTAwODk0
OCI+MTAyOTE8L2tleT48L2ZvcmVpZ24ta2V5cz48cmVmLXR5cGUgbmFtZT0iSm91cm5hbCBBcnRp
Y2xlIj4xNzwvcmVmLXR5cGU+PGNvbnRyaWJ1dG9ycz48YXV0aG9ycz48YXV0aG9yPlNhdW5kZXJz
LCBNZWdhbiBJPC9hdXRob3I+PGF1dGhvcj5CYXlyYWt0YXJvdiwgRWxpc2E8L2F1dGhvcj48YXV0
aG9yPlJvZWxmc2VtYSwgQ2hyaXMgTTwvYXV0aG9yPjxhdXRob3I+TGVvbmEsSmF2aWVyIFg8L2F1
dGhvcj48YXV0aG9yPlNhbXBlci1WaWxsYXJyZWFsLCBKaW1lbmEgPC9hdXRob3I+PGF1dGhvcj5Q
aGlubiwgU3R1YXJ0IFI8L2F1dGhvcj48YXV0aG9yPkxvdmVsb2NrLCBDYXRoZXJpbmUgRSA8L2F1
dGhvcj48YXV0aG9yPk11bWJ5LCBQZXRlciBKPC9hdXRob3I+PC9hdXRob3JzPjwvY29udHJpYnV0
b3JzPjx0aXRsZXM+PHRpdGxlPlNwYXRpYWwgYW5kIHRlbXBvcmFsIHZhcmlhYmlsaXR5IG9mIHNl
YWdyYXNzIGF0IExpemFyZCBJc2xhbmQsIEdyZWF0IEJhcnJpZXIgUmVlZjwvdGl0bGU+PHNlY29u
ZGFyeS10aXRsZT5Cb3RhbmljYSBNYXJpbmE8L3NlY29uZGFyeS10aXRsZT48L3RpdGxlcz48cGVy
aW9kaWNhbD48ZnVsbC10aXRsZT5Cb3RhbmljYSBNYXJpbmE8L2Z1bGwtdGl0bGU+PC9wZXJpb2Rp
Y2FsPjxwYWdlcz4zNeKAkzQ5PC9wYWdlcz48dm9sdW1lPjU4PC92b2x1bWU+PG51bWJlcj4xPC9u
dW1iZXI+PGRhdGVzPjx5ZWFyPjIwMTU8L3llYXI+PC9kYXRlcz48dXJscz48L3VybHM+PC9yZWNv
cmQ+PC9DaXRlPjwvRW5kTm90ZT4A
</w:fldData>
        </w:fldChar>
      </w:r>
      <w:r w:rsidR="002126B5">
        <w:rPr>
          <w:rFonts w:cs="Arial"/>
          <w:color w:val="000000" w:themeColor="text1"/>
          <w:szCs w:val="22"/>
        </w:rPr>
        <w:instrText xml:space="preserve"> ADDIN EN.CITE </w:instrText>
      </w:r>
      <w:r w:rsidR="002126B5">
        <w:rPr>
          <w:rFonts w:cs="Arial"/>
          <w:color w:val="000000" w:themeColor="text1"/>
          <w:szCs w:val="22"/>
        </w:rPr>
        <w:fldChar w:fldCharType="begin">
          <w:fldData xml:space="preserve">PEVuZE5vdGU+PENpdGU+PEF1dGhvcj5DYXJ0ZXI8L0F1dGhvcj48WWVhcj4yMDE2PC9ZZWFyPjxS
ZWNOdW0+MTA1Nzg8L1JlY051bT48RGlzcGxheVRleHQ+TWNLZW56aWU8c3R5bGUgZmFjZT0iaXRh
bGljIj4gZXQgYWwuPC9zdHlsZT4gMjAxNGM7IFNhdW5kZXJzPHN0eWxlIGZhY2U9Iml0YWxpYyI+
IGV0IGFsLjwvc3R5bGU+IDIwMTU7IENhcnRlcjxzdHlsZSBmYWNlPSJpdGFsaWMiPiBldCBhbC48
L3N0eWxlPiAyMDE2OyBNY0tlbnppZTxzdHlsZSBmYWNlPSJpdGFsaWMiPiBldCBhbC48L3N0eWxl
PiAyMDE2PC9EaXNwbGF5VGV4dD48cmVjb3JkPjxyZWMtbnVtYmVyPjEwNTc4PC9yZWMtbnVtYmVy
Pjxmb3JlaWduLWtleXM+PGtleSBhcHA9IkVOIiBkYi1pZD0iMGV2ZTU1eDl5NXZmZDZlOWRhY3h0
ZXc0ZWF0dmUyZHpkczlhIiB0aW1lc3RhbXA9IjE0NTgyNzc1NzMiPjEwNTc4PC9rZXk+PC9mb3Jl
aWduLWtleXM+PHJlZi10eXBlIG5hbWU9IkJvb2siPjY8L3JlZi10eXBlPjxjb250cmlidXRvcnM+
PGF1dGhvcnM+PGF1dGhvcj5DYXJ0ZXIsIEFsZXggQjwvYXV0aG9yPjxhdXRob3I+TWNLZW5uYSwg
U2t5ZSBBPC9hdXRob3I+PGF1dGhvcj5SYXNoZWVkLCBNaWNoYWVsIEEgPC9hdXRob3I+PGF1dGhv
cj5NY0tlbnppZSwgTGVuIEogPC9hdXRob3I+PGF1dGhvcj5Db2xlcywgUm9iIEc8L2F1dGhvcj48
L2F1dGhvcnM+PC9jb250cmlidXRvcnM+PHRpdGxlcz48dGl0bGU+U2VhZ3Jhc3MgbWFwcGluZyBz
eW50aGVzaXM6IEEgcmVzb3VyY2UgZm9yIGNvYXN0YWwgbWFuYWdlbWVudCBpbiB0aGUgR3JlYXQg
QmFycmllciBSZWVmIFdvcmxkIEhlcml0YWdlIEFyZWEuIFJlcG9ydCB0byB0aGUgTmF0aW9uYWwg
RW52aXJvbm1lbnRhbCBTY2llbmNlIFByb2dyYW1tZS48L3RpdGxlPjwvdGl0bGVzPjxwYWdlcz4y
MjwvcGFnZXM+PGRhdGVzPjx5ZWFyPjIwMTY8L3llYXI+PC9kYXRlcz48cHViLWxvY2F0aW9uPkNh
aXJuczwvcHViLWxvY2F0aW9uPjxwdWJsaXNoZXI+UmVlZiBhbmQgUmFpbmZvcmVzdCBSZXNlYXJj
aCBDZW50cmUgTGltaXRlZDwvcHVibGlzaGVyPjx1cmxzPjwvdXJscz48L3JlY29yZD48L0NpdGU+
PENpdGU+PEF1dGhvcj5NY0tlbnppZTwvQXV0aG9yPjxZZWFyPjIwMTQ8L1llYXI+PFJlY051bT45
OTYxPC9SZWNOdW0+PHJlY29yZD48cmVjLW51bWJlcj45OTYxPC9yZWMtbnVtYmVyPjxmb3JlaWdu
LWtleXM+PGtleSBhcHA9IkVOIiBkYi1pZD0iMGV2ZTU1eDl5NXZmZDZlOWRhY3h0ZXc0ZWF0dmUy
ZHpkczlhIiB0aW1lc3RhbXA9IjE0MTA5MzAzMTUiPjk5NjE8L2tleT48L2ZvcmVpZ24ta2V5cz48
cmVmLXR5cGUgbmFtZT0iSm91cm5hbCBBcnRpY2xlIj4xNzwvcmVmLXR5cGU+PGNvbnRyaWJ1dG9y
cz48YXV0aG9ycz48YXV0aG9yPk1jS2VuemllLCBMZW4gSjwvYXV0aG9yPjxhdXRob3I+WW9zaGlk
YSwgUnVkb2xmIEw8L2F1dGhvcj48YXV0aG9yPlVuc3dvcnRoLCBSaWNoYXJkIEsgRjwvYXV0aG9y
PjwvYXV0aG9ycz48L2NvbnRyaWJ1dG9ycz48dGl0bGVzPjx0aXRsZT5EaXN0dXJiYW5jZSBpbmZs
dWVuY2VzIHRoZSBpbnZhc2lvbiBvZiBhIHNlYWdyYXNzIGludG8gYW4gZXhpc3RpbmcgbWVhZG93
PC90aXRsZT48c2Vjb25kYXJ5LXRpdGxlPk1hcmluZSBQb2xsdXRpb24gQnVsbGV0aW48L3NlY29u
ZGFyeS10aXRsZT48L3RpdGxlcz48cGVyaW9kaWNhbD48ZnVsbC10aXRsZT5NYXJpbmUgUG9sbHV0
aW9uIEJ1bGxldGluPC9mdWxsLXRpdGxlPjwvcGVyaW9kaWNhbD48cGFnZXM+MTg2LTE5NjwvcGFn
ZXM+PHZvbHVtZT44Njwvdm9sdW1lPjxudW1iZXI+MeKAkzI8L251bWJlcj48a2V5d29yZHM+PGtl
eXdvcmQ+U2VhZ3Jhc3M8L2tleXdvcmQ+PGtleXdvcmQ+SW52YXNpdmUgc3BlY2llczwva2V5d29y
ZD48a2V5d29yZD5EaXN0dXJiYW5jZTwva2V5d29yZD48a2V5d29yZD5Ucm9waWNhbDwva2V5d29y
ZD48a2V5d29yZD5HcmVhdCBCYXJyaWVyIFJlZWY8L2tleXdvcmQ+PC9rZXl3b3Jkcz48ZGF0ZXM+
PHllYXI+MjAxNDwveWVhcj48L2RhdGVzPjxpc2JuPjAwMjUtMzI2WDwvaXNibj48dXJscz48cmVs
YXRlZC11cmxzPjx1cmw+aHR0cDovL3d3dy5zY2llbmNlZGlyZWN0LmNvbS9zY2llbmNlL2FydGlj
bGUvcGlpL1MwMDI1MzI2WDE0MDA0NTVYPC91cmw+PC9yZWxhdGVkLXVybHM+PC91cmxzPjxlbGVj
dHJvbmljLXJlc291cmNlLW51bT5odHRwOi8vZHguZG9pLm9yZy8xMC4xMDE2L2oubWFycG9sYnVs
LjIwMTQuMDcuMDE5PC9lbGVjdHJvbmljLXJlc291cmNlLW51bT48L3JlY29yZD48L0NpdGU+PENp
dGU+PEF1dGhvcj5NY0tlbnppZTwvQXV0aG9yPjxZZWFyPjIwMTY8L1llYXI+PFJlY051bT4xMDU3
OTwvUmVjTnVtPjxyZWNvcmQ+PHJlYy1udW1iZXI+MTA1Nzk8L3JlYy1udW1iZXI+PGZvcmVpZ24t
a2V5cz48a2V5IGFwcD0iRU4iIGRiLWlkPSIwZXZlNTV4OXk1dmZkNmU5ZGFjeHRldzRlYXR2ZTJk
emRzOWEiIHRpbWVzdGFtcD0iMTQ1ODI3ODU1MSI+MTA1Nzk8L2tleT48L2ZvcmVpZ24ta2V5cz48
cmVmLXR5cGUgbmFtZT0iSm91cm5hbCBBcnRpY2xlIj4xNzwvcmVmLXR5cGU+PGNvbnRyaWJ1dG9y
cz48YXV0aG9ycz48YXV0aG9yPk1jS2VuemllLCBMZW4gSjwvYXV0aG9yPjxhdXRob3I+Um9kZXIs
IENoYW50YWwgQTwvYXV0aG9yPjxhdXRob3I+WW9zaGlkYSwgUnVkb2xmIEw8L2F1dGhvcj48L2F1
dGhvcnM+PC9jb250cmlidXRvcnM+PHRpdGxlcz48dGl0bGU+U2VhZ3Jhc3MgYW5kIGFzc29jaWF0
ZWQgYmVudGhpYyBjb21tdW5pdHkgZGF0YSBkZXJpdmVkIGZyb20gZmllbGQgc3VydmV5cyBhdCBM
b3cgSXNsZXMsIEdyZWF0IEJhcnJpZXIgUmVlZiwgY29uZHVjdGVkIEp1bHktQXVndXN0LCAxOTk3
PC90aXRsZT48c2Vjb25kYXJ5LXRpdGxlPlBBTkdBRUE8L3NlY29uZGFyeS10aXRsZT48L3RpdGxl
cz48cGVyaW9kaWNhbD48ZnVsbC10aXRsZT5QQU5HQUVBPC9mdWxsLXRpdGxlPjwvcGVyaW9kaWNh
bD48cGFnZXM+ZG9pOjEwLjE1OTQvUEFOR0FFQS44NTg5NDU8L3BhZ2VzPjxkYXRlcz48eWVhcj4y
MDE2PC95ZWFyPjwvZGF0ZXM+PHVybHM+PHJlbGF0ZWQtdXJscz48dXJsPmh0dHBzOi8vZG9pLm9y
Zy8xMC4xNTk0L1BBTkdBRUEuODU4OTQ1PC91cmw+PC9yZWxhdGVkLXVybHM+PC91cmxzPjxlbGVj
dHJvbmljLXJlc291cmNlLW51bT4xMC4xNTk0L1BBTkdBRUEuODU4OTQ1PC9lbGVjdHJvbmljLXJl
c291cmNlLW51bT48L3JlY29yZD48L0NpdGU+PENpdGU+PEF1dGhvcj5TYXVuZGVyczwvQXV0aG9y
PjxZZWFyPjIwMTU8L1llYXI+PFJlY051bT4xMDI5MTwvUmVjTnVtPjxyZWNvcmQ+PHJlYy1udW1i
ZXI+MTAyOTE8L3JlYy1udW1iZXI+PGZvcmVpZ24ta2V5cz48a2V5IGFwcD0iRU4iIGRiLWlkPSIw
ZXZlNTV4OXk1dmZkNmU5ZGFjeHRldzRlYXR2ZTJkemRzOWEiIHRpbWVzdGFtcD0iMTQ0MTAwODk0
OCI+MTAyOTE8L2tleT48L2ZvcmVpZ24ta2V5cz48cmVmLXR5cGUgbmFtZT0iSm91cm5hbCBBcnRp
Y2xlIj4xNzwvcmVmLXR5cGU+PGNvbnRyaWJ1dG9ycz48YXV0aG9ycz48YXV0aG9yPlNhdW5kZXJz
LCBNZWdhbiBJPC9hdXRob3I+PGF1dGhvcj5CYXlyYWt0YXJvdiwgRWxpc2E8L2F1dGhvcj48YXV0
aG9yPlJvZWxmc2VtYSwgQ2hyaXMgTTwvYXV0aG9yPjxhdXRob3I+TGVvbmEsSmF2aWVyIFg8L2F1
dGhvcj48YXV0aG9yPlNhbXBlci1WaWxsYXJyZWFsLCBKaW1lbmEgPC9hdXRob3I+PGF1dGhvcj5Q
aGlubiwgU3R1YXJ0IFI8L2F1dGhvcj48YXV0aG9yPkxvdmVsb2NrLCBDYXRoZXJpbmUgRSA8L2F1
dGhvcj48YXV0aG9yPk11bWJ5LCBQZXRlciBKPC9hdXRob3I+PC9hdXRob3JzPjwvY29udHJpYnV0
b3JzPjx0aXRsZXM+PHRpdGxlPlNwYXRpYWwgYW5kIHRlbXBvcmFsIHZhcmlhYmlsaXR5IG9mIHNl
YWdyYXNzIGF0IExpemFyZCBJc2xhbmQsIEdyZWF0IEJhcnJpZXIgUmVlZjwvdGl0bGU+PHNlY29u
ZGFyeS10aXRsZT5Cb3RhbmljYSBNYXJpbmE8L3NlY29uZGFyeS10aXRsZT48L3RpdGxlcz48cGVy
aW9kaWNhbD48ZnVsbC10aXRsZT5Cb3RhbmljYSBNYXJpbmE8L2Z1bGwtdGl0bGU+PC9wZXJpb2Rp
Y2FsPjxwYWdlcz4zNeKAkzQ5PC9wYWdlcz48dm9sdW1lPjU4PC92b2x1bWU+PG51bWJlcj4xPC9u
dW1iZXI+PGRhdGVzPjx5ZWFyPjIwMTU8L3llYXI+PC9kYXRlcz48dXJscz48L3VybHM+PC9yZWNv
cmQ+PC9DaXRlPjwvRW5kTm90ZT4A
</w:fldData>
        </w:fldChar>
      </w:r>
      <w:r w:rsidR="002126B5">
        <w:rPr>
          <w:rFonts w:cs="Arial"/>
          <w:color w:val="000000" w:themeColor="text1"/>
          <w:szCs w:val="22"/>
        </w:rPr>
        <w:instrText xml:space="preserve"> ADDIN EN.CITE.DATA </w:instrText>
      </w:r>
      <w:r w:rsidR="002126B5">
        <w:rPr>
          <w:rFonts w:cs="Arial"/>
          <w:color w:val="000000" w:themeColor="text1"/>
          <w:szCs w:val="22"/>
        </w:rPr>
      </w:r>
      <w:r w:rsidR="002126B5">
        <w:rPr>
          <w:rFonts w:cs="Arial"/>
          <w:color w:val="000000" w:themeColor="text1"/>
          <w:szCs w:val="22"/>
        </w:rPr>
        <w:fldChar w:fldCharType="end"/>
      </w:r>
      <w:r w:rsidR="00DE0025" w:rsidRPr="00A92652">
        <w:rPr>
          <w:rFonts w:cs="Arial"/>
          <w:color w:val="000000" w:themeColor="text1"/>
          <w:szCs w:val="22"/>
        </w:rPr>
      </w:r>
      <w:r w:rsidR="00DE0025" w:rsidRPr="00A92652">
        <w:rPr>
          <w:rFonts w:cs="Arial"/>
          <w:color w:val="000000" w:themeColor="text1"/>
          <w:szCs w:val="22"/>
        </w:rPr>
        <w:fldChar w:fldCharType="separate"/>
      </w:r>
      <w:hyperlink w:anchor="_ENREF_114" w:tooltip="McKenzie, 2014 #9961" w:history="1">
        <w:r w:rsidR="009A7AB4" w:rsidRPr="00A92652">
          <w:rPr>
            <w:rFonts w:cs="Arial"/>
            <w:noProof/>
            <w:color w:val="000000" w:themeColor="text1"/>
            <w:szCs w:val="22"/>
          </w:rPr>
          <w:t>McKenzie</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2014c</w:t>
        </w:r>
      </w:hyperlink>
      <w:r w:rsidR="00B63A1C" w:rsidRPr="00A92652">
        <w:rPr>
          <w:rFonts w:cs="Arial"/>
          <w:noProof/>
          <w:color w:val="000000" w:themeColor="text1"/>
          <w:szCs w:val="22"/>
        </w:rPr>
        <w:t xml:space="preserve">; </w:t>
      </w:r>
      <w:hyperlink w:anchor="_ENREF_137" w:tooltip="Saunders, 2015 #10291" w:history="1">
        <w:r w:rsidR="009A7AB4" w:rsidRPr="00A92652">
          <w:rPr>
            <w:rFonts w:cs="Arial"/>
            <w:noProof/>
            <w:color w:val="000000" w:themeColor="text1"/>
            <w:szCs w:val="22"/>
          </w:rPr>
          <w:t>Saunders</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2015</w:t>
        </w:r>
      </w:hyperlink>
      <w:r w:rsidR="00B63A1C" w:rsidRPr="00A92652">
        <w:rPr>
          <w:rFonts w:cs="Arial"/>
          <w:noProof/>
          <w:color w:val="000000" w:themeColor="text1"/>
          <w:szCs w:val="22"/>
        </w:rPr>
        <w:t xml:space="preserve">; </w:t>
      </w:r>
      <w:hyperlink w:anchor="_ENREF_23" w:tooltip="Carter, 2016 #10578" w:history="1">
        <w:r w:rsidR="009A7AB4" w:rsidRPr="00A92652">
          <w:rPr>
            <w:rFonts w:cs="Arial"/>
            <w:noProof/>
            <w:color w:val="000000" w:themeColor="text1"/>
            <w:szCs w:val="22"/>
          </w:rPr>
          <w:t>Carter</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2016</w:t>
        </w:r>
      </w:hyperlink>
      <w:r w:rsidR="00B63A1C" w:rsidRPr="00A92652">
        <w:rPr>
          <w:rFonts w:cs="Arial"/>
          <w:noProof/>
          <w:color w:val="000000" w:themeColor="text1"/>
          <w:szCs w:val="22"/>
        </w:rPr>
        <w:t xml:space="preserve">; </w:t>
      </w:r>
      <w:hyperlink w:anchor="_ENREF_107" w:tooltip="McKenzie, 2016 #10579" w:history="1">
        <w:r w:rsidR="009A7AB4" w:rsidRPr="00A92652">
          <w:rPr>
            <w:rFonts w:cs="Arial"/>
            <w:noProof/>
            <w:color w:val="000000" w:themeColor="text1"/>
            <w:szCs w:val="22"/>
          </w:rPr>
          <w:t>McKenzie</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2016</w:t>
        </w:r>
      </w:hyperlink>
      <w:r w:rsidR="00DE0025" w:rsidRPr="00A92652">
        <w:rPr>
          <w:rFonts w:cs="Arial"/>
          <w:color w:val="000000" w:themeColor="text1"/>
          <w:szCs w:val="22"/>
        </w:rPr>
        <w:fldChar w:fldCharType="end"/>
      </w:r>
      <w:r w:rsidR="00DE0025" w:rsidRPr="00A92652">
        <w:rPr>
          <w:rFonts w:cs="Arial"/>
          <w:color w:val="000000" w:themeColor="text1"/>
          <w:szCs w:val="22"/>
        </w:rPr>
        <w:t>; C. Howley, Unpublished data</w:t>
      </w:r>
      <w:r w:rsidR="00DE0025" w:rsidRPr="00A92652">
        <w:rPr>
          <w:rFonts w:cs="Arial"/>
          <w:color w:val="000000" w:themeColor="text1"/>
          <w:szCs w:val="22"/>
          <w:lang w:eastAsia="en-AU"/>
        </w:rPr>
        <w:t>)</w:t>
      </w:r>
      <w:r w:rsidR="000563CC" w:rsidRPr="00A92652">
        <w:rPr>
          <w:rFonts w:cs="Arial"/>
          <w:color w:val="000000" w:themeColor="text1"/>
          <w:szCs w:val="22"/>
          <w:lang w:eastAsia="en-AU"/>
        </w:rPr>
        <w:t xml:space="preserve"> (</w:t>
      </w:r>
      <w:r w:rsidR="000563CC" w:rsidRPr="00A92652">
        <w:rPr>
          <w:rFonts w:cs="Arial"/>
          <w:color w:val="000000" w:themeColor="text1"/>
          <w:szCs w:val="22"/>
          <w:lang w:eastAsia="en-AU"/>
        </w:rPr>
        <w:fldChar w:fldCharType="begin"/>
      </w:r>
      <w:r w:rsidR="000563CC" w:rsidRPr="00A92652">
        <w:rPr>
          <w:rFonts w:cs="Arial"/>
          <w:color w:val="000000" w:themeColor="text1"/>
          <w:szCs w:val="22"/>
          <w:lang w:eastAsia="en-AU"/>
        </w:rPr>
        <w:instrText xml:space="preserve"> REF _Ref472590595 \h </w:instrText>
      </w:r>
      <w:r w:rsidR="00DA741D" w:rsidRPr="00A92652">
        <w:rPr>
          <w:rFonts w:cs="Arial"/>
          <w:color w:val="000000" w:themeColor="text1"/>
          <w:szCs w:val="22"/>
          <w:lang w:eastAsia="en-AU"/>
        </w:rPr>
        <w:instrText xml:space="preserve"> \* MERGEFORMAT </w:instrText>
      </w:r>
      <w:r w:rsidR="000563CC" w:rsidRPr="00A92652">
        <w:rPr>
          <w:rFonts w:cs="Arial"/>
          <w:color w:val="000000" w:themeColor="text1"/>
          <w:szCs w:val="22"/>
          <w:lang w:eastAsia="en-AU"/>
        </w:rPr>
      </w:r>
      <w:r w:rsidR="000563CC" w:rsidRPr="00A92652">
        <w:rPr>
          <w:rFonts w:cs="Arial"/>
          <w:color w:val="000000" w:themeColor="text1"/>
          <w:szCs w:val="22"/>
          <w:lang w:eastAsia="en-AU"/>
        </w:rPr>
        <w:fldChar w:fldCharType="separate"/>
      </w:r>
      <w:r w:rsidR="0067675D" w:rsidRPr="00A92652">
        <w:rPr>
          <w:rFonts w:cs="Arial"/>
          <w:szCs w:val="22"/>
        </w:rPr>
        <w:t xml:space="preserve">Figure </w:t>
      </w:r>
      <w:r w:rsidR="0067675D">
        <w:rPr>
          <w:rFonts w:cs="Arial"/>
          <w:noProof/>
          <w:szCs w:val="22"/>
        </w:rPr>
        <w:t>2</w:t>
      </w:r>
      <w:r w:rsidR="000563CC" w:rsidRPr="00A92652">
        <w:rPr>
          <w:rFonts w:cs="Arial"/>
          <w:color w:val="000000" w:themeColor="text1"/>
          <w:szCs w:val="22"/>
          <w:lang w:eastAsia="en-AU"/>
        </w:rPr>
        <w:fldChar w:fldCharType="end"/>
      </w:r>
      <w:r w:rsidR="000563CC" w:rsidRPr="00A92652">
        <w:rPr>
          <w:rFonts w:cs="Arial"/>
          <w:color w:val="000000" w:themeColor="text1"/>
          <w:szCs w:val="22"/>
          <w:lang w:eastAsia="en-AU"/>
        </w:rPr>
        <w:t>)</w:t>
      </w:r>
      <w:r w:rsidRPr="00A92652">
        <w:rPr>
          <w:rFonts w:cs="Arial"/>
          <w:color w:val="000000" w:themeColor="text1"/>
          <w:szCs w:val="22"/>
          <w:lang w:eastAsia="en-AU"/>
        </w:rPr>
        <w:t xml:space="preserve">. </w:t>
      </w:r>
      <w:r w:rsidRPr="00A92652">
        <w:rPr>
          <w:rFonts w:cs="Arial"/>
          <w:color w:val="000000" w:themeColor="text1"/>
          <w:szCs w:val="22"/>
        </w:rPr>
        <w:t xml:space="preserve">The remaining </w:t>
      </w:r>
      <w:r w:rsidR="00521D93" w:rsidRPr="00A92652">
        <w:rPr>
          <w:rFonts w:cs="Arial"/>
          <w:color w:val="000000" w:themeColor="text1"/>
          <w:szCs w:val="22"/>
        </w:rPr>
        <w:t xml:space="preserve">modelled </w:t>
      </w:r>
      <w:r w:rsidRPr="00A92652">
        <w:rPr>
          <w:rFonts w:cs="Arial"/>
          <w:color w:val="000000" w:themeColor="text1"/>
          <w:szCs w:val="22"/>
        </w:rPr>
        <w:t>extent (9</w:t>
      </w:r>
      <w:r w:rsidR="00DE0025" w:rsidRPr="00A92652">
        <w:rPr>
          <w:rFonts w:cs="Arial"/>
          <w:color w:val="000000" w:themeColor="text1"/>
          <w:szCs w:val="22"/>
        </w:rPr>
        <w:t>0</w:t>
      </w:r>
      <w:r w:rsidR="003C311A">
        <w:rPr>
          <w:rFonts w:cs="Arial"/>
          <w:color w:val="000000" w:themeColor="text1"/>
          <w:szCs w:val="22"/>
        </w:rPr>
        <w:t>%</w:t>
      </w:r>
      <w:r w:rsidR="007C215D">
        <w:rPr>
          <w:rFonts w:cs="Arial"/>
          <w:color w:val="000000" w:themeColor="text1"/>
          <w:szCs w:val="22"/>
        </w:rPr>
        <w:t xml:space="preserve"> </w:t>
      </w:r>
      <w:r w:rsidRPr="00A92652">
        <w:rPr>
          <w:rFonts w:cs="Arial"/>
          <w:color w:val="000000" w:themeColor="text1"/>
          <w:szCs w:val="22"/>
        </w:rPr>
        <w:t xml:space="preserve">or </w:t>
      </w:r>
      <w:r w:rsidRPr="00A92652">
        <w:rPr>
          <w:rFonts w:cs="Arial"/>
          <w:color w:val="000000" w:themeColor="text1"/>
          <w:szCs w:val="22"/>
          <w:lang w:eastAsia="en-AU"/>
        </w:rPr>
        <w:t>3</w:t>
      </w:r>
      <w:r w:rsidR="00DE0025" w:rsidRPr="00A92652">
        <w:rPr>
          <w:rFonts w:cs="Arial"/>
          <w:color w:val="000000" w:themeColor="text1"/>
          <w:szCs w:val="22"/>
          <w:lang w:eastAsia="en-AU"/>
        </w:rPr>
        <w:t>2,335</w:t>
      </w:r>
      <w:r w:rsidRPr="00A92652">
        <w:rPr>
          <w:rFonts w:cs="Arial"/>
          <w:color w:val="000000" w:themeColor="text1"/>
          <w:szCs w:val="22"/>
          <w:lang w:eastAsia="en-AU"/>
        </w:rPr>
        <w:t xml:space="preserve"> km</w:t>
      </w:r>
      <w:r w:rsidRPr="00A92652">
        <w:rPr>
          <w:rFonts w:cs="Arial"/>
          <w:color w:val="000000" w:themeColor="text1"/>
          <w:szCs w:val="22"/>
          <w:vertAlign w:val="superscript"/>
          <w:lang w:eastAsia="en-AU"/>
        </w:rPr>
        <w:t>2</w:t>
      </w:r>
      <w:r w:rsidRPr="00A92652">
        <w:rPr>
          <w:rFonts w:cs="Arial"/>
          <w:color w:val="000000" w:themeColor="text1"/>
          <w:szCs w:val="22"/>
          <w:lang w:eastAsia="en-AU"/>
        </w:rPr>
        <w:t xml:space="preserve">) </w:t>
      </w:r>
      <w:r w:rsidRPr="00A92652">
        <w:rPr>
          <w:rFonts w:cs="Arial"/>
          <w:color w:val="000000" w:themeColor="text1"/>
          <w:szCs w:val="22"/>
        </w:rPr>
        <w:t xml:space="preserve">of seagrass in the </w:t>
      </w:r>
      <w:r w:rsidR="009C2E98" w:rsidRPr="00A92652">
        <w:rPr>
          <w:rFonts w:cs="Arial"/>
          <w:color w:val="000000" w:themeColor="text1"/>
          <w:szCs w:val="22"/>
        </w:rPr>
        <w:t>World Heritage Area</w:t>
      </w:r>
      <w:r w:rsidRPr="00A92652">
        <w:rPr>
          <w:rFonts w:cs="Arial"/>
          <w:color w:val="000000" w:themeColor="text1"/>
          <w:szCs w:val="22"/>
        </w:rPr>
        <w:t xml:space="preserve"> is located in the deeper waters (&gt;15</w:t>
      </w:r>
      <w:r w:rsidR="00E71D68" w:rsidRPr="00A92652">
        <w:rPr>
          <w:rFonts w:cs="Arial"/>
          <w:color w:val="000000" w:themeColor="text1"/>
          <w:szCs w:val="22"/>
        </w:rPr>
        <w:t xml:space="preserve"> </w:t>
      </w:r>
      <w:r w:rsidRPr="00A92652">
        <w:rPr>
          <w:rFonts w:cs="Arial"/>
          <w:color w:val="000000" w:themeColor="text1"/>
          <w:szCs w:val="22"/>
        </w:rPr>
        <w:t>m) of the lagoon (</w:t>
      </w:r>
      <w:r w:rsidR="005B0C7C" w:rsidRPr="00A92652">
        <w:rPr>
          <w:rFonts w:cs="Arial"/>
          <w:color w:val="000000" w:themeColor="text1"/>
          <w:szCs w:val="22"/>
        </w:rPr>
        <w:fldChar w:fldCharType="begin">
          <w:fldData xml:space="preserve">PEVuZE5vdGU+PENpdGU+PEF1dGhvcj5Db2xlczwvQXV0aG9yPjxZZWFyPjIwMDk8L1llYXI+PFJl
Y051bT45MzY3PC9SZWNOdW0+PERpc3BsYXlUZXh0PkNvbGVzPHN0eWxlIGZhY2U9Iml0YWxpYyI+
IGV0IGFsLjwvc3R5bGU+IDIwMDk7IENhcnRlcjxzdHlsZSBmYWNlPSJpdGFsaWMiPiBldCBhbC48
L3N0eWxlPiAyMDE2PC9EaXNwbGF5VGV4dD48cmVjb3JkPjxyZWMtbnVtYmVyPjkzNjc8L3JlYy1u
dW1iZXI+PGZvcmVpZ24ta2V5cz48a2V5IGFwcD0iRU4iIGRiLWlkPSIwZXZlNTV4OXk1dmZkNmU5
ZGFjeHRldzRlYXR2ZTJkemRzOWEiIHRpbWVzdGFtcD0iMTM5NTA5OTEzNiI+OTM2Nzwva2V5Pjwv
Zm9yZWlnbi1rZXlzPjxyZWYtdHlwZSBuYW1lPSJKb3VybmFsIEFydGljbGUiPjE3PC9yZWYtdHlw
ZT48Y29udHJpYnV0b3JzPjxhdXRob3JzPjxhdXRob3I+Q29sZXMsIFJvYmVydDwvYXV0aG9yPjxh
dXRob3I+TWNLZW56aWUsIExlbiBKPC9hdXRob3I+PGF1dGhvcj5EZSZhcG9zO2F0aCwgR2xlbm48
L2F1dGhvcj48YXV0aG9yPlJvZWxvZnMsIEFudGhvbnk8L2F1dGhvcj48YXV0aG9yPkxlZSBMb25n
LCBXYXJyZW4gSjwvYXV0aG9yPjwvYXV0aG9ycz48L2NvbnRyaWJ1dG9ycz48dGl0bGVzPjx0aXRs
ZT5TcGF0aWFsIGRpc3RyaWJ1dGlvbiBvZiBkZWVwd2F0ZXIgc2VhZ3Jhc3MgaW4gdGhlIGludGVy
LXJlZWYgbGFnb29uIG9mIHRoZSBHcmVhdCBCYXJyaWVyIFJlZWYgV29ybGQgSGVyaXRhZ2UgQXJl
YTwvdGl0bGU+PHNlY29uZGFyeS10aXRsZT5NYXJpbmUgRWNvbG9neSBQcm9ncmVzcyBTZXJpZXM8
L3NlY29uZGFyeS10aXRsZT48L3RpdGxlcz48cGVyaW9kaWNhbD48ZnVsbC10aXRsZT5NYXJpbmUg
RWNvbG9neSBQcm9ncmVzcyBTZXJpZXM8L2Z1bGwtdGl0bGU+PC9wZXJpb2RpY2FsPjxwYWdlcz41
Ny02ODwvcGFnZXM+PHZvbHVtZT4zOTI8L3ZvbHVtZT48ZGF0ZXM+PHllYXI+MjAwOTwveWVhcj48
cHViLWRhdGVzPjxkYXRlPjIwMDk8L2RhdGU+PC9wdWItZGF0ZXM+PC9kYXRlcz48aXNibj4wMTcx
LTg2MzA8L2lzYm4+PGFjY2Vzc2lvbi1udW0+V09TOjAwMDI3MTgyODcwMDAwNTwvYWNjZXNzaW9u
LW51bT48dXJscz48cmVsYXRlZC11cmxzPjx1cmw+Jmx0O0dvIHRvIElTSSZndDs6Ly9XT1M6MDAw
MjcxODI4NzAwMDA1PC91cmw+PC9yZWxhdGVkLXVybHM+PC91cmxzPjxlbGVjdHJvbmljLXJlc291
cmNlLW51bT4xMC4zMzU0L21lcHMwODE5NzwvZWxlY3Ryb25pYy1yZXNvdXJjZS1udW0+PC9yZWNv
cmQ+PC9DaXRlPjxDaXRlPjxBdXRob3I+Q2FydGVyPC9BdXRob3I+PFllYXI+MjAxNjwvWWVhcj48
UmVjTnVtPjEwNTc4PC9SZWNOdW0+PHJlY29yZD48cmVjLW51bWJlcj4xMDU3ODwvcmVjLW51bWJl
cj48Zm9yZWlnbi1rZXlzPjxrZXkgYXBwPSJFTiIgZGItaWQ9IjBldmU1NXg5eTV2ZmQ2ZTlkYWN4
dGV3NGVhdHZlMmR6ZHM5YSIgdGltZXN0YW1wPSIxNDU4Mjc3NTczIj4xMDU3ODwva2V5PjwvZm9y
ZWlnbi1rZXlzPjxyZWYtdHlwZSBuYW1lPSJCb29rIj42PC9yZWYtdHlwZT48Y29udHJpYnV0b3Jz
PjxhdXRob3JzPjxhdXRob3I+Q2FydGVyLCBBbGV4IEI8L2F1dGhvcj48YXV0aG9yPk1jS2VubmEs
IFNreWUgQTwvYXV0aG9yPjxhdXRob3I+UmFzaGVlZCwgTWljaGFlbCBBIDwvYXV0aG9yPjxhdXRo
b3I+TWNLZW56aWUsIExlbiBKIDwvYXV0aG9yPjxhdXRob3I+Q29sZXMsIFJvYiBHPC9hdXRob3I+
PC9hdXRob3JzPjwvY29udHJpYnV0b3JzPjx0aXRsZXM+PHRpdGxlPlNlYWdyYXNzIG1hcHBpbmcg
c3ludGhlc2lzOiBBIHJlc291cmNlIGZvciBjb2FzdGFsIG1hbmFnZW1lbnQgaW4gdGhlIEdyZWF0
IEJhcnJpZXIgUmVlZiBXb3JsZCBIZXJpdGFnZSBBcmVhLiBSZXBvcnQgdG8gdGhlIE5hdGlvbmFs
IEVudmlyb25tZW50YWwgU2NpZW5jZSBQcm9ncmFtbWUuPC90aXRsZT48L3RpdGxlcz48cGFnZXM+
MjI8L3BhZ2VzPjxkYXRlcz48eWVhcj4yMDE2PC95ZWFyPjwvZGF0ZXM+PHB1Yi1sb2NhdGlvbj5D
YWlybnM8L3B1Yi1sb2NhdGlvbj48cHVibGlzaGVyPlJlZWYgYW5kIFJhaW5mb3Jlc3QgUmVzZWFy
Y2ggQ2VudHJlIExpbWl0ZWQ8L3B1Ymxpc2hlcj48dXJscz48L3VybHM+PC9yZWNvcmQ+PC9DaXRl
PjwvRW5kTm90ZT5=
</w:fldData>
        </w:fldChar>
      </w:r>
      <w:r w:rsidR="00521D93" w:rsidRPr="00A92652">
        <w:rPr>
          <w:rFonts w:cs="Arial"/>
          <w:color w:val="000000" w:themeColor="text1"/>
          <w:szCs w:val="22"/>
        </w:rPr>
        <w:instrText xml:space="preserve"> ADDIN EN.CITE </w:instrText>
      </w:r>
      <w:r w:rsidR="00521D93" w:rsidRPr="00A92652">
        <w:rPr>
          <w:rFonts w:cs="Arial"/>
          <w:color w:val="000000" w:themeColor="text1"/>
          <w:szCs w:val="22"/>
        </w:rPr>
        <w:fldChar w:fldCharType="begin">
          <w:fldData xml:space="preserve">PEVuZE5vdGU+PENpdGU+PEF1dGhvcj5Db2xlczwvQXV0aG9yPjxZZWFyPjIwMDk8L1llYXI+PFJl
Y051bT45MzY3PC9SZWNOdW0+PERpc3BsYXlUZXh0PkNvbGVzPHN0eWxlIGZhY2U9Iml0YWxpYyI+
IGV0IGFsLjwvc3R5bGU+IDIwMDk7IENhcnRlcjxzdHlsZSBmYWNlPSJpdGFsaWMiPiBldCBhbC48
L3N0eWxlPiAyMDE2PC9EaXNwbGF5VGV4dD48cmVjb3JkPjxyZWMtbnVtYmVyPjkzNjc8L3JlYy1u
dW1iZXI+PGZvcmVpZ24ta2V5cz48a2V5IGFwcD0iRU4iIGRiLWlkPSIwZXZlNTV4OXk1dmZkNmU5
ZGFjeHRldzRlYXR2ZTJkemRzOWEiIHRpbWVzdGFtcD0iMTM5NTA5OTEzNiI+OTM2Nzwva2V5Pjwv
Zm9yZWlnbi1rZXlzPjxyZWYtdHlwZSBuYW1lPSJKb3VybmFsIEFydGljbGUiPjE3PC9yZWYtdHlw
ZT48Y29udHJpYnV0b3JzPjxhdXRob3JzPjxhdXRob3I+Q29sZXMsIFJvYmVydDwvYXV0aG9yPjxh
dXRob3I+TWNLZW56aWUsIExlbiBKPC9hdXRob3I+PGF1dGhvcj5EZSZhcG9zO2F0aCwgR2xlbm48
L2F1dGhvcj48YXV0aG9yPlJvZWxvZnMsIEFudGhvbnk8L2F1dGhvcj48YXV0aG9yPkxlZSBMb25n
LCBXYXJyZW4gSjwvYXV0aG9yPjwvYXV0aG9ycz48L2NvbnRyaWJ1dG9ycz48dGl0bGVzPjx0aXRs
ZT5TcGF0aWFsIGRpc3RyaWJ1dGlvbiBvZiBkZWVwd2F0ZXIgc2VhZ3Jhc3MgaW4gdGhlIGludGVy
LXJlZWYgbGFnb29uIG9mIHRoZSBHcmVhdCBCYXJyaWVyIFJlZWYgV29ybGQgSGVyaXRhZ2UgQXJl
YTwvdGl0bGU+PHNlY29uZGFyeS10aXRsZT5NYXJpbmUgRWNvbG9neSBQcm9ncmVzcyBTZXJpZXM8
L3NlY29uZGFyeS10aXRsZT48L3RpdGxlcz48cGVyaW9kaWNhbD48ZnVsbC10aXRsZT5NYXJpbmUg
RWNvbG9neSBQcm9ncmVzcyBTZXJpZXM8L2Z1bGwtdGl0bGU+PC9wZXJpb2RpY2FsPjxwYWdlcz41
Ny02ODwvcGFnZXM+PHZvbHVtZT4zOTI8L3ZvbHVtZT48ZGF0ZXM+PHllYXI+MjAwOTwveWVhcj48
cHViLWRhdGVzPjxkYXRlPjIwMDk8L2RhdGU+PC9wdWItZGF0ZXM+PC9kYXRlcz48aXNibj4wMTcx
LTg2MzA8L2lzYm4+PGFjY2Vzc2lvbi1udW0+V09TOjAwMDI3MTgyODcwMDAwNTwvYWNjZXNzaW9u
LW51bT48dXJscz48cmVsYXRlZC11cmxzPjx1cmw+Jmx0O0dvIHRvIElTSSZndDs6Ly9XT1M6MDAw
MjcxODI4NzAwMDA1PC91cmw+PC9yZWxhdGVkLXVybHM+PC91cmxzPjxlbGVjdHJvbmljLXJlc291
cmNlLW51bT4xMC4zMzU0L21lcHMwODE5NzwvZWxlY3Ryb25pYy1yZXNvdXJjZS1udW0+PC9yZWNv
cmQ+PC9DaXRlPjxDaXRlPjxBdXRob3I+Q2FydGVyPC9BdXRob3I+PFllYXI+MjAxNjwvWWVhcj48
UmVjTnVtPjEwNTc4PC9SZWNOdW0+PHJlY29yZD48cmVjLW51bWJlcj4xMDU3ODwvcmVjLW51bWJl
cj48Zm9yZWlnbi1rZXlzPjxrZXkgYXBwPSJFTiIgZGItaWQ9IjBldmU1NXg5eTV2ZmQ2ZTlkYWN4
dGV3NGVhdHZlMmR6ZHM5YSIgdGltZXN0YW1wPSIxNDU4Mjc3NTczIj4xMDU3ODwva2V5PjwvZm9y
ZWlnbi1rZXlzPjxyZWYtdHlwZSBuYW1lPSJCb29rIj42PC9yZWYtdHlwZT48Y29udHJpYnV0b3Jz
PjxhdXRob3JzPjxhdXRob3I+Q2FydGVyLCBBbGV4IEI8L2F1dGhvcj48YXV0aG9yPk1jS2VubmEs
IFNreWUgQTwvYXV0aG9yPjxhdXRob3I+UmFzaGVlZCwgTWljaGFlbCBBIDwvYXV0aG9yPjxhdXRo
b3I+TWNLZW56aWUsIExlbiBKIDwvYXV0aG9yPjxhdXRob3I+Q29sZXMsIFJvYiBHPC9hdXRob3I+
PC9hdXRob3JzPjwvY29udHJpYnV0b3JzPjx0aXRsZXM+PHRpdGxlPlNlYWdyYXNzIG1hcHBpbmcg
c3ludGhlc2lzOiBBIHJlc291cmNlIGZvciBjb2FzdGFsIG1hbmFnZW1lbnQgaW4gdGhlIEdyZWF0
IEJhcnJpZXIgUmVlZiBXb3JsZCBIZXJpdGFnZSBBcmVhLiBSZXBvcnQgdG8gdGhlIE5hdGlvbmFs
IEVudmlyb25tZW50YWwgU2NpZW5jZSBQcm9ncmFtbWUuPC90aXRsZT48L3RpdGxlcz48cGFnZXM+
MjI8L3BhZ2VzPjxkYXRlcz48eWVhcj4yMDE2PC95ZWFyPjwvZGF0ZXM+PHB1Yi1sb2NhdGlvbj5D
YWlybnM8L3B1Yi1sb2NhdGlvbj48cHVibGlzaGVyPlJlZWYgYW5kIFJhaW5mb3Jlc3QgUmVzZWFy
Y2ggQ2VudHJlIExpbWl0ZWQ8L3B1Ymxpc2hlcj48dXJscz48L3VybHM+PC9yZWNvcmQ+PC9DaXRl
PjwvRW5kTm90ZT5=
</w:fldData>
        </w:fldChar>
      </w:r>
      <w:r w:rsidR="00521D93" w:rsidRPr="00A92652">
        <w:rPr>
          <w:rFonts w:cs="Arial"/>
          <w:color w:val="000000" w:themeColor="text1"/>
          <w:szCs w:val="22"/>
        </w:rPr>
        <w:instrText xml:space="preserve"> ADDIN EN.CITE.DATA </w:instrText>
      </w:r>
      <w:r w:rsidR="00521D93" w:rsidRPr="00A92652">
        <w:rPr>
          <w:rFonts w:cs="Arial"/>
          <w:color w:val="000000" w:themeColor="text1"/>
          <w:szCs w:val="22"/>
        </w:rPr>
      </w:r>
      <w:r w:rsidR="00521D93" w:rsidRPr="00A92652">
        <w:rPr>
          <w:rFonts w:cs="Arial"/>
          <w:color w:val="000000" w:themeColor="text1"/>
          <w:szCs w:val="22"/>
        </w:rPr>
        <w:fldChar w:fldCharType="end"/>
      </w:r>
      <w:r w:rsidR="005B0C7C" w:rsidRPr="00A92652">
        <w:rPr>
          <w:rFonts w:cs="Arial"/>
          <w:color w:val="000000" w:themeColor="text1"/>
          <w:szCs w:val="22"/>
        </w:rPr>
      </w:r>
      <w:r w:rsidR="005B0C7C" w:rsidRPr="00A92652">
        <w:rPr>
          <w:rFonts w:cs="Arial"/>
          <w:color w:val="000000" w:themeColor="text1"/>
          <w:szCs w:val="22"/>
        </w:rPr>
        <w:fldChar w:fldCharType="separate"/>
      </w:r>
      <w:hyperlink w:anchor="_ENREF_25" w:tooltip="Coles, 2009 #9367" w:history="1">
        <w:r w:rsidR="009A7AB4" w:rsidRPr="00A92652">
          <w:rPr>
            <w:rFonts w:cs="Arial"/>
            <w:noProof/>
            <w:color w:val="000000" w:themeColor="text1"/>
            <w:szCs w:val="22"/>
          </w:rPr>
          <w:t>Coles</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2009</w:t>
        </w:r>
      </w:hyperlink>
      <w:r w:rsidR="00521D93" w:rsidRPr="00A92652">
        <w:rPr>
          <w:rFonts w:cs="Arial"/>
          <w:noProof/>
          <w:color w:val="000000" w:themeColor="text1"/>
          <w:szCs w:val="22"/>
        </w:rPr>
        <w:t xml:space="preserve">; </w:t>
      </w:r>
      <w:hyperlink w:anchor="_ENREF_23" w:tooltip="Carter, 2016 #10578" w:history="1">
        <w:r w:rsidR="009A7AB4" w:rsidRPr="00A92652">
          <w:rPr>
            <w:rFonts w:cs="Arial"/>
            <w:noProof/>
            <w:color w:val="000000" w:themeColor="text1"/>
            <w:szCs w:val="22"/>
          </w:rPr>
          <w:t>Carter</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2016</w:t>
        </w:r>
      </w:hyperlink>
      <w:r w:rsidR="005B0C7C" w:rsidRPr="00A92652">
        <w:rPr>
          <w:rFonts w:cs="Arial"/>
          <w:color w:val="000000" w:themeColor="text1"/>
          <w:szCs w:val="22"/>
        </w:rPr>
        <w:fldChar w:fldCharType="end"/>
      </w:r>
      <w:r w:rsidRPr="00A92652">
        <w:rPr>
          <w:rFonts w:cs="Arial"/>
          <w:color w:val="000000" w:themeColor="text1"/>
          <w:szCs w:val="22"/>
        </w:rPr>
        <w:t xml:space="preserve">), however, these meadows are relatively sparse, structurally smaller, </w:t>
      </w:r>
      <w:r w:rsidR="00CC1C79" w:rsidRPr="00A92652">
        <w:rPr>
          <w:rFonts w:cs="Arial"/>
          <w:color w:val="000000" w:themeColor="text1"/>
          <w:szCs w:val="22"/>
        </w:rPr>
        <w:t xml:space="preserve">highly </w:t>
      </w:r>
      <w:r w:rsidRPr="00A92652">
        <w:rPr>
          <w:rFonts w:cs="Arial"/>
          <w:color w:val="000000" w:themeColor="text1"/>
          <w:szCs w:val="22"/>
        </w:rPr>
        <w:t>dynamic, composed of colonising species, and not as productive as inshore seagrass meadows for fisheries resources (</w:t>
      </w:r>
      <w:hyperlink w:anchor="_ENREF_112" w:tooltip="McKenzie, 2010 #9646"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&lt;EndNote&gt;&lt;Cite&gt;&lt;Author&gt;McKenzie&lt;/Author&gt;&lt;Year&gt;2010&lt;/Year&gt;&lt;RecNum&gt;9646&lt;/RecNum&gt;&lt;DisplayText&gt;McKenzie&lt;style face="italic"&gt; et al.&lt;/style&gt; 2010b&lt;/DisplayText&gt;&lt;record&gt;&lt;rec-number&gt;9646&lt;/rec-number&gt;&lt;foreign-keys&gt;&lt;key app="EN" db-id="0eve55x9y5vfd6e9dacxtew4eatve2dzds9a" timestamp="1390264521"&gt;9646&lt;/key&gt;&lt;/foreign-keys&gt;&lt;ref-type name="Book"&gt;6&lt;/ref-type&gt;&lt;contributors&gt;&lt;authors&gt;&lt;author&gt;McKenzie, Len J&lt;/author&gt;&lt;author&gt;Yoshida, Rudolf L&lt;/author&gt;&lt;author&gt;Grech, Alana&lt;/author&gt;&lt;author&gt;Coles, Robert &lt;/author&gt;&lt;/authors&gt;&lt;/contributors&gt;&lt;titles&gt;&lt;title&gt;Queensland seagrasses. Status 2010 - Torres Strait and East Coast&lt;/title&gt;&lt;/titles&gt;&lt;pages&gt;6&lt;/pages&gt;&lt;dates&gt;&lt;year&gt;2010&lt;/year&gt;&lt;/dates&gt;&lt;pub-location&gt;Cairns&lt;/pub-location&gt;&lt;publisher&gt;Fisheries Queensland (DEEDI)&lt;/publisher&gt;&lt;urls&gt;&lt;/urls&gt;&lt;/record&gt;&lt;/Cite&gt;&lt;/EndNote&gt;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McKenzie</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2010b</w:t>
        </w:r>
        <w:r w:rsidR="009A7AB4" w:rsidRPr="00A92652">
          <w:rPr>
            <w:rFonts w:cs="Arial"/>
            <w:color w:val="000000" w:themeColor="text1"/>
            <w:szCs w:val="22"/>
          </w:rPr>
          <w:fldChar w:fldCharType="end"/>
        </w:r>
      </w:hyperlink>
      <w:r w:rsidRPr="00A92652">
        <w:rPr>
          <w:rFonts w:cs="Arial"/>
          <w:color w:val="000000" w:themeColor="text1"/>
          <w:szCs w:val="22"/>
        </w:rPr>
        <w:t xml:space="preserve">; </w:t>
      </w:r>
      <w:hyperlink w:anchor="_ENREF_50" w:tooltip="Derbyshire, 1995 #9703"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&lt;EndNote&gt;&lt;Cite&gt;&lt;Author&gt;Derbyshire&lt;/Author&gt;&lt;Year&gt;1995&lt;/Year&gt;&lt;RecNum&gt;9703&lt;/RecNum&gt;&lt;DisplayText&gt;Derbyshire&lt;style face="italic"&gt; et al.&lt;/style&gt; 1995&lt;/DisplayText&gt;&lt;record&gt;&lt;rec-number&gt;9703&lt;/rec-number&gt;&lt;foreign-keys&gt;&lt;key app="EN" db-id="0eve55x9y5vfd6e9dacxtew4eatve2dzds9a" timestamp="1393065521"&gt;9703&lt;/key&gt;&lt;/foreign-keys&gt;&lt;ref-type name="Book"&gt;6&lt;/ref-type&gt;&lt;contributors&gt;&lt;authors&gt;&lt;author&gt;Derbyshire, K J&lt;/author&gt;&lt;author&gt;Willoughby, S R&lt;/author&gt;&lt;author&gt;McColl, A L&lt;/author&gt;&lt;author&gt;Hocroft, D M&lt;/author&gt;&lt;/authors&gt;&lt;/contributors&gt;&lt;titles&gt;&lt;title&gt;Small prawn habitat and recruitment study : final report to the Fisheries Research and Development Corporation and the Queensland Fisheries Management Authority&lt;/title&gt;&lt;/titles&gt;&lt;pages&gt;43&lt;/pages&gt;&lt;dates&gt;&lt;year&gt;1995&lt;/year&gt;&lt;/dates&gt;&lt;pub-location&gt;Cairns&lt;/pub-location&gt;&lt;publisher&gt;Department of Primary Industries&lt;/publisher&gt;&lt;urls&gt;&lt;related-urls&gt;&lt;url&gt;http://frdc.com.au/Archived-Reports/FRDC%20Projects/1992-007-DLD.pdf&lt;/url&gt;&lt;/related-urls&gt;&lt;/urls&gt;&lt;/record&gt;&lt;/Cite&gt;&lt;/EndNote&gt;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Derbyshire</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1995</w:t>
        </w:r>
        <w:r w:rsidR="009A7AB4" w:rsidRPr="00A92652">
          <w:rPr>
            <w:rFonts w:cs="Arial"/>
            <w:color w:val="000000" w:themeColor="text1"/>
            <w:szCs w:val="22"/>
          </w:rPr>
          <w:fldChar w:fldCharType="end"/>
        </w:r>
      </w:hyperlink>
      <w:r w:rsidRPr="00A92652">
        <w:rPr>
          <w:rFonts w:cs="Arial"/>
          <w:color w:val="000000" w:themeColor="text1"/>
          <w:szCs w:val="22"/>
        </w:rPr>
        <w:t xml:space="preserve">). </w:t>
      </w:r>
      <w:r w:rsidR="005306B4" w:rsidRPr="00A92652">
        <w:rPr>
          <w:rFonts w:cs="Arial"/>
          <w:color w:val="000000" w:themeColor="text1"/>
          <w:szCs w:val="22"/>
        </w:rPr>
        <w:t>Overall, t</w:t>
      </w:r>
      <w:r w:rsidR="005306B4" w:rsidRPr="00A92652">
        <w:rPr>
          <w:rFonts w:cs="Arial"/>
          <w:color w:val="000000" w:themeColor="text1"/>
          <w:szCs w:val="22"/>
          <w:lang w:eastAsia="en-AU"/>
        </w:rPr>
        <w:t>he total estimated area of seagrass (34,841 km</w:t>
      </w:r>
      <w:r w:rsidR="005306B4" w:rsidRPr="00A92652">
        <w:rPr>
          <w:rFonts w:cs="Arial"/>
          <w:color w:val="000000" w:themeColor="text1"/>
          <w:szCs w:val="22"/>
          <w:vertAlign w:val="superscript"/>
          <w:lang w:eastAsia="en-AU"/>
        </w:rPr>
        <w:t>2</w:t>
      </w:r>
      <w:r w:rsidR="005306B4" w:rsidRPr="00A92652">
        <w:rPr>
          <w:rFonts w:cs="Arial"/>
          <w:color w:val="000000" w:themeColor="text1"/>
          <w:szCs w:val="22"/>
          <w:lang w:eastAsia="en-AU"/>
        </w:rPr>
        <w:t xml:space="preserve">) within the </w:t>
      </w:r>
      <w:r w:rsidR="00F013C5" w:rsidRPr="00A92652">
        <w:rPr>
          <w:rFonts w:cs="Arial"/>
          <w:color w:val="000000" w:themeColor="text1"/>
          <w:szCs w:val="22"/>
          <w:lang w:eastAsia="en-AU"/>
        </w:rPr>
        <w:t xml:space="preserve">World Heritage Area </w:t>
      </w:r>
      <w:r w:rsidR="005306B4" w:rsidRPr="00A92652">
        <w:rPr>
          <w:rFonts w:cs="Arial"/>
          <w:color w:val="000000" w:themeColor="text1"/>
          <w:szCs w:val="22"/>
          <w:lang w:eastAsia="en-AU"/>
        </w:rPr>
        <w:t>represents more than 50</w:t>
      </w:r>
      <w:r w:rsidR="003C311A">
        <w:rPr>
          <w:rFonts w:cs="Arial"/>
          <w:color w:val="000000" w:themeColor="text1"/>
          <w:szCs w:val="22"/>
          <w:lang w:eastAsia="en-AU"/>
        </w:rPr>
        <w:t>%</w:t>
      </w:r>
      <w:r w:rsidR="007C215D">
        <w:rPr>
          <w:rFonts w:cs="Arial"/>
          <w:color w:val="000000" w:themeColor="text1"/>
          <w:szCs w:val="22"/>
          <w:lang w:eastAsia="en-AU"/>
        </w:rPr>
        <w:t xml:space="preserve"> </w:t>
      </w:r>
      <w:r w:rsidR="005306B4" w:rsidRPr="00A92652">
        <w:rPr>
          <w:rFonts w:cs="Arial"/>
          <w:color w:val="000000" w:themeColor="text1"/>
          <w:szCs w:val="22"/>
          <w:lang w:eastAsia="en-AU"/>
        </w:rPr>
        <w:t>of the total recorded area of seagrass in Australia (</w:t>
      </w:r>
      <w:hyperlink w:anchor="_ENREF_65" w:tooltip="Green, 2003 #9435" w:history="1">
        <w:r w:rsidR="009A7AB4" w:rsidRPr="00A92652">
          <w:rPr>
            <w:rFonts w:cs="Arial"/>
            <w:color w:val="000000" w:themeColor="text1"/>
            <w:szCs w:val="22"/>
            <w:lang w:eastAsia="en-AU"/>
          </w:rPr>
          <w:fldChar w:fldCharType="begin"/>
        </w:r>
        <w:r w:rsidR="009A7AB4" w:rsidRPr="00A92652">
          <w:rPr>
            <w:rFonts w:cs="Arial"/>
            <w:color w:val="000000" w:themeColor="text1"/>
            <w:szCs w:val="22"/>
            <w:lang w:eastAsia="en-AU"/>
          </w:rPr>
          <w:instrText xml:space="preserve"> ADDIN EN.CITE &lt;EndNote&gt;&lt;Cite&gt;&lt;Author&gt;Green&lt;/Author&gt;&lt;Year&gt;2003&lt;/Year&gt;&lt;RecNum&gt;9435&lt;/RecNum&gt;&lt;DisplayText&gt;Green and Short 2003&lt;/DisplayText&gt;&lt;record&gt;&lt;rec-number&gt;9435&lt;/rec-number&gt;&lt;foreign-keys&gt;&lt;key app="EN" db-id="0eve55x9y5vfd6e9dacxtew4eatve2dzds9a" timestamp="1375601046"&gt;9435&lt;/key&gt;&lt;/foreign-keys&gt;&lt;ref-type name="Edited Book"&gt;28&lt;/ref-type&gt;&lt;contributors&gt;&lt;authors&gt;&lt;author&gt;Green, EP&lt;/author&gt;&lt;author&gt;Short, FT&lt;/author&gt;&lt;/authors&gt;&lt;/contributors&gt;&lt;titles&gt;&lt;title&gt;World Atlas of Seagrasses&lt;/title&gt;&lt;/titles&gt;&lt;pages&gt;298&lt;/pages&gt;&lt;dates&gt;&lt;year&gt;2003&lt;/year&gt;&lt;/dates&gt;&lt;pub-location&gt;Berkeley. USA&lt;/pub-location&gt;&lt;publisher&gt;University of California Press,&lt;/publisher&gt;&lt;urls&gt;&lt;/urls&gt;&lt;/record&gt;&lt;/Cite&gt;&lt;/EndNote&gt;</w:instrText>
        </w:r>
        <w:r w:rsidR="009A7AB4" w:rsidRPr="00A92652">
          <w:rPr>
            <w:rFonts w:cs="Arial"/>
            <w:color w:val="000000" w:themeColor="text1"/>
            <w:szCs w:val="22"/>
            <w:lang w:eastAsia="en-AU"/>
          </w:rPr>
          <w:fldChar w:fldCharType="separate"/>
        </w:r>
        <w:r w:rsidR="009A7AB4" w:rsidRPr="00A92652">
          <w:rPr>
            <w:rFonts w:cs="Arial"/>
            <w:noProof/>
            <w:color w:val="000000" w:themeColor="text1"/>
            <w:szCs w:val="22"/>
            <w:lang w:eastAsia="en-AU"/>
          </w:rPr>
          <w:t>Green and Short 2003</w:t>
        </w:r>
        <w:r w:rsidR="009A7AB4" w:rsidRPr="00A92652">
          <w:rPr>
            <w:rFonts w:cs="Arial"/>
            <w:color w:val="000000" w:themeColor="text1"/>
            <w:szCs w:val="22"/>
            <w:lang w:eastAsia="en-AU"/>
          </w:rPr>
          <w:fldChar w:fldCharType="end"/>
        </w:r>
      </w:hyperlink>
      <w:r w:rsidR="005306B4" w:rsidRPr="00A92652">
        <w:rPr>
          <w:rFonts w:cs="Arial"/>
          <w:color w:val="000000" w:themeColor="text1"/>
          <w:szCs w:val="22"/>
          <w:lang w:eastAsia="en-AU"/>
        </w:rPr>
        <w:t xml:space="preserve">) and between </w:t>
      </w:r>
      <w:r w:rsidR="003C311A">
        <w:rPr>
          <w:rFonts w:cs="Arial"/>
          <w:color w:val="000000" w:themeColor="text1"/>
          <w:szCs w:val="22"/>
          <w:lang w:eastAsia="en-AU"/>
        </w:rPr>
        <w:t>6%</w:t>
      </w:r>
      <w:r w:rsidR="007C215D">
        <w:rPr>
          <w:rFonts w:cs="Arial"/>
          <w:color w:val="000000" w:themeColor="text1"/>
          <w:szCs w:val="22"/>
          <w:lang w:eastAsia="en-AU"/>
        </w:rPr>
        <w:t xml:space="preserve"> </w:t>
      </w:r>
      <w:r w:rsidR="005306B4" w:rsidRPr="00A92652">
        <w:rPr>
          <w:rFonts w:cs="Arial"/>
          <w:color w:val="000000" w:themeColor="text1"/>
          <w:szCs w:val="22"/>
          <w:lang w:eastAsia="en-AU"/>
        </w:rPr>
        <w:t>and 12</w:t>
      </w:r>
      <w:r w:rsidR="003C311A">
        <w:rPr>
          <w:rFonts w:cs="Arial"/>
          <w:color w:val="000000" w:themeColor="text1"/>
          <w:szCs w:val="22"/>
          <w:lang w:eastAsia="en-AU"/>
        </w:rPr>
        <w:t>%</w:t>
      </w:r>
      <w:r w:rsidR="007C215D">
        <w:rPr>
          <w:rFonts w:cs="Arial"/>
          <w:color w:val="000000" w:themeColor="text1"/>
          <w:szCs w:val="22"/>
          <w:lang w:eastAsia="en-AU"/>
        </w:rPr>
        <w:t xml:space="preserve"> </w:t>
      </w:r>
      <w:r w:rsidR="005306B4" w:rsidRPr="00A92652">
        <w:rPr>
          <w:rFonts w:cs="Arial"/>
          <w:color w:val="000000" w:themeColor="text1"/>
          <w:szCs w:val="22"/>
          <w:lang w:eastAsia="en-AU"/>
        </w:rPr>
        <w:t>globally (</w:t>
      </w:r>
      <w:hyperlink w:anchor="_ENREF_52" w:tooltip="Duarte, 2005 #10036" w:history="1">
        <w:r w:rsidR="009A7AB4" w:rsidRPr="00A92652">
          <w:rPr>
            <w:rFonts w:cs="Arial"/>
            <w:color w:val="000000" w:themeColor="text1"/>
            <w:szCs w:val="22"/>
            <w:lang w:eastAsia="en-AU"/>
          </w:rPr>
          <w:fldChar w:fldCharType="begin"/>
        </w:r>
        <w:r w:rsidR="009A7AB4" w:rsidRPr="00A92652">
          <w:rPr>
            <w:rFonts w:cs="Arial"/>
            <w:color w:val="000000" w:themeColor="text1"/>
            <w:szCs w:val="22"/>
            <w:lang w:eastAsia="en-AU"/>
          </w:rPr>
          <w:instrText xml:space="preserve"> ADDIN EN.CITE &lt;EndNote&gt;&lt;Cite&gt;&lt;Author&gt;Duarte&lt;/Author&gt;&lt;Year&gt;2005&lt;/Year&gt;&lt;RecNum&gt;10036&lt;/RecNum&gt;&lt;DisplayText&gt;Duarte&lt;style face="italic"&gt; et al.&lt;/style&gt; 2005&lt;/DisplayText&gt;&lt;record&gt;&lt;rec-number&gt;10036&lt;/rec-number&gt;&lt;foreign-keys&gt;&lt;key app="EN" db-id="0eve55x9y5vfd6e9dacxtew4eatve2dzds9a" timestamp="1418354137"&gt;10036&lt;/key&gt;&lt;/foreign-keys&gt;&lt;ref-type name="Book Section"&gt;5&lt;/ref-type&gt;&lt;contributors&gt;&lt;authors&gt;&lt;author&gt;Duarte, CM&lt;/author&gt;&lt;author&gt;Borum, J&lt;/author&gt;&lt;author&gt;Short, FT&lt;/author&gt;&lt;author&gt;Walker, DI&lt;/author&gt;&lt;/authors&gt;&lt;secondary-authors&gt;&lt;author&gt;Polunin, NVC&lt;/author&gt;&lt;/secondary-authors&gt;&lt;/contributors&gt;&lt;titles&gt;&lt;title&gt;Seagrass Ecosystems: Their Global Status and Prospects&lt;/title&gt;&lt;secondary-title&gt;Aquatic Ecosystems: Trends and Global Prospects&lt;/secondary-title&gt;&lt;/titles&gt;&lt;dates&gt;&lt;year&gt;2005&lt;/year&gt;&lt;/dates&gt;&lt;publisher&gt;Cambridge Univ. Press&lt;/publisher&gt;&lt;urls&gt;&lt;/urls&gt;&lt;/record&gt;&lt;/Cite&gt;&lt;/EndNote&gt;</w:instrText>
        </w:r>
        <w:r w:rsidR="009A7AB4" w:rsidRPr="00A92652">
          <w:rPr>
            <w:rFonts w:cs="Arial"/>
            <w:color w:val="000000" w:themeColor="text1"/>
            <w:szCs w:val="22"/>
            <w:lang w:eastAsia="en-AU"/>
          </w:rPr>
          <w:fldChar w:fldCharType="separate"/>
        </w:r>
        <w:r w:rsidR="009A7AB4" w:rsidRPr="00A92652">
          <w:rPr>
            <w:rFonts w:cs="Arial"/>
            <w:noProof/>
            <w:color w:val="000000" w:themeColor="text1"/>
            <w:szCs w:val="22"/>
            <w:lang w:eastAsia="en-AU"/>
          </w:rPr>
          <w:t>Duarte</w:t>
        </w:r>
        <w:r w:rsidR="009A7AB4" w:rsidRPr="00A92652">
          <w:rPr>
            <w:rFonts w:cs="Arial"/>
            <w:i/>
            <w:noProof/>
            <w:color w:val="000000" w:themeColor="text1"/>
            <w:szCs w:val="22"/>
            <w:lang w:eastAsia="en-AU"/>
          </w:rPr>
          <w:t xml:space="preserve"> et al.</w:t>
        </w:r>
        <w:r w:rsidR="009A7AB4" w:rsidRPr="00A92652">
          <w:rPr>
            <w:rFonts w:cs="Arial"/>
            <w:noProof/>
            <w:color w:val="000000" w:themeColor="text1"/>
            <w:szCs w:val="22"/>
            <w:lang w:eastAsia="en-AU"/>
          </w:rPr>
          <w:t xml:space="preserve"> 2005</w:t>
        </w:r>
        <w:r w:rsidR="009A7AB4" w:rsidRPr="00A92652">
          <w:rPr>
            <w:rFonts w:cs="Arial"/>
            <w:color w:val="000000" w:themeColor="text1"/>
            <w:szCs w:val="22"/>
            <w:lang w:eastAsia="en-AU"/>
          </w:rPr>
          <w:fldChar w:fldCharType="end"/>
        </w:r>
      </w:hyperlink>
      <w:r w:rsidR="005306B4" w:rsidRPr="00A92652">
        <w:rPr>
          <w:rFonts w:cs="Arial"/>
          <w:color w:val="000000" w:themeColor="text1"/>
          <w:szCs w:val="22"/>
          <w:lang w:eastAsia="en-AU"/>
        </w:rPr>
        <w:t xml:space="preserve">), making the Reef’s seagrass resources globally significant. </w:t>
      </w:r>
    </w:p>
    <w:p w14:paraId="185C90DE" w14:textId="360C8F2D" w:rsidR="005306B4" w:rsidRPr="00A92652" w:rsidRDefault="005306B4" w:rsidP="005306B4">
      <w:pPr>
        <w:tabs>
          <w:tab w:val="left" w:pos="360"/>
        </w:tabs>
        <w:rPr>
          <w:rFonts w:cs="Arial"/>
          <w:color w:val="000000" w:themeColor="text1"/>
          <w:szCs w:val="22"/>
        </w:rPr>
      </w:pPr>
      <w:r w:rsidRPr="00A92652">
        <w:rPr>
          <w:rFonts w:cs="Arial"/>
          <w:color w:val="000000" w:themeColor="text1"/>
          <w:szCs w:val="22"/>
        </w:rPr>
        <w:t xml:space="preserve">Tropical seagrass ecosystems of the </w:t>
      </w:r>
      <w:r w:rsidR="00F013C5" w:rsidRPr="00A92652">
        <w:rPr>
          <w:rFonts w:cs="Arial"/>
          <w:color w:val="000000" w:themeColor="text1"/>
          <w:szCs w:val="22"/>
        </w:rPr>
        <w:t>Reef</w:t>
      </w:r>
      <w:r w:rsidRPr="00A92652">
        <w:rPr>
          <w:rFonts w:cs="Arial"/>
          <w:color w:val="000000" w:themeColor="text1"/>
          <w:szCs w:val="22"/>
        </w:rPr>
        <w:t xml:space="preserve"> are a complex mosaic of different habitat types comprised of multiple seagrass species (</w:t>
      </w:r>
      <w:hyperlink w:anchor="_ENREF_22" w:tooltip="Carruthers, 2002 #8021"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&lt;EndNote&gt;&lt;Cite&gt;&lt;Author&gt;Carruthers&lt;/Author&gt;&lt;Year&gt;2002&lt;/Year&gt;&lt;RecNum&gt;8021&lt;/RecNum&gt;&lt;DisplayText&gt;Carruthers&lt;style face="italic"&gt; et al.&lt;/style&gt; 2002&lt;/DisplayText&gt;&lt;record&gt;&lt;rec-number&gt;8021&lt;/rec-number&gt;&lt;foreign-keys&gt;&lt;key app="EN" db-id="0eve55x9y5vfd6e9dacxtew4eatve2dzds9a" timestamp="0"&gt;8021&lt;/key&gt;&lt;/foreign-keys&gt;&lt;ref-type name="Journal Article"&gt;17&lt;/ref-type&gt;&lt;contributors&gt;&lt;authors&gt;&lt;author&gt;Carruthers, TJB.&lt;/author&gt;&lt;author&gt;Dennison, WC&lt;/author&gt;&lt;author&gt;Longstaff, BJ&lt;/author&gt;&lt;author&gt;Waycott, Michelle&lt;/author&gt;&lt;author&gt;Abal, E. G.&lt;/author&gt;&lt;author&gt;McKenzie, Len J&lt;/author&gt;&lt;author&gt;Lee Long, WJ&lt;/author&gt;&lt;/authors&gt;&lt;/contributors&gt;&lt;titles&gt;&lt;title&gt;Seagrass habitats of north east Australia: models of key processes and controls&lt;/title&gt;&lt;secondary-title&gt;Bulletin of Marine Science&lt;/secondary-title&gt;&lt;/titles&gt;&lt;periodical&gt;&lt;full-title&gt;Bulletin of Marine Science&lt;/full-title&gt;&lt;/periodical&gt;&lt;pages&gt;1153-1169&lt;/pages&gt;&lt;volume&gt;71&lt;/volume&gt;&lt;number&gt;3&lt;/number&gt;&lt;dates&gt;&lt;year&gt;2002&lt;/year&gt;&lt;/dates&gt;&lt;label&gt;Habitats&lt;/label&gt;&lt;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Carruthers</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2002</w:t>
        </w:r>
        <w:r w:rsidR="009A7AB4" w:rsidRPr="00A92652">
          <w:rPr>
            <w:rFonts w:cs="Arial"/>
            <w:color w:val="000000" w:themeColor="text1"/>
            <w:szCs w:val="22"/>
          </w:rPr>
          <w:fldChar w:fldCharType="end"/>
        </w:r>
      </w:hyperlink>
      <w:r w:rsidRPr="00A92652">
        <w:rPr>
          <w:rFonts w:cs="Arial"/>
          <w:color w:val="000000" w:themeColor="text1"/>
          <w:szCs w:val="22"/>
        </w:rPr>
        <w:t xml:space="preserve">). There are 15 </w:t>
      </w:r>
      <w:r w:rsidR="00C94194">
        <w:rPr>
          <w:rFonts w:cs="Arial"/>
          <w:color w:val="000000" w:themeColor="text1"/>
          <w:szCs w:val="22"/>
        </w:rPr>
        <w:t xml:space="preserve">seagrass </w:t>
      </w:r>
      <w:r w:rsidRPr="00A92652">
        <w:rPr>
          <w:rFonts w:cs="Arial"/>
          <w:color w:val="000000" w:themeColor="text1"/>
          <w:szCs w:val="22"/>
        </w:rPr>
        <w:t xml:space="preserve">species in the </w:t>
      </w:r>
      <w:r w:rsidR="00EA2594" w:rsidRPr="00A92652">
        <w:rPr>
          <w:rFonts w:cs="Arial"/>
          <w:color w:val="000000" w:themeColor="text1"/>
          <w:szCs w:val="22"/>
        </w:rPr>
        <w:t xml:space="preserve">Reef </w:t>
      </w:r>
      <w:r w:rsidRPr="00A92652">
        <w:rPr>
          <w:rFonts w:cs="Arial"/>
          <w:color w:val="000000" w:themeColor="text1"/>
          <w:szCs w:val="22"/>
        </w:rPr>
        <w:t>(</w:t>
      </w:r>
      <w:hyperlink w:anchor="_ENREF_153" w:tooltip="Waycott, 2007 #9133"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&lt;EndNote&gt;&lt;Cite&gt;&lt;Author&gt;Waycott&lt;/Author&gt;&lt;Year&gt;2007&lt;/Year&gt;&lt;RecNum&gt;9133&lt;/RecNum&gt;&lt;DisplayText&gt;Waycott&lt;style face="italic"&gt; et al.&lt;/style&gt; 2007&lt;/DisplayText&gt;&lt;record&gt;&lt;rec-number&gt;9133&lt;/rec-number&gt;&lt;foreign-keys&gt;&lt;key app="EN" db-id="0eve55x9y5vfd6e9dacxtew4eatve2dzds9a" timestamp="1374984594"&gt;9133&lt;/key&gt;&lt;/foreign-keys&gt;&lt;ref-type name="Book Section"&gt;5&lt;/ref-type&gt;&lt;contributors&gt;&lt;authors&gt;&lt;author&gt;Waycott, M.&lt;/author&gt;&lt;author&gt;Collier, C.&lt;/author&gt;&lt;author&gt;McMahon, K.&lt;/author&gt;&lt;author&gt;Ralph, P.J.&lt;/author&gt;&lt;author&gt;McKenzie, Len J.&lt;/author&gt;&lt;author&gt;Udy, J.W.&lt;/author&gt;&lt;author&gt;Grech, A.&lt;/author&gt;&lt;/authors&gt;&lt;secondary-authors&gt;&lt;author&gt;Johnson, J.E. &lt;/author&gt;&lt;author&gt;Marshall, P.A.&lt;/author&gt;&lt;/secondary-authors&gt;&lt;/contributors&gt;&lt;titles&gt;&lt;title&gt;Vulnerability of seagrasses in the Great Barrier Reef to climate change - Chapter 8: &lt;/title&gt;&lt;secondary-title&gt;Climate Change and the Great Barrier Reef: A Vulnerability Assessment, Part II: Species and species groups&lt;/secondary-title&gt;&lt;/titles&gt;&lt;pages&gt;193-236&lt;/pages&gt;&lt;dates&gt;&lt;year&gt;2007&lt;/year&gt;&lt;/dates&gt;&lt;pub-location&gt;Townsville&lt;/pub-location&gt;&lt;publisher&gt;Great Barrier Reef Marine Park Authority     &lt;/publisher&gt;&lt;isbn&gt;978-1-87694-561-9&lt;/isbn&gt;&lt;urls&gt;&lt;/urls&gt;&lt;/record&gt;&lt;/Cite&gt;&lt;/EndNote&gt;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Waycott</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2007</w:t>
        </w:r>
        <w:r w:rsidR="009A7AB4" w:rsidRPr="00A92652">
          <w:rPr>
            <w:rFonts w:cs="Arial"/>
            <w:color w:val="000000" w:themeColor="text1"/>
            <w:szCs w:val="22"/>
          </w:rPr>
          <w:fldChar w:fldCharType="end"/>
        </w:r>
      </w:hyperlink>
      <w:r w:rsidRPr="00A92652">
        <w:rPr>
          <w:rFonts w:cs="Arial"/>
          <w:color w:val="000000" w:themeColor="text1"/>
          <w:szCs w:val="22"/>
        </w:rPr>
        <w:t xml:space="preserve">) and </w:t>
      </w:r>
      <w:r w:rsidR="00C94194">
        <w:rPr>
          <w:rFonts w:cs="Arial"/>
          <w:color w:val="000000" w:themeColor="text1"/>
          <w:szCs w:val="22"/>
        </w:rPr>
        <w:t xml:space="preserve">a </w:t>
      </w:r>
      <w:r w:rsidRPr="00A92652">
        <w:rPr>
          <w:rFonts w:cs="Arial"/>
          <w:color w:val="000000" w:themeColor="text1"/>
          <w:szCs w:val="22"/>
        </w:rPr>
        <w:t xml:space="preserve">high diversity of seagrass habitat types. </w:t>
      </w:r>
      <w:r w:rsidR="00C94194">
        <w:rPr>
          <w:rFonts w:cs="Arial"/>
          <w:color w:val="000000" w:themeColor="text1"/>
          <w:szCs w:val="22"/>
        </w:rPr>
        <w:t>Seagrass</w:t>
      </w:r>
      <w:r w:rsidR="00C94194" w:rsidRPr="00A92652">
        <w:rPr>
          <w:rFonts w:cs="Arial"/>
          <w:color w:val="000000" w:themeColor="text1"/>
          <w:szCs w:val="22"/>
        </w:rPr>
        <w:t xml:space="preserve"> </w:t>
      </w:r>
      <w:r w:rsidR="00C94194">
        <w:rPr>
          <w:rFonts w:cs="Arial"/>
          <w:color w:val="000000" w:themeColor="text1"/>
          <w:szCs w:val="22"/>
        </w:rPr>
        <w:t>colonise</w:t>
      </w:r>
      <w:r w:rsidRPr="00A92652">
        <w:rPr>
          <w:rFonts w:cs="Arial"/>
          <w:color w:val="000000" w:themeColor="text1"/>
          <w:szCs w:val="22"/>
        </w:rPr>
        <w:t xml:space="preserve"> sand</w:t>
      </w:r>
      <w:r w:rsidR="00C94194">
        <w:rPr>
          <w:rFonts w:cs="Arial"/>
          <w:color w:val="000000" w:themeColor="text1"/>
          <w:szCs w:val="22"/>
        </w:rPr>
        <w:t>y</w:t>
      </w:r>
      <w:r w:rsidRPr="00A92652">
        <w:rPr>
          <w:rFonts w:cs="Arial"/>
          <w:color w:val="000000" w:themeColor="text1"/>
          <w:szCs w:val="22"/>
        </w:rPr>
        <w:t xml:space="preserve"> or muddy </w:t>
      </w:r>
      <w:r w:rsidR="00C94194">
        <w:rPr>
          <w:rFonts w:cs="Arial"/>
          <w:color w:val="000000" w:themeColor="text1"/>
          <w:szCs w:val="22"/>
        </w:rPr>
        <w:t>are</w:t>
      </w:r>
      <w:r w:rsidR="004711F9">
        <w:rPr>
          <w:rFonts w:cs="Arial"/>
          <w:color w:val="000000" w:themeColor="text1"/>
          <w:szCs w:val="22"/>
        </w:rPr>
        <w:t>a</w:t>
      </w:r>
      <w:r w:rsidR="00C94194">
        <w:rPr>
          <w:rFonts w:cs="Arial"/>
          <w:color w:val="000000" w:themeColor="text1"/>
          <w:szCs w:val="22"/>
        </w:rPr>
        <w:t xml:space="preserve">s along </w:t>
      </w:r>
      <w:r w:rsidRPr="00A92652">
        <w:rPr>
          <w:rFonts w:cs="Arial"/>
          <w:color w:val="000000" w:themeColor="text1"/>
          <w:szCs w:val="22"/>
        </w:rPr>
        <w:t>beaches,</w:t>
      </w:r>
      <w:r w:rsidR="00C94194">
        <w:rPr>
          <w:rFonts w:cs="Arial"/>
          <w:color w:val="000000" w:themeColor="text1"/>
          <w:szCs w:val="22"/>
        </w:rPr>
        <w:t xml:space="preserve"> within</w:t>
      </w:r>
      <w:r w:rsidRPr="00A92652">
        <w:rPr>
          <w:rFonts w:cs="Arial"/>
          <w:color w:val="000000" w:themeColor="text1"/>
          <w:szCs w:val="22"/>
        </w:rPr>
        <w:t xml:space="preserve"> reef platforms and lagoons, and </w:t>
      </w:r>
      <w:r w:rsidR="00C94194">
        <w:rPr>
          <w:rFonts w:cs="Arial"/>
          <w:color w:val="000000" w:themeColor="text1"/>
          <w:szCs w:val="22"/>
        </w:rPr>
        <w:t xml:space="preserve">can extend </w:t>
      </w:r>
      <w:r w:rsidRPr="00A92652">
        <w:rPr>
          <w:rFonts w:cs="Arial"/>
          <w:color w:val="000000" w:themeColor="text1"/>
          <w:szCs w:val="22"/>
        </w:rPr>
        <w:t xml:space="preserve">down to 60 </w:t>
      </w:r>
      <w:r w:rsidR="00F013C5" w:rsidRPr="00A92652">
        <w:rPr>
          <w:rFonts w:cs="Arial"/>
          <w:color w:val="000000" w:themeColor="text1"/>
          <w:szCs w:val="22"/>
        </w:rPr>
        <w:t>m</w:t>
      </w:r>
      <w:r w:rsidRPr="00A92652">
        <w:rPr>
          <w:rFonts w:cs="Arial"/>
          <w:color w:val="000000" w:themeColor="text1"/>
          <w:szCs w:val="22"/>
        </w:rPr>
        <w:t xml:space="preserve"> or more below Mean Sea Level (MSL). </w:t>
      </w:r>
    </w:p>
    <w:p w14:paraId="61315B20" w14:textId="16FF7899" w:rsidR="005306B4" w:rsidRPr="00A92652" w:rsidRDefault="005306B4" w:rsidP="00D2585E">
      <w:pPr>
        <w:rPr>
          <w:rFonts w:cs="Arial"/>
          <w:color w:val="000000" w:themeColor="text1"/>
          <w:szCs w:val="22"/>
        </w:rPr>
      </w:pPr>
      <w:r w:rsidRPr="00A92652">
        <w:rPr>
          <w:rFonts w:cs="Arial"/>
          <w:color w:val="000000" w:themeColor="text1"/>
          <w:szCs w:val="22"/>
        </w:rPr>
        <w:t xml:space="preserve">Seagrasses in the </w:t>
      </w:r>
      <w:r w:rsidR="00F206BF" w:rsidRPr="00A92652">
        <w:rPr>
          <w:rFonts w:cs="Arial"/>
          <w:color w:val="000000" w:themeColor="text1"/>
          <w:szCs w:val="22"/>
        </w:rPr>
        <w:t>Reef</w:t>
      </w:r>
      <w:r w:rsidRPr="00A92652">
        <w:rPr>
          <w:rFonts w:cs="Arial"/>
          <w:color w:val="000000" w:themeColor="text1"/>
          <w:szCs w:val="22"/>
        </w:rPr>
        <w:t xml:space="preserve"> can be separated into four major habitat types: estuary/inlet, coastal, reef and deepwater (</w:t>
      </w:r>
      <w:hyperlink w:anchor="_ENREF_22" w:tooltip="Carruthers, 2002 #8021"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&lt;EndNote&gt;&lt;Cite&gt;&lt;Author&gt;Carruthers&lt;/Author&gt;&lt;Year&gt;2002&lt;/Year&gt;&lt;RecNum&gt;8021&lt;/RecNum&gt;&lt;DisplayText&gt;Carruthers&lt;style face="italic"&gt; et al.&lt;/style&gt; 2002&lt;/DisplayText&gt;&lt;record&gt;&lt;rec-number&gt;8021&lt;/rec-number&gt;&lt;foreign-keys&gt;&lt;key app="EN" db-id="0eve55x9y5vfd6e9dacxtew4eatve2dzds9a" timestamp="0"&gt;8021&lt;/key&gt;&lt;/foreign-keys&gt;&lt;ref-type name="Journal Article"&gt;17&lt;/ref-type&gt;&lt;contributors&gt;&lt;authors&gt;&lt;author&gt;Carruthers, TJB.&lt;/author&gt;&lt;author&gt;Dennison, WC&lt;/author&gt;&lt;author&gt;Longstaff, BJ&lt;/author&gt;&lt;author&gt;Waycott, Michelle&lt;/author&gt;&lt;author&gt;Abal, E. G.&lt;/author&gt;&lt;author&gt;McKenzie, Len J&lt;/author&gt;&lt;author&gt;Lee Long, WJ&lt;/author&gt;&lt;/authors&gt;&lt;/contributors&gt;&lt;titles&gt;&lt;title&gt;Seagrass habitats of north east Australia: models of key processes and controls&lt;/title&gt;&lt;secondary-title&gt;Bulletin of Marine Science&lt;/secondary-title&gt;&lt;/titles&gt;&lt;periodical&gt;&lt;full-title&gt;Bulletin of Marine Science&lt;/full-title&gt;&lt;/periodical&gt;&lt;pages&gt;1153-1169&lt;/pages&gt;&lt;volume&gt;71&lt;/volume&gt;&lt;number&gt;3&lt;/number&gt;&lt;dates&gt;&lt;year&gt;2002&lt;/year&gt;&lt;/dates&gt;&lt;label&gt;Habitats&lt;/label&gt;&lt;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Carruthers</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2002</w:t>
        </w:r>
        <w:r w:rsidR="009A7AB4" w:rsidRPr="00A92652">
          <w:rPr>
            <w:rFonts w:cs="Arial"/>
            <w:color w:val="000000" w:themeColor="text1"/>
            <w:szCs w:val="22"/>
          </w:rPr>
          <w:fldChar w:fldCharType="end"/>
        </w:r>
      </w:hyperlink>
      <w:r w:rsidRPr="00A92652">
        <w:rPr>
          <w:rFonts w:cs="Arial"/>
          <w:color w:val="000000" w:themeColor="text1"/>
          <w:szCs w:val="22"/>
        </w:rPr>
        <w:t>). All but the outer reef habitats are significantly influenced by seasonal and episodic pulses of sediment-laden, nutrient-rich river flows, resulting from high volume summer rainfall. Cyclones, severe storms, wind and waves as well as macro grazers (e.g. fish, dugongs and turtles) influence all habitats in this region to varying degrees. The result is a series of dynamic, spatially and temporally variable seagrass meadows.</w:t>
      </w:r>
      <w:r w:rsidR="00B150F6" w:rsidRPr="00A92652">
        <w:rPr>
          <w:rFonts w:cs="Arial"/>
          <w:color w:val="000000" w:themeColor="text1"/>
          <w:szCs w:val="22"/>
        </w:rPr>
        <w:t xml:space="preserve"> </w:t>
      </w:r>
    </w:p>
    <w:p w14:paraId="0424FBAA" w14:textId="1ADD76F5" w:rsidR="00B150F6" w:rsidRPr="00A92652" w:rsidRDefault="00B150F6" w:rsidP="00B150F6">
      <w:pPr>
        <w:rPr>
          <w:rFonts w:cs="Arial"/>
          <w:color w:val="000000" w:themeColor="text1"/>
          <w:szCs w:val="22"/>
        </w:rPr>
      </w:pPr>
      <w:r w:rsidRPr="00A92652">
        <w:rPr>
          <w:rFonts w:cs="Arial"/>
          <w:color w:val="000000" w:themeColor="text1"/>
          <w:szCs w:val="22"/>
        </w:rPr>
        <w:t xml:space="preserve">The seagrass ecosystems of the </w:t>
      </w:r>
      <w:r w:rsidR="00F206BF" w:rsidRPr="00A92652">
        <w:rPr>
          <w:rFonts w:cs="Arial"/>
          <w:color w:val="000000" w:themeColor="text1"/>
          <w:szCs w:val="22"/>
        </w:rPr>
        <w:t>Reef</w:t>
      </w:r>
      <w:r w:rsidRPr="00A92652">
        <w:rPr>
          <w:rFonts w:cs="Arial"/>
          <w:color w:val="000000" w:themeColor="text1"/>
          <w:szCs w:val="22"/>
        </w:rPr>
        <w:t xml:space="preserve">, on a global scale, would be for the most part categorised as being dominated by disturbance-favouring colonising </w:t>
      </w:r>
      <w:r w:rsidRPr="00A92652">
        <w:rPr>
          <w:rFonts w:cs="Arial"/>
          <w:color w:val="000000" w:themeColor="text1"/>
          <w:szCs w:val="22"/>
        </w:rPr>
        <w:lastRenderedPageBreak/>
        <w:t xml:space="preserve">and opportunistic species (e.g. </w:t>
      </w:r>
      <w:r w:rsidRPr="00A92652">
        <w:rPr>
          <w:rFonts w:cs="Arial"/>
          <w:i/>
          <w:color w:val="000000" w:themeColor="text1"/>
          <w:szCs w:val="22"/>
        </w:rPr>
        <w:t>Halophila</w:t>
      </w:r>
      <w:r w:rsidRPr="00A92652">
        <w:rPr>
          <w:rFonts w:cs="Arial"/>
          <w:color w:val="000000" w:themeColor="text1"/>
          <w:szCs w:val="22"/>
        </w:rPr>
        <w:t xml:space="preserve"> and </w:t>
      </w:r>
      <w:r w:rsidRPr="00A92652">
        <w:rPr>
          <w:rFonts w:cs="Arial"/>
          <w:i/>
          <w:color w:val="000000" w:themeColor="text1"/>
          <w:szCs w:val="22"/>
        </w:rPr>
        <w:t>Halodule</w:t>
      </w:r>
      <w:r w:rsidRPr="00A92652">
        <w:rPr>
          <w:rFonts w:cs="Arial"/>
          <w:color w:val="000000" w:themeColor="text1"/>
          <w:szCs w:val="22"/>
        </w:rPr>
        <w:t xml:space="preserve">), which typically have low standing biomass and high turnover rates (Carruthers </w:t>
      </w:r>
      <w:r w:rsidRPr="00A92652">
        <w:rPr>
          <w:rFonts w:cs="Arial"/>
          <w:i/>
          <w:color w:val="000000" w:themeColor="text1"/>
          <w:szCs w:val="22"/>
        </w:rPr>
        <w:t>et al.</w:t>
      </w:r>
      <w:r w:rsidRPr="00A92652">
        <w:rPr>
          <w:rFonts w:cs="Arial"/>
          <w:color w:val="000000" w:themeColor="text1"/>
          <w:szCs w:val="22"/>
        </w:rPr>
        <w:t xml:space="preserve"> 2002, Waycott </w:t>
      </w:r>
      <w:r w:rsidRPr="00A92652">
        <w:rPr>
          <w:rFonts w:cs="Arial"/>
          <w:i/>
          <w:color w:val="000000" w:themeColor="text1"/>
          <w:szCs w:val="22"/>
        </w:rPr>
        <w:t>et al.</w:t>
      </w:r>
      <w:r w:rsidRPr="00A92652">
        <w:rPr>
          <w:rFonts w:cs="Arial"/>
          <w:color w:val="000000" w:themeColor="text1"/>
          <w:szCs w:val="22"/>
        </w:rPr>
        <w:t xml:space="preserve"> 2007). In more sheltered areas, including reef top or inshore bays, more stable and persistent species are found, although these are still relatively responsive to disturbances (</w:t>
      </w:r>
      <w:r w:rsidRPr="00A92652">
        <w:rPr>
          <w:rFonts w:cs="Arial"/>
          <w:color w:val="000000" w:themeColor="text1"/>
          <w:szCs w:val="22"/>
        </w:rPr>
        <w:fldChar w:fldCharType="begin">
          <w:fldData xml:space="preserve">PEVuZE5vdGU+PENpdGU+PEF1dGhvcj5DYXJydXRoZXJzPC9BdXRob3I+PFllYXI+MjAwMjwvWWVh
cj48UmVjTnVtPjgwMjE8L1JlY051bT48RGlzcGxheVRleHQ+Q2FycnV0aGVyczxzdHlsZSBmYWNl
PSJpdGFsaWMiPiBldCBhbC48L3N0eWxlPiAyMDAyOyBXYXljb3R0PHN0eWxlIGZhY2U9Iml0YWxp
YyI+IGV0IGFsLjwvc3R5bGU+IDIwMDc7IENvbGxpZXIgYW5kIFdheWNvdHQgMjAwOTwvRGlzcGxh
eVRleHQ+PHJlY29yZD48cmVjLW51bWJlcj44MDIxPC9yZWMtbnVtYmVyPjxmb3JlaWduLWtleXM+
PGtleSBhcHA9IkVOIiBkYi1pZD0iMGV2ZTU1eDl5NXZmZDZlOWRhY3h0ZXc0ZWF0dmUyZHpkczlh
IiB0aW1lc3RhbXA9IjAiPjgwMjE8L2tleT48L2ZvcmVpZ24ta2V5cz48cmVmLXR5cGUgbmFtZT0i
Sm91cm5hbCBBcnRpY2xlIj4xNzwvcmVmLXR5cGU+PGNvbnRyaWJ1dG9ycz48YXV0aG9ycz48YXV0
aG9yPkNhcnJ1dGhlcnMsIFRKQi48L2F1dGhvcj48YXV0aG9yPkRlbm5pc29uLCBXQzwvYXV0aG9y
PjxhdXRob3I+TG9uZ3N0YWZmLCBCSjwvYXV0aG9yPjxhdXRob3I+V2F5Y290dCwgTWljaGVsbGU8
L2F1dGhvcj48YXV0aG9yPkFiYWwsIEUuIEcuPC9hdXRob3I+PGF1dGhvcj5NY0tlbnppZSwgTGVu
IEo8L2F1dGhvcj48YXV0aG9yPkxlZSBMb25nLCBXSjwvYXV0aG9yPjwvYXV0aG9ycz48L2NvbnRy
aWJ1dG9ycz48dGl0bGVzPjx0aXRsZT5TZWFncmFzcyBoYWJpdGF0cyBvZiBub3J0aCBlYXN0IEF1
c3RyYWxpYTogbW9kZWxzIG9mIGtleSBwcm9jZXNzZXMgYW5kIGNvbnRyb2xzPC90aXRsZT48c2Vj
b25kYXJ5LXRpdGxlPkJ1bGxldGluIG9mIE1hcmluZSBTY2llbmNlPC9zZWNvbmRhcnktdGl0bGU+
PC90aXRsZXM+PHBlcmlvZGljYWw+PGZ1bGwtdGl0bGU+QnVsbGV0aW4gb2YgTWFyaW5lIFNjaWVu
Y2U8L2Z1bGwtdGl0bGU+PC9wZXJpb2RpY2FsPjxwYWdlcz4xMTUzLTExNjk8L3BhZ2VzPjx2b2x1
bWU+NzE8L3ZvbHVtZT48bnVtYmVyPjM8L251bWJlcj48ZGF0ZXM+PHllYXI+MjAwMjwveWVhcj48
L2RhdGVzPjxsYWJlbD5IYWJpdGF0czwvbGFiZWw+PHVybHM+PC91cmxzPjwvcmVjb3JkPjwvQ2l0
ZT48Q2l0ZT48QXV0aG9yPkNvbGxpZXI8L0F1dGhvcj48WWVhcj4yMDA5PC9ZZWFyPjxSZWNOdW0+
OTI4NTwvUmVjTnVtPjxyZWNvcmQ+PHJlYy1udW1iZXI+OTI4NTwvcmVjLW51bWJlcj48Zm9yZWln
bi1rZXlzPjxrZXkgYXBwPSJFTiIgZGItaWQ9IjBldmU1NXg5eTV2ZmQ2ZTlkYWN4dGV3NGVhdHZl
MmR6ZHM5YSIgdGltZXN0YW1wPSIxMzc1MDA1MDgxIj45Mjg1PC9rZXk+PC9mb3JlaWduLWtleXM+
PHJlZi10eXBlIG5hbWU9IlJlcG9ydCI+Mjc8L3JlZi10eXBlPjxjb250cmlidXRvcnM+PGF1dGhv
cnM+PGF1dGhvcj5Db2xsaWVyLCBDLjwvYXV0aG9yPjxhdXRob3I+V2F5Y290dCwgTTwvYXV0aG9y
PjwvYXV0aG9ycz48L2NvbnRyaWJ1dG9ycz48dGl0bGVzPjx0aXRsZT5Ecml2ZXJzIG9mIGNoYW5n
ZSB0byBzZWFncmFzcyBkaXN0cmlidXRpb25zIGFuZCBjb21tdW5pdGllcyBvbiB0aGUgR3JlYXQg
QmFycmllciBSZWVmOiBMaXRlcmF0dXJlIHJldmlldyBhbmQgZ2FwcyBhbmFseXNpczwvdGl0bGU+
PHNlY29uZGFyeS10aXRsZT5SZXBvcnQgdG8gdGhlIE1hcmluZSBhbmQgVHJvcGljYWwgU2NpZW5j
ZXMgUmVzZWFyY2ggRmFjaWxpdHk8L3NlY29uZGFyeS10aXRsZT48L3RpdGxlcz48ZGF0ZXM+PHll
YXI+MjAwOTwveWVhcj48L2RhdGVzPjxwdWItbG9jYXRpb24+Q2Fpcm5zPC9wdWItbG9jYXRpb24+
PHB1Ymxpc2hlcj5SZWVmIGFuZCBSYWluZm9yZXN0IFJlc2VhcmNoIENlbnRyZSBMaW1pdGVkPC9w
dWJsaXNoZXI+PHVybHM+PC91cmxzPjwvcmVjb3JkPjwvQ2l0ZT48Q2l0ZT48QXV0aG9yPldheWNv
dHQ8L0F1dGhvcj48WWVhcj4yMDA3PC9ZZWFyPjxSZWNOdW0+OTEzMzwvUmVjTnVtPjxyZWNvcmQ+
PHJlYy1udW1iZXI+OTEzMzwvcmVjLW51bWJlcj48Zm9yZWlnbi1rZXlzPjxrZXkgYXBwPSJFTiIg
ZGItaWQ9IjBldmU1NXg5eTV2ZmQ2ZTlkYWN4dGV3NGVhdHZlMmR6ZHM5YSIgdGltZXN0YW1wPSIx
Mzc0OTg0NTk0Ij45MTMzPC9rZXk+PC9mb3JlaWduLWtleXM+PHJlZi10eXBlIG5hbWU9IkJvb2sg
U2VjdGlvbiI+NTwvcmVmLXR5cGU+PGNvbnRyaWJ1dG9ycz48YXV0aG9ycz48YXV0aG9yPldheWNv
dHQsIE0uPC9hdXRob3I+PGF1dGhvcj5Db2xsaWVyLCBDLjwvYXV0aG9yPjxhdXRob3I+TWNNYWhv
biwgSy48L2F1dGhvcj48YXV0aG9yPlJhbHBoLCBQLkouPC9hdXRob3I+PGF1dGhvcj5NY0tlbnpp
ZSwgTGVuIEouPC9hdXRob3I+PGF1dGhvcj5VZHksIEouVy48L2F1dGhvcj48YXV0aG9yPkdyZWNo
LCBBLjwvYXV0aG9yPjwvYXV0aG9ycz48c2Vjb25kYXJ5LWF1dGhvcnM+PGF1dGhvcj5Kb2huc29u
LCBKLkUuIDwvYXV0aG9yPjxhdXRob3I+TWFyc2hhbGwsIFAuQS48L2F1dGhvcj48L3NlY29uZGFy
eS1hdXRob3JzPjwvY29udHJpYnV0b3JzPjx0aXRsZXM+PHRpdGxlPlZ1bG5lcmFiaWxpdHkgb2Yg
c2VhZ3Jhc3NlcyBpbiB0aGUgR3JlYXQgQmFycmllciBSZWVmIHRvIGNsaW1hdGUgY2hhbmdlIC0g
Q2hhcHRlciA4OiA8L3RpdGxlPjxzZWNvbmRhcnktdGl0bGU+Q2xpbWF0ZSBDaGFuZ2UgYW5kIHRo
ZSBHcmVhdCBCYXJyaWVyIFJlZWY6IEEgVnVsbmVyYWJpbGl0eSBBc3Nlc3NtZW50LCBQYXJ0IElJ
OiBTcGVjaWVzIGFuZCBzcGVjaWVzIGdyb3Vwczwvc2Vjb25kYXJ5LXRpdGxlPjwvdGl0bGVzPjxw
YWdlcz4xOTMtMjM2PC9wYWdlcz48ZGF0ZXM+PHllYXI+MjAwNzwveWVhcj48L2RhdGVzPjxwdWIt
bG9jYXRpb24+VG93bnN2aWxsZTwvcHViLWxvY2F0aW9uPjxwdWJsaXNoZXI+R3JlYXQgQmFycmll
ciBSZWVmIE1hcmluZSBQYXJrIEF1dGhvcml0eSAgICAgPC9wdWJsaXNoZXI+PGlzYm4+OTc4LTEt
ODc2OTQtNTYxLTk8L2lzYm4+PHVybHM+PC91cmxzPjwvcmVjb3JkPjwvQ2l0ZT48L0VuZE5vdGU+
</w:fldData>
        </w:fldChar>
      </w:r>
      <w:r w:rsidRPr="00A92652">
        <w:rPr>
          <w:rFonts w:cs="Arial"/>
          <w:color w:val="000000" w:themeColor="text1"/>
          <w:szCs w:val="22"/>
        </w:rPr>
        <w:instrText xml:space="preserve"> ADDIN EN.CITE </w:instrText>
      </w:r>
      <w:r w:rsidRPr="00A92652">
        <w:rPr>
          <w:rFonts w:cs="Arial"/>
          <w:color w:val="000000" w:themeColor="text1"/>
          <w:szCs w:val="22"/>
        </w:rPr>
        <w:fldChar w:fldCharType="begin">
          <w:fldData xml:space="preserve">PEVuZE5vdGU+PENpdGU+PEF1dGhvcj5DYXJydXRoZXJzPC9BdXRob3I+PFllYXI+MjAwMjwvWWVh
cj48UmVjTnVtPjgwMjE8L1JlY051bT48RGlzcGxheVRleHQ+Q2FycnV0aGVyczxzdHlsZSBmYWNl
PSJpdGFsaWMiPiBldCBhbC48L3N0eWxlPiAyMDAyOyBXYXljb3R0PHN0eWxlIGZhY2U9Iml0YWxp
YyI+IGV0IGFsLjwvc3R5bGU+IDIwMDc7IENvbGxpZXIgYW5kIFdheWNvdHQgMjAwOTwvRGlzcGxh
eVRleHQ+PHJlY29yZD48cmVjLW51bWJlcj44MDIxPC9yZWMtbnVtYmVyPjxmb3JlaWduLWtleXM+
PGtleSBhcHA9IkVOIiBkYi1pZD0iMGV2ZTU1eDl5NXZmZDZlOWRhY3h0ZXc0ZWF0dmUyZHpkczlh
IiB0aW1lc3RhbXA9IjAiPjgwMjE8L2tleT48L2ZvcmVpZ24ta2V5cz48cmVmLXR5cGUgbmFtZT0i
Sm91cm5hbCBBcnRpY2xlIj4xNzwvcmVmLXR5cGU+PGNvbnRyaWJ1dG9ycz48YXV0aG9ycz48YXV0
aG9yPkNhcnJ1dGhlcnMsIFRKQi48L2F1dGhvcj48YXV0aG9yPkRlbm5pc29uLCBXQzwvYXV0aG9y
PjxhdXRob3I+TG9uZ3N0YWZmLCBCSjwvYXV0aG9yPjxhdXRob3I+V2F5Y290dCwgTWljaGVsbGU8
L2F1dGhvcj48YXV0aG9yPkFiYWwsIEUuIEcuPC9hdXRob3I+PGF1dGhvcj5NY0tlbnppZSwgTGVu
IEo8L2F1dGhvcj48YXV0aG9yPkxlZSBMb25nLCBXSjwvYXV0aG9yPjwvYXV0aG9ycz48L2NvbnRy
aWJ1dG9ycz48dGl0bGVzPjx0aXRsZT5TZWFncmFzcyBoYWJpdGF0cyBvZiBub3J0aCBlYXN0IEF1
c3RyYWxpYTogbW9kZWxzIG9mIGtleSBwcm9jZXNzZXMgYW5kIGNvbnRyb2xzPC90aXRsZT48c2Vj
b25kYXJ5LXRpdGxlPkJ1bGxldGluIG9mIE1hcmluZSBTY2llbmNlPC9zZWNvbmRhcnktdGl0bGU+
PC90aXRsZXM+PHBlcmlvZGljYWw+PGZ1bGwtdGl0bGU+QnVsbGV0aW4gb2YgTWFyaW5lIFNjaWVu
Y2U8L2Z1bGwtdGl0bGU+PC9wZXJpb2RpY2FsPjxwYWdlcz4xMTUzLTExNjk8L3BhZ2VzPjx2b2x1
bWU+NzE8L3ZvbHVtZT48bnVtYmVyPjM8L251bWJlcj48ZGF0ZXM+PHllYXI+MjAwMjwveWVhcj48
L2RhdGVzPjxsYWJlbD5IYWJpdGF0czwvbGFiZWw+PHVybHM+PC91cmxzPjwvcmVjb3JkPjwvQ2l0
ZT48Q2l0ZT48QXV0aG9yPkNvbGxpZXI8L0F1dGhvcj48WWVhcj4yMDA5PC9ZZWFyPjxSZWNOdW0+
OTI4NTwvUmVjTnVtPjxyZWNvcmQ+PHJlYy1udW1iZXI+OTI4NTwvcmVjLW51bWJlcj48Zm9yZWln
bi1rZXlzPjxrZXkgYXBwPSJFTiIgZGItaWQ9IjBldmU1NXg5eTV2ZmQ2ZTlkYWN4dGV3NGVhdHZl
MmR6ZHM5YSIgdGltZXN0YW1wPSIxMzc1MDA1MDgxIj45Mjg1PC9rZXk+PC9mb3JlaWduLWtleXM+
PHJlZi10eXBlIG5hbWU9IlJlcG9ydCI+Mjc8L3JlZi10eXBlPjxjb250cmlidXRvcnM+PGF1dGhv
cnM+PGF1dGhvcj5Db2xsaWVyLCBDLjwvYXV0aG9yPjxhdXRob3I+V2F5Y290dCwgTTwvYXV0aG9y
PjwvYXV0aG9ycz48L2NvbnRyaWJ1dG9ycz48dGl0bGVzPjx0aXRsZT5Ecml2ZXJzIG9mIGNoYW5n
ZSB0byBzZWFncmFzcyBkaXN0cmlidXRpb25zIGFuZCBjb21tdW5pdGllcyBvbiB0aGUgR3JlYXQg
QmFycmllciBSZWVmOiBMaXRlcmF0dXJlIHJldmlldyBhbmQgZ2FwcyBhbmFseXNpczwvdGl0bGU+
PHNlY29uZGFyeS10aXRsZT5SZXBvcnQgdG8gdGhlIE1hcmluZSBhbmQgVHJvcGljYWwgU2NpZW5j
ZXMgUmVzZWFyY2ggRmFjaWxpdHk8L3NlY29uZGFyeS10aXRsZT48L3RpdGxlcz48ZGF0ZXM+PHll
YXI+MjAwOTwveWVhcj48L2RhdGVzPjxwdWItbG9jYXRpb24+Q2Fpcm5zPC9wdWItbG9jYXRpb24+
PHB1Ymxpc2hlcj5SZWVmIGFuZCBSYWluZm9yZXN0IFJlc2VhcmNoIENlbnRyZSBMaW1pdGVkPC9w
dWJsaXNoZXI+PHVybHM+PC91cmxzPjwvcmVjb3JkPjwvQ2l0ZT48Q2l0ZT48QXV0aG9yPldheWNv
dHQ8L0F1dGhvcj48WWVhcj4yMDA3PC9ZZWFyPjxSZWNOdW0+OTEzMzwvUmVjTnVtPjxyZWNvcmQ+
PHJlYy1udW1iZXI+OTEzMzwvcmVjLW51bWJlcj48Zm9yZWlnbi1rZXlzPjxrZXkgYXBwPSJFTiIg
ZGItaWQ9IjBldmU1NXg5eTV2ZmQ2ZTlkYWN4dGV3NGVhdHZlMmR6ZHM5YSIgdGltZXN0YW1wPSIx
Mzc0OTg0NTk0Ij45MTMzPC9rZXk+PC9mb3JlaWduLWtleXM+PHJlZi10eXBlIG5hbWU9IkJvb2sg
U2VjdGlvbiI+NTwvcmVmLXR5cGU+PGNvbnRyaWJ1dG9ycz48YXV0aG9ycz48YXV0aG9yPldheWNv
dHQsIE0uPC9hdXRob3I+PGF1dGhvcj5Db2xsaWVyLCBDLjwvYXV0aG9yPjxhdXRob3I+TWNNYWhv
biwgSy48L2F1dGhvcj48YXV0aG9yPlJhbHBoLCBQLkouPC9hdXRob3I+PGF1dGhvcj5NY0tlbnpp
ZSwgTGVuIEouPC9hdXRob3I+PGF1dGhvcj5VZHksIEouVy48L2F1dGhvcj48YXV0aG9yPkdyZWNo
LCBBLjwvYXV0aG9yPjwvYXV0aG9ycz48c2Vjb25kYXJ5LWF1dGhvcnM+PGF1dGhvcj5Kb2huc29u
LCBKLkUuIDwvYXV0aG9yPjxhdXRob3I+TWFyc2hhbGwsIFAuQS48L2F1dGhvcj48L3NlY29uZGFy
eS1hdXRob3JzPjwvY29udHJpYnV0b3JzPjx0aXRsZXM+PHRpdGxlPlZ1bG5lcmFiaWxpdHkgb2Yg
c2VhZ3Jhc3NlcyBpbiB0aGUgR3JlYXQgQmFycmllciBSZWVmIHRvIGNsaW1hdGUgY2hhbmdlIC0g
Q2hhcHRlciA4OiA8L3RpdGxlPjxzZWNvbmRhcnktdGl0bGU+Q2xpbWF0ZSBDaGFuZ2UgYW5kIHRo
ZSBHcmVhdCBCYXJyaWVyIFJlZWY6IEEgVnVsbmVyYWJpbGl0eSBBc3Nlc3NtZW50LCBQYXJ0IElJ
OiBTcGVjaWVzIGFuZCBzcGVjaWVzIGdyb3Vwczwvc2Vjb25kYXJ5LXRpdGxlPjwvdGl0bGVzPjxw
YWdlcz4xOTMtMjM2PC9wYWdlcz48ZGF0ZXM+PHllYXI+MjAwNzwveWVhcj48L2RhdGVzPjxwdWIt
bG9jYXRpb24+VG93bnN2aWxsZTwvcHViLWxvY2F0aW9uPjxwdWJsaXNoZXI+R3JlYXQgQmFycmll
ciBSZWVmIE1hcmluZSBQYXJrIEF1dGhvcml0eSAgICAgPC9wdWJsaXNoZXI+PGlzYm4+OTc4LTEt
ODc2OTQtNTYxLTk8L2lzYm4+PHVybHM+PC91cmxzPjwvcmVjb3JkPjwvQ2l0ZT48L0VuZE5vdGU+
</w:fldData>
        </w:fldChar>
      </w:r>
      <w:r w:rsidRPr="00A92652">
        <w:rPr>
          <w:rFonts w:cs="Arial"/>
          <w:color w:val="000000" w:themeColor="text1"/>
          <w:szCs w:val="22"/>
        </w:rPr>
        <w:instrText xml:space="preserve"> ADDIN EN.CITE.DATA </w:instrText>
      </w:r>
      <w:r w:rsidRPr="00A92652">
        <w:rPr>
          <w:rFonts w:cs="Arial"/>
          <w:color w:val="000000" w:themeColor="text1"/>
          <w:szCs w:val="22"/>
        </w:rPr>
      </w:r>
      <w:r w:rsidRPr="00A92652">
        <w:rPr>
          <w:rFonts w:cs="Arial"/>
          <w:color w:val="000000" w:themeColor="text1"/>
          <w:szCs w:val="22"/>
        </w:rPr>
        <w:fldChar w:fldCharType="end"/>
      </w:r>
      <w:r w:rsidRPr="00A92652">
        <w:rPr>
          <w:rFonts w:cs="Arial"/>
          <w:color w:val="000000" w:themeColor="text1"/>
          <w:szCs w:val="22"/>
        </w:rPr>
      </w:r>
      <w:r w:rsidRPr="00A92652">
        <w:rPr>
          <w:rFonts w:cs="Arial"/>
          <w:color w:val="000000" w:themeColor="text1"/>
          <w:szCs w:val="22"/>
        </w:rPr>
        <w:fldChar w:fldCharType="separate"/>
      </w:r>
      <w:hyperlink w:anchor="_ENREF_22" w:tooltip="Carruthers, 2002 #8021" w:history="1">
        <w:r w:rsidR="009A7AB4" w:rsidRPr="00A92652">
          <w:rPr>
            <w:rFonts w:cs="Arial"/>
            <w:noProof/>
            <w:color w:val="000000" w:themeColor="text1"/>
            <w:szCs w:val="22"/>
          </w:rPr>
          <w:t>Carruthers</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2002</w:t>
        </w:r>
      </w:hyperlink>
      <w:r w:rsidRPr="00A92652">
        <w:rPr>
          <w:rFonts w:cs="Arial"/>
          <w:noProof/>
          <w:color w:val="000000" w:themeColor="text1"/>
          <w:szCs w:val="22"/>
        </w:rPr>
        <w:t xml:space="preserve">; </w:t>
      </w:r>
      <w:hyperlink w:anchor="_ENREF_153" w:tooltip="Waycott, 2007 #9133" w:history="1">
        <w:r w:rsidR="009A7AB4" w:rsidRPr="00A92652">
          <w:rPr>
            <w:rFonts w:cs="Arial"/>
            <w:noProof/>
            <w:color w:val="000000" w:themeColor="text1"/>
            <w:szCs w:val="22"/>
          </w:rPr>
          <w:t>Waycott</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2007</w:t>
        </w:r>
      </w:hyperlink>
      <w:r w:rsidRPr="00A92652">
        <w:rPr>
          <w:rFonts w:cs="Arial"/>
          <w:noProof/>
          <w:color w:val="000000" w:themeColor="text1"/>
          <w:szCs w:val="22"/>
        </w:rPr>
        <w:t xml:space="preserve">; </w:t>
      </w:r>
      <w:hyperlink w:anchor="_ENREF_32" w:tooltip="Collier, 2009 #9285" w:history="1">
        <w:r w:rsidR="009A7AB4" w:rsidRPr="00A92652">
          <w:rPr>
            <w:rFonts w:cs="Arial"/>
            <w:noProof/>
            <w:color w:val="000000" w:themeColor="text1"/>
            <w:szCs w:val="22"/>
          </w:rPr>
          <w:t>Collier and Waycott 2009</w:t>
        </w:r>
      </w:hyperlink>
      <w:r w:rsidRPr="00A92652">
        <w:rPr>
          <w:rFonts w:cs="Arial"/>
          <w:color w:val="000000" w:themeColor="text1"/>
          <w:szCs w:val="22"/>
        </w:rPr>
        <w:fldChar w:fldCharType="end"/>
      </w:r>
      <w:r w:rsidRPr="00A92652">
        <w:rPr>
          <w:rFonts w:cs="Arial"/>
          <w:color w:val="000000" w:themeColor="text1"/>
          <w:szCs w:val="22"/>
        </w:rPr>
        <w:t>).</w:t>
      </w:r>
    </w:p>
    <w:p w14:paraId="0184C892" w14:textId="77777777" w:rsidR="00F9591A" w:rsidRPr="00742F73" w:rsidRDefault="00F9591A" w:rsidP="007138BA">
      <w:pPr>
        <w:pStyle w:val="Heading2"/>
      </w:pPr>
      <w:bookmarkStart w:id="27" w:name="_Toc37775029"/>
      <w:bookmarkStart w:id="28" w:name="_Toc43987003"/>
      <w:r w:rsidRPr="00742F73">
        <w:t>Seagrass monitoring in the Marine Monitoring Program</w:t>
      </w:r>
      <w:bookmarkEnd w:id="27"/>
      <w:bookmarkEnd w:id="28"/>
    </w:p>
    <w:p w14:paraId="5E0F3D0A" w14:textId="1D21F6B8" w:rsidR="00F9591A" w:rsidRDefault="00F42A94" w:rsidP="00DC2241">
      <w:pPr>
        <w:autoSpaceDE w:val="0"/>
        <w:autoSpaceDN w:val="0"/>
        <w:adjustRightInd w:val="0"/>
        <w:spacing w:before="0" w:after="0"/>
        <w:rPr>
          <w:rFonts w:cs="Arial"/>
          <w:szCs w:val="22"/>
        </w:rPr>
      </w:pPr>
      <w:r>
        <w:rPr>
          <w:rFonts w:cs="Arial"/>
          <w:color w:val="000000" w:themeColor="text1"/>
          <w:szCs w:val="22"/>
        </w:rPr>
        <w:t>The vision for</w:t>
      </w:r>
      <w:r w:rsidR="00F9591A" w:rsidRPr="00A92652">
        <w:rPr>
          <w:rFonts w:cs="Arial"/>
          <w:color w:val="000000" w:themeColor="text1"/>
          <w:szCs w:val="22"/>
        </w:rPr>
        <w:t xml:space="preserve"> Great Barrier Reef Marine Park Authority (the Authority) is to </w:t>
      </w:r>
      <w:r>
        <w:rPr>
          <w:rFonts w:cs="Arial"/>
          <w:color w:val="000000" w:themeColor="text1"/>
          <w:szCs w:val="22"/>
        </w:rPr>
        <w:t>have a</w:t>
      </w:r>
      <w:r w:rsidRPr="00BF7CC1">
        <w:t xml:space="preserve"> healthy Great Barrier Reef </w:t>
      </w:r>
      <w:r>
        <w:t xml:space="preserve">Marine Park </w:t>
      </w:r>
      <w:r w:rsidRPr="00BF7CC1">
        <w:t>for future generations</w:t>
      </w:r>
      <w:r w:rsidR="00F9591A" w:rsidRPr="00A92652">
        <w:rPr>
          <w:rFonts w:cs="Arial"/>
          <w:color w:val="000000" w:themeColor="text1"/>
          <w:szCs w:val="22"/>
        </w:rPr>
        <w:t xml:space="preserve"> (</w:t>
      </w:r>
      <w:hyperlink w:anchor="_ENREF_63" w:tooltip="Great Barrier Reef Marine Park Authority, 2014 #9925"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&lt;EndNote&gt;&lt;Cite&gt;&lt;Author&gt;Great Barrier Reef Marine Park Authority&lt;/Author&gt;&lt;Year&gt;2014&lt;/Year&gt;&lt;RecNum&gt;9925&lt;/RecNum&gt;&lt;DisplayText&gt;Great Barrier Reef Marine Park Authority 2014&lt;/DisplayText&gt;&lt;record&gt;&lt;rec-number&gt;9925&lt;/rec-number&gt;&lt;foreign-keys&gt;&lt;key app="EN" db-id="0eve55x9y5vfd6e9dacxtew4eatve2dzds9a" timestamp="1408528686"&gt;9925&lt;/key&gt;&lt;/foreign-keys&gt;&lt;ref-type name="Book"&gt;6&lt;/ref-type&gt;&lt;contributors&gt;&lt;authors&gt;&lt;author&gt;Great Barrier Reef Marine Park Authority,&lt;/author&gt;&lt;/authors&gt;&lt;/contributors&gt;&lt;titles&gt;&lt;title&gt;Great Barrier Reef Region Strategic Assessment: Program report&lt;/title&gt;&lt;/titles&gt;&lt;pages&gt;100&lt;/pages&gt;&lt;dates&gt;&lt;year&gt;2014&lt;/year&gt;&lt;/dates&gt;&lt;pub-location&gt;Townsville&lt;/pub-location&gt;&lt;publisher&gt;GBRMPA&lt;/publisher&gt;&lt;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Great Barrier Reef Marine Park Authority 201</w:t>
        </w:r>
        <w:r w:rsidR="009A7AB4" w:rsidRPr="00A92652">
          <w:rPr>
            <w:rFonts w:cs="Arial"/>
            <w:color w:val="000000" w:themeColor="text1"/>
            <w:szCs w:val="22"/>
          </w:rPr>
          <w:fldChar w:fldCharType="end"/>
        </w:r>
      </w:hyperlink>
      <w:r>
        <w:rPr>
          <w:rFonts w:cs="Arial"/>
          <w:color w:val="000000" w:themeColor="text1"/>
          <w:szCs w:val="22"/>
        </w:rPr>
        <w:t>9</w:t>
      </w:r>
      <w:r w:rsidR="00F9591A" w:rsidRPr="00A92652">
        <w:rPr>
          <w:rFonts w:cs="Arial"/>
          <w:color w:val="000000" w:themeColor="text1"/>
          <w:szCs w:val="22"/>
        </w:rPr>
        <w:t xml:space="preserve">). </w:t>
      </w:r>
      <w:r w:rsidR="00DC2241" w:rsidRPr="00DC2241">
        <w:t>The decline of marine water quality associated with landbased run-off from the adjacent catchments is a major cause of the current poor state of many of the coastal and marine ecosystems of the Great Barrier Reef</w:t>
      </w:r>
      <w:r w:rsidR="00F9591A" w:rsidRPr="00A92652">
        <w:rPr>
          <w:rFonts w:cs="Arial"/>
          <w:szCs w:val="22"/>
        </w:rPr>
        <w:t xml:space="preserve"> (</w:t>
      </w:r>
      <w:r w:rsidR="00DC2241">
        <w:rPr>
          <w:rFonts w:cs="Arial"/>
          <w:szCs w:val="22"/>
        </w:rPr>
        <w:t>The State of Queensland</w:t>
      </w:r>
      <w:r w:rsidR="00F9591A" w:rsidRPr="00A92652">
        <w:rPr>
          <w:rFonts w:cs="Arial"/>
          <w:szCs w:val="22"/>
        </w:rPr>
        <w:t>, 201</w:t>
      </w:r>
      <w:r w:rsidR="00DC2241">
        <w:rPr>
          <w:rFonts w:cs="Arial"/>
          <w:szCs w:val="22"/>
        </w:rPr>
        <w:t>7</w:t>
      </w:r>
      <w:r w:rsidR="00F9591A" w:rsidRPr="00A92652">
        <w:rPr>
          <w:rFonts w:cs="Arial"/>
          <w:szCs w:val="22"/>
        </w:rPr>
        <w:t xml:space="preserve">). </w:t>
      </w:r>
    </w:p>
    <w:p w14:paraId="09A584B9" w14:textId="5AA66B88" w:rsidR="00F9591A" w:rsidRPr="00A92652" w:rsidRDefault="00F9591A" w:rsidP="00F9591A">
      <w:pPr>
        <w:rPr>
          <w:rFonts w:cs="Arial"/>
          <w:i/>
          <w:szCs w:val="22"/>
        </w:rPr>
      </w:pPr>
      <w:r w:rsidRPr="00A92652">
        <w:rPr>
          <w:rFonts w:cs="Arial"/>
          <w:szCs w:val="22"/>
        </w:rPr>
        <w:t xml:space="preserve">In response to concerns about the impact of land-based run-off on water quality, </w:t>
      </w:r>
      <w:r w:rsidR="00CD19EA" w:rsidRPr="00A92652">
        <w:rPr>
          <w:rFonts w:cs="Arial"/>
          <w:szCs w:val="22"/>
        </w:rPr>
        <w:t xml:space="preserve">coral and seagrass ecosystems, </w:t>
      </w:r>
      <w:r w:rsidRPr="00A92652">
        <w:rPr>
          <w:rFonts w:cs="Arial"/>
          <w:szCs w:val="22"/>
        </w:rPr>
        <w:t xml:space="preserve">the </w:t>
      </w:r>
      <w:r w:rsidRPr="00A92652">
        <w:rPr>
          <w:rFonts w:cs="Arial"/>
          <w:color w:val="000000" w:themeColor="text1"/>
          <w:szCs w:val="22"/>
        </w:rPr>
        <w:t>Reef 2050 Water Quality Improvement Plan (Reef 2050 WQIP) (</w:t>
      </w:r>
      <w:hyperlink w:anchor="_ENREF_8" w:tooltip="Australian Government and Queensland Government, 2018 #11863"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&lt;EndNote&gt;&lt;Cite&gt;&lt;Author&gt;Australian Government and Queensland Government&lt;/Author&gt;&lt;Year&gt;2018&lt;/Year&gt;&lt;RecNum&gt;11863&lt;/RecNum&gt;&lt;DisplayText&gt;Australian Government and Queensland Government 2018b&lt;/DisplayText&gt;&lt;record&gt;&lt;rec-number&gt;11863&lt;/rec-number&gt;&lt;foreign-keys&gt;&lt;key app="EN" db-id="0eve55x9y5vfd6e9dacxtew4eatve2dzds9a" timestamp="1546661277"&gt;11863&lt;/key&gt;&lt;/foreign-keys&gt;&lt;ref-type name="Book"&gt;6&lt;/ref-type&gt;&lt;contributors&gt;&lt;authors&gt;&lt;author&gt;Australian Government and Queensland Government,&lt;/author&gt;&lt;/authors&gt;&lt;/contributors&gt;&lt;titles&gt;&lt;title&gt;Reef 2050 Water Quality Improvement Plan: 2017 - 2022&lt;/title&gt;&lt;/titles&gt;&lt;pages&gt;55&lt;/pages&gt;&lt;dates&gt;&lt;year&gt;2018&lt;/year&gt;&lt;/dates&gt;&lt;pub-location&gt;Brisbane&lt;/pub-location&gt;&lt;publisher&gt;State of Queensland&lt;/publisher&gt;&lt;urls&gt;&lt;related-urls&gt;&lt;url&gt;https://www.reefplan.qld.gov.au/about/assets/reef-2050-water-quality-improvement-plan-2017-22.pdf&lt;/url&gt;&lt;/related-urls&gt;&lt;/urls&gt;&lt;/record&gt;&lt;/Cite&gt;&lt;/EndNote&gt;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Australian Government and Queensland Government 2018b</w:t>
        </w:r>
        <w:r w:rsidR="009A7AB4" w:rsidRPr="00A92652">
          <w:rPr>
            <w:rFonts w:cs="Arial"/>
            <w:color w:val="000000" w:themeColor="text1"/>
            <w:szCs w:val="22"/>
          </w:rPr>
          <w:fldChar w:fldCharType="end"/>
        </w:r>
      </w:hyperlink>
      <w:r w:rsidRPr="00A92652">
        <w:rPr>
          <w:rFonts w:cs="Arial"/>
          <w:color w:val="000000" w:themeColor="text1"/>
          <w:szCs w:val="22"/>
        </w:rPr>
        <w:t xml:space="preserve">) </w:t>
      </w:r>
      <w:r w:rsidRPr="00A92652">
        <w:rPr>
          <w:rFonts w:cs="Arial"/>
          <w:szCs w:val="22"/>
        </w:rPr>
        <w:t xml:space="preserve">was recently updated by the Australian and Queensland governments, and integrated as a major component of </w:t>
      </w:r>
      <w:r w:rsidRPr="00A92652">
        <w:rPr>
          <w:rFonts w:cs="Arial"/>
          <w:color w:val="000000" w:themeColor="text1"/>
          <w:szCs w:val="22"/>
        </w:rPr>
        <w:t>Reef 2050 Long-Term Sustainability Plan (Reef 2050 Plan) (</w:t>
      </w:r>
      <w:hyperlink w:anchor="_ENREF_7" w:tooltip="Australian Government and Queensland Government, 2018 #11862"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&lt;EndNote&gt;&lt;Cite&gt;&lt;Author&gt;Australian Government and Queensland Government&lt;/Author&gt;&lt;Year&gt;2018&lt;/Year&gt;&lt;RecNum&gt;11862&lt;/RecNum&gt;&lt;DisplayText&gt;Australian Government and Queensland Government 2018a&lt;/DisplayText&gt;&lt;record&gt;&lt;rec-number&gt;11862&lt;/rec-number&gt;&lt;foreign-keys&gt;&lt;key app="EN" db-id="0eve55x9y5vfd6e9dacxtew4eatve2dzds9a" timestamp="1546642566"&gt;11862&lt;/key&gt;&lt;/foreign-keys&gt;&lt;ref-type name="Book"&gt;6&lt;/ref-type&gt;&lt;contributors&gt;&lt;authors&gt;&lt;author&gt;Australian Government and Queensland Government,&lt;/author&gt;&lt;/authors&gt;&lt;/contributors&gt;&lt;titles&gt;&lt;title&gt;Reef 2050 Long-Term Sustainability Plan—July 2018&lt;/title&gt;&lt;/titles&gt;&lt;pages&gt;124&lt;/pages&gt;&lt;keywords&gt;&lt;keyword&gt;Marine parks and reserves -- Queensland -- Great Barrier Reef -- Management.&lt;/keyword&gt;&lt;keyword&gt;Marine ecosystem management -- Queensland -- Great Barrier Reef.&lt;/keyword&gt;&lt;keyword&gt;Water quality management -- Queensland -- Great Barrier Reef.&lt;/keyword&gt;&lt;keyword&gt;Great Barrier Reef Marine Park (Qld.) -- Management.&lt;/keyword&gt;&lt;keyword&gt;Australian&lt;/keyword&gt;&lt;/keywords&gt;&lt;dates&gt;&lt;year&gt;2018&lt;/year&gt;&lt;/dates&gt;&lt;pub-location&gt;Canberra : Brisbane&lt;/pub-location&gt;&lt;publisher&gt;Australian Government ; Queensland Government&lt;/publisher&gt;&lt;urls&gt;&lt;related-urls&gt;&lt;url&gt;https://www.environment.gov.au/marine/gbr/long-term-sustainability-plan&lt;/url&gt;&lt;/related-urls&gt;&lt;/urls&gt;&lt;/record&gt;&lt;/Cite&gt;&lt;/EndNote&gt;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Australian Government and Queensland Government 2018a</w:t>
        </w:r>
        <w:r w:rsidR="009A7AB4" w:rsidRPr="00A92652">
          <w:rPr>
            <w:rFonts w:cs="Arial"/>
            <w:color w:val="000000" w:themeColor="text1"/>
            <w:szCs w:val="22"/>
          </w:rPr>
          <w:fldChar w:fldCharType="end"/>
        </w:r>
      </w:hyperlink>
      <w:r w:rsidRPr="00A92652">
        <w:rPr>
          <w:rFonts w:cs="Arial"/>
          <w:color w:val="000000" w:themeColor="text1"/>
          <w:szCs w:val="22"/>
        </w:rPr>
        <w:t>),</w:t>
      </w:r>
      <w:r w:rsidRPr="00A92652">
        <w:rPr>
          <w:rFonts w:cs="Arial"/>
          <w:szCs w:val="22"/>
        </w:rPr>
        <w:t xml:space="preserve"> which provides a framework for integrated management of the </w:t>
      </w:r>
      <w:r w:rsidRPr="00601F8D">
        <w:rPr>
          <w:rFonts w:eastAsia="SimSun" w:cs="Arial"/>
          <w:szCs w:val="22"/>
        </w:rPr>
        <w:t>World Heritage Area</w:t>
      </w:r>
      <w:r w:rsidRPr="009E4C07">
        <w:rPr>
          <w:rFonts w:cs="Arial"/>
          <w:szCs w:val="22"/>
        </w:rPr>
        <w:t>.</w:t>
      </w:r>
      <w:r w:rsidRPr="00A92652">
        <w:rPr>
          <w:rFonts w:cs="Arial"/>
          <w:szCs w:val="22"/>
        </w:rPr>
        <w:t xml:space="preserve"> </w:t>
      </w:r>
    </w:p>
    <w:p w14:paraId="2DE17537" w14:textId="3D78355F" w:rsidR="00F9591A" w:rsidRPr="00A92652" w:rsidRDefault="00F9591A" w:rsidP="00F9591A">
      <w:pPr>
        <w:rPr>
          <w:rFonts w:cs="Arial"/>
          <w:szCs w:val="22"/>
        </w:rPr>
      </w:pPr>
      <w:r w:rsidRPr="00A92652">
        <w:rPr>
          <w:rFonts w:cs="Arial"/>
          <w:szCs w:val="22"/>
        </w:rPr>
        <w:t>A key deliverable of the Reef 2050 WQIP is the Paddock to Reef Integrated Monitoring, Modelling and Reporting Program (P</w:t>
      </w:r>
      <w:r w:rsidR="006422E4" w:rsidRPr="00A92652">
        <w:rPr>
          <w:rFonts w:cs="Arial"/>
          <w:szCs w:val="22"/>
        </w:rPr>
        <w:t>addock to Reef program</w:t>
      </w:r>
      <w:r w:rsidRPr="00A92652">
        <w:rPr>
          <w:rFonts w:cs="Arial"/>
          <w:szCs w:val="22"/>
        </w:rPr>
        <w:t>), which is used to evaluate the efficiency and effectiveness of Reef 2050 WQIP implementation, and report on progress towards goals and targets</w:t>
      </w:r>
      <w:r w:rsidR="006422E4" w:rsidRPr="00A92652">
        <w:rPr>
          <w:rFonts w:cs="Arial"/>
          <w:szCs w:val="22"/>
        </w:rPr>
        <w:t xml:space="preserve"> (</w:t>
      </w:r>
      <w:hyperlink w:anchor="_ENREF_8" w:tooltip="Australian Government and Queensland Government, 2018 #11863" w:history="1">
        <w:r w:rsidR="009A7AB4" w:rsidRPr="00A92652">
          <w:rPr>
            <w:rFonts w:cs="Arial"/>
            <w:szCs w:val="22"/>
          </w:rPr>
          <w:fldChar w:fldCharType="begin"/>
        </w:r>
        <w:r w:rsidR="009A7AB4" w:rsidRPr="00A92652">
          <w:rPr>
            <w:rFonts w:cs="Arial"/>
            <w:szCs w:val="22"/>
          </w:rPr>
          <w:instrText xml:space="preserve"> ADDIN EN.CITE &lt;EndNote&gt;&lt;Cite&gt;&lt;Author&gt;Australian Government and Queensland Government&lt;/Author&gt;&lt;Year&gt;2018&lt;/Year&gt;&lt;RecNum&gt;11863&lt;/RecNum&gt;&lt;DisplayText&gt;Australian Government and Queensland Government 2018b&lt;/DisplayText&gt;&lt;record&gt;&lt;rec-number&gt;11863&lt;/rec-number&gt;&lt;foreign-keys&gt;&lt;key app="EN" db-id="0eve55x9y5vfd6e9dacxtew4eatve2dzds9a" timestamp="1546661277"&gt;11863&lt;/key&gt;&lt;/foreign-keys&gt;&lt;ref-type name="Book"&gt;6&lt;/ref-type&gt;&lt;contributors&gt;&lt;authors&gt;&lt;author&gt;Australian Government and Queensland Government,&lt;/author&gt;&lt;/authors&gt;&lt;/contributors&gt;&lt;titles&gt;&lt;title&gt;Reef 2050 Water Quality Improvement Plan: 2017 - 2022&lt;/title&gt;&lt;/titles&gt;&lt;pages&gt;55&lt;/pages&gt;&lt;dates&gt;&lt;year&gt;2018&lt;/year&gt;&lt;/dates&gt;&lt;pub-location&gt;Brisbane&lt;/pub-location&gt;&lt;publisher&gt;State of Queensland&lt;/publisher&gt;&lt;urls&gt;&lt;related-urls&gt;&lt;url&gt;https://www.reefplan.qld.gov.au/about/assets/reef-2050-water-quality-improvement-plan-2017-22.pdf&lt;/url&gt;&lt;/related-urls&gt;&lt;/urls&gt;&lt;/record&gt;&lt;/Cite&gt;&lt;/EndNote&gt;</w:instrText>
        </w:r>
        <w:r w:rsidR="009A7AB4" w:rsidRPr="00A92652">
          <w:rPr>
            <w:rFonts w:cs="Arial"/>
            <w:szCs w:val="22"/>
          </w:rPr>
          <w:fldChar w:fldCharType="separate"/>
        </w:r>
        <w:r w:rsidR="009A7AB4" w:rsidRPr="00A92652">
          <w:rPr>
            <w:rFonts w:cs="Arial"/>
            <w:noProof/>
            <w:szCs w:val="22"/>
          </w:rPr>
          <w:t>Australian Government and Queensland Government 2018b</w:t>
        </w:r>
        <w:r w:rsidR="009A7AB4" w:rsidRPr="00A92652">
          <w:rPr>
            <w:rFonts w:cs="Arial"/>
            <w:szCs w:val="22"/>
          </w:rPr>
          <w:fldChar w:fldCharType="end"/>
        </w:r>
      </w:hyperlink>
      <w:r w:rsidR="006422E4" w:rsidRPr="00A92652">
        <w:rPr>
          <w:rFonts w:cs="Arial"/>
          <w:szCs w:val="22"/>
        </w:rPr>
        <w:t>)</w:t>
      </w:r>
      <w:r w:rsidRPr="00A92652">
        <w:rPr>
          <w:rFonts w:cs="Arial"/>
          <w:szCs w:val="22"/>
        </w:rPr>
        <w:t xml:space="preserve">. The </w:t>
      </w:r>
      <w:r w:rsidRPr="00A92652">
        <w:rPr>
          <w:rFonts w:cs="Arial"/>
          <w:szCs w:val="22"/>
          <w:lang w:eastAsia="en-AU"/>
        </w:rPr>
        <w:t>Marine Monitoring Program (MMP)</w:t>
      </w:r>
      <w:r w:rsidRPr="00A92652">
        <w:rPr>
          <w:rFonts w:cs="Arial"/>
          <w:szCs w:val="22"/>
        </w:rPr>
        <w:t xml:space="preserve"> forms an integral part of </w:t>
      </w:r>
      <w:r w:rsidR="006422E4" w:rsidRPr="00A92652">
        <w:rPr>
          <w:rFonts w:cs="Arial"/>
          <w:szCs w:val="22"/>
        </w:rPr>
        <w:t xml:space="preserve">the </w:t>
      </w:r>
      <w:r w:rsidRPr="00A92652">
        <w:rPr>
          <w:rFonts w:cs="Arial"/>
          <w:szCs w:val="22"/>
        </w:rPr>
        <w:t>Paddock to Reef</w:t>
      </w:r>
      <w:r w:rsidR="006422E4" w:rsidRPr="00A92652">
        <w:rPr>
          <w:rFonts w:cs="Arial"/>
          <w:szCs w:val="22"/>
        </w:rPr>
        <w:t xml:space="preserve"> program</w:t>
      </w:r>
      <w:r w:rsidRPr="00A92652">
        <w:rPr>
          <w:rFonts w:cs="Arial"/>
          <w:szCs w:val="22"/>
        </w:rPr>
        <w:t>. The MMP has three components: inshore water quality, coral and seagrass.</w:t>
      </w:r>
    </w:p>
    <w:p w14:paraId="20A5A808" w14:textId="08094F06" w:rsidR="000563CC" w:rsidRPr="00A92652" w:rsidRDefault="000563CC" w:rsidP="0089405C">
      <w:pPr>
        <w:keepNext/>
        <w:jc w:val="center"/>
        <w:rPr>
          <w:rFonts w:cs="Arial"/>
          <w:szCs w:val="22"/>
        </w:rPr>
      </w:pPr>
      <w:r w:rsidRPr="00A92652">
        <w:rPr>
          <w:rFonts w:cs="Arial"/>
          <w:noProof/>
          <w:szCs w:val="22"/>
          <w:lang w:eastAsia="en-AU"/>
        </w:rPr>
        <w:lastRenderedPageBreak/>
        <w:drawing>
          <wp:inline distT="0" distB="0" distL="0" distR="0" wp14:anchorId="5C181D37" wp14:editId="07305EB6">
            <wp:extent cx="3557440" cy="6163733"/>
            <wp:effectExtent l="0" t="0" r="5080" b="8890"/>
            <wp:docPr id="537" name="Picture 537" descr="Map showing the Great Barrier Reef Marine Park, major marine ecosystems (coral reefs and surveyed seagrass beds), NRM regions and marine NRM regions (delineated by dark grey lines) and major ri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R_catchment_map_v2_300ppi-01.jpg"/>
                    <pic:cNvPicPr/>
                  </pic:nvPicPr>
                  <pic:blipFill>
                    <a:blip r:embed="rId31"/>
                    <a:stretch>
                      <a:fillRect/>
                    </a:stretch>
                  </pic:blipFill>
                  <pic:spPr>
                    <a:xfrm>
                      <a:off x="0" y="0"/>
                      <a:ext cx="3558243" cy="6165125"/>
                    </a:xfrm>
                    <a:prstGeom prst="rect">
                      <a:avLst/>
                    </a:prstGeom>
                  </pic:spPr>
                </pic:pic>
              </a:graphicData>
            </a:graphic>
          </wp:inline>
        </w:drawing>
      </w:r>
    </w:p>
    <w:p w14:paraId="6F2E5A66" w14:textId="6DE5642C" w:rsidR="00783B80" w:rsidRPr="00A92652" w:rsidRDefault="000563CC" w:rsidP="00930A4B">
      <w:pPr>
        <w:rPr>
          <w:rFonts w:cs="Arial"/>
          <w:i/>
          <w:vanish/>
          <w:color w:val="000000" w:themeColor="text1"/>
          <w:szCs w:val="22"/>
          <w:specVanish/>
        </w:rPr>
      </w:pPr>
      <w:bookmarkStart w:id="29" w:name="_Ref472590595"/>
      <w:bookmarkStart w:id="30" w:name="_Toc38634106"/>
      <w:r w:rsidRPr="00A92652">
        <w:rPr>
          <w:rFonts w:cs="Arial"/>
          <w:szCs w:val="22"/>
        </w:rPr>
        <w:t xml:space="preserve">Figure </w:t>
      </w:r>
      <w:r w:rsidRPr="00A92652">
        <w:rPr>
          <w:rFonts w:cs="Arial"/>
          <w:szCs w:val="22"/>
        </w:rPr>
        <w:fldChar w:fldCharType="begin"/>
      </w:r>
      <w:r w:rsidRPr="00A92652">
        <w:rPr>
          <w:rFonts w:cs="Arial"/>
          <w:szCs w:val="22"/>
        </w:rPr>
        <w:instrText xml:space="preserve"> SEQ Figure \* ARABIC </w:instrText>
      </w:r>
      <w:r w:rsidRPr="00A92652">
        <w:rPr>
          <w:rFonts w:cs="Arial"/>
          <w:szCs w:val="22"/>
        </w:rPr>
        <w:fldChar w:fldCharType="separate"/>
      </w:r>
      <w:r w:rsidR="0067675D">
        <w:rPr>
          <w:rFonts w:cs="Arial"/>
          <w:noProof/>
          <w:szCs w:val="22"/>
        </w:rPr>
        <w:t>2</w:t>
      </w:r>
      <w:r w:rsidRPr="00A92652">
        <w:rPr>
          <w:rFonts w:cs="Arial"/>
          <w:szCs w:val="22"/>
        </w:rPr>
        <w:fldChar w:fldCharType="end"/>
      </w:r>
      <w:bookmarkEnd w:id="29"/>
      <w:r w:rsidRPr="00A92652">
        <w:rPr>
          <w:rFonts w:cs="Arial"/>
          <w:szCs w:val="22"/>
        </w:rPr>
        <w:t xml:space="preserve">. </w:t>
      </w:r>
      <w:r w:rsidR="00832243" w:rsidRPr="00A92652">
        <w:rPr>
          <w:rFonts w:cs="Arial"/>
          <w:i/>
          <w:color w:val="000000" w:themeColor="text1"/>
          <w:szCs w:val="22"/>
        </w:rPr>
        <w:t>M</w:t>
      </w:r>
      <w:r w:rsidRPr="00A92652">
        <w:rPr>
          <w:rFonts w:cs="Arial"/>
          <w:i/>
          <w:color w:val="000000" w:themeColor="text1"/>
          <w:szCs w:val="22"/>
        </w:rPr>
        <w:t>ajor marine ecosystems (coral reefs and surveyed seagrass meadows)</w:t>
      </w:r>
      <w:r w:rsidR="00EA2594" w:rsidRPr="00A92652">
        <w:rPr>
          <w:rFonts w:cs="Arial"/>
          <w:i/>
          <w:color w:val="000000" w:themeColor="text1"/>
          <w:szCs w:val="22"/>
        </w:rPr>
        <w:t xml:space="preserve"> </w:t>
      </w:r>
      <w:r w:rsidR="0059335C" w:rsidRPr="00A92652">
        <w:rPr>
          <w:rFonts w:cs="Arial"/>
          <w:i/>
          <w:color w:val="000000" w:themeColor="text1"/>
          <w:szCs w:val="22"/>
        </w:rPr>
        <w:t xml:space="preserve">in the </w:t>
      </w:r>
      <w:r w:rsidR="002F11C3" w:rsidRPr="00A92652">
        <w:rPr>
          <w:rFonts w:cs="Arial"/>
          <w:i/>
          <w:color w:val="000000" w:themeColor="text1"/>
          <w:szCs w:val="22"/>
        </w:rPr>
        <w:t>World Heritage Area</w:t>
      </w:r>
      <w:r w:rsidRPr="00A92652">
        <w:rPr>
          <w:rFonts w:cs="Arial"/>
          <w:i/>
          <w:color w:val="000000" w:themeColor="text1"/>
          <w:szCs w:val="22"/>
        </w:rPr>
        <w:t xml:space="preserve"> and N</w:t>
      </w:r>
      <w:r w:rsidR="00832243" w:rsidRPr="00A92652">
        <w:rPr>
          <w:rFonts w:cs="Arial"/>
          <w:i/>
          <w:color w:val="000000" w:themeColor="text1"/>
          <w:szCs w:val="22"/>
        </w:rPr>
        <w:t xml:space="preserve">atural </w:t>
      </w:r>
      <w:r w:rsidRPr="00A92652">
        <w:rPr>
          <w:rFonts w:cs="Arial"/>
          <w:i/>
          <w:color w:val="000000" w:themeColor="text1"/>
          <w:szCs w:val="22"/>
        </w:rPr>
        <w:t>R</w:t>
      </w:r>
      <w:r w:rsidR="00832243" w:rsidRPr="00A92652">
        <w:rPr>
          <w:rFonts w:cs="Arial"/>
          <w:i/>
          <w:color w:val="000000" w:themeColor="text1"/>
          <w:szCs w:val="22"/>
        </w:rPr>
        <w:t xml:space="preserve">esource </w:t>
      </w:r>
      <w:r w:rsidRPr="00A92652">
        <w:rPr>
          <w:rFonts w:cs="Arial"/>
          <w:i/>
          <w:color w:val="000000" w:themeColor="text1"/>
          <w:szCs w:val="22"/>
        </w:rPr>
        <w:t>M</w:t>
      </w:r>
      <w:r w:rsidR="00832243" w:rsidRPr="00A92652">
        <w:rPr>
          <w:rFonts w:cs="Arial"/>
          <w:i/>
          <w:color w:val="000000" w:themeColor="text1"/>
          <w:szCs w:val="22"/>
        </w:rPr>
        <w:t>anagement</w:t>
      </w:r>
      <w:r w:rsidRPr="00A92652">
        <w:rPr>
          <w:rFonts w:cs="Arial"/>
          <w:i/>
          <w:color w:val="000000" w:themeColor="text1"/>
          <w:szCs w:val="22"/>
        </w:rPr>
        <w:t xml:space="preserve"> regions</w:t>
      </w:r>
      <w:r w:rsidR="00930A4B" w:rsidRPr="00A92652">
        <w:rPr>
          <w:rFonts w:cs="Arial"/>
          <w:i/>
          <w:color w:val="000000" w:themeColor="text1"/>
          <w:szCs w:val="22"/>
        </w:rPr>
        <w:t xml:space="preserve"> (including marine)</w:t>
      </w:r>
      <w:bookmarkEnd w:id="30"/>
    </w:p>
    <w:p w14:paraId="320198F2" w14:textId="69B38300" w:rsidR="005306B4" w:rsidRPr="00A92652" w:rsidRDefault="000563CC" w:rsidP="00783B80">
      <w:pPr>
        <w:rPr>
          <w:rFonts w:cs="Arial"/>
          <w:color w:val="000000" w:themeColor="text1"/>
          <w:szCs w:val="22"/>
        </w:rPr>
      </w:pPr>
      <w:r w:rsidRPr="00A92652">
        <w:rPr>
          <w:rFonts w:cs="Arial"/>
          <w:i/>
          <w:color w:val="000000" w:themeColor="text1"/>
          <w:szCs w:val="22"/>
        </w:rPr>
        <w:t xml:space="preserve"> (delineated by dark grey lines) and </w:t>
      </w:r>
      <w:r w:rsidRPr="00A92652">
        <w:rPr>
          <w:rFonts w:cs="Arial"/>
          <w:i/>
          <w:szCs w:val="22"/>
        </w:rPr>
        <w:t>major</w:t>
      </w:r>
      <w:r w:rsidR="003F641A" w:rsidRPr="00A92652">
        <w:rPr>
          <w:rFonts w:cs="Arial"/>
          <w:i/>
          <w:szCs w:val="22"/>
        </w:rPr>
        <w:t xml:space="preserve"> rivers</w:t>
      </w:r>
      <w:r w:rsidR="00783B80" w:rsidRPr="00A92652">
        <w:rPr>
          <w:rFonts w:cs="Arial"/>
          <w:i/>
          <w:szCs w:val="22"/>
        </w:rPr>
        <w:t>.</w:t>
      </w:r>
    </w:p>
    <w:p w14:paraId="524EC384" w14:textId="31B24AD1" w:rsidR="00956B48" w:rsidRPr="00A92652" w:rsidRDefault="00956B48" w:rsidP="004D59D6">
      <w:pPr>
        <w:rPr>
          <w:rFonts w:cs="Arial"/>
          <w:szCs w:val="22"/>
        </w:rPr>
      </w:pPr>
      <w:r w:rsidRPr="00A92652">
        <w:rPr>
          <w:rFonts w:cs="Arial"/>
          <w:szCs w:val="22"/>
        </w:rPr>
        <w:t>The overarching objective of the inshore seagrass monitoring program is</w:t>
      </w:r>
      <w:r w:rsidR="004D59D6" w:rsidRPr="00A92652">
        <w:rPr>
          <w:rFonts w:cs="Arial"/>
          <w:szCs w:val="22"/>
        </w:rPr>
        <w:t xml:space="preserve"> to quantify the extent, frequency and intensity of acute and chronic impacts on the condition and trend of seagrass meadows and their subsequent recovery.</w:t>
      </w:r>
    </w:p>
    <w:p w14:paraId="11498EF4" w14:textId="6F51DCCA" w:rsidR="00956B48" w:rsidRPr="00A92652" w:rsidRDefault="00956B48" w:rsidP="00956B48">
      <w:pPr>
        <w:rPr>
          <w:rFonts w:cs="Arial"/>
          <w:color w:val="000000" w:themeColor="text1"/>
          <w:szCs w:val="22"/>
        </w:rPr>
      </w:pPr>
      <w:r w:rsidRPr="00A92652">
        <w:rPr>
          <w:rFonts w:cs="Arial"/>
          <w:szCs w:val="22"/>
        </w:rPr>
        <w:lastRenderedPageBreak/>
        <w:t xml:space="preserve">The inshore water quality monitoring </w:t>
      </w:r>
      <w:r w:rsidR="009E4C07">
        <w:rPr>
          <w:rFonts w:cs="Arial"/>
          <w:szCs w:val="22"/>
        </w:rPr>
        <w:t>component of the Marine Monitoring Program</w:t>
      </w:r>
      <w:r w:rsidR="009E4C07" w:rsidRPr="00A92652">
        <w:rPr>
          <w:rFonts w:cs="Arial"/>
          <w:szCs w:val="22"/>
        </w:rPr>
        <w:t xml:space="preserve"> </w:t>
      </w:r>
      <w:r w:rsidRPr="00A92652">
        <w:rPr>
          <w:rFonts w:cs="Arial"/>
          <w:szCs w:val="22"/>
        </w:rPr>
        <w:t>has been delivered by James Cook University (JCU) since 2005.</w:t>
      </w:r>
      <w:r w:rsidR="004008A6" w:rsidRPr="00A92652">
        <w:rPr>
          <w:rFonts w:cs="Arial"/>
          <w:szCs w:val="22"/>
        </w:rPr>
        <w:t xml:space="preserve"> </w:t>
      </w:r>
      <w:r w:rsidRPr="00A92652">
        <w:rPr>
          <w:rFonts w:cs="Arial"/>
          <w:color w:val="000000" w:themeColor="text1"/>
          <w:szCs w:val="22"/>
        </w:rPr>
        <w:t xml:space="preserve">The seagrass sub-program is also supported by contributions from the Seagrass-Watch program (Wet Tropics, Burdekin, </w:t>
      </w:r>
      <w:r w:rsidR="00B72AC4">
        <w:rPr>
          <w:rFonts w:cs="Arial"/>
          <w:color w:val="000000" w:themeColor="text1"/>
          <w:szCs w:val="22"/>
        </w:rPr>
        <w:t>Mackay–Whitsunday</w:t>
      </w:r>
      <w:r w:rsidRPr="00A92652">
        <w:rPr>
          <w:rFonts w:cs="Arial"/>
          <w:color w:val="000000" w:themeColor="text1"/>
          <w:szCs w:val="22"/>
        </w:rPr>
        <w:t xml:space="preserve"> and </w:t>
      </w:r>
      <w:r w:rsidR="00B72AC4">
        <w:rPr>
          <w:rFonts w:cs="Arial"/>
          <w:color w:val="000000" w:themeColor="text1"/>
          <w:szCs w:val="22"/>
        </w:rPr>
        <w:t>Burnett–Mary</w:t>
      </w:r>
      <w:r w:rsidRPr="00A92652">
        <w:rPr>
          <w:rFonts w:cs="Arial"/>
          <w:color w:val="000000" w:themeColor="text1"/>
          <w:szCs w:val="22"/>
        </w:rPr>
        <w:t>) and Queensland Parks</w:t>
      </w:r>
      <w:r w:rsidR="0056326C" w:rsidRPr="00A92652">
        <w:rPr>
          <w:rFonts w:cs="Arial"/>
          <w:color w:val="000000" w:themeColor="text1"/>
          <w:szCs w:val="22"/>
        </w:rPr>
        <w:t xml:space="preserve"> and Wildlife Service (QPWS).</w:t>
      </w:r>
    </w:p>
    <w:p w14:paraId="4DFDF1CB" w14:textId="041467C3" w:rsidR="00956B48" w:rsidRPr="00A92652" w:rsidRDefault="00956B48" w:rsidP="00956B48">
      <w:pPr>
        <w:rPr>
          <w:rFonts w:cs="Arial"/>
          <w:szCs w:val="22"/>
        </w:rPr>
      </w:pPr>
      <w:r w:rsidRPr="00A92652">
        <w:rPr>
          <w:rFonts w:cs="Arial"/>
          <w:color w:val="000000" w:themeColor="text1"/>
          <w:szCs w:val="22"/>
        </w:rPr>
        <w:t>Further information on the program objectives, and details on each sub-program are available on-</w:t>
      </w:r>
      <w:r w:rsidRPr="00A92652">
        <w:rPr>
          <w:rFonts w:cs="Arial"/>
          <w:szCs w:val="22"/>
        </w:rPr>
        <w:t>line</w:t>
      </w:r>
      <w:r w:rsidR="002F11C3" w:rsidRPr="00A92652">
        <w:rPr>
          <w:rFonts w:cs="Arial"/>
          <w:szCs w:val="22"/>
        </w:rPr>
        <w:t xml:space="preserve"> (</w:t>
      </w:r>
      <w:hyperlink w:anchor="_ENREF_61" w:tooltip="GBRMPA, 2019 #11983" w:history="1">
        <w:r w:rsidR="009A7AB4" w:rsidRPr="00A92652">
          <w:rPr>
            <w:rFonts w:cs="Arial"/>
            <w:szCs w:val="22"/>
          </w:rPr>
          <w:fldChar w:fldCharType="begin"/>
        </w:r>
        <w:r w:rsidR="009A7AB4" w:rsidRPr="00A92652">
          <w:rPr>
            <w:rFonts w:cs="Arial"/>
            <w:szCs w:val="22"/>
          </w:rPr>
          <w:instrText xml:space="preserve"> ADDIN EN.CITE &lt;EndNote&gt;&lt;Cite&gt;&lt;Author&gt;GBRMPA&lt;/Author&gt;&lt;Year&gt;2019&lt;/Year&gt;&lt;RecNum&gt;11983&lt;/RecNum&gt;&lt;DisplayText&gt;GBRMPA 2019&lt;/DisplayText&gt;&lt;record&gt;&lt;rec-number&gt;11983&lt;/rec-number&gt;&lt;foreign-keys&gt;&lt;key app="EN" db-id="0eve55x9y5vfd6e9dacxtew4eatve2dzds9a" timestamp="1554168260"&gt;11983&lt;/key&gt;&lt;/foreign-keys&gt;&lt;ref-type name="Web Page"&gt;12&lt;/ref-type&gt;&lt;contributors&gt;&lt;authors&gt;&lt;author&gt;GBRMPA,&lt;/author&gt;&lt;/authors&gt;&lt;/contributors&gt;&lt;titles&gt;&lt;title&gt;Marine Monitoring Program&lt;/title&gt;&lt;/titles&gt;&lt;volume&gt;2019&lt;/volume&gt;&lt;number&gt;29 March&lt;/number&gt;&lt;dates&gt;&lt;year&gt;2019&lt;/year&gt;&lt;/dates&gt;&lt;pub-location&gt;Townsville&lt;/pub-location&gt;&lt;publisher&gt;Great Barrier Reef Marine Park Authority&lt;/publisher&gt;&lt;urls&gt;&lt;related-urls&gt;&lt;url&gt;http://www.gbrmpa.gov.au/our-work/our-programs-and-projects/reef-2050-marine-monitoring-program&lt;/url&gt;&lt;/related-urls&gt;&lt;/urls&gt;&lt;/record&gt;&lt;/Cite&gt;&lt;/EndNote&gt;</w:instrText>
        </w:r>
        <w:r w:rsidR="009A7AB4" w:rsidRPr="00A92652">
          <w:rPr>
            <w:rFonts w:cs="Arial"/>
            <w:szCs w:val="22"/>
          </w:rPr>
          <w:fldChar w:fldCharType="separate"/>
        </w:r>
        <w:r w:rsidR="009A7AB4" w:rsidRPr="00A92652">
          <w:rPr>
            <w:rFonts w:cs="Arial"/>
            <w:noProof/>
            <w:szCs w:val="22"/>
          </w:rPr>
          <w:t>GBRMPA 2019</w:t>
        </w:r>
        <w:r w:rsidR="009A7AB4" w:rsidRPr="00A92652">
          <w:rPr>
            <w:rFonts w:cs="Arial"/>
            <w:szCs w:val="22"/>
          </w:rPr>
          <w:fldChar w:fldCharType="end"/>
        </w:r>
      </w:hyperlink>
      <w:r w:rsidR="002F11C3" w:rsidRPr="00A92652">
        <w:rPr>
          <w:rFonts w:cs="Arial"/>
          <w:szCs w:val="22"/>
        </w:rPr>
        <w:t>;</w:t>
      </w:r>
      <w:r w:rsidRPr="00A92652">
        <w:rPr>
          <w:rFonts w:cs="Arial"/>
          <w:szCs w:val="22"/>
        </w:rPr>
        <w:t xml:space="preserve"> </w:t>
      </w:r>
      <w:hyperlink r:id="rId32" w:history="1">
        <w:r w:rsidRPr="00A92652">
          <w:rPr>
            <w:rFonts w:cs="Arial"/>
            <w:color w:val="000000" w:themeColor="text1"/>
            <w:szCs w:val="22"/>
          </w:rPr>
          <w:t>http://bit.ly/2mbB8bE</w:t>
        </w:r>
      </w:hyperlink>
      <w:r w:rsidR="002F11C3" w:rsidRPr="00A92652">
        <w:rPr>
          <w:rFonts w:cs="Arial"/>
          <w:color w:val="000000" w:themeColor="text1"/>
          <w:szCs w:val="22"/>
        </w:rPr>
        <w:t>)</w:t>
      </w:r>
      <w:r w:rsidRPr="00A92652">
        <w:rPr>
          <w:rFonts w:cs="Arial"/>
          <w:szCs w:val="22"/>
        </w:rPr>
        <w:t xml:space="preserve">. </w:t>
      </w:r>
    </w:p>
    <w:p w14:paraId="6A4EE2EC" w14:textId="77777777" w:rsidR="00956B48" w:rsidRPr="00742F73" w:rsidRDefault="00956B48" w:rsidP="000150D8">
      <w:pPr>
        <w:pStyle w:val="Heading2"/>
      </w:pPr>
      <w:bookmarkStart w:id="31" w:name="_Toc37775030"/>
      <w:bookmarkStart w:id="32" w:name="_Toc43987004"/>
      <w:r w:rsidRPr="00742F73">
        <w:t>Conceptual basis for indicator selection</w:t>
      </w:r>
      <w:bookmarkEnd w:id="31"/>
      <w:bookmarkEnd w:id="32"/>
    </w:p>
    <w:p w14:paraId="6F645BFC" w14:textId="7359C441" w:rsidR="00956B48" w:rsidRPr="00A92652" w:rsidRDefault="00956B48" w:rsidP="00956B48">
      <w:pPr>
        <w:rPr>
          <w:rFonts w:cs="Arial"/>
          <w:color w:val="000000" w:themeColor="text1"/>
          <w:szCs w:val="22"/>
        </w:rPr>
      </w:pPr>
      <w:r w:rsidRPr="00A92652">
        <w:rPr>
          <w:rFonts w:cs="Arial"/>
          <w:color w:val="000000" w:themeColor="text1"/>
          <w:szCs w:val="22"/>
        </w:rPr>
        <w:t xml:space="preserve">As seagrasses are well recognised as indicators of integrated environmental pressures, monitoring their condition and trend can provide insight into the condition of the surrounding environment (e.g. </w:t>
      </w:r>
      <w:hyperlink w:anchor="_ENREF_46" w:tooltip="Dennison, 1997 #1687" w:history="1">
        <w:r w:rsidR="009A7AB4" w:rsidRPr="00A92652">
          <w:rPr>
            <w:rFonts w:cs="Arial"/>
            <w:color w:val="000000" w:themeColor="text1"/>
            <w:szCs w:val="22"/>
          </w:rPr>
          <w:fldChar w:fldCharType="begin"/>
        </w:r>
        <w:r w:rsidR="009A7AB4" w:rsidRPr="00A92652">
          <w:rPr>
            <w:rFonts w:cs="Arial"/>
            <w:color w:val="000000" w:themeColor="text1"/>
            <w:szCs w:val="22"/>
          </w:rPr>
          <w:instrText xml:space="preserve"> ADDIN EN.CITE &lt;EndNote&gt;&lt;Cite&gt;&lt;Author&gt;Dennison&lt;/Author&gt;&lt;Year&gt;1997&lt;/Year&gt;&lt;RecNum&gt;1687&lt;/RecNum&gt;&lt;DisplayText&gt;Dennison&lt;style face="italic"&gt; et al.&lt;/style&gt; 1997&lt;/DisplayText&gt;&lt;record&gt;&lt;rec-number&gt;1687&lt;/rec-number&gt;&lt;foreign-keys&gt;&lt;key app="EN" db-id="0eve55x9y5vfd6e9dacxtew4eatve2dzds9a" timestamp="0"&gt;1687&lt;/key&gt;&lt;/foreign-keys&gt;&lt;ref-type name="Book Section"&gt;5&lt;/ref-type&gt;&lt;contributors&gt;&lt;authors&gt;&lt;author&gt;Dennison, W. C.&lt;/author&gt;&lt;author&gt;Longstaff, B. J.&lt;/author&gt;&lt;author&gt;O&amp;apos;Donohue, M. J.&lt;/author&gt;&lt;/authors&gt;&lt;secondary-authors&gt;&lt;author&gt;Hillman, S.&lt;/author&gt;&lt;author&gt;Raaymakers, S.&lt;/author&gt;&lt;/secondary-authors&gt;&lt;/contributors&gt;&lt;titles&gt;&lt;title&gt;Seagrasses as Bio-indicators&lt;/title&gt;&lt;secondary-title&gt;Karumba dredging 1996 - Environmental Monitoring Report. EcoPorts Monograph Series No.6&lt;/secondary-title&gt;&lt;/titles&gt;&lt;pages&gt;255&lt;/pages&gt;&lt;keywords&gt;&lt;keyword&gt;CHLOROPHYLL-A&lt;/keyword&gt;&lt;keyword&gt;COASTAL DEVELOPMENT&lt;/keyword&gt;&lt;keyword&gt;DREDGING&lt;/keyword&gt;&lt;keyword&gt;LIGHT&lt;/keyword&gt;&lt;keyword&gt;PHOTOSYNTHESIS&lt;/keyword&gt;&lt;keyword&gt;SEAGRASS&lt;/keyword&gt;&lt;/keywords&gt;&lt;dates&gt;&lt;year&gt;1997&lt;/year&gt;&lt;/dates&gt;&lt;pub-location&gt;Brisbane&lt;/pub-location&gt;&lt;publisher&gt;Ports Corporation of Queensland&lt;/publisher&gt;&lt;label&gt;1775&lt;/label&gt;&lt;urls&gt;&lt;/urls&gt;&lt;custom1&gt;Annex&lt;/custom1&gt;&lt;/record&gt;&lt;/Cite&gt;&lt;/EndNote&gt;</w:instrText>
        </w:r>
        <w:r w:rsidR="009A7AB4" w:rsidRPr="00A92652">
          <w:rPr>
            <w:rFonts w:cs="Arial"/>
            <w:color w:val="000000" w:themeColor="text1"/>
            <w:szCs w:val="22"/>
          </w:rPr>
          <w:fldChar w:fldCharType="separate"/>
        </w:r>
        <w:r w:rsidR="009A7AB4" w:rsidRPr="00A92652">
          <w:rPr>
            <w:rFonts w:cs="Arial"/>
            <w:noProof/>
            <w:color w:val="000000" w:themeColor="text1"/>
            <w:szCs w:val="22"/>
          </w:rPr>
          <w:t>Dennison</w:t>
        </w:r>
        <w:r w:rsidR="009A7AB4" w:rsidRPr="00A92652">
          <w:rPr>
            <w:rFonts w:cs="Arial"/>
            <w:i/>
            <w:noProof/>
            <w:color w:val="000000" w:themeColor="text1"/>
            <w:szCs w:val="22"/>
          </w:rPr>
          <w:t xml:space="preserve"> et al.</w:t>
        </w:r>
        <w:r w:rsidR="009A7AB4" w:rsidRPr="00A92652">
          <w:rPr>
            <w:rFonts w:cs="Arial"/>
            <w:noProof/>
            <w:color w:val="000000" w:themeColor="text1"/>
            <w:szCs w:val="22"/>
          </w:rPr>
          <w:t xml:space="preserve"> 1997</w:t>
        </w:r>
        <w:r w:rsidR="009A7AB4" w:rsidRPr="00A92652">
          <w:rPr>
            <w:rFonts w:cs="Arial"/>
            <w:color w:val="000000" w:themeColor="text1"/>
            <w:szCs w:val="22"/>
          </w:rPr>
          <w:fldChar w:fldCharType="end"/>
        </w:r>
      </w:hyperlink>
      <w:r w:rsidRPr="00A92652">
        <w:rPr>
          <w:rFonts w:cs="Arial"/>
          <w:color w:val="000000" w:themeColor="text1"/>
          <w:szCs w:val="22"/>
        </w:rPr>
        <w:t xml:space="preserve">). There are a number of measures of seagrass condition and resilience that can be used to assess how they respond to environmental pressures, and these measures are referred to here as indicators.  </w:t>
      </w:r>
      <w:r w:rsidR="00836229">
        <w:rPr>
          <w:rFonts w:cs="Arial"/>
          <w:color w:val="000000" w:themeColor="text1"/>
          <w:szCs w:val="22"/>
        </w:rPr>
        <w:t xml:space="preserve">A </w:t>
      </w:r>
      <w:r w:rsidRPr="00A92652">
        <w:rPr>
          <w:rFonts w:cs="Arial"/>
          <w:color w:val="000000" w:themeColor="text1"/>
          <w:szCs w:val="22"/>
        </w:rPr>
        <w:t>matrix of indicators that respond on different temporal scales (</w:t>
      </w:r>
      <w:r w:rsidRPr="00A92652">
        <w:rPr>
          <w:rFonts w:cs="Arial"/>
          <w:color w:val="000000" w:themeColor="text1"/>
          <w:szCs w:val="22"/>
        </w:rPr>
        <w:fldChar w:fldCharType="begin"/>
      </w:r>
      <w:r w:rsidRPr="00A92652">
        <w:rPr>
          <w:rFonts w:cs="Arial"/>
          <w:color w:val="000000" w:themeColor="text1"/>
          <w:szCs w:val="22"/>
        </w:rPr>
        <w:instrText xml:space="preserve"> REF _Ref442084289 \h  \* MERGEFORMAT </w:instrText>
      </w:r>
      <w:r w:rsidRPr="00A92652">
        <w:rPr>
          <w:rFonts w:cs="Arial"/>
          <w:color w:val="000000" w:themeColor="text1"/>
          <w:szCs w:val="22"/>
        </w:rPr>
      </w:r>
      <w:r w:rsidRPr="00A92652">
        <w:rPr>
          <w:rFonts w:cs="Arial"/>
          <w:color w:val="000000" w:themeColor="text1"/>
          <w:szCs w:val="22"/>
        </w:rPr>
        <w:fldChar w:fldCharType="separate"/>
      </w:r>
      <w:r w:rsidR="0067675D" w:rsidRPr="004B3F43">
        <w:rPr>
          <w:rFonts w:cs="Arial"/>
          <w:szCs w:val="22"/>
        </w:rPr>
        <w:t xml:space="preserve">Figure </w:t>
      </w:r>
      <w:r w:rsidR="0067675D">
        <w:rPr>
          <w:rFonts w:cs="Arial"/>
          <w:noProof/>
          <w:szCs w:val="22"/>
        </w:rPr>
        <w:t>3</w:t>
      </w:r>
      <w:r w:rsidRPr="00A92652">
        <w:rPr>
          <w:rFonts w:cs="Arial"/>
          <w:color w:val="000000" w:themeColor="text1"/>
          <w:szCs w:val="22"/>
        </w:rPr>
        <w:fldChar w:fldCharType="end"/>
      </w:r>
      <w:r w:rsidRPr="00A92652">
        <w:rPr>
          <w:rFonts w:cs="Arial"/>
          <w:color w:val="000000" w:themeColor="text1"/>
          <w:szCs w:val="22"/>
        </w:rPr>
        <w:t>)</w:t>
      </w:r>
      <w:r w:rsidR="00836229">
        <w:rPr>
          <w:rFonts w:cs="Arial"/>
          <w:color w:val="000000" w:themeColor="text1"/>
          <w:szCs w:val="22"/>
        </w:rPr>
        <w:t xml:space="preserve"> are used including:</w:t>
      </w:r>
      <w:r w:rsidRPr="00A92652">
        <w:rPr>
          <w:rFonts w:cs="Arial"/>
          <w:color w:val="000000" w:themeColor="text1"/>
          <w:szCs w:val="22"/>
        </w:rPr>
        <w:t xml:space="preserve"> </w:t>
      </w:r>
    </w:p>
    <w:p w14:paraId="7829D418" w14:textId="4FCCA359" w:rsidR="00956B48" w:rsidRPr="00A92652" w:rsidRDefault="00F63373" w:rsidP="003F4D32">
      <w:pPr>
        <w:numPr>
          <w:ilvl w:val="0"/>
          <w:numId w:val="12"/>
        </w:numPr>
        <w:rPr>
          <w:rFonts w:cs="Arial"/>
          <w:szCs w:val="22"/>
        </w:rPr>
      </w:pPr>
      <w:r>
        <w:rPr>
          <w:rFonts w:cs="Arial"/>
          <w:szCs w:val="22"/>
        </w:rPr>
        <w:t xml:space="preserve">plant-scale </w:t>
      </w:r>
      <w:r w:rsidR="007C25B9">
        <w:rPr>
          <w:rFonts w:cs="Arial"/>
          <w:szCs w:val="22"/>
        </w:rPr>
        <w:t>changes</w:t>
      </w:r>
    </w:p>
    <w:p w14:paraId="77BA9F2A" w14:textId="1718D7B2" w:rsidR="00956B48" w:rsidRPr="00A92652" w:rsidRDefault="00956B48" w:rsidP="003F4D32">
      <w:pPr>
        <w:numPr>
          <w:ilvl w:val="0"/>
          <w:numId w:val="12"/>
        </w:numPr>
        <w:rPr>
          <w:rFonts w:cs="Arial"/>
          <w:szCs w:val="22"/>
        </w:rPr>
      </w:pPr>
      <w:r w:rsidRPr="00A92652">
        <w:rPr>
          <w:rFonts w:cs="Arial"/>
          <w:szCs w:val="22"/>
        </w:rPr>
        <w:t>meadow-scale chan</w:t>
      </w:r>
      <w:r w:rsidR="007C25B9">
        <w:rPr>
          <w:rFonts w:cs="Arial"/>
          <w:szCs w:val="22"/>
        </w:rPr>
        <w:t>ges</w:t>
      </w:r>
    </w:p>
    <w:p w14:paraId="4D79179A" w14:textId="79F478E3" w:rsidR="00956B48" w:rsidRPr="00A92652" w:rsidRDefault="007C25B9" w:rsidP="003F4D32">
      <w:pPr>
        <w:numPr>
          <w:ilvl w:val="0"/>
          <w:numId w:val="12"/>
        </w:numPr>
        <w:rPr>
          <w:rFonts w:cs="Arial"/>
          <w:szCs w:val="22"/>
        </w:rPr>
      </w:pPr>
      <w:r>
        <w:rPr>
          <w:rFonts w:cs="Arial"/>
          <w:szCs w:val="22"/>
        </w:rPr>
        <w:t>state change.</w:t>
      </w:r>
    </w:p>
    <w:p w14:paraId="398B46D6" w14:textId="53136F23" w:rsidR="00956B48" w:rsidRPr="004B3F43" w:rsidRDefault="00956B48" w:rsidP="00956B48">
      <w:pPr>
        <w:rPr>
          <w:rFonts w:cs="Arial"/>
          <w:color w:val="000000" w:themeColor="text1"/>
          <w:szCs w:val="22"/>
        </w:rPr>
      </w:pPr>
      <w:r w:rsidRPr="004B3F43">
        <w:rPr>
          <w:rFonts w:cs="Arial"/>
          <w:color w:val="000000" w:themeColor="text1"/>
          <w:szCs w:val="22"/>
        </w:rPr>
        <w:t xml:space="preserve">These indicators also respond at different temporal scales, with sub-lethal indicators </w:t>
      </w:r>
      <w:r w:rsidR="00836229">
        <w:rPr>
          <w:rFonts w:cs="Arial"/>
          <w:color w:val="000000" w:themeColor="text1"/>
          <w:szCs w:val="22"/>
        </w:rPr>
        <w:t>responding in</w:t>
      </w:r>
      <w:r w:rsidRPr="004B3F43">
        <w:rPr>
          <w:rFonts w:cs="Arial"/>
          <w:color w:val="000000" w:themeColor="text1"/>
          <w:szCs w:val="22"/>
        </w:rPr>
        <w:t xml:space="preserve"> seconds to months, while the meadow-scale </w:t>
      </w:r>
      <w:r w:rsidR="00836229">
        <w:rPr>
          <w:rFonts w:cs="Arial"/>
          <w:color w:val="000000" w:themeColor="text1"/>
          <w:szCs w:val="22"/>
        </w:rPr>
        <w:t>changes</w:t>
      </w:r>
      <w:r w:rsidR="00836229" w:rsidRPr="004B3F43">
        <w:rPr>
          <w:rFonts w:cs="Arial"/>
          <w:color w:val="000000" w:themeColor="text1"/>
          <w:szCs w:val="22"/>
        </w:rPr>
        <w:t xml:space="preserve"> </w:t>
      </w:r>
      <w:r w:rsidRPr="004B3F43">
        <w:rPr>
          <w:rFonts w:cs="Arial"/>
          <w:color w:val="000000" w:themeColor="text1"/>
          <w:szCs w:val="22"/>
        </w:rPr>
        <w:t>usually take many months to be detectable. A robust monitoring program benefits from having a suite of indicators that can indicate sub-lethal stress that forewarns of imminent loss, as well as indicators of meadow-scale changes, which are necessary for interpreting broad ecological changes. Indicators included in the MMP span this range of scales, in particular for indicators that respond from weeks (tissue nutrients, isotopes), through to months (abundance and reproduction), and even years (</w:t>
      </w:r>
      <w:r w:rsidR="00AC36F7" w:rsidRPr="004B3F43">
        <w:rPr>
          <w:rFonts w:cs="Arial"/>
          <w:color w:val="000000" w:themeColor="text1"/>
          <w:szCs w:val="22"/>
        </w:rPr>
        <w:t>composition</w:t>
      </w:r>
      <w:r w:rsidRPr="004B3F43">
        <w:rPr>
          <w:rFonts w:cs="Arial"/>
          <w:color w:val="000000" w:themeColor="text1"/>
          <w:szCs w:val="22"/>
        </w:rPr>
        <w:t xml:space="preserve"> and meadow extent). Furthermore, indicators are conceptually linked to each other and to environmental drivers of concern, in particular, water quality (p 34, in </w:t>
      </w:r>
      <w:hyperlink w:anchor="_ENREF_83" w:tooltip="Kuhnert, 2014 #10482"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&lt;EndNote&gt;&lt;Cite&gt;&lt;Author&gt;Kuhnert&lt;/Author&gt;&lt;Year&gt;2014&lt;/Year&gt;&lt;RecNum&gt;10482&lt;/RecNum&gt;&lt;DisplayText&gt;Kuhnert&lt;style face="italic"&gt; et al.&lt;/style&gt; 2014&lt;/DisplayText&gt;&lt;record&gt;&lt;rec-number&gt;10482&lt;/rec-number&gt;&lt;foreign-keys&gt;&lt;key app="EN" db-id="0eve55x9y5vfd6e9dacxtew4eatve2dzds9a" timestamp="1454281855"&gt;10482&lt;/key&gt;&lt;/foreign-keys&gt;&lt;ref-type name="Book"&gt;6&lt;/ref-type&gt;&lt;contributors&gt;&lt;authors&gt;&lt;author&gt;Kuhnert, Petra M&lt;/author&gt;&lt;author&gt;Liu, Yang&lt;/author&gt;&lt;author&gt;Henderson, Brent L.&lt;/author&gt;&lt;author&gt;Dambacher, Jeffrey&lt;/author&gt;&lt;author&gt;Lawrence, Emma&lt;/author&gt;&lt;author&gt;Kroon, Frederieke J.&lt;/author&gt;&lt;/authors&gt;&lt;/contributors&gt;&lt;titles&gt;&lt;title&gt;Review of the Marine Monitoring Program (MMP), Final Report for the Great Barrier Reef Marine Park Authority (GBRMPA)&lt;/title&gt;&lt;/titles&gt;&lt;pages&gt;276&lt;/pages&gt;&lt;dates&gt;&lt;year&gt;2014&lt;/year&gt;&lt;/dates&gt;&lt;pub-location&gt;Adelaide&lt;/pub-location&gt;&lt;publisher&gt;CSIRO&lt;/publisher&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Kuhnert</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2014</w:t>
        </w:r>
        <w:r w:rsidR="009A7AB4" w:rsidRPr="004B3F43">
          <w:rPr>
            <w:rFonts w:cs="Arial"/>
            <w:color w:val="000000" w:themeColor="text1"/>
            <w:szCs w:val="22"/>
          </w:rPr>
          <w:fldChar w:fldCharType="end"/>
        </w:r>
      </w:hyperlink>
      <w:r w:rsidRPr="004B3F43">
        <w:rPr>
          <w:rFonts w:cs="Arial"/>
          <w:color w:val="000000" w:themeColor="text1"/>
          <w:szCs w:val="22"/>
        </w:rPr>
        <w:t>).</w:t>
      </w:r>
    </w:p>
    <w:p w14:paraId="43C96779" w14:textId="77777777" w:rsidR="009901F0" w:rsidRPr="004B3F43" w:rsidRDefault="009901F0" w:rsidP="009901F0">
      <w:pPr>
        <w:rPr>
          <w:rFonts w:cs="Arial"/>
          <w:i/>
          <w:color w:val="000000" w:themeColor="text1"/>
          <w:szCs w:val="22"/>
        </w:rPr>
      </w:pPr>
      <w:r w:rsidRPr="004B3F43">
        <w:rPr>
          <w:rFonts w:cs="Arial"/>
          <w:i/>
          <w:color w:val="000000" w:themeColor="text1"/>
          <w:szCs w:val="22"/>
        </w:rPr>
        <w:lastRenderedPageBreak/>
        <w:t>Measures of Environmental stressors</w:t>
      </w:r>
    </w:p>
    <w:p w14:paraId="20936D3E" w14:textId="760FED6E" w:rsidR="009901F0" w:rsidRPr="004B3F43" w:rsidRDefault="009901F0" w:rsidP="009901F0">
      <w:pPr>
        <w:rPr>
          <w:rFonts w:cs="Arial"/>
          <w:color w:val="000000" w:themeColor="text1"/>
          <w:szCs w:val="22"/>
        </w:rPr>
      </w:pPr>
      <w:r w:rsidRPr="004B3F43">
        <w:rPr>
          <w:rFonts w:cs="Arial"/>
          <w:color w:val="000000" w:themeColor="text1"/>
          <w:szCs w:val="22"/>
        </w:rPr>
        <w:t xml:space="preserve">Climate and environment stressors are aspects of the environment, either </w:t>
      </w:r>
      <w:r w:rsidR="003A03FE" w:rsidRPr="004B3F43">
        <w:rPr>
          <w:rFonts w:cs="Arial"/>
          <w:color w:val="000000" w:themeColor="text1"/>
          <w:szCs w:val="22"/>
        </w:rPr>
        <w:t>physio</w:t>
      </w:r>
      <w:r w:rsidRPr="004B3F43">
        <w:rPr>
          <w:rFonts w:cs="Arial"/>
          <w:color w:val="000000" w:themeColor="text1"/>
          <w:szCs w:val="22"/>
        </w:rPr>
        <w:t>-chemical or biological that affect seagrass meadow condition. Some environmental stressors change rapidly (minutes/days/weeks/months) but can also undergo chronic shifts (years) (</w:t>
      </w:r>
      <w:r w:rsidRPr="004B3F43">
        <w:rPr>
          <w:rFonts w:cs="Arial"/>
          <w:color w:val="000000" w:themeColor="text1"/>
          <w:szCs w:val="22"/>
        </w:rPr>
        <w:fldChar w:fldCharType="begin"/>
      </w:r>
      <w:r w:rsidRPr="004B3F43">
        <w:rPr>
          <w:rFonts w:cs="Arial"/>
          <w:color w:val="000000" w:themeColor="text1"/>
          <w:szCs w:val="22"/>
        </w:rPr>
        <w:instrText xml:space="preserve"> REF _Ref442084289 \h </w:instrText>
      </w:r>
      <w:r w:rsidR="00CB093C" w:rsidRPr="004B3F43">
        <w:rPr>
          <w:rFonts w:cs="Arial"/>
          <w:color w:val="000000" w:themeColor="text1"/>
          <w:szCs w:val="22"/>
        </w:rPr>
        <w:instrText xml:space="preserve"> \* MERGEFORMAT </w:instrText>
      </w:r>
      <w:r w:rsidRPr="004B3F43">
        <w:rPr>
          <w:rFonts w:cs="Arial"/>
          <w:color w:val="000000" w:themeColor="text1"/>
          <w:szCs w:val="22"/>
        </w:rPr>
      </w:r>
      <w:r w:rsidRPr="004B3F43">
        <w:rPr>
          <w:rFonts w:cs="Arial"/>
          <w:color w:val="000000" w:themeColor="text1"/>
          <w:szCs w:val="22"/>
        </w:rPr>
        <w:fldChar w:fldCharType="separate"/>
      </w:r>
      <w:r w:rsidR="0067675D" w:rsidRPr="004B3F43">
        <w:rPr>
          <w:rFonts w:cs="Arial"/>
          <w:szCs w:val="22"/>
        </w:rPr>
        <w:t xml:space="preserve">Figure </w:t>
      </w:r>
      <w:r w:rsidR="0067675D">
        <w:rPr>
          <w:rFonts w:cs="Arial"/>
          <w:noProof/>
          <w:szCs w:val="22"/>
        </w:rPr>
        <w:t>3</w:t>
      </w:r>
      <w:r w:rsidRPr="004B3F43">
        <w:rPr>
          <w:rFonts w:cs="Arial"/>
          <w:color w:val="000000" w:themeColor="text1"/>
          <w:szCs w:val="22"/>
        </w:rPr>
        <w:fldChar w:fldCharType="end"/>
      </w:r>
      <w:r w:rsidRPr="004B3F43">
        <w:rPr>
          <w:rFonts w:cs="Arial"/>
          <w:color w:val="000000" w:themeColor="text1"/>
          <w:szCs w:val="22"/>
        </w:rPr>
        <w:t>). Stressors include:</w:t>
      </w:r>
    </w:p>
    <w:p w14:paraId="52D2A6A9" w14:textId="77777777"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climate (e.g. cyclones, seasonal temperature)</w:t>
      </w:r>
    </w:p>
    <w:p w14:paraId="765071A4" w14:textId="77777777"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local and short-term weather (e.g. wind and tides)</w:t>
      </w:r>
    </w:p>
    <w:p w14:paraId="07248F07" w14:textId="77777777"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water quality (e.g. river discharge, plume exposure, nutrient concentrations, suspended sediments, herbicides)</w:t>
      </w:r>
    </w:p>
    <w:p w14:paraId="208FA921" w14:textId="2B9B7FF0"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biological (e.g. epiphytes</w:t>
      </w:r>
      <w:r w:rsidR="00836229">
        <w:rPr>
          <w:rFonts w:cs="Arial"/>
          <w:color w:val="000000" w:themeColor="text1"/>
          <w:szCs w:val="22"/>
        </w:rPr>
        <w:t xml:space="preserve"> which can grow on seagrass</w:t>
      </w:r>
      <w:r w:rsidRPr="004B3F43">
        <w:rPr>
          <w:rFonts w:cs="Arial"/>
          <w:color w:val="000000" w:themeColor="text1"/>
          <w:szCs w:val="22"/>
        </w:rPr>
        <w:t xml:space="preserve"> and macroalgae</w:t>
      </w:r>
      <w:r w:rsidR="00E203D9">
        <w:rPr>
          <w:rFonts w:cs="Arial"/>
          <w:color w:val="000000" w:themeColor="text1"/>
          <w:szCs w:val="22"/>
        </w:rPr>
        <w:t>)</w:t>
      </w:r>
    </w:p>
    <w:p w14:paraId="4258298F" w14:textId="77777777"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substrate (e.g. grain size composition)</w:t>
      </w:r>
    </w:p>
    <w:p w14:paraId="4B3F333B" w14:textId="77777777" w:rsidR="009901F0" w:rsidRPr="004B3F43" w:rsidRDefault="009901F0" w:rsidP="00AD06D4">
      <w:pPr>
        <w:numPr>
          <w:ilvl w:val="0"/>
          <w:numId w:val="5"/>
        </w:numPr>
        <w:ind w:left="714" w:hanging="357"/>
        <w:rPr>
          <w:rFonts w:cs="Arial"/>
          <w:color w:val="000000" w:themeColor="text1"/>
          <w:szCs w:val="22"/>
        </w:rPr>
      </w:pPr>
      <w:r w:rsidRPr="004B3F43">
        <w:rPr>
          <w:rFonts w:cs="Arial"/>
          <w:color w:val="000000" w:themeColor="text1"/>
          <w:szCs w:val="22"/>
        </w:rPr>
        <w:t>seagrass environmental integrators (e.g. tissue nutrients).</w:t>
      </w:r>
    </w:p>
    <w:p w14:paraId="22ADC84F" w14:textId="335210C8" w:rsidR="009901F0" w:rsidRPr="004B3F43" w:rsidRDefault="009901F0" w:rsidP="00D2585E">
      <w:pPr>
        <w:rPr>
          <w:rFonts w:cs="Arial"/>
          <w:color w:val="000000" w:themeColor="text1"/>
          <w:szCs w:val="22"/>
        </w:rPr>
      </w:pPr>
      <w:r w:rsidRPr="004B3F43">
        <w:rPr>
          <w:rFonts w:cs="Arial"/>
          <w:color w:val="000000" w:themeColor="text1"/>
          <w:szCs w:val="22"/>
        </w:rPr>
        <w:t xml:space="preserve">Indicators which respond more quickly (e.g. light) provide important early-warning of potentially more advanced ecological changes (as described below). However, a measured change in a fast-responding environmental indicator is not enough in isolation to predict whether there will be further ecological impacts, because the change could be short-term. These indicators provide critical supporting information to support interpretation of slower responding seagrass condition and resilience indicators. </w:t>
      </w:r>
      <w:r w:rsidR="00BA288D" w:rsidRPr="004B3F43">
        <w:rPr>
          <w:rFonts w:cs="Arial"/>
          <w:color w:val="000000" w:themeColor="text1"/>
          <w:szCs w:val="22"/>
        </w:rPr>
        <w:t xml:space="preserve">Epiphytes and macroalgae are an environmental indicator because they can compete with and/or block light reaching seagrass leaves, therefore compounding environmental stress. </w:t>
      </w:r>
    </w:p>
    <w:p w14:paraId="6E5AA484" w14:textId="4CC63063" w:rsidR="004215C4" w:rsidRPr="004B3F43" w:rsidRDefault="004215C4" w:rsidP="00D2585E">
      <w:pPr>
        <w:rPr>
          <w:rFonts w:cs="Arial"/>
          <w:color w:val="000000" w:themeColor="text1"/>
          <w:szCs w:val="22"/>
        </w:rPr>
      </w:pPr>
      <w:r w:rsidRPr="004B3F43">
        <w:rPr>
          <w:rFonts w:cs="Arial"/>
          <w:color w:val="000000" w:themeColor="text1"/>
          <w:szCs w:val="22"/>
        </w:rPr>
        <w:t xml:space="preserve">These environmental indicators are interpreted according to the following general </w:t>
      </w:r>
      <w:r w:rsidR="003A03FE" w:rsidRPr="004B3F43">
        <w:rPr>
          <w:rFonts w:cs="Arial"/>
          <w:color w:val="000000" w:themeColor="text1"/>
          <w:szCs w:val="22"/>
        </w:rPr>
        <w:t>principles</w:t>
      </w:r>
      <w:r w:rsidRPr="004B3F43">
        <w:rPr>
          <w:rFonts w:cs="Arial"/>
          <w:color w:val="000000" w:themeColor="text1"/>
          <w:szCs w:val="22"/>
        </w:rPr>
        <w:t>:</w:t>
      </w:r>
    </w:p>
    <w:p w14:paraId="0F1EAB2F" w14:textId="010657A1" w:rsidR="004215C4" w:rsidRPr="004B3F43" w:rsidRDefault="004215C4" w:rsidP="003F4D32">
      <w:pPr>
        <w:numPr>
          <w:ilvl w:val="0"/>
          <w:numId w:val="25"/>
        </w:numPr>
        <w:rPr>
          <w:rFonts w:cs="Arial"/>
          <w:color w:val="000000" w:themeColor="text1"/>
          <w:szCs w:val="22"/>
        </w:rPr>
      </w:pPr>
      <w:r w:rsidRPr="004B3F43">
        <w:rPr>
          <w:rFonts w:cs="Arial"/>
          <w:color w:val="000000" w:themeColor="text1"/>
          <w:szCs w:val="22"/>
        </w:rPr>
        <w:t>Cyclones cause</w:t>
      </w:r>
      <w:r w:rsidR="00EC647A" w:rsidRPr="004B3F43">
        <w:rPr>
          <w:rFonts w:cs="Arial"/>
          <w:color w:val="000000" w:themeColor="text1"/>
          <w:szCs w:val="22"/>
        </w:rPr>
        <w:t xml:space="preserve"> </w:t>
      </w:r>
      <w:r w:rsidR="004A3632" w:rsidRPr="004B3F43">
        <w:rPr>
          <w:rFonts w:cs="Arial"/>
          <w:color w:val="000000" w:themeColor="text1"/>
          <w:szCs w:val="22"/>
        </w:rPr>
        <w:t xml:space="preserve">physical disturbance from elevated swell and waves resulting in </w:t>
      </w:r>
      <w:r w:rsidR="00E203D9">
        <w:rPr>
          <w:rFonts w:cs="Arial"/>
          <w:color w:val="000000" w:themeColor="text1"/>
          <w:szCs w:val="22"/>
        </w:rPr>
        <w:t xml:space="preserve">abrasion, </w:t>
      </w:r>
      <w:r w:rsidR="004A3632" w:rsidRPr="004B3F43">
        <w:rPr>
          <w:rFonts w:cs="Arial"/>
          <w:color w:val="000000" w:themeColor="text1"/>
          <w:szCs w:val="22"/>
        </w:rPr>
        <w:t>meadow fragmentation and loss of seagrass plants</w:t>
      </w:r>
      <w:r w:rsidR="008D3D8C" w:rsidRPr="004B3F43">
        <w:rPr>
          <w:rFonts w:cs="Arial"/>
          <w:color w:val="000000" w:themeColor="text1"/>
          <w:szCs w:val="22"/>
        </w:rPr>
        <w:t xml:space="preserve"> (</w:t>
      </w:r>
      <w:hyperlink w:anchor="_ENREF_103" w:tooltip="McKenzie, 2012 #9287"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&lt;EndNote&gt;&lt;Cite&gt;&lt;Author&gt;McKenzie&lt;/Author&gt;&lt;Year&gt;2012&lt;/Year&gt;&lt;RecNum&gt;9287&lt;/RecNum&gt;&lt;DisplayText&gt;McKenzie&lt;style face="italic"&gt; et al.&lt;/style&gt; 2012&lt;/DisplayText&gt;&lt;record&gt;&lt;rec-number&gt;9287&lt;/rec-number&gt;&lt;foreign-keys&gt;&lt;key app="EN" db-id="0eve55x9y5vfd6e9dacxtew4eatve2dzds9a" timestamp="1375005081"&gt;9287&lt;/key&gt;&lt;/foreign-keys&gt;&lt;ref-type name="Report"&gt;27&lt;/ref-type&gt;&lt;contributors&gt;&lt;authors&gt;&lt;author&gt;McKenzie, Len J&lt;/author&gt;&lt;author&gt;Collier, C.J.&lt;/author&gt;&lt;author&gt;Waycott, M.&lt;/author&gt;&lt;/authors&gt;&lt;/contributors&gt;&lt;titles&gt;&lt;title&gt;Reef Rescue Marine Monitoring Program: Inshore seagrass, annual report for the sampling period 1st September 2010-31st May 2011&lt;/title&gt;&lt;/titles&gt;&lt;pages&gt;230pp&lt;/pages&gt;&lt;dates&gt;&lt;year&gt;2012&lt;/year&gt;&lt;/dates&gt;&lt;publisher&gt;Fisheries Queensland, Cairns&lt;/publisher&gt;&lt;urls&gt;&lt;/urls&gt;&lt;/record&gt;&lt;/Cite&gt;&lt;/EndNote&gt;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McKenzie</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2012</w:t>
        </w:r>
        <w:r w:rsidR="009A7AB4" w:rsidRPr="004B3F43">
          <w:rPr>
            <w:rFonts w:cs="Arial"/>
            <w:color w:val="000000" w:themeColor="text1"/>
            <w:szCs w:val="22"/>
          </w:rPr>
          <w:fldChar w:fldCharType="end"/>
        </w:r>
      </w:hyperlink>
      <w:r w:rsidR="008D3D8C" w:rsidRPr="004B3F43">
        <w:rPr>
          <w:rFonts w:cs="Arial"/>
          <w:color w:val="000000" w:themeColor="text1"/>
          <w:szCs w:val="22"/>
        </w:rPr>
        <w:t>)</w:t>
      </w:r>
      <w:r w:rsidR="004A3632" w:rsidRPr="004B3F43">
        <w:rPr>
          <w:rFonts w:cs="Arial"/>
          <w:color w:val="000000" w:themeColor="text1"/>
          <w:szCs w:val="22"/>
        </w:rPr>
        <w:t xml:space="preserve">. Seagrass loss also results from smothering by sediments and light limitation due to increased turbidity from suspended sediments. The heavy rainfall associated with cyclones </w:t>
      </w:r>
      <w:r w:rsidR="00E203D9">
        <w:rPr>
          <w:rFonts w:cs="Arial"/>
          <w:color w:val="000000" w:themeColor="text1"/>
          <w:szCs w:val="22"/>
        </w:rPr>
        <w:t xml:space="preserve">can </w:t>
      </w:r>
      <w:r w:rsidR="004A3632" w:rsidRPr="004B3F43">
        <w:rPr>
          <w:rFonts w:cs="Arial"/>
          <w:color w:val="000000" w:themeColor="text1"/>
          <w:szCs w:val="22"/>
        </w:rPr>
        <w:t>result in flooding which exacerbates light limitation</w:t>
      </w:r>
      <w:r w:rsidR="0025430D" w:rsidRPr="004B3F43">
        <w:rPr>
          <w:rFonts w:cs="Arial"/>
          <w:color w:val="000000" w:themeColor="text1"/>
          <w:szCs w:val="22"/>
        </w:rPr>
        <w:t xml:space="preserve"> and </w:t>
      </w:r>
      <w:r w:rsidR="00E203D9">
        <w:rPr>
          <w:rFonts w:cs="Arial"/>
          <w:color w:val="000000" w:themeColor="text1"/>
          <w:szCs w:val="22"/>
        </w:rPr>
        <w:t xml:space="preserve">can </w:t>
      </w:r>
      <w:r w:rsidR="0025430D" w:rsidRPr="004B3F43">
        <w:rPr>
          <w:rFonts w:cs="Arial"/>
          <w:color w:val="000000" w:themeColor="text1"/>
          <w:szCs w:val="22"/>
        </w:rPr>
        <w:t xml:space="preserve">transport pollutants </w:t>
      </w:r>
      <w:r w:rsidR="0025430D" w:rsidRPr="004B3F43">
        <w:rPr>
          <w:rFonts w:cs="Arial"/>
          <w:color w:val="000000" w:themeColor="text1"/>
          <w:szCs w:val="22"/>
        </w:rPr>
        <w:lastRenderedPageBreak/>
        <w:t>(nutrients and pesticides)</w:t>
      </w:r>
      <w:r w:rsidR="004A3632" w:rsidRPr="004B3F43">
        <w:rPr>
          <w:rFonts w:cs="Arial"/>
          <w:color w:val="000000" w:themeColor="text1"/>
          <w:szCs w:val="22"/>
        </w:rPr>
        <w:t xml:space="preserve">, resulting in </w:t>
      </w:r>
      <w:r w:rsidR="003A03FE" w:rsidRPr="004B3F43">
        <w:rPr>
          <w:rFonts w:cs="Arial"/>
          <w:color w:val="000000" w:themeColor="text1"/>
          <w:szCs w:val="22"/>
        </w:rPr>
        <w:t>further</w:t>
      </w:r>
      <w:r w:rsidR="004A3632" w:rsidRPr="004B3F43">
        <w:rPr>
          <w:rFonts w:cs="Arial"/>
          <w:color w:val="000000" w:themeColor="text1"/>
          <w:szCs w:val="22"/>
        </w:rPr>
        <w:t xml:space="preserve"> seagrass loss</w:t>
      </w:r>
      <w:r w:rsidR="008D3D8C" w:rsidRPr="004B3F43">
        <w:rPr>
          <w:rFonts w:cs="Arial"/>
          <w:color w:val="000000" w:themeColor="text1"/>
          <w:szCs w:val="22"/>
        </w:rPr>
        <w:t xml:space="preserve"> (</w:t>
      </w:r>
      <w:hyperlink w:anchor="_ENREF_129" w:tooltip="Preen, 1995 #950"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&lt;EndNote&gt;&lt;Cite&gt;&lt;Author&gt;Preen&lt;/Author&gt;&lt;Year&gt;1995&lt;/Year&gt;&lt;RecNum&gt;950&lt;/RecNum&gt;&lt;DisplayText&gt;Preen&lt;style face="italic"&gt; et al.&lt;/style&gt; 1995&lt;/DisplayText&gt;&lt;record&gt;&lt;rec-number&gt;950&lt;/rec-number&gt;&lt;foreign-keys&gt;&lt;key app="EN" db-id="0eve55x9y5vfd6e9dacxtew4eatve2dzds9a" timestamp="0"&gt;950&lt;/key&gt;&lt;/foreign-keys&gt;&lt;ref-type name="Journal Article"&gt;17&lt;/ref-type&gt;&lt;contributors&gt;&lt;authors&gt;&lt;author&gt;Preen, Anthony R.&lt;/author&gt;&lt;author&gt;Lee Long, Warren J.&lt;/author&gt;&lt;author&gt;Coles, Robert G.&lt;/author&gt;&lt;/authors&gt;&lt;/contributors&gt;&lt;titles&gt;&lt;title&gt;&lt;style face="normal" font="default" size="100%"&gt;Flood and cyclone related loss, and partial recovery, of more than 1,000 km&lt;/style&gt;&lt;style face="superscript" font="default" size="100%"&gt;2&lt;/style&gt;&lt;style face="normal" font="default" size="100%"&gt; of seagrass in Hervey Bay, Queensland, Australia&lt;/style&gt;&lt;/title&gt;&lt;secondary-title&gt;Aquatic Botany&lt;/secondary-title&gt;&lt;alt-title&gt;Aquat. Bot.&lt;/alt-title&gt;&lt;/titles&gt;&lt;periodical&gt;&lt;full-title&gt;Aquatic Botany&lt;/full-title&gt;&lt;/periodical&gt;&lt;pages&gt;3-17&lt;/pages&gt;&lt;volume&gt;52&lt;/volume&gt;&lt;keywords&gt;&lt;keyword&gt;Seagrass, Die off, CycloneRecovery&lt;/keyword&gt;&lt;/keywords&gt;&lt;dates&gt;&lt;year&gt;1995&lt;/year&gt;&lt;/dates&gt;&lt;urls&gt;&lt;/urls&gt;&lt;custom1&gt;Annex. Len McKenzie Collection&lt;/custom1&gt;&lt;/record&gt;&lt;/Cite&gt;&lt;/EndNote&gt;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Preen</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1995</w:t>
        </w:r>
        <w:r w:rsidR="009A7AB4" w:rsidRPr="004B3F43">
          <w:rPr>
            <w:rFonts w:cs="Arial"/>
            <w:color w:val="000000" w:themeColor="text1"/>
            <w:szCs w:val="22"/>
          </w:rPr>
          <w:fldChar w:fldCharType="end"/>
        </w:r>
      </w:hyperlink>
      <w:r w:rsidR="008D3D8C" w:rsidRPr="004B3F43">
        <w:rPr>
          <w:rFonts w:cs="Arial"/>
          <w:color w:val="000000" w:themeColor="text1"/>
          <w:szCs w:val="22"/>
        </w:rPr>
        <w:t>)</w:t>
      </w:r>
      <w:r w:rsidR="004A3632" w:rsidRPr="004B3F43">
        <w:rPr>
          <w:rFonts w:cs="Arial"/>
          <w:color w:val="000000" w:themeColor="text1"/>
          <w:szCs w:val="22"/>
        </w:rPr>
        <w:t>.</w:t>
      </w:r>
    </w:p>
    <w:p w14:paraId="74BC272B" w14:textId="6B5C7C86" w:rsidR="004215C4" w:rsidRPr="004B3F43" w:rsidRDefault="004215C4" w:rsidP="003F4D32">
      <w:pPr>
        <w:numPr>
          <w:ilvl w:val="0"/>
          <w:numId w:val="25"/>
        </w:numPr>
        <w:rPr>
          <w:rFonts w:cs="Arial"/>
          <w:color w:val="000000" w:themeColor="text1"/>
          <w:szCs w:val="22"/>
        </w:rPr>
      </w:pPr>
      <w:r w:rsidRPr="004B3F43">
        <w:rPr>
          <w:rFonts w:cs="Arial"/>
          <w:color w:val="000000" w:themeColor="text1"/>
          <w:szCs w:val="22"/>
        </w:rPr>
        <w:t>Benthic light level</w:t>
      </w:r>
      <w:r w:rsidR="00E203D9">
        <w:rPr>
          <w:rFonts w:cs="Arial"/>
          <w:color w:val="000000" w:themeColor="text1"/>
          <w:szCs w:val="22"/>
        </w:rPr>
        <w:t>s</w:t>
      </w:r>
      <w:r w:rsidRPr="004B3F43">
        <w:rPr>
          <w:rFonts w:cs="Arial"/>
          <w:color w:val="000000" w:themeColor="text1"/>
          <w:szCs w:val="22"/>
        </w:rPr>
        <w:t xml:space="preserve"> below 10 mol m</w:t>
      </w:r>
      <w:r w:rsidRPr="004B3F43">
        <w:rPr>
          <w:rFonts w:cs="Arial"/>
          <w:color w:val="000000" w:themeColor="text1"/>
          <w:szCs w:val="22"/>
          <w:vertAlign w:val="superscript"/>
        </w:rPr>
        <w:t>-2</w:t>
      </w:r>
      <w:r w:rsidRPr="004B3F43">
        <w:rPr>
          <w:rFonts w:cs="Arial"/>
          <w:color w:val="000000" w:themeColor="text1"/>
          <w:szCs w:val="22"/>
        </w:rPr>
        <w:t xml:space="preserve"> d</w:t>
      </w:r>
      <w:r w:rsidRPr="004B3F43">
        <w:rPr>
          <w:rFonts w:cs="Arial"/>
          <w:color w:val="000000" w:themeColor="text1"/>
          <w:szCs w:val="22"/>
          <w:vertAlign w:val="superscript"/>
        </w:rPr>
        <w:t>-1</w:t>
      </w:r>
      <w:r w:rsidRPr="004B3F43">
        <w:rPr>
          <w:rFonts w:cs="Arial"/>
          <w:color w:val="000000" w:themeColor="text1"/>
          <w:szCs w:val="22"/>
        </w:rPr>
        <w:t xml:space="preserve"> are unlikely to support long-term growth of seagrass, and periods below 6 mol m</w:t>
      </w:r>
      <w:r w:rsidRPr="004B3F43">
        <w:rPr>
          <w:rFonts w:cs="Arial"/>
          <w:color w:val="000000" w:themeColor="text1"/>
          <w:szCs w:val="22"/>
          <w:vertAlign w:val="superscript"/>
        </w:rPr>
        <w:t>-2</w:t>
      </w:r>
      <w:r w:rsidRPr="004B3F43">
        <w:rPr>
          <w:rFonts w:cs="Arial"/>
          <w:color w:val="000000" w:themeColor="text1"/>
          <w:szCs w:val="22"/>
        </w:rPr>
        <w:t xml:space="preserve"> d</w:t>
      </w:r>
      <w:r w:rsidRPr="004B3F43">
        <w:rPr>
          <w:rFonts w:cs="Arial"/>
          <w:color w:val="000000" w:themeColor="text1"/>
          <w:szCs w:val="22"/>
          <w:vertAlign w:val="superscript"/>
        </w:rPr>
        <w:t>-1</w:t>
      </w:r>
      <w:r w:rsidRPr="004B3F43">
        <w:rPr>
          <w:rFonts w:cs="Arial"/>
          <w:color w:val="000000" w:themeColor="text1"/>
          <w:szCs w:val="22"/>
        </w:rPr>
        <w:t xml:space="preserve"> for more than four weeks can cause loss (</w:t>
      </w:r>
      <w:hyperlink w:anchor="_ENREF_34" w:tooltip="Collier, 2016 #10832"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&lt;EndNote&gt;&lt;Cite&gt;&lt;Author&gt;Collier&lt;/Author&gt;&lt;Year&gt;2016&lt;/Year&gt;&lt;RecNum&gt;10832&lt;/RecNum&gt;&lt;DisplayText&gt;Collier&lt;style face="italic"&gt; et al.&lt;/style&gt; 2016b&lt;/DisplayText&gt;&lt;record&gt;&lt;rec-number&gt;10832&lt;/rec-number&gt;&lt;foreign-keys&gt;&lt;key app="EN" db-id="0eve55x9y5vfd6e9dacxtew4eatve2dzds9a" timestamp="1483589796"&gt;10832&lt;/key&gt;&lt;/foreign-keys&gt;&lt;ref-type name="Book"&gt;6&lt;/ref-type&gt;&lt;contributors&gt;&lt;authors&gt;&lt;author&gt;Collier, Catherine J&lt;/author&gt;&lt;author&gt;Chartrand, Katie&lt;/author&gt;&lt;author&gt;Honchin, Carol&lt;/author&gt;&lt;author&gt;Fletcher, Adam&lt;/author&gt;&lt;author&gt;Rasheed, Michael&lt;/author&gt;&lt;/authors&gt;&lt;/contributors&gt;&lt;titles&gt;&lt;title&gt;Light thresholds for seagrasses of the GBR: a synthesis and guiding document. Including knowledge gaps and future priorities. Report to the National Environmental Science Programme&lt;/title&gt;&lt;/titles&gt;&lt;pages&gt;41&lt;/pages&gt;&lt;dates&gt;&lt;year&gt;2016&lt;/year&gt;&lt;/dates&gt;&lt;pub-location&gt;Cairns &lt;/pub-location&gt;&lt;publisher&gt;Reef and Rainforest Research Centre Limited&lt;/publisher&gt;&lt;urls&gt;&lt;/urls&gt;&lt;/record&gt;&lt;/Cite&gt;&lt;/EndNote&gt;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Collier</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2016b</w:t>
        </w:r>
        <w:r w:rsidR="009A7AB4" w:rsidRPr="004B3F43">
          <w:rPr>
            <w:rFonts w:cs="Arial"/>
            <w:color w:val="000000" w:themeColor="text1"/>
            <w:szCs w:val="22"/>
          </w:rPr>
          <w:fldChar w:fldCharType="end"/>
        </w:r>
      </w:hyperlink>
      <w:r w:rsidRPr="004B3F43">
        <w:rPr>
          <w:rFonts w:cs="Arial"/>
          <w:color w:val="000000" w:themeColor="text1"/>
          <w:szCs w:val="22"/>
        </w:rPr>
        <w:t xml:space="preserve">). However, it is unclear how these relate to intertidal habitats because very high light exposure during low tide can affect </w:t>
      </w:r>
      <w:r w:rsidR="004711F9">
        <w:rPr>
          <w:rFonts w:cs="Arial"/>
          <w:color w:val="000000" w:themeColor="text1"/>
          <w:szCs w:val="22"/>
        </w:rPr>
        <w:t>the seagrass</w:t>
      </w:r>
      <w:r w:rsidRPr="004B3F43">
        <w:rPr>
          <w:rFonts w:cs="Arial"/>
          <w:color w:val="000000" w:themeColor="text1"/>
          <w:szCs w:val="22"/>
        </w:rPr>
        <w:t xml:space="preserve">. Therefore, it may be more informative to look at </w:t>
      </w:r>
      <w:r w:rsidR="004A3632" w:rsidRPr="004B3F43">
        <w:rPr>
          <w:rFonts w:cs="Arial"/>
          <w:color w:val="000000" w:themeColor="text1"/>
          <w:szCs w:val="22"/>
        </w:rPr>
        <w:t>change relative to the sites.</w:t>
      </w:r>
    </w:p>
    <w:p w14:paraId="7B0F7F54" w14:textId="22523B8F" w:rsidR="004215C4" w:rsidRPr="004B3F43" w:rsidRDefault="004215C4" w:rsidP="003F4D32">
      <w:pPr>
        <w:numPr>
          <w:ilvl w:val="0"/>
          <w:numId w:val="25"/>
        </w:numPr>
        <w:rPr>
          <w:rFonts w:cs="Arial"/>
          <w:color w:val="000000" w:themeColor="text1"/>
          <w:szCs w:val="22"/>
        </w:rPr>
      </w:pPr>
      <w:r w:rsidRPr="004B3F43">
        <w:rPr>
          <w:rFonts w:cs="Arial"/>
          <w:color w:val="000000" w:themeColor="text1"/>
          <w:szCs w:val="22"/>
        </w:rPr>
        <w:t xml:space="preserve">Water temperature can impact seagrasses through chronic effects in which elevated respiration at high temperatures can cause carbon loss and reduce growth (Collier et al 2017), while acute stress </w:t>
      </w:r>
      <w:r w:rsidR="008D3D8C" w:rsidRPr="004B3F43">
        <w:rPr>
          <w:rFonts w:cs="Arial"/>
          <w:color w:val="000000" w:themeColor="text1"/>
          <w:szCs w:val="22"/>
        </w:rPr>
        <w:t>results in inhibition of photosynthesis and leaf death (</w:t>
      </w:r>
      <w:r w:rsidR="00A04EF1" w:rsidRPr="004B3F43">
        <w:rPr>
          <w:rFonts w:cs="Arial"/>
          <w:color w:val="000000" w:themeColor="text1"/>
          <w:szCs w:val="22"/>
        </w:rPr>
        <w:fldChar w:fldCharType="begin">
          <w:fldData xml:space="preserve">PEVuZE5vdGU+PENpdGU+PEF1dGhvcj5DYW1wYmVsbDwvQXV0aG9yPjxZZWFyPjIwMDY8L1llYXI+
PFJlY051bT4yODk2PC9SZWNOdW0+PERpc3BsYXlUZXh0PkNhbXBiZWxsPHN0eWxlIGZhY2U9Iml0
YWxpYyI+IGV0IGFsLjwvc3R5bGU+IDIwMDY7IENvbGxpZXIgYW5kIFdheWNvdHQgMjAxNDwvRGlz
cGxheVRleHQ+PHJlY29yZD48cmVjLW51bWJlcj4yODk2PC9yZWMtbnVtYmVyPjxmb3JlaWduLWtl
eXM+PGtleSBhcHA9IkVOIiBkYi1pZD0iMGV2ZTU1eDl5NXZmZDZlOWRhY3h0ZXc0ZWF0dmUyZHpk
czlhIiB0aW1lc3RhbXA9IjAiPjI4OTY8L2tleT48L2ZvcmVpZ24ta2V5cz48cmVmLXR5cGUgbmFt
ZT0iSm91cm5hbCBBcnRpY2xlIj4xNzwvcmVmLXR5cGU+PGNvbnRyaWJ1dG9ycz48YXV0aG9ycz48
YXV0aG9yPkNhbXBiZWxsLCBTdHVhcnQgSi48L2F1dGhvcj48YXV0aG9yPk1jS2VuemllLCBMZW4g
Si48L2F1dGhvcj48YXV0aG9yPktlcnZpbGxlLCBTaW1vbiBQLjwvYXV0aG9yPjwvYXV0aG9ycz48
L2NvbnRyaWJ1dG9ycz48dGl0bGVzPjx0aXRsZT5QaG90b3N5bnRoZXRpYyByZXNwb25zZXMgb2Yg
c2V2ZW4gdHJvcGljYWwgc2VhZ3Jhc3NlcyB0byBlbGV2YXRlZCBzZWF3YXRlciB0ZW1wZXJhdHVy
ZTwvdGl0bGU+PHNlY29uZGFyeS10aXRsZT5Kb3VybmFsIG9mIEV4cGVyaW1lbnRhbCBNYXJpbmUg
QmlvbG9neSBhbmQgRWNvbG9neTwvc2Vjb25kYXJ5LXRpdGxlPjwvdGl0bGVzPjxwZXJpb2RpY2Fs
PjxmdWxsLXRpdGxlPkpvdXJuYWwgb2YgRXhwZXJpbWVudGFsIE1hcmluZSBCaW9sb2d5IGFuZCBF
Y29sb2d5PC9mdWxsLXRpdGxlPjwvcGVyaW9kaWNhbD48cGFnZXM+NDU1LTQ2ODwvcGFnZXM+PHZv
bHVtZT4zMzA8L3ZvbHVtZT48ZGF0ZXM+PHllYXI+MjAwNjwveWVhcj48L2RhdGVzPjx1cmxzPjxy
ZWxhdGVkLXVybHM+PHVybD5odHRwOi8vd3d3LnNjaWVuY2VkaXJlY3QuY29tL3NjaWVuY2UvYXJ0
aWNsZS9CNlQ4Ri00SE1OREo0LTEvMi8zMDBkMTNkYTRjOTEzYjUwYjc2NDAzOGRiNmY4NjNiYzwv
dXJsPjwvcmVsYXRlZC11cmxzPjwvdXJscz48L3JlY29yZD48L0NpdGU+PENpdGU+PEF1dGhvcj5D
b2xsaWVyPC9BdXRob3I+PFllYXI+MjAxNDwvWWVhcj48UmVjTnVtPjEwMzIyPC9SZWNOdW0+PHJl
Y29yZD48cmVjLW51bWJlcj4xMDMyMjwvcmVjLW51bWJlcj48Zm9yZWlnbi1rZXlzPjxrZXkgYXBw
PSJFTiIgZGItaWQ9IjBldmU1NXg5eTV2ZmQ2ZTlkYWN4dGV3NGVhdHZlMmR6ZHM5YSIgdGltZXN0
YW1wPSIxNDQzNTg2MDc0Ij4xMDMyMjwva2V5PjwvZm9yZWlnbi1rZXlzPjxyZWYtdHlwZSBuYW1l
PSJKb3VybmFsIEFydGljbGUiPjE3PC9yZWYtdHlwZT48Y29udHJpYnV0b3JzPjxhdXRob3JzPjxh
dXRob3I+Q29sbGllciwgQy4gSi48L2F1dGhvcj48YXV0aG9yPldheWNvdHQsIE0uPC9hdXRob3I+
PC9hdXRob3JzPjwvY29udHJpYnV0b3JzPjx0aXRsZXM+PHRpdGxlPlRlbXBlcmF0dXJlIGV4dHJl
bWVzIHJlZHVjZSBzZWFncmFzcyBncm93dGggYW5kIGluZHVjZSBtb3J0YWxpdHk8L3RpdGxlPjxz
ZWNvbmRhcnktdGl0bGU+TWFyaW5lIFBvbGx1dGlvbiBCdWxsZXRpbjwvc2Vjb25kYXJ5LXRpdGxl
PjwvdGl0bGVzPjxwZXJpb2RpY2FsPjxmdWxsLXRpdGxlPk1hcmluZSBQb2xsdXRpb24gQnVsbGV0
aW48L2Z1bGwtdGl0bGU+PC9wZXJpb2RpY2FsPjxwYWdlcz40ODMtNDkwPC9wYWdlcz48dm9sdW1l
PjgzPC92b2x1bWU+PG51bWJlcj4yPC9udW1iZXI+PGtleXdvcmRzPjxrZXl3b3JkPkludGVydGlk
YWwgc2VhZ3Jhc3M8L2tleXdvcmQ+PGtleXdvcmQ+VGVtcGVyYXR1cmUgZXh0cmVtZXM8L2tleXdv
cmQ+PGtleXdvcmQ+UGhvdG9zeW50aGVzaXM8L2tleXdvcmQ+PGtleXdvcmQ+TW9ydGFsaXR5PC9r
ZXl3b3JkPjxrZXl3b3JkPkxvdyBsaWdodDwva2V5d29yZD48L2tleXdvcmRzPjxkYXRlcz48eWVh
cj4yMDE0PC95ZWFyPjwvZGF0ZXM+PGlzYm4+MDAyNS0zMjZYPC9pc2JuPjx1cmxzPjxyZWxhdGVk
LXVybHM+PHVybD5odHRwOi8vd3d3LnNjaWVuY2VkaXJlY3QuY29tL3NjaWVuY2UvYXJ0aWNsZS9w
aWkvUzAwMjUzMjZYMTQwMDE5MzM8L3VybD48L3JlbGF0ZWQtdXJscz48L3VybHM+PGVsZWN0cm9u
aWMtcmVzb3VyY2UtbnVtPmh0dHA6Ly9keC5kb2kub3JnLzEwLjEwMTYvai5tYXJwb2xidWwuMjAx
NC4wMy4wNTA8L2VsZWN0cm9uaWMtcmVzb3VyY2UtbnVtPjwvcmVjb3JkPjwvQ2l0ZT48L0VuZE5v
dGU+
</w:fldData>
        </w:fldChar>
      </w:r>
      <w:r w:rsidR="00A04EF1" w:rsidRPr="004B3F43">
        <w:rPr>
          <w:rFonts w:cs="Arial"/>
          <w:color w:val="000000" w:themeColor="text1"/>
          <w:szCs w:val="22"/>
        </w:rPr>
        <w:instrText xml:space="preserve"> ADDIN EN.CITE </w:instrText>
      </w:r>
      <w:r w:rsidR="00A04EF1" w:rsidRPr="004B3F43">
        <w:rPr>
          <w:rFonts w:cs="Arial"/>
          <w:color w:val="000000" w:themeColor="text1"/>
          <w:szCs w:val="22"/>
        </w:rPr>
        <w:fldChar w:fldCharType="begin">
          <w:fldData xml:space="preserve">PEVuZE5vdGU+PENpdGU+PEF1dGhvcj5DYW1wYmVsbDwvQXV0aG9yPjxZZWFyPjIwMDY8L1llYXI+
PFJlY051bT4yODk2PC9SZWNOdW0+PERpc3BsYXlUZXh0PkNhbXBiZWxsPHN0eWxlIGZhY2U9Iml0
YWxpYyI+IGV0IGFsLjwvc3R5bGU+IDIwMDY7IENvbGxpZXIgYW5kIFdheWNvdHQgMjAxNDwvRGlz
cGxheVRleHQ+PHJlY29yZD48cmVjLW51bWJlcj4yODk2PC9yZWMtbnVtYmVyPjxmb3JlaWduLWtl
eXM+PGtleSBhcHA9IkVOIiBkYi1pZD0iMGV2ZTU1eDl5NXZmZDZlOWRhY3h0ZXc0ZWF0dmUyZHpk
czlhIiB0aW1lc3RhbXA9IjAiPjI4OTY8L2tleT48L2ZvcmVpZ24ta2V5cz48cmVmLXR5cGUgbmFt
ZT0iSm91cm5hbCBBcnRpY2xlIj4xNzwvcmVmLXR5cGU+PGNvbnRyaWJ1dG9ycz48YXV0aG9ycz48
YXV0aG9yPkNhbXBiZWxsLCBTdHVhcnQgSi48L2F1dGhvcj48YXV0aG9yPk1jS2VuemllLCBMZW4g
Si48L2F1dGhvcj48YXV0aG9yPktlcnZpbGxlLCBTaW1vbiBQLjwvYXV0aG9yPjwvYXV0aG9ycz48
L2NvbnRyaWJ1dG9ycz48dGl0bGVzPjx0aXRsZT5QaG90b3N5bnRoZXRpYyByZXNwb25zZXMgb2Yg
c2V2ZW4gdHJvcGljYWwgc2VhZ3Jhc3NlcyB0byBlbGV2YXRlZCBzZWF3YXRlciB0ZW1wZXJhdHVy
ZTwvdGl0bGU+PHNlY29uZGFyeS10aXRsZT5Kb3VybmFsIG9mIEV4cGVyaW1lbnRhbCBNYXJpbmUg
QmlvbG9neSBhbmQgRWNvbG9neTwvc2Vjb25kYXJ5LXRpdGxlPjwvdGl0bGVzPjxwZXJpb2RpY2Fs
PjxmdWxsLXRpdGxlPkpvdXJuYWwgb2YgRXhwZXJpbWVudGFsIE1hcmluZSBCaW9sb2d5IGFuZCBF
Y29sb2d5PC9mdWxsLXRpdGxlPjwvcGVyaW9kaWNhbD48cGFnZXM+NDU1LTQ2ODwvcGFnZXM+PHZv
bHVtZT4zMzA8L3ZvbHVtZT48ZGF0ZXM+PHllYXI+MjAwNjwveWVhcj48L2RhdGVzPjx1cmxzPjxy
ZWxhdGVkLXVybHM+PHVybD5odHRwOi8vd3d3LnNjaWVuY2VkaXJlY3QuY29tL3NjaWVuY2UvYXJ0
aWNsZS9CNlQ4Ri00SE1OREo0LTEvMi8zMDBkMTNkYTRjOTEzYjUwYjc2NDAzOGRiNmY4NjNiYzwv
dXJsPjwvcmVsYXRlZC11cmxzPjwvdXJscz48L3JlY29yZD48L0NpdGU+PENpdGU+PEF1dGhvcj5D
b2xsaWVyPC9BdXRob3I+PFllYXI+MjAxNDwvWWVhcj48UmVjTnVtPjEwMzIyPC9SZWNOdW0+PHJl
Y29yZD48cmVjLW51bWJlcj4xMDMyMjwvcmVjLW51bWJlcj48Zm9yZWlnbi1rZXlzPjxrZXkgYXBw
PSJFTiIgZGItaWQ9IjBldmU1NXg5eTV2ZmQ2ZTlkYWN4dGV3NGVhdHZlMmR6ZHM5YSIgdGltZXN0
YW1wPSIxNDQzNTg2MDc0Ij4xMDMyMjwva2V5PjwvZm9yZWlnbi1rZXlzPjxyZWYtdHlwZSBuYW1l
PSJKb3VybmFsIEFydGljbGUiPjE3PC9yZWYtdHlwZT48Y29udHJpYnV0b3JzPjxhdXRob3JzPjxh
dXRob3I+Q29sbGllciwgQy4gSi48L2F1dGhvcj48YXV0aG9yPldheWNvdHQsIE0uPC9hdXRob3I+
PC9hdXRob3JzPjwvY29udHJpYnV0b3JzPjx0aXRsZXM+PHRpdGxlPlRlbXBlcmF0dXJlIGV4dHJl
bWVzIHJlZHVjZSBzZWFncmFzcyBncm93dGggYW5kIGluZHVjZSBtb3J0YWxpdHk8L3RpdGxlPjxz
ZWNvbmRhcnktdGl0bGU+TWFyaW5lIFBvbGx1dGlvbiBCdWxsZXRpbjwvc2Vjb25kYXJ5LXRpdGxl
PjwvdGl0bGVzPjxwZXJpb2RpY2FsPjxmdWxsLXRpdGxlPk1hcmluZSBQb2xsdXRpb24gQnVsbGV0
aW48L2Z1bGwtdGl0bGU+PC9wZXJpb2RpY2FsPjxwYWdlcz40ODMtNDkwPC9wYWdlcz48dm9sdW1l
PjgzPC92b2x1bWU+PG51bWJlcj4yPC9udW1iZXI+PGtleXdvcmRzPjxrZXl3b3JkPkludGVydGlk
YWwgc2VhZ3Jhc3M8L2tleXdvcmQ+PGtleXdvcmQ+VGVtcGVyYXR1cmUgZXh0cmVtZXM8L2tleXdv
cmQ+PGtleXdvcmQ+UGhvdG9zeW50aGVzaXM8L2tleXdvcmQ+PGtleXdvcmQ+TW9ydGFsaXR5PC9r
ZXl3b3JkPjxrZXl3b3JkPkxvdyBsaWdodDwva2V5d29yZD48L2tleXdvcmRzPjxkYXRlcz48eWVh
cj4yMDE0PC95ZWFyPjwvZGF0ZXM+PGlzYm4+MDAyNS0zMjZYPC9pc2JuPjx1cmxzPjxyZWxhdGVk
LXVybHM+PHVybD5odHRwOi8vd3d3LnNjaWVuY2VkaXJlY3QuY29tL3NjaWVuY2UvYXJ0aWNsZS9w
aWkvUzAwMjUzMjZYMTQwMDE5MzM8L3VybD48L3JlbGF0ZWQtdXJscz48L3VybHM+PGVsZWN0cm9u
aWMtcmVzb3VyY2UtbnVtPmh0dHA6Ly9keC5kb2kub3JnLzEwLjEwMTYvai5tYXJwb2xidWwuMjAx
NC4wMy4wNTA8L2VsZWN0cm9uaWMtcmVzb3VyY2UtbnVtPjwvcmVjb3JkPjwvQ2l0ZT48L0VuZE5v
dGU+
</w:fldData>
        </w:fldChar>
      </w:r>
      <w:r w:rsidR="00A04EF1" w:rsidRPr="004B3F43">
        <w:rPr>
          <w:rFonts w:cs="Arial"/>
          <w:color w:val="000000" w:themeColor="text1"/>
          <w:szCs w:val="22"/>
        </w:rPr>
        <w:instrText xml:space="preserve"> ADDIN EN.CITE.DATA </w:instrText>
      </w:r>
      <w:r w:rsidR="00A04EF1" w:rsidRPr="004B3F43">
        <w:rPr>
          <w:rFonts w:cs="Arial"/>
          <w:color w:val="000000" w:themeColor="text1"/>
          <w:szCs w:val="22"/>
        </w:rPr>
      </w:r>
      <w:r w:rsidR="00A04EF1" w:rsidRPr="004B3F43">
        <w:rPr>
          <w:rFonts w:cs="Arial"/>
          <w:color w:val="000000" w:themeColor="text1"/>
          <w:szCs w:val="22"/>
        </w:rPr>
        <w:fldChar w:fldCharType="end"/>
      </w:r>
      <w:r w:rsidR="00A04EF1" w:rsidRPr="004B3F43">
        <w:rPr>
          <w:rFonts w:cs="Arial"/>
          <w:color w:val="000000" w:themeColor="text1"/>
          <w:szCs w:val="22"/>
        </w:rPr>
      </w:r>
      <w:r w:rsidR="00A04EF1" w:rsidRPr="004B3F43">
        <w:rPr>
          <w:rFonts w:cs="Arial"/>
          <w:color w:val="000000" w:themeColor="text1"/>
          <w:szCs w:val="22"/>
        </w:rPr>
        <w:fldChar w:fldCharType="separate"/>
      </w:r>
      <w:hyperlink w:anchor="_ENREF_20" w:tooltip="Campbell, 2006 #2896" w:history="1">
        <w:r w:rsidR="009A7AB4" w:rsidRPr="004B3F43">
          <w:rPr>
            <w:rFonts w:cs="Arial"/>
            <w:noProof/>
            <w:color w:val="000000" w:themeColor="text1"/>
            <w:szCs w:val="22"/>
          </w:rPr>
          <w:t>Campbell</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2006</w:t>
        </w:r>
      </w:hyperlink>
      <w:r w:rsidR="00A04EF1" w:rsidRPr="004B3F43">
        <w:rPr>
          <w:rFonts w:cs="Arial"/>
          <w:noProof/>
          <w:color w:val="000000" w:themeColor="text1"/>
          <w:szCs w:val="22"/>
        </w:rPr>
        <w:t xml:space="preserve">; </w:t>
      </w:r>
      <w:hyperlink w:anchor="_ENREF_37" w:tooltip="Collier, 2014 #10322" w:history="1">
        <w:r w:rsidR="009A7AB4" w:rsidRPr="004B3F43">
          <w:rPr>
            <w:rFonts w:cs="Arial"/>
            <w:noProof/>
            <w:color w:val="000000" w:themeColor="text1"/>
            <w:szCs w:val="22"/>
          </w:rPr>
          <w:t>Collier and Waycott 2014</w:t>
        </w:r>
      </w:hyperlink>
      <w:r w:rsidR="00A04EF1" w:rsidRPr="004B3F43">
        <w:rPr>
          <w:rFonts w:cs="Arial"/>
          <w:color w:val="000000" w:themeColor="text1"/>
          <w:szCs w:val="22"/>
        </w:rPr>
        <w:fldChar w:fldCharType="end"/>
      </w:r>
      <w:r w:rsidR="008D3D8C" w:rsidRPr="004B3F43">
        <w:rPr>
          <w:rFonts w:cs="Arial"/>
          <w:color w:val="000000" w:themeColor="text1"/>
          <w:szCs w:val="22"/>
        </w:rPr>
        <w:t>)</w:t>
      </w:r>
    </w:p>
    <w:p w14:paraId="10E88280" w14:textId="39E0B9B6" w:rsidR="0005313D" w:rsidRPr="004B3F43" w:rsidRDefault="0005313D" w:rsidP="003F4D32">
      <w:pPr>
        <w:numPr>
          <w:ilvl w:val="0"/>
          <w:numId w:val="25"/>
        </w:numPr>
        <w:rPr>
          <w:rFonts w:cs="Arial"/>
          <w:color w:val="000000" w:themeColor="text1"/>
          <w:szCs w:val="22"/>
        </w:rPr>
      </w:pPr>
      <w:r w:rsidRPr="004B3F43">
        <w:rPr>
          <w:rFonts w:cs="Arial"/>
          <w:color w:val="000000" w:themeColor="text1"/>
          <w:szCs w:val="22"/>
        </w:rPr>
        <w:t>Daytime tidal exposure can provide critical windows of light for positive net photosynthesis for seagrass in chronically turbid waters (</w:t>
      </w:r>
      <w:hyperlink w:anchor="_ENREF_133" w:tooltip="Rasheed, 2011 #11985"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&lt;EndNote&gt;&lt;Cite&gt;&lt;Author&gt;Rasheed&lt;/Author&gt;&lt;Year&gt;2011&lt;/Year&gt;&lt;RecNum&gt;11985&lt;/RecNum&gt;&lt;DisplayText&gt;Rasheed and Unsworth 2011&lt;/DisplayText&gt;&lt;record&gt;&lt;rec-number&gt;11985&lt;/rec-number&gt;&lt;foreign-keys&gt;&lt;key app="EN" db-id="0eve55x9y5vfd6e9dacxtew4eatve2dzds9a" timestamp="1554180293"&gt;11985&lt;/key&gt;&lt;/foreign-keys&gt;&lt;ref-type name="Journal Article"&gt;17&lt;/ref-type&gt;&lt;contributors&gt;&lt;authors&gt;&lt;author&gt;Rasheed, M. A.&lt;/author&gt;&lt;author&gt;Unsworth, R. K. F.&lt;/author&gt;&lt;/authors&gt;&lt;/contributors&gt;&lt;titles&gt;&lt;title&gt;Long-term climate-associated dynamics of a tropical seagrass meadow: implications for the future&lt;/title&gt;&lt;secondary-title&gt;Marine Ecology Progress Series&lt;/secondary-title&gt;&lt;/titles&gt;&lt;periodical&gt;&lt;full-title&gt;Marine Ecology Progress Series&lt;/full-title&gt;&lt;/periodical&gt;&lt;pages&gt;93-103&lt;/pages&gt;&lt;volume&gt;422&lt;/volume&gt;&lt;dates&gt;&lt;year&gt;2011&lt;/year&gt;&lt;/dates&gt;&lt;urls&gt;&lt;related-urls&gt;&lt;url&gt;https://www.int-res.com/abstracts/meps/v422/p93-103/&lt;/url&gt;&lt;/related-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Rasheed and Unsworth 2011</w:t>
        </w:r>
        <w:r w:rsidR="009A7AB4" w:rsidRPr="004B3F43">
          <w:rPr>
            <w:rFonts w:cs="Arial"/>
            <w:color w:val="000000" w:themeColor="text1"/>
            <w:szCs w:val="22"/>
          </w:rPr>
          <w:fldChar w:fldCharType="end"/>
        </w:r>
      </w:hyperlink>
      <w:r w:rsidRPr="004B3F43">
        <w:rPr>
          <w:rFonts w:cs="Arial"/>
          <w:color w:val="000000" w:themeColor="text1"/>
          <w:szCs w:val="22"/>
        </w:rPr>
        <w:t>). However, during tidal exposure, plants are susceptible to extreme irradiance doses, desiccation, thermal stress and potentially high UV-A and UV-B leading to physiological damage, resulting in short-term declines in density and spatial coverage (</w:t>
      </w:r>
      <w:hyperlink w:anchor="_ENREF_148" w:tooltip="Unsworth, 2012 #9397" w:history="1">
        <w:r w:rsidR="009A7AB4" w:rsidRPr="004B3F43">
          <w:rPr>
            <w:rFonts w:cs="Arial"/>
            <w:szCs w:val="22"/>
          </w:rPr>
          <w:fldChar w:fldCharType="begin"/>
        </w:r>
        <w:r w:rsidR="009A7AB4" w:rsidRPr="004B3F43">
          <w:rPr>
            <w:rFonts w:cs="Arial"/>
            <w:szCs w:val="22"/>
          </w:rPr>
          <w:instrText xml:space="preserve"> ADDIN EN.CITE &lt;EndNote&gt;&lt;Cite&gt;&lt;Author&gt;Unsworth&lt;/Author&gt;&lt;Year&gt;2012&lt;/Year&gt;&lt;RecNum&gt;9397&lt;/RecNum&gt;&lt;DisplayText&gt;Unsworth&lt;style face="italic"&gt; et al.&lt;/style&gt; 2012b&lt;/DisplayText&gt;&lt;record&gt;&lt;rec-number&gt;9397&lt;/rec-number&gt;&lt;foreign-keys&gt;&lt;key app="EN" db-id="0eve55x9y5vfd6e9dacxtew4eatve2dzds9a" timestamp="1375052485"&gt;9397&lt;/key&gt;&lt;/foreign-keys&gt;&lt;ref-type name="Journal Article"&gt;17&lt;/ref-type&gt;&lt;contributors&gt;&lt;authors&gt;&lt;author&gt;Unsworth, Richard K. F.&lt;/author&gt;&lt;author&gt;Rasheed, Michael A.&lt;/author&gt;&lt;author&gt;Chartrand, Kathryn M.&lt;/author&gt;&lt;author&gt;Roelofs, Anthony J.&lt;/author&gt;&lt;/authors&gt;&lt;/contributors&gt;&lt;titles&gt;&lt;title&gt;&lt;style face="normal" font="default" size="100%"&gt;Solar radiation and tidal exposure as environmental drivers of &lt;/style&gt;&lt;style face="italic" font="default" size="100%"&gt;Enhalus acoroides&lt;/style&gt;&lt;style face="normal" font="default" size="100%"&gt; dominated seagrass meadows&lt;/style&gt;&lt;/title&gt;&lt;secondary-title&gt;PloS one&lt;/secondary-title&gt;&lt;/titles&gt;&lt;periodical&gt;&lt;full-title&gt;Plos One&lt;/full-title&gt;&lt;/periodical&gt;&lt;volume&gt;7&lt;/volume&gt;&lt;number&gt;3&lt;/number&gt;&lt;dates&gt;&lt;year&gt;2012&lt;/year&gt;&lt;pub-dates&gt;&lt;date&gt;Mar 29&lt;/date&gt;&lt;/pub-dates&gt;&lt;/dates&gt;&lt;isbn&gt;1932-6203&lt;/isbn&gt;&lt;accession-num&gt;WOS:000304523400057&lt;/accession-num&gt;&lt;urls&gt;&lt;related-urls&gt;&lt;url&gt;&amp;lt;Go to ISI&amp;gt;://WOS:000304523400057&lt;/url&gt;&lt;/related-urls&gt;&lt;/urls&gt;&lt;custom7&gt;e34133&lt;/custom7&gt;&lt;electronic-resource-num&gt;10.1371/journal.pone.0034133&lt;/electronic-resource-num&gt;&lt;/record&gt;&lt;/Cite&gt;&lt;/EndNote&gt;</w:instrText>
        </w:r>
        <w:r w:rsidR="009A7AB4" w:rsidRPr="004B3F43">
          <w:rPr>
            <w:rFonts w:cs="Arial"/>
            <w:szCs w:val="22"/>
          </w:rPr>
          <w:fldChar w:fldCharType="separate"/>
        </w:r>
        <w:r w:rsidR="009A7AB4" w:rsidRPr="004B3F43">
          <w:rPr>
            <w:rFonts w:cs="Arial"/>
            <w:noProof/>
            <w:szCs w:val="22"/>
          </w:rPr>
          <w:t>Unsworth</w:t>
        </w:r>
        <w:r w:rsidR="009A7AB4" w:rsidRPr="004B3F43">
          <w:rPr>
            <w:rFonts w:cs="Arial"/>
            <w:i/>
            <w:noProof/>
            <w:szCs w:val="22"/>
          </w:rPr>
          <w:t xml:space="preserve"> et al.</w:t>
        </w:r>
        <w:r w:rsidR="009A7AB4" w:rsidRPr="004B3F43">
          <w:rPr>
            <w:rFonts w:cs="Arial"/>
            <w:noProof/>
            <w:szCs w:val="22"/>
          </w:rPr>
          <w:t xml:space="preserve"> 2012b</w:t>
        </w:r>
        <w:r w:rsidR="009A7AB4" w:rsidRPr="004B3F43">
          <w:rPr>
            <w:rFonts w:cs="Arial"/>
            <w:szCs w:val="22"/>
          </w:rPr>
          <w:fldChar w:fldCharType="end"/>
        </w:r>
      </w:hyperlink>
      <w:r w:rsidRPr="004B3F43">
        <w:rPr>
          <w:rFonts w:cs="Arial"/>
          <w:color w:val="000000" w:themeColor="text1"/>
          <w:szCs w:val="22"/>
        </w:rPr>
        <w:t>).</w:t>
      </w:r>
    </w:p>
    <w:p w14:paraId="506DE27A" w14:textId="4D90563F" w:rsidR="00B006B2" w:rsidRPr="004B3F43" w:rsidRDefault="00B006B2" w:rsidP="003F4D32">
      <w:pPr>
        <w:numPr>
          <w:ilvl w:val="0"/>
          <w:numId w:val="25"/>
        </w:numPr>
        <w:rPr>
          <w:rFonts w:cs="Arial"/>
          <w:szCs w:val="22"/>
        </w:rPr>
      </w:pPr>
      <w:r w:rsidRPr="004B3F43">
        <w:rPr>
          <w:rFonts w:cs="Arial"/>
          <w:szCs w:val="22"/>
        </w:rPr>
        <w:t>Sediment grain size affects seagrass growth, germination, survival, and distribution (</w:t>
      </w:r>
      <w:hyperlink w:anchor="_ENREF_98" w:tooltip="McKenzie, 2007 #9456" w:history="1">
        <w:r w:rsidR="009A7AB4" w:rsidRPr="004B3F43">
          <w:rPr>
            <w:rFonts w:cs="Arial"/>
            <w:szCs w:val="22"/>
          </w:rPr>
          <w:fldChar w:fldCharType="begin"/>
        </w:r>
        <w:r w:rsidR="009A7AB4" w:rsidRPr="004B3F43">
          <w:rPr>
            <w:rFonts w:cs="Arial"/>
            <w:szCs w:val="22"/>
          </w:rPr>
          <w:instrText xml:space="preserve"> ADDIN EN.CITE &lt;EndNote&gt;&lt;Cite&gt;&lt;Author&gt;McKenzie&lt;/Author&gt;&lt;Year&gt;2007&lt;/Year&gt;&lt;RecNum&gt;9456&lt;/RecNum&gt;&lt;DisplayText&gt;McKenzie 2007&lt;/DisplayText&gt;&lt;record&gt;&lt;rec-number&gt;9456&lt;/rec-number&gt;&lt;foreign-keys&gt;&lt;key app="EN" db-id="0eve55x9y5vfd6e9dacxtew4eatve2dzds9a" timestamp="1375602923"&gt;9456&lt;/key&gt;&lt;/foreign-keys&gt;&lt;ref-type name="Book"&gt;6&lt;/ref-type&gt;&lt;contributors&gt;&lt;authors&gt;&lt;author&gt;McKenzie, Len J&lt;/author&gt;&lt;/authors&gt;&lt;/contributors&gt;&lt;titles&gt;&lt;title&gt;Relationships between seagrass communities and sediment properties along the Queensland coast. Progress report to the Marine and Tropical Sciences Research Facility&lt;/title&gt;&lt;/titles&gt;&lt;pages&gt;25&lt;/pages&gt;&lt;dates&gt;&lt;year&gt;2007&lt;/year&gt;&lt;/dates&gt;&lt;pub-location&gt;Cairns &lt;/pub-location&gt;&lt;publisher&gt;Reef and Rainforest Research Centre Ltd&lt;/publisher&gt;&lt;urls&gt;&lt;/urls&gt;&lt;/record&gt;&lt;/Cite&gt;&lt;/EndNote&gt;</w:instrText>
        </w:r>
        <w:r w:rsidR="009A7AB4" w:rsidRPr="004B3F43">
          <w:rPr>
            <w:rFonts w:cs="Arial"/>
            <w:szCs w:val="22"/>
          </w:rPr>
          <w:fldChar w:fldCharType="separate"/>
        </w:r>
        <w:r w:rsidR="009A7AB4" w:rsidRPr="004B3F43">
          <w:rPr>
            <w:rFonts w:cs="Arial"/>
            <w:noProof/>
            <w:szCs w:val="22"/>
          </w:rPr>
          <w:t>McKenzie 2007</w:t>
        </w:r>
        <w:r w:rsidR="009A7AB4" w:rsidRPr="004B3F43">
          <w:rPr>
            <w:rFonts w:cs="Arial"/>
            <w:szCs w:val="22"/>
          </w:rPr>
          <w:fldChar w:fldCharType="end"/>
        </w:r>
      </w:hyperlink>
      <w:r w:rsidRPr="004B3F43">
        <w:rPr>
          <w:rFonts w:cs="Arial"/>
          <w:szCs w:val="22"/>
        </w:rPr>
        <w:t>). Coarse, sand dominated sediments limit plant growth due to increased mobility and lower nutrients. However, as finer-textured sediments increase (dominated by mud (grain size &lt;63μm)), porewater exchange with the overlaying water column decreases resulting in increased nutrient concentrations and phytotoxins such as sulphide, which can ultimately lead to seagrass loss (</w:t>
      </w:r>
      <w:hyperlink w:anchor="_ENREF_81" w:tooltip="Koch, 2001 #7446" w:history="1">
        <w:r w:rsidR="009A7AB4" w:rsidRPr="004B3F43">
          <w:rPr>
            <w:rFonts w:cs="Arial"/>
            <w:szCs w:val="22"/>
          </w:rPr>
          <w:fldChar w:fldCharType="begin"/>
        </w:r>
        <w:r w:rsidR="009A7AB4" w:rsidRPr="004B3F43">
          <w:rPr>
            <w:rFonts w:cs="Arial"/>
            <w:szCs w:val="22"/>
          </w:rPr>
          <w:instrText xml:space="preserve"> ADDIN EN.CITE &lt;EndNote&gt;&lt;Cite&gt;&lt;Author&gt;Koch&lt;/Author&gt;&lt;Year&gt;2001&lt;/Year&gt;&lt;RecNum&gt;7446&lt;/RecNum&gt;&lt;DisplayText&gt;Koch 2001&lt;/DisplayText&gt;&lt;record&gt;&lt;rec-number&gt;7446&lt;/rec-number&gt;&lt;foreign-keys&gt;&lt;key app="EN" db-id="0eve55x9y5vfd6e9dacxtew4eatve2dzds9a" timestamp="0"&gt;7446&lt;/key&gt;&lt;/foreign-keys&gt;&lt;ref-type name="Journal Article"&gt;17&lt;/ref-type&gt;&lt;contributors&gt;&lt;authors&gt;&lt;author&gt;Koch, E. M.&lt;/author&gt;&lt;/authors&gt;&lt;/contributors&gt;&lt;titles&gt;&lt;title&gt;Beyond light: Physical, geological, and geochemical parameters as possible submersed aquatic vegetation habitat requirements&lt;/title&gt;&lt;secondary-title&gt;Estuaries&lt;/secondary-title&gt;&lt;alt-title&gt;Estuaries&lt;/alt-title&gt;&lt;/titles&gt;&lt;periodical&gt;&lt;full-title&gt;Estuaries&lt;/full-title&gt;&lt;/periodical&gt;&lt;alt-periodical&gt;&lt;full-title&gt;Estuaries&lt;/full-title&gt;&lt;/alt-periodical&gt;&lt;pages&gt;1-17&lt;/pages&gt;&lt;volume&gt;24&lt;/volume&gt;&lt;number&gt;1&lt;/number&gt;&lt;keywords&gt;&lt;keyword&gt;ZOSTERA-MARINA L&lt;/keyword&gt;&lt;keyword&gt;SEAGRASS THALASSIA-TESTUDINUM&lt;/keyword&gt;&lt;keyword&gt;HALODULE-&lt;/keyword&gt;&lt;keyword&gt;WRIGHTII ASCHERS&lt;/keyword&gt;&lt;keyword&gt;POTAMOGETON-PECTINATUS L&lt;/keyword&gt;&lt;keyword&gt;CALIFORNIA KELP&lt;/keyword&gt;&lt;keyword&gt;BEDS&lt;/keyword&gt;&lt;keyword&gt;UNIFLORA L ASCHERS&lt;/keyword&gt;&lt;keyword&gt;BANKS EX KONIG&lt;/keyword&gt;&lt;keyword&gt;CHESAPEAKE-BAY&lt;/keyword&gt;&lt;keyword&gt;NORTH-CAROLINA&lt;/keyword&gt;&lt;keyword&gt;EELGRASS BEDS&lt;/keyword&gt;&lt;/keywords&gt;&lt;dates&gt;&lt;year&gt;2001&lt;/year&gt;&lt;pub-dates&gt;&lt;date&gt;Feb&lt;/date&gt;&lt;/pub-dates&gt;&lt;/dates&gt;&lt;accession-num&gt;ISI:000168130900001&lt;/accession-num&gt;&lt;urls&gt;&lt;related-urls&gt;&lt;url&gt;&amp;lt;Go to ISI&amp;gt;://000168130900001&lt;/url&gt;&lt;/related-urls&gt;&lt;/urls&gt;&lt;/record&gt;&lt;/Cite&gt;&lt;/EndNote&gt;</w:instrText>
        </w:r>
        <w:r w:rsidR="009A7AB4" w:rsidRPr="004B3F43">
          <w:rPr>
            <w:rFonts w:cs="Arial"/>
            <w:szCs w:val="22"/>
          </w:rPr>
          <w:fldChar w:fldCharType="separate"/>
        </w:r>
        <w:r w:rsidR="009A7AB4" w:rsidRPr="004B3F43">
          <w:rPr>
            <w:rFonts w:cs="Arial"/>
            <w:noProof/>
            <w:szCs w:val="22"/>
          </w:rPr>
          <w:t>Koch 2001</w:t>
        </w:r>
        <w:r w:rsidR="009A7AB4" w:rsidRPr="004B3F43">
          <w:rPr>
            <w:rFonts w:cs="Arial"/>
            <w:szCs w:val="22"/>
          </w:rPr>
          <w:fldChar w:fldCharType="end"/>
        </w:r>
      </w:hyperlink>
      <w:r w:rsidRPr="004B3F43">
        <w:rPr>
          <w:rFonts w:cs="Arial"/>
          <w:szCs w:val="22"/>
        </w:rPr>
        <w:t>).</w:t>
      </w:r>
    </w:p>
    <w:p w14:paraId="01F66110" w14:textId="08403711" w:rsidR="003D1F7F" w:rsidRPr="00CB093C" w:rsidRDefault="00562A9E" w:rsidP="00305A14">
      <w:pPr>
        <w:jc w:val="center"/>
        <w:rPr>
          <w:rFonts w:cs="Arial"/>
          <w:szCs w:val="22"/>
        </w:rPr>
      </w:pPr>
      <w:r w:rsidRPr="00CB093C">
        <w:rPr>
          <w:rFonts w:cs="Arial"/>
          <w:noProof/>
          <w:szCs w:val="22"/>
          <w:lang w:eastAsia="en-AU"/>
        </w:rPr>
        <w:lastRenderedPageBreak/>
        <w:drawing>
          <wp:inline distT="0" distB="0" distL="0" distR="0" wp14:anchorId="567CDE69" wp14:editId="6C3578E1">
            <wp:extent cx="5392011" cy="3682320"/>
            <wp:effectExtent l="0" t="0" r="0" b="0"/>
            <wp:docPr id="544" name="Picture 544" descr="Table showing climate, environmental, seagrass condition and seagrass resilience indicators reported as part of the MMP Inshore Seagrass monitoring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ndicator selection_DT_v1.3_CS5.png"/>
                    <pic:cNvPicPr/>
                  </pic:nvPicPr>
                  <pic:blipFill>
                    <a:blip r:embed="rId33">
                      <a:extLst>
                        <a:ext uri="{28A0092B-C50C-407E-A947-70E740481C1C}">
                          <a14:useLocalDpi xmlns:a14="http://schemas.microsoft.com/office/drawing/2010/main" val="0"/>
                        </a:ext>
                      </a:extLst>
                    </a:blip>
                    <a:stretch>
                      <a:fillRect/>
                    </a:stretch>
                  </pic:blipFill>
                  <pic:spPr>
                    <a:xfrm>
                      <a:off x="0" y="0"/>
                      <a:ext cx="5392758" cy="3682830"/>
                    </a:xfrm>
                    <a:prstGeom prst="rect">
                      <a:avLst/>
                    </a:prstGeom>
                  </pic:spPr>
                </pic:pic>
              </a:graphicData>
            </a:graphic>
          </wp:inline>
        </w:drawing>
      </w:r>
    </w:p>
    <w:p w14:paraId="63F65696" w14:textId="6CDED807" w:rsidR="00A95D6B" w:rsidRPr="004B3F43" w:rsidRDefault="00A95D6B" w:rsidP="00A95D6B">
      <w:pPr>
        <w:rPr>
          <w:rFonts w:cs="Arial"/>
          <w:i/>
          <w:vanish/>
          <w:szCs w:val="22"/>
          <w:specVanish/>
        </w:rPr>
      </w:pPr>
      <w:bookmarkStart w:id="33" w:name="_Ref442084289"/>
      <w:bookmarkStart w:id="34" w:name="_Toc38634107"/>
      <w:r w:rsidRPr="004B3F43">
        <w:rPr>
          <w:rFonts w:cs="Arial"/>
          <w:szCs w:val="22"/>
        </w:rPr>
        <w:t xml:space="preserve">Figure </w:t>
      </w:r>
      <w:r w:rsidR="00C506C7" w:rsidRPr="004B3F43">
        <w:rPr>
          <w:rFonts w:cs="Arial"/>
          <w:noProof/>
          <w:szCs w:val="22"/>
        </w:rPr>
        <w:fldChar w:fldCharType="begin"/>
      </w:r>
      <w:r w:rsidR="00C506C7" w:rsidRPr="004B3F43">
        <w:rPr>
          <w:rFonts w:cs="Arial"/>
          <w:noProof/>
          <w:szCs w:val="22"/>
        </w:rPr>
        <w:instrText xml:space="preserve"> SEQ Figure \* ARABIC </w:instrText>
      </w:r>
      <w:r w:rsidR="00C506C7" w:rsidRPr="004B3F43">
        <w:rPr>
          <w:rFonts w:cs="Arial"/>
          <w:noProof/>
          <w:szCs w:val="22"/>
        </w:rPr>
        <w:fldChar w:fldCharType="separate"/>
      </w:r>
      <w:r w:rsidR="0067675D">
        <w:rPr>
          <w:rFonts w:cs="Arial"/>
          <w:noProof/>
          <w:szCs w:val="22"/>
        </w:rPr>
        <w:t>3</w:t>
      </w:r>
      <w:r w:rsidR="00C506C7" w:rsidRPr="004B3F43">
        <w:rPr>
          <w:rFonts w:cs="Arial"/>
          <w:noProof/>
          <w:szCs w:val="22"/>
        </w:rPr>
        <w:fldChar w:fldCharType="end"/>
      </w:r>
      <w:bookmarkEnd w:id="33"/>
      <w:r w:rsidRPr="004B3F43">
        <w:rPr>
          <w:rFonts w:cs="Arial"/>
          <w:szCs w:val="22"/>
        </w:rPr>
        <w:t xml:space="preserve">. </w:t>
      </w:r>
      <w:r w:rsidR="003D1F7F" w:rsidRPr="004B3F43">
        <w:rPr>
          <w:rFonts w:cs="Arial"/>
          <w:i/>
          <w:szCs w:val="22"/>
        </w:rPr>
        <w:t xml:space="preserve">Climate, environmental, seagrass </w:t>
      </w:r>
      <w:r w:rsidR="00A1555C" w:rsidRPr="004B3F43">
        <w:rPr>
          <w:rFonts w:cs="Arial"/>
          <w:i/>
          <w:szCs w:val="22"/>
        </w:rPr>
        <w:t>condition</w:t>
      </w:r>
      <w:r w:rsidR="003D1F7F" w:rsidRPr="004B3F43">
        <w:rPr>
          <w:rFonts w:cs="Arial"/>
          <w:i/>
          <w:szCs w:val="22"/>
        </w:rPr>
        <w:t xml:space="preserve"> and seagrass resilience indicators reported </w:t>
      </w:r>
      <w:r w:rsidRPr="004B3F43">
        <w:rPr>
          <w:rFonts w:cs="Arial"/>
          <w:i/>
          <w:szCs w:val="22"/>
        </w:rPr>
        <w:t xml:space="preserve">as part of </w:t>
      </w:r>
      <w:r w:rsidR="00E12259" w:rsidRPr="004B3F43">
        <w:rPr>
          <w:rFonts w:cs="Arial"/>
          <w:i/>
          <w:szCs w:val="22"/>
        </w:rPr>
        <w:t xml:space="preserve">inshore seagrass </w:t>
      </w:r>
      <w:r w:rsidRPr="004B3F43">
        <w:rPr>
          <w:rFonts w:cs="Arial"/>
          <w:i/>
          <w:szCs w:val="22"/>
        </w:rPr>
        <w:t>monitoring</w:t>
      </w:r>
      <w:r w:rsidR="003D1F7F" w:rsidRPr="004B3F43">
        <w:rPr>
          <w:rFonts w:cs="Arial"/>
          <w:i/>
          <w:szCs w:val="22"/>
        </w:rPr>
        <w:t>.</w:t>
      </w:r>
      <w:bookmarkEnd w:id="34"/>
    </w:p>
    <w:p w14:paraId="105AAD83" w14:textId="7EE56719" w:rsidR="00EC75B8" w:rsidRPr="00EC75B8" w:rsidRDefault="003D1F7F" w:rsidP="009F09A4">
      <w:pPr>
        <w:rPr>
          <w:rFonts w:cs="Arial"/>
          <w:i/>
          <w:szCs w:val="22"/>
        </w:rPr>
      </w:pPr>
      <w:r w:rsidRPr="004B3F43">
        <w:rPr>
          <w:rFonts w:cs="Arial"/>
          <w:i/>
          <w:szCs w:val="22"/>
        </w:rPr>
        <w:t xml:space="preserve"> </w:t>
      </w:r>
      <w:r w:rsidR="000813CB" w:rsidRPr="004B3F43">
        <w:rPr>
          <w:rFonts w:cs="Arial"/>
          <w:i/>
          <w:szCs w:val="22"/>
        </w:rPr>
        <w:t>Regular text</w:t>
      </w:r>
      <w:r w:rsidRPr="004B3F43">
        <w:rPr>
          <w:rFonts w:cs="Arial"/>
          <w:i/>
          <w:szCs w:val="22"/>
        </w:rPr>
        <w:t xml:space="preserve"> are indicators measured in the inshore seagrass program, white box with dashed line are indicators in development, and </w:t>
      </w:r>
      <w:r w:rsidR="000813CB" w:rsidRPr="004B3F43">
        <w:rPr>
          <w:rFonts w:cs="Arial"/>
          <w:i/>
          <w:szCs w:val="22"/>
        </w:rPr>
        <w:t>italicised text</w:t>
      </w:r>
      <w:r w:rsidRPr="004B3F43">
        <w:rPr>
          <w:rFonts w:cs="Arial"/>
          <w:i/>
          <w:szCs w:val="22"/>
        </w:rPr>
        <w:t xml:space="preserve"> are indicators collected in other programs or by other institutions (see Table </w:t>
      </w:r>
      <w:r w:rsidR="007D65EC" w:rsidRPr="004B3F43">
        <w:rPr>
          <w:rFonts w:cs="Arial"/>
          <w:i/>
          <w:szCs w:val="22"/>
        </w:rPr>
        <w:t>2</w:t>
      </w:r>
      <w:r w:rsidRPr="004B3F43">
        <w:rPr>
          <w:rFonts w:cs="Arial"/>
          <w:i/>
          <w:szCs w:val="22"/>
        </w:rPr>
        <w:t xml:space="preserve"> for details on </w:t>
      </w:r>
      <w:r w:rsidR="008A733C" w:rsidRPr="004B3F43">
        <w:rPr>
          <w:rFonts w:cs="Arial"/>
          <w:i/>
          <w:szCs w:val="22"/>
        </w:rPr>
        <w:t>data source</w:t>
      </w:r>
      <w:r w:rsidRPr="004B3F43">
        <w:rPr>
          <w:rFonts w:cs="Arial"/>
          <w:i/>
          <w:szCs w:val="22"/>
        </w:rPr>
        <w:t xml:space="preserve">). All indicators are shown against their response time. </w:t>
      </w:r>
    </w:p>
    <w:p w14:paraId="4498A544" w14:textId="18230C21" w:rsidR="003D1F7F" w:rsidRPr="004B3F43" w:rsidRDefault="004142AC" w:rsidP="009F09A4">
      <w:pPr>
        <w:rPr>
          <w:rFonts w:cs="Arial"/>
          <w:i/>
          <w:color w:val="000000" w:themeColor="text1"/>
          <w:szCs w:val="22"/>
        </w:rPr>
      </w:pPr>
      <w:r>
        <w:rPr>
          <w:rFonts w:cs="Arial"/>
          <w:i/>
          <w:color w:val="000000" w:themeColor="text1"/>
          <w:szCs w:val="22"/>
        </w:rPr>
        <w:br w:type="column"/>
      </w:r>
      <w:r w:rsidR="009A19FE" w:rsidRPr="004B3F43">
        <w:rPr>
          <w:rFonts w:cs="Arial"/>
          <w:i/>
          <w:color w:val="000000" w:themeColor="text1"/>
          <w:szCs w:val="22"/>
        </w:rPr>
        <w:lastRenderedPageBreak/>
        <w:t>Measures of s</w:t>
      </w:r>
      <w:r w:rsidR="00AF3F1D" w:rsidRPr="004B3F43">
        <w:rPr>
          <w:rFonts w:cs="Arial"/>
          <w:i/>
          <w:color w:val="000000" w:themeColor="text1"/>
          <w:szCs w:val="22"/>
        </w:rPr>
        <w:t xml:space="preserve">eagrass </w:t>
      </w:r>
      <w:r w:rsidR="00A1555C" w:rsidRPr="004B3F43">
        <w:rPr>
          <w:rFonts w:cs="Arial"/>
          <w:i/>
          <w:color w:val="000000" w:themeColor="text1"/>
          <w:szCs w:val="22"/>
        </w:rPr>
        <w:t>condition</w:t>
      </w:r>
    </w:p>
    <w:p w14:paraId="2F08FFF7" w14:textId="5E9F0B32" w:rsidR="003D1F7F" w:rsidRPr="004B3F43" w:rsidRDefault="00A1555C" w:rsidP="009F09A4">
      <w:pPr>
        <w:rPr>
          <w:rFonts w:cs="Arial"/>
          <w:color w:val="000000" w:themeColor="text1"/>
          <w:szCs w:val="22"/>
        </w:rPr>
      </w:pPr>
      <w:r w:rsidRPr="004B3F43">
        <w:rPr>
          <w:rFonts w:cs="Arial"/>
          <w:color w:val="000000" w:themeColor="text1"/>
          <w:szCs w:val="22"/>
        </w:rPr>
        <w:t>Condition</w:t>
      </w:r>
      <w:r w:rsidR="003D1F7F" w:rsidRPr="004B3F43">
        <w:rPr>
          <w:rFonts w:cs="Arial"/>
          <w:color w:val="000000" w:themeColor="text1"/>
          <w:szCs w:val="22"/>
        </w:rPr>
        <w:t xml:space="preserve"> indicators </w:t>
      </w:r>
      <w:r w:rsidR="00AF3F1D" w:rsidRPr="004B3F43">
        <w:rPr>
          <w:rFonts w:cs="Arial"/>
          <w:color w:val="000000" w:themeColor="text1"/>
          <w:szCs w:val="22"/>
        </w:rPr>
        <w:t>such as meadow a</w:t>
      </w:r>
      <w:r w:rsidR="003D1F7F" w:rsidRPr="004B3F43">
        <w:rPr>
          <w:rFonts w:cs="Arial"/>
          <w:color w:val="000000" w:themeColor="text1"/>
          <w:szCs w:val="22"/>
        </w:rPr>
        <w:t>bundance and extent indicate the state of the plants/population and reflect the cumulative effects of past environmental conditions</w:t>
      </w:r>
      <w:r w:rsidR="00624CE5" w:rsidRPr="004B3F43">
        <w:rPr>
          <w:rFonts w:cs="Arial"/>
          <w:color w:val="000000" w:themeColor="text1"/>
          <w:szCs w:val="22"/>
        </w:rPr>
        <w:t xml:space="preserve"> (</w:t>
      </w:r>
      <w:r w:rsidR="00502900" w:rsidRPr="004B3F43">
        <w:rPr>
          <w:rFonts w:cs="Arial"/>
          <w:color w:val="000000" w:themeColor="text1"/>
          <w:szCs w:val="22"/>
        </w:rPr>
        <w:fldChar w:fldCharType="begin"/>
      </w:r>
      <w:r w:rsidR="00502900" w:rsidRPr="004B3F43">
        <w:rPr>
          <w:rFonts w:cs="Arial"/>
          <w:color w:val="000000" w:themeColor="text1"/>
          <w:szCs w:val="22"/>
        </w:rPr>
        <w:instrText xml:space="preserve"> REF _Ref442084289 \h </w:instrText>
      </w:r>
      <w:r w:rsidR="00CB093C" w:rsidRPr="004B3F43">
        <w:rPr>
          <w:rFonts w:cs="Arial"/>
          <w:color w:val="000000" w:themeColor="text1"/>
          <w:szCs w:val="22"/>
        </w:rPr>
        <w:instrText xml:space="preserve"> \* MERGEFORMAT </w:instrText>
      </w:r>
      <w:r w:rsidR="00502900" w:rsidRPr="004B3F43">
        <w:rPr>
          <w:rFonts w:cs="Arial"/>
          <w:color w:val="000000" w:themeColor="text1"/>
          <w:szCs w:val="22"/>
        </w:rPr>
      </w:r>
      <w:r w:rsidR="00502900" w:rsidRPr="004B3F43">
        <w:rPr>
          <w:rFonts w:cs="Arial"/>
          <w:color w:val="000000" w:themeColor="text1"/>
          <w:szCs w:val="22"/>
        </w:rPr>
        <w:fldChar w:fldCharType="separate"/>
      </w:r>
      <w:r w:rsidR="0067675D" w:rsidRPr="004B3F43">
        <w:rPr>
          <w:rFonts w:cs="Arial"/>
          <w:szCs w:val="22"/>
        </w:rPr>
        <w:t xml:space="preserve">Figure </w:t>
      </w:r>
      <w:r w:rsidR="0067675D">
        <w:rPr>
          <w:rFonts w:cs="Arial"/>
          <w:noProof/>
          <w:szCs w:val="22"/>
        </w:rPr>
        <w:t>3</w:t>
      </w:r>
      <w:r w:rsidR="00502900" w:rsidRPr="004B3F43">
        <w:rPr>
          <w:rFonts w:cs="Arial"/>
          <w:color w:val="000000" w:themeColor="text1"/>
          <w:szCs w:val="22"/>
        </w:rPr>
        <w:fldChar w:fldCharType="end"/>
      </w:r>
      <w:r w:rsidR="00624CE5" w:rsidRPr="004B3F43">
        <w:rPr>
          <w:rFonts w:cs="Arial"/>
          <w:color w:val="000000" w:themeColor="text1"/>
          <w:szCs w:val="22"/>
        </w:rPr>
        <w:t>)</w:t>
      </w:r>
      <w:r w:rsidR="003D1F7F" w:rsidRPr="004B3F43">
        <w:rPr>
          <w:rFonts w:cs="Arial"/>
          <w:color w:val="000000" w:themeColor="text1"/>
          <w:szCs w:val="22"/>
        </w:rPr>
        <w:t>. Abundance can respond to change</w:t>
      </w:r>
      <w:r w:rsidR="00C34AC4" w:rsidRPr="004B3F43">
        <w:rPr>
          <w:rFonts w:cs="Arial"/>
          <w:color w:val="000000" w:themeColor="text1"/>
          <w:szCs w:val="22"/>
        </w:rPr>
        <w:t xml:space="preserve"> </w:t>
      </w:r>
      <w:r w:rsidR="003D1F7F" w:rsidRPr="004B3F43">
        <w:rPr>
          <w:rFonts w:cs="Arial"/>
          <w:color w:val="000000" w:themeColor="text1"/>
          <w:szCs w:val="22"/>
        </w:rPr>
        <w:t xml:space="preserve">on time-scales ranging from </w:t>
      </w:r>
      <w:r w:rsidR="00AF3F1D" w:rsidRPr="004B3F43">
        <w:rPr>
          <w:rFonts w:cs="Arial"/>
          <w:color w:val="000000" w:themeColor="text1"/>
          <w:szCs w:val="22"/>
        </w:rPr>
        <w:t>weeks</w:t>
      </w:r>
      <w:r w:rsidR="003D1F7F" w:rsidRPr="004B3F43">
        <w:rPr>
          <w:rFonts w:cs="Arial"/>
          <w:color w:val="000000" w:themeColor="text1"/>
          <w:szCs w:val="22"/>
        </w:rPr>
        <w:t xml:space="preserve"> to months (depending on species)</w:t>
      </w:r>
      <w:r w:rsidR="00B40F12" w:rsidRPr="004B3F43">
        <w:rPr>
          <w:rFonts w:cs="Arial"/>
          <w:color w:val="000000" w:themeColor="text1"/>
          <w:szCs w:val="22"/>
        </w:rPr>
        <w:t xml:space="preserve"> in the </w:t>
      </w:r>
      <w:r w:rsidR="00F206BF" w:rsidRPr="004B3F43">
        <w:rPr>
          <w:rFonts w:cs="Arial"/>
          <w:color w:val="000000" w:themeColor="text1"/>
          <w:szCs w:val="22"/>
        </w:rPr>
        <w:t>Reef</w:t>
      </w:r>
      <w:r w:rsidR="003D1F7F" w:rsidRPr="004B3F43">
        <w:rPr>
          <w:rFonts w:cs="Arial"/>
          <w:color w:val="000000" w:themeColor="text1"/>
          <w:szCs w:val="22"/>
        </w:rPr>
        <w:t xml:space="preserve">, while meadow area tends to adjust over longer time-scales (months to years). </w:t>
      </w:r>
      <w:r w:rsidR="00B40F12" w:rsidRPr="004B3F43">
        <w:rPr>
          <w:rFonts w:cs="Arial"/>
          <w:color w:val="000000" w:themeColor="text1"/>
          <w:szCs w:val="22"/>
        </w:rPr>
        <w:t>Seagrass area and abundance</w:t>
      </w:r>
      <w:r w:rsidR="003D1F7F" w:rsidRPr="004B3F43">
        <w:rPr>
          <w:rFonts w:cs="Arial"/>
          <w:color w:val="000000" w:themeColor="text1"/>
          <w:szCs w:val="22"/>
        </w:rPr>
        <w:t xml:space="preserve"> are integrators of past conditions, and are vital indicators of meadow </w:t>
      </w:r>
      <w:r w:rsidRPr="004B3F43">
        <w:rPr>
          <w:rFonts w:cs="Arial"/>
          <w:color w:val="000000" w:themeColor="text1"/>
          <w:szCs w:val="22"/>
        </w:rPr>
        <w:t>condition</w:t>
      </w:r>
      <w:r w:rsidR="00B40F12" w:rsidRPr="004B3F43">
        <w:rPr>
          <w:rFonts w:cs="Arial"/>
          <w:color w:val="000000" w:themeColor="text1"/>
          <w:szCs w:val="22"/>
        </w:rPr>
        <w:t>; however, these indicators</w:t>
      </w:r>
      <w:r w:rsidR="003D1F7F" w:rsidRPr="004B3F43">
        <w:rPr>
          <w:rFonts w:cs="Arial"/>
          <w:color w:val="000000" w:themeColor="text1"/>
          <w:szCs w:val="22"/>
        </w:rPr>
        <w:t xml:space="preserve"> can </w:t>
      </w:r>
      <w:r w:rsidR="00B40F12" w:rsidRPr="004B3F43">
        <w:rPr>
          <w:rFonts w:cs="Arial"/>
          <w:color w:val="000000" w:themeColor="text1"/>
          <w:szCs w:val="22"/>
        </w:rPr>
        <w:t xml:space="preserve">also </w:t>
      </w:r>
      <w:r w:rsidR="003D1F7F" w:rsidRPr="004B3F43">
        <w:rPr>
          <w:rFonts w:cs="Arial"/>
          <w:color w:val="000000" w:themeColor="text1"/>
          <w:szCs w:val="22"/>
        </w:rPr>
        <w:t xml:space="preserve">be affected by external factors such as grazing by </w:t>
      </w:r>
      <w:r w:rsidR="008A733C" w:rsidRPr="004B3F43">
        <w:rPr>
          <w:rFonts w:cs="Arial"/>
          <w:color w:val="000000" w:themeColor="text1"/>
          <w:szCs w:val="22"/>
        </w:rPr>
        <w:t>dugongs and turtles</w:t>
      </w:r>
      <w:r w:rsidR="00B40F12" w:rsidRPr="004B3F43">
        <w:rPr>
          <w:rFonts w:cs="Arial"/>
          <w:color w:val="000000" w:themeColor="text1"/>
          <w:szCs w:val="22"/>
        </w:rPr>
        <w:t>. T</w:t>
      </w:r>
      <w:r w:rsidR="003D1F7F" w:rsidRPr="004B3F43">
        <w:rPr>
          <w:rFonts w:cs="Arial"/>
          <w:color w:val="000000" w:themeColor="text1"/>
          <w:szCs w:val="22"/>
        </w:rPr>
        <w:t xml:space="preserve">herefore, </w:t>
      </w:r>
      <w:r w:rsidR="00B40F12" w:rsidRPr="004B3F43">
        <w:rPr>
          <w:rFonts w:cs="Arial"/>
          <w:color w:val="000000" w:themeColor="text1"/>
          <w:szCs w:val="22"/>
        </w:rPr>
        <w:t xml:space="preserve">they </w:t>
      </w:r>
      <w:r w:rsidR="003D1F7F" w:rsidRPr="004B3F43">
        <w:rPr>
          <w:rFonts w:cs="Arial"/>
          <w:color w:val="000000" w:themeColor="text1"/>
          <w:szCs w:val="22"/>
        </w:rPr>
        <w:t xml:space="preserve">are not suitable as stand-alone indicators of environmental change </w:t>
      </w:r>
      <w:r w:rsidR="0008791E" w:rsidRPr="004B3F43">
        <w:rPr>
          <w:rFonts w:cs="Arial"/>
          <w:color w:val="000000" w:themeColor="text1"/>
          <w:szCs w:val="22"/>
        </w:rPr>
        <w:t xml:space="preserve">and </w:t>
      </w:r>
      <w:r w:rsidR="00B40F12" w:rsidRPr="004B3F43">
        <w:rPr>
          <w:rFonts w:cs="Arial"/>
          <w:color w:val="000000" w:themeColor="text1"/>
          <w:szCs w:val="22"/>
        </w:rPr>
        <w:t>indicators that can be linked more directly to specific pressures</w:t>
      </w:r>
      <w:r w:rsidR="00C34AC4" w:rsidRPr="004B3F43">
        <w:rPr>
          <w:rFonts w:cs="Arial"/>
          <w:color w:val="000000" w:themeColor="text1"/>
          <w:szCs w:val="22"/>
        </w:rPr>
        <w:t xml:space="preserve"> are needed</w:t>
      </w:r>
      <w:r w:rsidR="00B40F12" w:rsidRPr="004B3F43">
        <w:rPr>
          <w:rFonts w:cs="Arial"/>
          <w:color w:val="000000" w:themeColor="text1"/>
          <w:szCs w:val="22"/>
        </w:rPr>
        <w:t xml:space="preserve">. These condition indicators also </w:t>
      </w:r>
      <w:r w:rsidR="003D1F7F" w:rsidRPr="004B3F43">
        <w:rPr>
          <w:rFonts w:cs="Arial"/>
          <w:color w:val="000000" w:themeColor="text1"/>
          <w:szCs w:val="22"/>
        </w:rPr>
        <w:t>do not demonstrate capacity to resist or recover from additional impacts</w:t>
      </w:r>
      <w:r w:rsidR="0074091B" w:rsidRPr="004B3F43">
        <w:rPr>
          <w:rFonts w:cs="Arial"/>
          <w:color w:val="000000" w:themeColor="text1"/>
          <w:szCs w:val="22"/>
        </w:rPr>
        <w:t xml:space="preserve"> (</w:t>
      </w:r>
      <w:hyperlink w:anchor="_ENREF_145" w:tooltip="Unsworth, 2015 #10447"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&lt;EndNote&gt;&lt;Cite&gt;&lt;Author&gt;Unsworth&lt;/Author&gt;&lt;Year&gt;2015&lt;/Year&gt;&lt;RecNum&gt;10447&lt;/RecNum&gt;&lt;DisplayText&gt;Unsworth&lt;style face="italic"&gt; et al.&lt;/style&gt; 2015&lt;/DisplayText&gt;&lt;record&gt;&lt;rec-number&gt;10447&lt;/rec-number&gt;&lt;foreign-keys&gt;&lt;key app="EN" db-id="0eve55x9y5vfd6e9dacxtew4eatve2dzds9a" timestamp="1450650288"&gt;10447&lt;/key&gt;&lt;/foreign-keys&gt;&lt;ref-type name="Journal Article"&gt;17&lt;/ref-type&gt;&lt;contributors&gt;&lt;authors&gt;&lt;author&gt;Unsworth, Richard K. F.&lt;/author&gt;&lt;author&gt;Collier, Catherine J.&lt;/author&gt;&lt;author&gt;Waycott, Michelle&lt;/author&gt;&lt;author&gt;McKenzie, Len J.&lt;/author&gt;&lt;author&gt;Cullen-Unsworth, Leanne C.&lt;/author&gt;&lt;/authors&gt;&lt;/contributors&gt;&lt;titles&gt;&lt;title&gt;A framework for the resilience of seagrass ecosystems&lt;/title&gt;&lt;secondary-title&gt;Marine Pollution Bulletin&lt;/secondary-title&gt;&lt;/titles&gt;&lt;periodical&gt;&lt;full-title&gt;Marine Pollution Bulletin&lt;/full-title&gt;&lt;/periodical&gt;&lt;pages&gt;34-46&lt;/pages&gt;&lt;volume&gt;100&lt;/volume&gt;&lt;number&gt;1&lt;/number&gt;&lt;keywords&gt;&lt;keyword&gt;Conservation&lt;/keyword&gt;&lt;keyword&gt;Management&lt;/keyword&gt;&lt;keyword&gt;Eelgrass&lt;/keyword&gt;&lt;keyword&gt;Meadows&lt;/keyword&gt;&lt;keyword&gt;Biodiversity&lt;/keyword&gt;&lt;keyword&gt;Connectivity&lt;/keyword&gt;&lt;/keywords&gt;&lt;dates&gt;&lt;year&gt;2015&lt;/year&gt;&lt;/dates&gt;&lt;isbn&gt;0025-326X&lt;/isbn&gt;&lt;urls&gt;&lt;related-urls&gt;&lt;url&gt;http://www.sciencedirect.com/science/article/pii/S0025326X15005202&lt;/url&gt;&lt;/related-urls&gt;&lt;/urls&gt;&lt;electronic-resource-num&gt;http://dx.doi.org/10.1016/j.marpolbul.2015.08.016&lt;/electronic-resource-num&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Unsworth</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2015</w:t>
        </w:r>
        <w:r w:rsidR="009A7AB4" w:rsidRPr="004B3F43">
          <w:rPr>
            <w:rFonts w:cs="Arial"/>
            <w:color w:val="000000" w:themeColor="text1"/>
            <w:szCs w:val="22"/>
          </w:rPr>
          <w:fldChar w:fldCharType="end"/>
        </w:r>
      </w:hyperlink>
      <w:r w:rsidR="0074091B" w:rsidRPr="004B3F43">
        <w:rPr>
          <w:rFonts w:cs="Arial"/>
          <w:color w:val="000000" w:themeColor="text1"/>
          <w:szCs w:val="22"/>
        </w:rPr>
        <w:t>).</w:t>
      </w:r>
    </w:p>
    <w:p w14:paraId="7BB2D78D" w14:textId="1C129C7D" w:rsidR="00CD2634" w:rsidRPr="004B3F43" w:rsidRDefault="00697F5D" w:rsidP="009F09A4">
      <w:pPr>
        <w:rPr>
          <w:rFonts w:cs="Arial"/>
          <w:color w:val="000000" w:themeColor="text1"/>
          <w:szCs w:val="22"/>
        </w:rPr>
      </w:pPr>
      <w:r w:rsidRPr="004B3F43">
        <w:rPr>
          <w:rFonts w:cs="Arial"/>
          <w:color w:val="000000" w:themeColor="text1"/>
          <w:szCs w:val="22"/>
        </w:rPr>
        <w:t xml:space="preserve">Changing </w:t>
      </w:r>
      <w:r w:rsidR="002C5D6E" w:rsidRPr="004B3F43">
        <w:rPr>
          <w:rFonts w:cs="Arial"/>
          <w:color w:val="000000" w:themeColor="text1"/>
          <w:szCs w:val="22"/>
        </w:rPr>
        <w:t xml:space="preserve">ratios of seagrass tissue nutrients provide an indication of seagrass condition and environmental conditions. </w:t>
      </w:r>
      <w:r w:rsidR="00CD2634" w:rsidRPr="004B3F43">
        <w:rPr>
          <w:rFonts w:cs="Arial"/>
          <w:color w:val="000000" w:themeColor="text1"/>
          <w:szCs w:val="22"/>
        </w:rPr>
        <w:t>Carbon to nitrogen (</w:t>
      </w:r>
      <w:r w:rsidRPr="004B3F43">
        <w:rPr>
          <w:rFonts w:cs="Arial"/>
          <w:color w:val="000000" w:themeColor="text1"/>
          <w:szCs w:val="22"/>
        </w:rPr>
        <w:t>C:N</w:t>
      </w:r>
      <w:r w:rsidR="00CD2634" w:rsidRPr="004B3F43">
        <w:rPr>
          <w:rFonts w:cs="Arial"/>
          <w:color w:val="000000" w:themeColor="text1"/>
          <w:szCs w:val="22"/>
        </w:rPr>
        <w:t>)</w:t>
      </w:r>
      <w:r w:rsidRPr="004B3F43">
        <w:rPr>
          <w:rFonts w:cs="Arial"/>
          <w:color w:val="000000" w:themeColor="text1"/>
          <w:szCs w:val="22"/>
        </w:rPr>
        <w:t xml:space="preserve"> ratios have been found in a number of experiments and field surveys to be related to light levels, as leaves with an atomic C:N ratio of less than 20, may suggest reduced light availability when N is not in surplus (</w:t>
      </w:r>
      <w:r w:rsidRPr="004B3F43">
        <w:rPr>
          <w:rFonts w:cs="Arial"/>
          <w:color w:val="000000" w:themeColor="text1"/>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eWxlPiAxOTk2PC9EaXNwbGF5VGV4dD48cmVjb3JkPjxyZWMtbnVtYmVyPjc0MDU8L3JlYy1udW1i
ZXI+PGZvcmVpZ24ta2V5cz48a2V5IGFwcD0iRU4iIGRiLWlkPSIwZXZlNTV4OXk1dmZkNmU5ZGFj
eHRldzRlYXR2ZTJkemRzOWEiIHRpbWVzdGFtcD0iMCI+NzQwNTwva2V5PjwvZm9yZWlnbi1rZXlz
PjxyZWYtdHlwZSBuYW1lPSJKb3VybmFsIEFydGljbGUiPjE3PC9yZWYtdHlwZT48Y29udHJpYnV0
b3JzPjxhdXRob3JzPjxhdXRob3I+QWJhbCwgRS5HLjwvYXV0aG9yPjxhdXRob3I+TG9uZXJhZ2Fu
LCBOLlIuPC9hdXRob3I+PGF1dGhvcj5Cb3dlbiwgUC48L2F1dGhvcj48YXV0aG9yPlBlcnJ5LCBD
LkouPC9hdXRob3I+PGF1dGhvcj5VZHksIEouVy48L2F1dGhvcj48YXV0aG9yPkRlbm5pc29uLCBX
LkMuPC9hdXRob3I+PC9hdXRob3JzPjwvY29udHJpYnV0b3JzPjx0aXRsZXM+PHRpdGxlPjxzdHls
ZSBmYWNlPSJub3JtYWwiIGZvbnQ9ImRlZmF1bHQiIHNpemU9IjEwMCUiPlBoeXNpb2xvZ2ljYWwg
YW5kIG1vcnBob2xvZ2ljYWwgcmVzcG9uc2VzIG9mIHRoZSBzZWFncmFzcyA8L3N0eWxlPjxzdHls
ZSBmYWNlPSJpdGFsaWMiIGZvbnQ9ImRlZmF1bHQiIHNpemU9IjEwMCUiPlpvc3RlcmEgY2Fwcmlj
b3JuaTwvc3R5bGU+PHN0eWxlIGZhY2U9Im5vcm1hbCIgZm9udD0iZGVmYXVsdCIgc2l6ZT0iMTAw
JSI+IEFzY2hlcnMuIHRvIGxpZ2h0IGludGVuc2l0eTwvc3R5bGU+PC90aXRsZT48c2Vjb25kYXJ5
LXRpdGxlPkpvdXJuYWwgb2YgRXhwZXJpbWVudGFsIE1hcmluZSBCaW9sb2d5IGFuZCBFY29sb2d5
PC9zZWNvbmRhcnktdGl0bGU+PC90aXRsZXM+PHBlcmlvZGljYWw+PGZ1bGwtdGl0bGU+Sm91cm5h
bCBvZiBFeHBlcmltZW50YWwgTWFyaW5lIEJpb2xvZ3kgYW5kIEVjb2xvZ3k8L2Z1bGwtdGl0bGU+
PC9wZXJpb2RpY2FsPjxwYWdlcz4xMTMtMTI5PC9wYWdlcz48dm9sdW1lPjE3ODwvdm9sdW1lPjxu
dW1iZXI+MTwvbnVtYmVyPjxkYXRlcz48eWVhcj4xOTk0PC95ZWFyPjwvZGF0ZXM+PHVybHM+PC91
cmxzPjwvcmVjb3JkPjwvQ2l0ZT48Q2l0ZT48QXV0aG9yPkdyaWNlPC9BdXRob3I+PFllYXI+MTk5
NjwvWWVhcj48UmVjTnVtPjEzNDY8L1JlY051bT48cmVjb3JkPjxyZWMtbnVtYmVyPjEzNDY8L3Jl
Yy1udW1iZXI+PGZvcmVpZ24ta2V5cz48a2V5IGFwcD0iRU4iIGRiLWlkPSIwZXZlNTV4OXk1dmZk
NmU5ZGFjeHRldzRlYXR2ZTJkemRzOWEiIHRpbWVzdGFtcD0iMCI+MTM0Njwva2V5PjwvZm9yZWln
bi1rZXlzPjxyZWYtdHlwZSBuYW1lPSJKb3VybmFsIEFydGljbGUiPjE3PC9yZWYtdHlwZT48Y29u
dHJpYnV0b3JzPjxhdXRob3JzPjxhdXRob3I+R3JpY2UsIEFNPC9hdXRob3I+PGF1dGhvcj5Mb25l
cmFnYW4sIE5SPC9hdXRob3I+PGF1dGhvcj5EZW5uaXNvbiwgV0M8L2F1dGhvcj48L2F1dGhvcnM+
PC9jb250cmlidXRvcnM+PHRpdGxlcz48dGl0bGU+TGlnaHQgaW50ZW5zaXR5IGFuZCB0aGUgaW50
ZXJhY3Rpb25zIGJldHdlZW4gcGh5c2lvbG9neSwgbW9ycGhvbG9neSBhbmQgc3RhYmxlIGlzb3Rv
cGUgcmF0aW9zIGluIGZpdmUgc3BlY2llcyBvZiBzZWFncmFzczwvdGl0bGU+PHNlY29uZGFyeS10
aXRsZT5Kb3VybmFsIG9mIEV4cGVyaW1lbnRhbCBNYXJpbmUgQmlvbG9neSBhbmQgRWNvbG9neTwv
c2Vjb25kYXJ5LXRpdGxlPjxhbHQtdGl0bGU+Si4gRXhwLiBNYXIuIEJpb2wuIEVjb2wuPC9hbHQt
dGl0bGU+PC90aXRsZXM+PHBlcmlvZGljYWw+PGZ1bGwtdGl0bGU+Sm91cm5hbCBvZiBFeHBlcmlt
ZW50YWwgTWFyaW5lIEJpb2xvZ3kgYW5kIEVjb2xvZ3k8L2Z1bGwtdGl0bGU+PC9wZXJpb2RpY2Fs
PjxwYWdlcz45MS0xMTA8L3BhZ2VzPjx2b2x1bWU+MTk1PC92b2x1bWU+PGtleXdvcmRzPjxrZXl3
b3JkPkNhcmJvbiwgTGlnaHQsIE5pdHJvZ2VuLCBTZWFncmFzcywgU3RhYmxlIGlzb3RvcGUgcmF0
aW88L2tleXdvcmQ+PC9rZXl3b3Jkcz48ZGF0ZXM+PHllYXI+MTk5NjwveWVhcj48L2RhdGVzPjx1
cmxzPjwvdXJscz48Y3VzdG9tMT5MZW4gTWNLZW56aWUgQ29sbGVjdGlvbjwvY3VzdG9tMT48L3Jl
Y29yZD48L0NpdGU+PC9FbmROb3RlPgB=
</w:fldData>
        </w:fldChar>
      </w:r>
      <w:r w:rsidR="004A409C">
        <w:rPr>
          <w:rFonts w:cs="Arial"/>
          <w:color w:val="000000" w:themeColor="text1"/>
          <w:szCs w:val="22"/>
        </w:rPr>
        <w:instrText xml:space="preserve"> ADDIN EN.CITE </w:instrText>
      </w:r>
      <w:r w:rsidR="004A409C">
        <w:rPr>
          <w:rFonts w:cs="Arial"/>
          <w:color w:val="000000" w:themeColor="text1"/>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eWxlPiAxOTk2PC9EaXNwbGF5VGV4dD48cmVjb3JkPjxyZWMtbnVtYmVyPjc0MDU8L3JlYy1udW1i
ZXI+PGZvcmVpZ24ta2V5cz48a2V5IGFwcD0iRU4iIGRiLWlkPSIwZXZlNTV4OXk1dmZkNmU5ZGFj
eHRldzRlYXR2ZTJkemRzOWEiIHRpbWVzdGFtcD0iMCI+NzQwNTwva2V5PjwvZm9yZWlnbi1rZXlz
PjxyZWYtdHlwZSBuYW1lPSJKb3VybmFsIEFydGljbGUiPjE3PC9yZWYtdHlwZT48Y29udHJpYnV0
b3JzPjxhdXRob3JzPjxhdXRob3I+QWJhbCwgRS5HLjwvYXV0aG9yPjxhdXRob3I+TG9uZXJhZ2Fu
LCBOLlIuPC9hdXRob3I+PGF1dGhvcj5Cb3dlbiwgUC48L2F1dGhvcj48YXV0aG9yPlBlcnJ5LCBD
LkouPC9hdXRob3I+PGF1dGhvcj5VZHksIEouVy48L2F1dGhvcj48YXV0aG9yPkRlbm5pc29uLCBX
LkMuPC9hdXRob3I+PC9hdXRob3JzPjwvY29udHJpYnV0b3JzPjx0aXRsZXM+PHRpdGxlPjxzdHls
ZSBmYWNlPSJub3JtYWwiIGZvbnQ9ImRlZmF1bHQiIHNpemU9IjEwMCUiPlBoeXNpb2xvZ2ljYWwg
YW5kIG1vcnBob2xvZ2ljYWwgcmVzcG9uc2VzIG9mIHRoZSBzZWFncmFzcyA8L3N0eWxlPjxzdHls
ZSBmYWNlPSJpdGFsaWMiIGZvbnQ9ImRlZmF1bHQiIHNpemU9IjEwMCUiPlpvc3RlcmEgY2Fwcmlj
b3JuaTwvc3R5bGU+PHN0eWxlIGZhY2U9Im5vcm1hbCIgZm9udD0iZGVmYXVsdCIgc2l6ZT0iMTAw
JSI+IEFzY2hlcnMuIHRvIGxpZ2h0IGludGVuc2l0eTwvc3R5bGU+PC90aXRsZT48c2Vjb25kYXJ5
LXRpdGxlPkpvdXJuYWwgb2YgRXhwZXJpbWVudGFsIE1hcmluZSBCaW9sb2d5IGFuZCBFY29sb2d5
PC9zZWNvbmRhcnktdGl0bGU+PC90aXRsZXM+PHBlcmlvZGljYWw+PGZ1bGwtdGl0bGU+Sm91cm5h
bCBvZiBFeHBlcmltZW50YWwgTWFyaW5lIEJpb2xvZ3kgYW5kIEVjb2xvZ3k8L2Z1bGwtdGl0bGU+
PC9wZXJpb2RpY2FsPjxwYWdlcz4xMTMtMTI5PC9wYWdlcz48dm9sdW1lPjE3ODwvdm9sdW1lPjxu
dW1iZXI+MTwvbnVtYmVyPjxkYXRlcz48eWVhcj4xOTk0PC95ZWFyPjwvZGF0ZXM+PHVybHM+PC91
cmxzPjwvcmVjb3JkPjwvQ2l0ZT48Q2l0ZT48QXV0aG9yPkdyaWNlPC9BdXRob3I+PFllYXI+MTk5
NjwvWWVhcj48UmVjTnVtPjEzNDY8L1JlY051bT48cmVjb3JkPjxyZWMtbnVtYmVyPjEzNDY8L3Jl
Yy1udW1iZXI+PGZvcmVpZ24ta2V5cz48a2V5IGFwcD0iRU4iIGRiLWlkPSIwZXZlNTV4OXk1dmZk
NmU5ZGFjeHRldzRlYXR2ZTJkemRzOWEiIHRpbWVzdGFtcD0iMCI+MTM0Njwva2V5PjwvZm9yZWln
bi1rZXlzPjxyZWYtdHlwZSBuYW1lPSJKb3VybmFsIEFydGljbGUiPjE3PC9yZWYtdHlwZT48Y29u
dHJpYnV0b3JzPjxhdXRob3JzPjxhdXRob3I+R3JpY2UsIEFNPC9hdXRob3I+PGF1dGhvcj5Mb25l
cmFnYW4sIE5SPC9hdXRob3I+PGF1dGhvcj5EZW5uaXNvbiwgV0M8L2F1dGhvcj48L2F1dGhvcnM+
PC9jb250cmlidXRvcnM+PHRpdGxlcz48dGl0bGU+TGlnaHQgaW50ZW5zaXR5IGFuZCB0aGUgaW50
ZXJhY3Rpb25zIGJldHdlZW4gcGh5c2lvbG9neSwgbW9ycGhvbG9neSBhbmQgc3RhYmxlIGlzb3Rv
cGUgcmF0aW9zIGluIGZpdmUgc3BlY2llcyBvZiBzZWFncmFzczwvdGl0bGU+PHNlY29uZGFyeS10
aXRsZT5Kb3VybmFsIG9mIEV4cGVyaW1lbnRhbCBNYXJpbmUgQmlvbG9neSBhbmQgRWNvbG9neTwv
c2Vjb25kYXJ5LXRpdGxlPjxhbHQtdGl0bGU+Si4gRXhwLiBNYXIuIEJpb2wuIEVjb2wuPC9hbHQt
dGl0bGU+PC90aXRsZXM+PHBlcmlvZGljYWw+PGZ1bGwtdGl0bGU+Sm91cm5hbCBvZiBFeHBlcmlt
ZW50YWwgTWFyaW5lIEJpb2xvZ3kgYW5kIEVjb2xvZ3k8L2Z1bGwtdGl0bGU+PC9wZXJpb2RpY2Fs
PjxwYWdlcz45MS0xMTA8L3BhZ2VzPjx2b2x1bWU+MTk1PC92b2x1bWU+PGtleXdvcmRzPjxrZXl3
b3JkPkNhcmJvbiwgTGlnaHQsIE5pdHJvZ2VuLCBTZWFncmFzcywgU3RhYmxlIGlzb3RvcGUgcmF0
aW88L2tleXdvcmQ+PC9rZXl3b3Jkcz48ZGF0ZXM+PHllYXI+MTk5NjwveWVhcj48L2RhdGVzPjx1
cmxzPjwvdXJscz48Y3VzdG9tMT5MZW4gTWNLZW56aWUgQ29sbGVjdGlvbjwvY3VzdG9tMT48L3Jl
Y29yZD48L0NpdGU+PC9FbmROb3RlPgB=
</w:fldData>
        </w:fldChar>
      </w:r>
      <w:r w:rsidR="004A409C">
        <w:rPr>
          <w:rFonts w:cs="Arial"/>
          <w:color w:val="000000" w:themeColor="text1"/>
          <w:szCs w:val="22"/>
        </w:rPr>
        <w:instrText xml:space="preserve"> ADDIN EN.CITE.DATA </w:instrText>
      </w:r>
      <w:r w:rsidR="004A409C">
        <w:rPr>
          <w:rFonts w:cs="Arial"/>
          <w:color w:val="000000" w:themeColor="text1"/>
          <w:szCs w:val="22"/>
        </w:rPr>
      </w:r>
      <w:r w:rsidR="004A409C">
        <w:rPr>
          <w:rFonts w:cs="Arial"/>
          <w:color w:val="000000" w:themeColor="text1"/>
          <w:szCs w:val="22"/>
        </w:rPr>
        <w:fldChar w:fldCharType="end"/>
      </w:r>
      <w:r w:rsidRPr="004B3F43">
        <w:rPr>
          <w:rFonts w:cs="Arial"/>
          <w:color w:val="000000" w:themeColor="text1"/>
          <w:szCs w:val="22"/>
        </w:rPr>
      </w:r>
      <w:r w:rsidRPr="004B3F43">
        <w:rPr>
          <w:rFonts w:cs="Arial"/>
          <w:color w:val="000000" w:themeColor="text1"/>
          <w:szCs w:val="22"/>
        </w:rPr>
        <w:fldChar w:fldCharType="separate"/>
      </w:r>
      <w:hyperlink w:anchor="_ENREF_1" w:tooltip="Abal, 1994 #7405" w:history="1">
        <w:r w:rsidR="009A7AB4">
          <w:rPr>
            <w:rFonts w:cs="Arial"/>
            <w:noProof/>
            <w:color w:val="000000" w:themeColor="text1"/>
            <w:szCs w:val="22"/>
          </w:rPr>
          <w:t>Abal</w:t>
        </w:r>
        <w:r w:rsidR="009A7AB4" w:rsidRPr="004A409C">
          <w:rPr>
            <w:rFonts w:cs="Arial"/>
            <w:i/>
            <w:noProof/>
            <w:color w:val="000000" w:themeColor="text1"/>
            <w:szCs w:val="22"/>
          </w:rPr>
          <w:t xml:space="preserve"> et al.</w:t>
        </w:r>
        <w:r w:rsidR="009A7AB4">
          <w:rPr>
            <w:rFonts w:cs="Arial"/>
            <w:noProof/>
            <w:color w:val="000000" w:themeColor="text1"/>
            <w:szCs w:val="22"/>
          </w:rPr>
          <w:t xml:space="preserve"> 1994</w:t>
        </w:r>
      </w:hyperlink>
      <w:r w:rsidR="004A409C">
        <w:rPr>
          <w:rFonts w:cs="Arial"/>
          <w:noProof/>
          <w:color w:val="000000" w:themeColor="text1"/>
          <w:szCs w:val="22"/>
        </w:rPr>
        <w:t xml:space="preserve">; </w:t>
      </w:r>
      <w:hyperlink w:anchor="_ENREF_66" w:tooltip="Grice, 1996 #1346" w:history="1">
        <w:r w:rsidR="009A7AB4">
          <w:rPr>
            <w:rFonts w:cs="Arial"/>
            <w:noProof/>
            <w:color w:val="000000" w:themeColor="text1"/>
            <w:szCs w:val="22"/>
          </w:rPr>
          <w:t>Grice</w:t>
        </w:r>
        <w:r w:rsidR="009A7AB4" w:rsidRPr="004A409C">
          <w:rPr>
            <w:rFonts w:cs="Arial"/>
            <w:i/>
            <w:noProof/>
            <w:color w:val="000000" w:themeColor="text1"/>
            <w:szCs w:val="22"/>
          </w:rPr>
          <w:t xml:space="preserve"> et al.</w:t>
        </w:r>
        <w:r w:rsidR="009A7AB4">
          <w:rPr>
            <w:rFonts w:cs="Arial"/>
            <w:noProof/>
            <w:color w:val="000000" w:themeColor="text1"/>
            <w:szCs w:val="22"/>
          </w:rPr>
          <w:t xml:space="preserve"> 1996</w:t>
        </w:r>
      </w:hyperlink>
      <w:r w:rsidRPr="004B3F43">
        <w:rPr>
          <w:rFonts w:cs="Arial"/>
          <w:color w:val="000000" w:themeColor="text1"/>
          <w:szCs w:val="22"/>
        </w:rPr>
        <w:fldChar w:fldCharType="end"/>
      </w:r>
      <w:r w:rsidRPr="004B3F43">
        <w:rPr>
          <w:rFonts w:cs="Arial"/>
          <w:color w:val="000000" w:themeColor="text1"/>
          <w:szCs w:val="22"/>
        </w:rPr>
        <w:t xml:space="preserve">; </w:t>
      </w:r>
      <w:hyperlink w:anchor="_ENREF_17" w:tooltip="Cabaço, 2007 #9489"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&lt;EndNote&gt;&lt;Cite&gt;&lt;Author&gt;Cabaço&lt;/Author&gt;&lt;Year&gt;2007&lt;/Year&gt;&lt;RecNum&gt;9489&lt;/RecNum&gt;&lt;DisplayText&gt;Cabaço and Santos 2007&lt;/DisplayText&gt;&lt;record&gt;&lt;rec-number&gt;9489&lt;/rec-number&gt;&lt;foreign-keys&gt;&lt;key app="EN" db-id="0eve55x9y5vfd6e9dacxtew4eatve2dzds9a" timestamp="1375842305"&gt;9489&lt;/key&gt;&lt;/foreign-keys&gt;&lt;ref-type name="Journal Article"&gt;17&lt;/ref-type&gt;&lt;contributors&gt;&lt;authors&gt;&lt;author&gt;Cabaço, S&lt;/author&gt;&lt;author&gt;Santos, R&lt;/author&gt;&lt;/authors&gt;&lt;/contributors&gt;&lt;titles&gt;&lt;title&gt;Effects of burial and erosion on the seagrass Zostera noltii&lt;/title&gt;&lt;secondary-title&gt;Journal of Experimental Marine Biology and Ecology&lt;/secondary-title&gt;&lt;/titles&gt;&lt;periodical&gt;&lt;full-title&gt;Journal of Experimental Marine Biology and Ecology&lt;/full-title&gt;&lt;/periodical&gt;&lt;pages&gt;204-212&lt;/pages&gt;&lt;volume&gt;340&lt;/volume&gt;&lt;dates&gt;&lt;year&gt;2007&lt;/year&gt;&lt;/dates&gt;&lt;urls&gt;&lt;/urls&gt;&lt;/record&gt;&lt;/Cite&gt;&lt;/EndNote&gt;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Cabaço and Santos 2007</w:t>
        </w:r>
        <w:r w:rsidR="009A7AB4" w:rsidRPr="004B3F43">
          <w:rPr>
            <w:rFonts w:cs="Arial"/>
            <w:color w:val="000000" w:themeColor="text1"/>
            <w:szCs w:val="22"/>
          </w:rPr>
          <w:fldChar w:fldCharType="end"/>
        </w:r>
      </w:hyperlink>
      <w:r w:rsidRPr="004B3F43">
        <w:rPr>
          <w:rFonts w:cs="Arial"/>
          <w:color w:val="000000" w:themeColor="text1"/>
          <w:szCs w:val="22"/>
        </w:rPr>
        <w:t xml:space="preserve">; </w:t>
      </w:r>
      <w:hyperlink w:anchor="_ENREF_35" w:tooltip="Collier, 2009 #9490" w:history="1">
        <w:r w:rsidR="009A7AB4" w:rsidRPr="004B3F43">
          <w:rPr>
            <w:rFonts w:cs="Arial"/>
            <w:color w:val="000000" w:themeColor="text1"/>
            <w:szCs w:val="22"/>
          </w:rPr>
          <w:fldChar w:fldCharType="begin"/>
        </w:r>
        <w:r w:rsidR="009A7AB4">
          <w:rPr>
            <w:rFonts w:cs="Arial"/>
            <w:color w:val="000000" w:themeColor="text1"/>
            <w:szCs w:val="22"/>
          </w:rPr>
          <w:instrText xml:space="preserve"> ADDIN EN.CITE &lt;EndNote&gt;&lt;Cite&gt;&lt;Author&gt;Collier&lt;/Author&gt;&lt;Year&gt;2009&lt;/Year&gt;&lt;RecNum&gt;9490&lt;/RecNum&gt;&lt;DisplayText&gt;Collier&lt;style face="italic"&gt; et al.&lt;/style&gt; 2009&lt;/DisplayText&gt;&lt;record&gt;&lt;rec-number&gt;9490&lt;/rec-number&gt;&lt;foreign-keys&gt;&lt;key app="EN" db-id="0eve55x9y5vfd6e9dacxtew4eatve2dzds9a" timestamp="1375842594"&gt;9490&lt;/key&gt;&lt;/foreign-keys&gt;&lt;ref-type name="Journal Article"&gt;17&lt;/ref-type&gt;&lt;contributors&gt;&lt;authors&gt;&lt;author&gt;Collier, Catherine J.&lt;/author&gt;&lt;author&gt;Lavery, Paul S.&lt;/author&gt;&lt;author&gt;Ralph, Peter J.&lt;/author&gt;&lt;author&gt;Masini, Raymond J.&lt;/author&gt;&lt;/authors&gt;&lt;/contributors&gt;&lt;titles&gt;&lt;title&gt;&lt;style face="normal" font="default" size="100%"&gt;Shade-induced response and recovery of the seagrass &lt;/style&gt;&lt;style face="italic" font="default" size="100%"&gt;Posidonia sinuosa&lt;/style&gt;&lt;/title&gt;&lt;secondary-title&gt;Journal of Experimental Marine Biology and Ecology&lt;/secondary-title&gt;&lt;/titles&gt;&lt;periodical&gt;&lt;full-title&gt;Journal of Experimental Marine Biology and Ecology&lt;/full-title&gt;&lt;/periodical&gt;&lt;pages&gt;89-103&lt;/pages&gt;&lt;volume&gt;370&lt;/volume&gt;&lt;number&gt;1–2&lt;/number&gt;&lt;keywords&gt;&lt;keyword&gt;Depth&lt;/keyword&gt;&lt;keyword&gt;Monitoring&lt;/keyword&gt;&lt;keyword&gt;Recovery&lt;/keyword&gt;&lt;keyword&gt;Self-shading&lt;/keyword&gt;&lt;keyword&gt;Shading&lt;/keyword&gt;&lt;keyword&gt;Western Australia&lt;/keyword&gt;&lt;/keywords&gt;&lt;dates&gt;&lt;year&gt;2009&lt;/year&gt;&lt;/dates&gt;&lt;isbn&gt;0022-0981&lt;/isbn&gt;&lt;urls&gt;&lt;related-urls&gt;&lt;url&gt;http://www.sciencedirect.com/science/article/pii/S0022098108005935&lt;/url&gt;&lt;/related-urls&gt;&lt;/urls&gt;&lt;electronic-resource-num&gt;http://dx.doi.org/10.1016/j.jembe.2008.12.003&lt;/electronic-resource-num&gt;&lt;/record&gt;&lt;/Cite&gt;&lt;/EndNote&gt;</w:instrText>
        </w:r>
        <w:r w:rsidR="009A7AB4" w:rsidRPr="004B3F43">
          <w:rPr>
            <w:rFonts w:cs="Arial"/>
            <w:color w:val="000000" w:themeColor="text1"/>
            <w:szCs w:val="22"/>
          </w:rPr>
          <w:fldChar w:fldCharType="separate"/>
        </w:r>
        <w:r w:rsidR="009A7AB4">
          <w:rPr>
            <w:rFonts w:cs="Arial"/>
            <w:noProof/>
            <w:color w:val="000000" w:themeColor="text1"/>
            <w:szCs w:val="22"/>
          </w:rPr>
          <w:t>Collier</w:t>
        </w:r>
        <w:r w:rsidR="009A7AB4" w:rsidRPr="004A409C">
          <w:rPr>
            <w:rFonts w:cs="Arial"/>
            <w:i/>
            <w:noProof/>
            <w:color w:val="000000" w:themeColor="text1"/>
            <w:szCs w:val="22"/>
          </w:rPr>
          <w:t xml:space="preserve"> et al.</w:t>
        </w:r>
        <w:r w:rsidR="009A7AB4">
          <w:rPr>
            <w:rFonts w:cs="Arial"/>
            <w:noProof/>
            <w:color w:val="000000" w:themeColor="text1"/>
            <w:szCs w:val="22"/>
          </w:rPr>
          <w:t xml:space="preserve"> 2009</w:t>
        </w:r>
        <w:r w:rsidR="009A7AB4" w:rsidRPr="004B3F43">
          <w:rPr>
            <w:rFonts w:cs="Arial"/>
            <w:color w:val="000000" w:themeColor="text1"/>
            <w:szCs w:val="22"/>
          </w:rPr>
          <w:fldChar w:fldCharType="end"/>
        </w:r>
      </w:hyperlink>
      <w:r w:rsidRPr="004B3F43">
        <w:rPr>
          <w:rFonts w:cs="Arial"/>
          <w:color w:val="000000" w:themeColor="text1"/>
          <w:szCs w:val="22"/>
        </w:rPr>
        <w:t xml:space="preserve">). </w:t>
      </w:r>
      <w:r w:rsidR="00CD2634" w:rsidRPr="004B3F43">
        <w:rPr>
          <w:rFonts w:cs="Arial"/>
          <w:color w:val="000000" w:themeColor="text1"/>
          <w:szCs w:val="22"/>
        </w:rPr>
        <w:t xml:space="preserve">Therefore, C:N ratio is reported within the </w:t>
      </w:r>
      <w:r w:rsidR="00CD2634" w:rsidRPr="004B3F43">
        <w:rPr>
          <w:rFonts w:cs="Arial"/>
          <w:szCs w:val="22"/>
        </w:rPr>
        <w:t xml:space="preserve">seagrass component of the Marine Results report and </w:t>
      </w:r>
      <w:r w:rsidR="00765C5E">
        <w:rPr>
          <w:rFonts w:cs="Arial"/>
          <w:szCs w:val="22"/>
        </w:rPr>
        <w:t xml:space="preserve">the Reef 2050 WQIP annual </w:t>
      </w:r>
      <w:r w:rsidR="00CD2634" w:rsidRPr="004B3F43">
        <w:rPr>
          <w:rFonts w:cs="Arial"/>
          <w:szCs w:val="22"/>
        </w:rPr>
        <w:t>report card</w:t>
      </w:r>
      <w:r w:rsidR="00CD2634" w:rsidRPr="004B3F43">
        <w:rPr>
          <w:rFonts w:cs="Arial"/>
          <w:i/>
          <w:color w:val="000000" w:themeColor="text1"/>
          <w:szCs w:val="22"/>
        </w:rPr>
        <w:t>,</w:t>
      </w:r>
      <w:r w:rsidR="00CD2634" w:rsidRPr="004B3F43">
        <w:rPr>
          <w:rFonts w:cs="Arial"/>
          <w:color w:val="000000" w:themeColor="text1"/>
          <w:szCs w:val="22"/>
        </w:rPr>
        <w:t xml:space="preserve"> while other tissue nutrients are also presented as supporting information. </w:t>
      </w:r>
    </w:p>
    <w:p w14:paraId="07506D8B" w14:textId="6F145FF9" w:rsidR="003D1F7F" w:rsidRPr="004B3F43" w:rsidRDefault="009A19FE" w:rsidP="009F09A4">
      <w:pPr>
        <w:rPr>
          <w:rFonts w:cs="Arial"/>
          <w:i/>
          <w:color w:val="000000" w:themeColor="text1"/>
          <w:szCs w:val="22"/>
        </w:rPr>
      </w:pPr>
      <w:r w:rsidRPr="004B3F43">
        <w:rPr>
          <w:rFonts w:cs="Arial"/>
          <w:i/>
          <w:color w:val="000000" w:themeColor="text1"/>
          <w:szCs w:val="22"/>
        </w:rPr>
        <w:t>Measures of s</w:t>
      </w:r>
      <w:r w:rsidR="00AF3F1D" w:rsidRPr="004B3F43">
        <w:rPr>
          <w:rFonts w:cs="Arial"/>
          <w:i/>
          <w:color w:val="000000" w:themeColor="text1"/>
          <w:szCs w:val="22"/>
        </w:rPr>
        <w:t>eagrass r</w:t>
      </w:r>
      <w:r w:rsidR="003D1F7F" w:rsidRPr="004B3F43">
        <w:rPr>
          <w:rFonts w:cs="Arial"/>
          <w:i/>
          <w:color w:val="000000" w:themeColor="text1"/>
          <w:szCs w:val="22"/>
        </w:rPr>
        <w:t>esilience</w:t>
      </w:r>
    </w:p>
    <w:p w14:paraId="530A853E" w14:textId="0552AF20" w:rsidR="00623F77" w:rsidRPr="004B3F43" w:rsidRDefault="003D1F7F" w:rsidP="00982CA1">
      <w:pPr>
        <w:widowControl w:val="0"/>
        <w:autoSpaceDE w:val="0"/>
        <w:autoSpaceDN w:val="0"/>
        <w:adjustRightInd w:val="0"/>
        <w:rPr>
          <w:rFonts w:cs="Arial"/>
          <w:color w:val="000000" w:themeColor="text1"/>
          <w:szCs w:val="22"/>
        </w:rPr>
      </w:pPr>
      <w:r w:rsidRPr="004B3F43">
        <w:rPr>
          <w:rFonts w:cs="Arial"/>
          <w:color w:val="000000" w:themeColor="text1"/>
          <w:szCs w:val="22"/>
        </w:rPr>
        <w:t xml:space="preserve">Ecological resilience is </w:t>
      </w:r>
      <w:r w:rsidR="000477A1" w:rsidRPr="004B3F43">
        <w:rPr>
          <w:rFonts w:cs="Arial"/>
          <w:color w:val="000000" w:themeColor="text1"/>
          <w:szCs w:val="22"/>
        </w:rPr>
        <w:t>‘</w:t>
      </w:r>
      <w:r w:rsidRPr="004B3F43">
        <w:rPr>
          <w:rFonts w:cs="Arial"/>
          <w:color w:val="000000" w:themeColor="text1"/>
          <w:szCs w:val="22"/>
          <w:lang w:val="en-US"/>
        </w:rPr>
        <w:t xml:space="preserve">the capacity of an ecosystem to absorb repeated disturbances or shocks and adapt to change without fundamentally switching </w:t>
      </w:r>
      <w:r w:rsidR="0074091B" w:rsidRPr="004B3F43">
        <w:rPr>
          <w:rFonts w:cs="Arial"/>
          <w:color w:val="000000" w:themeColor="text1"/>
          <w:szCs w:val="22"/>
          <w:lang w:val="en-US"/>
        </w:rPr>
        <w:t>to an alternative stable state</w:t>
      </w:r>
      <w:r w:rsidR="000477A1" w:rsidRPr="004B3F43">
        <w:rPr>
          <w:rFonts w:cs="Arial"/>
          <w:color w:val="000000" w:themeColor="text1"/>
          <w:szCs w:val="22"/>
          <w:lang w:val="en-US"/>
        </w:rPr>
        <w:t>’</w:t>
      </w:r>
      <w:r w:rsidR="00032135" w:rsidRPr="004B3F43">
        <w:rPr>
          <w:rFonts w:cs="Arial"/>
          <w:color w:val="000000" w:themeColor="text1"/>
          <w:szCs w:val="22"/>
          <w:lang w:val="en-US"/>
        </w:rPr>
        <w:t xml:space="preserve"> </w:t>
      </w:r>
      <w:r w:rsidRPr="004B3F43">
        <w:rPr>
          <w:rFonts w:cs="Arial"/>
          <w:color w:val="000000" w:themeColor="text1"/>
          <w:szCs w:val="22"/>
          <w:lang w:val="en-US"/>
        </w:rPr>
        <w:t>(</w:t>
      </w:r>
      <w:hyperlink w:anchor="_ENREF_76" w:tooltip="Holling, 1973 #9197" w:history="1">
        <w:r w:rsidR="009A7AB4" w:rsidRPr="004B3F43">
          <w:rPr>
            <w:rFonts w:cs="Arial"/>
            <w:color w:val="000000" w:themeColor="text1"/>
            <w:szCs w:val="22"/>
            <w:lang w:val="en-US"/>
          </w:rPr>
          <w:fldChar w:fldCharType="begin"/>
        </w:r>
        <w:r w:rsidR="009A7AB4" w:rsidRPr="004B3F43">
          <w:rPr>
            <w:rFonts w:cs="Arial"/>
            <w:color w:val="000000" w:themeColor="text1"/>
            <w:szCs w:val="22"/>
            <w:lang w:val="en-US"/>
          </w:rPr>
          <w:instrText xml:space="preserve"> ADDIN EN.CITE &lt;EndNote&gt;&lt;Cite&gt;&lt;Author&gt;Holling&lt;/Author&gt;&lt;Year&gt;1973&lt;/Year&gt;&lt;RecNum&gt;9197&lt;/RecNum&gt;&lt;DisplayText&gt;Holling 1973&lt;/DisplayText&gt;&lt;record&gt;&lt;rec-number&gt;9197&lt;/rec-number&gt;&lt;foreign-keys&gt;&lt;key app="EN" db-id="0eve55x9y5vfd6e9dacxtew4eatve2dzds9a" timestamp="1375003725"&gt;9197&lt;/key&gt;&lt;/foreign-keys&gt;&lt;ref-type name="Journal Article"&gt;17&lt;/ref-type&gt;&lt;contributors&gt;&lt;authors&gt;&lt;author&gt;Holling, C.S.&lt;/author&gt;&lt;/authors&gt;&lt;/contributors&gt;&lt;titles&gt;&lt;title&gt;Resilience and stability of ecological systems&lt;/title&gt;&lt;secondary-title&gt;Annual Review of Ecology and Systematics&lt;/secondary-title&gt;&lt;/titles&gt;&lt;periodical&gt;&lt;full-title&gt;Annual Review of Ecology and Systematics&lt;/full-title&gt;&lt;/periodical&gt;&lt;pages&gt;1-23&lt;/pages&gt;&lt;volume&gt;4&lt;/volume&gt;&lt;dates&gt;&lt;year&gt;1973&lt;/year&gt;&lt;/dates&gt;&lt;urls&gt;&lt;/urls&gt;&lt;/record&gt;&lt;/Cite&gt;&lt;/EndNote&gt;</w:instrText>
        </w:r>
        <w:r w:rsidR="009A7AB4" w:rsidRPr="004B3F43">
          <w:rPr>
            <w:rFonts w:cs="Arial"/>
            <w:color w:val="000000" w:themeColor="text1"/>
            <w:szCs w:val="22"/>
            <w:lang w:val="en-US"/>
          </w:rPr>
          <w:fldChar w:fldCharType="separate"/>
        </w:r>
        <w:r w:rsidR="009A7AB4" w:rsidRPr="004B3F43">
          <w:rPr>
            <w:rFonts w:cs="Arial"/>
            <w:noProof/>
            <w:color w:val="000000" w:themeColor="text1"/>
            <w:szCs w:val="22"/>
            <w:lang w:val="en-US"/>
          </w:rPr>
          <w:t>Holling 1973</w:t>
        </w:r>
        <w:r w:rsidR="009A7AB4" w:rsidRPr="004B3F43">
          <w:rPr>
            <w:rFonts w:cs="Arial"/>
            <w:color w:val="000000" w:themeColor="text1"/>
            <w:szCs w:val="22"/>
            <w:lang w:val="en-US"/>
          </w:rPr>
          <w:fldChar w:fldCharType="end"/>
        </w:r>
      </w:hyperlink>
      <w:r w:rsidRPr="004B3F43">
        <w:rPr>
          <w:rFonts w:cs="Arial"/>
          <w:color w:val="000000" w:themeColor="text1"/>
          <w:szCs w:val="22"/>
          <w:lang w:val="en-US"/>
        </w:rPr>
        <w:t xml:space="preserve">), and relates to the ability of a system to both resist and recover from disturbances </w:t>
      </w:r>
      <w:r w:rsidR="0074091B" w:rsidRPr="004B3F43">
        <w:rPr>
          <w:rFonts w:cs="Arial"/>
          <w:color w:val="000000" w:themeColor="text1"/>
          <w:szCs w:val="22"/>
        </w:rPr>
        <w:t>(</w:t>
      </w:r>
      <w:hyperlink w:anchor="_ENREF_145" w:tooltip="Unsworth, 2015 #10447"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&lt;EndNote&gt;&lt;Cite&gt;&lt;Author&gt;Unsworth&lt;/Author&gt;&lt;Year&gt;2015&lt;/Year&gt;&lt;RecNum&gt;10447&lt;/RecNum&gt;&lt;DisplayText&gt;Unsworth&lt;style face="italic"&gt; et al.&lt;/style&gt; 2015&lt;/DisplayText&gt;&lt;record&gt;&lt;rec-number&gt;10447&lt;/rec-number&gt;&lt;foreign-keys&gt;&lt;key app="EN" db-id="0eve55x9y5vfd6e9dacxtew4eatve2dzds9a" timestamp="1450650288"&gt;10447&lt;/key&gt;&lt;/foreign-keys&gt;&lt;ref-type name="Journal Article"&gt;17&lt;/ref-type&gt;&lt;contributors&gt;&lt;authors&gt;&lt;author&gt;Unsworth, Richard K. F.&lt;/author&gt;&lt;author&gt;Collier, Catherine J.&lt;/author&gt;&lt;author&gt;Waycott, Michelle&lt;/author&gt;&lt;author&gt;McKenzie, Len J.&lt;/author&gt;&lt;author&gt;Cullen-Unsworth, Leanne C.&lt;/author&gt;&lt;/authors&gt;&lt;/contributors&gt;&lt;titles&gt;&lt;title&gt;A framework for the resilience of seagrass ecosystems&lt;/title&gt;&lt;secondary-title&gt;Marine Pollution Bulletin&lt;/secondary-title&gt;&lt;/titles&gt;&lt;periodical&gt;&lt;full-title&gt;Marine Pollution Bulletin&lt;/full-title&gt;&lt;/periodical&gt;&lt;pages&gt;34-46&lt;/pages&gt;&lt;volume&gt;100&lt;/volume&gt;&lt;number&gt;1&lt;/number&gt;&lt;keywords&gt;&lt;keyword&gt;Conservation&lt;/keyword&gt;&lt;keyword&gt;Management&lt;/keyword&gt;&lt;keyword&gt;Eelgrass&lt;/keyword&gt;&lt;keyword&gt;Meadows&lt;/keyword&gt;&lt;keyword&gt;Biodiversity&lt;/keyword&gt;&lt;keyword&gt;Connectivity&lt;/keyword&gt;&lt;/keywords&gt;&lt;dates&gt;&lt;year&gt;2015&lt;/year&gt;&lt;/dates&gt;&lt;isbn&gt;0025-326X&lt;/isbn&gt;&lt;urls&gt;&lt;related-urls&gt;&lt;url&gt;http://www.sciencedirect.com/science/article/pii/S0025326X15005202&lt;/url&gt;&lt;/related-urls&gt;&lt;/urls&gt;&lt;electronic-resource-num&gt;http://dx.doi.org/10.1016/j.marpolbul.2015.08.016&lt;/electronic-resource-num&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Unsworth</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2015</w:t>
        </w:r>
        <w:r w:rsidR="009A7AB4" w:rsidRPr="004B3F43">
          <w:rPr>
            <w:rFonts w:cs="Arial"/>
            <w:color w:val="000000" w:themeColor="text1"/>
            <w:szCs w:val="22"/>
          </w:rPr>
          <w:fldChar w:fldCharType="end"/>
        </w:r>
      </w:hyperlink>
      <w:r w:rsidR="0074091B" w:rsidRPr="004B3F43">
        <w:rPr>
          <w:rFonts w:cs="Arial"/>
          <w:color w:val="000000" w:themeColor="text1"/>
          <w:szCs w:val="22"/>
        </w:rPr>
        <w:t>)</w:t>
      </w:r>
      <w:r w:rsidR="00623F77" w:rsidRPr="004B3F43">
        <w:rPr>
          <w:rFonts w:cs="Arial"/>
          <w:color w:val="000000" w:themeColor="text1"/>
          <w:szCs w:val="22"/>
        </w:rPr>
        <w:t xml:space="preserve"> (</w:t>
      </w:r>
      <w:r w:rsidR="00623F77" w:rsidRPr="004B3F43">
        <w:rPr>
          <w:rFonts w:cs="Arial"/>
          <w:color w:val="000000" w:themeColor="text1"/>
          <w:szCs w:val="22"/>
        </w:rPr>
        <w:fldChar w:fldCharType="begin"/>
      </w:r>
      <w:r w:rsidR="00623F77" w:rsidRPr="004B3F43">
        <w:rPr>
          <w:rFonts w:cs="Arial"/>
          <w:color w:val="000000" w:themeColor="text1"/>
          <w:szCs w:val="22"/>
        </w:rPr>
        <w:instrText xml:space="preserve"> REF _Ref536787394 \h </w:instrText>
      </w:r>
      <w:r w:rsidR="00CB093C" w:rsidRPr="004B3F43">
        <w:rPr>
          <w:rFonts w:cs="Arial"/>
          <w:color w:val="000000" w:themeColor="text1"/>
          <w:szCs w:val="22"/>
        </w:rPr>
        <w:instrText xml:space="preserve"> \* MERGEFORMAT </w:instrText>
      </w:r>
      <w:r w:rsidR="00623F77" w:rsidRPr="004B3F43">
        <w:rPr>
          <w:rFonts w:cs="Arial"/>
          <w:color w:val="000000" w:themeColor="text1"/>
          <w:szCs w:val="22"/>
        </w:rPr>
      </w:r>
      <w:r w:rsidR="00623F77" w:rsidRPr="004B3F43">
        <w:rPr>
          <w:rFonts w:cs="Arial"/>
          <w:color w:val="000000" w:themeColor="text1"/>
          <w:szCs w:val="22"/>
        </w:rPr>
        <w:fldChar w:fldCharType="separate"/>
      </w:r>
      <w:r w:rsidR="0067675D" w:rsidRPr="004B3F43">
        <w:rPr>
          <w:rFonts w:cs="Arial"/>
          <w:color w:val="000000"/>
          <w:szCs w:val="22"/>
        </w:rPr>
        <w:t xml:space="preserve">Figure </w:t>
      </w:r>
      <w:r w:rsidR="0067675D">
        <w:rPr>
          <w:rFonts w:cs="Arial"/>
          <w:noProof/>
          <w:color w:val="000000"/>
          <w:szCs w:val="22"/>
        </w:rPr>
        <w:t>4</w:t>
      </w:r>
      <w:r w:rsidR="00623F77" w:rsidRPr="004B3F43">
        <w:rPr>
          <w:rFonts w:cs="Arial"/>
          <w:color w:val="000000" w:themeColor="text1"/>
          <w:szCs w:val="22"/>
        </w:rPr>
        <w:fldChar w:fldCharType="end"/>
      </w:r>
      <w:r w:rsidR="00624CE5" w:rsidRPr="004B3F43">
        <w:rPr>
          <w:rFonts w:cs="Arial"/>
          <w:color w:val="000000" w:themeColor="text1"/>
          <w:szCs w:val="22"/>
        </w:rPr>
        <w:t>)</w:t>
      </w:r>
      <w:r w:rsidRPr="004B3F43">
        <w:rPr>
          <w:rFonts w:cs="Arial"/>
          <w:color w:val="000000" w:themeColor="text1"/>
          <w:szCs w:val="22"/>
          <w:lang w:val="en-US"/>
        </w:rPr>
        <w:t>. C</w:t>
      </w:r>
      <w:r w:rsidR="0074091B" w:rsidRPr="004B3F43">
        <w:rPr>
          <w:rFonts w:cs="Arial"/>
          <w:color w:val="000000" w:themeColor="text1"/>
          <w:szCs w:val="22"/>
          <w:lang w:val="en-US"/>
        </w:rPr>
        <w:t xml:space="preserve">hanges in </w:t>
      </w:r>
      <w:r w:rsidR="0074091B" w:rsidRPr="004B3F43">
        <w:rPr>
          <w:rFonts w:cs="Arial"/>
          <w:color w:val="000000" w:themeColor="text1"/>
          <w:szCs w:val="22"/>
        </w:rPr>
        <w:t>resilience</w:t>
      </w:r>
      <w:r w:rsidRPr="004B3F43">
        <w:rPr>
          <w:rFonts w:cs="Arial"/>
          <w:color w:val="000000" w:themeColor="text1"/>
          <w:szCs w:val="22"/>
        </w:rPr>
        <w:t xml:space="preserve"> indicators show if the ecosystem is in transition (i.e. has already, or may undergo a state-change). </w:t>
      </w:r>
      <w:r w:rsidRPr="004B3F43">
        <w:rPr>
          <w:rFonts w:cs="Arial"/>
          <w:color w:val="000000" w:themeColor="text1"/>
          <w:szCs w:val="22"/>
          <w:lang w:val="en-US"/>
        </w:rPr>
        <w:t>Sexual reproduction (flowering, seed production and persistence of a seedbank) is an important feature of recovery (and therefore, of resilience) in seagrass meadows</w:t>
      </w:r>
      <w:r w:rsidR="00B40F12" w:rsidRPr="004B3F43">
        <w:rPr>
          <w:rFonts w:cs="Arial"/>
          <w:color w:val="000000" w:themeColor="text1"/>
          <w:szCs w:val="22"/>
          <w:lang w:val="en-US"/>
        </w:rPr>
        <w:t xml:space="preserve">. </w:t>
      </w:r>
    </w:p>
    <w:p w14:paraId="55A67835" w14:textId="77777777" w:rsidR="00623F77" w:rsidRPr="004B3F43" w:rsidRDefault="00623F77" w:rsidP="00623F77">
      <w:pPr>
        <w:keepNext/>
        <w:tabs>
          <w:tab w:val="left" w:pos="360"/>
        </w:tabs>
        <w:jc w:val="center"/>
        <w:rPr>
          <w:rFonts w:cs="Arial"/>
          <w:color w:val="000000"/>
          <w:szCs w:val="22"/>
        </w:rPr>
      </w:pPr>
      <w:r w:rsidRPr="004B3F43">
        <w:rPr>
          <w:rFonts w:cs="Arial"/>
          <w:noProof/>
          <w:color w:val="000000"/>
          <w:szCs w:val="22"/>
          <w:lang w:eastAsia="en-AU"/>
        </w:rPr>
        <w:lastRenderedPageBreak/>
        <w:drawing>
          <wp:inline distT="0" distB="0" distL="0" distR="0" wp14:anchorId="23191633" wp14:editId="3D428922">
            <wp:extent cx="5760000" cy="3031200"/>
            <wp:effectExtent l="0" t="0" r="0" b="0"/>
            <wp:docPr id="14" name="Picture 14" descr="General conceptual model of seagrass habitats in north east Australia and the water quality impacts affecting the habitat (adapted from Carruthers et al., 2002, and Collier et al.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Revised habitats and pressures model.png"/>
                    <pic:cNvPicPr/>
                  </pic:nvPicPr>
                  <pic:blipFill>
                    <a:blip r:embed="rId34">
                      <a:extLst>
                        <a:ext uri="{28A0092B-C50C-407E-A947-70E740481C1C}">
                          <a14:useLocalDpi xmlns:a14="http://schemas.microsoft.com/office/drawing/2010/main" val="0"/>
                        </a:ext>
                      </a:extLst>
                    </a:blip>
                    <a:stretch>
                      <a:fillRect/>
                    </a:stretch>
                  </pic:blipFill>
                  <pic:spPr>
                    <a:xfrm>
                      <a:off x="0" y="0"/>
                      <a:ext cx="5760000" cy="3031200"/>
                    </a:xfrm>
                    <a:prstGeom prst="rect">
                      <a:avLst/>
                    </a:prstGeom>
                  </pic:spPr>
                </pic:pic>
              </a:graphicData>
            </a:graphic>
          </wp:inline>
        </w:drawing>
      </w:r>
    </w:p>
    <w:p w14:paraId="6E5E7D8A" w14:textId="5BBEA40E" w:rsidR="00623F77" w:rsidRPr="004B3F43" w:rsidRDefault="00623F77" w:rsidP="00623F77">
      <w:pPr>
        <w:spacing w:before="0"/>
        <w:rPr>
          <w:rFonts w:cs="Arial"/>
          <w:i/>
          <w:vanish/>
          <w:color w:val="000000" w:themeColor="text1"/>
          <w:szCs w:val="22"/>
          <w:specVanish/>
        </w:rPr>
      </w:pPr>
      <w:bookmarkStart w:id="35" w:name="_Ref536787394"/>
      <w:bookmarkStart w:id="36" w:name="_Toc38634108"/>
      <w:r w:rsidRPr="004B3F43">
        <w:rPr>
          <w:rFonts w:cs="Arial"/>
          <w:color w:val="000000"/>
          <w:szCs w:val="22"/>
        </w:rPr>
        <w:t xml:space="preserve">Figure </w:t>
      </w:r>
      <w:r w:rsidRPr="004B3F43">
        <w:rPr>
          <w:rFonts w:cs="Arial"/>
          <w:color w:val="000000"/>
          <w:szCs w:val="22"/>
        </w:rPr>
        <w:fldChar w:fldCharType="begin"/>
      </w:r>
      <w:r w:rsidRPr="004B3F43">
        <w:rPr>
          <w:rFonts w:cs="Arial"/>
          <w:color w:val="000000"/>
          <w:szCs w:val="22"/>
        </w:rPr>
        <w:instrText xml:space="preserve"> SEQ Figure \* ARABIC </w:instrText>
      </w:r>
      <w:r w:rsidRPr="004B3F43">
        <w:rPr>
          <w:rFonts w:cs="Arial"/>
          <w:color w:val="000000"/>
          <w:szCs w:val="22"/>
        </w:rPr>
        <w:fldChar w:fldCharType="separate"/>
      </w:r>
      <w:r w:rsidR="0067675D">
        <w:rPr>
          <w:rFonts w:cs="Arial"/>
          <w:noProof/>
          <w:color w:val="000000"/>
          <w:szCs w:val="22"/>
        </w:rPr>
        <w:t>4</w:t>
      </w:r>
      <w:r w:rsidRPr="004B3F43">
        <w:rPr>
          <w:rFonts w:cs="Arial"/>
          <w:color w:val="000000"/>
          <w:szCs w:val="22"/>
        </w:rPr>
        <w:fldChar w:fldCharType="end"/>
      </w:r>
      <w:bookmarkEnd w:id="35"/>
      <w:r w:rsidRPr="004B3F43">
        <w:rPr>
          <w:rFonts w:cs="Arial"/>
          <w:i/>
          <w:color w:val="000000"/>
          <w:szCs w:val="22"/>
        </w:rPr>
        <w:t>. General conceptual model of seagrass habitats in north east Australia and the water quality impacts affecting the habitat</w:t>
      </w:r>
      <w:bookmarkEnd w:id="36"/>
    </w:p>
    <w:p w14:paraId="3A0313BD" w14:textId="738E5CE1" w:rsidR="00623F77" w:rsidRPr="004B3F43" w:rsidRDefault="00623F77" w:rsidP="00623F77">
      <w:pPr>
        <w:rPr>
          <w:rFonts w:cs="Arial"/>
          <w:i/>
          <w:color w:val="000000"/>
          <w:szCs w:val="22"/>
        </w:rPr>
      </w:pPr>
      <w:r w:rsidRPr="004B3F43">
        <w:rPr>
          <w:rFonts w:cs="Arial"/>
          <w:i/>
          <w:color w:val="000000"/>
          <w:szCs w:val="22"/>
        </w:rPr>
        <w:t xml:space="preserve"> (adapted from Carruthers et al., 2002, and </w:t>
      </w:r>
      <w:hyperlink w:anchor="_ENREF_31" w:tooltip="Collier, 2014 #9685" w:history="1">
        <w:r w:rsidR="009A7AB4" w:rsidRPr="004B3F43">
          <w:rPr>
            <w:rFonts w:cs="Arial"/>
            <w:i/>
            <w:color w:val="000000"/>
            <w:szCs w:val="22"/>
          </w:rPr>
          <w:fldChar w:fldCharType="begin"/>
        </w:r>
        <w:r w:rsidR="009A7AB4" w:rsidRPr="004B3F43">
          <w:rPr>
            <w:rFonts w:cs="Arial"/>
            <w:i/>
            <w:color w:val="000000"/>
            <w:szCs w:val="22"/>
          </w:rPr>
          <w:instrText xml:space="preserve"> ADDIN EN.CITE &lt;EndNote&gt;&lt;Cite&gt;&lt;Author&gt;Collier&lt;/Author&gt;&lt;Year&gt;2014&lt;/Year&gt;&lt;RecNum&gt;9685&lt;/RecNum&gt;&lt;DisplayText&gt;Collier&lt;style face="italic"&gt; et al.&lt;/style&gt; 2014&lt;/DisplayText&gt;&lt;record&gt;&lt;rec-number&gt;9685&lt;/rec-number&gt;&lt;foreign-keys&gt;&lt;key app="EN" db-id="0eve55x9y5vfd6e9dacxtew4eatve2dzds9a" timestamp="1392762481"&gt;9685&lt;/key&gt;&lt;/foreign-keys&gt;&lt;ref-type name="Book"&gt;6&lt;/ref-type&gt;&lt;contributors&gt;&lt;authors&gt;&lt;author&gt;Collier, C&lt;/author&gt;&lt;author&gt;Devlin, M&lt;/author&gt;&lt;author&gt;Langlois, L&lt;/author&gt;&lt;author&gt;Petus, C&lt;/author&gt;&lt;author&gt;McKenzie, Len J&lt;/author&gt;&lt;author&gt;Texeira da Silva, E&lt;/author&gt;&lt;author&gt;McMahon, Kathryn&lt;/author&gt;&lt;author&gt;Adams, M&lt;/author&gt;&lt;author&gt;O’Brien, Kate&lt;/author&gt;&lt;author&gt;Statton, J&lt;/author&gt;&lt;author&gt;Waycott, Michelle&lt;/author&gt;&lt;/authors&gt;&lt;/contributors&gt;&lt;titles&gt;&lt;title&gt;Thresholds and indicators of declining water quality as tools for tropical seagrass management. Report to the National Environmental Research Program&lt;/title&gt;&lt;/titles&gt;&lt;pages&gt;93&lt;/pages&gt;&lt;dates&gt;&lt;year&gt;2014&lt;/year&gt;&lt;/dates&gt;&lt;pub-location&gt;Cairns&lt;/pub-location&gt;&lt;publisher&gt;Reef and Rainforest Research Centre Limited&lt;/publisher&gt;&lt;isbn&gt;978-1-925088-50-2&lt;/isbn&gt;&lt;urls&gt;&lt;/urls&gt;&lt;/record&gt;&lt;/Cite&gt;&lt;/EndNote&gt;</w:instrText>
        </w:r>
        <w:r w:rsidR="009A7AB4" w:rsidRPr="004B3F43">
          <w:rPr>
            <w:rFonts w:cs="Arial"/>
            <w:i/>
            <w:color w:val="000000"/>
            <w:szCs w:val="22"/>
          </w:rPr>
          <w:fldChar w:fldCharType="separate"/>
        </w:r>
        <w:r w:rsidR="009A7AB4" w:rsidRPr="004B3F43">
          <w:rPr>
            <w:rFonts w:cs="Arial"/>
            <w:i/>
            <w:noProof/>
            <w:color w:val="000000"/>
            <w:szCs w:val="22"/>
          </w:rPr>
          <w:t>Collier et al. 2014</w:t>
        </w:r>
        <w:r w:rsidR="009A7AB4" w:rsidRPr="004B3F43">
          <w:rPr>
            <w:rFonts w:cs="Arial"/>
            <w:i/>
            <w:color w:val="000000"/>
            <w:szCs w:val="22"/>
          </w:rPr>
          <w:fldChar w:fldCharType="end"/>
        </w:r>
      </w:hyperlink>
      <w:r w:rsidRPr="004B3F43">
        <w:rPr>
          <w:rFonts w:cs="Arial"/>
          <w:i/>
          <w:color w:val="000000"/>
          <w:szCs w:val="22"/>
        </w:rPr>
        <w:t>)</w:t>
      </w:r>
    </w:p>
    <w:p w14:paraId="4E594DCD" w14:textId="77777777" w:rsidR="00623F77" w:rsidRPr="004B3F43" w:rsidRDefault="00623F77" w:rsidP="0089405C">
      <w:pPr>
        <w:widowControl w:val="0"/>
        <w:autoSpaceDE w:val="0"/>
        <w:autoSpaceDN w:val="0"/>
        <w:adjustRightInd w:val="0"/>
        <w:rPr>
          <w:rFonts w:cs="Arial"/>
          <w:color w:val="000000"/>
          <w:szCs w:val="22"/>
        </w:rPr>
      </w:pPr>
    </w:p>
    <w:p w14:paraId="1D21FB5B" w14:textId="77777777" w:rsidR="00982CA1" w:rsidRPr="004B3F43" w:rsidRDefault="00982CA1" w:rsidP="0089405C">
      <w:pPr>
        <w:widowControl w:val="0"/>
        <w:autoSpaceDE w:val="0"/>
        <w:autoSpaceDN w:val="0"/>
        <w:adjustRightInd w:val="0"/>
        <w:rPr>
          <w:rFonts w:cs="Arial"/>
          <w:color w:val="000000"/>
          <w:szCs w:val="22"/>
        </w:rPr>
      </w:pPr>
    </w:p>
    <w:p w14:paraId="69D03AF2" w14:textId="77777777" w:rsidR="003D1F7F" w:rsidRPr="004B3F43" w:rsidRDefault="003D1F7F" w:rsidP="009F09A4">
      <w:pPr>
        <w:keepNext/>
        <w:jc w:val="center"/>
        <w:rPr>
          <w:rFonts w:cs="Arial"/>
          <w:color w:val="000000"/>
          <w:szCs w:val="22"/>
          <w:lang w:val="en-US"/>
        </w:rPr>
      </w:pPr>
      <w:r w:rsidRPr="004B3F43">
        <w:rPr>
          <w:rFonts w:cs="Arial"/>
          <w:noProof/>
          <w:color w:val="000000"/>
          <w:szCs w:val="22"/>
          <w:lang w:eastAsia="en-AU"/>
        </w:rPr>
        <w:lastRenderedPageBreak/>
        <w:drawing>
          <wp:inline distT="0" distB="0" distL="0" distR="0" wp14:anchorId="48B22E2E" wp14:editId="7AC278B6">
            <wp:extent cx="3583460" cy="4042639"/>
            <wp:effectExtent l="0" t="0" r="0" b="0"/>
            <wp:docPr id="255" name="Picture 17" descr="Illustration of seagrass recovery after loss and the categories of successional species over 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llustration depicting rates of seagrass recovery after loss and the categories of successional species over time"/>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3583460" cy="4042639"/>
                    </a:xfrm>
                    <a:prstGeom prst="rect">
                      <a:avLst/>
                    </a:prstGeom>
                    <a:noFill/>
                    <a:ln>
                      <a:noFill/>
                    </a:ln>
                  </pic:spPr>
                </pic:pic>
              </a:graphicData>
            </a:graphic>
          </wp:inline>
        </w:drawing>
      </w:r>
    </w:p>
    <w:p w14:paraId="520FF8C6" w14:textId="770F6611" w:rsidR="00711815" w:rsidRPr="004B3F43" w:rsidRDefault="003D1F7F" w:rsidP="009F09A4">
      <w:pPr>
        <w:keepNext/>
        <w:rPr>
          <w:rFonts w:cs="Arial"/>
          <w:i/>
          <w:vanish/>
          <w:color w:val="000000"/>
          <w:szCs w:val="22"/>
          <w:specVanish/>
        </w:rPr>
      </w:pPr>
      <w:bookmarkStart w:id="37" w:name="_Ref491687940"/>
      <w:bookmarkStart w:id="38" w:name="_Toc38634109"/>
      <w:r w:rsidRPr="004B3F43">
        <w:rPr>
          <w:rFonts w:cs="Arial"/>
          <w:color w:val="000000" w:themeColor="text1"/>
          <w:szCs w:val="22"/>
        </w:rPr>
        <w:t xml:space="preserve">Figure </w:t>
      </w:r>
      <w:r w:rsidR="0073595B" w:rsidRPr="004B3F43">
        <w:rPr>
          <w:rFonts w:cs="Arial"/>
          <w:color w:val="000000" w:themeColor="text1"/>
          <w:szCs w:val="22"/>
        </w:rPr>
        <w:fldChar w:fldCharType="begin"/>
      </w:r>
      <w:r w:rsidR="0073595B" w:rsidRPr="004B3F43">
        <w:rPr>
          <w:rFonts w:cs="Arial"/>
          <w:color w:val="000000" w:themeColor="text1"/>
          <w:szCs w:val="22"/>
        </w:rPr>
        <w:instrText xml:space="preserve"> SEQ Figure \* ARABIC </w:instrText>
      </w:r>
      <w:r w:rsidR="0073595B" w:rsidRPr="004B3F43">
        <w:rPr>
          <w:rFonts w:cs="Arial"/>
          <w:color w:val="000000" w:themeColor="text1"/>
          <w:szCs w:val="22"/>
        </w:rPr>
        <w:fldChar w:fldCharType="separate"/>
      </w:r>
      <w:r w:rsidR="0067675D">
        <w:rPr>
          <w:rFonts w:cs="Arial"/>
          <w:noProof/>
          <w:color w:val="000000" w:themeColor="text1"/>
          <w:szCs w:val="22"/>
        </w:rPr>
        <w:t>5</w:t>
      </w:r>
      <w:r w:rsidR="0073595B" w:rsidRPr="004B3F43">
        <w:rPr>
          <w:rFonts w:cs="Arial"/>
          <w:color w:val="000000" w:themeColor="text1"/>
          <w:szCs w:val="22"/>
        </w:rPr>
        <w:fldChar w:fldCharType="end"/>
      </w:r>
      <w:bookmarkEnd w:id="37"/>
      <w:r w:rsidRPr="004B3F43">
        <w:rPr>
          <w:rFonts w:cs="Arial"/>
          <w:color w:val="000000" w:themeColor="text1"/>
          <w:szCs w:val="22"/>
        </w:rPr>
        <w:t>.</w:t>
      </w:r>
      <w:r w:rsidRPr="004B3F43">
        <w:rPr>
          <w:rFonts w:cs="Arial"/>
          <w:i/>
          <w:color w:val="000000" w:themeColor="text1"/>
          <w:szCs w:val="22"/>
        </w:rPr>
        <w:t xml:space="preserve"> Illustration of seagrass recovery after loss and the categories of successional species over time.</w:t>
      </w:r>
      <w:bookmarkEnd w:id="38"/>
      <w:r w:rsidR="00086CE5" w:rsidRPr="004B3F43">
        <w:rPr>
          <w:rFonts w:cs="Arial"/>
          <w:i/>
          <w:color w:val="000000" w:themeColor="text1"/>
          <w:szCs w:val="22"/>
        </w:rPr>
        <w:t xml:space="preserve"> </w:t>
      </w:r>
    </w:p>
    <w:p w14:paraId="7472542A" w14:textId="7CB015D8" w:rsidR="003D1F7F" w:rsidRPr="004B3F43" w:rsidRDefault="00711815" w:rsidP="009F09A4">
      <w:pPr>
        <w:rPr>
          <w:rFonts w:cs="Arial"/>
          <w:i/>
          <w:color w:val="000000" w:themeColor="text1"/>
          <w:szCs w:val="22"/>
        </w:rPr>
      </w:pPr>
      <w:r w:rsidRPr="004B3F43">
        <w:rPr>
          <w:rFonts w:cs="Arial"/>
          <w:i/>
          <w:color w:val="000000"/>
          <w:szCs w:val="22"/>
        </w:rPr>
        <w:t xml:space="preserve"> </w:t>
      </w:r>
      <w:r w:rsidR="003A1090" w:rsidRPr="004B3F43">
        <w:rPr>
          <w:rFonts w:cs="Arial"/>
          <w:i/>
          <w:color w:val="000000"/>
          <w:szCs w:val="22"/>
        </w:rPr>
        <w:t>Figure d</w:t>
      </w:r>
      <w:r w:rsidR="00086CE5" w:rsidRPr="004B3F43">
        <w:rPr>
          <w:rFonts w:cs="Arial"/>
          <w:i/>
          <w:color w:val="000000" w:themeColor="text1"/>
          <w:szCs w:val="22"/>
        </w:rPr>
        <w:t xml:space="preserve">eveloped from </w:t>
      </w:r>
      <w:r w:rsidR="00032135" w:rsidRPr="004B3F43">
        <w:rPr>
          <w:rFonts w:cs="Arial"/>
          <w:i/>
          <w:color w:val="000000" w:themeColor="text1"/>
          <w:szCs w:val="22"/>
        </w:rPr>
        <w:t xml:space="preserve">observed </w:t>
      </w:r>
      <w:r w:rsidR="00086CE5" w:rsidRPr="004B3F43">
        <w:rPr>
          <w:rFonts w:cs="Arial"/>
          <w:i/>
          <w:color w:val="000000" w:themeColor="text1"/>
          <w:szCs w:val="22"/>
        </w:rPr>
        <w:t>recovery dynamics (</w:t>
      </w:r>
      <w:r w:rsidR="00F42758" w:rsidRPr="004B3F43">
        <w:rPr>
          <w:rFonts w:cs="Arial"/>
          <w:i/>
          <w:color w:val="000000" w:themeColor="text1"/>
          <w:szCs w:val="22"/>
        </w:rPr>
        <w:fldChar w:fldCharType="begin">
          <w:fldData xml:space="preserve">PEVuZE5vdGU+PENpdGU+PEF1dGhvcj5DYW1wYmVsbDwvQXV0aG9yPjxZZWFyPjIwMDQ8L1llYXI+
PFJlY051bT4yODM4PC9SZWNOdW0+PERpc3BsYXlUZXh0PkJpcmNoIGFuZCBCaXJjaCAxOTg0OyBQ
cmVlbjxzdHlsZSBmYWNlPSJpdGFsaWMiPiBldCBhbC48L3N0eWxlPiAxOTk1OyBNY0tlbnppZSBh
bmQgQ2FtcGJlbGwgMjAwMjsgQ2FtcGJlbGwgYW5kIE1jS2VuemllIDIwMDQ7IE1jS2VuemllPHN0
eWxlIGZhY2U9Iml0YWxpYyI+IGV0IGFsLjwvc3R5bGU+IDIwMTRhOyBSYXNoZWVkPHN0eWxlIGZh
Y2U9Iml0YWxpYyI+IGV0IGFsLjwvc3R5bGU+IDIwMTQ8L0Rpc3BsYXlUZXh0PjxyZWNvcmQ+PHJl
Yy1udW1iZXI+MjgzODwvcmVjLW51bWJlcj48Zm9yZWlnbi1rZXlzPjxrZXkgYXBwPSJFTiIgZGIt
aWQ9IjBldmU1NXg5eTV2ZmQ2ZTlkYWN4dGV3NGVhdHZlMmR6ZHM5YSIgdGltZXN0YW1wPSIwIj4y
ODM4PC9rZXk+PC9mb3JlaWduLWtleXM+PHJlZi10eXBlIG5hbWU9IkpvdXJuYWwgQXJ0aWNsZSI+
MTc8L3JlZi10eXBlPjxjb250cmlidXRvcnM+PGF1dGhvcnM+PGF1dGhvcj5DYW1wYmVsbCwgU3R1
YXJ0IEouPC9hdXRob3I+PGF1dGhvcj5NY0tlbnppZSwgTGVuIEouPC9hdXRob3I+PC9hdXRob3Jz
PjwvY29udHJpYnV0b3JzPjx0aXRsZXM+PHRpdGxlPkZsb29kIHJlbGF0ZWQgbG9zcyBhbmQgcmVj
b3Zlcnkgb2YgaW50ZXJ0aWRhbCBzZWFncmFzcyBtZWFkb3dzIGluIHNvdXRoZXJuIFF1ZWVuc2xh
bmQsIEF1c3RyYWxpYTwvdGl0bGU+PHNlY29uZGFyeS10aXRsZT5Fc3R1YXJpbmUsIENvYXN0YWwg
YW5kIFNoZWxmIFNjaWVuY2U8L3NlY29uZGFyeS10aXRsZT48L3RpdGxlcz48cGVyaW9kaWNhbD48
ZnVsbC10aXRsZT5Fc3R1YXJpbmUsIENvYXN0YWwgYW5kIFNoZWxmIFNjaWVuY2U8L2Z1bGwtdGl0
bGU+PC9wZXJpb2RpY2FsPjxwYWdlcz40NzctNDkwPC9wYWdlcz48dm9sdW1lPjYwPC92b2x1bWU+
PG51bWJlcj4zPC9udW1iZXI+PGRhdGVzPjx5ZWFyPjIwMDQ8L3llYXI+PHB1Yi1kYXRlcz48ZGF0
ZT4yMDA0Lzc8L2RhdGU+PC9wdWItZGF0ZXM+PC9kYXRlcz48dXJscz48cmVsYXRlZC11cmxzPjx1
cmw+aHR0cDovL3d3dy5zY2llbmNlZGlyZWN0LmNvbS9zY2llbmNlL2FydGljbGUvQjZXRFYtNEM0
QkpSNS01LzIvMTU0ODEwOTg3MjAyZmM2ZDI3YmE2ZmEzNWMwN2YxOTc8L3VybD48L3JlbGF0ZWQt
dXJscz48L3VybHM+PC9yZWNvcmQ+PC9DaXRlPjxDaXRlPjxBdXRob3I+TWNLZW56aWU8L0F1dGhv
cj48WWVhcj4yMDE0PC9ZZWFyPjxSZWNOdW0+OTgxMjwvUmVjTnVtPjxyZWNvcmQ+PHJlYy1udW1i
ZXI+OTgxMjwvcmVjLW51bWJlcj48Zm9yZWlnbi1rZXlzPjxrZXkgYXBwPSJFTiIgZGItaWQ9IjBl
dmU1NXg5eTV2ZmQ2ZTlkYWN4dGV3NGVhdHZlMmR6ZHM5YSIgdGltZXN0YW1wPSIxMzk4MTE5ODAy
Ij45ODEyPC9rZXk+PC9mb3JlaWduLWtleXM+PHJlZi10eXBlIG5hbWU9IlJlcG9ydCI+Mjc8L3Jl
Zi10eXBlPjxjb250cmlidXRvcnM+PGF1dGhvcnM+PGF1dGhvcj5NY0tlbnppZSwgTGVuIEo8L2F1
dGhvcj48YXV0aG9yPkNvbGxpZXIsIEM8L2F1dGhvcj48YXV0aG9yPldheWNvdHQsIE08L2F1dGhv
cj48L2F1dGhvcnM+PC9jb250cmlidXRvcnM+PHRpdGxlcz48dGl0bGU+UmVlZiBSZXNjdWUgTWFy
aW5lIE1vbml0b3JpbmcgUHJvZ3JhbSAtIEluc2hvcmUgU2VhZ3Jhc3MsIEFubnVhbCBSZXBvcnQg
Zm9yIHRoZSBzYW1wbGluZyBwZXJpb2QgMXN0IEp1bHkgMjAxMSDigJMgMzFzdCBNYXkgMjAxMjwv
dGl0bGU+PC90aXRsZXM+PHBhZ2VzPjE3NjwvcGFnZXM+PGRhdGVzPjx5ZWFyPjIwMTQ8L3llYXI+
PC9kYXRlcz48cHViLWxvY2F0aW9uPkNhaXJuczwvcHViLWxvY2F0aW9uPjxwdWJsaXNoZXI+VHJv
cFdBVEVSLCBKYW1lcyBDb29rIFVuaXZlcnNpdHk8L3B1Ymxpc2hlcj48dXJscz48L3VybHM+PC9y
ZWNvcmQ+PC9DaXRlPjxDaXRlPjxBdXRob3I+QmlyY2g8L0F1dGhvcj48WWVhcj4xOTg0PC9ZZWFy
PjxSZWNOdW0+MTc3PC9SZWNOdW0+PHJlY29yZD48cmVjLW51bWJlcj4xNzc8L3JlYy1udW1iZXI+
PGZvcmVpZ24ta2V5cz48a2V5IGFwcD0iRU4iIGRiLWlkPSIwZXZlNTV4OXk1dmZkNmU5ZGFjeHRl
dzRlYXR2ZTJkemRzOWEiIHRpbWVzdGFtcD0iMCI+MTc3PC9rZXk+PC9mb3JlaWduLWtleXM+PHJl
Zi10eXBlIG5hbWU9IkpvdXJuYWwgQXJ0aWNsZSI+MTc8L3JlZi10eXBlPjxjb250cmlidXRvcnM+
PGF1dGhvcnM+PGF1dGhvcj5CaXJjaCwgV1I8L2F1dGhvcj48YXV0aG9yPkJpcmNoLCBNPC9hdXRo
b3I+PC9hdXRob3JzPjwvY29udHJpYnV0b3JzPjx0aXRsZXM+PHRpdGxlPlN1Y2Nlc3Npb24gYW5k
IHBhdHRlcm4gb2YgdHJvcGljYWwgaW50ZXJ0aWRhbCBzZWFncmFzc2VzIGluIENvY2tsZSBCYXks
IFF1ZWVuc2xhbmQsIEF1c3RyYWxpYTogYSBkZWNhZGUgb2Ygb2JzZXJ2YXRpb25zPC90aXRsZT48
c2Vjb25kYXJ5LXRpdGxlPkFxdWF0aWMgQm90YW55PC9zZWNvbmRhcnktdGl0bGU+PGFsdC10aXRs
ZT5BcXVhdC4gQm90LjwvYWx0LXRpdGxlPjwvdGl0bGVzPjxwZXJpb2RpY2FsPjxmdWxsLXRpdGxl
PkFxdWF0aWMgQm90YW55PC9mdWxsLXRpdGxlPjwvcGVyaW9kaWNhbD48cGFnZXM+MzQzLTM2Nzwv
cGFnZXM+PHZvbHVtZT4xOTwvdm9sdW1lPjxrZXl3b3Jkcz48a2V5d29yZD5NQ0tFTlpJRSAxOTk2
PC9rZXl3b3JkPjxrZXl3b3JkPk1PVVJJTFlBTjwva2V5d29yZD48L2tleXdvcmRzPjxkYXRlcz48
eWVhcj4xOTg0PC95ZWFyPjwvZGF0ZXM+PGxhYmVsPjEzMDwvbGFiZWw+PHVybHM+PC91cmxzPjxj
dXN0b20xPkFubmV4PC9jdXN0b20xPjwvcmVjb3JkPjwvQ2l0ZT48Q2l0ZT48QXV0aG9yPlByZWVu
PC9BdXRob3I+PFllYXI+MTk5NTwvWWVhcj48UmVjTnVtPjk1MDwvUmVjTnVtPjxyZWNvcmQ+PHJl
Yy1udW1iZXI+OTUwPC9yZWMtbnVtYmVyPjxmb3JlaWduLWtleXM+PGtleSBhcHA9IkVOIiBkYi1p
ZD0iMGV2ZTU1eDl5NXZmZDZlOWRhY3h0ZXc0ZWF0dmUyZHpkczlhIiB0aW1lc3RhbXA9IjAiPjk1
MDwva2V5PjwvZm9yZWlnbi1rZXlzPjxyZWYtdHlwZSBuYW1lPSJKb3VybmFsIEFydGljbGUiPjE3
PC9yZWYtdHlwZT48Y29udHJpYnV0b3JzPjxhdXRob3JzPjxhdXRob3I+UHJlZW4sIEFudGhvbnkg
Ui48L2F1dGhvcj48YXV0aG9yPkxlZSBMb25nLCBXYXJyZW4gSi48L2F1dGhvcj48YXV0aG9yPkNv
bGVzLCBSb2JlcnQgRy48L2F1dGhvcj48L2F1dGhvcnM+PC9jb250cmlidXRvcnM+PHRpdGxlcz48
dGl0bGU+PHN0eWxlIGZhY2U9Im5vcm1hbCIgZm9udD0iZGVmYXVsdCIgc2l6ZT0iMTAwJSI+Rmxv
b2QgYW5kIGN5Y2xvbmUgcmVsYXRlZCBsb3NzLCBhbmQgcGFydGlhbCByZWNvdmVyeSwgb2YgbW9y
ZSB0aGFuIDEsMDAwIGttPC9zdHlsZT48c3R5bGUgZmFjZT0ic3VwZXJzY3JpcHQiIGZvbnQ9ImRl
ZmF1bHQiIHNpemU9IjEwMCUiPjI8L3N0eWxlPjxzdHlsZSBmYWNlPSJub3JtYWwiIGZvbnQ9ImRl
ZmF1bHQiIHNpemU9IjEwMCUiPiBvZiBzZWFncmFzcyBpbiBIZXJ2ZXkgQmF5LCBRdWVlbnNsYW5k
LCBBdXN0cmFsaWE8L3N0eWxlPjwvdGl0bGU+PHNlY29uZGFyeS10aXRsZT5BcXVhdGljIEJvdGFu
eTwvc2Vjb25kYXJ5LXRpdGxlPjxhbHQtdGl0bGU+QXF1YXQuIEJvdC48L2FsdC10aXRsZT48L3Rp
dGxlcz48cGVyaW9kaWNhbD48ZnVsbC10aXRsZT5BcXVhdGljIEJvdGFueTwvZnVsbC10aXRsZT48
L3BlcmlvZGljYWw+PHBhZ2VzPjMtMTc8L3BhZ2VzPjx2b2x1bWU+NTI8L3ZvbHVtZT48a2V5d29y
ZHM+PGtleXdvcmQ+U2VhZ3Jhc3MsIERpZSBvZmYsIEN5Y2xvbmVSZWNvdmVyeTwva2V5d29yZD48
L2tleXdvcmRzPjxkYXRlcz48eWVhcj4xOTk1PC95ZWFyPjwvZGF0ZXM+PHVybHM+PC91cmxzPjxj
dXN0b20xPkFubmV4LiBMZW4gTWNLZW56aWUgQ29sbGVjdGlvbjwvY3VzdG9tMT48L3JlY29yZD48
L0NpdGU+PENpdGU+PEF1dGhvcj5SYXNoZWVkPC9BdXRob3I+PFllYXI+MjAxNDwvWWVhcj48UmVj
TnVtPjk4OTM8L1JlY051bT48cmVjb3JkPjxyZWMtbnVtYmVyPjk4OTM8L3JlYy1udW1iZXI+PGZv
cmVpZ24ta2V5cz48a2V5IGFwcD0iRU4iIGRiLWlkPSIwZXZlNTV4OXk1dmZkNmU5ZGFjeHRldzRl
YXR2ZTJkemRzOWEiIHRpbWVzdGFtcD0iMTQwNjYyNzM5NCI+OTg5Mzwva2V5PjwvZm9yZWlnbi1r
ZXlzPjxyZWYtdHlwZSBuYW1lPSJKb3VybmFsIEFydGljbGUiPjE3PC9yZWYtdHlwZT48Y29udHJp
YnV0b3JzPjxhdXRob3JzPjxhdXRob3I+UmFzaGVlZCwgTWljaGFlbCBBLjwvYXV0aG9yPjxhdXRo
b3I+TWNLZW5uYSwgU2t5ZSBBLjwvYXV0aG9yPjxhdXRob3I+Q2FydGVyLCBBbGV4YW5kcmEgQi48
L2F1dGhvcj48YXV0aG9yPkNvbGVzLCBSb2JlcnQgRy48L2F1dGhvcj48L2F1dGhvcnM+PC9jb250
cmlidXRvcnM+PHRpdGxlcz48dGl0bGU+Q29udHJhc3RpbmcgcmVjb3Zlcnkgb2Ygc2hhbGxvdyBh
bmQgZGVlcCB3YXRlciBzZWFncmFzcyBjb21tdW5pdGllcyBmb2xsb3dpbmcgY2xpbWF0ZSBhc3Nv
Y2lhdGVkIGxvc3NlcyBpbiB0cm9waWNhbCBub3J0aCBRdWVlbnNsYW5kLCBBdXN0cmFsaWE8L3Rp
dGxlPjxzZWNvbmRhcnktdGl0bGU+TWFyaW5lIFBvbGx1dGlvbiBCdWxsZXRpbjwvc2Vjb25kYXJ5
LXRpdGxlPjwvdGl0bGVzPjxwZXJpb2RpY2FsPjxmdWxsLXRpdGxlPk1hcmluZSBQb2xsdXRpb24g
QnVsbGV0aW48L2Z1bGwtdGl0bGU+PC9wZXJpb2RpY2FsPjxwYWdlcz40OTEtNDk5PC9wYWdlcz48
dm9sdW1lPjgzPC92b2x1bWU+PG51bWJlcj4yPC9udW1iZXI+PGtleXdvcmRzPjxrZXl3b3JkPlNl
YWdyYXNzPC9rZXl3b3JkPjxrZXl3b3JkPkxvc3M8L2tleXdvcmQ+PGtleXdvcmQ+UmVjb3Zlcnk8
L2tleXdvcmQ+PGtleXdvcmQ+Q2xpbWF0ZTwva2V5d29yZD48a2V5d29yZD5TZWVkPC9rZXl3b3Jk
PjxrZXl3b3JkPlJlcHJvZHVjdGlvbjwva2V5d29yZD48L2tleXdvcmRzPjxkYXRlcz48eWVhcj4y
MDE0PC95ZWFyPjwvZGF0ZXM+PGlzYm4+MDAyNS0zMjZYPC9pc2JuPjx1cmxzPjxyZWxhdGVkLXVy
bHM+PHVybD5odHRwOi8vd3d3LnNjaWVuY2VkaXJlY3QuY29tL3NjaWVuY2UvYXJ0aWNsZS9waWkv
UzAwMjUzMjZYMTQwMDEwOVg8L3VybD48L3JlbGF0ZWQtdXJscz48L3VybHM+PGVsZWN0cm9uaWMt
cmVzb3VyY2UtbnVtPmh0dHA6Ly9keC5kb2kub3JnLzEwLjEwMTYvai5tYXJwb2xidWwuMjAxNC4w
Mi4wMTM8L2VsZWN0cm9uaWMtcmVzb3VyY2UtbnVtPjwvcmVjb3JkPjwvQ2l0ZT48Q2l0ZT48QXV0
aG9yPk1jS2VuemllPC9BdXRob3I+PFllYXI+MjAwMjwvWWVhcj48UmVjTnVtPjkzNTc8L1JlY051
bT48cmVjb3JkPjxyZWMtbnVtYmVyPjkzNTc8L3JlYy1udW1iZXI+PGZvcmVpZ24ta2V5cz48a2V5
IGFwcD0iRU4iIGRiLWlkPSIwZXZlNTV4OXk1dmZkNmU5ZGFjeHRldzRlYXR2ZTJkemRzOWEiIHRp
bWVzdGFtcD0iMTM3NTA1MjQ4MCI+OTM1Nzwva2V5PjwvZm9yZWlnbi1rZXlzPjxyZWYtdHlwZSBu
YW1lPSJCb29rIj42PC9yZWYtdHlwZT48Y29udHJpYnV0b3JzPjxhdXRob3JzPjxhdXRob3I+TWNL
ZW56aWUsIExlbiBKPC9hdXRob3I+PGF1dGhvcj5DYW1wYmVsbCwgU3R1YXJ0IEo8L2F1dGhvcj48
L2F1dGhvcnM+PC9jb250cmlidXRvcnM+PHRpdGxlcz48dGl0bGU+U2VhZ3Jhc3MgcmVzb3VyY2Vz
IG9mIHRoZSBCb29yYWwgV2V0bGFuZHMgYW5kIHRoZSBHcmVhdCBTYW5keSBTdHJhaXQ6IEZlYnJ1
YXJ5L01hcmNoIDIwMDIuIERQSSBJbmZvcm1hdGlvbiBTZXJpZXMgUUkwMzAxNi48L3RpdGxlPjwv
dGl0bGVzPjxwYWdlcz4yODwvcGFnZXM+PGRhdGVzPjx5ZWFyPjIwMDI8L3llYXI+PC9kYXRlcz48
cHViLWxvY2F0aW9uPkNhaXJuczwvcHViLWxvY2F0aW9uPjxwdWJsaXNoZXI+VGhlIFN0YXRlIG9m
IFF1ZWVuc2xhbmQsIERlcGFydG1lbnQgb2YgUHJpbWFyeSBJbmR1c3RyaWVzPC9wdWJsaXNoZXI+
PHVybHM+PC91cmxzPjwvcmVjb3JkPjwvQ2l0ZT48L0VuZE5vdGU+AG==
</w:fldData>
        </w:fldChar>
      </w:r>
      <w:r w:rsidR="004A409C">
        <w:rPr>
          <w:rFonts w:cs="Arial"/>
          <w:i/>
          <w:color w:val="000000" w:themeColor="text1"/>
          <w:szCs w:val="22"/>
        </w:rPr>
        <w:instrText xml:space="preserve"> ADDIN EN.CITE </w:instrText>
      </w:r>
      <w:r w:rsidR="004A409C">
        <w:rPr>
          <w:rFonts w:cs="Arial"/>
          <w:i/>
          <w:color w:val="000000" w:themeColor="text1"/>
          <w:szCs w:val="22"/>
        </w:rPr>
        <w:fldChar w:fldCharType="begin">
          <w:fldData xml:space="preserve">PEVuZE5vdGU+PENpdGU+PEF1dGhvcj5DYW1wYmVsbDwvQXV0aG9yPjxZZWFyPjIwMDQ8L1llYXI+
PFJlY051bT4yODM4PC9SZWNOdW0+PERpc3BsYXlUZXh0PkJpcmNoIGFuZCBCaXJjaCAxOTg0OyBQ
cmVlbjxzdHlsZSBmYWNlPSJpdGFsaWMiPiBldCBhbC48L3N0eWxlPiAxOTk1OyBNY0tlbnppZSBh
bmQgQ2FtcGJlbGwgMjAwMjsgQ2FtcGJlbGwgYW5kIE1jS2VuemllIDIwMDQ7IE1jS2VuemllPHN0
eWxlIGZhY2U9Iml0YWxpYyI+IGV0IGFsLjwvc3R5bGU+IDIwMTRhOyBSYXNoZWVkPHN0eWxlIGZh
Y2U9Iml0YWxpYyI+IGV0IGFsLjwvc3R5bGU+IDIwMTQ8L0Rpc3BsYXlUZXh0PjxyZWNvcmQ+PHJl
Yy1udW1iZXI+MjgzODwvcmVjLW51bWJlcj48Zm9yZWlnbi1rZXlzPjxrZXkgYXBwPSJFTiIgZGIt
aWQ9IjBldmU1NXg5eTV2ZmQ2ZTlkYWN4dGV3NGVhdHZlMmR6ZHM5YSIgdGltZXN0YW1wPSIwIj4y
ODM4PC9rZXk+PC9mb3JlaWduLWtleXM+PHJlZi10eXBlIG5hbWU9IkpvdXJuYWwgQXJ0aWNsZSI+
MTc8L3JlZi10eXBlPjxjb250cmlidXRvcnM+PGF1dGhvcnM+PGF1dGhvcj5DYW1wYmVsbCwgU3R1
YXJ0IEouPC9hdXRob3I+PGF1dGhvcj5NY0tlbnppZSwgTGVuIEouPC9hdXRob3I+PC9hdXRob3Jz
PjwvY29udHJpYnV0b3JzPjx0aXRsZXM+PHRpdGxlPkZsb29kIHJlbGF0ZWQgbG9zcyBhbmQgcmVj
b3Zlcnkgb2YgaW50ZXJ0aWRhbCBzZWFncmFzcyBtZWFkb3dzIGluIHNvdXRoZXJuIFF1ZWVuc2xh
bmQsIEF1c3RyYWxpYTwvdGl0bGU+PHNlY29uZGFyeS10aXRsZT5Fc3R1YXJpbmUsIENvYXN0YWwg
YW5kIFNoZWxmIFNjaWVuY2U8L3NlY29uZGFyeS10aXRsZT48L3RpdGxlcz48cGVyaW9kaWNhbD48
ZnVsbC10aXRsZT5Fc3R1YXJpbmUsIENvYXN0YWwgYW5kIFNoZWxmIFNjaWVuY2U8L2Z1bGwtdGl0
bGU+PC9wZXJpb2RpY2FsPjxwYWdlcz40NzctNDkwPC9wYWdlcz48dm9sdW1lPjYwPC92b2x1bWU+
PG51bWJlcj4zPC9udW1iZXI+PGRhdGVzPjx5ZWFyPjIwMDQ8L3llYXI+PHB1Yi1kYXRlcz48ZGF0
ZT4yMDA0Lzc8L2RhdGU+PC9wdWItZGF0ZXM+PC9kYXRlcz48dXJscz48cmVsYXRlZC11cmxzPjx1
cmw+aHR0cDovL3d3dy5zY2llbmNlZGlyZWN0LmNvbS9zY2llbmNlL2FydGljbGUvQjZXRFYtNEM0
QkpSNS01LzIvMTU0ODEwOTg3MjAyZmM2ZDI3YmE2ZmEzNWMwN2YxOTc8L3VybD48L3JlbGF0ZWQt
dXJscz48L3VybHM+PC9yZWNvcmQ+PC9DaXRlPjxDaXRlPjxBdXRob3I+TWNLZW56aWU8L0F1dGhv
cj48WWVhcj4yMDE0PC9ZZWFyPjxSZWNOdW0+OTgxMjwvUmVjTnVtPjxyZWNvcmQ+PHJlYy1udW1i
ZXI+OTgxMjwvcmVjLW51bWJlcj48Zm9yZWlnbi1rZXlzPjxrZXkgYXBwPSJFTiIgZGItaWQ9IjBl
dmU1NXg5eTV2ZmQ2ZTlkYWN4dGV3NGVhdHZlMmR6ZHM5YSIgdGltZXN0YW1wPSIxMzk4MTE5ODAy
Ij45ODEyPC9rZXk+PC9mb3JlaWduLWtleXM+PHJlZi10eXBlIG5hbWU9IlJlcG9ydCI+Mjc8L3Jl
Zi10eXBlPjxjb250cmlidXRvcnM+PGF1dGhvcnM+PGF1dGhvcj5NY0tlbnppZSwgTGVuIEo8L2F1
dGhvcj48YXV0aG9yPkNvbGxpZXIsIEM8L2F1dGhvcj48YXV0aG9yPldheWNvdHQsIE08L2F1dGhv
cj48L2F1dGhvcnM+PC9jb250cmlidXRvcnM+PHRpdGxlcz48dGl0bGU+UmVlZiBSZXNjdWUgTWFy
aW5lIE1vbml0b3JpbmcgUHJvZ3JhbSAtIEluc2hvcmUgU2VhZ3Jhc3MsIEFubnVhbCBSZXBvcnQg
Zm9yIHRoZSBzYW1wbGluZyBwZXJpb2QgMXN0IEp1bHkgMjAxMSDigJMgMzFzdCBNYXkgMjAxMjwv
dGl0bGU+PC90aXRsZXM+PHBhZ2VzPjE3NjwvcGFnZXM+PGRhdGVzPjx5ZWFyPjIwMTQ8L3llYXI+
PC9kYXRlcz48cHViLWxvY2F0aW9uPkNhaXJuczwvcHViLWxvY2F0aW9uPjxwdWJsaXNoZXI+VHJv
cFdBVEVSLCBKYW1lcyBDb29rIFVuaXZlcnNpdHk8L3B1Ymxpc2hlcj48dXJscz48L3VybHM+PC9y
ZWNvcmQ+PC9DaXRlPjxDaXRlPjxBdXRob3I+QmlyY2g8L0F1dGhvcj48WWVhcj4xOTg0PC9ZZWFy
PjxSZWNOdW0+MTc3PC9SZWNOdW0+PHJlY29yZD48cmVjLW51bWJlcj4xNzc8L3JlYy1udW1iZXI+
PGZvcmVpZ24ta2V5cz48a2V5IGFwcD0iRU4iIGRiLWlkPSIwZXZlNTV4OXk1dmZkNmU5ZGFjeHRl
dzRlYXR2ZTJkemRzOWEiIHRpbWVzdGFtcD0iMCI+MTc3PC9rZXk+PC9mb3JlaWduLWtleXM+PHJl
Zi10eXBlIG5hbWU9IkpvdXJuYWwgQXJ0aWNsZSI+MTc8L3JlZi10eXBlPjxjb250cmlidXRvcnM+
PGF1dGhvcnM+PGF1dGhvcj5CaXJjaCwgV1I8L2F1dGhvcj48YXV0aG9yPkJpcmNoLCBNPC9hdXRo
b3I+PC9hdXRob3JzPjwvY29udHJpYnV0b3JzPjx0aXRsZXM+PHRpdGxlPlN1Y2Nlc3Npb24gYW5k
IHBhdHRlcm4gb2YgdHJvcGljYWwgaW50ZXJ0aWRhbCBzZWFncmFzc2VzIGluIENvY2tsZSBCYXks
IFF1ZWVuc2xhbmQsIEF1c3RyYWxpYTogYSBkZWNhZGUgb2Ygb2JzZXJ2YXRpb25zPC90aXRsZT48
c2Vjb25kYXJ5LXRpdGxlPkFxdWF0aWMgQm90YW55PC9zZWNvbmRhcnktdGl0bGU+PGFsdC10aXRs
ZT5BcXVhdC4gQm90LjwvYWx0LXRpdGxlPjwvdGl0bGVzPjxwZXJpb2RpY2FsPjxmdWxsLXRpdGxl
PkFxdWF0aWMgQm90YW55PC9mdWxsLXRpdGxlPjwvcGVyaW9kaWNhbD48cGFnZXM+MzQzLTM2Nzwv
cGFnZXM+PHZvbHVtZT4xOTwvdm9sdW1lPjxrZXl3b3Jkcz48a2V5d29yZD5NQ0tFTlpJRSAxOTk2
PC9rZXl3b3JkPjxrZXl3b3JkPk1PVVJJTFlBTjwva2V5d29yZD48L2tleXdvcmRzPjxkYXRlcz48
eWVhcj4xOTg0PC95ZWFyPjwvZGF0ZXM+PGxhYmVsPjEzMDwvbGFiZWw+PHVybHM+PC91cmxzPjxj
dXN0b20xPkFubmV4PC9jdXN0b20xPjwvcmVjb3JkPjwvQ2l0ZT48Q2l0ZT48QXV0aG9yPlByZWVu
PC9BdXRob3I+PFllYXI+MTk5NTwvWWVhcj48UmVjTnVtPjk1MDwvUmVjTnVtPjxyZWNvcmQ+PHJl
Yy1udW1iZXI+OTUwPC9yZWMtbnVtYmVyPjxmb3JlaWduLWtleXM+PGtleSBhcHA9IkVOIiBkYi1p
ZD0iMGV2ZTU1eDl5NXZmZDZlOWRhY3h0ZXc0ZWF0dmUyZHpkczlhIiB0aW1lc3RhbXA9IjAiPjk1
MDwva2V5PjwvZm9yZWlnbi1rZXlzPjxyZWYtdHlwZSBuYW1lPSJKb3VybmFsIEFydGljbGUiPjE3
PC9yZWYtdHlwZT48Y29udHJpYnV0b3JzPjxhdXRob3JzPjxhdXRob3I+UHJlZW4sIEFudGhvbnkg
Ui48L2F1dGhvcj48YXV0aG9yPkxlZSBMb25nLCBXYXJyZW4gSi48L2F1dGhvcj48YXV0aG9yPkNv
bGVzLCBSb2JlcnQgRy48L2F1dGhvcj48L2F1dGhvcnM+PC9jb250cmlidXRvcnM+PHRpdGxlcz48
dGl0bGU+PHN0eWxlIGZhY2U9Im5vcm1hbCIgZm9udD0iZGVmYXVsdCIgc2l6ZT0iMTAwJSI+Rmxv
b2QgYW5kIGN5Y2xvbmUgcmVsYXRlZCBsb3NzLCBhbmQgcGFydGlhbCByZWNvdmVyeSwgb2YgbW9y
ZSB0aGFuIDEsMDAwIGttPC9zdHlsZT48c3R5bGUgZmFjZT0ic3VwZXJzY3JpcHQiIGZvbnQ9ImRl
ZmF1bHQiIHNpemU9IjEwMCUiPjI8L3N0eWxlPjxzdHlsZSBmYWNlPSJub3JtYWwiIGZvbnQ9ImRl
ZmF1bHQiIHNpemU9IjEwMCUiPiBvZiBzZWFncmFzcyBpbiBIZXJ2ZXkgQmF5LCBRdWVlbnNsYW5k
LCBBdXN0cmFsaWE8L3N0eWxlPjwvdGl0bGU+PHNlY29uZGFyeS10aXRsZT5BcXVhdGljIEJvdGFu
eTwvc2Vjb25kYXJ5LXRpdGxlPjxhbHQtdGl0bGU+QXF1YXQuIEJvdC48L2FsdC10aXRsZT48L3Rp
dGxlcz48cGVyaW9kaWNhbD48ZnVsbC10aXRsZT5BcXVhdGljIEJvdGFueTwvZnVsbC10aXRsZT48
L3BlcmlvZGljYWw+PHBhZ2VzPjMtMTc8L3BhZ2VzPjx2b2x1bWU+NTI8L3ZvbHVtZT48a2V5d29y
ZHM+PGtleXdvcmQ+U2VhZ3Jhc3MsIERpZSBvZmYsIEN5Y2xvbmVSZWNvdmVyeTwva2V5d29yZD48
L2tleXdvcmRzPjxkYXRlcz48eWVhcj4xOTk1PC95ZWFyPjwvZGF0ZXM+PHVybHM+PC91cmxzPjxj
dXN0b20xPkFubmV4LiBMZW4gTWNLZW56aWUgQ29sbGVjdGlvbjwvY3VzdG9tMT48L3JlY29yZD48
L0NpdGU+PENpdGU+PEF1dGhvcj5SYXNoZWVkPC9BdXRob3I+PFllYXI+MjAxNDwvWWVhcj48UmVj
TnVtPjk4OTM8L1JlY051bT48cmVjb3JkPjxyZWMtbnVtYmVyPjk4OTM8L3JlYy1udW1iZXI+PGZv
cmVpZ24ta2V5cz48a2V5IGFwcD0iRU4iIGRiLWlkPSIwZXZlNTV4OXk1dmZkNmU5ZGFjeHRldzRl
YXR2ZTJkemRzOWEiIHRpbWVzdGFtcD0iMTQwNjYyNzM5NCI+OTg5Mzwva2V5PjwvZm9yZWlnbi1r
ZXlzPjxyZWYtdHlwZSBuYW1lPSJKb3VybmFsIEFydGljbGUiPjE3PC9yZWYtdHlwZT48Y29udHJp
YnV0b3JzPjxhdXRob3JzPjxhdXRob3I+UmFzaGVlZCwgTWljaGFlbCBBLjwvYXV0aG9yPjxhdXRo
b3I+TWNLZW5uYSwgU2t5ZSBBLjwvYXV0aG9yPjxhdXRob3I+Q2FydGVyLCBBbGV4YW5kcmEgQi48
L2F1dGhvcj48YXV0aG9yPkNvbGVzLCBSb2JlcnQgRy48L2F1dGhvcj48L2F1dGhvcnM+PC9jb250
cmlidXRvcnM+PHRpdGxlcz48dGl0bGU+Q29udHJhc3RpbmcgcmVjb3Zlcnkgb2Ygc2hhbGxvdyBh
bmQgZGVlcCB3YXRlciBzZWFncmFzcyBjb21tdW5pdGllcyBmb2xsb3dpbmcgY2xpbWF0ZSBhc3Nv
Y2lhdGVkIGxvc3NlcyBpbiB0cm9waWNhbCBub3J0aCBRdWVlbnNsYW5kLCBBdXN0cmFsaWE8L3Rp
dGxlPjxzZWNvbmRhcnktdGl0bGU+TWFyaW5lIFBvbGx1dGlvbiBCdWxsZXRpbjwvc2Vjb25kYXJ5
LXRpdGxlPjwvdGl0bGVzPjxwZXJpb2RpY2FsPjxmdWxsLXRpdGxlPk1hcmluZSBQb2xsdXRpb24g
QnVsbGV0aW48L2Z1bGwtdGl0bGU+PC9wZXJpb2RpY2FsPjxwYWdlcz40OTEtNDk5PC9wYWdlcz48
dm9sdW1lPjgzPC92b2x1bWU+PG51bWJlcj4yPC9udW1iZXI+PGtleXdvcmRzPjxrZXl3b3JkPlNl
YWdyYXNzPC9rZXl3b3JkPjxrZXl3b3JkPkxvc3M8L2tleXdvcmQ+PGtleXdvcmQ+UmVjb3Zlcnk8
L2tleXdvcmQ+PGtleXdvcmQ+Q2xpbWF0ZTwva2V5d29yZD48a2V5d29yZD5TZWVkPC9rZXl3b3Jk
PjxrZXl3b3JkPlJlcHJvZHVjdGlvbjwva2V5d29yZD48L2tleXdvcmRzPjxkYXRlcz48eWVhcj4y
MDE0PC95ZWFyPjwvZGF0ZXM+PGlzYm4+MDAyNS0zMjZYPC9pc2JuPjx1cmxzPjxyZWxhdGVkLXVy
bHM+PHVybD5odHRwOi8vd3d3LnNjaWVuY2VkaXJlY3QuY29tL3NjaWVuY2UvYXJ0aWNsZS9waWkv
UzAwMjUzMjZYMTQwMDEwOVg8L3VybD48L3JlbGF0ZWQtdXJscz48L3VybHM+PGVsZWN0cm9uaWMt
cmVzb3VyY2UtbnVtPmh0dHA6Ly9keC5kb2kub3JnLzEwLjEwMTYvai5tYXJwb2xidWwuMjAxNC4w
Mi4wMTM8L2VsZWN0cm9uaWMtcmVzb3VyY2UtbnVtPjwvcmVjb3JkPjwvQ2l0ZT48Q2l0ZT48QXV0
aG9yPk1jS2VuemllPC9BdXRob3I+PFllYXI+MjAwMjwvWWVhcj48UmVjTnVtPjkzNTc8L1JlY051
bT48cmVjb3JkPjxyZWMtbnVtYmVyPjkzNTc8L3JlYy1udW1iZXI+PGZvcmVpZ24ta2V5cz48a2V5
IGFwcD0iRU4iIGRiLWlkPSIwZXZlNTV4OXk1dmZkNmU5ZGFjeHRldzRlYXR2ZTJkemRzOWEiIHRp
bWVzdGFtcD0iMTM3NTA1MjQ4MCI+OTM1Nzwva2V5PjwvZm9yZWlnbi1rZXlzPjxyZWYtdHlwZSBu
YW1lPSJCb29rIj42PC9yZWYtdHlwZT48Y29udHJpYnV0b3JzPjxhdXRob3JzPjxhdXRob3I+TWNL
ZW56aWUsIExlbiBKPC9hdXRob3I+PGF1dGhvcj5DYW1wYmVsbCwgU3R1YXJ0IEo8L2F1dGhvcj48
L2F1dGhvcnM+PC9jb250cmlidXRvcnM+PHRpdGxlcz48dGl0bGU+U2VhZ3Jhc3MgcmVzb3VyY2Vz
IG9mIHRoZSBCb29yYWwgV2V0bGFuZHMgYW5kIHRoZSBHcmVhdCBTYW5keSBTdHJhaXQ6IEZlYnJ1
YXJ5L01hcmNoIDIwMDIuIERQSSBJbmZvcm1hdGlvbiBTZXJpZXMgUUkwMzAxNi48L3RpdGxlPjwv
dGl0bGVzPjxwYWdlcz4yODwvcGFnZXM+PGRhdGVzPjx5ZWFyPjIwMDI8L3llYXI+PC9kYXRlcz48
cHViLWxvY2F0aW9uPkNhaXJuczwvcHViLWxvY2F0aW9uPjxwdWJsaXNoZXI+VGhlIFN0YXRlIG9m
IFF1ZWVuc2xhbmQsIERlcGFydG1lbnQgb2YgUHJpbWFyeSBJbmR1c3RyaWVzPC9wdWJsaXNoZXI+
PHVybHM+PC91cmxzPjwvcmVjb3JkPjwvQ2l0ZT48L0VuZE5vdGU+AG==
</w:fldData>
        </w:fldChar>
      </w:r>
      <w:r w:rsidR="004A409C">
        <w:rPr>
          <w:rFonts w:cs="Arial"/>
          <w:i/>
          <w:color w:val="000000" w:themeColor="text1"/>
          <w:szCs w:val="22"/>
        </w:rPr>
        <w:instrText xml:space="preserve"> ADDIN EN.CITE.DATA </w:instrText>
      </w:r>
      <w:r w:rsidR="004A409C">
        <w:rPr>
          <w:rFonts w:cs="Arial"/>
          <w:i/>
          <w:color w:val="000000" w:themeColor="text1"/>
          <w:szCs w:val="22"/>
        </w:rPr>
      </w:r>
      <w:r w:rsidR="004A409C">
        <w:rPr>
          <w:rFonts w:cs="Arial"/>
          <w:i/>
          <w:color w:val="000000" w:themeColor="text1"/>
          <w:szCs w:val="22"/>
        </w:rPr>
        <w:fldChar w:fldCharType="end"/>
      </w:r>
      <w:r w:rsidR="00F42758" w:rsidRPr="004B3F43">
        <w:rPr>
          <w:rFonts w:cs="Arial"/>
          <w:i/>
          <w:color w:val="000000" w:themeColor="text1"/>
          <w:szCs w:val="22"/>
        </w:rPr>
      </w:r>
      <w:r w:rsidR="00F42758" w:rsidRPr="004B3F43">
        <w:rPr>
          <w:rFonts w:cs="Arial"/>
          <w:i/>
          <w:color w:val="000000" w:themeColor="text1"/>
          <w:szCs w:val="22"/>
        </w:rPr>
        <w:fldChar w:fldCharType="separate"/>
      </w:r>
      <w:hyperlink w:anchor="_ENREF_11" w:tooltip="Birch, 1984 #177" w:history="1">
        <w:r w:rsidR="009A7AB4">
          <w:rPr>
            <w:rFonts w:cs="Arial"/>
            <w:i/>
            <w:noProof/>
            <w:color w:val="000000" w:themeColor="text1"/>
            <w:szCs w:val="22"/>
          </w:rPr>
          <w:t>Birch and Birch 1984</w:t>
        </w:r>
      </w:hyperlink>
      <w:r w:rsidR="004A409C">
        <w:rPr>
          <w:rFonts w:cs="Arial"/>
          <w:i/>
          <w:noProof/>
          <w:color w:val="000000" w:themeColor="text1"/>
          <w:szCs w:val="22"/>
        </w:rPr>
        <w:t xml:space="preserve">; </w:t>
      </w:r>
      <w:hyperlink w:anchor="_ENREF_129" w:tooltip="Preen, 1995 #950" w:history="1">
        <w:r w:rsidR="009A7AB4">
          <w:rPr>
            <w:rFonts w:cs="Arial"/>
            <w:i/>
            <w:noProof/>
            <w:color w:val="000000" w:themeColor="text1"/>
            <w:szCs w:val="22"/>
          </w:rPr>
          <w:t>Preen et al. 1995</w:t>
        </w:r>
      </w:hyperlink>
      <w:r w:rsidR="004A409C">
        <w:rPr>
          <w:rFonts w:cs="Arial"/>
          <w:i/>
          <w:noProof/>
          <w:color w:val="000000" w:themeColor="text1"/>
          <w:szCs w:val="22"/>
        </w:rPr>
        <w:t xml:space="preserve">; </w:t>
      </w:r>
      <w:hyperlink w:anchor="_ENREF_100" w:tooltip="McKenzie, 2002 #9357" w:history="1">
        <w:r w:rsidR="009A7AB4">
          <w:rPr>
            <w:rFonts w:cs="Arial"/>
            <w:i/>
            <w:noProof/>
            <w:color w:val="000000" w:themeColor="text1"/>
            <w:szCs w:val="22"/>
          </w:rPr>
          <w:t>McKenzie and Campbell 2002</w:t>
        </w:r>
      </w:hyperlink>
      <w:r w:rsidR="004A409C">
        <w:rPr>
          <w:rFonts w:cs="Arial"/>
          <w:i/>
          <w:noProof/>
          <w:color w:val="000000" w:themeColor="text1"/>
          <w:szCs w:val="22"/>
        </w:rPr>
        <w:t xml:space="preserve">; </w:t>
      </w:r>
      <w:hyperlink w:anchor="_ENREF_19" w:tooltip="Campbell, 2004 #2838" w:history="1">
        <w:r w:rsidR="009A7AB4">
          <w:rPr>
            <w:rFonts w:cs="Arial"/>
            <w:i/>
            <w:noProof/>
            <w:color w:val="000000" w:themeColor="text1"/>
            <w:szCs w:val="22"/>
          </w:rPr>
          <w:t>Campbell and McKenzie 2004</w:t>
        </w:r>
      </w:hyperlink>
      <w:r w:rsidR="004A409C">
        <w:rPr>
          <w:rFonts w:cs="Arial"/>
          <w:i/>
          <w:noProof/>
          <w:color w:val="000000" w:themeColor="text1"/>
          <w:szCs w:val="22"/>
        </w:rPr>
        <w:t xml:space="preserve">; </w:t>
      </w:r>
      <w:hyperlink w:anchor="_ENREF_102" w:tooltip="McKenzie, 2014 #9812" w:history="1">
        <w:r w:rsidR="009A7AB4">
          <w:rPr>
            <w:rFonts w:cs="Arial"/>
            <w:i/>
            <w:noProof/>
            <w:color w:val="000000" w:themeColor="text1"/>
            <w:szCs w:val="22"/>
          </w:rPr>
          <w:t>McKenzie et al. 2014a</w:t>
        </w:r>
      </w:hyperlink>
      <w:r w:rsidR="004A409C">
        <w:rPr>
          <w:rFonts w:cs="Arial"/>
          <w:i/>
          <w:noProof/>
          <w:color w:val="000000" w:themeColor="text1"/>
          <w:szCs w:val="22"/>
        </w:rPr>
        <w:t xml:space="preserve">; </w:t>
      </w:r>
      <w:hyperlink w:anchor="_ENREF_131" w:tooltip="Rasheed, 2014 #9893" w:history="1">
        <w:r w:rsidR="009A7AB4">
          <w:rPr>
            <w:rFonts w:cs="Arial"/>
            <w:i/>
            <w:noProof/>
            <w:color w:val="000000" w:themeColor="text1"/>
            <w:szCs w:val="22"/>
          </w:rPr>
          <w:t>Rasheed et al. 2014</w:t>
        </w:r>
      </w:hyperlink>
      <w:r w:rsidR="00F42758" w:rsidRPr="004B3F43">
        <w:rPr>
          <w:rFonts w:cs="Arial"/>
          <w:i/>
          <w:color w:val="000000" w:themeColor="text1"/>
          <w:szCs w:val="22"/>
        </w:rPr>
        <w:fldChar w:fldCharType="end"/>
      </w:r>
      <w:r w:rsidR="00086CE5" w:rsidRPr="004B3F43">
        <w:rPr>
          <w:rFonts w:cs="Arial"/>
          <w:i/>
          <w:color w:val="000000" w:themeColor="text1"/>
          <w:szCs w:val="22"/>
        </w:rPr>
        <w:t>)</w:t>
      </w:r>
      <w:r w:rsidR="00F42758" w:rsidRPr="004B3F43">
        <w:rPr>
          <w:rFonts w:cs="Arial"/>
          <w:i/>
          <w:color w:val="000000" w:themeColor="text1"/>
          <w:szCs w:val="22"/>
        </w:rPr>
        <w:t>.</w:t>
      </w:r>
    </w:p>
    <w:p w14:paraId="184B55A9" w14:textId="77777777" w:rsidR="00982CA1" w:rsidRPr="004B3F43" w:rsidRDefault="00982CA1" w:rsidP="004008A6">
      <w:pPr>
        <w:widowControl w:val="0"/>
        <w:autoSpaceDE w:val="0"/>
        <w:autoSpaceDN w:val="0"/>
        <w:adjustRightInd w:val="0"/>
        <w:rPr>
          <w:rFonts w:cs="Arial"/>
          <w:color w:val="000000" w:themeColor="text1"/>
          <w:szCs w:val="22"/>
        </w:rPr>
      </w:pPr>
    </w:p>
    <w:p w14:paraId="7AF40521" w14:textId="54BE3FA0" w:rsidR="004008A6" w:rsidRPr="004B3F43" w:rsidRDefault="004008A6" w:rsidP="004008A6">
      <w:pPr>
        <w:widowControl w:val="0"/>
        <w:autoSpaceDE w:val="0"/>
        <w:autoSpaceDN w:val="0"/>
        <w:adjustRightInd w:val="0"/>
        <w:rPr>
          <w:rFonts w:cs="Arial"/>
          <w:color w:val="000000" w:themeColor="text1"/>
          <w:szCs w:val="22"/>
        </w:rPr>
      </w:pPr>
      <w:r w:rsidRPr="004B3F43">
        <w:rPr>
          <w:rFonts w:cs="Arial"/>
          <w:color w:val="000000" w:themeColor="text1"/>
          <w:szCs w:val="22"/>
        </w:rPr>
        <w:t xml:space="preserve">Coastal seagrasses are prone to small scale disturbances that cause local losses </w:t>
      </w:r>
      <w:r w:rsidRPr="004B3F43">
        <w:rPr>
          <w:rFonts w:cs="Arial"/>
          <w:noProof/>
          <w:color w:val="000000" w:themeColor="text1"/>
          <w:szCs w:val="22"/>
        </w:rPr>
        <w:t>(</w:t>
      </w:r>
      <w:hyperlink w:anchor="_ENREF_32" w:tooltip="Collier, 2009 #9285" w:history="1">
        <w:r w:rsidR="009A7AB4" w:rsidRPr="004B3F43">
          <w:rPr>
            <w:rFonts w:cs="Arial"/>
            <w:noProof/>
            <w:color w:val="000000" w:themeColor="text1"/>
            <w:szCs w:val="22"/>
          </w:rPr>
          <w:fldChar w:fldCharType="begin"/>
        </w:r>
        <w:r w:rsidR="009A7AB4" w:rsidRPr="004B3F43">
          <w:rPr>
            <w:rFonts w:cs="Arial"/>
            <w:noProof/>
            <w:color w:val="000000" w:themeColor="text1"/>
            <w:szCs w:val="22"/>
          </w:rPr>
          <w:instrText xml:space="preserve"> ADDIN EN.CITE &lt;EndNote&gt;&lt;Cite&gt;&lt;Author&gt;Collier&lt;/Author&gt;&lt;Year&gt;2009&lt;/Year&gt;&lt;RecNum&gt;9285&lt;/RecNum&gt;&lt;DisplayText&gt;Collier and Waycott 2009&lt;/DisplayText&gt;&lt;record&gt;&lt;rec-number&gt;9285&lt;/rec-number&gt;&lt;foreign-keys&gt;&lt;key app="EN" db-id="0eve55x9y5vfd6e9dacxtew4eatve2dzds9a" timestamp="1375005081"&gt;9285&lt;/key&gt;&lt;/foreign-keys&gt;&lt;ref-type name="Report"&gt;27&lt;/ref-type&gt;&lt;contributors&gt;&lt;authors&gt;&lt;author&gt;Collier, C.&lt;/author&gt;&lt;author&gt;Waycott, M&lt;/author&gt;&lt;/authors&gt;&lt;/contributors&gt;&lt;titles&gt;&lt;title&gt;Drivers of change to seagrass distributions and communities on the Great Barrier Reef: Literature review and gaps analysis&lt;/title&gt;&lt;secondary-title&gt;Report to the Marine and Tropical Sciences Research Facility&lt;/secondary-title&gt;&lt;/titles&gt;&lt;dates&gt;&lt;year&gt;2009&lt;/year&gt;&lt;/dates&gt;&lt;pub-location&gt;Cairns&lt;/pub-location&gt;&lt;publisher&gt;Reef and Rainforest Research Centre Limited&lt;/publisher&gt;&lt;urls&gt;&lt;/urls&gt;&lt;/record&gt;&lt;/Cite&gt;&lt;/EndNote&gt;</w:instrText>
        </w:r>
        <w:r w:rsidR="009A7AB4" w:rsidRPr="004B3F43">
          <w:rPr>
            <w:rFonts w:cs="Arial"/>
            <w:noProof/>
            <w:color w:val="000000" w:themeColor="text1"/>
            <w:szCs w:val="22"/>
          </w:rPr>
          <w:fldChar w:fldCharType="separate"/>
        </w:r>
        <w:r w:rsidR="009A7AB4" w:rsidRPr="004B3F43">
          <w:rPr>
            <w:rFonts w:cs="Arial"/>
            <w:noProof/>
            <w:color w:val="000000" w:themeColor="text1"/>
            <w:szCs w:val="22"/>
          </w:rPr>
          <w:t>Collier and Waycott 2009</w:t>
        </w:r>
        <w:r w:rsidR="009A7AB4" w:rsidRPr="004B3F43">
          <w:rPr>
            <w:rFonts w:cs="Arial"/>
            <w:noProof/>
            <w:color w:val="000000" w:themeColor="text1"/>
            <w:szCs w:val="22"/>
          </w:rPr>
          <w:fldChar w:fldCharType="end"/>
        </w:r>
      </w:hyperlink>
      <w:r w:rsidRPr="004B3F43">
        <w:rPr>
          <w:rFonts w:cs="Arial"/>
          <w:noProof/>
          <w:color w:val="000000" w:themeColor="text1"/>
          <w:szCs w:val="22"/>
        </w:rPr>
        <w:t xml:space="preserve">), and therefore disturbance-specialist species (i.e. colonisers) tend to dominate throughout the </w:t>
      </w:r>
      <w:r w:rsidR="00F206BF" w:rsidRPr="004B3F43">
        <w:rPr>
          <w:rFonts w:cs="Arial"/>
          <w:noProof/>
          <w:color w:val="000000" w:themeColor="text1"/>
          <w:szCs w:val="22"/>
        </w:rPr>
        <w:t>Reef</w:t>
      </w:r>
      <w:r w:rsidRPr="004B3F43">
        <w:rPr>
          <w:rFonts w:cs="Arial"/>
          <w:color w:val="000000" w:themeColor="text1"/>
          <w:szCs w:val="22"/>
        </w:rPr>
        <w:t>. Community structure (species composition) is also an important feature conferring resilience, as some species are more resistant to stress than others, and some species may rapidly recover and pave the way for meadow development (</w:t>
      </w:r>
      <w:r w:rsidRPr="004B3F43">
        <w:rPr>
          <w:rFonts w:cs="Arial"/>
          <w:color w:val="000000" w:themeColor="text1"/>
          <w:szCs w:val="22"/>
        </w:rPr>
        <w:fldChar w:fldCharType="begin"/>
      </w:r>
      <w:r w:rsidRPr="004B3F43">
        <w:rPr>
          <w:rFonts w:cs="Arial"/>
          <w:color w:val="000000" w:themeColor="text1"/>
          <w:szCs w:val="22"/>
        </w:rPr>
        <w:instrText xml:space="preserve"> REF _Ref491687940 \h  \* MERGEFORMAT </w:instrText>
      </w:r>
      <w:r w:rsidRPr="004B3F43">
        <w:rPr>
          <w:rFonts w:cs="Arial"/>
          <w:color w:val="000000" w:themeColor="text1"/>
          <w:szCs w:val="22"/>
        </w:rPr>
      </w:r>
      <w:r w:rsidRPr="004B3F43">
        <w:rPr>
          <w:rFonts w:cs="Arial"/>
          <w:color w:val="000000" w:themeColor="text1"/>
          <w:szCs w:val="22"/>
        </w:rPr>
        <w:fldChar w:fldCharType="separate"/>
      </w:r>
      <w:r w:rsidR="0067675D" w:rsidRPr="004B3F43">
        <w:rPr>
          <w:rFonts w:cs="Arial"/>
          <w:color w:val="000000" w:themeColor="text1"/>
          <w:szCs w:val="22"/>
        </w:rPr>
        <w:t xml:space="preserve">Figure </w:t>
      </w:r>
      <w:r w:rsidR="0067675D">
        <w:rPr>
          <w:rFonts w:cs="Arial"/>
          <w:noProof/>
          <w:color w:val="000000" w:themeColor="text1"/>
          <w:szCs w:val="22"/>
        </w:rPr>
        <w:t>5</w:t>
      </w:r>
      <w:r w:rsidRPr="004B3F43">
        <w:rPr>
          <w:rFonts w:cs="Arial"/>
          <w:color w:val="000000" w:themeColor="text1"/>
          <w:szCs w:val="22"/>
        </w:rPr>
        <w:fldChar w:fldCharType="end"/>
      </w:r>
      <w:r w:rsidRPr="004B3F43">
        <w:rPr>
          <w:rFonts w:cs="Arial"/>
          <w:color w:val="000000" w:themeColor="text1"/>
          <w:szCs w:val="22"/>
        </w:rPr>
        <w:t xml:space="preserve">). </w:t>
      </w:r>
    </w:p>
    <w:p w14:paraId="4EFF6DE8" w14:textId="77777777" w:rsidR="004008A6" w:rsidRPr="004B3F43" w:rsidRDefault="004008A6" w:rsidP="004008A6">
      <w:pPr>
        <w:rPr>
          <w:rFonts w:cs="Arial"/>
          <w:szCs w:val="22"/>
        </w:rPr>
      </w:pPr>
    </w:p>
    <w:p w14:paraId="795F584B" w14:textId="77777777" w:rsidR="009901F0" w:rsidRPr="005A468D" w:rsidRDefault="009901F0" w:rsidP="000150D8">
      <w:pPr>
        <w:pStyle w:val="Heading2"/>
      </w:pPr>
      <w:bookmarkStart w:id="39" w:name="_Toc37775031"/>
      <w:bookmarkStart w:id="40" w:name="_Toc43987005"/>
      <w:r w:rsidRPr="005A468D">
        <w:lastRenderedPageBreak/>
        <w:t>Structure of the Report</w:t>
      </w:r>
      <w:bookmarkEnd w:id="39"/>
      <w:bookmarkEnd w:id="40"/>
    </w:p>
    <w:p w14:paraId="688785F3" w14:textId="4C9E8EA7" w:rsidR="009901F0" w:rsidRPr="004B3F43" w:rsidRDefault="009901F0" w:rsidP="009901F0">
      <w:pPr>
        <w:spacing w:after="60"/>
        <w:rPr>
          <w:rFonts w:cs="Arial"/>
          <w:color w:val="000000" w:themeColor="text1"/>
          <w:szCs w:val="22"/>
        </w:rPr>
      </w:pPr>
      <w:r w:rsidRPr="004B3F43">
        <w:rPr>
          <w:rFonts w:cs="Arial"/>
          <w:color w:val="000000" w:themeColor="text1"/>
          <w:szCs w:val="22"/>
        </w:rPr>
        <w:t xml:space="preserve">This report presents data from the </w:t>
      </w:r>
      <w:r w:rsidR="00F405A2" w:rsidRPr="004B3F43">
        <w:rPr>
          <w:rFonts w:cs="Arial"/>
          <w:color w:val="000000" w:themeColor="text1"/>
          <w:szCs w:val="22"/>
        </w:rPr>
        <w:t>four</w:t>
      </w:r>
      <w:r w:rsidRPr="004B3F43">
        <w:rPr>
          <w:rFonts w:cs="Arial"/>
          <w:color w:val="000000" w:themeColor="text1"/>
          <w:szCs w:val="22"/>
        </w:rPr>
        <w:t>teenth period of monitoring inshore seagrass ecosystems of the Reef under the MMP (undertaken from June 201</w:t>
      </w:r>
      <w:r w:rsidR="00F405A2" w:rsidRPr="004B3F43">
        <w:rPr>
          <w:rFonts w:cs="Arial"/>
          <w:color w:val="000000" w:themeColor="text1"/>
          <w:szCs w:val="22"/>
        </w:rPr>
        <w:t>8</w:t>
      </w:r>
      <w:r w:rsidRPr="004B3F43">
        <w:rPr>
          <w:rFonts w:cs="Arial"/>
          <w:color w:val="000000" w:themeColor="text1"/>
          <w:szCs w:val="22"/>
        </w:rPr>
        <w:t xml:space="preserve"> to May 201</w:t>
      </w:r>
      <w:r w:rsidR="00F405A2" w:rsidRPr="004B3F43">
        <w:rPr>
          <w:rFonts w:cs="Arial"/>
          <w:color w:val="000000" w:themeColor="text1"/>
          <w:szCs w:val="22"/>
        </w:rPr>
        <w:t>9</w:t>
      </w:r>
      <w:r w:rsidRPr="004B3F43">
        <w:rPr>
          <w:rFonts w:cs="Arial"/>
          <w:color w:val="000000" w:themeColor="text1"/>
          <w:szCs w:val="22"/>
        </w:rPr>
        <w:t xml:space="preserve">; hereafter called </w:t>
      </w:r>
      <w:r w:rsidR="003654C6" w:rsidRPr="004B3F43">
        <w:rPr>
          <w:rFonts w:cs="Arial"/>
          <w:color w:val="000000" w:themeColor="text1"/>
          <w:szCs w:val="22"/>
        </w:rPr>
        <w:t>201</w:t>
      </w:r>
      <w:r w:rsidR="00F405A2" w:rsidRPr="004B3F43">
        <w:rPr>
          <w:rFonts w:cs="Arial"/>
          <w:color w:val="000000" w:themeColor="text1"/>
          <w:szCs w:val="22"/>
        </w:rPr>
        <w:t>8–19</w:t>
      </w:r>
      <w:r w:rsidRPr="004B3F43">
        <w:rPr>
          <w:rFonts w:cs="Arial"/>
          <w:color w:val="000000" w:themeColor="text1"/>
          <w:szCs w:val="22"/>
        </w:rPr>
        <w:t>). The inshore seagrass monitoring sub-program of the MMP reports on:</w:t>
      </w:r>
    </w:p>
    <w:p w14:paraId="322A9E8F" w14:textId="30096FC8"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abundance and species composition of seagrass (including landscape mapping) in the late dry season of 201</w:t>
      </w:r>
      <w:r w:rsidR="00F405A2" w:rsidRPr="004B3F43">
        <w:rPr>
          <w:rFonts w:cs="Arial"/>
          <w:color w:val="000000" w:themeColor="text1"/>
          <w:szCs w:val="22"/>
        </w:rPr>
        <w:t>8</w:t>
      </w:r>
      <w:r w:rsidRPr="004B3F43">
        <w:rPr>
          <w:rFonts w:cs="Arial"/>
          <w:color w:val="000000" w:themeColor="text1"/>
          <w:szCs w:val="22"/>
        </w:rPr>
        <w:t xml:space="preserve"> and the late wet season of 201</w:t>
      </w:r>
      <w:r w:rsidR="00F405A2" w:rsidRPr="004B3F43">
        <w:rPr>
          <w:rFonts w:cs="Arial"/>
          <w:color w:val="000000" w:themeColor="text1"/>
          <w:szCs w:val="22"/>
        </w:rPr>
        <w:t>9</w:t>
      </w:r>
      <w:r w:rsidRPr="004B3F43">
        <w:rPr>
          <w:rFonts w:cs="Arial"/>
          <w:color w:val="000000" w:themeColor="text1"/>
          <w:szCs w:val="22"/>
        </w:rPr>
        <w:t xml:space="preserve"> at inshore intertidal and subtidal locations</w:t>
      </w:r>
    </w:p>
    <w:p w14:paraId="2811A147" w14:textId="7777777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reproductive health of the seagrass species present at inshore intertidal and subtidal locations</w:t>
      </w:r>
    </w:p>
    <w:p w14:paraId="4764E5A7" w14:textId="7777777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 xml:space="preserve">tissue nutrient concentrations (carbon, nitrogen and phosphorus) and epiphyte loads of foundation seagrass species (e.g. genus </w:t>
      </w:r>
      <w:r w:rsidRPr="004B3F43">
        <w:rPr>
          <w:rFonts w:cs="Arial"/>
          <w:i/>
          <w:color w:val="000000" w:themeColor="text1"/>
          <w:szCs w:val="22"/>
        </w:rPr>
        <w:t>Halodule, Zostera, Cymodocea</w:t>
      </w:r>
      <w:r w:rsidRPr="004B3F43">
        <w:rPr>
          <w:rFonts w:cs="Arial"/>
          <w:color w:val="000000" w:themeColor="text1"/>
          <w:szCs w:val="22"/>
        </w:rPr>
        <w:t>) at each inshore intertidal and subtidal location</w:t>
      </w:r>
    </w:p>
    <w:p w14:paraId="04CB0EBD" w14:textId="7777777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spatial and temporal patterns in light, turbidity and temperature at sites where autonomous loggers are deployed</w:t>
      </w:r>
    </w:p>
    <w:p w14:paraId="7D011EAE" w14:textId="7777777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trends in seagrass condition</w:t>
      </w:r>
    </w:p>
    <w:p w14:paraId="2F02F7FE" w14:textId="7777777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seagrass community in relation to environment condition and trends</w:t>
      </w:r>
    </w:p>
    <w:p w14:paraId="1FF08BA4" w14:textId="116B81A7" w:rsidR="009901F0" w:rsidRPr="004B3F43" w:rsidRDefault="009901F0" w:rsidP="00AD06D4">
      <w:pPr>
        <w:numPr>
          <w:ilvl w:val="0"/>
          <w:numId w:val="2"/>
        </w:numPr>
        <w:spacing w:before="60" w:after="60"/>
        <w:ind w:left="714" w:hanging="357"/>
        <w:rPr>
          <w:rFonts w:cs="Arial"/>
          <w:color w:val="000000" w:themeColor="text1"/>
          <w:szCs w:val="22"/>
        </w:rPr>
      </w:pPr>
      <w:r w:rsidRPr="004B3F43">
        <w:rPr>
          <w:rFonts w:cs="Arial"/>
          <w:color w:val="000000" w:themeColor="text1"/>
          <w:szCs w:val="22"/>
        </w:rPr>
        <w:t>seagrass report card metrics for use in the annual Reef Report Card produced by the Paddock to Reef program.</w:t>
      </w:r>
    </w:p>
    <w:p w14:paraId="59CB34A8" w14:textId="2D170E2C" w:rsidR="009901F0" w:rsidRPr="004B3F43" w:rsidRDefault="009901F0" w:rsidP="009901F0">
      <w:pPr>
        <w:spacing w:after="60"/>
        <w:rPr>
          <w:rFonts w:cs="Arial"/>
          <w:color w:val="000000" w:themeColor="text1"/>
          <w:szCs w:val="22"/>
        </w:rPr>
      </w:pPr>
    </w:p>
    <w:p w14:paraId="63B008D7" w14:textId="4253A03F" w:rsidR="009901F0" w:rsidRPr="004B3F43" w:rsidRDefault="009901F0" w:rsidP="009901F0">
      <w:pPr>
        <w:rPr>
          <w:rFonts w:cs="Arial"/>
          <w:color w:val="000000" w:themeColor="text1"/>
          <w:szCs w:val="22"/>
        </w:rPr>
      </w:pPr>
      <w:r w:rsidRPr="004B3F43">
        <w:rPr>
          <w:rFonts w:cs="Arial"/>
          <w:szCs w:val="22"/>
        </w:rPr>
        <w:t xml:space="preserve">The next section presents a summary of the program’s methods. Section </w:t>
      </w:r>
      <w:r w:rsidR="00DB4E07" w:rsidRPr="004B3F43">
        <w:rPr>
          <w:rFonts w:cs="Arial"/>
          <w:szCs w:val="22"/>
        </w:rPr>
        <w:t>4</w:t>
      </w:r>
      <w:r w:rsidRPr="004B3F43">
        <w:rPr>
          <w:rFonts w:cs="Arial"/>
          <w:szCs w:val="22"/>
        </w:rPr>
        <w:t xml:space="preserve"> describes the condition and trend of seagrass in the context of environmental factors, referred to as drivers and pressures in Driver-Pressure-State-Impact-Response (DPSIR) framework.</w:t>
      </w:r>
    </w:p>
    <w:p w14:paraId="73500AF3" w14:textId="1A3EB77F" w:rsidR="009901F0" w:rsidRPr="004B3F43" w:rsidRDefault="009901F0" w:rsidP="009901F0">
      <w:pPr>
        <w:rPr>
          <w:rFonts w:cs="Arial"/>
          <w:color w:val="000000" w:themeColor="text1"/>
          <w:szCs w:val="22"/>
        </w:rPr>
      </w:pPr>
      <w:r w:rsidRPr="004B3F43">
        <w:rPr>
          <w:rFonts w:cs="Arial"/>
          <w:szCs w:val="22"/>
        </w:rPr>
        <w:t xml:space="preserve">In </w:t>
      </w:r>
      <w:r w:rsidRPr="004B3F43">
        <w:rPr>
          <w:rFonts w:cs="Arial"/>
          <w:szCs w:val="22"/>
          <w:lang w:eastAsia="en-AU"/>
        </w:rPr>
        <w:t xml:space="preserve">keeping with the overarching objective of the MMP, to </w:t>
      </w:r>
      <w:r w:rsidRPr="004B3F43">
        <w:rPr>
          <w:rFonts w:cs="Arial"/>
          <w:i/>
          <w:szCs w:val="22"/>
        </w:rPr>
        <w:t xml:space="preserve">“Assess trends in ecosystem health and resilience indicators for the Great Barrier Reef in relation to water quality and its linkages to end-of-catchment loads”, </w:t>
      </w:r>
      <w:r w:rsidRPr="004B3F43">
        <w:rPr>
          <w:rFonts w:cs="Arial"/>
          <w:szCs w:val="22"/>
        </w:rPr>
        <w:t xml:space="preserve">key water quality results reported by Gruber </w:t>
      </w:r>
      <w:r w:rsidRPr="004B3F43">
        <w:rPr>
          <w:rFonts w:cs="Arial"/>
          <w:i/>
          <w:szCs w:val="22"/>
        </w:rPr>
        <w:t>et al.</w:t>
      </w:r>
      <w:r w:rsidRPr="004B3F43">
        <w:rPr>
          <w:rFonts w:cs="Arial"/>
          <w:szCs w:val="22"/>
        </w:rPr>
        <w:t xml:space="preserve"> (</w:t>
      </w:r>
      <w:r w:rsidR="00711C54">
        <w:rPr>
          <w:rFonts w:cs="Arial"/>
          <w:szCs w:val="22"/>
        </w:rPr>
        <w:t>2020</w:t>
      </w:r>
      <w:r w:rsidRPr="004B3F43">
        <w:rPr>
          <w:rFonts w:cs="Arial"/>
          <w:szCs w:val="22"/>
        </w:rPr>
        <w:t>) are replicated to support the interpretation of the inshore seagrass results.</w:t>
      </w:r>
    </w:p>
    <w:p w14:paraId="09DBA54D" w14:textId="0623F015" w:rsidR="0059335C" w:rsidRDefault="0059335C" w:rsidP="00D2585E">
      <w:pPr>
        <w:spacing w:before="60" w:after="60"/>
        <w:rPr>
          <w:rFonts w:cs="Arial"/>
          <w:color w:val="000000" w:themeColor="text1"/>
          <w:szCs w:val="22"/>
        </w:rPr>
      </w:pPr>
    </w:p>
    <w:p w14:paraId="2BBDF6D3" w14:textId="24C577C2" w:rsidR="00DD3376" w:rsidRDefault="00DD3376">
      <w:pPr>
        <w:spacing w:before="0" w:after="0"/>
        <w:rPr>
          <w:rFonts w:cs="Arial"/>
          <w:color w:val="000000" w:themeColor="text1"/>
          <w:szCs w:val="22"/>
        </w:rPr>
      </w:pPr>
      <w:r>
        <w:rPr>
          <w:rFonts w:cs="Arial"/>
          <w:color w:val="000000" w:themeColor="text1"/>
          <w:szCs w:val="22"/>
        </w:rPr>
        <w:lastRenderedPageBreak/>
        <w:br w:type="page"/>
      </w:r>
    </w:p>
    <w:p w14:paraId="6AC6D38E" w14:textId="77777777" w:rsidR="00DD3376" w:rsidRPr="008F5FCE" w:rsidRDefault="00DD3376" w:rsidP="006E401D">
      <w:pPr>
        <w:pStyle w:val="Heading1"/>
      </w:pPr>
      <w:bookmarkStart w:id="41" w:name="_Toc37775032"/>
      <w:bookmarkStart w:id="42" w:name="_Toc43987006"/>
      <w:r w:rsidRPr="008F5FCE">
        <w:lastRenderedPageBreak/>
        <w:t>Methods summary</w:t>
      </w:r>
      <w:bookmarkEnd w:id="41"/>
      <w:bookmarkEnd w:id="42"/>
    </w:p>
    <w:p w14:paraId="567C697D" w14:textId="46F97FBB" w:rsidR="00351069" w:rsidRDefault="003D1F7F" w:rsidP="003E5B3F">
      <w:pPr>
        <w:spacing w:before="240"/>
        <w:rPr>
          <w:rFonts w:cs="Arial"/>
          <w:szCs w:val="22"/>
          <w:lang w:val="en-US"/>
        </w:rPr>
      </w:pPr>
      <w:bookmarkStart w:id="43" w:name="_Toc431493754"/>
      <w:bookmarkStart w:id="44" w:name="_Toc175991055"/>
      <w:bookmarkStart w:id="45" w:name="_Toc232845903"/>
      <w:bookmarkStart w:id="46" w:name="_Toc184101959"/>
      <w:bookmarkEnd w:id="23"/>
      <w:bookmarkEnd w:id="24"/>
      <w:bookmarkEnd w:id="25"/>
      <w:bookmarkEnd w:id="26"/>
      <w:r w:rsidRPr="004B3F43">
        <w:rPr>
          <w:rFonts w:cs="Arial"/>
          <w:color w:val="000000" w:themeColor="text1"/>
          <w:szCs w:val="22"/>
          <w:lang w:val="en-US"/>
        </w:rPr>
        <w:t xml:space="preserve">In the following, an overview is given of the sample collection, preparation and analyses methods. Detailed documentation of the methods used in the MMP, including quality assurance and quality control procedures, is </w:t>
      </w:r>
      <w:r w:rsidRPr="004B3F43">
        <w:rPr>
          <w:rFonts w:cs="Arial"/>
          <w:szCs w:val="22"/>
          <w:lang w:val="en-US"/>
        </w:rPr>
        <w:t>available in</w:t>
      </w:r>
      <w:r w:rsidR="00DB4E07" w:rsidRPr="004B3F43">
        <w:rPr>
          <w:rFonts w:cs="Arial"/>
          <w:szCs w:val="22"/>
          <w:lang w:val="en-US"/>
        </w:rPr>
        <w:t xml:space="preserve"> </w:t>
      </w:r>
      <w:hyperlink w:anchor="_ENREF_111" w:tooltip="McKenzie, 2019 #11986" w:history="1">
        <w:r w:rsidR="009A7AB4" w:rsidRPr="004B3F43">
          <w:rPr>
            <w:rFonts w:cs="Arial"/>
            <w:szCs w:val="22"/>
            <w:lang w:val="en-US"/>
          </w:rPr>
          <w:fldChar w:fldCharType="begin"/>
        </w:r>
        <w:r w:rsidR="009A7AB4" w:rsidRPr="004B3F43">
          <w:rPr>
            <w:rFonts w:cs="Arial"/>
            <w:szCs w:val="22"/>
            <w:lang w:val="en-US"/>
          </w:rPr>
          <w:instrText xml:space="preserve"> ADDIN EN.CITE &lt;EndNote&gt;&lt;Cite ExcludeYear="1"&gt;&lt;Author&gt;McKenzie&lt;/Author&gt;&lt;Year&gt;2019&lt;/Year&gt;&lt;RecNum&gt;11986&lt;/RecNum&gt;&lt;DisplayText&gt;McKenzie&lt;style face="italic"&gt; et al.&lt;/style&gt; &lt;/DisplayText&gt;&lt;record&gt;&lt;rec-number&gt;11986&lt;/rec-number&gt;&lt;foreign-keys&gt;&lt;key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4B3F43">
          <w:rPr>
            <w:rFonts w:cs="Arial"/>
            <w:szCs w:val="22"/>
            <w:lang w:val="en-US"/>
          </w:rPr>
          <w:fldChar w:fldCharType="separate"/>
        </w:r>
        <w:r w:rsidR="009A7AB4" w:rsidRPr="004B3F43">
          <w:rPr>
            <w:rFonts w:cs="Arial"/>
            <w:noProof/>
            <w:szCs w:val="22"/>
            <w:lang w:val="en-US"/>
          </w:rPr>
          <w:t>McKenzie</w:t>
        </w:r>
        <w:r w:rsidR="009A7AB4" w:rsidRPr="004B3F43">
          <w:rPr>
            <w:rFonts w:cs="Arial"/>
            <w:i/>
            <w:noProof/>
            <w:szCs w:val="22"/>
            <w:lang w:val="en-US"/>
          </w:rPr>
          <w:t xml:space="preserve"> et al.</w:t>
        </w:r>
        <w:r w:rsidR="009A7AB4" w:rsidRPr="004B3F43">
          <w:rPr>
            <w:rFonts w:cs="Arial"/>
            <w:noProof/>
            <w:szCs w:val="22"/>
            <w:lang w:val="en-US"/>
          </w:rPr>
          <w:t xml:space="preserve"> </w:t>
        </w:r>
        <w:r w:rsidR="009A7AB4" w:rsidRPr="004B3F43">
          <w:rPr>
            <w:rFonts w:cs="Arial"/>
            <w:szCs w:val="22"/>
            <w:lang w:val="en-US"/>
          </w:rPr>
          <w:fldChar w:fldCharType="end"/>
        </w:r>
      </w:hyperlink>
      <w:r w:rsidR="00DB4E07" w:rsidRPr="004B3F43">
        <w:rPr>
          <w:rFonts w:cs="Arial"/>
          <w:szCs w:val="22"/>
          <w:lang w:val="en-US"/>
        </w:rPr>
        <w:t>(</w:t>
      </w:r>
      <w:hyperlink w:anchor="_ENREF_111" w:tooltip="McKenzie, 2019 #11986" w:history="1">
        <w:r w:rsidR="009A7AB4" w:rsidRPr="004B3F43">
          <w:rPr>
            <w:rFonts w:cs="Arial"/>
            <w:szCs w:val="22"/>
            <w:lang w:val="en-US"/>
          </w:rPr>
          <w:fldChar w:fldCharType="begin"/>
        </w:r>
        <w:r w:rsidR="009A7AB4" w:rsidRPr="004B3F43">
          <w:rPr>
            <w:rFonts w:cs="Arial"/>
            <w:szCs w:val="22"/>
            <w:lang w:val="en-US"/>
          </w:rPr>
          <w:instrText xml:space="preserve"> ADDIN EN.CITE &lt;EndNote&gt;&lt;Cite ExcludeAuth="1"&gt;&lt;Author&gt;McKenzie&lt;/Author&gt;&lt;Year&gt;2019&lt;/Year&gt;&lt;RecNum&gt;11986&lt;/RecNum&gt;&lt;DisplayText&gt;2019&lt;/DisplayText&gt;&lt;record&gt;&lt;rec-number&gt;11986&lt;/rec-number&gt;&lt;foreign-keys&gt;&lt;key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4B3F43">
          <w:rPr>
            <w:rFonts w:cs="Arial"/>
            <w:szCs w:val="22"/>
            <w:lang w:val="en-US"/>
          </w:rPr>
          <w:fldChar w:fldCharType="separate"/>
        </w:r>
        <w:r w:rsidR="009A7AB4" w:rsidRPr="004B3F43">
          <w:rPr>
            <w:rFonts w:cs="Arial"/>
            <w:noProof/>
            <w:szCs w:val="22"/>
            <w:lang w:val="en-US"/>
          </w:rPr>
          <w:t>2019</w:t>
        </w:r>
        <w:r w:rsidR="009A7AB4" w:rsidRPr="004B3F43">
          <w:rPr>
            <w:rFonts w:cs="Arial"/>
            <w:szCs w:val="22"/>
            <w:lang w:val="en-US"/>
          </w:rPr>
          <w:fldChar w:fldCharType="end"/>
        </w:r>
      </w:hyperlink>
      <w:r w:rsidR="00DB4E07" w:rsidRPr="004B3F43">
        <w:rPr>
          <w:rFonts w:cs="Arial"/>
          <w:szCs w:val="22"/>
          <w:lang w:val="en-US"/>
        </w:rPr>
        <w:t>).</w:t>
      </w:r>
    </w:p>
    <w:p w14:paraId="7958A770" w14:textId="45A8BEED" w:rsidR="008A70D6" w:rsidRPr="006E401D" w:rsidRDefault="008A70D6" w:rsidP="000150D8">
      <w:pPr>
        <w:pStyle w:val="Heading2"/>
      </w:pPr>
      <w:bookmarkStart w:id="47" w:name="_Toc43987007"/>
      <w:r w:rsidRPr="006E401D">
        <w:t>Climate and environmental pressures</w:t>
      </w:r>
      <w:bookmarkEnd w:id="47"/>
    </w:p>
    <w:p w14:paraId="6B8C9725" w14:textId="739F0887" w:rsidR="00765C5E" w:rsidRDefault="007231A4" w:rsidP="00E918BC">
      <w:pPr>
        <w:rPr>
          <w:rFonts w:cs="Arial"/>
          <w:color w:val="000000" w:themeColor="text1"/>
          <w:szCs w:val="22"/>
        </w:rPr>
      </w:pPr>
      <w:r w:rsidRPr="004B3F43">
        <w:rPr>
          <w:rFonts w:cs="Arial"/>
          <w:color w:val="000000" w:themeColor="text1"/>
          <w:szCs w:val="22"/>
        </w:rPr>
        <w:t xml:space="preserve">Climate and environmental </w:t>
      </w:r>
      <w:r w:rsidR="00231466" w:rsidRPr="004B3F43">
        <w:rPr>
          <w:rFonts w:cs="Arial"/>
          <w:color w:val="000000" w:themeColor="text1"/>
          <w:szCs w:val="22"/>
        </w:rPr>
        <w:t>pressures</w:t>
      </w:r>
      <w:r w:rsidRPr="004B3F43">
        <w:rPr>
          <w:rFonts w:cs="Arial"/>
          <w:color w:val="000000" w:themeColor="text1"/>
          <w:szCs w:val="22"/>
        </w:rPr>
        <w:t xml:space="preserve"> affect seagrass condition and resilience</w:t>
      </w:r>
      <w:r w:rsidR="00231466" w:rsidRPr="004B3F43">
        <w:rPr>
          <w:rFonts w:cs="Arial"/>
          <w:color w:val="000000" w:themeColor="text1"/>
          <w:szCs w:val="22"/>
        </w:rPr>
        <w:t xml:space="preserve"> (</w:t>
      </w:r>
      <w:r w:rsidR="00DB4E07" w:rsidRPr="004B3F43">
        <w:rPr>
          <w:rFonts w:cs="Arial"/>
          <w:color w:val="000000" w:themeColor="text1"/>
          <w:szCs w:val="22"/>
        </w:rPr>
        <w:fldChar w:fldCharType="begin"/>
      </w:r>
      <w:r w:rsidR="00DB4E07" w:rsidRPr="004B3F43">
        <w:rPr>
          <w:rFonts w:cs="Arial"/>
          <w:color w:val="000000" w:themeColor="text1"/>
          <w:szCs w:val="22"/>
        </w:rPr>
        <w:instrText xml:space="preserve"> REF _Ref536787394 \h </w:instrText>
      </w:r>
      <w:r w:rsidR="00CB093C" w:rsidRPr="004B3F43">
        <w:rPr>
          <w:rFonts w:cs="Arial"/>
          <w:color w:val="000000" w:themeColor="text1"/>
          <w:szCs w:val="22"/>
        </w:rPr>
        <w:instrText xml:space="preserve"> \* MERGEFORMAT </w:instrText>
      </w:r>
      <w:r w:rsidR="00DB4E07" w:rsidRPr="004B3F43">
        <w:rPr>
          <w:rFonts w:cs="Arial"/>
          <w:color w:val="000000" w:themeColor="text1"/>
          <w:szCs w:val="22"/>
        </w:rPr>
      </w:r>
      <w:r w:rsidR="00DB4E07" w:rsidRPr="004B3F43">
        <w:rPr>
          <w:rFonts w:cs="Arial"/>
          <w:color w:val="000000" w:themeColor="text1"/>
          <w:szCs w:val="22"/>
        </w:rPr>
        <w:fldChar w:fldCharType="separate"/>
      </w:r>
      <w:r w:rsidR="0067675D" w:rsidRPr="004B3F43">
        <w:rPr>
          <w:rFonts w:cs="Arial"/>
          <w:color w:val="000000"/>
          <w:szCs w:val="22"/>
        </w:rPr>
        <w:t xml:space="preserve">Figure </w:t>
      </w:r>
      <w:r w:rsidR="0067675D">
        <w:rPr>
          <w:rFonts w:cs="Arial"/>
          <w:noProof/>
          <w:color w:val="000000"/>
          <w:szCs w:val="22"/>
        </w:rPr>
        <w:t>4</w:t>
      </w:r>
      <w:r w:rsidR="00DB4E07" w:rsidRPr="004B3F43">
        <w:rPr>
          <w:rFonts w:cs="Arial"/>
          <w:color w:val="000000" w:themeColor="text1"/>
          <w:szCs w:val="22"/>
        </w:rPr>
        <w:fldChar w:fldCharType="end"/>
      </w:r>
      <w:r w:rsidR="00231466" w:rsidRPr="004B3F43">
        <w:rPr>
          <w:rFonts w:cs="Arial"/>
          <w:color w:val="000000" w:themeColor="text1"/>
          <w:szCs w:val="22"/>
        </w:rPr>
        <w:t xml:space="preserve">). </w:t>
      </w:r>
    </w:p>
    <w:p w14:paraId="5339D24D" w14:textId="668731C1" w:rsidR="00272782" w:rsidRPr="004B3F43" w:rsidRDefault="00231466" w:rsidP="00E918BC">
      <w:pPr>
        <w:rPr>
          <w:rFonts w:cs="Arial"/>
          <w:color w:val="000000" w:themeColor="text1"/>
          <w:szCs w:val="22"/>
        </w:rPr>
      </w:pPr>
      <w:r w:rsidRPr="004B3F43">
        <w:rPr>
          <w:rFonts w:cs="Arial"/>
          <w:color w:val="000000" w:themeColor="text1"/>
          <w:szCs w:val="22"/>
        </w:rPr>
        <w:t xml:space="preserve">The pressures of greatest concern are: </w:t>
      </w:r>
    </w:p>
    <w:p w14:paraId="5131AEBF" w14:textId="59A92DDC" w:rsidR="00272782" w:rsidRPr="004B3F43" w:rsidRDefault="00231466" w:rsidP="003F4D32">
      <w:pPr>
        <w:numPr>
          <w:ilvl w:val="0"/>
          <w:numId w:val="13"/>
        </w:numPr>
        <w:rPr>
          <w:rFonts w:cs="Arial"/>
          <w:color w:val="000000" w:themeColor="text1"/>
          <w:szCs w:val="22"/>
        </w:rPr>
      </w:pPr>
      <w:r w:rsidRPr="004B3F43">
        <w:rPr>
          <w:rFonts w:cs="Arial"/>
          <w:color w:val="000000" w:themeColor="text1"/>
          <w:szCs w:val="22"/>
        </w:rPr>
        <w:t>physical disturbance (cyclones and benthic sheer stress)</w:t>
      </w:r>
    </w:p>
    <w:p w14:paraId="5FB3DFD4" w14:textId="4A514390" w:rsidR="00272782" w:rsidRPr="004B3F43" w:rsidRDefault="00231466" w:rsidP="003F4D32">
      <w:pPr>
        <w:numPr>
          <w:ilvl w:val="0"/>
          <w:numId w:val="13"/>
        </w:numPr>
        <w:rPr>
          <w:rFonts w:cs="Arial"/>
          <w:color w:val="000000" w:themeColor="text1"/>
          <w:szCs w:val="22"/>
        </w:rPr>
      </w:pPr>
      <w:r w:rsidRPr="004B3F43">
        <w:rPr>
          <w:rFonts w:cs="Arial"/>
          <w:color w:val="000000" w:themeColor="text1"/>
          <w:szCs w:val="22"/>
        </w:rPr>
        <w:t xml:space="preserve">water quality (turbidity/light and nutrients) </w:t>
      </w:r>
    </w:p>
    <w:p w14:paraId="6CD087EA" w14:textId="2A99C1B5" w:rsidR="00272782" w:rsidRPr="004B3F43" w:rsidRDefault="00231466" w:rsidP="003F4D32">
      <w:pPr>
        <w:numPr>
          <w:ilvl w:val="0"/>
          <w:numId w:val="13"/>
        </w:numPr>
        <w:rPr>
          <w:rFonts w:cs="Arial"/>
          <w:color w:val="000000" w:themeColor="text1"/>
          <w:szCs w:val="22"/>
        </w:rPr>
      </w:pPr>
      <w:r w:rsidRPr="004B3F43">
        <w:rPr>
          <w:rFonts w:cs="Arial"/>
          <w:color w:val="000000" w:themeColor="text1"/>
          <w:szCs w:val="22"/>
        </w:rPr>
        <w:t xml:space="preserve">water temperature </w:t>
      </w:r>
    </w:p>
    <w:p w14:paraId="39456313" w14:textId="08A3240A" w:rsidR="00272782" w:rsidRPr="004B3F43" w:rsidRDefault="00231466" w:rsidP="003F4D32">
      <w:pPr>
        <w:numPr>
          <w:ilvl w:val="0"/>
          <w:numId w:val="13"/>
        </w:numPr>
        <w:rPr>
          <w:rFonts w:cs="Arial"/>
          <w:color w:val="000000" w:themeColor="text1"/>
          <w:szCs w:val="22"/>
        </w:rPr>
      </w:pPr>
      <w:r w:rsidRPr="004B3F43">
        <w:rPr>
          <w:rFonts w:cs="Arial"/>
          <w:color w:val="000000" w:themeColor="text1"/>
          <w:szCs w:val="22"/>
        </w:rPr>
        <w:t>low tide exposure</w:t>
      </w:r>
    </w:p>
    <w:p w14:paraId="504E2D0D" w14:textId="4BD7042A" w:rsidR="00272782" w:rsidRPr="004B3F43" w:rsidRDefault="00F63373" w:rsidP="003F4D32">
      <w:pPr>
        <w:numPr>
          <w:ilvl w:val="0"/>
          <w:numId w:val="13"/>
        </w:numPr>
        <w:rPr>
          <w:rFonts w:cs="Arial"/>
          <w:color w:val="000000" w:themeColor="text1"/>
          <w:szCs w:val="22"/>
        </w:rPr>
      </w:pPr>
      <w:r>
        <w:rPr>
          <w:rFonts w:cs="Arial"/>
          <w:color w:val="000000" w:themeColor="text1"/>
          <w:szCs w:val="22"/>
        </w:rPr>
        <w:t>sediment grain size/type.</w:t>
      </w:r>
    </w:p>
    <w:p w14:paraId="069BCA73" w14:textId="085466CF" w:rsidR="00E918BC" w:rsidRPr="004B3F43" w:rsidRDefault="00A12DFC" w:rsidP="00E918BC">
      <w:pPr>
        <w:rPr>
          <w:rFonts w:cs="Arial"/>
          <w:szCs w:val="22"/>
        </w:rPr>
      </w:pPr>
      <w:r w:rsidRPr="004B3F43">
        <w:rPr>
          <w:rFonts w:cs="Arial"/>
          <w:color w:val="000000" w:themeColor="text1"/>
          <w:szCs w:val="22"/>
        </w:rPr>
        <w:t xml:space="preserve">The measures are either climate variables, that are generally not collected at a site-specific level, and within-canopy measures, that are recorded at each site. The data source and sampling frequency is summarised in </w:t>
      </w:r>
      <w:r w:rsidR="005055DC" w:rsidRPr="004B3F43">
        <w:rPr>
          <w:rFonts w:cs="Arial"/>
          <w:color w:val="000000" w:themeColor="text1"/>
          <w:szCs w:val="22"/>
        </w:rPr>
        <w:fldChar w:fldCharType="begin"/>
      </w:r>
      <w:r w:rsidR="005055DC" w:rsidRPr="004B3F43">
        <w:rPr>
          <w:rFonts w:cs="Arial"/>
          <w:color w:val="000000" w:themeColor="text1"/>
          <w:szCs w:val="22"/>
        </w:rPr>
        <w:instrText xml:space="preserve"> REF _Ref461015425 \h </w:instrText>
      </w:r>
      <w:r w:rsidR="00DA741D" w:rsidRPr="004B3F43">
        <w:rPr>
          <w:rFonts w:cs="Arial"/>
          <w:color w:val="000000" w:themeColor="text1"/>
          <w:szCs w:val="22"/>
        </w:rPr>
        <w:instrText xml:space="preserve"> \* MERGEFORMAT </w:instrText>
      </w:r>
      <w:r w:rsidR="005055DC" w:rsidRPr="004B3F43">
        <w:rPr>
          <w:rFonts w:cs="Arial"/>
          <w:color w:val="000000" w:themeColor="text1"/>
          <w:szCs w:val="22"/>
        </w:rPr>
      </w:r>
      <w:r w:rsidR="005055DC" w:rsidRPr="004B3F43">
        <w:rPr>
          <w:rFonts w:cs="Arial"/>
          <w:color w:val="000000" w:themeColor="text1"/>
          <w:szCs w:val="22"/>
        </w:rPr>
        <w:fldChar w:fldCharType="separate"/>
      </w:r>
      <w:r w:rsidR="0067675D" w:rsidRPr="004B3F43">
        <w:rPr>
          <w:rFonts w:cs="Arial"/>
          <w:szCs w:val="22"/>
        </w:rPr>
        <w:t xml:space="preserve">Table </w:t>
      </w:r>
      <w:r w:rsidR="0067675D">
        <w:rPr>
          <w:rFonts w:cs="Arial"/>
          <w:noProof/>
          <w:szCs w:val="22"/>
        </w:rPr>
        <w:t>1</w:t>
      </w:r>
      <w:r w:rsidR="005055DC" w:rsidRPr="004B3F43">
        <w:rPr>
          <w:rFonts w:cs="Arial"/>
          <w:color w:val="000000" w:themeColor="text1"/>
          <w:szCs w:val="22"/>
        </w:rPr>
        <w:fldChar w:fldCharType="end"/>
      </w:r>
      <w:r w:rsidRPr="004B3F43">
        <w:rPr>
          <w:rFonts w:cs="Arial"/>
          <w:color w:val="000000" w:themeColor="text1"/>
          <w:szCs w:val="22"/>
        </w:rPr>
        <w:t xml:space="preserve">. </w:t>
      </w:r>
    </w:p>
    <w:p w14:paraId="3603F008" w14:textId="4673030F" w:rsidR="007231A4" w:rsidRPr="0066041C" w:rsidRDefault="007231A4" w:rsidP="002D1BBC">
      <w:pPr>
        <w:pStyle w:val="Heading3"/>
        <w:numPr>
          <w:ilvl w:val="2"/>
          <w:numId w:val="35"/>
        </w:numPr>
        <w:ind w:left="709" w:hanging="709"/>
      </w:pPr>
      <w:bookmarkStart w:id="48" w:name="_Toc37775034"/>
      <w:bookmarkStart w:id="49" w:name="_Toc43987008"/>
      <w:r w:rsidRPr="0066041C">
        <w:t>Climate</w:t>
      </w:r>
      <w:bookmarkEnd w:id="48"/>
      <w:bookmarkEnd w:id="49"/>
    </w:p>
    <w:p w14:paraId="56587AB3" w14:textId="1A3D23BC" w:rsidR="00272782" w:rsidRPr="004B3F43" w:rsidRDefault="00302C4F" w:rsidP="003D1F7F">
      <w:pPr>
        <w:rPr>
          <w:rFonts w:cs="Arial"/>
          <w:color w:val="000000" w:themeColor="text1"/>
          <w:szCs w:val="22"/>
        </w:rPr>
      </w:pPr>
      <w:r w:rsidRPr="004B3F43">
        <w:rPr>
          <w:rFonts w:cs="Arial"/>
          <w:color w:val="000000" w:themeColor="text1"/>
          <w:szCs w:val="22"/>
        </w:rPr>
        <w:t>T</w:t>
      </w:r>
      <w:r w:rsidR="003D1F7F" w:rsidRPr="004B3F43">
        <w:rPr>
          <w:rFonts w:cs="Arial"/>
          <w:color w:val="000000" w:themeColor="text1"/>
          <w:szCs w:val="22"/>
        </w:rPr>
        <w:t>otal daily rainfall, 3pm wind speed, and cyclone tracks were accessed from the Australian Bureau of Meteorology from meteorological stations which were proximal to monitoring locations (</w:t>
      </w:r>
      <w:r w:rsidR="00E51B48" w:rsidRPr="004B3F43">
        <w:rPr>
          <w:rFonts w:cs="Arial"/>
          <w:color w:val="000000" w:themeColor="text1"/>
          <w:szCs w:val="22"/>
        </w:rPr>
        <w:fldChar w:fldCharType="begin"/>
      </w:r>
      <w:r w:rsidR="00E51B48" w:rsidRPr="004B3F43">
        <w:rPr>
          <w:rFonts w:cs="Arial"/>
          <w:color w:val="000000" w:themeColor="text1"/>
          <w:szCs w:val="22"/>
        </w:rPr>
        <w:instrText xml:space="preserve"> REF _Ref461015425 \h  \* MERGEFORMAT </w:instrText>
      </w:r>
      <w:r w:rsidR="00E51B48" w:rsidRPr="004B3F43">
        <w:rPr>
          <w:rFonts w:cs="Arial"/>
          <w:color w:val="000000" w:themeColor="text1"/>
          <w:szCs w:val="22"/>
        </w:rPr>
      </w:r>
      <w:r w:rsidR="00E51B48" w:rsidRPr="004B3F43">
        <w:rPr>
          <w:rFonts w:cs="Arial"/>
          <w:color w:val="000000" w:themeColor="text1"/>
          <w:szCs w:val="22"/>
        </w:rPr>
        <w:fldChar w:fldCharType="separate"/>
      </w:r>
      <w:r w:rsidR="0067675D" w:rsidRPr="0067675D">
        <w:rPr>
          <w:rFonts w:cs="Arial"/>
          <w:color w:val="000000" w:themeColor="text1"/>
          <w:szCs w:val="22"/>
        </w:rPr>
        <w:t xml:space="preserve">Table </w:t>
      </w:r>
      <w:r w:rsidR="0067675D" w:rsidRPr="0067675D">
        <w:rPr>
          <w:rFonts w:cs="Arial"/>
          <w:noProof/>
          <w:color w:val="000000" w:themeColor="text1"/>
          <w:szCs w:val="22"/>
        </w:rPr>
        <w:t>1</w:t>
      </w:r>
      <w:r w:rsidR="00E51B48" w:rsidRPr="004B3F43">
        <w:rPr>
          <w:rFonts w:cs="Arial"/>
          <w:color w:val="000000" w:themeColor="text1"/>
          <w:szCs w:val="22"/>
        </w:rPr>
        <w:fldChar w:fldCharType="end"/>
      </w:r>
      <w:r w:rsidR="003D1F7F" w:rsidRPr="004B3F43">
        <w:rPr>
          <w:rFonts w:cs="Arial"/>
          <w:color w:val="000000" w:themeColor="text1"/>
          <w:szCs w:val="22"/>
        </w:rPr>
        <w:t xml:space="preserve">). </w:t>
      </w:r>
    </w:p>
    <w:p w14:paraId="2A7F1526" w14:textId="713C2FF4" w:rsidR="00272782" w:rsidRPr="004B3F43" w:rsidRDefault="003D1F7F" w:rsidP="003D1F7F">
      <w:pPr>
        <w:rPr>
          <w:rFonts w:cs="Arial"/>
          <w:color w:val="000000" w:themeColor="text1"/>
          <w:szCs w:val="22"/>
        </w:rPr>
      </w:pPr>
      <w:r w:rsidRPr="004B3F43">
        <w:rPr>
          <w:rFonts w:cs="Arial"/>
          <w:color w:val="000000" w:themeColor="text1"/>
          <w:szCs w:val="22"/>
        </w:rPr>
        <w:t xml:space="preserve">As the height of locally produced, short-period wind-waves can be the dominant factor controlling suspended sediment on inner-shelf of the </w:t>
      </w:r>
      <w:r w:rsidR="00F206BF" w:rsidRPr="004B3F43">
        <w:rPr>
          <w:rFonts w:cs="Arial"/>
          <w:color w:val="000000" w:themeColor="text1"/>
          <w:szCs w:val="22"/>
        </w:rPr>
        <w:t>Reef</w:t>
      </w:r>
      <w:r w:rsidRPr="004B3F43">
        <w:rPr>
          <w:rFonts w:cs="Arial"/>
          <w:color w:val="000000" w:themeColor="text1"/>
          <w:szCs w:val="22"/>
        </w:rPr>
        <w:t xml:space="preserve"> (</w:t>
      </w:r>
      <w:hyperlink w:anchor="_ENREF_86" w:tooltip="Larcombe, 1995 #9686"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&lt;EndNote&gt;&lt;Cite&gt;&lt;Author&gt;Larcombe&lt;/Author&gt;&lt;Year&gt;1995&lt;/Year&gt;&lt;RecNum&gt;9686&lt;/RecNum&gt;&lt;DisplayText&gt;Larcombe&lt;style face="italic"&gt; et al.&lt;/style&gt; 1995&lt;/DisplayText&gt;&lt;record&gt;&lt;rec-number&gt;9686&lt;/rec-number&gt;&lt;foreign-keys&gt;&lt;key app="EN" db-id="0eve55x9y5vfd6e9dacxtew4eatve2dzds9a" timestamp="1392796748"&gt;9686&lt;/key&gt;&lt;/foreign-keys&gt;&lt;ref-type name="Journal Article"&gt;17&lt;/ref-type&gt;&lt;contributors&gt;&lt;authors&gt;&lt;author&gt;Larcombe, P.&lt;/author&gt;&lt;author&gt;Ridd, P. V.&lt;/author&gt;&lt;author&gt;Prytz, A.&lt;/author&gt;&lt;author&gt;Wilson, B.&lt;/author&gt;&lt;/authors&gt;&lt;/contributors&gt;&lt;titles&gt;&lt;title&gt;Factors controlling suspended sediment on inner-shelf coral reefs, Townsville, Australia&lt;/title&gt;&lt;secondary-title&gt;Coral Reefs&lt;/secondary-title&gt;&lt;alt-title&gt;Coral Reefs&lt;/alt-title&gt;&lt;/titles&gt;&lt;periodical&gt;&lt;full-title&gt;Coral Reefs&lt;/full-title&gt;&lt;/periodical&gt;&lt;alt-periodical&gt;&lt;full-title&gt;Coral Reefs&lt;/full-title&gt;&lt;/alt-periodical&gt;&lt;pages&gt;163-171&lt;/pages&gt;&lt;volume&gt;14&lt;/volume&gt;&lt;number&gt;3&lt;/number&gt;&lt;dates&gt;&lt;year&gt;1995&lt;/year&gt;&lt;pub-dates&gt;&lt;date&gt;1995/09/01&lt;/date&gt;&lt;/pub-dates&gt;&lt;/dates&gt;&lt;publisher&gt;Springer-Verlag&lt;/publisher&gt;&lt;isbn&gt;0722-4028&lt;/isbn&gt;&lt;urls&gt;&lt;related-urls&gt;&lt;url&gt;http://dx.doi.org/10.1007/BF00367235&lt;/url&gt;&lt;/related-urls&gt;&lt;/urls&gt;&lt;electronic-resource-num&gt;10.1007/bf00367235&lt;/electronic-resource-num&gt;&lt;language&gt;English&lt;/language&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Larcombe</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1995</w:t>
        </w:r>
        <w:r w:rsidR="009A7AB4" w:rsidRPr="004B3F43">
          <w:rPr>
            <w:rFonts w:cs="Arial"/>
            <w:color w:val="000000" w:themeColor="text1"/>
            <w:szCs w:val="22"/>
          </w:rPr>
          <w:fldChar w:fldCharType="end"/>
        </w:r>
      </w:hyperlink>
      <w:r w:rsidRPr="004B3F43">
        <w:rPr>
          <w:rFonts w:cs="Arial"/>
          <w:color w:val="000000" w:themeColor="text1"/>
          <w:szCs w:val="22"/>
        </w:rPr>
        <w:t xml:space="preserve">; </w:t>
      </w:r>
      <w:hyperlink w:anchor="_ENREF_157" w:tooltip="Whinney, 2007 #9690"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&lt;EndNote&gt;&lt;Cite&gt;&lt;Author&gt;Whinney&lt;/Author&gt;&lt;Year&gt;2007&lt;/Year&gt;&lt;RecNum&gt;9690&lt;/RecNum&gt;&lt;DisplayText&gt;Whinney 2007&lt;/DisplayText&gt;&lt;record&gt;&lt;rec-number&gt;9690&lt;/rec-number&gt;&lt;foreign-keys&gt;&lt;key app="EN" db-id="0eve55x9y5vfd6e9dacxtew4eatve2dzds9a" timestamp="1392800270"&gt;9690&lt;/key&gt;&lt;/foreign-keys&gt;&lt;ref-type name="Thesis"&gt;32&lt;/ref-type&gt;&lt;contributors&gt;&lt;authors&gt;&lt;author&gt;Whinney, J&lt;/author&gt;&lt;/authors&gt;&lt;/contributors&gt;&lt;titles&gt;&lt;title&gt;Physical conditions on marginal coral reefs.&lt;/title&gt;&lt;secondary-title&gt;School of Mathematics, Physics, and Information Technology&lt;/secondary-title&gt;&lt;/titles&gt;&lt;pages&gt;143&lt;/pages&gt;&lt;volume&gt;PhD&lt;/volume&gt;&lt;dates&gt;&lt;year&gt;2007&lt;/year&gt;&lt;/dates&gt;&lt;pub-location&gt;Townsville&lt;/pub-location&gt;&lt;publisher&gt;James Cook University&lt;/publisher&gt;&lt;urls&gt;&lt;/urls&gt;&lt;/record&gt;&lt;/Cite&gt;&lt;/EndNote&gt;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Whinney 2007</w:t>
        </w:r>
        <w:r w:rsidR="009A7AB4" w:rsidRPr="004B3F43">
          <w:rPr>
            <w:rFonts w:cs="Arial"/>
            <w:color w:val="000000" w:themeColor="text1"/>
            <w:szCs w:val="22"/>
          </w:rPr>
          <w:fldChar w:fldCharType="end"/>
        </w:r>
      </w:hyperlink>
      <w:r w:rsidRPr="004B3F43">
        <w:rPr>
          <w:rFonts w:cs="Arial"/>
          <w:color w:val="000000" w:themeColor="text1"/>
          <w:szCs w:val="22"/>
        </w:rPr>
        <w:t>), the number of days wind speed exceeded 25</w:t>
      </w:r>
      <w:r w:rsidR="00272782" w:rsidRPr="004B3F43">
        <w:rPr>
          <w:rFonts w:cs="Arial"/>
          <w:color w:val="000000" w:themeColor="text1"/>
          <w:szCs w:val="22"/>
        </w:rPr>
        <w:t xml:space="preserve"> </w:t>
      </w:r>
      <w:r w:rsidRPr="004B3F43">
        <w:rPr>
          <w:rFonts w:cs="Arial"/>
          <w:color w:val="000000" w:themeColor="text1"/>
          <w:szCs w:val="22"/>
        </w:rPr>
        <w:t>km hr</w:t>
      </w:r>
      <w:r w:rsidRPr="004B3F43">
        <w:rPr>
          <w:rFonts w:cs="Arial"/>
          <w:color w:val="000000" w:themeColor="text1"/>
          <w:szCs w:val="22"/>
          <w:vertAlign w:val="superscript"/>
        </w:rPr>
        <w:t>-1</w:t>
      </w:r>
      <w:r w:rsidRPr="004B3F43">
        <w:rPr>
          <w:rFonts w:cs="Arial"/>
          <w:color w:val="000000" w:themeColor="text1"/>
          <w:szCs w:val="22"/>
        </w:rPr>
        <w:t xml:space="preserve"> was used as a surrogate for elevated resuspension pressure on inshore seagrass meadows. </w:t>
      </w:r>
    </w:p>
    <w:p w14:paraId="0C739D98" w14:textId="5358BCB3" w:rsidR="003D1F7F" w:rsidRPr="004B3F43" w:rsidRDefault="003D1F7F" w:rsidP="003D1F7F">
      <w:pPr>
        <w:rPr>
          <w:rFonts w:cs="Arial"/>
          <w:color w:val="000000" w:themeColor="text1"/>
          <w:szCs w:val="22"/>
        </w:rPr>
      </w:pPr>
      <w:r w:rsidRPr="004B3F43">
        <w:rPr>
          <w:rFonts w:cs="Arial"/>
          <w:color w:val="000000" w:themeColor="text1"/>
          <w:szCs w:val="22"/>
        </w:rPr>
        <w:lastRenderedPageBreak/>
        <w:t>Moderate sea state with winds &gt;25</w:t>
      </w:r>
      <w:r w:rsidR="00272782" w:rsidRPr="004B3F43">
        <w:rPr>
          <w:rFonts w:cs="Arial"/>
          <w:color w:val="000000" w:themeColor="text1"/>
          <w:szCs w:val="22"/>
        </w:rPr>
        <w:t xml:space="preserve"> </w:t>
      </w:r>
      <w:r w:rsidRPr="004B3F43">
        <w:rPr>
          <w:rFonts w:cs="Arial"/>
          <w:color w:val="000000" w:themeColor="text1"/>
          <w:szCs w:val="22"/>
        </w:rPr>
        <w:t>km hr</w:t>
      </w:r>
      <w:r w:rsidRPr="004B3F43">
        <w:rPr>
          <w:rFonts w:cs="Arial"/>
          <w:color w:val="000000" w:themeColor="text1"/>
          <w:szCs w:val="22"/>
          <w:vertAlign w:val="superscript"/>
        </w:rPr>
        <w:t>-1</w:t>
      </w:r>
      <w:r w:rsidRPr="004B3F43">
        <w:rPr>
          <w:rFonts w:cs="Arial"/>
          <w:color w:val="000000" w:themeColor="text1"/>
          <w:szCs w:val="22"/>
        </w:rPr>
        <w:t xml:space="preserve"> can elevate turbidity by three orders of magnitude in the inshore coastal areas of the </w:t>
      </w:r>
      <w:r w:rsidR="00F206BF" w:rsidRPr="004B3F43">
        <w:rPr>
          <w:rFonts w:cs="Arial"/>
          <w:color w:val="000000" w:themeColor="text1"/>
          <w:szCs w:val="22"/>
        </w:rPr>
        <w:t>Reef</w:t>
      </w:r>
      <w:r w:rsidRPr="004B3F43">
        <w:rPr>
          <w:rFonts w:cs="Arial"/>
          <w:color w:val="000000" w:themeColor="text1"/>
          <w:szCs w:val="22"/>
        </w:rPr>
        <w:t xml:space="preserve"> (</w:t>
      </w:r>
      <w:hyperlink w:anchor="_ENREF_122" w:tooltip="Orpin, 2004 #9687"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&lt;EndNote&gt;&lt;Cite&gt;&lt;Author&gt;Orpin&lt;/Author&gt;&lt;Year&gt;2004&lt;/Year&gt;&lt;RecNum&gt;9687&lt;/RecNum&gt;&lt;DisplayText&gt;Orpin&lt;style face="italic"&gt; et al.&lt;/style&gt; 2004&lt;/DisplayText&gt;&lt;record&gt;&lt;rec-number&gt;9687&lt;/rec-number&gt;&lt;foreign-keys&gt;&lt;key app="EN" db-id="0eve55x9y5vfd6e9dacxtew4eatve2dzds9a" timestamp="1392796845"&gt;9687&lt;/key&gt;&lt;/foreign-keys&gt;&lt;ref-type name="Journal Article"&gt;17&lt;/ref-type&gt;&lt;contributors&gt;&lt;authors&gt;&lt;author&gt;Orpin, Alan R.&lt;/author&gt;&lt;author&gt;Ridd, Peter V.&lt;/author&gt;&lt;author&gt;Thomas, Séverine&lt;/author&gt;&lt;author&gt;Anthony, Kenneth R. N.&lt;/author&gt;&lt;author&gt;Marshall, Paul&lt;/author&gt;&lt;author&gt;Oliver, Jamie&lt;/author&gt;&lt;/authors&gt;&lt;/contributors&gt;&lt;titles&gt;&lt;title&gt;Natural turbidity variability and weather forecasts in risk management of anthropogenic sediment discharge near sensitive environments&lt;/title&gt;&lt;secondary-title&gt;Marine Pollution Bulletin&lt;/secondary-title&gt;&lt;/titles&gt;&lt;periodical&gt;&lt;full-title&gt;Marine Pollution Bulletin&lt;/full-title&gt;&lt;/periodical&gt;&lt;pages&gt;602-612&lt;/pages&gt;&lt;volume&gt;49&lt;/volume&gt;&lt;number&gt;7–8&lt;/number&gt;&lt;keywords&gt;&lt;keyword&gt;Great Barrier Reef&lt;/keyword&gt;&lt;keyword&gt;Coastal development&lt;/keyword&gt;&lt;keyword&gt;Impact management&lt;/keyword&gt;&lt;keyword&gt;Turbidity&lt;/keyword&gt;&lt;keyword&gt;Sediment&lt;/keyword&gt;&lt;keyword&gt;Coral reef&lt;/keyword&gt;&lt;/keywords&gt;&lt;dates&gt;&lt;year&gt;2004&lt;/year&gt;&lt;/dates&gt;&lt;isbn&gt;0025-326X&lt;/isbn&gt;&lt;urls&gt;&lt;related-urls&gt;&lt;url&gt;http://www.sciencedirect.com/science/article/pii/S0025326X04001304&lt;/url&gt;&lt;/related-urls&gt;&lt;/urls&gt;&lt;electronic-resource-num&gt;http://dx.doi.org/10.1016/j.marpolbul.2004.03.020&lt;/electronic-resource-num&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Orpin</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2004</w:t>
        </w:r>
        <w:r w:rsidR="009A7AB4" w:rsidRPr="004B3F43">
          <w:rPr>
            <w:rFonts w:cs="Arial"/>
            <w:color w:val="000000" w:themeColor="text1"/>
            <w:szCs w:val="22"/>
          </w:rPr>
          <w:fldChar w:fldCharType="end"/>
        </w:r>
      </w:hyperlink>
      <w:r w:rsidRPr="004B3F43">
        <w:rPr>
          <w:rFonts w:cs="Arial"/>
          <w:color w:val="000000" w:themeColor="text1"/>
          <w:szCs w:val="22"/>
        </w:rPr>
        <w:t xml:space="preserve">). To determine if the tidal exposure regime may be increasing stress on seagrass and </w:t>
      </w:r>
      <w:r w:rsidR="00696C43" w:rsidRPr="004B3F43">
        <w:rPr>
          <w:rFonts w:cs="Arial"/>
          <w:color w:val="000000" w:themeColor="text1"/>
          <w:szCs w:val="22"/>
        </w:rPr>
        <w:t xml:space="preserve">hence drive </w:t>
      </w:r>
      <w:r w:rsidRPr="004B3F43">
        <w:rPr>
          <w:rFonts w:cs="Arial"/>
          <w:color w:val="000000" w:themeColor="text1"/>
          <w:szCs w:val="22"/>
        </w:rPr>
        <w:t xml:space="preserve">decline, </w:t>
      </w:r>
      <w:r w:rsidRPr="004B3F43">
        <w:rPr>
          <w:rFonts w:cs="Arial"/>
          <w:color w:val="000000" w:themeColor="text1"/>
          <w:szCs w:val="22"/>
          <w:lang w:eastAsia="en-AU"/>
        </w:rPr>
        <w:t>tidal height observations were accessed from Maritime Safety Queensland and duration of annual exposure (hours) was determined for each meadow (i.e. monitoring site)</w:t>
      </w:r>
      <w:r w:rsidR="00696C43" w:rsidRPr="004B3F43">
        <w:rPr>
          <w:rFonts w:cs="Arial"/>
          <w:color w:val="000000" w:themeColor="text1"/>
          <w:szCs w:val="22"/>
          <w:lang w:eastAsia="en-AU"/>
        </w:rPr>
        <w:t>,</w:t>
      </w:r>
      <w:r w:rsidRPr="004B3F43">
        <w:rPr>
          <w:rFonts w:cs="Arial"/>
          <w:color w:val="000000" w:themeColor="text1"/>
          <w:szCs w:val="22"/>
          <w:lang w:eastAsia="en-AU"/>
        </w:rPr>
        <w:t xml:space="preserve"> based on the meadows height relative to the </w:t>
      </w:r>
      <w:r w:rsidR="006A4F44" w:rsidRPr="004B3F43">
        <w:rPr>
          <w:rFonts w:cs="Arial"/>
          <w:color w:val="000000" w:themeColor="text1"/>
          <w:szCs w:val="22"/>
          <w:lang w:eastAsia="en-AU"/>
        </w:rPr>
        <w:t xml:space="preserve">lowest astronomical tide </w:t>
      </w:r>
      <w:r w:rsidRPr="004B3F43">
        <w:rPr>
          <w:rFonts w:cs="Arial"/>
          <w:color w:val="000000" w:themeColor="text1"/>
          <w:szCs w:val="22"/>
          <w:lang w:eastAsia="en-AU"/>
        </w:rPr>
        <w:t xml:space="preserve">(Appendix </w:t>
      </w:r>
      <w:r w:rsidR="003816AC" w:rsidRPr="004B3F43">
        <w:rPr>
          <w:rFonts w:cs="Arial"/>
          <w:color w:val="000000" w:themeColor="text1"/>
          <w:szCs w:val="22"/>
          <w:lang w:eastAsia="en-AU"/>
        </w:rPr>
        <w:t>3</w:t>
      </w:r>
      <w:r w:rsidR="00EB19B4" w:rsidRPr="004B3F43">
        <w:rPr>
          <w:rFonts w:cs="Arial"/>
          <w:color w:val="000000" w:themeColor="text1"/>
          <w:szCs w:val="22"/>
          <w:lang w:eastAsia="en-AU"/>
        </w:rPr>
        <w:t xml:space="preserve">, </w:t>
      </w:r>
      <w:r w:rsidR="00EB19B4" w:rsidRPr="004B3F43">
        <w:rPr>
          <w:rFonts w:cs="Arial"/>
          <w:color w:val="000000" w:themeColor="text1"/>
          <w:szCs w:val="22"/>
          <w:lang w:eastAsia="en-AU"/>
        </w:rPr>
        <w:fldChar w:fldCharType="begin"/>
      </w:r>
      <w:r w:rsidR="00EB19B4" w:rsidRPr="004B3F43">
        <w:rPr>
          <w:rFonts w:cs="Arial"/>
          <w:color w:val="000000" w:themeColor="text1"/>
          <w:szCs w:val="22"/>
          <w:lang w:eastAsia="en-AU"/>
        </w:rPr>
        <w:instrText xml:space="preserve"> REF _Ref409806677 \h </w:instrText>
      </w:r>
      <w:r w:rsidR="00E51B48" w:rsidRPr="004B3F43">
        <w:rPr>
          <w:rFonts w:cs="Arial"/>
          <w:color w:val="000000" w:themeColor="text1"/>
          <w:szCs w:val="22"/>
          <w:lang w:eastAsia="en-AU"/>
        </w:rPr>
        <w:instrText xml:space="preserve"> \* MERGEFORMAT </w:instrText>
      </w:r>
      <w:r w:rsidR="00EB19B4" w:rsidRPr="004B3F43">
        <w:rPr>
          <w:rFonts w:cs="Arial"/>
          <w:color w:val="000000" w:themeColor="text1"/>
          <w:szCs w:val="22"/>
          <w:lang w:eastAsia="en-AU"/>
        </w:rPr>
      </w:r>
      <w:r w:rsidR="00EB19B4" w:rsidRPr="004B3F43">
        <w:rPr>
          <w:rFonts w:cs="Arial"/>
          <w:color w:val="000000" w:themeColor="text1"/>
          <w:szCs w:val="22"/>
          <w:lang w:eastAsia="en-AU"/>
        </w:rPr>
        <w:fldChar w:fldCharType="separate"/>
      </w:r>
      <w:r w:rsidR="0067675D" w:rsidRPr="0067675D">
        <w:rPr>
          <w:rFonts w:cs="Arial"/>
          <w:color w:val="000000" w:themeColor="text1"/>
          <w:szCs w:val="22"/>
        </w:rPr>
        <w:t xml:space="preserve">Table </w:t>
      </w:r>
      <w:r w:rsidR="0067675D" w:rsidRPr="0067675D">
        <w:rPr>
          <w:rFonts w:cs="Arial"/>
          <w:noProof/>
          <w:color w:val="000000" w:themeColor="text1"/>
          <w:szCs w:val="22"/>
        </w:rPr>
        <w:t>19</w:t>
      </w:r>
      <w:r w:rsidR="00EB19B4" w:rsidRPr="004B3F43">
        <w:rPr>
          <w:rFonts w:cs="Arial"/>
          <w:color w:val="000000" w:themeColor="text1"/>
          <w:szCs w:val="22"/>
          <w:lang w:eastAsia="en-AU"/>
        </w:rPr>
        <w:fldChar w:fldCharType="end"/>
      </w:r>
      <w:r w:rsidRPr="004B3F43">
        <w:rPr>
          <w:rFonts w:cs="Arial"/>
          <w:color w:val="000000" w:themeColor="text1"/>
          <w:szCs w:val="22"/>
          <w:lang w:eastAsia="en-AU"/>
        </w:rPr>
        <w:t>).</w:t>
      </w:r>
    </w:p>
    <w:p w14:paraId="6FF8FF44" w14:textId="11CF6A8D" w:rsidR="006A4F44" w:rsidRPr="004B3F43" w:rsidRDefault="003D1F7F" w:rsidP="003D1F7F">
      <w:pPr>
        <w:rPr>
          <w:rFonts w:cs="Arial"/>
          <w:color w:val="000000" w:themeColor="text1"/>
          <w:szCs w:val="22"/>
        </w:rPr>
      </w:pPr>
      <w:r w:rsidRPr="004B3F43">
        <w:rPr>
          <w:rFonts w:cs="Arial"/>
          <w:color w:val="000000" w:themeColor="text1"/>
          <w:szCs w:val="22"/>
        </w:rPr>
        <w:t xml:space="preserve">The presence of inshore seagrass meadows along the </w:t>
      </w:r>
      <w:r w:rsidR="00F206BF" w:rsidRPr="004B3F43">
        <w:rPr>
          <w:rFonts w:cs="Arial"/>
          <w:color w:val="000000" w:themeColor="text1"/>
          <w:szCs w:val="22"/>
        </w:rPr>
        <w:t>Reef</w:t>
      </w:r>
      <w:r w:rsidRPr="004B3F43">
        <w:rPr>
          <w:rFonts w:cs="Arial"/>
          <w:color w:val="000000" w:themeColor="text1"/>
          <w:szCs w:val="22"/>
        </w:rPr>
        <w:t xml:space="preserve"> places them at high risk of exposure to waters from adjacent water</w:t>
      </w:r>
      <w:r w:rsidR="001E57DF" w:rsidRPr="004B3F43">
        <w:rPr>
          <w:rFonts w:cs="Arial"/>
          <w:color w:val="000000" w:themeColor="text1"/>
          <w:szCs w:val="22"/>
        </w:rPr>
        <w:t xml:space="preserve"> basins</w:t>
      </w:r>
      <w:r w:rsidRPr="004B3F43">
        <w:rPr>
          <w:rFonts w:cs="Arial"/>
          <w:color w:val="000000" w:themeColor="text1"/>
          <w:szCs w:val="22"/>
        </w:rPr>
        <w:t xml:space="preserve"> and exposure to flood plumes </w:t>
      </w:r>
      <w:r w:rsidR="00696C43" w:rsidRPr="004B3F43">
        <w:rPr>
          <w:rFonts w:cs="Arial"/>
          <w:color w:val="000000" w:themeColor="text1"/>
          <w:szCs w:val="22"/>
        </w:rPr>
        <w:t>is likely to</w:t>
      </w:r>
      <w:r w:rsidRPr="004B3F43">
        <w:rPr>
          <w:rFonts w:cs="Arial"/>
          <w:color w:val="000000" w:themeColor="text1"/>
          <w:szCs w:val="22"/>
        </w:rPr>
        <w:t xml:space="preserve"> be a significant factor in structuring inshore seagrass communities (</w:t>
      </w:r>
      <w:r w:rsidR="00644A84" w:rsidRPr="004B3F43">
        <w:rPr>
          <w:rFonts w:cs="Arial"/>
          <w:color w:val="000000" w:themeColor="text1"/>
          <w:szCs w:val="22"/>
        </w:rPr>
        <w:fldChar w:fldCharType="begin">
          <w:fldData xml:space="preserve">PEVuZE5vdGU+PENpdGU+PEF1dGhvcj5Db2xsaWVyPC9BdXRob3I+PFllYXI+MjAxNDwvWWVhcj48
UmVjTnVtPjk2ODU8L1JlY051bT48RGlzcGxheVRleHQ+Q29sbGllcjxzdHlsZSBmYWNlPSJpdGFs
aWMiPiBldCBhbC48L3N0eWxlPiAyMDE0OyBQZXR1czxzdHlsZSBmYWNlPSJpdGFsaWMiPiBldCBh
bC48L3N0eWxlPiAyMDE2PC9EaXNwbGF5VGV4dD48cmVjb3JkPjxyZWMtbnVtYmVyPjk2ODU8L3Jl
Yy1udW1iZXI+PGZvcmVpZ24ta2V5cz48a2V5IGFwcD0iRU4iIGRiLWlkPSIwZXZlNTV4OXk1dmZk
NmU5ZGFjeHRldzRlYXR2ZTJkemRzOWEiIHRpbWVzdGFtcD0iMTM5Mjc2MjQ4MSI+OTY4NTwva2V5
PjwvZm9yZWlnbi1rZXlzPjxyZWYtdHlwZSBuYW1lPSJCb29rIj42PC9yZWYtdHlwZT48Y29udHJp
YnV0b3JzPjxhdXRob3JzPjxhdXRob3I+Q29sbGllciwgQzwvYXV0aG9yPjxhdXRob3I+RGV2bGlu
LCBNPC9hdXRob3I+PGF1dGhvcj5MYW5nbG9pcywgTDwvYXV0aG9yPjxhdXRob3I+UGV0dXMsIEM8
L2F1dGhvcj48YXV0aG9yPk1jS2VuemllLCBMZW4gSjwvYXV0aG9yPjxhdXRob3I+VGV4ZWlyYSBk
YSBTaWx2YSwgRTwvYXV0aG9yPjxhdXRob3I+TWNNYWhvbiwgS2F0aHJ5bjwvYXV0aG9yPjxhdXRo
b3I+QWRhbXMsIE08L2F1dGhvcj48YXV0aG9yPk/igJlCcmllbiwgS2F0ZTwvYXV0aG9yPjxhdXRo
b3I+U3RhdHRvbiwgSjwvYXV0aG9yPjxhdXRob3I+V2F5Y290dCwgTWljaGVsbGU8L2F1dGhvcj48
L2F1dGhvcnM+PC9jb250cmlidXRvcnM+PHRpdGxlcz48dGl0bGU+VGhyZXNob2xkcyBhbmQgaW5k
aWNhdG9ycyBvZiBkZWNsaW5pbmcgd2F0ZXIgcXVhbGl0eSBhcyB0b29scyBmb3IgdHJvcGljYWwg
c2VhZ3Jhc3MgbWFuYWdlbWVudC4gUmVwb3J0IHRvIHRoZSBOYXRpb25hbCBFbnZpcm9ubWVudGFs
IFJlc2VhcmNoIFByb2dyYW08L3RpdGxlPjwvdGl0bGVzPjxwYWdlcz45MzwvcGFnZXM+PGRhdGVz
Pjx5ZWFyPjIwMTQ8L3llYXI+PC9kYXRlcz48cHViLWxvY2F0aW9uPkNhaXJuczwvcHViLWxvY2F0
aW9uPjxwdWJsaXNoZXI+UmVlZiBhbmQgUmFpbmZvcmVzdCBSZXNlYXJjaCBDZW50cmUgTGltaXRl
ZDwvcHVibGlzaGVyPjxpc2JuPjk3OC0xLTkyNTA4OC01MC0yPC9pc2JuPjx1cmxzPjwvdXJscz48
L3JlY29yZD48L0NpdGU+PENpdGU+PEF1dGhvcj5QZXR1czwvQXV0aG9yPjxZZWFyPjIwMTY8L1ll
YXI+PFJlY051bT4xMDU4MDwvUmVjTnVtPjxyZWNvcmQ+PHJlYy1udW1iZXI+MTA1ODA8L3JlYy1u
dW1iZXI+PGZvcmVpZ24ta2V5cz48a2V5IGFwcD0iRU4iIGRiLWlkPSIwZXZlNTV4OXk1dmZkNmU5
ZGFjeHRldzRlYXR2ZTJkemRzOWEiIHRpbWVzdGFtcD0iMTQ1ODI3ODc4OSI+MTA1ODA8L2tleT48
L2ZvcmVpZ24ta2V5cz48cmVmLXR5cGUgbmFtZT0iSm91cm5hbCBBcnRpY2xlIj4xNzwvcmVmLXR5
cGU+PGNvbnRyaWJ1dG9ycz48YXV0aG9ycz48YXV0aG9yPlBldHVzLCBDYXJvbGluZTwvYXV0aG9y
PjxhdXRob3I+RGV2bGluLCBNaWNoZWxsZTwvYXV0aG9yPjxhdXRob3I+VGhvbXBzb24sIEFuZ3Vz
PC9hdXRob3I+PGF1dGhvcj5NY0tlbnppZSwgTGVuPC9hdXRob3I+PGF1dGhvcj5UZWl4ZWlyYSBk
YSBTaWx2YSwgRWR1YXJkbzwvYXV0aG9yPjxhdXRob3I+Q29sbGllciwgQ2F0aGVyaW5lPC9hdXRo
b3I+PGF1dGhvcj5UcmFjZXksIERpZXRlcjwvYXV0aG9yPjxhdXRob3I+TWFydGluLCBLYXRoZXJp
bmU8L2F1dGhvcj48L2F1dGhvcnM+PC9jb250cmlidXRvcnM+PHRpdGxlcz48dGl0bGU+RXN0aW1h
dGluZyB0aGUgRXhwb3N1cmUgb2YgQ29yYWwgUmVlZnMgYW5kIFNlYWdyYXNzIE1lYWRvd3MgdG8g
TGFuZC1Tb3VyY2VkIENvbnRhbWluYW50cyBpbiBSaXZlciBGbG9vZCBQbHVtZXMgb2YgdGhlIEdy
ZWF0IEJhcnJpZXIgUmVlZjogVmFsaWRhdGluZyBhIFNpbXBsZSBTYXRlbGxpdGUgUmlzayBGcmFt
ZXdvcmsgd2l0aCBFbnZpcm9ubWVudGFsIERhdGE8L3RpdGxlPjxzZWNvbmRhcnktdGl0bGU+UmVt
b3RlIFNlbnNpbmc8L3NlY29uZGFyeS10aXRsZT48L3RpdGxlcz48cGVyaW9kaWNhbD48ZnVsbC10
aXRsZT5SZW1vdGUgU2Vuc2luZzwvZnVsbC10aXRsZT48L3BlcmlvZGljYWw+PHBhZ2VzPjIxMDwv
cGFnZXM+PHZvbHVtZT44PC92b2x1bWU+PG51bWJlcj4zPC9udW1iZXI+PGRhdGVzPjx5ZWFyPjIw
MTY8L3llYXI+PC9kYXRlcz48aXNibj4yMDcyLTQyOTI8L2lzYm4+PGFjY2Vzc2lvbi1udW0+ZG9p
OjEwLjMzOTAvcnM4MDMwMjEwPC9hY2Nlc3Npb24tbnVtPjx1cmxzPjxyZWxhdGVkLXVybHM+PHVy
bD5odHRwOi8vd3d3Lm1kcGkuY29tLzIwNzItNDI5Mi84LzMvMjEwPC91cmw+PC9yZWxhdGVkLXVy
bHM+PC91cmxzPjwvcmVjb3JkPjwvQ2l0ZT48L0VuZE5vdGU+AG==
</w:fldData>
        </w:fldChar>
      </w:r>
      <w:r w:rsidR="00521D93" w:rsidRPr="004B3F43">
        <w:rPr>
          <w:rFonts w:cs="Arial"/>
          <w:color w:val="000000" w:themeColor="text1"/>
          <w:szCs w:val="22"/>
        </w:rPr>
        <w:instrText xml:space="preserve"> ADDIN EN.CITE </w:instrText>
      </w:r>
      <w:r w:rsidR="00521D93" w:rsidRPr="004B3F43">
        <w:rPr>
          <w:rFonts w:cs="Arial"/>
          <w:color w:val="000000" w:themeColor="text1"/>
          <w:szCs w:val="22"/>
        </w:rPr>
        <w:fldChar w:fldCharType="begin">
          <w:fldData xml:space="preserve">PEVuZE5vdGU+PENpdGU+PEF1dGhvcj5Db2xsaWVyPC9BdXRob3I+PFllYXI+MjAxNDwvWWVhcj48
UmVjTnVtPjk2ODU8L1JlY051bT48RGlzcGxheVRleHQ+Q29sbGllcjxzdHlsZSBmYWNlPSJpdGFs
aWMiPiBldCBhbC48L3N0eWxlPiAyMDE0OyBQZXR1czxzdHlsZSBmYWNlPSJpdGFsaWMiPiBldCBh
bC48L3N0eWxlPiAyMDE2PC9EaXNwbGF5VGV4dD48cmVjb3JkPjxyZWMtbnVtYmVyPjk2ODU8L3Jl
Yy1udW1iZXI+PGZvcmVpZ24ta2V5cz48a2V5IGFwcD0iRU4iIGRiLWlkPSIwZXZlNTV4OXk1dmZk
NmU5ZGFjeHRldzRlYXR2ZTJkemRzOWEiIHRpbWVzdGFtcD0iMTM5Mjc2MjQ4MSI+OTY4NTwva2V5
PjwvZm9yZWlnbi1rZXlzPjxyZWYtdHlwZSBuYW1lPSJCb29rIj42PC9yZWYtdHlwZT48Y29udHJp
YnV0b3JzPjxhdXRob3JzPjxhdXRob3I+Q29sbGllciwgQzwvYXV0aG9yPjxhdXRob3I+RGV2bGlu
LCBNPC9hdXRob3I+PGF1dGhvcj5MYW5nbG9pcywgTDwvYXV0aG9yPjxhdXRob3I+UGV0dXMsIEM8
L2F1dGhvcj48YXV0aG9yPk1jS2VuemllLCBMZW4gSjwvYXV0aG9yPjxhdXRob3I+VGV4ZWlyYSBk
YSBTaWx2YSwgRTwvYXV0aG9yPjxhdXRob3I+TWNNYWhvbiwgS2F0aHJ5bjwvYXV0aG9yPjxhdXRo
b3I+QWRhbXMsIE08L2F1dGhvcj48YXV0aG9yPk/igJlCcmllbiwgS2F0ZTwvYXV0aG9yPjxhdXRo
b3I+U3RhdHRvbiwgSjwvYXV0aG9yPjxhdXRob3I+V2F5Y290dCwgTWljaGVsbGU8L2F1dGhvcj48
L2F1dGhvcnM+PC9jb250cmlidXRvcnM+PHRpdGxlcz48dGl0bGU+VGhyZXNob2xkcyBhbmQgaW5k
aWNhdG9ycyBvZiBkZWNsaW5pbmcgd2F0ZXIgcXVhbGl0eSBhcyB0b29scyBmb3IgdHJvcGljYWwg
c2VhZ3Jhc3MgbWFuYWdlbWVudC4gUmVwb3J0IHRvIHRoZSBOYXRpb25hbCBFbnZpcm9ubWVudGFs
IFJlc2VhcmNoIFByb2dyYW08L3RpdGxlPjwvdGl0bGVzPjxwYWdlcz45MzwvcGFnZXM+PGRhdGVz
Pjx5ZWFyPjIwMTQ8L3llYXI+PC9kYXRlcz48cHViLWxvY2F0aW9uPkNhaXJuczwvcHViLWxvY2F0
aW9uPjxwdWJsaXNoZXI+UmVlZiBhbmQgUmFpbmZvcmVzdCBSZXNlYXJjaCBDZW50cmUgTGltaXRl
ZDwvcHVibGlzaGVyPjxpc2JuPjk3OC0xLTkyNTA4OC01MC0yPC9pc2JuPjx1cmxzPjwvdXJscz48
L3JlY29yZD48L0NpdGU+PENpdGU+PEF1dGhvcj5QZXR1czwvQXV0aG9yPjxZZWFyPjIwMTY8L1ll
YXI+PFJlY051bT4xMDU4MDwvUmVjTnVtPjxyZWNvcmQ+PHJlYy1udW1iZXI+MTA1ODA8L3JlYy1u
dW1iZXI+PGZvcmVpZ24ta2V5cz48a2V5IGFwcD0iRU4iIGRiLWlkPSIwZXZlNTV4OXk1dmZkNmU5
ZGFjeHRldzRlYXR2ZTJkemRzOWEiIHRpbWVzdGFtcD0iMTQ1ODI3ODc4OSI+MTA1ODA8L2tleT48
L2ZvcmVpZ24ta2V5cz48cmVmLXR5cGUgbmFtZT0iSm91cm5hbCBBcnRpY2xlIj4xNzwvcmVmLXR5
cGU+PGNvbnRyaWJ1dG9ycz48YXV0aG9ycz48YXV0aG9yPlBldHVzLCBDYXJvbGluZTwvYXV0aG9y
PjxhdXRob3I+RGV2bGluLCBNaWNoZWxsZTwvYXV0aG9yPjxhdXRob3I+VGhvbXBzb24sIEFuZ3Vz
PC9hdXRob3I+PGF1dGhvcj5NY0tlbnppZSwgTGVuPC9hdXRob3I+PGF1dGhvcj5UZWl4ZWlyYSBk
YSBTaWx2YSwgRWR1YXJkbzwvYXV0aG9yPjxhdXRob3I+Q29sbGllciwgQ2F0aGVyaW5lPC9hdXRo
b3I+PGF1dGhvcj5UcmFjZXksIERpZXRlcjwvYXV0aG9yPjxhdXRob3I+TWFydGluLCBLYXRoZXJp
bmU8L2F1dGhvcj48L2F1dGhvcnM+PC9jb250cmlidXRvcnM+PHRpdGxlcz48dGl0bGU+RXN0aW1h
dGluZyB0aGUgRXhwb3N1cmUgb2YgQ29yYWwgUmVlZnMgYW5kIFNlYWdyYXNzIE1lYWRvd3MgdG8g
TGFuZC1Tb3VyY2VkIENvbnRhbWluYW50cyBpbiBSaXZlciBGbG9vZCBQbHVtZXMgb2YgdGhlIEdy
ZWF0IEJhcnJpZXIgUmVlZjogVmFsaWRhdGluZyBhIFNpbXBsZSBTYXRlbGxpdGUgUmlzayBGcmFt
ZXdvcmsgd2l0aCBFbnZpcm9ubWVudGFsIERhdGE8L3RpdGxlPjxzZWNvbmRhcnktdGl0bGU+UmVt
b3RlIFNlbnNpbmc8L3NlY29uZGFyeS10aXRsZT48L3RpdGxlcz48cGVyaW9kaWNhbD48ZnVsbC10
aXRsZT5SZW1vdGUgU2Vuc2luZzwvZnVsbC10aXRsZT48L3BlcmlvZGljYWw+PHBhZ2VzPjIxMDwv
cGFnZXM+PHZvbHVtZT44PC92b2x1bWU+PG51bWJlcj4zPC9udW1iZXI+PGRhdGVzPjx5ZWFyPjIw
MTY8L3llYXI+PC9kYXRlcz48aXNibj4yMDcyLTQyOTI8L2lzYm4+PGFjY2Vzc2lvbi1udW0+ZG9p
OjEwLjMzOTAvcnM4MDMwMjEwPC9hY2Nlc3Npb24tbnVtPjx1cmxzPjxyZWxhdGVkLXVybHM+PHVy
bD5odHRwOi8vd3d3Lm1kcGkuY29tLzIwNzItNDI5Mi84LzMvMjEwPC91cmw+PC9yZWxhdGVkLXVy
bHM+PC91cmxzPjwvcmVjb3JkPjwvQ2l0ZT48L0VuZE5vdGU+AG==
</w:fldData>
        </w:fldChar>
      </w:r>
      <w:r w:rsidR="00521D93" w:rsidRPr="004B3F43">
        <w:rPr>
          <w:rFonts w:cs="Arial"/>
          <w:color w:val="000000" w:themeColor="text1"/>
          <w:szCs w:val="22"/>
        </w:rPr>
        <w:instrText xml:space="preserve"> ADDIN EN.CITE.DATA </w:instrText>
      </w:r>
      <w:r w:rsidR="00521D93" w:rsidRPr="004B3F43">
        <w:rPr>
          <w:rFonts w:cs="Arial"/>
          <w:color w:val="000000" w:themeColor="text1"/>
          <w:szCs w:val="22"/>
        </w:rPr>
      </w:r>
      <w:r w:rsidR="00521D93" w:rsidRPr="004B3F43">
        <w:rPr>
          <w:rFonts w:cs="Arial"/>
          <w:color w:val="000000" w:themeColor="text1"/>
          <w:szCs w:val="22"/>
        </w:rPr>
        <w:fldChar w:fldCharType="end"/>
      </w:r>
      <w:r w:rsidR="00644A84" w:rsidRPr="004B3F43">
        <w:rPr>
          <w:rFonts w:cs="Arial"/>
          <w:color w:val="000000" w:themeColor="text1"/>
          <w:szCs w:val="22"/>
        </w:rPr>
      </w:r>
      <w:r w:rsidR="00644A84" w:rsidRPr="004B3F43">
        <w:rPr>
          <w:rFonts w:cs="Arial"/>
          <w:color w:val="000000" w:themeColor="text1"/>
          <w:szCs w:val="22"/>
        </w:rPr>
        <w:fldChar w:fldCharType="separate"/>
      </w:r>
      <w:hyperlink w:anchor="_ENREF_31" w:tooltip="Collier, 2014 #9685" w:history="1">
        <w:r w:rsidR="009A7AB4" w:rsidRPr="004B3F43">
          <w:rPr>
            <w:rFonts w:cs="Arial"/>
            <w:noProof/>
            <w:color w:val="000000" w:themeColor="text1"/>
            <w:szCs w:val="22"/>
          </w:rPr>
          <w:t>Collier</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2014</w:t>
        </w:r>
      </w:hyperlink>
      <w:r w:rsidR="00521D93" w:rsidRPr="004B3F43">
        <w:rPr>
          <w:rFonts w:cs="Arial"/>
          <w:noProof/>
          <w:color w:val="000000" w:themeColor="text1"/>
          <w:szCs w:val="22"/>
        </w:rPr>
        <w:t xml:space="preserve">; </w:t>
      </w:r>
      <w:hyperlink w:anchor="_ENREF_128" w:tooltip="Petus, 2016 #10580" w:history="1">
        <w:r w:rsidR="009A7AB4" w:rsidRPr="004B3F43">
          <w:rPr>
            <w:rFonts w:cs="Arial"/>
            <w:noProof/>
            <w:color w:val="000000" w:themeColor="text1"/>
            <w:szCs w:val="22"/>
          </w:rPr>
          <w:t>Petus</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2016</w:t>
        </w:r>
      </w:hyperlink>
      <w:r w:rsidR="00644A84" w:rsidRPr="004B3F43">
        <w:rPr>
          <w:rFonts w:cs="Arial"/>
          <w:color w:val="000000" w:themeColor="text1"/>
          <w:szCs w:val="22"/>
        </w:rPr>
        <w:fldChar w:fldCharType="end"/>
      </w:r>
      <w:r w:rsidR="007B36D3" w:rsidRPr="004B3F43">
        <w:rPr>
          <w:rFonts w:cs="Arial"/>
          <w:color w:val="000000" w:themeColor="text1"/>
          <w:szCs w:val="22"/>
        </w:rPr>
        <w:t>)</w:t>
      </w:r>
      <w:r w:rsidRPr="004B3F43">
        <w:rPr>
          <w:rFonts w:cs="Arial"/>
          <w:color w:val="000000" w:themeColor="text1"/>
          <w:szCs w:val="22"/>
        </w:rPr>
        <w:t xml:space="preserve">. </w:t>
      </w:r>
      <w:r w:rsidR="00F10D48" w:rsidRPr="004B3F43">
        <w:rPr>
          <w:rFonts w:cs="Arial"/>
          <w:color w:val="000000" w:themeColor="text1"/>
          <w:szCs w:val="22"/>
        </w:rPr>
        <w:t>Hence we</w:t>
      </w:r>
      <w:r w:rsidRPr="004B3F43">
        <w:rPr>
          <w:rFonts w:cs="Arial"/>
          <w:color w:val="000000" w:themeColor="text1"/>
          <w:szCs w:val="22"/>
        </w:rPr>
        <w:t xml:space="preserve"> used river discharge volumes as well as frequency of exposure to inshore flood plumes as indicators of flood plume impacts to seagrasses. </w:t>
      </w:r>
    </w:p>
    <w:p w14:paraId="517FF7E0" w14:textId="5CEB05FB" w:rsidR="00B7275D" w:rsidRPr="004B3F43" w:rsidRDefault="003D1F7F" w:rsidP="00B7275D">
      <w:pPr>
        <w:rPr>
          <w:rFonts w:cs="Arial"/>
          <w:color w:val="000000" w:themeColor="text1"/>
          <w:szCs w:val="22"/>
        </w:rPr>
      </w:pPr>
      <w:r w:rsidRPr="004B3F43">
        <w:rPr>
          <w:rFonts w:cs="Arial"/>
          <w:color w:val="000000" w:themeColor="text1"/>
          <w:szCs w:val="22"/>
        </w:rPr>
        <w:t>Plume exposure is generated by wet season monitoring under the water quality sub-program (</w:t>
      </w:r>
      <w:hyperlink w:anchor="_ENREF_69" w:tooltip="Gruber, 2020 #12283" w:history="1">
        <w:r w:rsidR="009A7AB4">
          <w:rPr>
            <w:rFonts w:cs="Arial"/>
            <w:color w:val="000000" w:themeColor="text1"/>
            <w:szCs w:val="22"/>
          </w:rPr>
          <w:fldChar w:fldCharType="begin"/>
        </w:r>
        <w:r w:rsidR="009A7AB4">
          <w:rPr>
            <w:rFonts w:cs="Arial"/>
            <w:color w:val="000000" w:themeColor="text1"/>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Pr>
            <w:rFonts w:cs="Arial"/>
            <w:color w:val="000000" w:themeColor="text1"/>
            <w:szCs w:val="22"/>
          </w:rPr>
          <w:fldChar w:fldCharType="separate"/>
        </w:r>
        <w:r w:rsidR="009A7AB4">
          <w:rPr>
            <w:rFonts w:cs="Arial"/>
            <w:noProof/>
            <w:color w:val="000000" w:themeColor="text1"/>
            <w:szCs w:val="22"/>
          </w:rPr>
          <w:t>Gruber</w:t>
        </w:r>
        <w:r w:rsidR="009A7AB4" w:rsidRPr="003B40D3">
          <w:rPr>
            <w:rFonts w:cs="Arial"/>
            <w:i/>
            <w:noProof/>
            <w:color w:val="000000" w:themeColor="text1"/>
            <w:szCs w:val="22"/>
          </w:rPr>
          <w:t xml:space="preserve"> et al.</w:t>
        </w:r>
        <w:r w:rsidR="009A7AB4">
          <w:rPr>
            <w:rFonts w:cs="Arial"/>
            <w:noProof/>
            <w:color w:val="000000" w:themeColor="text1"/>
            <w:szCs w:val="22"/>
          </w:rPr>
          <w:t xml:space="preserve"> 2020</w:t>
        </w:r>
        <w:r w:rsidR="009A7AB4">
          <w:rPr>
            <w:rFonts w:cs="Arial"/>
            <w:color w:val="000000" w:themeColor="text1"/>
            <w:szCs w:val="22"/>
          </w:rPr>
          <w:fldChar w:fldCharType="end"/>
        </w:r>
      </w:hyperlink>
      <w:r w:rsidRPr="004B3F43">
        <w:rPr>
          <w:rFonts w:cs="Arial"/>
          <w:color w:val="000000" w:themeColor="text1"/>
          <w:szCs w:val="22"/>
        </w:rPr>
        <w:t xml:space="preserve">). The </w:t>
      </w:r>
      <w:r w:rsidR="007B36D3" w:rsidRPr="004B3F43">
        <w:rPr>
          <w:rFonts w:cs="Arial"/>
          <w:color w:val="000000" w:themeColor="text1"/>
          <w:szCs w:val="22"/>
        </w:rPr>
        <w:t xml:space="preserve">inshore </w:t>
      </w:r>
      <w:r w:rsidRPr="004B3F43">
        <w:rPr>
          <w:rFonts w:cs="Arial"/>
          <w:color w:val="000000" w:themeColor="text1"/>
          <w:szCs w:val="22"/>
        </w:rPr>
        <w:t xml:space="preserve">water quality sub-program includes a remote sensing component, which describes water quality </w:t>
      </w:r>
      <w:r w:rsidR="00E51B48" w:rsidRPr="004B3F43">
        <w:rPr>
          <w:rFonts w:cs="Arial"/>
          <w:color w:val="000000" w:themeColor="text1"/>
          <w:szCs w:val="22"/>
        </w:rPr>
        <w:t>characteristics</w:t>
      </w:r>
      <w:r w:rsidRPr="004B3F43">
        <w:rPr>
          <w:rFonts w:cs="Arial"/>
          <w:color w:val="000000" w:themeColor="text1"/>
          <w:szCs w:val="22"/>
        </w:rPr>
        <w:t xml:space="preserve"> for 22 weeks </w:t>
      </w:r>
      <w:r w:rsidR="00F10D48" w:rsidRPr="004B3F43">
        <w:rPr>
          <w:rFonts w:cs="Arial"/>
          <w:color w:val="000000" w:themeColor="text1"/>
          <w:szCs w:val="22"/>
        </w:rPr>
        <w:t xml:space="preserve">of the </w:t>
      </w:r>
      <w:r w:rsidRPr="004B3F43">
        <w:rPr>
          <w:rFonts w:cs="Arial"/>
          <w:color w:val="000000" w:themeColor="text1"/>
          <w:szCs w:val="22"/>
        </w:rPr>
        <w:t xml:space="preserve">wet season (November–April). Water quality is described as colour classes of turbid, brown primary water (class 1–4), green secondary water (class 5), and waters influenced by flood plumes (salinity </w:t>
      </w:r>
      <w:r w:rsidR="005D1E4E" w:rsidRPr="004B3F43">
        <w:rPr>
          <w:rFonts w:cs="Arial"/>
          <w:color w:val="000000" w:themeColor="text1"/>
          <w:szCs w:val="22"/>
        </w:rPr>
        <w:t>&lt;</w:t>
      </w:r>
      <w:r w:rsidRPr="004B3F43">
        <w:rPr>
          <w:rFonts w:cs="Arial"/>
          <w:color w:val="000000" w:themeColor="text1"/>
          <w:szCs w:val="22"/>
        </w:rPr>
        <w:t>30, coloured dissolved organic matter (CDOM) threshold of 0.24 m</w:t>
      </w:r>
      <w:r w:rsidRPr="004B3F43">
        <w:rPr>
          <w:rFonts w:cs="Arial"/>
          <w:color w:val="000000" w:themeColor="text1"/>
          <w:szCs w:val="22"/>
          <w:vertAlign w:val="superscript"/>
        </w:rPr>
        <w:t>-1</w:t>
      </w:r>
      <w:r w:rsidRPr="004B3F43">
        <w:rPr>
          <w:rFonts w:cs="Arial"/>
          <w:color w:val="000000" w:themeColor="text1"/>
          <w:szCs w:val="22"/>
        </w:rPr>
        <w:t xml:space="preserve"> class 6). Colour classes are derived from MODIS True colour satellite images. Exposure to flood plumes is described in this report as frequency of exposure to primary </w:t>
      </w:r>
      <w:r w:rsidR="00E51B48" w:rsidRPr="004B3F43">
        <w:rPr>
          <w:rFonts w:cs="Arial"/>
          <w:color w:val="000000" w:themeColor="text1"/>
          <w:szCs w:val="22"/>
        </w:rPr>
        <w:t xml:space="preserve">(turbid, sediment laden) </w:t>
      </w:r>
      <w:r w:rsidRPr="004B3F43">
        <w:rPr>
          <w:rFonts w:cs="Arial"/>
          <w:color w:val="000000" w:themeColor="text1"/>
          <w:szCs w:val="22"/>
        </w:rPr>
        <w:t xml:space="preserve">or secondary </w:t>
      </w:r>
      <w:r w:rsidR="00E51B48" w:rsidRPr="004B3F43">
        <w:rPr>
          <w:rFonts w:cs="Arial"/>
          <w:color w:val="000000" w:themeColor="text1"/>
          <w:szCs w:val="22"/>
        </w:rPr>
        <w:t xml:space="preserve">(green, nutrient rich) </w:t>
      </w:r>
      <w:r w:rsidRPr="004B3F43">
        <w:rPr>
          <w:rFonts w:cs="Arial"/>
          <w:color w:val="000000" w:themeColor="text1"/>
          <w:szCs w:val="22"/>
        </w:rPr>
        <w:t xml:space="preserve">water during the wet season. Methods are detailed in </w:t>
      </w:r>
      <w:hyperlink w:anchor="_ENREF_51" w:tooltip="Devlin, 2015 #10405"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 ExcludeYear="1"&gt;&lt;Author&gt;Devlin&lt;/Author&gt;&lt;RecNum&gt;10405&lt;/RecNum&gt;&lt;DisplayText&gt;Devlin&lt;style face="italic"&gt; et al.&lt;/style&gt; &lt;/DisplayText&gt;&lt;record&gt;&lt;rec-number&gt;10405&lt;/rec-number&gt;&lt;foreign-keys&gt;&lt;key app="EN" db-id="0eve55x9y5vfd6e9dacxtew4eatve2dzds9a" timestamp="1449012014"&gt;10405&lt;/key&gt;&lt;/foreign-keys&gt;&lt;ref-type name="Journal Article"&gt;17&lt;/ref-type&gt;&lt;contributors&gt;&lt;authors&gt;&lt;author&gt;Devlin, Michelle&lt;/author&gt;&lt;author&gt;Petus, Caroline&lt;/author&gt;&lt;author&gt;da Silva, Eduardo&lt;/author&gt;&lt;author&gt;Tracey, Dieter&lt;/author&gt;&lt;author&gt;Wolff, Nicholas&lt;/author&gt;&lt;author&gt;Waterhouse, Jane&lt;/author&gt;&lt;author&gt;Brodie, Jon&lt;/author&gt;&lt;/authors&gt;&lt;/contributors&gt;&lt;titles&gt;&lt;title&gt;Water Quality and River Plume Monitoring in the Great Barrier Reef: An Overview of Methods Based on Ocean Colour Satellite Data&lt;/title&gt;&lt;secondary-title&gt;Remote Sensing&lt;/secondary-title&gt;&lt;/titles&gt;&lt;periodical&gt;&lt;full-title&gt;Remote Sensing&lt;/full-title&gt;&lt;/periodical&gt;&lt;pages&gt;12909&lt;/pages&gt;&lt;volume&gt;7&lt;/volume&gt;&lt;number&gt;10&lt;/number&gt;&lt;dates&gt;&lt;year&gt;2015&lt;/year&gt;&lt;/dates&gt;&lt;isbn&gt;2072-4292&lt;/isbn&gt;&lt;accession-num&gt;doi:10.3390/rs71012909&lt;/accession-num&gt;&lt;urls&gt;&lt;related-urls&gt;&lt;url&gt;http://www.mdpi.com/2072-4292/7/10/12909&lt;/url&gt;&lt;/related-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Devlin</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w:t>
        </w:r>
        <w:r w:rsidR="009A7AB4" w:rsidRPr="004B3F43">
          <w:rPr>
            <w:rFonts w:cs="Arial"/>
            <w:color w:val="000000" w:themeColor="text1"/>
            <w:szCs w:val="22"/>
          </w:rPr>
          <w:fldChar w:fldCharType="end"/>
        </w:r>
      </w:hyperlink>
      <w:r w:rsidRPr="004B3F43">
        <w:rPr>
          <w:rFonts w:cs="Arial"/>
          <w:color w:val="000000" w:themeColor="text1"/>
          <w:szCs w:val="22"/>
        </w:rPr>
        <w:t>(</w:t>
      </w:r>
      <w:hyperlink w:anchor="_ENREF_51" w:tooltip="Devlin, 2015 #10405"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 ExcludeAuth="1"&gt;&lt;Year&gt;2015&lt;/Year&gt;&lt;RecNum&gt;10405&lt;/RecNum&gt;&lt;DisplayText&gt;2015&lt;/DisplayText&gt;&lt;record&gt;&lt;rec-number&gt;10405&lt;/rec-number&gt;&lt;foreign-keys&gt;&lt;key app="EN" db-id="0eve55x9y5vfd6e9dacxtew4eatve2dzds9a" timestamp="1449012014"&gt;10405&lt;/key&gt;&lt;/foreign-keys&gt;&lt;ref-type name="Journal Article"&gt;17&lt;/ref-type&gt;&lt;contributors&gt;&lt;authors&gt;&lt;author&gt;Devlin, Michelle&lt;/author&gt;&lt;author&gt;Petus, Caroline&lt;/author&gt;&lt;author&gt;da Silva, Eduardo&lt;/author&gt;&lt;author&gt;Tracey, Dieter&lt;/author&gt;&lt;author&gt;Wolff, Nicholas&lt;/author&gt;&lt;author&gt;Waterhouse, Jane&lt;/author&gt;&lt;author&gt;Brodie, Jon&lt;/author&gt;&lt;/authors&gt;&lt;/contributors&gt;&lt;titles&gt;&lt;title&gt;Water Quality and River Plume Monitoring in the Great Barrier Reef: An Overview of Methods Based on Ocean Colour Satellite Data&lt;/title&gt;&lt;secondary-title&gt;Remote Sensing&lt;/secondary-title&gt;&lt;/titles&gt;&lt;periodical&gt;&lt;full-title&gt;Remote Sensing&lt;/full-title&gt;&lt;/periodical&gt;&lt;pages&gt;12909&lt;/pages&gt;&lt;volume&gt;7&lt;/volume&gt;&lt;number&gt;10&lt;/number&gt;&lt;dates&gt;&lt;year&gt;2015&lt;/year&gt;&lt;/dates&gt;&lt;isbn&gt;2072-4292&lt;/isbn&gt;&lt;accession-num&gt;doi:10.3390/rs71012909&lt;/accession-num&gt;&lt;urls&gt;&lt;related-urls&gt;&lt;url&gt;http://www.mdpi.com/2072-4292/7/10/12909&lt;/url&gt;&lt;/related-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2015</w:t>
        </w:r>
        <w:r w:rsidR="009A7AB4" w:rsidRPr="004B3F43">
          <w:rPr>
            <w:rFonts w:cs="Arial"/>
            <w:color w:val="000000" w:themeColor="text1"/>
            <w:szCs w:val="22"/>
          </w:rPr>
          <w:fldChar w:fldCharType="end"/>
        </w:r>
      </w:hyperlink>
      <w:r w:rsidRPr="004B3F43">
        <w:rPr>
          <w:rFonts w:cs="Arial"/>
          <w:color w:val="000000" w:themeColor="text1"/>
          <w:szCs w:val="22"/>
        </w:rPr>
        <w:t>)</w:t>
      </w:r>
      <w:r w:rsidR="007B36D3" w:rsidRPr="004B3F43">
        <w:rPr>
          <w:rFonts w:cs="Arial"/>
          <w:color w:val="000000" w:themeColor="text1"/>
          <w:szCs w:val="22"/>
        </w:rPr>
        <w:t>.</w:t>
      </w:r>
      <w:r w:rsidR="00B7275D" w:rsidRPr="004B3F43">
        <w:rPr>
          <w:rFonts w:cs="Arial"/>
          <w:color w:val="000000" w:themeColor="text1"/>
          <w:szCs w:val="22"/>
        </w:rPr>
        <w:t xml:space="preserve"> Flood plume mapping (</w:t>
      </w:r>
      <w:hyperlink w:anchor="_ENREF_51" w:tooltip="Devlin, 2015 #10405"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&lt;EndNote&gt;&lt;Cite&gt;&lt;Author&gt;Devlin&lt;/Author&gt;&lt;Year&gt;2015&lt;/Year&gt;&lt;RecNum&gt;10405&lt;/RecNum&gt;&lt;DisplayText&gt;Devlin&lt;style face="italic"&gt; et al.&lt;/style&gt; 2015&lt;/DisplayText&gt;&lt;record&gt;&lt;rec-number&gt;10405&lt;/rec-number&gt;&lt;foreign-keys&gt;&lt;key app="EN" db-id="0eve55x9y5vfd6e9dacxtew4eatve2dzds9a" timestamp="1449012014"&gt;10405&lt;/key&gt;&lt;/foreign-keys&gt;&lt;ref-type name="Journal Article"&gt;17&lt;/ref-type&gt;&lt;contributors&gt;&lt;authors&gt;&lt;author&gt;Devlin, Michelle&lt;/author&gt;&lt;author&gt;Petus, Caroline&lt;/author&gt;&lt;author&gt;da Silva, Eduardo&lt;/author&gt;&lt;author&gt;Tracey, Dieter&lt;/author&gt;&lt;author&gt;Wolff, Nicholas&lt;/author&gt;&lt;author&gt;Waterhouse, Jane&lt;/author&gt;&lt;author&gt;Brodie, Jon&lt;/author&gt;&lt;/authors&gt;&lt;/contributors&gt;&lt;titles&gt;&lt;title&gt;Water Quality and River Plume Monitoring in the Great Barrier Reef: An Overview of Methods Based on Ocean Colour Satellite Data&lt;/title&gt;&lt;secondary-title&gt;Remote Sensing&lt;/secondary-title&gt;&lt;/titles&gt;&lt;periodical&gt;&lt;full-title&gt;Remote Sensing&lt;/full-title&gt;&lt;/periodical&gt;&lt;pages&gt;12909&lt;/pages&gt;&lt;volume&gt;7&lt;/volume&gt;&lt;number&gt;10&lt;/number&gt;&lt;dates&gt;&lt;year&gt;2015&lt;/year&gt;&lt;/dates&gt;&lt;isbn&gt;2072-4292&lt;/isbn&gt;&lt;accession-num&gt;doi:10.3390/rs71012909&lt;/accession-num&gt;&lt;urls&gt;&lt;related-urls&gt;&lt;url&gt;http://www.mdpi.com/2072-4292/7/10/12909&lt;/url&gt;&lt;/related-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Devlin</w:t>
        </w:r>
        <w:r w:rsidR="009A7AB4" w:rsidRPr="004B3F43">
          <w:rPr>
            <w:rFonts w:cs="Arial"/>
            <w:i/>
            <w:noProof/>
            <w:color w:val="000000" w:themeColor="text1"/>
            <w:szCs w:val="22"/>
          </w:rPr>
          <w:t xml:space="preserve"> et al.</w:t>
        </w:r>
        <w:r w:rsidR="009A7AB4" w:rsidRPr="004B3F43">
          <w:rPr>
            <w:rFonts w:cs="Arial"/>
            <w:noProof/>
            <w:color w:val="000000" w:themeColor="text1"/>
            <w:szCs w:val="22"/>
          </w:rPr>
          <w:t xml:space="preserve"> 2015</w:t>
        </w:r>
        <w:r w:rsidR="009A7AB4" w:rsidRPr="004B3F43">
          <w:rPr>
            <w:rFonts w:cs="Arial"/>
            <w:color w:val="000000" w:themeColor="text1"/>
            <w:szCs w:val="22"/>
          </w:rPr>
          <w:fldChar w:fldCharType="end"/>
        </w:r>
      </w:hyperlink>
      <w:r w:rsidR="00B7275D" w:rsidRPr="004B3F43">
        <w:rPr>
          <w:rFonts w:cs="Arial"/>
          <w:color w:val="000000" w:themeColor="text1"/>
          <w:szCs w:val="22"/>
        </w:rPr>
        <w:t>) interpreted to water type and frequency of exposure at seagrass sites has been confirmed as</w:t>
      </w:r>
      <w:r w:rsidR="00B7275D" w:rsidRPr="004B3F43" w:rsidDel="00900467">
        <w:rPr>
          <w:rFonts w:cs="Arial"/>
          <w:color w:val="000000" w:themeColor="text1"/>
          <w:szCs w:val="22"/>
        </w:rPr>
        <w:t xml:space="preserve"> a predictor of changes in seagrass abundance (see case study 2, in McKenzie </w:t>
      </w:r>
      <w:r w:rsidR="00B7275D" w:rsidRPr="004B3F43" w:rsidDel="00900467">
        <w:rPr>
          <w:rFonts w:cs="Arial"/>
          <w:i/>
          <w:color w:val="000000" w:themeColor="text1"/>
          <w:szCs w:val="22"/>
        </w:rPr>
        <w:t>et al.</w:t>
      </w:r>
      <w:r w:rsidR="00B7275D" w:rsidRPr="004B3F43" w:rsidDel="00900467">
        <w:rPr>
          <w:rFonts w:cs="Arial"/>
          <w:color w:val="000000" w:themeColor="text1"/>
          <w:szCs w:val="22"/>
        </w:rPr>
        <w:t xml:space="preserve"> 2016). </w:t>
      </w:r>
    </w:p>
    <w:p w14:paraId="25A05618" w14:textId="5703E5BE" w:rsidR="007231A4" w:rsidRPr="00931EB8" w:rsidRDefault="007231A4" w:rsidP="002D1BBC">
      <w:pPr>
        <w:pStyle w:val="Heading3"/>
        <w:numPr>
          <w:ilvl w:val="2"/>
          <w:numId w:val="35"/>
        </w:numPr>
        <w:ind w:left="709" w:hanging="709"/>
      </w:pPr>
      <w:bookmarkStart w:id="50" w:name="_Toc37775035"/>
      <w:bookmarkStart w:id="51" w:name="_Toc43987009"/>
      <w:r w:rsidRPr="00931EB8">
        <w:t>Environment within seagrass canopy</w:t>
      </w:r>
      <w:bookmarkEnd w:id="50"/>
      <w:bookmarkEnd w:id="51"/>
      <w:r w:rsidRPr="00931EB8">
        <w:t xml:space="preserve"> </w:t>
      </w:r>
    </w:p>
    <w:p w14:paraId="03260F30" w14:textId="1D390E53" w:rsidR="003D1F7F" w:rsidRPr="004B3F43" w:rsidRDefault="003D1F7F" w:rsidP="003D1F7F">
      <w:pPr>
        <w:rPr>
          <w:rFonts w:cs="Arial"/>
          <w:color w:val="000000" w:themeColor="text1"/>
          <w:szCs w:val="22"/>
        </w:rPr>
      </w:pPr>
      <w:r w:rsidRPr="004B3F43">
        <w:rPr>
          <w:rFonts w:cs="Arial"/>
          <w:color w:val="000000" w:themeColor="text1"/>
          <w:szCs w:val="22"/>
        </w:rPr>
        <w:t>Autonomous iBTag</w:t>
      </w:r>
      <w:r w:rsidRPr="004B3F43">
        <w:rPr>
          <w:rFonts w:cs="Arial"/>
          <w:color w:val="000000" w:themeColor="text1"/>
          <w:szCs w:val="22"/>
          <w:vertAlign w:val="superscript"/>
        </w:rPr>
        <w:t>™</w:t>
      </w:r>
      <w:r w:rsidRPr="004B3F43">
        <w:rPr>
          <w:rFonts w:cs="Arial"/>
          <w:color w:val="000000" w:themeColor="text1"/>
          <w:szCs w:val="22"/>
        </w:rPr>
        <w:t xml:space="preserve"> submersible temperature loggers were deployed at all </w:t>
      </w:r>
      <w:r w:rsidRPr="004B3F43">
        <w:rPr>
          <w:rFonts w:cs="Arial"/>
          <w:bCs/>
          <w:color w:val="000000" w:themeColor="text1"/>
          <w:szCs w:val="22"/>
        </w:rPr>
        <w:t xml:space="preserve">sites identified in </w:t>
      </w:r>
      <w:r w:rsidR="009E0200" w:rsidRPr="004B3F43">
        <w:rPr>
          <w:rFonts w:cs="Arial"/>
          <w:bCs/>
          <w:color w:val="000000" w:themeColor="text1"/>
          <w:szCs w:val="22"/>
        </w:rPr>
        <w:fldChar w:fldCharType="begin"/>
      </w:r>
      <w:r w:rsidR="009E0200" w:rsidRPr="004B3F43">
        <w:rPr>
          <w:rFonts w:cs="Arial"/>
          <w:bCs/>
          <w:color w:val="000000" w:themeColor="text1"/>
          <w:szCs w:val="22"/>
        </w:rPr>
        <w:instrText xml:space="preserve"> REF _Ref534181942 \r \h </w:instrText>
      </w:r>
      <w:r w:rsidR="00CB093C" w:rsidRPr="004B3F43">
        <w:rPr>
          <w:rFonts w:cs="Arial"/>
          <w:bCs/>
          <w:color w:val="000000" w:themeColor="text1"/>
          <w:szCs w:val="22"/>
        </w:rPr>
        <w:instrText xml:space="preserve"> \* MERGEFORMAT </w:instrText>
      </w:r>
      <w:r w:rsidR="009E0200" w:rsidRPr="004B3F43">
        <w:rPr>
          <w:rFonts w:cs="Arial"/>
          <w:bCs/>
          <w:color w:val="000000" w:themeColor="text1"/>
          <w:szCs w:val="22"/>
        </w:rPr>
      </w:r>
      <w:r w:rsidR="009E0200" w:rsidRPr="004B3F43">
        <w:rPr>
          <w:rFonts w:cs="Arial"/>
          <w:bCs/>
          <w:color w:val="000000" w:themeColor="text1"/>
          <w:szCs w:val="22"/>
        </w:rPr>
        <w:fldChar w:fldCharType="separate"/>
      </w:r>
      <w:r w:rsidR="0067675D">
        <w:rPr>
          <w:rFonts w:cs="Arial"/>
          <w:bCs/>
          <w:color w:val="000000" w:themeColor="text1"/>
          <w:szCs w:val="22"/>
        </w:rPr>
        <w:t>Appendix 3</w:t>
      </w:r>
      <w:r w:rsidR="009E0200" w:rsidRPr="004B3F43">
        <w:rPr>
          <w:rFonts w:cs="Arial"/>
          <w:bCs/>
          <w:color w:val="000000" w:themeColor="text1"/>
          <w:szCs w:val="22"/>
        </w:rPr>
        <w:fldChar w:fldCharType="end"/>
      </w:r>
      <w:r w:rsidRPr="004B3F43">
        <w:rPr>
          <w:rFonts w:cs="Arial"/>
          <w:bCs/>
          <w:color w:val="000000" w:themeColor="text1"/>
          <w:szCs w:val="22"/>
        </w:rPr>
        <w:t xml:space="preserve">, </w:t>
      </w:r>
      <w:r w:rsidR="00302C4F" w:rsidRPr="004B3F43">
        <w:rPr>
          <w:rFonts w:cs="Arial"/>
          <w:bCs/>
          <w:color w:val="000000" w:themeColor="text1"/>
          <w:szCs w:val="22"/>
        </w:rPr>
        <w:fldChar w:fldCharType="begin"/>
      </w:r>
      <w:r w:rsidR="00302C4F" w:rsidRPr="004B3F43">
        <w:rPr>
          <w:rFonts w:cs="Arial"/>
          <w:bCs/>
          <w:color w:val="000000" w:themeColor="text1"/>
          <w:szCs w:val="22"/>
        </w:rPr>
        <w:instrText xml:space="preserve"> REF _Ref511373432 \h </w:instrText>
      </w:r>
      <w:r w:rsidR="00DA741D" w:rsidRPr="004B3F43">
        <w:rPr>
          <w:rFonts w:cs="Arial"/>
          <w:bCs/>
          <w:color w:val="000000" w:themeColor="text1"/>
          <w:szCs w:val="22"/>
        </w:rPr>
        <w:instrText xml:space="preserve"> \* MERGEFORMAT </w:instrText>
      </w:r>
      <w:r w:rsidR="00302C4F" w:rsidRPr="004B3F43">
        <w:rPr>
          <w:rFonts w:cs="Arial"/>
          <w:bCs/>
          <w:color w:val="000000" w:themeColor="text1"/>
          <w:szCs w:val="22"/>
        </w:rPr>
      </w:r>
      <w:r w:rsidR="00302C4F" w:rsidRPr="004B3F43">
        <w:rPr>
          <w:rFonts w:cs="Arial"/>
          <w:bCs/>
          <w:color w:val="000000" w:themeColor="text1"/>
          <w:szCs w:val="22"/>
        </w:rPr>
        <w:fldChar w:fldCharType="separate"/>
      </w:r>
      <w:r w:rsidR="0067675D" w:rsidRPr="00687A15">
        <w:rPr>
          <w:rFonts w:cs="Arial"/>
          <w:color w:val="000000"/>
          <w:szCs w:val="22"/>
        </w:rPr>
        <w:t xml:space="preserve">Table </w:t>
      </w:r>
      <w:r w:rsidR="0067675D">
        <w:rPr>
          <w:rFonts w:cs="Arial"/>
          <w:noProof/>
          <w:color w:val="000000"/>
          <w:szCs w:val="22"/>
        </w:rPr>
        <w:t>18</w:t>
      </w:r>
      <w:r w:rsidR="00302C4F" w:rsidRPr="004B3F43">
        <w:rPr>
          <w:rFonts w:cs="Arial"/>
          <w:bCs/>
          <w:color w:val="000000" w:themeColor="text1"/>
          <w:szCs w:val="22"/>
        </w:rPr>
        <w:fldChar w:fldCharType="end"/>
      </w:r>
      <w:r w:rsidRPr="004B3F43">
        <w:rPr>
          <w:rFonts w:cs="Arial"/>
          <w:bCs/>
          <w:color w:val="000000" w:themeColor="text1"/>
          <w:szCs w:val="22"/>
        </w:rPr>
        <w:t>. The loggers recorded</w:t>
      </w:r>
      <w:r w:rsidRPr="004B3F43">
        <w:rPr>
          <w:rFonts w:cs="Arial"/>
          <w:color w:val="000000" w:themeColor="text1"/>
          <w:szCs w:val="22"/>
        </w:rPr>
        <w:t xml:space="preserve"> temperature (accuracy 0.0625°C) within the seagrass canopy every 30–90 minutes</w:t>
      </w:r>
      <w:r w:rsidR="005055DC" w:rsidRPr="004B3F43">
        <w:rPr>
          <w:rFonts w:cs="Arial"/>
          <w:color w:val="000000" w:themeColor="text1"/>
          <w:szCs w:val="22"/>
        </w:rPr>
        <w:t xml:space="preserve"> (</w:t>
      </w:r>
      <w:r w:rsidR="005055DC" w:rsidRPr="004B3F43">
        <w:rPr>
          <w:rFonts w:cs="Arial"/>
          <w:color w:val="000000" w:themeColor="text1"/>
          <w:szCs w:val="22"/>
        </w:rPr>
        <w:fldChar w:fldCharType="begin"/>
      </w:r>
      <w:r w:rsidR="005055DC" w:rsidRPr="004B3F43">
        <w:rPr>
          <w:rFonts w:cs="Arial"/>
          <w:color w:val="000000" w:themeColor="text1"/>
          <w:szCs w:val="22"/>
        </w:rPr>
        <w:instrText xml:space="preserve"> REF _Ref461015425 \h </w:instrText>
      </w:r>
      <w:r w:rsidR="00DA741D" w:rsidRPr="004B3F43">
        <w:rPr>
          <w:rFonts w:cs="Arial"/>
          <w:color w:val="000000" w:themeColor="text1"/>
          <w:szCs w:val="22"/>
        </w:rPr>
        <w:instrText xml:space="preserve"> \* MERGEFORMAT </w:instrText>
      </w:r>
      <w:r w:rsidR="005055DC" w:rsidRPr="004B3F43">
        <w:rPr>
          <w:rFonts w:cs="Arial"/>
          <w:color w:val="000000" w:themeColor="text1"/>
          <w:szCs w:val="22"/>
        </w:rPr>
      </w:r>
      <w:r w:rsidR="005055DC" w:rsidRPr="004B3F43">
        <w:rPr>
          <w:rFonts w:cs="Arial"/>
          <w:color w:val="000000" w:themeColor="text1"/>
          <w:szCs w:val="22"/>
        </w:rPr>
        <w:fldChar w:fldCharType="separate"/>
      </w:r>
      <w:r w:rsidR="0067675D" w:rsidRPr="004B3F43">
        <w:rPr>
          <w:rFonts w:cs="Arial"/>
          <w:szCs w:val="22"/>
        </w:rPr>
        <w:t xml:space="preserve">Table </w:t>
      </w:r>
      <w:r w:rsidR="0067675D">
        <w:rPr>
          <w:rFonts w:cs="Arial"/>
          <w:noProof/>
          <w:szCs w:val="22"/>
        </w:rPr>
        <w:lastRenderedPageBreak/>
        <w:t>1</w:t>
      </w:r>
      <w:r w:rsidR="005055DC" w:rsidRPr="004B3F43">
        <w:rPr>
          <w:rFonts w:cs="Arial"/>
          <w:color w:val="000000" w:themeColor="text1"/>
          <w:szCs w:val="22"/>
        </w:rPr>
        <w:fldChar w:fldCharType="end"/>
      </w:r>
      <w:r w:rsidR="005055DC" w:rsidRPr="004B3F43">
        <w:rPr>
          <w:rFonts w:cs="Arial"/>
          <w:color w:val="000000" w:themeColor="text1"/>
          <w:szCs w:val="22"/>
        </w:rPr>
        <w:t>)</w:t>
      </w:r>
      <w:r w:rsidRPr="004B3F43">
        <w:rPr>
          <w:rFonts w:cs="Arial"/>
          <w:color w:val="000000" w:themeColor="text1"/>
          <w:szCs w:val="22"/>
        </w:rPr>
        <w:t>. iBCod</w:t>
      </w:r>
      <w:r w:rsidRPr="004B3F43">
        <w:rPr>
          <w:rFonts w:cs="Arial"/>
          <w:color w:val="000000" w:themeColor="text1"/>
          <w:szCs w:val="22"/>
          <w:vertAlign w:val="superscript"/>
        </w:rPr>
        <w:t>™</w:t>
      </w:r>
      <w:r w:rsidRPr="004B3F43">
        <w:rPr>
          <w:rFonts w:cs="Arial"/>
          <w:color w:val="000000" w:themeColor="text1"/>
          <w:szCs w:val="22"/>
        </w:rPr>
        <w:t>22L submersible temperature loggers were attached to the permanent marker at each site above the sediment-water interface.</w:t>
      </w:r>
    </w:p>
    <w:p w14:paraId="66216360" w14:textId="001EBBBE" w:rsidR="003D1F7F" w:rsidRPr="004B3F43" w:rsidRDefault="003D1F7F" w:rsidP="003D1F7F">
      <w:pPr>
        <w:rPr>
          <w:rFonts w:cs="Arial"/>
          <w:color w:val="000000" w:themeColor="text1"/>
          <w:szCs w:val="22"/>
          <w:lang w:val="en-US"/>
        </w:rPr>
      </w:pPr>
      <w:r w:rsidRPr="004B3F43">
        <w:rPr>
          <w:rFonts w:cs="Arial"/>
          <w:color w:val="000000" w:themeColor="text1"/>
          <w:szCs w:val="22"/>
          <w:lang w:val="en-US"/>
        </w:rPr>
        <w:t>Submersible Odyssey</w:t>
      </w:r>
      <w:r w:rsidRPr="004B3F43">
        <w:rPr>
          <w:rFonts w:cs="Arial"/>
          <w:color w:val="000000" w:themeColor="text1"/>
          <w:szCs w:val="22"/>
          <w:vertAlign w:val="superscript"/>
          <w:lang w:val="en-US"/>
        </w:rPr>
        <w:t>™</w:t>
      </w:r>
      <w:r w:rsidRPr="004B3F43">
        <w:rPr>
          <w:rFonts w:cs="Arial"/>
          <w:color w:val="000000" w:themeColor="text1"/>
          <w:szCs w:val="22"/>
          <w:lang w:val="en-US"/>
        </w:rPr>
        <w:t xml:space="preserve"> </w:t>
      </w:r>
      <w:r w:rsidRPr="004B3F43">
        <w:rPr>
          <w:rFonts w:cs="Arial"/>
          <w:color w:val="000000" w:themeColor="text1"/>
          <w:szCs w:val="22"/>
        </w:rPr>
        <w:t>photosynthetic irradiance a</w:t>
      </w:r>
      <w:r w:rsidRPr="004B3F43">
        <w:rPr>
          <w:rFonts w:cs="Arial"/>
          <w:color w:val="000000" w:themeColor="text1"/>
          <w:szCs w:val="22"/>
          <w:lang w:val="en-US"/>
        </w:rPr>
        <w:t xml:space="preserve">utonomous loggers were attached to permanent station markers at </w:t>
      </w:r>
      <w:r w:rsidRPr="004B3F43">
        <w:rPr>
          <w:rFonts w:cs="Arial"/>
          <w:color w:val="000000" w:themeColor="text1"/>
          <w:szCs w:val="22"/>
        </w:rPr>
        <w:t xml:space="preserve">20 intertidal and 4 subtidal </w:t>
      </w:r>
      <w:r w:rsidRPr="004B3F43">
        <w:rPr>
          <w:rFonts w:cs="Arial"/>
          <w:color w:val="000000" w:themeColor="text1"/>
          <w:szCs w:val="22"/>
          <w:lang w:val="en-US"/>
        </w:rPr>
        <w:t xml:space="preserve">seagrass locations from the Cape York region to the </w:t>
      </w:r>
      <w:r w:rsidR="00B72AC4">
        <w:rPr>
          <w:rFonts w:cs="Arial"/>
          <w:color w:val="000000" w:themeColor="text1"/>
          <w:szCs w:val="22"/>
          <w:lang w:val="en-US"/>
        </w:rPr>
        <w:t>Burnett–Mary</w:t>
      </w:r>
      <w:r w:rsidRPr="004B3F43">
        <w:rPr>
          <w:rFonts w:cs="Arial"/>
          <w:color w:val="000000" w:themeColor="text1"/>
          <w:szCs w:val="22"/>
          <w:lang w:val="en-US"/>
        </w:rPr>
        <w:t xml:space="preserve"> region</w:t>
      </w:r>
      <w:r w:rsidR="00E93A7C">
        <w:rPr>
          <w:rFonts w:cs="Arial"/>
          <w:color w:val="000000" w:themeColor="text1"/>
          <w:szCs w:val="22"/>
          <w:lang w:val="en-US"/>
        </w:rPr>
        <w:t xml:space="preserve"> i.e. the light loggers are deployed at one site within the locations</w:t>
      </w:r>
      <w:r w:rsidRPr="004B3F43">
        <w:rPr>
          <w:rFonts w:cs="Arial"/>
          <w:color w:val="000000" w:themeColor="text1"/>
          <w:szCs w:val="22"/>
          <w:lang w:val="en-US"/>
        </w:rPr>
        <w:t xml:space="preserve"> (</w:t>
      </w:r>
      <w:r w:rsidR="006F061E" w:rsidRPr="004B3F43">
        <w:rPr>
          <w:rFonts w:cs="Arial"/>
          <w:color w:val="000000" w:themeColor="text1"/>
          <w:szCs w:val="22"/>
          <w:lang w:val="en-US"/>
        </w:rPr>
        <w:fldChar w:fldCharType="begin"/>
      </w:r>
      <w:r w:rsidR="006F061E" w:rsidRPr="004B3F43">
        <w:rPr>
          <w:rFonts w:cs="Arial"/>
          <w:color w:val="000000" w:themeColor="text1"/>
          <w:szCs w:val="22"/>
          <w:lang w:val="en-US"/>
        </w:rPr>
        <w:instrText xml:space="preserve"> REF _Ref534181942 \r \h </w:instrText>
      </w:r>
      <w:r w:rsidR="00CB093C" w:rsidRPr="004B3F43">
        <w:rPr>
          <w:rFonts w:cs="Arial"/>
          <w:color w:val="000000" w:themeColor="text1"/>
          <w:szCs w:val="22"/>
          <w:lang w:val="en-US"/>
        </w:rPr>
        <w:instrText xml:space="preserve"> \* MERGEFORMAT </w:instrText>
      </w:r>
      <w:r w:rsidR="006F061E" w:rsidRPr="004B3F43">
        <w:rPr>
          <w:rFonts w:cs="Arial"/>
          <w:color w:val="000000" w:themeColor="text1"/>
          <w:szCs w:val="22"/>
          <w:lang w:val="en-US"/>
        </w:rPr>
      </w:r>
      <w:r w:rsidR="006F061E" w:rsidRPr="004B3F43">
        <w:rPr>
          <w:rFonts w:cs="Arial"/>
          <w:color w:val="000000" w:themeColor="text1"/>
          <w:szCs w:val="22"/>
          <w:lang w:val="en-US"/>
        </w:rPr>
        <w:fldChar w:fldCharType="separate"/>
      </w:r>
      <w:r w:rsidR="0067675D">
        <w:rPr>
          <w:rFonts w:cs="Arial"/>
          <w:color w:val="000000" w:themeColor="text1"/>
          <w:szCs w:val="22"/>
          <w:lang w:val="en-US"/>
        </w:rPr>
        <w:t>Appendix 3</w:t>
      </w:r>
      <w:r w:rsidR="006F061E" w:rsidRPr="004B3F43">
        <w:rPr>
          <w:rFonts w:cs="Arial"/>
          <w:color w:val="000000" w:themeColor="text1"/>
          <w:szCs w:val="22"/>
          <w:lang w:val="en-US"/>
        </w:rPr>
        <w:fldChar w:fldCharType="end"/>
      </w:r>
      <w:r w:rsidR="006F061E" w:rsidRPr="004B3F43">
        <w:rPr>
          <w:rFonts w:cs="Arial"/>
          <w:color w:val="000000" w:themeColor="text1"/>
          <w:szCs w:val="22"/>
          <w:lang w:val="en-US"/>
        </w:rPr>
        <w:t xml:space="preserve">, </w:t>
      </w:r>
      <w:r w:rsidR="00302C4F" w:rsidRPr="004B3F43">
        <w:rPr>
          <w:rFonts w:cs="Arial"/>
          <w:bCs/>
          <w:color w:val="000000" w:themeColor="text1"/>
          <w:szCs w:val="22"/>
        </w:rPr>
        <w:fldChar w:fldCharType="begin"/>
      </w:r>
      <w:r w:rsidR="00302C4F" w:rsidRPr="004B3F43">
        <w:rPr>
          <w:rFonts w:cs="Arial"/>
          <w:bCs/>
          <w:color w:val="000000" w:themeColor="text1"/>
          <w:szCs w:val="22"/>
        </w:rPr>
        <w:instrText xml:space="preserve"> REF _Ref511373432 \h </w:instrText>
      </w:r>
      <w:r w:rsidR="00DA741D" w:rsidRPr="004B3F43">
        <w:rPr>
          <w:rFonts w:cs="Arial"/>
          <w:bCs/>
          <w:color w:val="000000" w:themeColor="text1"/>
          <w:szCs w:val="22"/>
        </w:rPr>
        <w:instrText xml:space="preserve"> \* MERGEFORMAT </w:instrText>
      </w:r>
      <w:r w:rsidR="00302C4F" w:rsidRPr="004B3F43">
        <w:rPr>
          <w:rFonts w:cs="Arial"/>
          <w:bCs/>
          <w:color w:val="000000" w:themeColor="text1"/>
          <w:szCs w:val="22"/>
        </w:rPr>
      </w:r>
      <w:r w:rsidR="00302C4F" w:rsidRPr="004B3F43">
        <w:rPr>
          <w:rFonts w:cs="Arial"/>
          <w:bCs/>
          <w:color w:val="000000" w:themeColor="text1"/>
          <w:szCs w:val="22"/>
        </w:rPr>
        <w:fldChar w:fldCharType="separate"/>
      </w:r>
      <w:r w:rsidR="0067675D" w:rsidRPr="00687A15">
        <w:rPr>
          <w:rFonts w:cs="Arial"/>
          <w:color w:val="000000"/>
          <w:szCs w:val="22"/>
        </w:rPr>
        <w:t xml:space="preserve">Table </w:t>
      </w:r>
      <w:r w:rsidR="0067675D">
        <w:rPr>
          <w:rFonts w:cs="Arial"/>
          <w:noProof/>
          <w:color w:val="000000"/>
          <w:szCs w:val="22"/>
        </w:rPr>
        <w:t>18</w:t>
      </w:r>
      <w:r w:rsidR="00302C4F" w:rsidRPr="004B3F43">
        <w:rPr>
          <w:rFonts w:cs="Arial"/>
          <w:bCs/>
          <w:color w:val="000000" w:themeColor="text1"/>
          <w:szCs w:val="22"/>
        </w:rPr>
        <w:fldChar w:fldCharType="end"/>
      </w:r>
      <w:r w:rsidRPr="004B3F43">
        <w:rPr>
          <w:rFonts w:cs="Arial"/>
          <w:color w:val="000000" w:themeColor="text1"/>
          <w:szCs w:val="22"/>
          <w:lang w:val="en-US"/>
        </w:rPr>
        <w:t xml:space="preserve">). </w:t>
      </w:r>
      <w:r w:rsidRPr="004B3F43">
        <w:rPr>
          <w:rFonts w:cs="Arial"/>
          <w:color w:val="000000" w:themeColor="text1"/>
          <w:szCs w:val="22"/>
        </w:rPr>
        <w:t xml:space="preserve">Detailed methodology for the light monitoring can be found in </w:t>
      </w:r>
      <w:hyperlink w:anchor="_ENREF_110" w:tooltip="McKenzie, 2018 #11715" w:history="1">
        <w:r w:rsidR="009A7AB4" w:rsidRPr="004B3F43">
          <w:rPr>
            <w:rFonts w:cs="Arial"/>
            <w:szCs w:val="22"/>
            <w:lang w:val="en-US" w:eastAsia="en-AU"/>
          </w:rPr>
          <w:fldChar w:fldCharType="begin"/>
        </w:r>
        <w:r w:rsidR="009A7AB4">
          <w:rPr>
            <w:rFonts w:cs="Arial"/>
            <w:szCs w:val="22"/>
            <w:lang w:val="en-US" w:eastAsia="en-AU"/>
          </w:rPr>
          <w:instrText xml:space="preserve"> ADDIN EN.CITE &lt;EndNote&gt;&lt;Cite&gt;&lt;Author&gt;McKenzie&lt;/Author&gt;&lt;Year&gt;2018&lt;/Year&gt;&lt;RecNum&gt;11715&lt;/RecNum&gt;&lt;DisplayText&gt;McKenzie&lt;style face="italic"&gt; et al.&lt;/style&gt; 2018&lt;/DisplayText&gt;&lt;record&gt;&lt;rec-number&gt;11715&lt;/rec-number&gt;&lt;foreign-keys&gt;&lt;key app="EN" db-id="0eve55x9y5vfd6e9dacxtew4eatve2dzds9a" timestamp="1535166877"&gt;11715&lt;/key&gt;&lt;/foreign-keys&gt;&lt;ref-type name="Book Section"&gt;5&lt;/ref-type&gt;&lt;contributors&gt;&lt;authors&gt;&lt;author&gt;McKenzie, Len J&lt;/author&gt;&lt;author&gt;Waycott, Michelle&lt;/author&gt;&lt;author&gt;Unsworth Richard, K. F.&lt;/author&gt;&lt;author&gt;Collier, Catherine&lt;/author&gt;&lt;/authors&gt;&lt;/contributors&gt;&lt;titles&gt;&lt;title&gt;Inshore seagrass monitoring&lt;/title&gt;&lt;secondary-title&gt;Marine Monitoring Program quality assurance and quality control manual 2016/17&lt;/secondary-title&gt;&lt;/titles&gt;&lt;pages&gt;78-95&lt;/pages&gt;&lt;section&gt;6&lt;/section&gt;&lt;dates&gt;&lt;year&gt;2018&lt;/year&gt;&lt;/dates&gt;&lt;pub-location&gt;Townsville&lt;/pub-location&gt;&lt;publisher&gt;Great Barrier Reef Marine Park Authority &lt;/publisher&gt;&lt;urls&gt;&lt;/urls&gt;&lt;/record&gt;&lt;/Cite&gt;&lt;/EndNote&gt;</w:instrText>
        </w:r>
        <w:r w:rsidR="009A7AB4" w:rsidRPr="004B3F43">
          <w:rPr>
            <w:rFonts w:cs="Arial"/>
            <w:szCs w:val="22"/>
            <w:lang w:val="en-US" w:eastAsia="en-AU"/>
          </w:rPr>
          <w:fldChar w:fldCharType="separate"/>
        </w:r>
        <w:r w:rsidR="009A7AB4">
          <w:rPr>
            <w:rFonts w:cs="Arial"/>
            <w:noProof/>
            <w:szCs w:val="22"/>
            <w:lang w:val="en-US" w:eastAsia="en-AU"/>
          </w:rPr>
          <w:t>McKenzie</w:t>
        </w:r>
        <w:r w:rsidR="009A7AB4" w:rsidRPr="002126B5">
          <w:rPr>
            <w:rFonts w:cs="Arial"/>
            <w:i/>
            <w:noProof/>
            <w:szCs w:val="22"/>
            <w:lang w:val="en-US" w:eastAsia="en-AU"/>
          </w:rPr>
          <w:t xml:space="preserve"> et al.</w:t>
        </w:r>
        <w:r w:rsidR="009A7AB4">
          <w:rPr>
            <w:rFonts w:cs="Arial"/>
            <w:noProof/>
            <w:szCs w:val="22"/>
            <w:lang w:val="en-US" w:eastAsia="en-AU"/>
          </w:rPr>
          <w:t xml:space="preserve"> 2018</w:t>
        </w:r>
        <w:r w:rsidR="009A7AB4" w:rsidRPr="004B3F43">
          <w:rPr>
            <w:rFonts w:cs="Arial"/>
            <w:szCs w:val="22"/>
            <w:lang w:val="en-US" w:eastAsia="en-AU"/>
          </w:rPr>
          <w:fldChar w:fldCharType="end"/>
        </w:r>
      </w:hyperlink>
      <w:r w:rsidRPr="004B3F43">
        <w:rPr>
          <w:rFonts w:cs="Arial"/>
          <w:color w:val="000000" w:themeColor="text1"/>
          <w:szCs w:val="22"/>
        </w:rPr>
        <w:t xml:space="preserve">. </w:t>
      </w:r>
      <w:r w:rsidRPr="004B3F43">
        <w:rPr>
          <w:rFonts w:cs="Arial"/>
          <w:color w:val="000000" w:themeColor="text1"/>
          <w:szCs w:val="22"/>
          <w:lang w:val="en-US"/>
        </w:rPr>
        <w:t>Measurements were recorded by the logger every 15 minutes and are reported as total daily light (mol m</w:t>
      </w:r>
      <w:r w:rsidRPr="004B3F43">
        <w:rPr>
          <w:rFonts w:cs="Arial"/>
          <w:color w:val="000000" w:themeColor="text1"/>
          <w:szCs w:val="22"/>
          <w:vertAlign w:val="superscript"/>
          <w:lang w:val="en-US"/>
        </w:rPr>
        <w:t>-2</w:t>
      </w:r>
      <w:r w:rsidRPr="004B3F43">
        <w:rPr>
          <w:rFonts w:cs="Arial"/>
          <w:color w:val="000000" w:themeColor="text1"/>
          <w:szCs w:val="22"/>
          <w:lang w:val="en-US"/>
        </w:rPr>
        <w:t xml:space="preserve"> d</w:t>
      </w:r>
      <w:r w:rsidRPr="004B3F43">
        <w:rPr>
          <w:rFonts w:cs="Arial"/>
          <w:color w:val="000000" w:themeColor="text1"/>
          <w:szCs w:val="22"/>
          <w:vertAlign w:val="superscript"/>
          <w:lang w:val="en-US"/>
        </w:rPr>
        <w:t>-1</w:t>
      </w:r>
      <w:r w:rsidRPr="004B3F43">
        <w:rPr>
          <w:rFonts w:cs="Arial"/>
          <w:color w:val="000000" w:themeColor="text1"/>
          <w:szCs w:val="22"/>
          <w:lang w:val="en-US"/>
        </w:rPr>
        <w:t xml:space="preserve">). Automatic wiper brushes clean the optical surface of the sensor every 15 minutes to prevent marine organisms fouling. </w:t>
      </w:r>
    </w:p>
    <w:p w14:paraId="3595B5E0" w14:textId="17D2D734" w:rsidR="003D1F7F" w:rsidRPr="004B3F43" w:rsidRDefault="0094059C" w:rsidP="003D1F7F">
      <w:pPr>
        <w:rPr>
          <w:rFonts w:cs="Arial"/>
          <w:color w:val="000000" w:themeColor="text1"/>
          <w:szCs w:val="22"/>
        </w:rPr>
      </w:pPr>
      <w:r w:rsidRPr="004B3F43">
        <w:rPr>
          <w:rFonts w:cs="Arial"/>
          <w:color w:val="000000" w:themeColor="text1"/>
          <w:szCs w:val="22"/>
        </w:rPr>
        <w:t xml:space="preserve">Sediment type affects seagrass community composition </w:t>
      </w:r>
      <w:r w:rsidR="009F1E43" w:rsidRPr="004B3F43">
        <w:rPr>
          <w:rFonts w:cs="Arial"/>
          <w:color w:val="000000" w:themeColor="text1"/>
          <w:szCs w:val="22"/>
        </w:rPr>
        <w:t xml:space="preserve">and vice versa </w:t>
      </w:r>
      <w:r w:rsidRPr="004B3F43">
        <w:rPr>
          <w:rFonts w:cs="Arial"/>
          <w:color w:val="000000" w:themeColor="text1"/>
          <w:szCs w:val="22"/>
        </w:rPr>
        <w:t>(</w:t>
      </w:r>
      <w:r w:rsidR="009F1E43" w:rsidRPr="004B3F43">
        <w:rPr>
          <w:rFonts w:cs="Arial"/>
          <w:color w:val="000000" w:themeColor="text1"/>
          <w:szCs w:val="22"/>
        </w:rPr>
        <w:t>McKenzie et al 2007, Collier et al In Prep). C</w:t>
      </w:r>
      <w:r w:rsidRPr="004B3F43">
        <w:rPr>
          <w:rFonts w:cs="Arial"/>
          <w:color w:val="000000" w:themeColor="text1"/>
          <w:szCs w:val="22"/>
        </w:rPr>
        <w:t xml:space="preserve">hanges in sediment composition can be an indicator of broader environmental changes (such as sediment </w:t>
      </w:r>
      <w:r w:rsidR="000E7607" w:rsidRPr="004B3F43">
        <w:rPr>
          <w:rFonts w:cs="Arial"/>
          <w:color w:val="000000" w:themeColor="text1"/>
          <w:szCs w:val="22"/>
        </w:rPr>
        <w:t xml:space="preserve">and </w:t>
      </w:r>
      <w:r w:rsidRPr="004B3F43">
        <w:rPr>
          <w:rFonts w:cs="Arial"/>
          <w:color w:val="000000" w:themeColor="text1"/>
          <w:szCs w:val="22"/>
        </w:rPr>
        <w:t xml:space="preserve">organic matter </w:t>
      </w:r>
      <w:r w:rsidR="000E7607" w:rsidRPr="004B3F43">
        <w:rPr>
          <w:rFonts w:cs="Arial"/>
          <w:color w:val="000000" w:themeColor="text1"/>
          <w:szCs w:val="22"/>
        </w:rPr>
        <w:t xml:space="preserve">loads </w:t>
      </w:r>
      <w:r w:rsidRPr="004B3F43">
        <w:rPr>
          <w:rFonts w:cs="Arial"/>
          <w:color w:val="000000" w:themeColor="text1"/>
          <w:szCs w:val="22"/>
        </w:rPr>
        <w:t xml:space="preserve">and </w:t>
      </w:r>
      <w:r w:rsidR="000E7607" w:rsidRPr="004B3F43">
        <w:rPr>
          <w:rFonts w:cs="Arial"/>
          <w:color w:val="000000" w:themeColor="text1"/>
          <w:szCs w:val="22"/>
        </w:rPr>
        <w:t xml:space="preserve">risk of </w:t>
      </w:r>
      <w:r w:rsidRPr="004B3F43">
        <w:rPr>
          <w:rFonts w:cs="Arial"/>
          <w:color w:val="000000" w:themeColor="text1"/>
          <w:szCs w:val="22"/>
        </w:rPr>
        <w:t xml:space="preserve">anoxia), and be an early-warning indicator of changing species composition. </w:t>
      </w:r>
      <w:r w:rsidR="006A3340" w:rsidRPr="004B3F43">
        <w:rPr>
          <w:rFonts w:cs="Arial"/>
          <w:color w:val="000000" w:themeColor="text1"/>
          <w:szCs w:val="22"/>
        </w:rPr>
        <w:t>Sediment type wa</w:t>
      </w:r>
      <w:r w:rsidR="007B36D3" w:rsidRPr="004B3F43">
        <w:rPr>
          <w:rFonts w:cs="Arial"/>
          <w:color w:val="000000" w:themeColor="text1"/>
          <w:szCs w:val="22"/>
        </w:rPr>
        <w:t xml:space="preserve">s recorded </w:t>
      </w:r>
      <w:r w:rsidR="00317475" w:rsidRPr="004B3F43">
        <w:rPr>
          <w:rFonts w:cs="Arial"/>
          <w:color w:val="000000" w:themeColor="text1"/>
          <w:szCs w:val="22"/>
        </w:rPr>
        <w:t xml:space="preserve">at the 33 quadrats at each site </w:t>
      </w:r>
      <w:r w:rsidR="006A3340" w:rsidRPr="004B3F43">
        <w:rPr>
          <w:rFonts w:cs="Arial"/>
          <w:color w:val="000000" w:themeColor="text1"/>
          <w:szCs w:val="22"/>
        </w:rPr>
        <w:t xml:space="preserve">in conjunction with seagrass abundance measures using a </w:t>
      </w:r>
      <w:r w:rsidR="00053571" w:rsidRPr="004B3F43">
        <w:rPr>
          <w:rFonts w:cs="Arial"/>
          <w:color w:val="000000" w:themeColor="text1"/>
          <w:szCs w:val="22"/>
        </w:rPr>
        <w:t>visual/tactile estimation of sediment grain size composition (0</w:t>
      </w:r>
      <w:r w:rsidR="00F00C64" w:rsidRPr="00FA314F">
        <w:rPr>
          <w:rFonts w:cs="Arial"/>
          <w:szCs w:val="22"/>
        </w:rPr>
        <w:t>–</w:t>
      </w:r>
      <w:r w:rsidR="00053571" w:rsidRPr="004B3F43">
        <w:rPr>
          <w:rFonts w:cs="Arial"/>
          <w:color w:val="000000" w:themeColor="text1"/>
          <w:szCs w:val="22"/>
        </w:rPr>
        <w:t>2 cm below the sediment/water interface)</w:t>
      </w:r>
      <w:r w:rsidR="006A3340" w:rsidRPr="004B3F43">
        <w:rPr>
          <w:rFonts w:cs="Arial"/>
          <w:color w:val="000000" w:themeColor="text1"/>
          <w:szCs w:val="22"/>
        </w:rPr>
        <w:t xml:space="preserve"> as per standard</w:t>
      </w:r>
      <w:r w:rsidR="00053571" w:rsidRPr="004B3F43">
        <w:rPr>
          <w:rFonts w:cs="Arial"/>
          <w:color w:val="000000" w:themeColor="text1"/>
          <w:szCs w:val="22"/>
        </w:rPr>
        <w:t xml:space="preserve"> protocols described in McKenzie </w:t>
      </w:r>
      <w:r w:rsidR="00053571" w:rsidRPr="004B3F43">
        <w:rPr>
          <w:rFonts w:cs="Arial"/>
          <w:i/>
          <w:color w:val="000000" w:themeColor="text1"/>
          <w:szCs w:val="22"/>
        </w:rPr>
        <w:t>et al.</w:t>
      </w:r>
      <w:r w:rsidR="00053571" w:rsidRPr="004B3F43">
        <w:rPr>
          <w:rFonts w:cs="Arial"/>
          <w:color w:val="000000" w:themeColor="text1"/>
          <w:szCs w:val="22"/>
        </w:rPr>
        <w:t xml:space="preserve"> (</w:t>
      </w:r>
      <w:hyperlink w:anchor="_ENREF_101" w:tooltip="McKenzie, 2003 #9457"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 ExcludeAuth="1"&gt;&lt;Year&gt;2003&lt;/Year&gt;&lt;RecNum&gt;9457&lt;/RecNum&gt;&lt;DisplayText&gt;2003&lt;/DisplayText&gt;&lt;record&gt;&lt;rec-number&gt;9457&lt;/rec-number&gt;&lt;foreign-keys&gt;&lt;key app="EN" db-id="0eve55x9y5vfd6e9dacxtew4eatve2dzds9a" timestamp="1375604206"&gt;9457&lt;/key&gt;&lt;/foreign-keys&gt;&lt;ref-type name="Book"&gt;6&lt;/ref-type&gt;&lt;contributors&gt;&lt;authors&gt;&lt;author&gt;McKenzie, Len J&lt;/author&gt;&lt;author&gt;Campbell, Stuart J&lt;/author&gt;&lt;author&gt;Roder, C.A&lt;/author&gt;&lt;/authors&gt;&lt;/contributors&gt;&lt;titles&gt;&lt;title&gt;Seagrass-Watch: Manual for Mapping &amp;amp; Monitoring Seagrass Resources&lt;/title&gt;&lt;/titles&gt;&lt;edition&gt;2nd&lt;/edition&gt;&lt;section&gt;100&lt;/section&gt;&lt;dates&gt;&lt;year&gt;2003&lt;/year&gt;&lt;/dates&gt;&lt;pub-location&gt;Cairns&lt;/pub-location&gt;&lt;publisher&gt;QFS, NFC&lt;/publisher&gt;&lt;urls&gt;&lt;related-urls&gt;&lt;url&gt;www.seagrasswatch.org/manuals.html&lt;/url&gt;&lt;/related-urls&gt;&lt;/urls&gt;&lt;/record&gt;&lt;/Cite&gt;&lt;/EndNote&gt;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2003</w:t>
        </w:r>
        <w:r w:rsidR="009A7AB4" w:rsidRPr="004B3F43">
          <w:rPr>
            <w:rFonts w:cs="Arial"/>
            <w:color w:val="000000" w:themeColor="text1"/>
            <w:szCs w:val="22"/>
          </w:rPr>
          <w:fldChar w:fldCharType="end"/>
        </w:r>
      </w:hyperlink>
      <w:r w:rsidR="00053571" w:rsidRPr="004B3F43">
        <w:rPr>
          <w:rFonts w:cs="Arial"/>
          <w:color w:val="000000" w:themeColor="text1"/>
          <w:szCs w:val="22"/>
        </w:rPr>
        <w:t>).</w:t>
      </w:r>
      <w:r w:rsidR="006A3340" w:rsidRPr="004B3F43">
        <w:rPr>
          <w:rFonts w:cs="Arial"/>
          <w:color w:val="000000" w:themeColor="text1"/>
          <w:szCs w:val="22"/>
        </w:rPr>
        <w:t xml:space="preserve"> Qualitative field descriptions of sediment composition </w:t>
      </w:r>
      <w:r w:rsidR="005C0F26" w:rsidRPr="004B3F43">
        <w:rPr>
          <w:rFonts w:cs="Arial"/>
          <w:color w:val="000000" w:themeColor="text1"/>
          <w:szCs w:val="22"/>
        </w:rPr>
        <w:t xml:space="preserve">were differentiated according to the Udden-Wentworth grade scale </w:t>
      </w:r>
      <w:r w:rsidR="00DB32BE" w:rsidRPr="004B3F43">
        <w:rPr>
          <w:rFonts w:cs="Arial"/>
          <w:color w:val="000000" w:themeColor="text1"/>
          <w:szCs w:val="22"/>
        </w:rPr>
        <w:t xml:space="preserve">as this approach has previously been shown to provide an equivalent measure to sieve-derived datasets (Hamilton, 1999; McKenzie </w:t>
      </w:r>
      <w:hyperlink w:anchor="_ENREF_98" w:tooltip="McKenzie, 2007 #9456" w:history="1">
        <w:r w:rsidR="009A7AB4" w:rsidRPr="004B3F43">
          <w:rPr>
            <w:rFonts w:cs="Arial"/>
            <w:color w:val="000000" w:themeColor="text1"/>
            <w:szCs w:val="22"/>
          </w:rPr>
          <w:fldChar w:fldCharType="begin"/>
        </w:r>
        <w:r w:rsidR="009A7AB4" w:rsidRPr="004B3F43">
          <w:rPr>
            <w:rFonts w:cs="Arial"/>
            <w:color w:val="000000" w:themeColor="text1"/>
            <w:szCs w:val="22"/>
          </w:rPr>
          <w:instrText xml:space="preserve"> ADDIN EN.CITE &lt;EndNote&gt;&lt;Cite ExcludeAuth="1"&gt;&lt;Year&gt;2007&lt;/Year&gt;&lt;RecNum&gt;9456&lt;/RecNum&gt;&lt;DisplayText&gt;2007&lt;/DisplayText&gt;&lt;record&gt;&lt;rec-number&gt;9456&lt;/rec-number&gt;&lt;foreign-keys&gt;&lt;key app="EN" db-id="0eve55x9y5vfd6e9dacxtew4eatve2dzds9a" timestamp="1375602923"&gt;9456&lt;/key&gt;&lt;/foreign-keys&gt;&lt;ref-type name="Book"&gt;6&lt;/ref-type&gt;&lt;contributors&gt;&lt;authors&gt;&lt;author&gt;McKenzie, Len J&lt;/author&gt;&lt;/authors&gt;&lt;/contributors&gt;&lt;titles&gt;&lt;title&gt;Relationships between seagrass communities and sediment properties along the Queensland coast. Progress report to the Marine and Tropical Sciences Research Facility&lt;/title&gt;&lt;/titles&gt;&lt;pages&gt;25&lt;/pages&gt;&lt;dates&gt;&lt;year&gt;2007&lt;/year&gt;&lt;/dates&gt;&lt;pub-location&gt;Cairns &lt;/pub-location&gt;&lt;publisher&gt;Reef and Rainforest Research Centre Ltd&lt;/publisher&gt;&lt;urls&gt;&lt;/urls&gt;&lt;/record&gt;&lt;/Cite&gt;&lt;/EndNote&gt;</w:instrText>
        </w:r>
        <w:r w:rsidR="009A7AB4" w:rsidRPr="004B3F43">
          <w:rPr>
            <w:rFonts w:cs="Arial"/>
            <w:color w:val="000000" w:themeColor="text1"/>
            <w:szCs w:val="22"/>
          </w:rPr>
          <w:fldChar w:fldCharType="separate"/>
        </w:r>
        <w:r w:rsidR="009A7AB4" w:rsidRPr="004B3F43">
          <w:rPr>
            <w:rFonts w:cs="Arial"/>
            <w:noProof/>
            <w:color w:val="000000" w:themeColor="text1"/>
            <w:szCs w:val="22"/>
          </w:rPr>
          <w:t>2007</w:t>
        </w:r>
        <w:r w:rsidR="009A7AB4" w:rsidRPr="004B3F43">
          <w:rPr>
            <w:rFonts w:cs="Arial"/>
            <w:color w:val="000000" w:themeColor="text1"/>
            <w:szCs w:val="22"/>
          </w:rPr>
          <w:fldChar w:fldCharType="end"/>
        </w:r>
      </w:hyperlink>
      <w:r w:rsidR="006A3340" w:rsidRPr="004B3F43">
        <w:rPr>
          <w:rFonts w:cs="Arial"/>
          <w:color w:val="000000" w:themeColor="text1"/>
          <w:szCs w:val="22"/>
        </w:rPr>
        <w:t>).</w:t>
      </w:r>
      <w:r w:rsidR="00527C29" w:rsidRPr="004B3F43">
        <w:rPr>
          <w:rFonts w:cs="Arial"/>
          <w:color w:val="000000" w:themeColor="text1"/>
          <w:szCs w:val="22"/>
        </w:rPr>
        <w:t xml:space="preserve"> </w:t>
      </w:r>
    </w:p>
    <w:p w14:paraId="7B5DBD5A" w14:textId="73C8EF4A" w:rsidR="003B152A" w:rsidRPr="004B3F43" w:rsidRDefault="003B152A" w:rsidP="003D1F7F">
      <w:pPr>
        <w:rPr>
          <w:rFonts w:cs="Arial"/>
          <w:color w:val="000000" w:themeColor="text1"/>
          <w:szCs w:val="22"/>
        </w:rPr>
      </w:pPr>
    </w:p>
    <w:p w14:paraId="7E90E8B2" w14:textId="28BC1DED" w:rsidR="003B152A" w:rsidRPr="004B3F43" w:rsidRDefault="003B152A" w:rsidP="003D1F7F">
      <w:pPr>
        <w:rPr>
          <w:rFonts w:cs="Arial"/>
          <w:color w:val="000000" w:themeColor="text1"/>
          <w:szCs w:val="22"/>
        </w:rPr>
      </w:pPr>
    </w:p>
    <w:p w14:paraId="53D4D15B" w14:textId="77777777" w:rsidR="003B152A" w:rsidRPr="004B3F43" w:rsidRDefault="003B152A" w:rsidP="003D1F7F">
      <w:pPr>
        <w:rPr>
          <w:rFonts w:cs="Arial"/>
          <w:color w:val="000000" w:themeColor="text1"/>
          <w:szCs w:val="22"/>
        </w:rPr>
        <w:sectPr w:rsidR="003B152A" w:rsidRPr="004B3F43" w:rsidSect="0085398A">
          <w:headerReference w:type="even" r:id="rId36"/>
          <w:headerReference w:type="default" r:id="rId37"/>
          <w:footerReference w:type="even" r:id="rId38"/>
          <w:footerReference w:type="default" r:id="rId39"/>
          <w:headerReference w:type="first" r:id="rId40"/>
          <w:footerReference w:type="first" r:id="rId41"/>
          <w:pgSz w:w="11900" w:h="16840" w:code="9"/>
          <w:pgMar w:top="1134" w:right="1418" w:bottom="1418" w:left="1418" w:header="709" w:footer="709" w:gutter="0"/>
          <w:cols w:space="708"/>
          <w:docGrid w:linePitch="360"/>
        </w:sectPr>
      </w:pPr>
    </w:p>
    <w:p w14:paraId="02BDEEA2" w14:textId="48BABE1E" w:rsidR="00101AFE" w:rsidRPr="004B3F43" w:rsidRDefault="00101AFE" w:rsidP="00101AFE">
      <w:pPr>
        <w:jc w:val="center"/>
        <w:rPr>
          <w:rFonts w:cs="Arial"/>
          <w:i/>
          <w:vanish/>
          <w:szCs w:val="22"/>
          <w:specVanish/>
        </w:rPr>
      </w:pPr>
      <w:bookmarkStart w:id="52" w:name="_Ref461015425"/>
      <w:bookmarkStart w:id="53" w:name="_Ref515961668"/>
      <w:bookmarkStart w:id="54" w:name="_Toc37787053"/>
      <w:bookmarkStart w:id="55" w:name="_Toc47600675"/>
      <w:r w:rsidRPr="004B3F43">
        <w:rPr>
          <w:rFonts w:cs="Arial"/>
          <w:szCs w:val="22"/>
        </w:rPr>
        <w:lastRenderedPageBreak/>
        <w:t xml:space="preserve">Table </w:t>
      </w:r>
      <w:r w:rsidR="00C506C7" w:rsidRPr="004B3F43">
        <w:rPr>
          <w:rFonts w:cs="Arial"/>
          <w:noProof/>
          <w:szCs w:val="22"/>
        </w:rPr>
        <w:fldChar w:fldCharType="begin"/>
      </w:r>
      <w:r w:rsidR="00C506C7" w:rsidRPr="004B3F43">
        <w:rPr>
          <w:rFonts w:cs="Arial"/>
          <w:noProof/>
          <w:szCs w:val="22"/>
        </w:rPr>
        <w:instrText xml:space="preserve"> SEQ Table \* ARABIC </w:instrText>
      </w:r>
      <w:r w:rsidR="00C506C7" w:rsidRPr="004B3F43">
        <w:rPr>
          <w:rFonts w:cs="Arial"/>
          <w:noProof/>
          <w:szCs w:val="22"/>
        </w:rPr>
        <w:fldChar w:fldCharType="separate"/>
      </w:r>
      <w:r w:rsidR="0067675D">
        <w:rPr>
          <w:rFonts w:cs="Arial"/>
          <w:noProof/>
          <w:szCs w:val="22"/>
        </w:rPr>
        <w:t>1</w:t>
      </w:r>
      <w:r w:rsidR="00C506C7" w:rsidRPr="004B3F43">
        <w:rPr>
          <w:rFonts w:cs="Arial"/>
          <w:noProof/>
          <w:szCs w:val="22"/>
        </w:rPr>
        <w:fldChar w:fldCharType="end"/>
      </w:r>
      <w:bookmarkEnd w:id="52"/>
      <w:r w:rsidRPr="004B3F43">
        <w:rPr>
          <w:rFonts w:cs="Arial"/>
          <w:szCs w:val="22"/>
        </w:rPr>
        <w:t xml:space="preserve">. </w:t>
      </w:r>
      <w:r w:rsidR="003D1F7F" w:rsidRPr="004B3F43">
        <w:rPr>
          <w:rFonts w:cs="Arial"/>
          <w:i/>
          <w:szCs w:val="22"/>
        </w:rPr>
        <w:t xml:space="preserve"> Summary of climate and environment data included in this report</w:t>
      </w:r>
      <w:bookmarkEnd w:id="53"/>
      <w:bookmarkEnd w:id="54"/>
      <w:bookmarkEnd w:id="55"/>
    </w:p>
    <w:p w14:paraId="4B785B92" w14:textId="7A287996" w:rsidR="003D1F7F" w:rsidRPr="004B3F43" w:rsidRDefault="003D1F7F" w:rsidP="00101AFE">
      <w:pPr>
        <w:jc w:val="center"/>
        <w:rPr>
          <w:rFonts w:cs="Arial"/>
          <w:i/>
          <w:szCs w:val="22"/>
        </w:rPr>
      </w:pPr>
      <w:r w:rsidRPr="004B3F43">
        <w:rPr>
          <w:rFonts w:cs="Arial"/>
          <w:i/>
          <w:szCs w:val="22"/>
        </w:rPr>
        <w:t>, showing historical data range, measurement technique, measurement frequency, and data source. *</w:t>
      </w:r>
      <w:r w:rsidR="00D63ED2" w:rsidRPr="004B3F43">
        <w:rPr>
          <w:rFonts w:cs="Arial"/>
          <w:i/>
          <w:szCs w:val="22"/>
        </w:rPr>
        <w:t>=</w:t>
      </w:r>
      <w:r w:rsidRPr="004B3F43">
        <w:rPr>
          <w:rFonts w:cs="Arial"/>
          <w:i/>
          <w:szCs w:val="22"/>
        </w:rPr>
        <w:t>variable</w:t>
      </w:r>
      <w:r w:rsidR="00C3035F" w:rsidRPr="004B3F43">
        <w:rPr>
          <w:rFonts w:cs="Arial"/>
          <w:i/>
          <w:szCs w:val="22"/>
        </w:rPr>
        <w:t xml:space="preserve"> duration of data availability depending on site</w:t>
      </w:r>
    </w:p>
    <w:tbl>
      <w:tblPr>
        <w:tblW w:w="14384" w:type="dxa"/>
        <w:jc w:val="center"/>
        <w:tblBorders>
          <w:bottom w:val="single" w:sz="4" w:space="0" w:color="auto"/>
        </w:tblBorders>
        <w:tblLayout w:type="fixed"/>
        <w:tblLook w:val="04A0" w:firstRow="1" w:lastRow="0" w:firstColumn="1" w:lastColumn="0" w:noHBand="0" w:noVBand="1"/>
      </w:tblPr>
      <w:tblGrid>
        <w:gridCol w:w="2058"/>
        <w:gridCol w:w="1814"/>
        <w:gridCol w:w="3011"/>
        <w:gridCol w:w="1577"/>
        <w:gridCol w:w="2627"/>
        <w:gridCol w:w="3297"/>
      </w:tblGrid>
      <w:tr w:rsidR="003D1F7F" w:rsidRPr="004142AC" w14:paraId="7A24F29D" w14:textId="77777777" w:rsidTr="00136AC5">
        <w:trPr>
          <w:trHeight w:val="397"/>
          <w:jc w:val="center"/>
        </w:trPr>
        <w:tc>
          <w:tcPr>
            <w:tcW w:w="2035" w:type="dxa"/>
            <w:tcBorders>
              <w:top w:val="single" w:sz="4" w:space="0" w:color="auto"/>
              <w:bottom w:val="single" w:sz="4" w:space="0" w:color="auto"/>
            </w:tcBorders>
            <w:shd w:val="clear" w:color="auto" w:fill="BBE0E3"/>
            <w:vAlign w:val="center"/>
          </w:tcPr>
          <w:p w14:paraId="635DDC03" w14:textId="77777777" w:rsidR="003D1F7F" w:rsidRPr="004142AC" w:rsidRDefault="003D1F7F" w:rsidP="004142AC">
            <w:pPr>
              <w:spacing w:before="0" w:after="0"/>
              <w:ind w:right="-108"/>
              <w:jc w:val="center"/>
              <w:rPr>
                <w:rFonts w:cs="Arial"/>
                <w:b/>
                <w:sz w:val="21"/>
                <w:szCs w:val="21"/>
              </w:rPr>
            </w:pPr>
          </w:p>
        </w:tc>
        <w:tc>
          <w:tcPr>
            <w:tcW w:w="1793" w:type="dxa"/>
            <w:tcBorders>
              <w:top w:val="single" w:sz="4" w:space="0" w:color="auto"/>
              <w:bottom w:val="single" w:sz="4" w:space="0" w:color="auto"/>
            </w:tcBorders>
            <w:shd w:val="clear" w:color="auto" w:fill="BBE0E3"/>
            <w:vAlign w:val="center"/>
          </w:tcPr>
          <w:p w14:paraId="22CE461E" w14:textId="77777777" w:rsidR="003D1F7F" w:rsidRPr="004142AC" w:rsidRDefault="003D1F7F" w:rsidP="004142AC">
            <w:pPr>
              <w:spacing w:before="0" w:after="0"/>
              <w:ind w:right="-108"/>
              <w:jc w:val="center"/>
              <w:rPr>
                <w:rFonts w:cs="Arial"/>
                <w:b/>
                <w:sz w:val="21"/>
                <w:szCs w:val="21"/>
              </w:rPr>
            </w:pPr>
            <w:r w:rsidRPr="004142AC">
              <w:rPr>
                <w:rFonts w:cs="Arial"/>
                <w:b/>
                <w:sz w:val="21"/>
                <w:szCs w:val="21"/>
              </w:rPr>
              <w:t>Data range</w:t>
            </w:r>
          </w:p>
        </w:tc>
        <w:tc>
          <w:tcPr>
            <w:tcW w:w="2977" w:type="dxa"/>
            <w:tcBorders>
              <w:top w:val="single" w:sz="4" w:space="0" w:color="auto"/>
              <w:bottom w:val="single" w:sz="4" w:space="0" w:color="auto"/>
            </w:tcBorders>
            <w:shd w:val="clear" w:color="auto" w:fill="BBE0E3"/>
            <w:vAlign w:val="center"/>
          </w:tcPr>
          <w:p w14:paraId="5E64BD5F" w14:textId="77777777" w:rsidR="003D1F7F" w:rsidRPr="004142AC" w:rsidRDefault="003D1F7F" w:rsidP="004142AC">
            <w:pPr>
              <w:spacing w:before="0" w:after="0"/>
              <w:ind w:right="-108"/>
              <w:jc w:val="center"/>
              <w:rPr>
                <w:rFonts w:cs="Arial"/>
                <w:b/>
                <w:sz w:val="21"/>
                <w:szCs w:val="21"/>
              </w:rPr>
            </w:pPr>
            <w:r w:rsidRPr="004142AC">
              <w:rPr>
                <w:rFonts w:cs="Arial"/>
                <w:b/>
                <w:sz w:val="21"/>
                <w:szCs w:val="21"/>
              </w:rPr>
              <w:t>Method</w:t>
            </w:r>
          </w:p>
        </w:tc>
        <w:tc>
          <w:tcPr>
            <w:tcW w:w="1559" w:type="dxa"/>
            <w:tcBorders>
              <w:top w:val="single" w:sz="4" w:space="0" w:color="auto"/>
              <w:bottom w:val="single" w:sz="4" w:space="0" w:color="auto"/>
            </w:tcBorders>
            <w:shd w:val="clear" w:color="auto" w:fill="BBE0E3"/>
            <w:vAlign w:val="center"/>
          </w:tcPr>
          <w:p w14:paraId="59C1C27F" w14:textId="77777777" w:rsidR="00101AFE" w:rsidRPr="004142AC" w:rsidRDefault="003D1F7F" w:rsidP="004142AC">
            <w:pPr>
              <w:spacing w:before="0" w:after="0"/>
              <w:ind w:right="-108"/>
              <w:jc w:val="center"/>
              <w:rPr>
                <w:rFonts w:cs="Arial"/>
                <w:b/>
                <w:sz w:val="21"/>
                <w:szCs w:val="21"/>
              </w:rPr>
            </w:pPr>
            <w:r w:rsidRPr="004142AC">
              <w:rPr>
                <w:rFonts w:cs="Arial"/>
                <w:b/>
                <w:sz w:val="21"/>
                <w:szCs w:val="21"/>
              </w:rPr>
              <w:t>Measurement</w:t>
            </w:r>
          </w:p>
          <w:p w14:paraId="794F6BEF" w14:textId="77777777" w:rsidR="003D1F7F" w:rsidRPr="004142AC" w:rsidRDefault="003D1F7F" w:rsidP="004142AC">
            <w:pPr>
              <w:spacing w:before="0" w:after="0"/>
              <w:ind w:right="-108"/>
              <w:jc w:val="center"/>
              <w:rPr>
                <w:rFonts w:cs="Arial"/>
                <w:b/>
                <w:sz w:val="21"/>
                <w:szCs w:val="21"/>
              </w:rPr>
            </w:pPr>
            <w:r w:rsidRPr="004142AC">
              <w:rPr>
                <w:rFonts w:cs="Arial"/>
                <w:b/>
                <w:sz w:val="21"/>
                <w:szCs w:val="21"/>
              </w:rPr>
              <w:t>frequency</w:t>
            </w:r>
          </w:p>
        </w:tc>
        <w:tc>
          <w:tcPr>
            <w:tcW w:w="2597" w:type="dxa"/>
            <w:tcBorders>
              <w:top w:val="single" w:sz="4" w:space="0" w:color="auto"/>
              <w:bottom w:val="single" w:sz="4" w:space="0" w:color="auto"/>
            </w:tcBorders>
            <w:shd w:val="clear" w:color="auto" w:fill="BBE0E3"/>
            <w:vAlign w:val="center"/>
          </w:tcPr>
          <w:p w14:paraId="76EC9BF1" w14:textId="77777777" w:rsidR="003D1F7F" w:rsidRPr="004142AC" w:rsidRDefault="003D1F7F" w:rsidP="004142AC">
            <w:pPr>
              <w:spacing w:before="0" w:after="0"/>
              <w:ind w:right="-108"/>
              <w:jc w:val="center"/>
              <w:rPr>
                <w:rFonts w:cs="Arial"/>
                <w:b/>
                <w:sz w:val="21"/>
                <w:szCs w:val="21"/>
              </w:rPr>
            </w:pPr>
            <w:r w:rsidRPr="004142AC">
              <w:rPr>
                <w:rFonts w:cs="Arial"/>
                <w:b/>
                <w:sz w:val="21"/>
                <w:szCs w:val="21"/>
              </w:rPr>
              <w:t>Reporting units</w:t>
            </w:r>
          </w:p>
        </w:tc>
        <w:tc>
          <w:tcPr>
            <w:tcW w:w="3260" w:type="dxa"/>
            <w:tcBorders>
              <w:top w:val="single" w:sz="4" w:space="0" w:color="auto"/>
              <w:bottom w:val="single" w:sz="4" w:space="0" w:color="auto"/>
            </w:tcBorders>
            <w:shd w:val="clear" w:color="auto" w:fill="BBE0E3"/>
            <w:vAlign w:val="center"/>
          </w:tcPr>
          <w:p w14:paraId="6E2770F2" w14:textId="77777777" w:rsidR="003D1F7F" w:rsidRPr="004142AC" w:rsidRDefault="003D1F7F" w:rsidP="004142AC">
            <w:pPr>
              <w:spacing w:before="0" w:after="0"/>
              <w:ind w:right="-108"/>
              <w:jc w:val="center"/>
              <w:rPr>
                <w:rFonts w:cs="Arial"/>
                <w:b/>
                <w:sz w:val="21"/>
                <w:szCs w:val="21"/>
              </w:rPr>
            </w:pPr>
            <w:r w:rsidRPr="004142AC">
              <w:rPr>
                <w:rFonts w:cs="Arial"/>
                <w:b/>
                <w:sz w:val="21"/>
                <w:szCs w:val="21"/>
              </w:rPr>
              <w:t>Data source</w:t>
            </w:r>
          </w:p>
        </w:tc>
      </w:tr>
      <w:tr w:rsidR="003D1F7F" w:rsidRPr="004142AC" w14:paraId="102FCDD6" w14:textId="77777777" w:rsidTr="00136AC5">
        <w:trPr>
          <w:trHeight w:val="397"/>
          <w:jc w:val="center"/>
        </w:trPr>
        <w:tc>
          <w:tcPr>
            <w:tcW w:w="2035" w:type="dxa"/>
            <w:tcBorders>
              <w:top w:val="single" w:sz="4" w:space="0" w:color="auto"/>
            </w:tcBorders>
            <w:shd w:val="clear" w:color="auto" w:fill="E7F3F4"/>
          </w:tcPr>
          <w:p w14:paraId="767C773B" w14:textId="77777777" w:rsidR="003D1F7F" w:rsidRPr="004142AC" w:rsidRDefault="003D1F7F" w:rsidP="004142AC">
            <w:pPr>
              <w:spacing w:before="0" w:after="0"/>
              <w:rPr>
                <w:rFonts w:cs="Arial"/>
                <w:i/>
                <w:sz w:val="21"/>
                <w:szCs w:val="21"/>
              </w:rPr>
            </w:pPr>
            <w:r w:rsidRPr="004142AC">
              <w:rPr>
                <w:rFonts w:cs="Arial"/>
                <w:i/>
                <w:sz w:val="21"/>
                <w:szCs w:val="21"/>
              </w:rPr>
              <w:t>Climate</w:t>
            </w:r>
          </w:p>
        </w:tc>
        <w:tc>
          <w:tcPr>
            <w:tcW w:w="1793" w:type="dxa"/>
            <w:tcBorders>
              <w:top w:val="single" w:sz="4" w:space="0" w:color="auto"/>
            </w:tcBorders>
            <w:shd w:val="clear" w:color="auto" w:fill="E7F3F4"/>
          </w:tcPr>
          <w:p w14:paraId="1FF6F890" w14:textId="77777777" w:rsidR="003D1F7F" w:rsidRPr="004142AC" w:rsidRDefault="003D1F7F" w:rsidP="004142AC">
            <w:pPr>
              <w:spacing w:before="0" w:after="0"/>
              <w:rPr>
                <w:rFonts w:cs="Arial"/>
                <w:i/>
                <w:sz w:val="21"/>
                <w:szCs w:val="21"/>
              </w:rPr>
            </w:pPr>
          </w:p>
        </w:tc>
        <w:tc>
          <w:tcPr>
            <w:tcW w:w="2977" w:type="dxa"/>
            <w:tcBorders>
              <w:top w:val="single" w:sz="4" w:space="0" w:color="auto"/>
            </w:tcBorders>
            <w:shd w:val="clear" w:color="auto" w:fill="E7F3F4"/>
          </w:tcPr>
          <w:p w14:paraId="60AA75F7" w14:textId="77777777" w:rsidR="003D1F7F" w:rsidRPr="004142AC" w:rsidRDefault="003D1F7F" w:rsidP="004142AC">
            <w:pPr>
              <w:spacing w:before="0" w:after="0"/>
              <w:rPr>
                <w:rFonts w:cs="Arial"/>
                <w:i/>
                <w:sz w:val="21"/>
                <w:szCs w:val="21"/>
              </w:rPr>
            </w:pPr>
          </w:p>
        </w:tc>
        <w:tc>
          <w:tcPr>
            <w:tcW w:w="1559" w:type="dxa"/>
            <w:tcBorders>
              <w:top w:val="single" w:sz="4" w:space="0" w:color="auto"/>
            </w:tcBorders>
            <w:shd w:val="clear" w:color="auto" w:fill="E7F3F4"/>
          </w:tcPr>
          <w:p w14:paraId="067C73C7" w14:textId="77777777" w:rsidR="003D1F7F" w:rsidRPr="004142AC" w:rsidRDefault="003D1F7F" w:rsidP="004142AC">
            <w:pPr>
              <w:spacing w:before="0" w:after="0"/>
              <w:rPr>
                <w:rFonts w:cs="Arial"/>
                <w:i/>
                <w:sz w:val="21"/>
                <w:szCs w:val="21"/>
              </w:rPr>
            </w:pPr>
          </w:p>
        </w:tc>
        <w:tc>
          <w:tcPr>
            <w:tcW w:w="2597" w:type="dxa"/>
            <w:tcBorders>
              <w:top w:val="single" w:sz="4" w:space="0" w:color="auto"/>
            </w:tcBorders>
            <w:shd w:val="clear" w:color="auto" w:fill="E7F3F4"/>
          </w:tcPr>
          <w:p w14:paraId="6F72541C" w14:textId="77777777" w:rsidR="003D1F7F" w:rsidRPr="004142AC" w:rsidRDefault="003D1F7F" w:rsidP="004142AC">
            <w:pPr>
              <w:spacing w:before="0" w:after="0"/>
              <w:rPr>
                <w:rFonts w:cs="Arial"/>
                <w:i/>
                <w:sz w:val="21"/>
                <w:szCs w:val="21"/>
              </w:rPr>
            </w:pPr>
          </w:p>
        </w:tc>
        <w:tc>
          <w:tcPr>
            <w:tcW w:w="3260" w:type="dxa"/>
            <w:tcBorders>
              <w:top w:val="single" w:sz="4" w:space="0" w:color="auto"/>
            </w:tcBorders>
            <w:shd w:val="clear" w:color="auto" w:fill="E7F3F4"/>
          </w:tcPr>
          <w:p w14:paraId="1011A691" w14:textId="77777777" w:rsidR="003D1F7F" w:rsidRPr="004142AC" w:rsidRDefault="003D1F7F" w:rsidP="004142AC">
            <w:pPr>
              <w:spacing w:before="0" w:after="0"/>
              <w:rPr>
                <w:rFonts w:cs="Arial"/>
                <w:i/>
                <w:sz w:val="21"/>
                <w:szCs w:val="21"/>
              </w:rPr>
            </w:pPr>
          </w:p>
        </w:tc>
      </w:tr>
      <w:tr w:rsidR="003D1F7F" w:rsidRPr="004142AC" w14:paraId="6DDE0F88" w14:textId="77777777" w:rsidTr="00136AC5">
        <w:trPr>
          <w:trHeight w:val="397"/>
          <w:jc w:val="center"/>
        </w:trPr>
        <w:tc>
          <w:tcPr>
            <w:tcW w:w="2035" w:type="dxa"/>
            <w:shd w:val="clear" w:color="auto" w:fill="E7F3F4"/>
          </w:tcPr>
          <w:p w14:paraId="14F85752" w14:textId="77777777" w:rsidR="003D1F7F" w:rsidRPr="004142AC" w:rsidRDefault="003D1F7F" w:rsidP="004142AC">
            <w:pPr>
              <w:spacing w:before="0" w:after="0"/>
              <w:ind w:left="176"/>
              <w:rPr>
                <w:rFonts w:cs="Arial"/>
                <w:sz w:val="21"/>
                <w:szCs w:val="21"/>
              </w:rPr>
            </w:pPr>
            <w:r w:rsidRPr="004142AC">
              <w:rPr>
                <w:rFonts w:cs="Arial"/>
                <w:sz w:val="21"/>
                <w:szCs w:val="21"/>
              </w:rPr>
              <w:t>Cyclones</w:t>
            </w:r>
          </w:p>
        </w:tc>
        <w:tc>
          <w:tcPr>
            <w:tcW w:w="1793" w:type="dxa"/>
            <w:shd w:val="clear" w:color="auto" w:fill="E7F3F4"/>
          </w:tcPr>
          <w:p w14:paraId="163AB0B2" w14:textId="3F60D272" w:rsidR="003D1F7F" w:rsidRPr="004142AC" w:rsidRDefault="00037AE5" w:rsidP="004142AC">
            <w:pPr>
              <w:spacing w:before="0" w:after="0"/>
              <w:ind w:left="176"/>
              <w:rPr>
                <w:rFonts w:cs="Arial"/>
                <w:sz w:val="21"/>
                <w:szCs w:val="21"/>
              </w:rPr>
            </w:pPr>
            <w:r w:rsidRPr="004142AC">
              <w:rPr>
                <w:rFonts w:cs="Arial"/>
                <w:sz w:val="21"/>
                <w:szCs w:val="21"/>
              </w:rPr>
              <w:t>1968</w:t>
            </w:r>
            <w:r w:rsidR="00AD633E" w:rsidRPr="004142AC">
              <w:rPr>
                <w:rFonts w:cs="Arial"/>
                <w:sz w:val="21"/>
                <w:szCs w:val="21"/>
              </w:rPr>
              <w:t>–</w:t>
            </w:r>
            <w:r w:rsidRPr="004142AC">
              <w:rPr>
                <w:rFonts w:cs="Arial"/>
                <w:sz w:val="21"/>
                <w:szCs w:val="21"/>
              </w:rPr>
              <w:t>201</w:t>
            </w:r>
            <w:r w:rsidR="00F405A2" w:rsidRPr="004142AC">
              <w:rPr>
                <w:rFonts w:cs="Arial"/>
                <w:sz w:val="21"/>
                <w:szCs w:val="21"/>
              </w:rPr>
              <w:t>9</w:t>
            </w:r>
          </w:p>
        </w:tc>
        <w:tc>
          <w:tcPr>
            <w:tcW w:w="2977" w:type="dxa"/>
            <w:shd w:val="clear" w:color="auto" w:fill="E7F3F4"/>
          </w:tcPr>
          <w:p w14:paraId="64995036" w14:textId="77777777" w:rsidR="003D1F7F" w:rsidRPr="004142AC" w:rsidRDefault="00037AE5" w:rsidP="004142AC">
            <w:pPr>
              <w:spacing w:before="0" w:after="0"/>
              <w:rPr>
                <w:rFonts w:cs="Arial"/>
                <w:sz w:val="21"/>
                <w:szCs w:val="21"/>
              </w:rPr>
            </w:pPr>
            <w:r w:rsidRPr="004142AC">
              <w:rPr>
                <w:rFonts w:cs="Arial"/>
                <w:sz w:val="21"/>
                <w:szCs w:val="21"/>
              </w:rPr>
              <w:t>remote sensing and observations at nearest weather station</w:t>
            </w:r>
          </w:p>
        </w:tc>
        <w:tc>
          <w:tcPr>
            <w:tcW w:w="1559" w:type="dxa"/>
            <w:shd w:val="clear" w:color="auto" w:fill="E7F3F4"/>
          </w:tcPr>
          <w:p w14:paraId="68A7269E" w14:textId="77777777" w:rsidR="003D1F7F" w:rsidRPr="004142AC" w:rsidRDefault="00F6139F" w:rsidP="004142AC">
            <w:pPr>
              <w:spacing w:before="0" w:after="0"/>
              <w:rPr>
                <w:rFonts w:cs="Arial"/>
                <w:sz w:val="21"/>
                <w:szCs w:val="21"/>
              </w:rPr>
            </w:pPr>
            <w:r w:rsidRPr="004142AC">
              <w:rPr>
                <w:rFonts w:cs="Arial"/>
                <w:sz w:val="21"/>
                <w:szCs w:val="21"/>
              </w:rPr>
              <w:t>yearly</w:t>
            </w:r>
          </w:p>
        </w:tc>
        <w:tc>
          <w:tcPr>
            <w:tcW w:w="2597" w:type="dxa"/>
            <w:shd w:val="clear" w:color="auto" w:fill="E7F3F4"/>
          </w:tcPr>
          <w:p w14:paraId="6F817707" w14:textId="77777777" w:rsidR="003D1F7F" w:rsidRPr="004142AC" w:rsidRDefault="003D1F7F" w:rsidP="004142AC">
            <w:pPr>
              <w:spacing w:before="0" w:after="0"/>
              <w:rPr>
                <w:rFonts w:cs="Arial"/>
                <w:sz w:val="21"/>
                <w:szCs w:val="21"/>
              </w:rPr>
            </w:pPr>
            <w:r w:rsidRPr="004142AC">
              <w:rPr>
                <w:rFonts w:cs="Arial"/>
                <w:sz w:val="21"/>
                <w:szCs w:val="21"/>
              </w:rPr>
              <w:t>No. yr</w:t>
            </w:r>
            <w:r w:rsidRPr="004142AC">
              <w:rPr>
                <w:rFonts w:cs="Arial"/>
                <w:sz w:val="21"/>
                <w:szCs w:val="21"/>
                <w:vertAlign w:val="superscript"/>
              </w:rPr>
              <w:t>-1</w:t>
            </w:r>
          </w:p>
        </w:tc>
        <w:tc>
          <w:tcPr>
            <w:tcW w:w="3260" w:type="dxa"/>
            <w:shd w:val="clear" w:color="auto" w:fill="E7F3F4"/>
          </w:tcPr>
          <w:p w14:paraId="54C03C81" w14:textId="77777777" w:rsidR="003D1F7F" w:rsidRPr="004142AC" w:rsidRDefault="003D1F7F" w:rsidP="004142AC">
            <w:pPr>
              <w:spacing w:before="0" w:after="0"/>
              <w:rPr>
                <w:rFonts w:cs="Arial"/>
                <w:sz w:val="21"/>
                <w:szCs w:val="21"/>
              </w:rPr>
            </w:pPr>
            <w:r w:rsidRPr="004142AC">
              <w:rPr>
                <w:rFonts w:cs="Arial"/>
                <w:sz w:val="21"/>
                <w:szCs w:val="21"/>
              </w:rPr>
              <w:t xml:space="preserve">Bureau of </w:t>
            </w:r>
            <w:r w:rsidR="00037AE5" w:rsidRPr="004142AC">
              <w:rPr>
                <w:rFonts w:cs="Arial"/>
                <w:sz w:val="21"/>
                <w:szCs w:val="21"/>
              </w:rPr>
              <w:t>M</w:t>
            </w:r>
            <w:r w:rsidRPr="004142AC">
              <w:rPr>
                <w:rFonts w:cs="Arial"/>
                <w:sz w:val="21"/>
                <w:szCs w:val="21"/>
              </w:rPr>
              <w:t>eteorology</w:t>
            </w:r>
          </w:p>
        </w:tc>
      </w:tr>
      <w:tr w:rsidR="003D1F7F" w:rsidRPr="004142AC" w14:paraId="04091E56" w14:textId="77777777" w:rsidTr="00136AC5">
        <w:trPr>
          <w:trHeight w:val="397"/>
          <w:jc w:val="center"/>
        </w:trPr>
        <w:tc>
          <w:tcPr>
            <w:tcW w:w="2035" w:type="dxa"/>
            <w:shd w:val="clear" w:color="auto" w:fill="E7F3F4"/>
          </w:tcPr>
          <w:p w14:paraId="7B06B91B" w14:textId="77777777" w:rsidR="003D1F7F" w:rsidRPr="004142AC" w:rsidRDefault="003D1F7F" w:rsidP="004142AC">
            <w:pPr>
              <w:spacing w:before="0" w:after="0"/>
              <w:ind w:left="176"/>
              <w:rPr>
                <w:rFonts w:cs="Arial"/>
                <w:sz w:val="21"/>
                <w:szCs w:val="21"/>
              </w:rPr>
            </w:pPr>
            <w:r w:rsidRPr="004142AC">
              <w:rPr>
                <w:rFonts w:cs="Arial"/>
                <w:sz w:val="21"/>
                <w:szCs w:val="21"/>
              </w:rPr>
              <w:t>Rainfall</w:t>
            </w:r>
          </w:p>
        </w:tc>
        <w:tc>
          <w:tcPr>
            <w:tcW w:w="1793" w:type="dxa"/>
            <w:shd w:val="clear" w:color="auto" w:fill="E7F3F4"/>
          </w:tcPr>
          <w:p w14:paraId="4BF845CE" w14:textId="4CA1E0CF" w:rsidR="003D1F7F" w:rsidRPr="004142AC" w:rsidRDefault="00F6139F" w:rsidP="004142AC">
            <w:pPr>
              <w:spacing w:before="0" w:after="0"/>
              <w:ind w:left="176"/>
              <w:rPr>
                <w:rFonts w:cs="Arial"/>
                <w:sz w:val="21"/>
                <w:szCs w:val="21"/>
              </w:rPr>
            </w:pPr>
            <w:r w:rsidRPr="004142AC">
              <w:rPr>
                <w:rFonts w:cs="Arial"/>
                <w:sz w:val="21"/>
                <w:szCs w:val="21"/>
              </w:rPr>
              <w:t>1889</w:t>
            </w:r>
            <w:r w:rsidR="00AD633E" w:rsidRPr="004142AC">
              <w:rPr>
                <w:rFonts w:cs="Arial"/>
                <w:sz w:val="21"/>
                <w:szCs w:val="21"/>
              </w:rPr>
              <w:t>–</w:t>
            </w:r>
            <w:r w:rsidRPr="004142AC">
              <w:rPr>
                <w:rFonts w:cs="Arial"/>
                <w:sz w:val="21"/>
                <w:szCs w:val="21"/>
              </w:rPr>
              <w:t>201</w:t>
            </w:r>
            <w:r w:rsidR="00F405A2" w:rsidRPr="004142AC">
              <w:rPr>
                <w:rFonts w:cs="Arial"/>
                <w:sz w:val="21"/>
                <w:szCs w:val="21"/>
              </w:rPr>
              <w:t>9</w:t>
            </w:r>
            <w:r w:rsidRPr="004142AC">
              <w:rPr>
                <w:rFonts w:cs="Arial"/>
                <w:sz w:val="21"/>
                <w:szCs w:val="21"/>
              </w:rPr>
              <w:t>*</w:t>
            </w:r>
          </w:p>
        </w:tc>
        <w:tc>
          <w:tcPr>
            <w:tcW w:w="2977" w:type="dxa"/>
            <w:shd w:val="clear" w:color="auto" w:fill="E7F3F4"/>
          </w:tcPr>
          <w:p w14:paraId="0E9AD990" w14:textId="77777777" w:rsidR="003D1F7F" w:rsidRPr="004142AC" w:rsidRDefault="00037AE5" w:rsidP="004142AC">
            <w:pPr>
              <w:spacing w:before="0" w:after="0"/>
              <w:rPr>
                <w:rFonts w:cs="Arial"/>
                <w:sz w:val="21"/>
                <w:szCs w:val="21"/>
              </w:rPr>
            </w:pPr>
            <w:r w:rsidRPr="004142AC">
              <w:rPr>
                <w:rFonts w:cs="Arial"/>
                <w:sz w:val="21"/>
                <w:szCs w:val="21"/>
              </w:rPr>
              <w:t>r</w:t>
            </w:r>
            <w:r w:rsidR="003D1F7F" w:rsidRPr="004142AC">
              <w:rPr>
                <w:rFonts w:cs="Arial"/>
                <w:sz w:val="21"/>
                <w:szCs w:val="21"/>
              </w:rPr>
              <w:t>ain gauges</w:t>
            </w:r>
            <w:r w:rsidRPr="004142AC">
              <w:rPr>
                <w:rFonts w:cs="Arial"/>
                <w:sz w:val="21"/>
                <w:szCs w:val="21"/>
              </w:rPr>
              <w:t xml:space="preserve"> at nearest weather station</w:t>
            </w:r>
          </w:p>
        </w:tc>
        <w:tc>
          <w:tcPr>
            <w:tcW w:w="1559" w:type="dxa"/>
            <w:shd w:val="clear" w:color="auto" w:fill="E7F3F4"/>
          </w:tcPr>
          <w:p w14:paraId="6599281A" w14:textId="77777777" w:rsidR="003D1F7F" w:rsidRPr="004142AC" w:rsidRDefault="00F6139F" w:rsidP="004142AC">
            <w:pPr>
              <w:spacing w:before="0" w:after="0"/>
              <w:rPr>
                <w:rFonts w:cs="Arial"/>
                <w:sz w:val="21"/>
                <w:szCs w:val="21"/>
              </w:rPr>
            </w:pPr>
            <w:r w:rsidRPr="004142AC">
              <w:rPr>
                <w:rFonts w:cs="Arial"/>
                <w:sz w:val="21"/>
                <w:szCs w:val="21"/>
              </w:rPr>
              <w:t>d</w:t>
            </w:r>
            <w:r w:rsidR="003D1F7F" w:rsidRPr="004142AC">
              <w:rPr>
                <w:rFonts w:cs="Arial"/>
                <w:sz w:val="21"/>
                <w:szCs w:val="21"/>
              </w:rPr>
              <w:t>aily</w:t>
            </w:r>
          </w:p>
        </w:tc>
        <w:tc>
          <w:tcPr>
            <w:tcW w:w="2597" w:type="dxa"/>
            <w:shd w:val="clear" w:color="auto" w:fill="E7F3F4"/>
          </w:tcPr>
          <w:p w14:paraId="3FA44F87" w14:textId="77777777" w:rsidR="003D1F7F" w:rsidRPr="004142AC" w:rsidRDefault="00101AFE" w:rsidP="004142AC">
            <w:pPr>
              <w:spacing w:before="0" w:after="0"/>
              <w:rPr>
                <w:rFonts w:cs="Arial"/>
                <w:sz w:val="21"/>
                <w:szCs w:val="21"/>
              </w:rPr>
            </w:pPr>
            <w:r w:rsidRPr="004142AC">
              <w:rPr>
                <w:rFonts w:cs="Arial"/>
                <w:sz w:val="21"/>
                <w:szCs w:val="21"/>
              </w:rPr>
              <w:t>m</w:t>
            </w:r>
            <w:r w:rsidR="003D1F7F" w:rsidRPr="004142AC">
              <w:rPr>
                <w:rFonts w:cs="Arial"/>
                <w:sz w:val="21"/>
                <w:szCs w:val="21"/>
              </w:rPr>
              <w:t>m mo</w:t>
            </w:r>
            <w:r w:rsidR="003D1F7F" w:rsidRPr="004142AC">
              <w:rPr>
                <w:rFonts w:cs="Arial"/>
                <w:sz w:val="21"/>
                <w:szCs w:val="21"/>
                <w:vertAlign w:val="superscript"/>
              </w:rPr>
              <w:t>-1</w:t>
            </w:r>
          </w:p>
          <w:p w14:paraId="1D8BBEF8" w14:textId="77777777" w:rsidR="003D1F7F" w:rsidRPr="004142AC" w:rsidRDefault="003D1F7F" w:rsidP="004142AC">
            <w:pPr>
              <w:spacing w:before="0" w:after="0"/>
              <w:rPr>
                <w:rFonts w:cs="Arial"/>
                <w:sz w:val="21"/>
                <w:szCs w:val="21"/>
              </w:rPr>
            </w:pPr>
            <w:r w:rsidRPr="004142AC">
              <w:rPr>
                <w:rFonts w:cs="Arial"/>
                <w:sz w:val="21"/>
                <w:szCs w:val="21"/>
              </w:rPr>
              <w:t>mm yr</w:t>
            </w:r>
            <w:r w:rsidRPr="004142AC">
              <w:rPr>
                <w:rFonts w:cs="Arial"/>
                <w:sz w:val="21"/>
                <w:szCs w:val="21"/>
                <w:vertAlign w:val="superscript"/>
              </w:rPr>
              <w:t>-</w:t>
            </w:r>
            <w:r w:rsidRPr="004142AC">
              <w:rPr>
                <w:rFonts w:cs="Arial"/>
                <w:sz w:val="21"/>
                <w:szCs w:val="21"/>
              </w:rPr>
              <w:t>1</w:t>
            </w:r>
          </w:p>
        </w:tc>
        <w:tc>
          <w:tcPr>
            <w:tcW w:w="3260" w:type="dxa"/>
            <w:shd w:val="clear" w:color="auto" w:fill="E7F3F4"/>
          </w:tcPr>
          <w:p w14:paraId="1529EA2B" w14:textId="77777777" w:rsidR="003D1F7F" w:rsidRPr="004142AC" w:rsidRDefault="00037AE5" w:rsidP="004142AC">
            <w:pPr>
              <w:spacing w:before="0" w:after="0"/>
              <w:rPr>
                <w:rFonts w:cs="Arial"/>
                <w:sz w:val="21"/>
                <w:szCs w:val="21"/>
              </w:rPr>
            </w:pPr>
            <w:r w:rsidRPr="004142AC">
              <w:rPr>
                <w:rFonts w:cs="Arial"/>
                <w:sz w:val="21"/>
                <w:szCs w:val="21"/>
              </w:rPr>
              <w:t>Bureau of M</w:t>
            </w:r>
            <w:r w:rsidR="003D1F7F" w:rsidRPr="004142AC">
              <w:rPr>
                <w:rFonts w:cs="Arial"/>
                <w:sz w:val="21"/>
                <w:szCs w:val="21"/>
              </w:rPr>
              <w:t>eteorology</w:t>
            </w:r>
          </w:p>
        </w:tc>
      </w:tr>
      <w:tr w:rsidR="003D1F7F" w:rsidRPr="004142AC" w14:paraId="339E0D48" w14:textId="77777777" w:rsidTr="00136AC5">
        <w:trPr>
          <w:trHeight w:val="397"/>
          <w:jc w:val="center"/>
        </w:trPr>
        <w:tc>
          <w:tcPr>
            <w:tcW w:w="2035" w:type="dxa"/>
            <w:shd w:val="clear" w:color="auto" w:fill="E7F3F4"/>
          </w:tcPr>
          <w:p w14:paraId="6CDD6AE2" w14:textId="77777777" w:rsidR="003D1F7F" w:rsidRPr="004142AC" w:rsidRDefault="003D1F7F" w:rsidP="004142AC">
            <w:pPr>
              <w:spacing w:before="0" w:after="0"/>
              <w:ind w:left="176"/>
              <w:rPr>
                <w:rFonts w:cs="Arial"/>
                <w:sz w:val="21"/>
                <w:szCs w:val="21"/>
              </w:rPr>
            </w:pPr>
            <w:r w:rsidRPr="004142AC">
              <w:rPr>
                <w:rFonts w:cs="Arial"/>
                <w:sz w:val="21"/>
                <w:szCs w:val="21"/>
              </w:rPr>
              <w:t>Riverine discharge</w:t>
            </w:r>
          </w:p>
        </w:tc>
        <w:tc>
          <w:tcPr>
            <w:tcW w:w="1793" w:type="dxa"/>
            <w:shd w:val="clear" w:color="auto" w:fill="E7F3F4"/>
          </w:tcPr>
          <w:p w14:paraId="055A4F4D" w14:textId="3F38D15C" w:rsidR="003D1F7F" w:rsidRPr="004142AC" w:rsidRDefault="003D1F7F" w:rsidP="004142AC">
            <w:pPr>
              <w:spacing w:before="0" w:after="0"/>
              <w:ind w:left="176"/>
              <w:rPr>
                <w:rFonts w:cs="Arial"/>
                <w:sz w:val="21"/>
                <w:szCs w:val="21"/>
              </w:rPr>
            </w:pPr>
            <w:r w:rsidRPr="004142AC">
              <w:rPr>
                <w:rFonts w:cs="Arial"/>
                <w:sz w:val="21"/>
                <w:szCs w:val="21"/>
              </w:rPr>
              <w:t>1970</w:t>
            </w:r>
            <w:r w:rsidR="00AD633E" w:rsidRPr="004142AC">
              <w:rPr>
                <w:rFonts w:cs="Arial"/>
                <w:sz w:val="21"/>
                <w:szCs w:val="21"/>
              </w:rPr>
              <w:t>–</w:t>
            </w:r>
            <w:r w:rsidRPr="004142AC">
              <w:rPr>
                <w:rFonts w:cs="Arial"/>
                <w:sz w:val="21"/>
                <w:szCs w:val="21"/>
              </w:rPr>
              <w:t>201</w:t>
            </w:r>
            <w:r w:rsidR="00F405A2" w:rsidRPr="004142AC">
              <w:rPr>
                <w:rFonts w:cs="Arial"/>
                <w:sz w:val="21"/>
                <w:szCs w:val="21"/>
              </w:rPr>
              <w:t>9</w:t>
            </w:r>
          </w:p>
        </w:tc>
        <w:tc>
          <w:tcPr>
            <w:tcW w:w="2977" w:type="dxa"/>
            <w:shd w:val="clear" w:color="auto" w:fill="E7F3F4"/>
          </w:tcPr>
          <w:p w14:paraId="74A0DF5D" w14:textId="77777777" w:rsidR="003D1F7F" w:rsidRPr="004142AC" w:rsidRDefault="00037AE5" w:rsidP="004142AC">
            <w:pPr>
              <w:spacing w:before="0" w:after="0"/>
              <w:rPr>
                <w:rFonts w:cs="Arial"/>
                <w:sz w:val="21"/>
                <w:szCs w:val="21"/>
              </w:rPr>
            </w:pPr>
            <w:r w:rsidRPr="004142AC">
              <w:rPr>
                <w:rFonts w:cs="Arial"/>
                <w:sz w:val="21"/>
                <w:szCs w:val="21"/>
              </w:rPr>
              <w:t>water g</w:t>
            </w:r>
            <w:r w:rsidR="003D1F7F" w:rsidRPr="004142AC">
              <w:rPr>
                <w:rFonts w:cs="Arial"/>
                <w:sz w:val="21"/>
                <w:szCs w:val="21"/>
              </w:rPr>
              <w:t>auging stations at river mouth</w:t>
            </w:r>
          </w:p>
        </w:tc>
        <w:tc>
          <w:tcPr>
            <w:tcW w:w="1559" w:type="dxa"/>
            <w:shd w:val="clear" w:color="auto" w:fill="E7F3F4"/>
          </w:tcPr>
          <w:p w14:paraId="5AA5DAEF" w14:textId="77777777" w:rsidR="003D1F7F" w:rsidRPr="004142AC" w:rsidRDefault="003D1F7F" w:rsidP="004142AC">
            <w:pPr>
              <w:spacing w:before="0" w:after="0"/>
              <w:rPr>
                <w:rFonts w:cs="Arial"/>
                <w:sz w:val="21"/>
                <w:szCs w:val="21"/>
              </w:rPr>
            </w:pPr>
          </w:p>
        </w:tc>
        <w:tc>
          <w:tcPr>
            <w:tcW w:w="2597" w:type="dxa"/>
            <w:shd w:val="clear" w:color="auto" w:fill="E7F3F4"/>
          </w:tcPr>
          <w:p w14:paraId="27CCEF3F" w14:textId="77777777" w:rsidR="003D1F7F" w:rsidRPr="004142AC" w:rsidRDefault="003D1F7F" w:rsidP="004142AC">
            <w:pPr>
              <w:spacing w:before="0" w:after="0"/>
              <w:rPr>
                <w:rFonts w:cs="Arial"/>
                <w:sz w:val="21"/>
                <w:szCs w:val="21"/>
              </w:rPr>
            </w:pPr>
            <w:r w:rsidRPr="004142AC">
              <w:rPr>
                <w:rFonts w:cs="Arial"/>
                <w:sz w:val="21"/>
                <w:szCs w:val="21"/>
              </w:rPr>
              <w:t>L d</w:t>
            </w:r>
            <w:r w:rsidRPr="004142AC">
              <w:rPr>
                <w:rFonts w:cs="Arial"/>
                <w:sz w:val="21"/>
                <w:szCs w:val="21"/>
                <w:vertAlign w:val="superscript"/>
              </w:rPr>
              <w:t>-1</w:t>
            </w:r>
          </w:p>
          <w:p w14:paraId="7C03175A" w14:textId="77777777" w:rsidR="003D1F7F" w:rsidRPr="004142AC" w:rsidRDefault="003D1F7F" w:rsidP="004142AC">
            <w:pPr>
              <w:spacing w:before="0" w:after="0"/>
              <w:rPr>
                <w:rFonts w:cs="Arial"/>
                <w:sz w:val="21"/>
                <w:szCs w:val="21"/>
              </w:rPr>
            </w:pPr>
            <w:r w:rsidRPr="004142AC">
              <w:rPr>
                <w:rFonts w:cs="Arial"/>
                <w:sz w:val="21"/>
                <w:szCs w:val="21"/>
              </w:rPr>
              <w:t>L yr</w:t>
            </w:r>
            <w:r w:rsidRPr="004142AC">
              <w:rPr>
                <w:rFonts w:cs="Arial"/>
                <w:sz w:val="21"/>
                <w:szCs w:val="21"/>
                <w:vertAlign w:val="superscript"/>
              </w:rPr>
              <w:t>-1</w:t>
            </w:r>
          </w:p>
        </w:tc>
        <w:tc>
          <w:tcPr>
            <w:tcW w:w="3260" w:type="dxa"/>
            <w:shd w:val="clear" w:color="auto" w:fill="E7F3F4"/>
          </w:tcPr>
          <w:p w14:paraId="1DA3E53D" w14:textId="0E96AD87" w:rsidR="003D1F7F" w:rsidRPr="004142AC" w:rsidRDefault="00322A68" w:rsidP="009A7AB4">
            <w:pPr>
              <w:spacing w:before="0" w:after="0"/>
              <w:rPr>
                <w:rFonts w:cs="Arial"/>
                <w:sz w:val="21"/>
                <w:szCs w:val="21"/>
              </w:rPr>
            </w:pPr>
            <w:r w:rsidRPr="004142AC">
              <w:rPr>
                <w:rFonts w:cs="Arial"/>
                <w:sz w:val="21"/>
                <w:szCs w:val="21"/>
              </w:rPr>
              <w:t>DES</w:t>
            </w:r>
            <w:r w:rsidR="00C3035F" w:rsidRPr="004142AC">
              <w:rPr>
                <w:rFonts w:cs="Arial"/>
                <w:sz w:val="21"/>
                <w:szCs w:val="21"/>
              </w:rPr>
              <w:t>#</w:t>
            </w:r>
            <w:r w:rsidR="003D1F7F" w:rsidRPr="004142AC">
              <w:rPr>
                <w:rFonts w:cs="Arial"/>
                <w:sz w:val="21"/>
                <w:szCs w:val="21"/>
              </w:rPr>
              <w:t xml:space="preserve">, compiled by </w:t>
            </w:r>
            <w:hyperlink w:anchor="_ENREF_69" w:tooltip="Gruber, 2020 #12283" w:history="1">
              <w:r w:rsidR="009A7AB4" w:rsidRPr="004142AC">
                <w:rPr>
                  <w:rFonts w:cs="Arial"/>
                  <w:sz w:val="21"/>
                  <w:szCs w:val="21"/>
                </w:rPr>
                <w:fldChar w:fldCharType="begin"/>
              </w:r>
              <w:r w:rsidR="009A7AB4" w:rsidRPr="004142AC">
                <w:rPr>
                  <w:rFonts w:cs="Arial"/>
                  <w:sz w:val="21"/>
                  <w:szCs w:val="21"/>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sidRPr="004142AC">
                <w:rPr>
                  <w:rFonts w:cs="Arial"/>
                  <w:sz w:val="21"/>
                  <w:szCs w:val="21"/>
                </w:rPr>
                <w:fldChar w:fldCharType="separate"/>
              </w:r>
              <w:r w:rsidR="009A7AB4" w:rsidRPr="004142AC">
                <w:rPr>
                  <w:rFonts w:cs="Arial"/>
                  <w:noProof/>
                  <w:sz w:val="21"/>
                  <w:szCs w:val="21"/>
                </w:rPr>
                <w:t>Gruber</w:t>
              </w:r>
              <w:r w:rsidR="009A7AB4" w:rsidRPr="004142AC">
                <w:rPr>
                  <w:rFonts w:cs="Arial"/>
                  <w:i/>
                  <w:noProof/>
                  <w:sz w:val="21"/>
                  <w:szCs w:val="21"/>
                </w:rPr>
                <w:t xml:space="preserve"> et al.</w:t>
              </w:r>
              <w:r w:rsidR="009A7AB4" w:rsidRPr="004142AC">
                <w:rPr>
                  <w:rFonts w:cs="Arial"/>
                  <w:noProof/>
                  <w:sz w:val="21"/>
                  <w:szCs w:val="21"/>
                </w:rPr>
                <w:t xml:space="preserve"> 2020</w:t>
              </w:r>
              <w:r w:rsidR="009A7AB4" w:rsidRPr="004142AC">
                <w:rPr>
                  <w:rFonts w:cs="Arial"/>
                  <w:sz w:val="21"/>
                  <w:szCs w:val="21"/>
                </w:rPr>
                <w:fldChar w:fldCharType="end"/>
              </w:r>
            </w:hyperlink>
          </w:p>
        </w:tc>
      </w:tr>
      <w:tr w:rsidR="003D1F7F" w:rsidRPr="004142AC" w14:paraId="5FE54245" w14:textId="77777777" w:rsidTr="00136AC5">
        <w:trPr>
          <w:trHeight w:val="397"/>
          <w:jc w:val="center"/>
        </w:trPr>
        <w:tc>
          <w:tcPr>
            <w:tcW w:w="2035" w:type="dxa"/>
            <w:tcBorders>
              <w:bottom w:val="nil"/>
            </w:tcBorders>
            <w:shd w:val="clear" w:color="auto" w:fill="E7F3F4"/>
          </w:tcPr>
          <w:p w14:paraId="51705EDE" w14:textId="77777777" w:rsidR="003D1F7F" w:rsidRPr="004142AC" w:rsidRDefault="003D1F7F" w:rsidP="004142AC">
            <w:pPr>
              <w:spacing w:before="0" w:after="0"/>
              <w:ind w:left="176"/>
              <w:rPr>
                <w:rFonts w:cs="Arial"/>
                <w:sz w:val="21"/>
                <w:szCs w:val="21"/>
              </w:rPr>
            </w:pPr>
            <w:r w:rsidRPr="004142AC">
              <w:rPr>
                <w:rFonts w:cs="Arial"/>
                <w:sz w:val="21"/>
                <w:szCs w:val="21"/>
              </w:rPr>
              <w:t>Plume exposure</w:t>
            </w:r>
          </w:p>
        </w:tc>
        <w:tc>
          <w:tcPr>
            <w:tcW w:w="1793" w:type="dxa"/>
            <w:tcBorders>
              <w:bottom w:val="nil"/>
            </w:tcBorders>
            <w:shd w:val="clear" w:color="auto" w:fill="E7F3F4"/>
          </w:tcPr>
          <w:p w14:paraId="5EF45113" w14:textId="3CF85972" w:rsidR="003D1F7F" w:rsidRPr="004142AC" w:rsidRDefault="003D1F7F" w:rsidP="004142AC">
            <w:pPr>
              <w:spacing w:before="0" w:after="0"/>
              <w:ind w:left="176"/>
              <w:rPr>
                <w:rFonts w:cs="Arial"/>
                <w:sz w:val="21"/>
                <w:szCs w:val="21"/>
              </w:rPr>
            </w:pPr>
            <w:r w:rsidRPr="004142AC">
              <w:rPr>
                <w:rFonts w:cs="Arial"/>
                <w:sz w:val="21"/>
                <w:szCs w:val="21"/>
              </w:rPr>
              <w:t>2006</w:t>
            </w:r>
            <w:r w:rsidR="00AD633E" w:rsidRPr="004142AC">
              <w:rPr>
                <w:rFonts w:cs="Arial"/>
                <w:sz w:val="21"/>
                <w:szCs w:val="21"/>
              </w:rPr>
              <w:t>–</w:t>
            </w:r>
            <w:r w:rsidRPr="004142AC">
              <w:rPr>
                <w:rFonts w:cs="Arial"/>
                <w:sz w:val="21"/>
                <w:szCs w:val="21"/>
              </w:rPr>
              <w:t>201</w:t>
            </w:r>
            <w:r w:rsidR="00F405A2" w:rsidRPr="004142AC">
              <w:rPr>
                <w:rFonts w:cs="Arial"/>
                <w:sz w:val="21"/>
                <w:szCs w:val="21"/>
              </w:rPr>
              <w:t>9</w:t>
            </w:r>
          </w:p>
          <w:p w14:paraId="5DD72B5B" w14:textId="4A2229EC" w:rsidR="003D1F7F" w:rsidRPr="004142AC" w:rsidRDefault="003D1F7F" w:rsidP="004142AC">
            <w:pPr>
              <w:spacing w:before="0" w:after="0"/>
              <w:ind w:left="176"/>
              <w:rPr>
                <w:rFonts w:cs="Arial"/>
                <w:sz w:val="21"/>
                <w:szCs w:val="21"/>
              </w:rPr>
            </w:pPr>
            <w:r w:rsidRPr="004142AC">
              <w:rPr>
                <w:rFonts w:cs="Arial"/>
                <w:sz w:val="21"/>
                <w:szCs w:val="21"/>
              </w:rPr>
              <w:t>wet season (</w:t>
            </w:r>
            <w:r w:rsidR="00101AFE" w:rsidRPr="004142AC">
              <w:rPr>
                <w:rFonts w:cs="Arial"/>
                <w:sz w:val="21"/>
                <w:szCs w:val="21"/>
              </w:rPr>
              <w:t>De</w:t>
            </w:r>
            <w:r w:rsidR="00AD633E" w:rsidRPr="004142AC">
              <w:rPr>
                <w:rFonts w:cs="Arial"/>
                <w:sz w:val="21"/>
                <w:szCs w:val="21"/>
              </w:rPr>
              <w:t>c</w:t>
            </w:r>
            <w:r w:rsidRPr="004142AC">
              <w:rPr>
                <w:rFonts w:cs="Arial"/>
                <w:sz w:val="21"/>
                <w:szCs w:val="21"/>
              </w:rPr>
              <w:t>–</w:t>
            </w:r>
            <w:r w:rsidR="00101AFE" w:rsidRPr="004142AC">
              <w:rPr>
                <w:rFonts w:cs="Arial"/>
                <w:sz w:val="21"/>
                <w:szCs w:val="21"/>
              </w:rPr>
              <w:t>Apr</w:t>
            </w:r>
            <w:r w:rsidRPr="004142AC">
              <w:rPr>
                <w:rFonts w:cs="Arial"/>
                <w:sz w:val="21"/>
                <w:szCs w:val="21"/>
              </w:rPr>
              <w:t>)</w:t>
            </w:r>
          </w:p>
        </w:tc>
        <w:tc>
          <w:tcPr>
            <w:tcW w:w="2977" w:type="dxa"/>
            <w:tcBorders>
              <w:bottom w:val="nil"/>
            </w:tcBorders>
            <w:shd w:val="clear" w:color="auto" w:fill="E7F3F4"/>
          </w:tcPr>
          <w:p w14:paraId="22A719A7" w14:textId="77777777" w:rsidR="003D1F7F" w:rsidRPr="004142AC" w:rsidRDefault="00037AE5" w:rsidP="004142AC">
            <w:pPr>
              <w:spacing w:before="0" w:after="0"/>
              <w:rPr>
                <w:rFonts w:cs="Arial"/>
                <w:sz w:val="21"/>
                <w:szCs w:val="21"/>
              </w:rPr>
            </w:pPr>
            <w:r w:rsidRPr="004142AC">
              <w:rPr>
                <w:rFonts w:cs="Arial"/>
                <w:sz w:val="21"/>
                <w:szCs w:val="21"/>
              </w:rPr>
              <w:t>r</w:t>
            </w:r>
            <w:r w:rsidR="003D1F7F" w:rsidRPr="004142AC">
              <w:rPr>
                <w:rFonts w:cs="Arial"/>
                <w:sz w:val="21"/>
                <w:szCs w:val="21"/>
              </w:rPr>
              <w:t>emo</w:t>
            </w:r>
            <w:r w:rsidRPr="004142AC">
              <w:rPr>
                <w:rFonts w:cs="Arial"/>
                <w:sz w:val="21"/>
                <w:szCs w:val="21"/>
              </w:rPr>
              <w:t>te sensing and field validation</w:t>
            </w:r>
          </w:p>
        </w:tc>
        <w:tc>
          <w:tcPr>
            <w:tcW w:w="1559" w:type="dxa"/>
            <w:tcBorders>
              <w:bottom w:val="nil"/>
            </w:tcBorders>
            <w:shd w:val="clear" w:color="auto" w:fill="E7F3F4"/>
          </w:tcPr>
          <w:p w14:paraId="7F8FDC1A" w14:textId="77777777" w:rsidR="003D1F7F" w:rsidRPr="004142AC" w:rsidRDefault="00F6139F" w:rsidP="004142AC">
            <w:pPr>
              <w:spacing w:before="0" w:after="0"/>
              <w:rPr>
                <w:rFonts w:cs="Arial"/>
                <w:sz w:val="21"/>
                <w:szCs w:val="21"/>
              </w:rPr>
            </w:pPr>
            <w:r w:rsidRPr="004142AC">
              <w:rPr>
                <w:rFonts w:cs="Arial"/>
                <w:sz w:val="21"/>
                <w:szCs w:val="21"/>
              </w:rPr>
              <w:t>w</w:t>
            </w:r>
            <w:r w:rsidR="003D1F7F" w:rsidRPr="004142AC">
              <w:rPr>
                <w:rFonts w:cs="Arial"/>
                <w:sz w:val="21"/>
                <w:szCs w:val="21"/>
              </w:rPr>
              <w:t>eekly</w:t>
            </w:r>
          </w:p>
        </w:tc>
        <w:tc>
          <w:tcPr>
            <w:tcW w:w="2597" w:type="dxa"/>
            <w:tcBorders>
              <w:bottom w:val="nil"/>
            </w:tcBorders>
            <w:shd w:val="clear" w:color="auto" w:fill="E7F3F4"/>
          </w:tcPr>
          <w:p w14:paraId="4CFBD9BD" w14:textId="2A0367AC" w:rsidR="003D1F7F" w:rsidRPr="004142AC" w:rsidRDefault="00101AFE" w:rsidP="004142AC">
            <w:pPr>
              <w:spacing w:before="0" w:after="0"/>
              <w:rPr>
                <w:rFonts w:cs="Arial"/>
                <w:sz w:val="21"/>
                <w:szCs w:val="21"/>
              </w:rPr>
            </w:pPr>
            <w:r w:rsidRPr="004142AC">
              <w:rPr>
                <w:rFonts w:cs="Arial"/>
                <w:sz w:val="21"/>
                <w:szCs w:val="21"/>
              </w:rPr>
              <w:t>f</w:t>
            </w:r>
            <w:r w:rsidR="003D1F7F" w:rsidRPr="004142AC">
              <w:rPr>
                <w:rFonts w:cs="Arial"/>
                <w:sz w:val="21"/>
                <w:szCs w:val="21"/>
              </w:rPr>
              <w:t>requency of water type (1</w:t>
            </w:r>
            <w:r w:rsidR="00AD633E" w:rsidRPr="004142AC">
              <w:rPr>
                <w:rFonts w:cs="Arial"/>
                <w:sz w:val="21"/>
                <w:szCs w:val="21"/>
              </w:rPr>
              <w:t>–</w:t>
            </w:r>
            <w:r w:rsidR="003D1F7F" w:rsidRPr="004142AC">
              <w:rPr>
                <w:rFonts w:cs="Arial"/>
                <w:sz w:val="21"/>
                <w:szCs w:val="21"/>
              </w:rPr>
              <w:t>6)</w:t>
            </w:r>
            <w:r w:rsidR="00C3035F" w:rsidRPr="004142AC">
              <w:rPr>
                <w:rFonts w:cs="Arial"/>
                <w:sz w:val="21"/>
                <w:szCs w:val="21"/>
              </w:rPr>
              <w:t xml:space="preserve"> at the site</w:t>
            </w:r>
          </w:p>
        </w:tc>
        <w:tc>
          <w:tcPr>
            <w:tcW w:w="3260" w:type="dxa"/>
            <w:tcBorders>
              <w:bottom w:val="nil"/>
            </w:tcBorders>
            <w:shd w:val="clear" w:color="auto" w:fill="E7F3F4"/>
          </w:tcPr>
          <w:p w14:paraId="74DD1115" w14:textId="458BBA08" w:rsidR="003D1F7F" w:rsidRPr="004142AC" w:rsidRDefault="003D1F7F" w:rsidP="009A7AB4">
            <w:pPr>
              <w:spacing w:before="0" w:after="0"/>
              <w:rPr>
                <w:rFonts w:cs="Arial"/>
                <w:sz w:val="21"/>
                <w:szCs w:val="21"/>
              </w:rPr>
            </w:pPr>
            <w:r w:rsidRPr="004142AC">
              <w:rPr>
                <w:rFonts w:cs="Arial"/>
                <w:sz w:val="21"/>
                <w:szCs w:val="21"/>
              </w:rPr>
              <w:t>MMP inshore water quality program (</w:t>
            </w:r>
            <w:hyperlink w:anchor="_ENREF_69" w:tooltip="Gruber, 2020 #12283" w:history="1">
              <w:r w:rsidR="009A7AB4" w:rsidRPr="004142AC">
                <w:rPr>
                  <w:rFonts w:cs="Arial"/>
                  <w:sz w:val="21"/>
                  <w:szCs w:val="21"/>
                </w:rPr>
                <w:fldChar w:fldCharType="begin"/>
              </w:r>
              <w:r w:rsidR="009A7AB4" w:rsidRPr="004142AC">
                <w:rPr>
                  <w:rFonts w:cs="Arial"/>
                  <w:sz w:val="21"/>
                  <w:szCs w:val="21"/>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sidRPr="004142AC">
                <w:rPr>
                  <w:rFonts w:cs="Arial"/>
                  <w:sz w:val="21"/>
                  <w:szCs w:val="21"/>
                </w:rPr>
                <w:fldChar w:fldCharType="separate"/>
              </w:r>
              <w:r w:rsidR="009A7AB4" w:rsidRPr="004142AC">
                <w:rPr>
                  <w:rFonts w:cs="Arial"/>
                  <w:noProof/>
                  <w:sz w:val="21"/>
                  <w:szCs w:val="21"/>
                </w:rPr>
                <w:t>Gruber</w:t>
              </w:r>
              <w:r w:rsidR="009A7AB4" w:rsidRPr="004142AC">
                <w:rPr>
                  <w:rFonts w:cs="Arial"/>
                  <w:i/>
                  <w:noProof/>
                  <w:sz w:val="21"/>
                  <w:szCs w:val="21"/>
                </w:rPr>
                <w:t xml:space="preserve"> et al.</w:t>
              </w:r>
              <w:r w:rsidR="009A7AB4" w:rsidRPr="004142AC">
                <w:rPr>
                  <w:rFonts w:cs="Arial"/>
                  <w:noProof/>
                  <w:sz w:val="21"/>
                  <w:szCs w:val="21"/>
                </w:rPr>
                <w:t xml:space="preserve"> 2020</w:t>
              </w:r>
              <w:r w:rsidR="009A7AB4" w:rsidRPr="004142AC">
                <w:rPr>
                  <w:rFonts w:cs="Arial"/>
                  <w:sz w:val="21"/>
                  <w:szCs w:val="21"/>
                </w:rPr>
                <w:fldChar w:fldCharType="end"/>
              </w:r>
            </w:hyperlink>
            <w:r w:rsidR="009B09C9" w:rsidRPr="004142AC">
              <w:rPr>
                <w:rFonts w:cs="Arial"/>
                <w:sz w:val="21"/>
                <w:szCs w:val="21"/>
              </w:rPr>
              <w:t>)</w:t>
            </w:r>
          </w:p>
        </w:tc>
      </w:tr>
      <w:tr w:rsidR="003D1F7F" w:rsidRPr="004142AC" w14:paraId="3AB29AEC" w14:textId="77777777" w:rsidTr="00136AC5">
        <w:trPr>
          <w:trHeight w:val="397"/>
          <w:jc w:val="center"/>
        </w:trPr>
        <w:tc>
          <w:tcPr>
            <w:tcW w:w="2035" w:type="dxa"/>
            <w:tcBorders>
              <w:bottom w:val="nil"/>
            </w:tcBorders>
            <w:shd w:val="clear" w:color="auto" w:fill="E7F3F4"/>
          </w:tcPr>
          <w:p w14:paraId="792C43C7" w14:textId="77777777" w:rsidR="003D1F7F" w:rsidRPr="004142AC" w:rsidRDefault="003D1F7F" w:rsidP="004142AC">
            <w:pPr>
              <w:spacing w:before="0" w:after="0"/>
              <w:ind w:left="176"/>
              <w:rPr>
                <w:rFonts w:cs="Arial"/>
                <w:sz w:val="21"/>
                <w:szCs w:val="21"/>
              </w:rPr>
            </w:pPr>
            <w:r w:rsidRPr="004142AC">
              <w:rPr>
                <w:rFonts w:cs="Arial"/>
                <w:sz w:val="21"/>
                <w:szCs w:val="21"/>
              </w:rPr>
              <w:t>Wind</w:t>
            </w:r>
          </w:p>
        </w:tc>
        <w:tc>
          <w:tcPr>
            <w:tcW w:w="1793" w:type="dxa"/>
            <w:tcBorders>
              <w:bottom w:val="nil"/>
            </w:tcBorders>
            <w:shd w:val="clear" w:color="auto" w:fill="E7F3F4"/>
          </w:tcPr>
          <w:p w14:paraId="32312D05" w14:textId="33B70CA4" w:rsidR="003D1F7F" w:rsidRPr="004142AC" w:rsidRDefault="003D1F7F" w:rsidP="004142AC">
            <w:pPr>
              <w:spacing w:before="0" w:after="0"/>
              <w:ind w:left="176"/>
              <w:rPr>
                <w:rFonts w:cs="Arial"/>
                <w:sz w:val="21"/>
                <w:szCs w:val="21"/>
              </w:rPr>
            </w:pPr>
            <w:r w:rsidRPr="004142AC">
              <w:rPr>
                <w:rFonts w:cs="Arial"/>
                <w:sz w:val="21"/>
                <w:szCs w:val="21"/>
              </w:rPr>
              <w:t>1997–201</w:t>
            </w:r>
            <w:r w:rsidR="00F405A2" w:rsidRPr="004142AC">
              <w:rPr>
                <w:rFonts w:cs="Arial"/>
                <w:sz w:val="21"/>
                <w:szCs w:val="21"/>
              </w:rPr>
              <w:t>9</w:t>
            </w:r>
            <w:r w:rsidRPr="004142AC">
              <w:rPr>
                <w:rFonts w:cs="Arial"/>
                <w:sz w:val="21"/>
                <w:szCs w:val="21"/>
              </w:rPr>
              <w:t>*</w:t>
            </w:r>
          </w:p>
        </w:tc>
        <w:tc>
          <w:tcPr>
            <w:tcW w:w="2977" w:type="dxa"/>
            <w:tcBorders>
              <w:bottom w:val="nil"/>
            </w:tcBorders>
            <w:shd w:val="clear" w:color="auto" w:fill="E7F3F4"/>
          </w:tcPr>
          <w:p w14:paraId="2398D8E2" w14:textId="77777777" w:rsidR="003D1F7F" w:rsidRPr="004142AC" w:rsidRDefault="006C265D" w:rsidP="004142AC">
            <w:pPr>
              <w:spacing w:before="0" w:after="0"/>
              <w:rPr>
                <w:rFonts w:cs="Arial"/>
                <w:sz w:val="21"/>
                <w:szCs w:val="21"/>
              </w:rPr>
            </w:pPr>
            <w:r w:rsidRPr="004142AC">
              <w:rPr>
                <w:rFonts w:cs="Arial"/>
                <w:sz w:val="21"/>
                <w:szCs w:val="21"/>
              </w:rPr>
              <w:t xml:space="preserve">anemometer at 10 m above the surface, </w:t>
            </w:r>
            <w:r w:rsidR="00037AE5" w:rsidRPr="004142AC">
              <w:rPr>
                <w:rFonts w:cs="Arial"/>
                <w:sz w:val="21"/>
                <w:szCs w:val="21"/>
              </w:rPr>
              <w:t>averaged over 10 minutes</w:t>
            </w:r>
            <w:r w:rsidRPr="004142AC">
              <w:rPr>
                <w:rFonts w:cs="Arial"/>
                <w:sz w:val="21"/>
                <w:szCs w:val="21"/>
              </w:rPr>
              <w:t>,</w:t>
            </w:r>
            <w:r w:rsidR="00037AE5" w:rsidRPr="004142AC">
              <w:rPr>
                <w:rFonts w:cs="Arial"/>
                <w:sz w:val="21"/>
                <w:szCs w:val="21"/>
              </w:rPr>
              <w:t xml:space="preserve"> at nearest weather station</w:t>
            </w:r>
          </w:p>
        </w:tc>
        <w:tc>
          <w:tcPr>
            <w:tcW w:w="1559" w:type="dxa"/>
            <w:tcBorders>
              <w:bottom w:val="nil"/>
            </w:tcBorders>
            <w:shd w:val="clear" w:color="auto" w:fill="E7F3F4"/>
          </w:tcPr>
          <w:p w14:paraId="39C51531" w14:textId="77777777" w:rsidR="003D1F7F" w:rsidRPr="004142AC" w:rsidRDefault="003D1F7F" w:rsidP="004142AC">
            <w:pPr>
              <w:spacing w:before="0" w:after="0"/>
              <w:rPr>
                <w:rFonts w:cs="Arial"/>
                <w:sz w:val="21"/>
                <w:szCs w:val="21"/>
              </w:rPr>
            </w:pPr>
            <w:r w:rsidRPr="004142AC">
              <w:rPr>
                <w:rFonts w:cs="Arial"/>
                <w:sz w:val="21"/>
                <w:szCs w:val="21"/>
              </w:rPr>
              <w:t>3pm wind speed</w:t>
            </w:r>
          </w:p>
        </w:tc>
        <w:tc>
          <w:tcPr>
            <w:tcW w:w="2597" w:type="dxa"/>
            <w:tcBorders>
              <w:bottom w:val="nil"/>
            </w:tcBorders>
            <w:shd w:val="clear" w:color="auto" w:fill="E7F3F4"/>
          </w:tcPr>
          <w:p w14:paraId="58CAD064" w14:textId="77777777" w:rsidR="003D1F7F" w:rsidRPr="004142AC" w:rsidRDefault="003D1F7F" w:rsidP="004142AC">
            <w:pPr>
              <w:spacing w:before="0" w:after="0"/>
              <w:rPr>
                <w:rFonts w:cs="Arial"/>
                <w:sz w:val="21"/>
                <w:szCs w:val="21"/>
              </w:rPr>
            </w:pPr>
            <w:r w:rsidRPr="004142AC">
              <w:rPr>
                <w:rFonts w:cs="Arial"/>
                <w:sz w:val="21"/>
                <w:szCs w:val="21"/>
              </w:rPr>
              <w:t>days &gt;25 km hr</w:t>
            </w:r>
            <w:r w:rsidRPr="004142AC">
              <w:rPr>
                <w:rFonts w:cs="Arial"/>
                <w:sz w:val="21"/>
                <w:szCs w:val="21"/>
                <w:vertAlign w:val="superscript"/>
              </w:rPr>
              <w:t>-1</w:t>
            </w:r>
          </w:p>
        </w:tc>
        <w:tc>
          <w:tcPr>
            <w:tcW w:w="3260" w:type="dxa"/>
            <w:tcBorders>
              <w:bottom w:val="nil"/>
            </w:tcBorders>
            <w:shd w:val="clear" w:color="auto" w:fill="E7F3F4"/>
          </w:tcPr>
          <w:p w14:paraId="77A97320" w14:textId="77777777" w:rsidR="003D1F7F" w:rsidRPr="004142AC" w:rsidRDefault="003D1F7F" w:rsidP="004142AC">
            <w:pPr>
              <w:spacing w:before="0" w:after="0"/>
              <w:rPr>
                <w:rFonts w:cs="Arial"/>
                <w:sz w:val="21"/>
                <w:szCs w:val="21"/>
              </w:rPr>
            </w:pPr>
            <w:r w:rsidRPr="004142AC">
              <w:rPr>
                <w:rFonts w:cs="Arial"/>
                <w:sz w:val="21"/>
                <w:szCs w:val="21"/>
              </w:rPr>
              <w:t xml:space="preserve">Bureau of </w:t>
            </w:r>
            <w:r w:rsidR="00037AE5" w:rsidRPr="004142AC">
              <w:rPr>
                <w:rFonts w:cs="Arial"/>
                <w:sz w:val="21"/>
                <w:szCs w:val="21"/>
              </w:rPr>
              <w:t>M</w:t>
            </w:r>
            <w:r w:rsidRPr="004142AC">
              <w:rPr>
                <w:rFonts w:cs="Arial"/>
                <w:sz w:val="21"/>
                <w:szCs w:val="21"/>
              </w:rPr>
              <w:t>eteorology</w:t>
            </w:r>
          </w:p>
        </w:tc>
      </w:tr>
      <w:tr w:rsidR="003D1F7F" w:rsidRPr="004142AC" w14:paraId="5A255796" w14:textId="77777777" w:rsidTr="00136AC5">
        <w:trPr>
          <w:trHeight w:val="397"/>
          <w:jc w:val="center"/>
        </w:trPr>
        <w:tc>
          <w:tcPr>
            <w:tcW w:w="2035" w:type="dxa"/>
            <w:tcBorders>
              <w:bottom w:val="nil"/>
            </w:tcBorders>
            <w:shd w:val="clear" w:color="auto" w:fill="E7F3F4"/>
          </w:tcPr>
          <w:p w14:paraId="70EE12CB" w14:textId="77777777" w:rsidR="003D1F7F" w:rsidRPr="004142AC" w:rsidRDefault="003D1F7F" w:rsidP="004142AC">
            <w:pPr>
              <w:spacing w:before="0" w:after="0"/>
              <w:ind w:left="176"/>
              <w:rPr>
                <w:rFonts w:cs="Arial"/>
                <w:sz w:val="21"/>
                <w:szCs w:val="21"/>
              </w:rPr>
            </w:pPr>
            <w:r w:rsidRPr="004142AC">
              <w:rPr>
                <w:rFonts w:cs="Arial"/>
                <w:sz w:val="21"/>
                <w:szCs w:val="21"/>
              </w:rPr>
              <w:t>Tidal exposure</w:t>
            </w:r>
          </w:p>
        </w:tc>
        <w:tc>
          <w:tcPr>
            <w:tcW w:w="1793" w:type="dxa"/>
            <w:tcBorders>
              <w:bottom w:val="nil"/>
            </w:tcBorders>
            <w:shd w:val="clear" w:color="auto" w:fill="E7F3F4"/>
          </w:tcPr>
          <w:p w14:paraId="7853E563" w14:textId="114CCAA5" w:rsidR="003D1F7F" w:rsidRPr="004142AC" w:rsidRDefault="003D1F7F" w:rsidP="004142AC">
            <w:pPr>
              <w:spacing w:before="0" w:after="0"/>
              <w:ind w:left="176"/>
              <w:rPr>
                <w:rFonts w:cs="Arial"/>
                <w:sz w:val="21"/>
                <w:szCs w:val="21"/>
              </w:rPr>
            </w:pPr>
            <w:r w:rsidRPr="004142AC">
              <w:rPr>
                <w:rFonts w:cs="Arial"/>
                <w:sz w:val="21"/>
                <w:szCs w:val="21"/>
              </w:rPr>
              <w:t>1999–201</w:t>
            </w:r>
            <w:r w:rsidR="00F405A2" w:rsidRPr="004142AC">
              <w:rPr>
                <w:rFonts w:cs="Arial"/>
                <w:sz w:val="21"/>
                <w:szCs w:val="21"/>
              </w:rPr>
              <w:t>9</w:t>
            </w:r>
          </w:p>
        </w:tc>
        <w:tc>
          <w:tcPr>
            <w:tcW w:w="2977" w:type="dxa"/>
            <w:tcBorders>
              <w:bottom w:val="nil"/>
            </w:tcBorders>
            <w:shd w:val="clear" w:color="auto" w:fill="E7F3F4"/>
          </w:tcPr>
          <w:p w14:paraId="4593F9AE" w14:textId="77777777" w:rsidR="003D1F7F" w:rsidRPr="004142AC" w:rsidRDefault="00037AE5" w:rsidP="004142AC">
            <w:pPr>
              <w:spacing w:before="0" w:after="0"/>
              <w:rPr>
                <w:rFonts w:cs="Arial"/>
                <w:sz w:val="21"/>
                <w:szCs w:val="21"/>
              </w:rPr>
            </w:pPr>
            <w:r w:rsidRPr="004142AC">
              <w:rPr>
                <w:rFonts w:cs="Arial"/>
                <w:sz w:val="21"/>
                <w:szCs w:val="21"/>
              </w:rPr>
              <w:t>w</w:t>
            </w:r>
            <w:r w:rsidR="003D1F7F" w:rsidRPr="004142AC">
              <w:rPr>
                <w:rFonts w:cs="Arial"/>
                <w:sz w:val="21"/>
                <w:szCs w:val="21"/>
              </w:rPr>
              <w:t>ave height buoys at station nearest to monitoring site</w:t>
            </w:r>
          </w:p>
        </w:tc>
        <w:tc>
          <w:tcPr>
            <w:tcW w:w="1559" w:type="dxa"/>
            <w:tcBorders>
              <w:bottom w:val="nil"/>
            </w:tcBorders>
            <w:shd w:val="clear" w:color="auto" w:fill="E7F3F4"/>
          </w:tcPr>
          <w:p w14:paraId="58DE65A5" w14:textId="1738EE01" w:rsidR="003D1F7F" w:rsidRPr="004142AC" w:rsidRDefault="003D1F7F" w:rsidP="004142AC">
            <w:pPr>
              <w:spacing w:before="0" w:after="0"/>
              <w:rPr>
                <w:rFonts w:cs="Arial"/>
                <w:sz w:val="21"/>
                <w:szCs w:val="21"/>
              </w:rPr>
            </w:pPr>
            <w:r w:rsidRPr="004142AC">
              <w:rPr>
                <w:rFonts w:cs="Arial"/>
                <w:sz w:val="21"/>
                <w:szCs w:val="21"/>
              </w:rPr>
              <w:t>3</w:t>
            </w:r>
            <w:r w:rsidR="00AD633E" w:rsidRPr="004142AC">
              <w:rPr>
                <w:rFonts w:cs="Arial"/>
                <w:sz w:val="21"/>
                <w:szCs w:val="21"/>
              </w:rPr>
              <w:t>–</w:t>
            </w:r>
            <w:r w:rsidRPr="004142AC">
              <w:rPr>
                <w:rFonts w:cs="Arial"/>
                <w:sz w:val="21"/>
                <w:szCs w:val="21"/>
              </w:rPr>
              <w:t>10 min</w:t>
            </w:r>
          </w:p>
        </w:tc>
        <w:tc>
          <w:tcPr>
            <w:tcW w:w="2597" w:type="dxa"/>
            <w:tcBorders>
              <w:bottom w:val="nil"/>
            </w:tcBorders>
            <w:shd w:val="clear" w:color="auto" w:fill="E7F3F4"/>
          </w:tcPr>
          <w:p w14:paraId="66EE582F" w14:textId="77777777" w:rsidR="003D1F7F" w:rsidRPr="004142AC" w:rsidRDefault="007B0A21" w:rsidP="004142AC">
            <w:pPr>
              <w:spacing w:before="0" w:after="0"/>
              <w:rPr>
                <w:rFonts w:cs="Arial"/>
                <w:sz w:val="21"/>
                <w:szCs w:val="21"/>
              </w:rPr>
            </w:pPr>
            <w:r w:rsidRPr="004142AC">
              <w:rPr>
                <w:rFonts w:cs="Arial"/>
                <w:sz w:val="21"/>
                <w:szCs w:val="21"/>
              </w:rPr>
              <w:t>h</w:t>
            </w:r>
            <w:r w:rsidR="003D1F7F" w:rsidRPr="004142AC">
              <w:rPr>
                <w:rFonts w:cs="Arial"/>
                <w:sz w:val="21"/>
                <w:szCs w:val="21"/>
              </w:rPr>
              <w:t>ours exposed during daylight</w:t>
            </w:r>
          </w:p>
        </w:tc>
        <w:tc>
          <w:tcPr>
            <w:tcW w:w="3260" w:type="dxa"/>
            <w:tcBorders>
              <w:bottom w:val="nil"/>
            </w:tcBorders>
            <w:shd w:val="clear" w:color="auto" w:fill="E7F3F4"/>
          </w:tcPr>
          <w:p w14:paraId="60B9FCD5" w14:textId="77777777" w:rsidR="003D1F7F" w:rsidRPr="004142AC" w:rsidRDefault="003D1F7F" w:rsidP="004142AC">
            <w:pPr>
              <w:spacing w:before="0" w:after="0"/>
              <w:rPr>
                <w:rFonts w:cs="Arial"/>
                <w:sz w:val="21"/>
                <w:szCs w:val="21"/>
              </w:rPr>
            </w:pPr>
            <w:r w:rsidRPr="004142AC">
              <w:rPr>
                <w:rFonts w:cs="Arial"/>
                <w:sz w:val="21"/>
                <w:szCs w:val="21"/>
              </w:rPr>
              <w:t xml:space="preserve">Maritime Safety Queensland, calculated exposure by </w:t>
            </w:r>
            <w:r w:rsidR="00101AFE" w:rsidRPr="004142AC">
              <w:rPr>
                <w:rFonts w:cs="Arial"/>
                <w:sz w:val="21"/>
                <w:szCs w:val="21"/>
              </w:rPr>
              <w:t>MMP Inshore Seagrass monitoring</w:t>
            </w:r>
          </w:p>
        </w:tc>
      </w:tr>
      <w:tr w:rsidR="003D1F7F" w:rsidRPr="004142AC" w14:paraId="7D898E63" w14:textId="77777777" w:rsidTr="00136AC5">
        <w:trPr>
          <w:trHeight w:val="397"/>
          <w:jc w:val="center"/>
        </w:trPr>
        <w:tc>
          <w:tcPr>
            <w:tcW w:w="3828" w:type="dxa"/>
            <w:gridSpan w:val="2"/>
            <w:tcBorders>
              <w:top w:val="single" w:sz="4" w:space="0" w:color="auto"/>
            </w:tcBorders>
            <w:shd w:val="clear" w:color="auto" w:fill="F3F9FA"/>
          </w:tcPr>
          <w:p w14:paraId="3DFB3CD4" w14:textId="77777777" w:rsidR="003D1F7F" w:rsidRPr="004142AC" w:rsidRDefault="003D1F7F" w:rsidP="004142AC">
            <w:pPr>
              <w:spacing w:before="0" w:after="0"/>
              <w:rPr>
                <w:rFonts w:cs="Arial"/>
                <w:i/>
                <w:sz w:val="21"/>
                <w:szCs w:val="21"/>
              </w:rPr>
            </w:pPr>
            <w:r w:rsidRPr="004142AC">
              <w:rPr>
                <w:rFonts w:cs="Arial"/>
                <w:i/>
                <w:sz w:val="21"/>
                <w:szCs w:val="21"/>
              </w:rPr>
              <w:t>Environment within seagrass canopy</w:t>
            </w:r>
          </w:p>
        </w:tc>
        <w:tc>
          <w:tcPr>
            <w:tcW w:w="2977" w:type="dxa"/>
            <w:tcBorders>
              <w:top w:val="single" w:sz="4" w:space="0" w:color="auto"/>
            </w:tcBorders>
            <w:shd w:val="clear" w:color="auto" w:fill="F3F9FA"/>
          </w:tcPr>
          <w:p w14:paraId="6A596455" w14:textId="77777777" w:rsidR="003D1F7F" w:rsidRPr="004142AC" w:rsidRDefault="003D1F7F" w:rsidP="004142AC">
            <w:pPr>
              <w:spacing w:before="0" w:after="0"/>
              <w:rPr>
                <w:rFonts w:cs="Arial"/>
                <w:i/>
                <w:sz w:val="21"/>
                <w:szCs w:val="21"/>
              </w:rPr>
            </w:pPr>
          </w:p>
        </w:tc>
        <w:tc>
          <w:tcPr>
            <w:tcW w:w="1559" w:type="dxa"/>
            <w:tcBorders>
              <w:top w:val="single" w:sz="4" w:space="0" w:color="auto"/>
            </w:tcBorders>
            <w:shd w:val="clear" w:color="auto" w:fill="F3F9FA"/>
          </w:tcPr>
          <w:p w14:paraId="026B107C" w14:textId="77777777" w:rsidR="003D1F7F" w:rsidRPr="004142AC" w:rsidRDefault="003D1F7F" w:rsidP="004142AC">
            <w:pPr>
              <w:spacing w:before="0" w:after="0"/>
              <w:rPr>
                <w:rFonts w:cs="Arial"/>
                <w:i/>
                <w:sz w:val="21"/>
                <w:szCs w:val="21"/>
              </w:rPr>
            </w:pPr>
          </w:p>
        </w:tc>
        <w:tc>
          <w:tcPr>
            <w:tcW w:w="2597" w:type="dxa"/>
            <w:tcBorders>
              <w:top w:val="single" w:sz="4" w:space="0" w:color="auto"/>
            </w:tcBorders>
            <w:shd w:val="clear" w:color="auto" w:fill="F3F9FA"/>
          </w:tcPr>
          <w:p w14:paraId="60642555" w14:textId="77777777" w:rsidR="003D1F7F" w:rsidRPr="004142AC" w:rsidRDefault="003D1F7F" w:rsidP="004142AC">
            <w:pPr>
              <w:spacing w:before="0" w:after="0"/>
              <w:rPr>
                <w:rFonts w:cs="Arial"/>
                <w:i/>
                <w:sz w:val="21"/>
                <w:szCs w:val="21"/>
              </w:rPr>
            </w:pPr>
          </w:p>
        </w:tc>
        <w:tc>
          <w:tcPr>
            <w:tcW w:w="3260" w:type="dxa"/>
            <w:tcBorders>
              <w:top w:val="single" w:sz="4" w:space="0" w:color="auto"/>
            </w:tcBorders>
            <w:shd w:val="clear" w:color="auto" w:fill="F3F9FA"/>
          </w:tcPr>
          <w:p w14:paraId="7CF9283C" w14:textId="77777777" w:rsidR="003D1F7F" w:rsidRPr="004142AC" w:rsidRDefault="003D1F7F" w:rsidP="004142AC">
            <w:pPr>
              <w:spacing w:before="0" w:after="0"/>
              <w:rPr>
                <w:rFonts w:cs="Arial"/>
                <w:i/>
                <w:sz w:val="21"/>
                <w:szCs w:val="21"/>
              </w:rPr>
            </w:pPr>
          </w:p>
        </w:tc>
      </w:tr>
      <w:tr w:rsidR="003D1F7F" w:rsidRPr="004142AC" w14:paraId="6F610102" w14:textId="77777777" w:rsidTr="00136AC5">
        <w:trPr>
          <w:trHeight w:val="397"/>
          <w:jc w:val="center"/>
        </w:trPr>
        <w:tc>
          <w:tcPr>
            <w:tcW w:w="2035" w:type="dxa"/>
            <w:shd w:val="clear" w:color="auto" w:fill="F3F9FA"/>
          </w:tcPr>
          <w:p w14:paraId="21287144" w14:textId="77777777" w:rsidR="003D1F7F" w:rsidRPr="004142AC" w:rsidRDefault="00101AFE" w:rsidP="004142AC">
            <w:pPr>
              <w:spacing w:before="0" w:after="0"/>
              <w:ind w:left="176"/>
              <w:rPr>
                <w:rFonts w:cs="Arial"/>
                <w:sz w:val="21"/>
                <w:szCs w:val="21"/>
              </w:rPr>
            </w:pPr>
            <w:r w:rsidRPr="004142AC">
              <w:rPr>
                <w:rFonts w:cs="Arial"/>
                <w:sz w:val="21"/>
                <w:szCs w:val="21"/>
              </w:rPr>
              <w:t xml:space="preserve">Water </w:t>
            </w:r>
            <w:r w:rsidR="003D1F7F" w:rsidRPr="004142AC">
              <w:rPr>
                <w:rFonts w:cs="Arial"/>
                <w:sz w:val="21"/>
                <w:szCs w:val="21"/>
              </w:rPr>
              <w:t>temperature</w:t>
            </w:r>
          </w:p>
        </w:tc>
        <w:tc>
          <w:tcPr>
            <w:tcW w:w="1793" w:type="dxa"/>
            <w:shd w:val="clear" w:color="auto" w:fill="F3F9FA"/>
          </w:tcPr>
          <w:p w14:paraId="278DF693" w14:textId="62790CB5" w:rsidR="003D1F7F" w:rsidRPr="004142AC" w:rsidRDefault="003D1F7F" w:rsidP="004142AC">
            <w:pPr>
              <w:spacing w:before="0" w:after="0"/>
              <w:ind w:left="176"/>
              <w:rPr>
                <w:rFonts w:cs="Arial"/>
                <w:sz w:val="21"/>
                <w:szCs w:val="21"/>
              </w:rPr>
            </w:pPr>
            <w:r w:rsidRPr="004142AC">
              <w:rPr>
                <w:rFonts w:cs="Arial"/>
                <w:sz w:val="21"/>
                <w:szCs w:val="21"/>
              </w:rPr>
              <w:t>2002</w:t>
            </w:r>
            <w:r w:rsidR="00AD633E" w:rsidRPr="004142AC">
              <w:rPr>
                <w:rFonts w:cs="Arial"/>
                <w:sz w:val="21"/>
                <w:szCs w:val="21"/>
              </w:rPr>
              <w:t>–</w:t>
            </w:r>
            <w:r w:rsidRPr="004142AC">
              <w:rPr>
                <w:rFonts w:cs="Arial"/>
                <w:sz w:val="21"/>
                <w:szCs w:val="21"/>
              </w:rPr>
              <w:t>201</w:t>
            </w:r>
            <w:r w:rsidR="00F405A2" w:rsidRPr="004142AC">
              <w:rPr>
                <w:rFonts w:cs="Arial"/>
                <w:sz w:val="21"/>
                <w:szCs w:val="21"/>
              </w:rPr>
              <w:t>9</w:t>
            </w:r>
          </w:p>
        </w:tc>
        <w:tc>
          <w:tcPr>
            <w:tcW w:w="2977" w:type="dxa"/>
            <w:shd w:val="clear" w:color="auto" w:fill="F3F9FA"/>
          </w:tcPr>
          <w:p w14:paraId="0C393A13" w14:textId="77777777" w:rsidR="003D1F7F" w:rsidRPr="004142AC" w:rsidRDefault="003D1F7F" w:rsidP="004142AC">
            <w:pPr>
              <w:spacing w:before="0" w:after="0"/>
              <w:rPr>
                <w:rFonts w:cs="Arial"/>
                <w:sz w:val="21"/>
                <w:szCs w:val="21"/>
              </w:rPr>
            </w:pPr>
            <w:r w:rsidRPr="004142AC">
              <w:rPr>
                <w:rFonts w:cs="Arial"/>
                <w:sz w:val="21"/>
                <w:szCs w:val="21"/>
              </w:rPr>
              <w:t>iBTag</w:t>
            </w:r>
          </w:p>
        </w:tc>
        <w:tc>
          <w:tcPr>
            <w:tcW w:w="1559" w:type="dxa"/>
            <w:shd w:val="clear" w:color="auto" w:fill="F3F9FA"/>
          </w:tcPr>
          <w:p w14:paraId="0A75A81F" w14:textId="14F16837" w:rsidR="003D1F7F" w:rsidRPr="004142AC" w:rsidRDefault="003D1F7F" w:rsidP="004142AC">
            <w:pPr>
              <w:spacing w:before="0" w:after="0"/>
              <w:rPr>
                <w:rFonts w:cs="Arial"/>
                <w:sz w:val="21"/>
                <w:szCs w:val="21"/>
              </w:rPr>
            </w:pPr>
            <w:r w:rsidRPr="004142AC">
              <w:rPr>
                <w:rFonts w:cs="Arial"/>
                <w:sz w:val="21"/>
                <w:szCs w:val="21"/>
              </w:rPr>
              <w:t>30–90 min</w:t>
            </w:r>
          </w:p>
        </w:tc>
        <w:tc>
          <w:tcPr>
            <w:tcW w:w="2597" w:type="dxa"/>
            <w:shd w:val="clear" w:color="auto" w:fill="F3F9FA"/>
          </w:tcPr>
          <w:p w14:paraId="5EBF7019" w14:textId="48C7932C" w:rsidR="003D1F7F" w:rsidRPr="004142AC" w:rsidRDefault="00136AC5" w:rsidP="004142AC">
            <w:pPr>
              <w:spacing w:before="0" w:after="0"/>
              <w:rPr>
                <w:rFonts w:cs="Arial"/>
                <w:sz w:val="21"/>
                <w:szCs w:val="21"/>
              </w:rPr>
            </w:pPr>
            <w:r w:rsidRPr="004142AC">
              <w:rPr>
                <w:rFonts w:cs="Arial"/>
                <w:sz w:val="21"/>
                <w:szCs w:val="21"/>
              </w:rPr>
              <w:t>°</w:t>
            </w:r>
            <w:r w:rsidR="003D1F7F" w:rsidRPr="004142AC">
              <w:rPr>
                <w:rFonts w:cs="Arial"/>
                <w:sz w:val="21"/>
                <w:szCs w:val="21"/>
              </w:rPr>
              <w:t xml:space="preserve">C, </w:t>
            </w:r>
            <w:r w:rsidR="00322A68" w:rsidRPr="004142AC">
              <w:rPr>
                <w:rFonts w:cs="Arial"/>
                <w:sz w:val="21"/>
                <w:szCs w:val="21"/>
              </w:rPr>
              <w:t xml:space="preserve">temperature </w:t>
            </w:r>
            <w:r w:rsidR="003D1F7F" w:rsidRPr="004142AC">
              <w:rPr>
                <w:rFonts w:cs="Arial"/>
                <w:sz w:val="21"/>
                <w:szCs w:val="21"/>
              </w:rPr>
              <w:t>anomalies,</w:t>
            </w:r>
          </w:p>
          <w:p w14:paraId="713C49D1" w14:textId="77777777" w:rsidR="003D1F7F" w:rsidRPr="004142AC" w:rsidRDefault="006C265D" w:rsidP="004142AC">
            <w:pPr>
              <w:spacing w:before="0" w:after="0"/>
              <w:rPr>
                <w:rFonts w:cs="Arial"/>
                <w:sz w:val="21"/>
                <w:szCs w:val="21"/>
              </w:rPr>
            </w:pPr>
            <w:r w:rsidRPr="004142AC">
              <w:rPr>
                <w:rFonts w:cs="Arial"/>
                <w:sz w:val="21"/>
                <w:szCs w:val="21"/>
              </w:rPr>
              <w:t>e</w:t>
            </w:r>
            <w:r w:rsidR="003D1F7F" w:rsidRPr="004142AC">
              <w:rPr>
                <w:rFonts w:cs="Arial"/>
                <w:sz w:val="21"/>
                <w:szCs w:val="21"/>
              </w:rPr>
              <w:t>xceedance of thresholds</w:t>
            </w:r>
          </w:p>
        </w:tc>
        <w:tc>
          <w:tcPr>
            <w:tcW w:w="3260" w:type="dxa"/>
            <w:shd w:val="clear" w:color="auto" w:fill="F3F9FA"/>
          </w:tcPr>
          <w:p w14:paraId="30E8D5DB" w14:textId="77777777" w:rsidR="003D1F7F" w:rsidRPr="004142AC" w:rsidRDefault="00101AFE" w:rsidP="004142AC">
            <w:pPr>
              <w:spacing w:before="0" w:after="0"/>
              <w:rPr>
                <w:rFonts w:cs="Arial"/>
                <w:sz w:val="21"/>
                <w:szCs w:val="21"/>
              </w:rPr>
            </w:pPr>
            <w:r w:rsidRPr="004142AC">
              <w:rPr>
                <w:rFonts w:cs="Arial"/>
                <w:sz w:val="21"/>
                <w:szCs w:val="21"/>
              </w:rPr>
              <w:t xml:space="preserve">MMP </w:t>
            </w:r>
            <w:r w:rsidR="003D1F7F" w:rsidRPr="004142AC">
              <w:rPr>
                <w:rFonts w:cs="Arial"/>
                <w:sz w:val="21"/>
                <w:szCs w:val="21"/>
              </w:rPr>
              <w:t xml:space="preserve">Inshore </w:t>
            </w:r>
            <w:r w:rsidRPr="004142AC">
              <w:rPr>
                <w:rFonts w:cs="Arial"/>
                <w:sz w:val="21"/>
                <w:szCs w:val="21"/>
              </w:rPr>
              <w:t>S</w:t>
            </w:r>
            <w:r w:rsidR="003D1F7F" w:rsidRPr="004142AC">
              <w:rPr>
                <w:rFonts w:cs="Arial"/>
                <w:sz w:val="21"/>
                <w:szCs w:val="21"/>
              </w:rPr>
              <w:t>eagrass monitoring</w:t>
            </w:r>
          </w:p>
        </w:tc>
      </w:tr>
      <w:tr w:rsidR="003D1F7F" w:rsidRPr="004142AC" w14:paraId="4D66F285" w14:textId="77777777" w:rsidTr="00136AC5">
        <w:trPr>
          <w:trHeight w:val="397"/>
          <w:jc w:val="center"/>
        </w:trPr>
        <w:tc>
          <w:tcPr>
            <w:tcW w:w="2035" w:type="dxa"/>
            <w:shd w:val="clear" w:color="auto" w:fill="F3F9FA"/>
          </w:tcPr>
          <w:p w14:paraId="77708A62" w14:textId="77777777" w:rsidR="003D1F7F" w:rsidRPr="004142AC" w:rsidRDefault="00101AFE" w:rsidP="004142AC">
            <w:pPr>
              <w:spacing w:before="0" w:after="0"/>
              <w:ind w:left="176"/>
              <w:rPr>
                <w:rFonts w:cs="Arial"/>
                <w:sz w:val="21"/>
                <w:szCs w:val="21"/>
              </w:rPr>
            </w:pPr>
            <w:r w:rsidRPr="004142AC">
              <w:rPr>
                <w:rFonts w:cs="Arial"/>
                <w:sz w:val="21"/>
                <w:szCs w:val="21"/>
              </w:rPr>
              <w:t>L</w:t>
            </w:r>
            <w:r w:rsidR="003D1F7F" w:rsidRPr="004142AC">
              <w:rPr>
                <w:rFonts w:cs="Arial"/>
                <w:sz w:val="21"/>
                <w:szCs w:val="21"/>
              </w:rPr>
              <w:t>ight</w:t>
            </w:r>
          </w:p>
        </w:tc>
        <w:tc>
          <w:tcPr>
            <w:tcW w:w="1793" w:type="dxa"/>
            <w:shd w:val="clear" w:color="auto" w:fill="F3F9FA"/>
          </w:tcPr>
          <w:p w14:paraId="3379B7BB" w14:textId="20F3E750" w:rsidR="003D1F7F" w:rsidRPr="004142AC" w:rsidRDefault="003D1F7F" w:rsidP="004142AC">
            <w:pPr>
              <w:spacing w:before="0" w:after="0"/>
              <w:ind w:left="176"/>
              <w:rPr>
                <w:rFonts w:cs="Arial"/>
                <w:sz w:val="21"/>
                <w:szCs w:val="21"/>
              </w:rPr>
            </w:pPr>
            <w:r w:rsidRPr="004142AC">
              <w:rPr>
                <w:rFonts w:cs="Arial"/>
                <w:sz w:val="21"/>
                <w:szCs w:val="21"/>
              </w:rPr>
              <w:t>2008</w:t>
            </w:r>
            <w:r w:rsidR="00AD633E" w:rsidRPr="004142AC">
              <w:rPr>
                <w:rFonts w:cs="Arial"/>
                <w:sz w:val="21"/>
                <w:szCs w:val="21"/>
              </w:rPr>
              <w:t>–</w:t>
            </w:r>
            <w:r w:rsidRPr="004142AC">
              <w:rPr>
                <w:rFonts w:cs="Arial"/>
                <w:sz w:val="21"/>
                <w:szCs w:val="21"/>
              </w:rPr>
              <w:t>201</w:t>
            </w:r>
            <w:r w:rsidR="00F405A2" w:rsidRPr="004142AC">
              <w:rPr>
                <w:rFonts w:cs="Arial"/>
                <w:sz w:val="21"/>
                <w:szCs w:val="21"/>
              </w:rPr>
              <w:t>9</w:t>
            </w:r>
          </w:p>
        </w:tc>
        <w:tc>
          <w:tcPr>
            <w:tcW w:w="2977" w:type="dxa"/>
            <w:shd w:val="clear" w:color="auto" w:fill="F3F9FA"/>
          </w:tcPr>
          <w:p w14:paraId="5F8A4A96" w14:textId="77777777" w:rsidR="003D1F7F" w:rsidRPr="004142AC" w:rsidRDefault="003D1F7F" w:rsidP="004142AC">
            <w:pPr>
              <w:spacing w:before="0" w:after="0"/>
              <w:rPr>
                <w:rFonts w:cs="Arial"/>
                <w:sz w:val="21"/>
                <w:szCs w:val="21"/>
              </w:rPr>
            </w:pPr>
            <w:r w:rsidRPr="004142AC">
              <w:rPr>
                <w:rFonts w:cs="Arial"/>
                <w:sz w:val="21"/>
                <w:szCs w:val="21"/>
              </w:rPr>
              <w:t>Odyssey 2Pi PAR light loggers with wiper unit</w:t>
            </w:r>
          </w:p>
        </w:tc>
        <w:tc>
          <w:tcPr>
            <w:tcW w:w="1559" w:type="dxa"/>
            <w:shd w:val="clear" w:color="auto" w:fill="F3F9FA"/>
          </w:tcPr>
          <w:p w14:paraId="575C4B89" w14:textId="77777777" w:rsidR="003D1F7F" w:rsidRPr="004142AC" w:rsidRDefault="003D1F7F" w:rsidP="004142AC">
            <w:pPr>
              <w:spacing w:before="0" w:after="0"/>
              <w:rPr>
                <w:rFonts w:cs="Arial"/>
                <w:sz w:val="21"/>
                <w:szCs w:val="21"/>
              </w:rPr>
            </w:pPr>
            <w:r w:rsidRPr="004142AC">
              <w:rPr>
                <w:rFonts w:cs="Arial"/>
                <w:sz w:val="21"/>
                <w:szCs w:val="21"/>
              </w:rPr>
              <w:t>15 min</w:t>
            </w:r>
          </w:p>
        </w:tc>
        <w:tc>
          <w:tcPr>
            <w:tcW w:w="2597" w:type="dxa"/>
            <w:shd w:val="clear" w:color="auto" w:fill="F3F9FA"/>
          </w:tcPr>
          <w:p w14:paraId="0ACAA7F5" w14:textId="03E72C84" w:rsidR="003D1F7F" w:rsidRPr="004142AC" w:rsidRDefault="00322A68" w:rsidP="004142AC">
            <w:pPr>
              <w:spacing w:before="0" w:after="0"/>
              <w:rPr>
                <w:rFonts w:cs="Arial"/>
                <w:sz w:val="21"/>
                <w:szCs w:val="21"/>
              </w:rPr>
            </w:pPr>
            <w:r w:rsidRPr="004142AC">
              <w:rPr>
                <w:rFonts w:cs="Arial"/>
                <w:sz w:val="21"/>
                <w:szCs w:val="21"/>
              </w:rPr>
              <w:t xml:space="preserve">daily </w:t>
            </w:r>
            <w:r w:rsidR="003D1F7F" w:rsidRPr="004142AC">
              <w:rPr>
                <w:rFonts w:cs="Arial"/>
                <w:sz w:val="21"/>
                <w:szCs w:val="21"/>
              </w:rPr>
              <w:t>light (Id) mol m</w:t>
            </w:r>
            <w:r w:rsidR="003D1F7F" w:rsidRPr="004142AC">
              <w:rPr>
                <w:rFonts w:cs="Arial"/>
                <w:sz w:val="21"/>
                <w:szCs w:val="21"/>
                <w:vertAlign w:val="superscript"/>
              </w:rPr>
              <w:t>-2</w:t>
            </w:r>
            <w:r w:rsidR="003D1F7F" w:rsidRPr="004142AC">
              <w:rPr>
                <w:rFonts w:cs="Arial"/>
                <w:sz w:val="21"/>
                <w:szCs w:val="21"/>
              </w:rPr>
              <w:t xml:space="preserve"> d</w:t>
            </w:r>
            <w:r w:rsidR="003D1F7F" w:rsidRPr="004142AC">
              <w:rPr>
                <w:rFonts w:cs="Arial"/>
                <w:sz w:val="21"/>
                <w:szCs w:val="21"/>
                <w:vertAlign w:val="superscript"/>
              </w:rPr>
              <w:t>-1</w:t>
            </w:r>
          </w:p>
          <w:p w14:paraId="1B9A05AC" w14:textId="6DB92552" w:rsidR="003D1F7F" w:rsidRPr="004142AC" w:rsidRDefault="00322A68" w:rsidP="00A751EF">
            <w:pPr>
              <w:spacing w:before="0" w:after="0"/>
              <w:rPr>
                <w:rFonts w:cs="Arial"/>
                <w:sz w:val="21"/>
                <w:szCs w:val="21"/>
              </w:rPr>
            </w:pPr>
            <w:r w:rsidRPr="004142AC">
              <w:rPr>
                <w:rFonts w:cs="Arial"/>
                <w:sz w:val="21"/>
                <w:szCs w:val="21"/>
              </w:rPr>
              <w:t xml:space="preserve">frequency </w:t>
            </w:r>
            <w:r w:rsidR="003D1F7F" w:rsidRPr="004142AC">
              <w:rPr>
                <w:rFonts w:cs="Arial"/>
                <w:sz w:val="21"/>
                <w:szCs w:val="21"/>
              </w:rPr>
              <w:t>of threshold exceedance (</w:t>
            </w:r>
            <w:r w:rsidR="00A751EF">
              <w:rPr>
                <w:rFonts w:cs="Arial"/>
                <w:sz w:val="21"/>
                <w:szCs w:val="21"/>
              </w:rPr>
              <w:t>%</w:t>
            </w:r>
            <w:r w:rsidR="007F7222">
              <w:rPr>
                <w:rFonts w:cs="Arial"/>
                <w:sz w:val="21"/>
                <w:szCs w:val="21"/>
              </w:rPr>
              <w:t xml:space="preserve"> of</w:t>
            </w:r>
            <w:r w:rsidR="003D1F7F" w:rsidRPr="004142AC">
              <w:rPr>
                <w:rFonts w:cs="Arial"/>
                <w:sz w:val="21"/>
                <w:szCs w:val="21"/>
              </w:rPr>
              <w:t xml:space="preserve"> days)</w:t>
            </w:r>
          </w:p>
        </w:tc>
        <w:tc>
          <w:tcPr>
            <w:tcW w:w="3260" w:type="dxa"/>
            <w:shd w:val="clear" w:color="auto" w:fill="F3F9FA"/>
          </w:tcPr>
          <w:p w14:paraId="7ED85CA4" w14:textId="77777777" w:rsidR="003D1F7F" w:rsidRPr="004142AC" w:rsidRDefault="00101AFE" w:rsidP="004142AC">
            <w:pPr>
              <w:spacing w:before="0" w:after="0"/>
              <w:rPr>
                <w:rFonts w:cs="Arial"/>
                <w:sz w:val="21"/>
                <w:szCs w:val="21"/>
              </w:rPr>
            </w:pPr>
            <w:r w:rsidRPr="004142AC">
              <w:rPr>
                <w:rFonts w:cs="Arial"/>
                <w:sz w:val="21"/>
                <w:szCs w:val="21"/>
              </w:rPr>
              <w:t>MMP Inshore Seagrass monitoring</w:t>
            </w:r>
          </w:p>
        </w:tc>
      </w:tr>
      <w:tr w:rsidR="003D1F7F" w:rsidRPr="004142AC" w14:paraId="32E858CB" w14:textId="77777777" w:rsidTr="00136AC5">
        <w:trPr>
          <w:trHeight w:val="397"/>
          <w:jc w:val="center"/>
        </w:trPr>
        <w:tc>
          <w:tcPr>
            <w:tcW w:w="2035" w:type="dxa"/>
            <w:shd w:val="clear" w:color="auto" w:fill="F3F9FA"/>
          </w:tcPr>
          <w:p w14:paraId="0172A45F" w14:textId="77777777" w:rsidR="003D1F7F" w:rsidRPr="004142AC" w:rsidRDefault="003D1F7F" w:rsidP="004142AC">
            <w:pPr>
              <w:spacing w:before="0" w:after="0"/>
              <w:ind w:left="176"/>
              <w:rPr>
                <w:rFonts w:cs="Arial"/>
                <w:sz w:val="21"/>
                <w:szCs w:val="21"/>
              </w:rPr>
            </w:pPr>
            <w:r w:rsidRPr="004142AC">
              <w:rPr>
                <w:rFonts w:cs="Arial"/>
                <w:sz w:val="21"/>
                <w:szCs w:val="21"/>
              </w:rPr>
              <w:t xml:space="preserve">Sediment </w:t>
            </w:r>
            <w:r w:rsidR="00101AFE" w:rsidRPr="004142AC">
              <w:rPr>
                <w:rFonts w:cs="Arial"/>
                <w:sz w:val="21"/>
                <w:szCs w:val="21"/>
              </w:rPr>
              <w:t>grain size</w:t>
            </w:r>
          </w:p>
        </w:tc>
        <w:tc>
          <w:tcPr>
            <w:tcW w:w="1793" w:type="dxa"/>
            <w:shd w:val="clear" w:color="auto" w:fill="F3F9FA"/>
          </w:tcPr>
          <w:p w14:paraId="26189200" w14:textId="4C4068BB" w:rsidR="003D1F7F" w:rsidRPr="004142AC" w:rsidRDefault="00101AFE" w:rsidP="004142AC">
            <w:pPr>
              <w:spacing w:before="0" w:after="0"/>
              <w:ind w:left="176"/>
              <w:rPr>
                <w:rFonts w:cs="Arial"/>
                <w:sz w:val="21"/>
                <w:szCs w:val="21"/>
              </w:rPr>
            </w:pPr>
            <w:r w:rsidRPr="004142AC">
              <w:rPr>
                <w:rFonts w:cs="Arial"/>
                <w:sz w:val="21"/>
                <w:szCs w:val="21"/>
              </w:rPr>
              <w:t>1999</w:t>
            </w:r>
            <w:r w:rsidR="00AD633E" w:rsidRPr="004142AC">
              <w:rPr>
                <w:rFonts w:cs="Arial"/>
                <w:sz w:val="21"/>
                <w:szCs w:val="21"/>
              </w:rPr>
              <w:t>–</w:t>
            </w:r>
            <w:r w:rsidR="003D1F7F" w:rsidRPr="004142AC">
              <w:rPr>
                <w:rFonts w:cs="Arial"/>
                <w:sz w:val="21"/>
                <w:szCs w:val="21"/>
              </w:rPr>
              <w:t>201</w:t>
            </w:r>
            <w:r w:rsidR="00F405A2" w:rsidRPr="004142AC">
              <w:rPr>
                <w:rFonts w:cs="Arial"/>
                <w:sz w:val="21"/>
                <w:szCs w:val="21"/>
              </w:rPr>
              <w:t>9</w:t>
            </w:r>
          </w:p>
        </w:tc>
        <w:tc>
          <w:tcPr>
            <w:tcW w:w="2977" w:type="dxa"/>
            <w:shd w:val="clear" w:color="auto" w:fill="F3F9FA"/>
          </w:tcPr>
          <w:p w14:paraId="17A5DA67" w14:textId="56FBB636" w:rsidR="003D1F7F" w:rsidRPr="004142AC" w:rsidRDefault="00322A68" w:rsidP="004142AC">
            <w:pPr>
              <w:spacing w:before="0" w:after="0"/>
              <w:rPr>
                <w:rFonts w:cs="Arial"/>
                <w:sz w:val="21"/>
                <w:szCs w:val="21"/>
              </w:rPr>
            </w:pPr>
            <w:r w:rsidRPr="004142AC">
              <w:rPr>
                <w:rFonts w:cs="Arial"/>
                <w:sz w:val="21"/>
                <w:szCs w:val="21"/>
              </w:rPr>
              <w:t xml:space="preserve">visual </w:t>
            </w:r>
            <w:r w:rsidR="003D1F7F" w:rsidRPr="004142AC">
              <w:rPr>
                <w:rFonts w:cs="Arial"/>
                <w:sz w:val="21"/>
                <w:szCs w:val="21"/>
              </w:rPr>
              <w:t>/ tactile description of sediment grain size composition</w:t>
            </w:r>
          </w:p>
        </w:tc>
        <w:tc>
          <w:tcPr>
            <w:tcW w:w="1559" w:type="dxa"/>
            <w:shd w:val="clear" w:color="auto" w:fill="F3F9FA"/>
          </w:tcPr>
          <w:p w14:paraId="50B85C93" w14:textId="4F6E1F36" w:rsidR="003D1F7F" w:rsidRPr="004142AC" w:rsidRDefault="003D1F7F" w:rsidP="004142AC">
            <w:pPr>
              <w:spacing w:before="0" w:after="0"/>
              <w:rPr>
                <w:rFonts w:cs="Arial"/>
                <w:sz w:val="21"/>
                <w:szCs w:val="21"/>
              </w:rPr>
            </w:pPr>
            <w:r w:rsidRPr="004142AC">
              <w:rPr>
                <w:rFonts w:cs="Arial"/>
                <w:sz w:val="21"/>
                <w:szCs w:val="21"/>
              </w:rPr>
              <w:t>3 mo–1yr</w:t>
            </w:r>
          </w:p>
        </w:tc>
        <w:tc>
          <w:tcPr>
            <w:tcW w:w="2597" w:type="dxa"/>
            <w:shd w:val="clear" w:color="auto" w:fill="F3F9FA"/>
          </w:tcPr>
          <w:p w14:paraId="4BC4499B" w14:textId="77777777" w:rsidR="003D1F7F" w:rsidRPr="004142AC" w:rsidRDefault="00101AFE" w:rsidP="004142AC">
            <w:pPr>
              <w:spacing w:before="0" w:after="0"/>
              <w:rPr>
                <w:rFonts w:cs="Arial"/>
                <w:sz w:val="21"/>
                <w:szCs w:val="21"/>
              </w:rPr>
            </w:pPr>
            <w:r w:rsidRPr="004142AC">
              <w:rPr>
                <w:rFonts w:cs="Arial"/>
                <w:sz w:val="21"/>
                <w:szCs w:val="21"/>
              </w:rPr>
              <w:t>proportion mud</w:t>
            </w:r>
          </w:p>
        </w:tc>
        <w:tc>
          <w:tcPr>
            <w:tcW w:w="3260" w:type="dxa"/>
            <w:shd w:val="clear" w:color="auto" w:fill="F3F9FA"/>
          </w:tcPr>
          <w:p w14:paraId="4448AB81" w14:textId="77777777" w:rsidR="003D1F7F" w:rsidRPr="004142AC" w:rsidRDefault="00101AFE" w:rsidP="004142AC">
            <w:pPr>
              <w:spacing w:before="0" w:after="0"/>
              <w:rPr>
                <w:rFonts w:cs="Arial"/>
                <w:sz w:val="21"/>
                <w:szCs w:val="21"/>
              </w:rPr>
            </w:pPr>
            <w:r w:rsidRPr="004142AC">
              <w:rPr>
                <w:rFonts w:cs="Arial"/>
                <w:sz w:val="21"/>
                <w:szCs w:val="21"/>
              </w:rPr>
              <w:t>MMP Inshore Seagrass monitoring</w:t>
            </w:r>
          </w:p>
        </w:tc>
      </w:tr>
    </w:tbl>
    <w:p w14:paraId="0D98AB06" w14:textId="29802C22" w:rsidR="00101AFE" w:rsidRPr="00CB093C" w:rsidRDefault="00C3035F" w:rsidP="003D1F7F">
      <w:pPr>
        <w:rPr>
          <w:rFonts w:cs="Arial"/>
          <w:szCs w:val="22"/>
        </w:rPr>
      </w:pPr>
      <w:r w:rsidRPr="00EB6CC6">
        <w:rPr>
          <w:rFonts w:cs="Arial"/>
          <w:sz w:val="18"/>
          <w:szCs w:val="18"/>
          <w:vertAlign w:val="superscript"/>
        </w:rPr>
        <w:t xml:space="preserve"># </w:t>
      </w:r>
      <w:r w:rsidRPr="00EB6CC6">
        <w:rPr>
          <w:rFonts w:cs="Arial"/>
          <w:sz w:val="18"/>
          <w:szCs w:val="18"/>
        </w:rPr>
        <w:t xml:space="preserve">Department of </w:t>
      </w:r>
      <w:r w:rsidR="00322A68" w:rsidRPr="00EB6CC6">
        <w:rPr>
          <w:rFonts w:cs="Arial"/>
          <w:sz w:val="18"/>
          <w:szCs w:val="18"/>
        </w:rPr>
        <w:t xml:space="preserve">Environment and </w:t>
      </w:r>
      <w:r w:rsidRPr="00EB6CC6">
        <w:rPr>
          <w:rFonts w:cs="Arial"/>
          <w:sz w:val="18"/>
          <w:szCs w:val="18"/>
        </w:rPr>
        <w:t>Science</w:t>
      </w:r>
    </w:p>
    <w:p w14:paraId="34E5BE20" w14:textId="77777777" w:rsidR="003D1F7F" w:rsidRPr="00CB093C" w:rsidRDefault="003D1F7F" w:rsidP="003D1F7F">
      <w:pPr>
        <w:rPr>
          <w:rFonts w:cs="Arial"/>
          <w:szCs w:val="22"/>
        </w:rPr>
        <w:sectPr w:rsidR="003D1F7F" w:rsidRPr="00CB093C" w:rsidSect="0085398A">
          <w:headerReference w:type="even" r:id="rId42"/>
          <w:headerReference w:type="default" r:id="rId43"/>
          <w:footerReference w:type="even" r:id="rId44"/>
          <w:footerReference w:type="default" r:id="rId45"/>
          <w:headerReference w:type="first" r:id="rId46"/>
          <w:footerReference w:type="first" r:id="rId47"/>
          <w:pgSz w:w="16840" w:h="11900" w:orient="landscape" w:code="9"/>
          <w:pgMar w:top="1418" w:right="1418" w:bottom="1418" w:left="1418" w:header="709" w:footer="709" w:gutter="0"/>
          <w:cols w:space="708"/>
          <w:docGrid w:linePitch="360"/>
        </w:sectPr>
      </w:pPr>
    </w:p>
    <w:p w14:paraId="5AC99A10" w14:textId="1BCF6B74" w:rsidR="003B152A" w:rsidRPr="00DA5B52" w:rsidRDefault="003B152A" w:rsidP="000150D8">
      <w:pPr>
        <w:pStyle w:val="Heading2"/>
      </w:pPr>
      <w:bookmarkStart w:id="56" w:name="_Toc37775036"/>
      <w:bookmarkStart w:id="57" w:name="_Toc43987010"/>
      <w:r w:rsidRPr="00DA5B52">
        <w:lastRenderedPageBreak/>
        <w:t>Inshore seagrass and habitat condition</w:t>
      </w:r>
      <w:bookmarkEnd w:id="56"/>
      <w:bookmarkEnd w:id="57"/>
    </w:p>
    <w:p w14:paraId="6CBBAD43" w14:textId="18B2A818" w:rsidR="003D1F7F" w:rsidRPr="00DA5B52" w:rsidRDefault="003D1F7F" w:rsidP="000150D8">
      <w:pPr>
        <w:pStyle w:val="Heading3"/>
      </w:pPr>
      <w:bookmarkStart w:id="58" w:name="_Toc37775037"/>
      <w:bookmarkStart w:id="59" w:name="_Toc43987011"/>
      <w:r w:rsidRPr="00DA5B52">
        <w:t xml:space="preserve">Sampling design </w:t>
      </w:r>
      <w:r w:rsidR="0040355B">
        <w:t>and</w:t>
      </w:r>
      <w:r w:rsidRPr="00DA5B52">
        <w:t xml:space="preserve"> site selection</w:t>
      </w:r>
      <w:bookmarkEnd w:id="58"/>
      <w:bookmarkEnd w:id="59"/>
    </w:p>
    <w:p w14:paraId="76F2C2CC" w14:textId="2D46463F" w:rsidR="003D1F7F" w:rsidRPr="005B2157" w:rsidRDefault="00881D4F" w:rsidP="005B2157">
      <w:pPr>
        <w:rPr>
          <w:rFonts w:cs="Arial"/>
          <w:szCs w:val="22"/>
          <w:lang w:val="en-US"/>
        </w:rPr>
      </w:pPr>
      <w:r w:rsidRPr="005B2157">
        <w:rPr>
          <w:rFonts w:cs="Arial"/>
          <w:szCs w:val="22"/>
          <w:lang w:val="en-US"/>
        </w:rPr>
        <w:t>S</w:t>
      </w:r>
      <w:r w:rsidR="003D1F7F" w:rsidRPr="005B2157">
        <w:rPr>
          <w:rFonts w:cs="Arial"/>
          <w:szCs w:val="22"/>
          <w:lang w:val="en-US"/>
        </w:rPr>
        <w:t xml:space="preserve">ampling </w:t>
      </w:r>
      <w:r w:rsidRPr="005B2157">
        <w:rPr>
          <w:rFonts w:cs="Arial"/>
          <w:szCs w:val="22"/>
          <w:lang w:val="en-US"/>
        </w:rPr>
        <w:t xml:space="preserve">is </w:t>
      </w:r>
      <w:r w:rsidR="003D1F7F" w:rsidRPr="005B2157">
        <w:rPr>
          <w:rFonts w:cs="Arial"/>
          <w:szCs w:val="22"/>
          <w:lang w:val="en-US"/>
        </w:rPr>
        <w:t>design</w:t>
      </w:r>
      <w:r w:rsidRPr="005B2157">
        <w:rPr>
          <w:rFonts w:cs="Arial"/>
          <w:szCs w:val="22"/>
          <w:lang w:val="en-US"/>
        </w:rPr>
        <w:t>ed</w:t>
      </w:r>
      <w:r w:rsidR="003D1F7F" w:rsidRPr="005B2157">
        <w:rPr>
          <w:rFonts w:cs="Arial"/>
          <w:szCs w:val="22"/>
          <w:lang w:val="en-US"/>
        </w:rPr>
        <w:t xml:space="preserve"> to detect changes in inshore seagrass meadows in response to </w:t>
      </w:r>
      <w:r w:rsidR="00527C29" w:rsidRPr="005B2157">
        <w:rPr>
          <w:rFonts w:cs="Arial"/>
          <w:szCs w:val="22"/>
          <w:lang w:val="en-US"/>
        </w:rPr>
        <w:t>changes</w:t>
      </w:r>
      <w:r w:rsidR="003D1F7F" w:rsidRPr="005B2157">
        <w:rPr>
          <w:rFonts w:cs="Arial"/>
          <w:szCs w:val="22"/>
          <w:lang w:val="en-US"/>
        </w:rPr>
        <w:t xml:space="preserve"> in water quality associated with specific catchments or groups of catchments (</w:t>
      </w:r>
      <w:r w:rsidRPr="005B2157">
        <w:rPr>
          <w:rFonts w:cs="Arial"/>
          <w:szCs w:val="22"/>
          <w:lang w:val="en-US"/>
        </w:rPr>
        <w:t>region</w:t>
      </w:r>
      <w:r w:rsidR="003D1F7F" w:rsidRPr="005B2157">
        <w:rPr>
          <w:rFonts w:cs="Arial"/>
          <w:szCs w:val="22"/>
          <w:lang w:val="en-US"/>
        </w:rPr>
        <w:t>) and to disturbance events.</w:t>
      </w:r>
      <w:r w:rsidR="004902B0" w:rsidRPr="005B2157">
        <w:rPr>
          <w:rFonts w:cs="Arial"/>
          <w:szCs w:val="22"/>
          <w:lang w:val="en-US"/>
        </w:rPr>
        <w:t xml:space="preserve"> </w:t>
      </w:r>
      <w:r w:rsidR="003D1F7F" w:rsidRPr="005B2157">
        <w:rPr>
          <w:rFonts w:cs="Arial"/>
          <w:szCs w:val="22"/>
          <w:lang w:val="en-US"/>
        </w:rPr>
        <w:t xml:space="preserve">The selection of </w:t>
      </w:r>
      <w:r w:rsidR="001D0B44" w:rsidRPr="005B2157">
        <w:rPr>
          <w:rFonts w:cs="Arial"/>
          <w:szCs w:val="22"/>
          <w:lang w:val="en-US"/>
        </w:rPr>
        <w:t>locations/</w:t>
      </w:r>
      <w:r w:rsidR="003D1F7F" w:rsidRPr="005B2157">
        <w:rPr>
          <w:rFonts w:cs="Arial"/>
          <w:szCs w:val="22"/>
          <w:lang w:val="en-US"/>
        </w:rPr>
        <w:t>meadows was based upon a number of competing factors:</w:t>
      </w:r>
    </w:p>
    <w:p w14:paraId="5A27F5D5" w14:textId="79740027" w:rsidR="003D1F7F" w:rsidRPr="005B2157" w:rsidRDefault="003D1F7F" w:rsidP="003F4D32">
      <w:pPr>
        <w:numPr>
          <w:ilvl w:val="0"/>
          <w:numId w:val="14"/>
        </w:numPr>
        <w:ind w:left="714" w:hanging="357"/>
        <w:rPr>
          <w:rFonts w:cs="Arial"/>
          <w:szCs w:val="22"/>
        </w:rPr>
      </w:pPr>
      <w:r w:rsidRPr="005B2157">
        <w:rPr>
          <w:rFonts w:cs="Arial"/>
          <w:szCs w:val="22"/>
        </w:rPr>
        <w:t xml:space="preserve">meadows were representative of </w:t>
      </w:r>
      <w:r w:rsidR="00C3035F" w:rsidRPr="005B2157">
        <w:rPr>
          <w:rFonts w:cs="Arial"/>
          <w:szCs w:val="22"/>
        </w:rPr>
        <w:t xml:space="preserve">inshore </w:t>
      </w:r>
      <w:r w:rsidRPr="005B2157">
        <w:rPr>
          <w:rFonts w:cs="Arial"/>
          <w:szCs w:val="22"/>
        </w:rPr>
        <w:t xml:space="preserve">seagrass habitats and seagrass communities across each region (based on </w:t>
      </w:r>
      <w:hyperlink w:anchor="_ENREF_91" w:tooltip="Lee Long, 1993 #682" w:history="1">
        <w:r w:rsidR="009A7AB4" w:rsidRPr="005B2157">
          <w:rPr>
            <w:rFonts w:cs="Arial"/>
            <w:szCs w:val="22"/>
          </w:rPr>
          <w:fldChar w:fldCharType="begin"/>
        </w:r>
        <w:r w:rsidR="009A7AB4" w:rsidRPr="005B2157">
          <w:rPr>
            <w:rFonts w:cs="Arial"/>
            <w:szCs w:val="22"/>
          </w:rPr>
          <w:instrText xml:space="preserve"> ADDIN EN.CITE &lt;EndNote&gt;&lt;Cite&gt;&lt;Author&gt;Lee Long&lt;/Author&gt;&lt;Year&gt;1993&lt;/Year&gt;&lt;RecNum&gt;682&lt;/RecNum&gt;&lt;DisplayText&gt;Lee Long&lt;style face="italic"&gt; et al.&lt;/style&gt; 1993&lt;/DisplayText&gt;&lt;record&gt;&lt;rec-number&gt;682&lt;/rec-number&gt;&lt;foreign-keys&gt;&lt;key app="EN" db-id="0eve55x9y5vfd6e9dacxtew4eatve2dzds9a" timestamp="0"&gt;682&lt;/key&gt;&lt;/foreign-keys&gt;&lt;ref-type name="Journal Article"&gt;17&lt;/ref-type&gt;&lt;contributors&gt;&lt;authors&gt;&lt;author&gt;Lee Long, Warren J.&lt;/author&gt;&lt;author&gt;Mellors, Jane E.&lt;/author&gt;&lt;author&gt;Coles, Robert G.&lt;/author&gt;&lt;/authors&gt;&lt;/contributors&gt;&lt;titles&gt;&lt;title&gt;Seagrasses between Cape York and Hervey Bay, Queensland, Australia&lt;/title&gt;&lt;secondary-title&gt;Australian Journal of Marine and Freshwater Research&lt;/secondary-title&gt;&lt;alt-title&gt;Australian Journal of Marine and Freshwater Research&lt;/alt-title&gt;&lt;/titles&gt;&lt;periodical&gt;&lt;full-title&gt;Australian Journal of Marine and Freshwater Research&lt;/full-title&gt;&lt;abbr-1&gt;Australian Journal of Marine and Freshwater Research&lt;/abbr-1&gt;&lt;/periodical&gt;&lt;alt-periodical&gt;&lt;full-title&gt;Australian Journal of Marine and Freshwater Research&lt;/full-title&gt;&lt;abbr-1&gt;Australian Journal of Marine and Freshwater Research&lt;/abbr-1&gt;&lt;/alt-periodical&gt;&lt;pages&gt;19-32&lt;/pages&gt;&lt;volume&gt;44&lt;/volume&gt;&lt;keywords&gt;&lt;keyword&gt;MCKENZIE 1996&lt;/keyword&gt;&lt;keyword&gt;TEMP&lt;/keyword&gt;&lt;/keywords&gt;&lt;dates&gt;&lt;year&gt;1993&lt;/year&gt;&lt;/dates&gt;&lt;label&gt;681&lt;/label&gt;&lt;urls&gt;&lt;/urls&gt;&lt;custom1&gt;Annex&lt;/custom1&gt;&lt;/record&gt;&lt;/Cite&gt;&lt;/EndNote&gt;</w:instrText>
        </w:r>
        <w:r w:rsidR="009A7AB4" w:rsidRPr="005B2157">
          <w:rPr>
            <w:rFonts w:cs="Arial"/>
            <w:szCs w:val="22"/>
          </w:rPr>
          <w:fldChar w:fldCharType="separate"/>
        </w:r>
        <w:r w:rsidR="009A7AB4" w:rsidRPr="005B2157">
          <w:rPr>
            <w:rFonts w:cs="Arial"/>
            <w:noProof/>
            <w:szCs w:val="22"/>
          </w:rPr>
          <w:t>Lee Long</w:t>
        </w:r>
        <w:r w:rsidR="009A7AB4" w:rsidRPr="005B2157">
          <w:rPr>
            <w:rFonts w:cs="Arial"/>
            <w:i/>
            <w:noProof/>
            <w:szCs w:val="22"/>
          </w:rPr>
          <w:t xml:space="preserve"> et al.</w:t>
        </w:r>
        <w:r w:rsidR="009A7AB4" w:rsidRPr="005B2157">
          <w:rPr>
            <w:rFonts w:cs="Arial"/>
            <w:noProof/>
            <w:szCs w:val="22"/>
          </w:rPr>
          <w:t xml:space="preserve"> 1993</w:t>
        </w:r>
        <w:r w:rsidR="009A7AB4" w:rsidRPr="005B2157">
          <w:rPr>
            <w:rFonts w:cs="Arial"/>
            <w:szCs w:val="22"/>
          </w:rPr>
          <w:fldChar w:fldCharType="end"/>
        </w:r>
      </w:hyperlink>
      <w:r w:rsidRPr="005B2157">
        <w:rPr>
          <w:rFonts w:cs="Arial"/>
          <w:szCs w:val="22"/>
        </w:rPr>
        <w:t xml:space="preserve">, </w:t>
      </w:r>
      <w:hyperlink w:anchor="_ENREF_89" w:tooltip="Lee Long, 1997 #5808" w:history="1">
        <w:r w:rsidR="009A7AB4" w:rsidRPr="005B2157">
          <w:rPr>
            <w:rFonts w:cs="Arial"/>
            <w:szCs w:val="22"/>
          </w:rPr>
          <w:fldChar w:fldCharType="begin"/>
        </w:r>
        <w:r w:rsidR="009A7AB4" w:rsidRPr="005B2157">
          <w:rPr>
            <w:rFonts w:cs="Arial"/>
            <w:szCs w:val="22"/>
          </w:rPr>
          <w:instrText xml:space="preserve"> ADDIN EN.CITE &lt;EndNote&gt;&lt;Cite&gt;&lt;Author&gt;Lee Long&lt;/Author&gt;&lt;Year&gt;1997&lt;/Year&gt;&lt;RecNum&gt;5808&lt;/RecNum&gt;&lt;DisplayText&gt;Lee Long&lt;style face="italic"&gt; et al.&lt;/style&gt; 1997&lt;/DisplayText&gt;&lt;record&gt;&lt;rec-number&gt;5808&lt;/rec-number&gt;&lt;foreign-keys&gt;&lt;key app="EN" db-id="0eve55x9y5vfd6e9dacxtew4eatve2dzds9a" timestamp="0"&gt;5808&lt;/key&gt;&lt;/foreign-keys&gt;&lt;ref-type name="Report"&gt;27&lt;/ref-type&gt;&lt;contributors&gt;&lt;authors&gt;&lt;author&gt;Lee Long, W.J.&lt;/author&gt;&lt;author&gt;McKenzie, Len J&lt;/author&gt;&lt;author&gt;Coles, R G&lt;/author&gt;&lt;/authors&gt;&lt;/contributors&gt;&lt;titles&gt;&lt;title&gt;Seagrass Communities in the Shoalwater Bay Region, Queensland; Spring (September) 1995 &amp;amp; Autumn (April) 1996&lt;/title&gt;&lt;secondary-title&gt;Queensland Department of Primary Industries Information Series QI96042&lt;/secondary-title&gt;&lt;/titles&gt;&lt;pages&gt;38&lt;/pages&gt;&lt;dates&gt;&lt;year&gt;1997&lt;/year&gt;&lt;/dates&gt;&lt;pub-location&gt;Cairns, QLD&lt;/pub-location&gt;&lt;publisher&gt;Queensland Department of Primary Industries,Northern Fisheries Centre&lt;/publisher&gt;&lt;isbn&gt;QI96042&lt;/isbn&gt;&lt;work-type&gt;Information Series&lt;/work-type&gt;&lt;urls&gt;&lt;/urls&gt;&lt;/record&gt;&lt;/Cite&gt;&lt;/EndNote&gt;</w:instrText>
        </w:r>
        <w:r w:rsidR="009A7AB4" w:rsidRPr="005B2157">
          <w:rPr>
            <w:rFonts w:cs="Arial"/>
            <w:szCs w:val="22"/>
          </w:rPr>
          <w:fldChar w:fldCharType="separate"/>
        </w:r>
        <w:r w:rsidR="009A7AB4" w:rsidRPr="005B2157">
          <w:rPr>
            <w:rFonts w:cs="Arial"/>
            <w:noProof/>
            <w:szCs w:val="22"/>
          </w:rPr>
          <w:t>Lee Long</w:t>
        </w:r>
        <w:r w:rsidR="009A7AB4" w:rsidRPr="005B2157">
          <w:rPr>
            <w:rFonts w:cs="Arial"/>
            <w:i/>
            <w:noProof/>
            <w:szCs w:val="22"/>
          </w:rPr>
          <w:t xml:space="preserve"> et al.</w:t>
        </w:r>
        <w:r w:rsidR="009A7AB4" w:rsidRPr="005B2157">
          <w:rPr>
            <w:rFonts w:cs="Arial"/>
            <w:noProof/>
            <w:szCs w:val="22"/>
          </w:rPr>
          <w:t xml:space="preserve"> 1997</w:t>
        </w:r>
        <w:r w:rsidR="009A7AB4" w:rsidRPr="005B2157">
          <w:rPr>
            <w:rFonts w:cs="Arial"/>
            <w:szCs w:val="22"/>
          </w:rPr>
          <w:fldChar w:fldCharType="end"/>
        </w:r>
      </w:hyperlink>
      <w:r w:rsidRPr="005B2157">
        <w:rPr>
          <w:rFonts w:cs="Arial"/>
          <w:szCs w:val="22"/>
        </w:rPr>
        <w:t xml:space="preserve">, </w:t>
      </w:r>
      <w:hyperlink w:anchor="_ENREF_90" w:tooltip="Lee Long, 1998 #7423" w:history="1">
        <w:r w:rsidR="009A7AB4" w:rsidRPr="005B2157">
          <w:rPr>
            <w:rFonts w:cs="Arial"/>
            <w:szCs w:val="22"/>
          </w:rPr>
          <w:fldChar w:fldCharType="begin"/>
        </w:r>
        <w:r w:rsidR="009A7AB4" w:rsidRPr="005B2157">
          <w:rPr>
            <w:rFonts w:cs="Arial"/>
            <w:szCs w:val="22"/>
          </w:rPr>
          <w:instrText xml:space="preserve"> ADDIN EN.CITE &lt;EndNote&gt;&lt;Cite&gt;&lt;Author&gt;Lee Long&lt;/Author&gt;&lt;Year&gt;1998&lt;/Year&gt;&lt;RecNum&gt;7423&lt;/RecNum&gt;&lt;DisplayText&gt;Lee Long&lt;style face="italic"&gt; et al.&lt;/style&gt; 1998&lt;/DisplayText&gt;&lt;record&gt;&lt;rec-number&gt;7423&lt;/rec-number&gt;&lt;foreign-keys&gt;&lt;key app="EN" db-id="0eve55x9y5vfd6e9dacxtew4eatve2dzds9a" timestamp="0"&gt;7423&lt;/key&gt;&lt;/foreign-keys&gt;&lt;ref-type name="Report"&gt;27&lt;/ref-type&gt;&lt;contributors&gt;&lt;authors&gt;&lt;author&gt;Lee Long, Warren J.&lt;/author&gt;&lt;author&gt;McKenzie, Len J.&lt;/author&gt;&lt;author&gt;Roelofs, A.J.&lt;/author&gt;&lt;author&gt;Makey, L.J.&lt;/author&gt;&lt;author&gt;Coles, R. G.&lt;/author&gt;&lt;author&gt;Roder C.A.&lt;/author&gt;&lt;/authors&gt;&lt;/contributors&gt;&lt;titles&gt;&lt;title&gt;Baseline Survey of Hinchinbrook Region Seagrasses - October (Spring) 1996. Research publication No. 51&lt;/title&gt;&lt;/titles&gt;&lt;pages&gt;26&lt;/pages&gt;&lt;dates&gt;&lt;year&gt;1998&lt;/year&gt;&lt;pub-dates&gt;&lt;date&gt;June 1998&lt;/date&gt;&lt;/pub-dates&gt;&lt;/dates&gt;&lt;pub-location&gt;Townsville&lt;/pub-location&gt;&lt;publisher&gt;Great Barrier Reef Marine Park Authority&lt;/publisher&gt;&lt;isbn&gt;51&lt;/isbn&gt;&lt;label&gt;distribution&lt;/label&gt;&lt;urls&gt;&lt;/urls&gt;&lt;/record&gt;&lt;/Cite&gt;&lt;/EndNote&gt;</w:instrText>
        </w:r>
        <w:r w:rsidR="009A7AB4" w:rsidRPr="005B2157">
          <w:rPr>
            <w:rFonts w:cs="Arial"/>
            <w:szCs w:val="22"/>
          </w:rPr>
          <w:fldChar w:fldCharType="separate"/>
        </w:r>
        <w:r w:rsidR="009A7AB4" w:rsidRPr="005B2157">
          <w:rPr>
            <w:rFonts w:cs="Arial"/>
            <w:noProof/>
            <w:szCs w:val="22"/>
          </w:rPr>
          <w:t>Lee Long</w:t>
        </w:r>
        <w:r w:rsidR="009A7AB4" w:rsidRPr="005B2157">
          <w:rPr>
            <w:rFonts w:cs="Arial"/>
            <w:i/>
            <w:noProof/>
            <w:szCs w:val="22"/>
          </w:rPr>
          <w:t xml:space="preserve"> et al.</w:t>
        </w:r>
        <w:r w:rsidR="009A7AB4" w:rsidRPr="005B2157">
          <w:rPr>
            <w:rFonts w:cs="Arial"/>
            <w:noProof/>
            <w:szCs w:val="22"/>
          </w:rPr>
          <w:t xml:space="preserve"> 1998</w:t>
        </w:r>
        <w:r w:rsidR="009A7AB4" w:rsidRPr="005B2157">
          <w:rPr>
            <w:rFonts w:cs="Arial"/>
            <w:szCs w:val="22"/>
          </w:rPr>
          <w:fldChar w:fldCharType="end"/>
        </w:r>
      </w:hyperlink>
      <w:r w:rsidRPr="005B2157">
        <w:rPr>
          <w:rFonts w:cs="Arial"/>
          <w:szCs w:val="22"/>
          <w:lang w:val="fr-FR"/>
        </w:rPr>
        <w:t xml:space="preserve">; </w:t>
      </w:r>
      <w:hyperlink w:anchor="_ENREF_106" w:tooltip="McKenzie, 2000 #2827" w:history="1">
        <w:r w:rsidR="009A7AB4" w:rsidRPr="005B2157">
          <w:rPr>
            <w:rFonts w:cs="Arial"/>
            <w:szCs w:val="22"/>
          </w:rPr>
          <w:fldChar w:fldCharType="begin"/>
        </w:r>
        <w:r w:rsidR="009A7AB4" w:rsidRPr="005B2157">
          <w:rPr>
            <w:rFonts w:cs="Arial"/>
            <w:szCs w:val="22"/>
          </w:rPr>
          <w:instrText xml:space="preserve"> ADDIN EN.CITE &lt;EndNote&gt;&lt;Cite&gt;&lt;Author&gt;McKenzie&lt;/Author&gt;&lt;Year&gt;2000&lt;/Year&gt;&lt;RecNum&gt;2827&lt;/RecNum&gt;&lt;DisplayText&gt;McKenzie&lt;style face="italic"&gt; et al.&lt;/style&gt; 2000&lt;/DisplayText&gt;&lt;record&gt;&lt;rec-number&gt;2827&lt;/rec-number&gt;&lt;foreign-keys&gt;&lt;key app="EN" db-id="0eve55x9y5vfd6e9dacxtew4eatve2dzds9a" timestamp="0"&gt;2827&lt;/key&gt;&lt;/foreign-keys&gt;&lt;ref-type name="Report"&gt;27&lt;/ref-type&gt;&lt;contributors&gt;&lt;authors&gt;&lt;author&gt;McKenzie, Len J&lt;/author&gt;&lt;author&gt;Roder, C.A.&lt;/author&gt;&lt;author&gt;Roelofs, A.J.&lt;/author&gt;&lt;author&gt;Lee Long, W.J.&lt;/author&gt;&lt;/authors&gt;&lt;/contributors&gt;&lt;titles&gt;&lt;title&gt;Post-flood monitoring of seagrasses in Hervey Bay and the Great Sandy Strait, 1999: Implications for dugong, turtle and fisheries management.&lt;/title&gt;&lt;secondary-title&gt;Department of Primary Industries Information Series QI00059&lt;/secondary-title&gt;&lt;/titles&gt;&lt;pages&gt;46&lt;/pages&gt;&lt;dates&gt;&lt;year&gt;2000&lt;/year&gt;&lt;/dates&gt;&lt;pub-location&gt;Cairns&lt;/pub-location&gt;&lt;publisher&gt;Queensland Department of Primary Industries, NFC&lt;/publisher&gt;&lt;isbn&gt;QI00059&lt;/isbn&gt;&lt;work-type&gt;DPI Information Series&lt;/work-type&gt;&lt;urls&gt;&lt;/urls&gt;&lt;/record&gt;&lt;/Cite&gt;&lt;/EndNote&gt;</w:instrText>
        </w:r>
        <w:r w:rsidR="009A7AB4" w:rsidRPr="005B2157">
          <w:rPr>
            <w:rFonts w:cs="Arial"/>
            <w:szCs w:val="22"/>
          </w:rPr>
          <w:fldChar w:fldCharType="separate"/>
        </w:r>
        <w:r w:rsidR="009A7AB4" w:rsidRPr="005B2157">
          <w:rPr>
            <w:rFonts w:cs="Arial"/>
            <w:noProof/>
            <w:szCs w:val="22"/>
          </w:rPr>
          <w:t>McKenzie</w:t>
        </w:r>
        <w:r w:rsidR="009A7AB4" w:rsidRPr="005B2157">
          <w:rPr>
            <w:rFonts w:cs="Arial"/>
            <w:i/>
            <w:noProof/>
            <w:szCs w:val="22"/>
          </w:rPr>
          <w:t xml:space="preserve"> et al.</w:t>
        </w:r>
        <w:r w:rsidR="009A7AB4" w:rsidRPr="005B2157">
          <w:rPr>
            <w:rFonts w:cs="Arial"/>
            <w:noProof/>
            <w:szCs w:val="22"/>
          </w:rPr>
          <w:t xml:space="preserve"> 2000</w:t>
        </w:r>
        <w:r w:rsidR="009A7AB4" w:rsidRPr="005B2157">
          <w:rPr>
            <w:rFonts w:cs="Arial"/>
            <w:szCs w:val="22"/>
          </w:rPr>
          <w:fldChar w:fldCharType="end"/>
        </w:r>
      </w:hyperlink>
      <w:r w:rsidRPr="005B2157">
        <w:rPr>
          <w:rFonts w:cs="Arial"/>
          <w:szCs w:val="22"/>
          <w:lang w:val="fr-FR"/>
        </w:rPr>
        <w:t xml:space="preserve">; </w:t>
      </w:r>
      <w:hyperlink w:anchor="_ENREF_132" w:tooltip="Rasheed, 2003 #9496" w:history="1">
        <w:r w:rsidR="009A7AB4" w:rsidRPr="005B2157">
          <w:rPr>
            <w:rFonts w:cs="Arial"/>
            <w:szCs w:val="22"/>
          </w:rPr>
          <w:fldChar w:fldCharType="begin"/>
        </w:r>
        <w:r w:rsidR="009A7AB4" w:rsidRPr="005B2157">
          <w:rPr>
            <w:rFonts w:cs="Arial"/>
            <w:szCs w:val="22"/>
          </w:rPr>
          <w:instrText xml:space="preserve"> ADDIN EN.CITE &lt;EndNote&gt;&lt;Cite&gt;&lt;Author&gt;Rasheed&lt;/Author&gt;&lt;Year&gt;2003&lt;/Year&gt;&lt;RecNum&gt;9496&lt;/RecNum&gt;&lt;DisplayText&gt;Rasheed&lt;style face="italic"&gt; et al.&lt;/style&gt; 2003&lt;/DisplayText&gt;&lt;record&gt;&lt;rec-number&gt;9496&lt;/rec-number&gt;&lt;foreign-keys&gt;&lt;key app="EN" db-id="0eve55x9y5vfd6e9dacxtew4eatve2dzds9a" timestamp="1375843860"&gt;9496&lt;/key&gt;&lt;/foreign-keys&gt;&lt;ref-type name="Book"&gt;6&lt;/ref-type&gt;&lt;contributors&gt;&lt;authors&gt;&lt;author&gt;Rasheed, M.A&lt;/author&gt;&lt;author&gt;Thomas, R&lt;/author&gt;&lt;author&gt;Roelofs, A.J&lt;/author&gt;&lt;author&gt;Neil, K.M&lt;/author&gt;&lt;author&gt;Kerville, S.P&lt;/author&gt;&lt;/authors&gt;&lt;/contributors&gt;&lt;titles&gt;&lt;title&gt;Port Curtis and Rodds Bay seagrass and benthic macro-invertebrate community baseline survey, November/December 2002. DPI Information Series QI03058&lt;/title&gt;&lt;/titles&gt;&lt;pages&gt;47 &lt;/pages&gt;&lt;dates&gt;&lt;year&gt;2003&lt;/year&gt;&lt;/dates&gt;&lt;pub-location&gt;Cairns&lt;/pub-location&gt;&lt;publisher&gt;DPI&lt;/publisher&gt;&lt;urls&gt;&lt;/urls&gt;&lt;/record&gt;&lt;/Cite&gt;&lt;/EndNote&gt;</w:instrText>
        </w:r>
        <w:r w:rsidR="009A7AB4" w:rsidRPr="005B2157">
          <w:rPr>
            <w:rFonts w:cs="Arial"/>
            <w:szCs w:val="22"/>
          </w:rPr>
          <w:fldChar w:fldCharType="separate"/>
        </w:r>
        <w:r w:rsidR="009A7AB4" w:rsidRPr="005B2157">
          <w:rPr>
            <w:rFonts w:cs="Arial"/>
            <w:noProof/>
            <w:szCs w:val="22"/>
          </w:rPr>
          <w:t>Rasheed</w:t>
        </w:r>
        <w:r w:rsidR="009A7AB4" w:rsidRPr="005B2157">
          <w:rPr>
            <w:rFonts w:cs="Arial"/>
            <w:i/>
            <w:noProof/>
            <w:szCs w:val="22"/>
          </w:rPr>
          <w:t xml:space="preserve"> et al.</w:t>
        </w:r>
        <w:r w:rsidR="009A7AB4" w:rsidRPr="005B2157">
          <w:rPr>
            <w:rFonts w:cs="Arial"/>
            <w:noProof/>
            <w:szCs w:val="22"/>
          </w:rPr>
          <w:t xml:space="preserve"> 2003</w:t>
        </w:r>
        <w:r w:rsidR="009A7AB4" w:rsidRPr="005B2157">
          <w:rPr>
            <w:rFonts w:cs="Arial"/>
            <w:szCs w:val="22"/>
          </w:rPr>
          <w:fldChar w:fldCharType="end"/>
        </w:r>
      </w:hyperlink>
      <w:r w:rsidRPr="005B2157">
        <w:rPr>
          <w:rFonts w:cs="Arial"/>
          <w:szCs w:val="22"/>
        </w:rPr>
        <w:t xml:space="preserve">; </w:t>
      </w:r>
      <w:hyperlink w:anchor="_ENREF_21" w:tooltip="Campbell, 2002 #9304" w:history="1">
        <w:r w:rsidR="009A7AB4" w:rsidRPr="005B2157">
          <w:rPr>
            <w:rFonts w:cs="Arial"/>
            <w:szCs w:val="22"/>
          </w:rPr>
          <w:fldChar w:fldCharType="begin"/>
        </w:r>
        <w:r w:rsidR="009A7AB4" w:rsidRPr="005B2157">
          <w:rPr>
            <w:rFonts w:cs="Arial"/>
            <w:szCs w:val="22"/>
          </w:rPr>
          <w:instrText xml:space="preserve"> ADDIN EN.CITE &lt;EndNote&gt;&lt;Cite&gt;&lt;Author&gt;Campbell&lt;/Author&gt;&lt;Year&gt;2002&lt;/Year&gt;&lt;RecNum&gt;9304&lt;/RecNum&gt;&lt;DisplayText&gt;Campbell&lt;style face="italic"&gt; et al.&lt;/style&gt; 2002&lt;/DisplayText&gt;&lt;record&gt;&lt;rec-number&gt;9304&lt;/rec-number&gt;&lt;foreign-keys&gt;&lt;key app="EN" db-id="0eve55x9y5vfd6e9dacxtew4eatve2dzds9a" timestamp="1375005084"&gt;9304&lt;/key&gt;&lt;/foreign-keys&gt;&lt;ref-type name="Report"&gt;27&lt;/ref-type&gt;&lt;contributors&gt;&lt;authors&gt;&lt;author&gt;Campbell, Stuart J&lt;/author&gt;&lt;author&gt;Roder, Chantal A.&lt;/author&gt;&lt;author&gt;McKenzie, Len J&lt;/author&gt;&lt;author&gt;Lee Long, Warren J&lt;/author&gt;&lt;/authors&gt;&lt;/contributors&gt;&lt;titles&gt;&lt;title&gt;Seagrass resources in the Whitsunday region 1999 and 2000&lt;/title&gt;&lt;secondary-title&gt;DPI Information Series QI02043&lt;/secondary-title&gt;&lt;/titles&gt;&lt;pages&gt;50&lt;/pages&gt;&lt;dates&gt;&lt;year&gt;2002&lt;/year&gt;&lt;/dates&gt;&lt;pub-location&gt;Cairns&lt;/pub-location&gt;&lt;publisher&gt;DPI&lt;/publisher&gt;&lt;urls&gt;&lt;/urls&gt;&lt;/record&gt;&lt;/Cite&gt;&lt;/EndNote&gt;</w:instrText>
        </w:r>
        <w:r w:rsidR="009A7AB4" w:rsidRPr="005B2157">
          <w:rPr>
            <w:rFonts w:cs="Arial"/>
            <w:szCs w:val="22"/>
          </w:rPr>
          <w:fldChar w:fldCharType="separate"/>
        </w:r>
        <w:r w:rsidR="009A7AB4" w:rsidRPr="005B2157">
          <w:rPr>
            <w:rFonts w:cs="Arial"/>
            <w:noProof/>
            <w:szCs w:val="22"/>
          </w:rPr>
          <w:t>Campbell</w:t>
        </w:r>
        <w:r w:rsidR="009A7AB4" w:rsidRPr="005B2157">
          <w:rPr>
            <w:rFonts w:cs="Arial"/>
            <w:i/>
            <w:noProof/>
            <w:szCs w:val="22"/>
          </w:rPr>
          <w:t xml:space="preserve"> et al.</w:t>
        </w:r>
        <w:r w:rsidR="009A7AB4" w:rsidRPr="005B2157">
          <w:rPr>
            <w:rFonts w:cs="Arial"/>
            <w:noProof/>
            <w:szCs w:val="22"/>
          </w:rPr>
          <w:t xml:space="preserve"> 2002</w:t>
        </w:r>
        <w:r w:rsidR="009A7AB4" w:rsidRPr="005B2157">
          <w:rPr>
            <w:rFonts w:cs="Arial"/>
            <w:szCs w:val="22"/>
          </w:rPr>
          <w:fldChar w:fldCharType="end"/>
        </w:r>
      </w:hyperlink>
      <w:r w:rsidR="00206A72" w:rsidRPr="005B2157">
        <w:rPr>
          <w:rFonts w:cs="Arial"/>
          <w:szCs w:val="22"/>
        </w:rPr>
        <w:t>;</w:t>
      </w:r>
      <w:r w:rsidRPr="005B2157">
        <w:rPr>
          <w:rFonts w:cs="Arial"/>
          <w:szCs w:val="22"/>
        </w:rPr>
        <w:t xml:space="preserve"> </w:t>
      </w:r>
      <w:hyperlink w:anchor="_ENREF_62" w:tooltip="Goldsworthy, 1994 #9497" w:history="1">
        <w:r w:rsidR="009A7AB4" w:rsidRPr="005B2157">
          <w:rPr>
            <w:rFonts w:cs="Arial"/>
            <w:szCs w:val="22"/>
          </w:rPr>
          <w:fldChar w:fldCharType="begin"/>
        </w:r>
        <w:r w:rsidR="009A7AB4" w:rsidRPr="005B2157">
          <w:rPr>
            <w:rFonts w:cs="Arial"/>
            <w:szCs w:val="22"/>
          </w:rPr>
          <w:instrText xml:space="preserve"> ADDIN EN.CITE &lt;EndNote&gt;&lt;Cite&gt;&lt;Author&gt;Goldsworthy&lt;/Author&gt;&lt;Year&gt;1994&lt;/Year&gt;&lt;RecNum&gt;9497&lt;/RecNum&gt;&lt;DisplayText&gt;Goldsworthy 1994&lt;/DisplayText&gt;&lt;record&gt;&lt;rec-number&gt;9497&lt;/rec-number&gt;&lt;foreign-keys&gt;&lt;key app="EN" db-id="0eve55x9y5vfd6e9dacxtew4eatve2dzds9a" timestamp="1375844058"&gt;9497&lt;/key&gt;&lt;/foreign-keys&gt;&lt;ref-type name="Book Section"&gt;5&lt;/ref-type&gt;&lt;contributors&gt;&lt;authors&gt;&lt;author&gt;Goldsworthy, Paul M&lt;/author&gt;&lt;/authors&gt;&lt;secondary-authors&gt;&lt;author&gt;Benson, L&lt;/author&gt;&lt;author&gt;Goldsworthy, P&lt;/author&gt;&lt;author&gt;Butler, R&lt;/author&gt;&lt;author&gt;Oliver, J&lt;/author&gt;&lt;/secondary-authors&gt;&lt;/contributors&gt;&lt;titles&gt;&lt;title&gt;Seagrasses&lt;/title&gt;&lt;secondary-title&gt;Townsville Port Authority Capital Dredging Works 1993: Environmental Monitoring Program&lt;/secondary-title&gt;&lt;/titles&gt;&lt;pages&gt;89-115&lt;/pages&gt;&lt;dates&gt;&lt;year&gt;1994&lt;/year&gt;&lt;/dates&gt;&lt;pub-location&gt;Townsville&lt;/pub-location&gt;&lt;publisher&gt;Townsville Port Authority&lt;/publisher&gt;&lt;urls&gt;&lt;/urls&gt;&lt;/record&gt;&lt;/Cite&gt;&lt;/EndNote&gt;</w:instrText>
        </w:r>
        <w:r w:rsidR="009A7AB4" w:rsidRPr="005B2157">
          <w:rPr>
            <w:rFonts w:cs="Arial"/>
            <w:szCs w:val="22"/>
          </w:rPr>
          <w:fldChar w:fldCharType="separate"/>
        </w:r>
        <w:r w:rsidR="009A7AB4" w:rsidRPr="005B2157">
          <w:rPr>
            <w:rFonts w:cs="Arial"/>
            <w:noProof/>
            <w:szCs w:val="22"/>
          </w:rPr>
          <w:t>Goldsworthy 1994</w:t>
        </w:r>
        <w:r w:rsidR="009A7AB4" w:rsidRPr="005B2157">
          <w:rPr>
            <w:rFonts w:cs="Arial"/>
            <w:szCs w:val="22"/>
          </w:rPr>
          <w:fldChar w:fldCharType="end"/>
        </w:r>
      </w:hyperlink>
      <w:r w:rsidRPr="005B2157">
        <w:rPr>
          <w:rFonts w:cs="Arial"/>
          <w:szCs w:val="22"/>
        </w:rPr>
        <w:t>)</w:t>
      </w:r>
    </w:p>
    <w:p w14:paraId="4A0ED19B" w14:textId="77138616" w:rsidR="003D1F7F" w:rsidRPr="005B2157" w:rsidRDefault="004902B0" w:rsidP="003F4D32">
      <w:pPr>
        <w:numPr>
          <w:ilvl w:val="0"/>
          <w:numId w:val="14"/>
        </w:numPr>
        <w:ind w:left="714" w:hanging="357"/>
        <w:rPr>
          <w:rFonts w:cs="Arial"/>
          <w:szCs w:val="22"/>
        </w:rPr>
      </w:pPr>
      <w:r w:rsidRPr="005B2157">
        <w:rPr>
          <w:rFonts w:cs="Arial"/>
          <w:szCs w:val="22"/>
        </w:rPr>
        <w:t xml:space="preserve">where possible </w:t>
      </w:r>
      <w:r w:rsidR="003D1F7F" w:rsidRPr="005B2157">
        <w:rPr>
          <w:rFonts w:cs="Arial"/>
          <w:szCs w:val="22"/>
        </w:rPr>
        <w:t>include legacy sites (e.g. Seagr</w:t>
      </w:r>
      <w:r w:rsidR="009C2E98" w:rsidRPr="005B2157">
        <w:rPr>
          <w:rFonts w:cs="Arial"/>
          <w:szCs w:val="22"/>
        </w:rPr>
        <w:t>ass-Watch)</w:t>
      </w:r>
      <w:r w:rsidR="003D1F7F" w:rsidRPr="005B2157">
        <w:rPr>
          <w:rFonts w:cs="Arial"/>
          <w:szCs w:val="22"/>
        </w:rPr>
        <w:t xml:space="preserve"> or </w:t>
      </w:r>
      <w:r w:rsidRPr="005B2157">
        <w:rPr>
          <w:rFonts w:cs="Arial"/>
          <w:szCs w:val="22"/>
        </w:rPr>
        <w:t xml:space="preserve">former seagrass research </w:t>
      </w:r>
      <w:r w:rsidR="008D142C" w:rsidRPr="005B2157">
        <w:rPr>
          <w:rFonts w:cs="Arial"/>
          <w:szCs w:val="22"/>
        </w:rPr>
        <w:t>sites (e.g.</w:t>
      </w:r>
      <w:r w:rsidR="003D1F7F" w:rsidRPr="005B2157">
        <w:rPr>
          <w:rFonts w:cs="Arial"/>
          <w:szCs w:val="22"/>
        </w:rPr>
        <w:t xml:space="preserve"> </w:t>
      </w:r>
      <w:r w:rsidR="00644A84" w:rsidRPr="005B2157">
        <w:rPr>
          <w:rFonts w:cs="Arial"/>
          <w:szCs w:val="22"/>
        </w:rPr>
        <w:fldChar w:fldCharType="begin">
          <w:fldData xml:space="preserve">PEVuZE5vdGU+PENpdGU+PEF1dGhvcj5Mb2JiPC9BdXRob3I+PFllYXI+MjAwNjwvWWVhcj48UmVj
TnVtPjk3NTg8L1JlY051bT48RGlzcGxheVRleHQ+RGVubmlzb248c3R5bGUgZmFjZT0iaXRhbGlj
Ij4gZXQgYWwuPC9zdHlsZT4gMTk5NTsgSW5nbGlzIDE5OTk7IFRob3JvZ29vZCBhbmQgQm9nZ29u
IDE5OTk7IFVkeTxzdHlsZSBmYWNlPSJpdGFsaWMiPiBldCBhbC48L3N0eWxlPiAxOTk5OyBIYXlu
ZXM8c3R5bGUgZmFjZT0iaXRhbGljIj4gZXQgYWwuPC9zdHlsZT4gMjAwMDsgQ2FtcGJlbGwgYW5k
IE1jS2VuemllIDIwMDE7IE1lbGxvcnMgMjAwMzsgQ2FtcGJlbGwgYW5kIE1jS2VuemllIDIwMDQ7
IExpbXB1czxzdHlsZSBmYWNlPSJpdGFsaWMiPiBldCBhbC48L3N0eWxlPiAyMDA1OyBNY01haG9u
PHN0eWxlIGZhY2U9Iml0YWxpYyI+IGV0IGFsLjwvc3R5bGU+IDIwMDU7IE1lbGxvcnM8c3R5bGUg
ZmFjZT0iaXRhbGljIj4gZXQgYWwuPC9zdHlsZT4gMjAwNTsgTG9iYiAyMDA2PC9EaXNwbGF5VGV4
dD48cmVjb3JkPjxyZWMtbnVtYmVyPjk3NTg8L3JlYy1udW1iZXI+PGZvcmVpZ24ta2V5cz48a2V5
IGFwcD0iRU4iIGRiLWlkPSIwZXZlNTV4OXk1dmZkNmU5ZGFjeHRldzRlYXR2ZTJkemRzOWEiIHRp
bWVzdGFtcD0iMTM5NDI1Mjk1NSI+OTc1ODwva2V5PjwvZm9yZWlnbi1rZXlzPjxyZWYtdHlwZSBu
YW1lPSJUaGVzaXMiPjMyPC9yZWYtdHlwZT48Y29udHJpYnV0b3JzPjxhdXRob3JzPjxhdXRob3I+
TG9iYiwgS2VsbGllIEY8L2F1dGhvcj48L2F1dGhvcnM+PC9jb250cmlidXRvcnM+PHRpdGxlcz48
dGl0bGU+QnJvYWQgc2NhbGUgY29hc3RhbCBudXRyaWVudCBhc3Nlc3NtZW50IG9mIHRoZSBpbnNo
b3JlIEdyZWF0IEJhcnJpZXIgUmVlZiB1c2luZyBjYXJib24gYW5kIG5pdHJvZ2VuIGluIG1hcmlu
ZSBwbGFudHMgYW5kIHNlZGltZW50czwvdGl0bGU+PHNlY29uZGFyeS10aXRsZT5TY2hvb2wgb2Yg
SW50ZWdyYXRpdmUgQmlvbG9neTwvc2Vjb25kYXJ5LXRpdGxlPjwvdGl0bGVzPjxwYWdlcz42Mjwv
cGFnZXM+PHZvbHVtZT5CYWNoZWxvciBvZiBTY2llbmNlIHdpdGggSG9ub3Vyczwvdm9sdW1lPjxk
YXRlcz48eWVhcj4yMDA2PC95ZWFyPjxwdWItZGF0ZXM+PGRhdGU+T2N0b2JlciAyMDA2PC9kYXRl
PjwvcHViLWRhdGVzPjwvZGF0ZXM+PHB1Yi1sb2NhdGlvbj5CcmlzYmFuZTwvcHViLWxvY2F0aW9u
PjxwdWJsaXNoZXI+VGhlIFVuaXZlcnNpdHkgb2YgUXVlZW5zbGFuZDwvcHVibGlzaGVyPjx1cmxz
PjwvdXJscz48L3JlY29yZD48L0NpdGU+PENpdGU+PEF1dGhvcj5JbmdsaXM8L0F1dGhvcj48WWVh
cj4xOTk5PC9ZZWFyPjxSZWNOdW0+NTQwODwvUmVjTnVtPjxyZWNvcmQ+PHJlYy1udW1iZXI+NTQw
ODwvcmVjLW51bWJlcj48Zm9yZWlnbi1rZXlzPjxrZXkgYXBwPSJFTiIgZGItaWQ9IjBldmU1NXg5
eTV2ZmQ2ZTlkYWN4dGV3NGVhdHZlMmR6ZHM5YSIgdGltZXN0YW1wPSIwIj41NDA4PC9rZXk+PC9m
b3JlaWduLWtleXM+PHJlZi10eXBlIG5hbWU9IkpvdXJuYWwgQXJ0aWNsZSI+MTc8L3JlZi10eXBl
Pjxjb250cmlidXRvcnM+PGF1dGhvcnM+PGF1dGhvcj5JbmdsaXMsIEcgSjwvYXV0aG9yPjwvYXV0
aG9ycz48L2NvbnRyaWJ1dG9ycz48dGl0bGVzPjx0aXRsZT5WYXJpYXRpb24gaW4gdGhlIHJlY3J1
aXRtZW50IGJlaGF2aW91ciBvZiBzZWFncmFzcyBzZWVkczogaW1wbGljYXRpb25zIGZvciBwb3B1
bGF0aW9uIGR5bmFtaWNzIGFuZCByZXNvdXJjZSBtYW5hZ2VtZW50PC90aXRsZT48c2Vjb25kYXJ5
LXRpdGxlPlBhY2lmaWMgQ29uc2VydmF0aW9uIEJpb2xvZ3k8L3NlY29uZGFyeS10aXRsZT48L3Rp
dGxlcz48cGVyaW9kaWNhbD48ZnVsbC10aXRsZT5QYWNpZmljIENvbnNlcnZhdGlvbiBCaW9sb2d5
PC9mdWxsLXRpdGxlPjwvcGVyaW9kaWNhbD48cGFnZXM+MjUxLTI1OTwvcGFnZXM+PHZvbHVtZT41
PC92b2x1bWU+PGRhdGVzPjx5ZWFyPjE5OTk8L3llYXI+PC9kYXRlcz48dXJscz48L3VybHM+PC9y
ZWNvcmQ+PC9DaXRlPjxDaXRlPjxBdXRob3I+VWR5PC9BdXRob3I+PFllYXI+MTk5OTwvWWVhcj48
UmVjTnVtPjIzNzE8L1JlY051bT48cmVjb3JkPjxyZWMtbnVtYmVyPjIzNzE8L3JlYy1udW1iZXI+
PGZvcmVpZ24ta2V5cz48a2V5IGFwcD0iRU4iIGRiLWlkPSIwZXZlNTV4OXk1dmZkNmU5ZGFjeHRl
dzRlYXR2ZTJkemRzOWEiIHRpbWVzdGFtcD0iMCI+MjM3MTwva2V5PjwvZm9yZWlnbi1rZXlzPjxy
ZWYtdHlwZSBuYW1lPSJKb3VybmFsIEFydGljbGUiPjE3PC9yZWYtdHlwZT48Y29udHJpYnV0b3Jz
PjxhdXRob3JzPjxhdXRob3I+VWR5LCBKYW1lcyBXLjwvYXV0aG9yPjxhdXRob3I+RGVubmlzb24s
IFcuIEMuPC9hdXRob3I+PGF1dGhvcj5MZWUgTG9uZywgVy4gSi48L2F1dGhvcj48YXV0aG9yPk1j
S2VuemllLCBMZW4gSi48L2F1dGhvcj48L2F1dGhvcnM+PC9jb250cmlidXRvcnM+PHRpdGxlcz48
dGl0bGU+UmVzcG9uc2VzIG9mIHNlYWdyYXNzIHRvIG51dHJpZW50cyBpbiB0aGUgR3JlYXQgQmFy
cmllciBSZWVmLCBBdXN0cmFsaWEuPC90aXRsZT48c2Vjb25kYXJ5LXRpdGxlPk1hcmluZSBFY29s
b2d5IFByb2dyZXNzIFNlcmllczwvc2Vjb25kYXJ5LXRpdGxlPjwvdGl0bGVzPjxwZXJpb2RpY2Fs
PjxmdWxsLXRpdGxlPk1hcmluZSBFY29sb2d5IFByb2dyZXNzIFNlcmllczwvZnVsbC10aXRsZT48
L3BlcmlvZGljYWw+PHBhZ2VzPjI1Ny0yNzE8L3BhZ2VzPjx2b2x1bWU+MTg1PC92b2x1bWU+PGtl
eXdvcmRzPjxrZXl3b3JkPlNlYWdyYXNzLCBHcmVhdCBCYXJyaWVyIFJlZWYsIE51dHJpZW50czwv
a2V5d29yZD48L2tleXdvcmRzPjxkYXRlcz48eWVhcj4xOTk5PC95ZWFyPjxwdWItZGF0ZXM+PGRh
dGU+QXVndXN0IDIwPC9kYXRlPjwvcHViLWRhdGVzPjwvZGF0ZXM+PHVybHM+PC91cmxzPjxjdXN0
b20xPkFubmV4LiBMZW4gTWNLZW56aWUgQ29sbGVjdGlvbjwvY3VzdG9tMT48L3JlY29yZD48L0Np
dGU+PENpdGU+PEF1dGhvcj5NZWxsb3JzPC9BdXRob3I+PFllYXI+MjAwMzwvWWVhcj48UmVjTnVt
PjcwODY8L1JlY051bT48cmVjb3JkPjxyZWMtbnVtYmVyPjcwODY8L3JlYy1udW1iZXI+PGZvcmVp
Z24ta2V5cz48a2V5IGFwcD0iRU4iIGRiLWlkPSIwZXZlNTV4OXk1dmZkNmU5ZGFjeHRldzRlYXR2
ZTJkemRzOWEiIHRpbWVzdGFtcD0iMCI+NzA4Njwva2V5PjwvZm9yZWlnbi1rZXlzPjxyZWYtdHlw
ZSBuYW1lPSJCb29rIj42PC9yZWYtdHlwZT48Y29udHJpYnV0b3JzPjxhdXRob3JzPjxhdXRob3I+
TWVsbG9ycywgSi4gRS48L2F1dGhvcj48L2F1dGhvcnM+PC9jb250cmlidXRvcnM+PHRpdGxlcz48
dGl0bGU+U2VkaW1lbnQgYW5kIG51dHJpZW50IGR5bmFtaWNzIGluIGNvYXN0YWwgaW50ZXJ0aWRh
bCBzZWFncmFzcyBvZiBub3J0aCBlYXN0ZXJuIHRyb3BpY2FsIEF1c3RyYWxpYS4gUGhEIFRoZXNp
cy48L3RpdGxlPjwvdGl0bGVzPjxwYWdlcz4yODQ8L3BhZ2VzPjxkYXRlcz48eWVhcj4yMDAzPC95
ZWFyPjwvZGF0ZXM+PHB1Yi1sb2NhdGlvbj5TY2hvb2wgb2YgVHJvcGljYWwgRW52aXJvbm1lbnQg
U3R1ZGllcyBhbmQgR2VvZ3JhcGh5PC9wdWItbG9jYXRpb24+PHB1Ymxpc2hlcj5KYW1lcyBDb29r
IFVuaXZlcnNpdHksIFRvd25zdmlsbGU8L3B1Ymxpc2hlcj48dXJscz48L3VybHM+PC9yZWNvcmQ+
PC9DaXRlPjxDaXRlPjxBdXRob3I+TWVsbG9yczwvQXV0aG9yPjxZZWFyPjIwMDU8L1llYXI+PFJl
Y051bT4zNzM5PC9SZWNOdW0+PHJlY29yZD48cmVjLW51bWJlcj4zNzM5PC9yZWMtbnVtYmVyPjxm
b3JlaWduLWtleXM+PGtleSBhcHA9IkVOIiBkYi1pZD0iMGV2ZTU1eDl5NXZmZDZlOWRhY3h0ZXc0
ZWF0dmUyZHpkczlhIiB0aW1lc3RhbXA9IjAiPjM3Mzk8L2tleT48L2ZvcmVpZ24ta2V5cz48cmVm
LXR5cGUgbmFtZT0iSm91cm5hbCBBcnRpY2xlIj4xNzwvcmVmLXR5cGU+PGNvbnRyaWJ1dG9ycz48
YXV0aG9ycz48YXV0aG9yPk1lbGxvcnMsIEouPC9hdXRob3I+PGF1dGhvcj5XYXljb3R0LCBNLjwv
YXV0aG9yPjxhdXRob3I+TWFyc2gsIEguPC9hdXRob3I+PC9hdXRob3JzPjwvY29udHJpYnV0b3Jz
Pjx0aXRsZXM+PHRpdGxlPlZhcmlhdGlvbiBpbiBiaW9nZW9jaGVtaWNhbCBwYXJhbWV0ZXJzIGFj
cm9zcyBpbnRlcnRpZGFsIHNlYWdyYXNzIG1lYWRvd3MgaW4gdGhlIGNlbnRyYWwgR3JlYXQgQmFy
cmllciBSZWVmIHJlZ2lvbjwvdGl0bGU+PHNlY29uZGFyeS10aXRsZT5NYXJpbmUgUG9sbHV0aW9u
IEJ1bGxldGluPC9zZWNvbmRhcnktdGl0bGU+PC90aXRsZXM+PHBlcmlvZGljYWw+PGZ1bGwtdGl0
bGU+TWFyaW5lIFBvbGx1dGlvbiBCdWxsZXRpbjwvZnVsbC10aXRsZT48L3BlcmlvZGljYWw+PHBh
Z2VzPjMzNS0zNDI8L3BhZ2VzPjx2b2x1bWU+NTE8L3ZvbHVtZT48bnVtYmVyPjEtNDwvbnVtYmVy
PjxkYXRlcz48eWVhcj4yMDA1PC95ZWFyPjwvZGF0ZXM+PGlzYm4+MDAyNS0zMjZYPC9pc2JuPjxh
Y2Nlc3Npb24tbnVtPldPUzowMDAyMjc5ODE4MDAwMzE8L2FjY2Vzc2lvbi1udW0+PHVybHM+PHJl
bGF0ZWQtdXJscz48dXJsPiZsdDtHbyB0byBJU0kmZ3Q7Oi8vV09TOjAwMDIyNzk4MTgwMDAzMSA8
L3VybD48L3JlbGF0ZWQtdXJscz48L3VybHM+PGVsZWN0cm9uaWMtcmVzb3VyY2UtbnVtPjEwLjEw
MTYvai5tYXJwb2xidWwuMjAwNC4xMC4wNDY8L2VsZWN0cm9uaWMtcmVzb3VyY2UtbnVtPjwvcmVj
b3JkPjwvQ2l0ZT48Q2l0ZT48QXV0aG9yPkhheW5lczwvQXV0aG9yPjxZZWFyPjIwMDA8L1llYXI+
PFJlY051bT43MzQwPC9SZWNOdW0+PHJlY29yZD48cmVjLW51bWJlcj43MzQwPC9yZWMtbnVtYmVy
Pjxmb3JlaWduLWtleXM+PGtleSBhcHA9IkVOIiBkYi1pZD0iMGV2ZTU1eDl5NXZmZDZlOWRhY3h0
ZXc0ZWF0dmUyZHpkczlhIiB0aW1lc3RhbXA9IjAiPjczNDA8L2tleT48L2ZvcmVpZ24ta2V5cz48
cmVmLXR5cGUgbmFtZT0iSm91cm5hbCBBcnRpY2xlIj4xNzwvcmVmLXR5cGU+PGNvbnRyaWJ1dG9y
cz48YXV0aG9ycz48YXV0aG9yPkhheW5lcywgRC48L2F1dGhvcj48YXV0aG9yPk3DvGxsZXIsIEou
PC9hdXRob3I+PGF1dGhvcj5DYXJ0ZXIsIFMuPC9hdXRob3I+PC9hdXRob3JzPjwvY29udHJpYnV0
b3JzPjx0aXRsZXM+PHRpdGxlPlBlc3RpY2lkZSBhbmQgSGVyYmljaWRlIFJlc2lkdWVzIGluIFNl
ZGltZW50cyBhbmQgU2VhZ3Jhc3NlcyBmcm9tIHRoZSBHcmVhdCBCYXJyaWVyIFJlZWYgV29ybGQg
SGVyaXRhZ2UgQXJlYSBhbmQgUXVlZW5zbGFuZCBDb2FzdDwvdGl0bGU+PHNlY29uZGFyeS10aXRs
ZT5NYXJpbmUgUG9sbHV0aW9uIEJ1bGxldGluPC9zZWNvbmRhcnktdGl0bGU+PC90aXRsZXM+PHBl
cmlvZGljYWw+PGZ1bGwtdGl0bGU+TWFyaW5lIFBvbGx1dGlvbiBCdWxsZXRpbjwvZnVsbC10aXRs
ZT48L3BlcmlvZGljYWw+PHBhZ2VzPjI3OS0yODc8L3BhZ2VzPjx2b2x1bWU+NDE8L3ZvbHVtZT48
bnVtYmVyPjctMTI8L251bWJlcj48ZGF0ZXM+PHllYXI+MjAwMDwveWVhcj48L2RhdGVzPjx1cmxz
PjwvdXJscz48L3JlY29yZD48L0NpdGU+PENpdGU+PEF1dGhvcj5NY01haG9uPC9BdXRob3I+PFll
YXI+MjAwNTwvWWVhcj48UmVjTnVtPjc0MTg8L1JlY051bT48cmVjb3JkPjxyZWMtbnVtYmVyPjc0
MTg8L3JlYy1udW1iZXI+PGZvcmVpZ24ta2V5cz48a2V5IGFwcD0iRU4iIGRiLWlkPSIwZXZlNTV4
OXk1dmZkNmU5ZGFjeHRldzRlYXR2ZTJkemRzOWEiIHRpbWVzdGFtcD0iMCI+NzQxODwva2V5Pjwv
Zm9yZWlnbi1rZXlzPjxyZWYtdHlwZSBuYW1lPSJKb3VybmFsIEFydGljbGUiPjE3PC9yZWYtdHlw
ZT48Y29udHJpYnV0b3JzPjxhdXRob3JzPjxhdXRob3I+TWNNYWhvbiwgSy5NLjwvYXV0aG9yPjxh
dXRob3I+QmVuZ3N0b24tTmFzaCwgU3VzYW48L2F1dGhvcj48YXV0aG9yPkVhZ2xlc2hhbSwgR2Vv
ZmYgSzwvYXV0aG9yPjxhdXRob3I+TXVlbGxlciwgSi48L2F1dGhvcj48YXV0aG9yPkR1a2UsIE4u
IEMuPC9hdXRob3I+PGF1dGhvcj5XaW5kZXJsaWNoLCBTLjwvYXV0aG9yPjwvYXV0aG9ycz48L2Nv
bnRyaWJ1dG9ycz48dGl0bGVzPjx0aXRsZT5IZXJiaWNpZGUgY29udGFtaW5hdGlvbiBhbmQgdGhl
IHBvdGVudGlhbCBpbXBhY3QgdG8gc2VhZ3Jhc3MgbWVhZG93cyBpbiBIZXJ2ZXkgQmF5LCBRdWVl
bnNsYW5kLCBBdXN0cmFsaWE8L3RpdGxlPjxzZWNvbmRhcnktdGl0bGU+TWFyaW5lIFBvbGx1dGlv
biBCdWxsZXRpbjwvc2Vjb25kYXJ5LXRpdGxlPjwvdGl0bGVzPjxwZXJpb2RpY2FsPjxmdWxsLXRp
dGxlPk1hcmluZSBQb2xsdXRpb24gQnVsbGV0aW48L2Z1bGwtdGl0bGU+PC9wZXJpb2RpY2FsPjxw
YWdlcz4zMjUtMzM0PC9wYWdlcz48dm9sdW1lPjUxPC92b2x1bWU+PGRhdGVzPjx5ZWFyPjIwMDU8
L3llYXI+PC9kYXRlcz48dXJscz48L3VybHM+PC9yZWNvcmQ+PC9DaXRlPjxDaXRlPjxBdXRob3I+
Q2FtcGJlbGw8L0F1dGhvcj48WWVhcj4yMDA0PC9ZZWFyPjxSZWNOdW0+MjgzODwvUmVjTnVtPjxy
ZWNvcmQ+PHJlYy1udW1iZXI+MjgzODwvcmVjLW51bWJlcj48Zm9yZWlnbi1rZXlzPjxrZXkgYXBw
PSJFTiIgZGItaWQ9IjBldmU1NXg5eTV2ZmQ2ZTlkYWN4dGV3NGVhdHZlMmR6ZHM5YSIgdGltZXN0
YW1wPSIwIj4yODM4PC9rZXk+PC9mb3JlaWduLWtleXM+PHJlZi10eXBlIG5hbWU9IkpvdXJuYWwg
QXJ0aWNsZSI+MTc8L3JlZi10eXBlPjxjb250cmlidXRvcnM+PGF1dGhvcnM+PGF1dGhvcj5DYW1w
YmVsbCwgU3R1YXJ0IEouPC9hdXRob3I+PGF1dGhvcj5NY0tlbnppZSwgTGVuIEouPC9hdXRob3I+
PC9hdXRob3JzPjwvY29udHJpYnV0b3JzPjx0aXRsZXM+PHRpdGxlPkZsb29kIHJlbGF0ZWQgbG9z
cyBhbmQgcmVjb3Zlcnkgb2YgaW50ZXJ0aWRhbCBzZWFncmFzcyBtZWFkb3dzIGluIHNvdXRoZXJu
IFF1ZWVuc2xhbmQsIEF1c3RyYWxpYTwvdGl0bGU+PHNlY29uZGFyeS10aXRsZT5Fc3R1YXJpbmUs
IENvYXN0YWwgYW5kIFNoZWxmIFNjaWVuY2U8L3NlY29uZGFyeS10aXRsZT48L3RpdGxlcz48cGVy
aW9kaWNhbD48ZnVsbC10aXRsZT5Fc3R1YXJpbmUsIENvYXN0YWwgYW5kIFNoZWxmIFNjaWVuY2U8
L2Z1bGwtdGl0bGU+PC9wZXJpb2RpY2FsPjxwYWdlcz40NzctNDkwPC9wYWdlcz48dm9sdW1lPjYw
PC92b2x1bWU+PG51bWJlcj4zPC9udW1iZXI+PGRhdGVzPjx5ZWFyPjIwMDQ8L3llYXI+PHB1Yi1k
YXRlcz48ZGF0ZT4yMDA0Lzc8L2RhdGU+PC9wdWItZGF0ZXM+PC9kYXRlcz48dXJscz48cmVsYXRl
ZC11cmxzPjx1cmw+aHR0cDovL3d3dy5zY2llbmNlZGlyZWN0LmNvbS9zY2llbmNlL2FydGljbGUv
QjZXRFYtNEM0QkpSNS01LzIvMTU0ODEwOTg3MjAyZmM2ZDI3YmE2ZmEzNWMwN2YxOTc8L3VybD48
L3JlbGF0ZWQtdXJscz48L3VybHM+PC9yZWNvcmQ+PC9DaXRlPjxDaXRlPjxBdXRob3I+Q2FtcGJl
bGw8L0F1dGhvcj48WWVhcj4yMDAxPC9ZZWFyPjxSZWNOdW0+OTM0MTwvUmVjTnVtPjxyZWNvcmQ+
PHJlYy1udW1iZXI+OTM0MTwvcmVjLW51bWJlcj48Zm9yZWlnbi1rZXlzPjxrZXkgYXBwPSJFTiIg
ZGItaWQ9IjBldmU1NXg5eTV2ZmQ2ZTlkYWN4dGV3NGVhdHZlMmR6ZHM5YSIgdGltZXN0YW1wPSIx
Mzc1MDUyNDc4Ij45MzQxPC9rZXk+PC9mb3JlaWduLWtleXM+PHJlZi10eXBlIG5hbWU9IlJlcG9y
dCI+Mjc8L3JlZi10eXBlPjxjb250cmlidXRvcnM+PGF1dGhvcnM+PGF1dGhvcj5DYW1wYmVsbCwg
U3R1YXJ0IEo8L2F1dGhvcj48YXV0aG9yPk1jS2VuemllLCBMZW4gSjwvYXV0aG9yPjwvYXV0aG9y
cz48L2NvbnRyaWJ1dG9ycz48dGl0bGVzPjx0aXRsZT5TZWFncmFzcyBhbmQgYWxnYWwgYWJ1bmRh
bmNlIGluIHRoZSBXaGl0c3VuZGF5cyByZWdpb24uIFN0YXR1cyBSZXBvcnQuPC90aXRsZT48L3Rp
dGxlcz48c2VjdGlvbj4xNDwvc2VjdGlvbj48ZGF0ZXM+PHllYXI+MjAwMTwveWVhcj48L2RhdGVz
PjxwdWItbG9jYXRpb24+Q2Fpcm5zPC9wdWItbG9jYXRpb24+PHB1Ymxpc2hlcj5EZXBhcnRtZW50
IG9mIFByaW1hcnkgSW5kdXN0cmllczwvcHVibGlzaGVyPjx1cmxzPjwvdXJscz48L3JlY29yZD48
L0NpdGU+PENpdGU+PEF1dGhvcj5MaW1wdXM8L0F1dGhvcj48WWVhcj4yMDA1PC9ZZWFyPjxSZWNO
dW0+OTY5MTwvUmVjTnVtPjxyZWNvcmQ+PHJlYy1udW1iZXI+OTY5MTwvcmVjLW51bWJlcj48Zm9y
ZWlnbi1rZXlzPjxrZXkgYXBwPSJFTiIgZGItaWQ9IjBldmU1NXg5eTV2ZmQ2ZTlkYWN4dGV3NGVh
dHZlMmR6ZHM5YSIgdGltZXN0YW1wPSIxMzkyOTQxOTkxIj45NjkxPC9rZXk+PC9mb3JlaWduLWtl
eXM+PHJlZi10eXBlIG5hbWU9IkJvb2siPjY8L3JlZi10eXBlPjxjb250cmlidXRvcnM+PGF1dGhv
cnM+PGF1dGhvcj5MaW1wdXMsIENvbGluIEo8L2F1dGhvcj48YXV0aG9yPkxpbXB1cywgRHVuY2Fu
IEogPC9hdXRob3I+PGF1dGhvcj5BcnRodXIsIEthcmVuIEU8L2F1dGhvcj48YXV0aG9yPlBhcm1l
bnRlciwgQyBKb2huPC9hdXRob3I+PC9hdXRob3JzPjwvY29udHJpYnV0b3JzPjx0aXRsZXM+PHRp
dGxlPk1vbml0b3JpbmcgR3JlZW4gVHVydGxlIFBvcHVsYXRpb24gRHluYW1pY3MgaW4gU2hvYWx3
YXRlciBCYXk6MjAwMCAtIDIwMDQuIEdCUk1QQSBSZXNlYXJjaCBQdWJsaWNhdGlvbiBObyA4MyA8
L3RpdGxlPjwvdGl0bGVzPjxzZWN0aW9uPjUwPC9zZWN0aW9uPjxkYXRlcz48eWVhcj4yMDA1PC95
ZWFyPjwvZGF0ZXM+PHB1Yi1sb2NhdGlvbj5Ub3duc3ZpbGxlPC9wdWItbG9jYXRpb24+PHB1Ymxp
c2hlcj5HcmVhdCBCYXJyaWVyIFJlZWYgTWFyaW5lIFBhcmsgQXV0aG9yaXR5PC9wdWJsaXNoZXI+
PHVybHM+PC91cmxzPjwvcmVjb3JkPjwvQ2l0ZT48Q2l0ZT48QXV0aG9yPkRlbm5pc29uPC9BdXRo
b3I+PFllYXI+MTk5NTwvWWVhcj48UmVjTnVtPjk3NzE8L1JlY051bT48cmVjb3JkPjxyZWMtbnVt
YmVyPjk3NzE8L3JlYy1udW1iZXI+PGZvcmVpZ24ta2V5cz48a2V5IGFwcD0iRU4iIGRiLWlkPSIw
ZXZlNTV4OXk1dmZkNmU5ZGFjeHRldzRlYXR2ZTJkemRzOWEiIHRpbWVzdGFtcD0iMTM5NDI2NTUz
NSI+OTc3MTwva2V5PjwvZm9yZWlnbi1rZXlzPjxyZWYtdHlwZSBuYW1lPSJCb29rIj42PC9yZWYt
dHlwZT48Y29udHJpYnV0b3JzPjxhdXRob3JzPjxhdXRob3I+RGVubmlzb24sIFdpbGxpYW0gQy48
L2F1dGhvcj48YXV0aG9yPk8mYXBvcztEb25ub2h1ZSwgTSBLPC9hdXRob3I+PGF1dGhvcj5BYmFs
LCBFIEc8L2F1dGhvcj48L2F1dGhvcnM+PC9jb250cmlidXRvcnM+PHRpdGxlcz48dGl0bGU+QW4g
YXNzZXNzbWVudCBvZiBudXRyaWVudCBiaW9pbmRpY2F0b3JzIHVzaW5nIG1hcmluZSBwbGFudHMg
aW4gdGhlIHJlZ2lvbiBvZiBQaW9uZWVyIEJheSwgQWlybGllIEJlYWNoLCBRdWVlbnNsYW5kLiBE
cnkgc2Vhc29uIHNhbXBsaW5nLCBTZXB0ZW1iZXIgMTk5NTwvdGl0bGU+PC90aXRsZXM+PHNlY3Rp
b24+NDA8L3NlY3Rpb24+PGRhdGVzPjx5ZWFyPjE5OTU8L3llYXI+PC9kYXRlcz48cHViLWxvY2F0
aW9uPkJyaXNiYW5lPC9wdWItbG9jYXRpb24+PHB1Ymxpc2hlcj5NYXJpbmUgQm90YW55IFNlY3Rp
b24sIERlcGFydG1lbnQgb2YgQm90YW55LCBVbml2ZXJzaXR5IG9mIFF1ZWVuc2xhbmQ8L3B1Ymxp
c2hlcj48dXJscz48L3VybHM+PC9yZWNvcmQ+PC9DaXRlPjxDaXRlPjxBdXRob3I+VGhvcm9nb29k
PC9BdXRob3I+PFllYXI+MTk5OTwvWWVhcj48UmVjTnVtPjk3NzI8L1JlY051bT48cmVjb3JkPjxy
ZWMtbnVtYmVyPjk3NzI8L3JlYy1udW1iZXI+PGZvcmVpZ24ta2V5cz48a2V5IGFwcD0iRU4iIGRi
LWlkPSIwZXZlNTV4OXk1dmZkNmU5ZGFjeHRldzRlYXR2ZTJkemRzOWEiIHRpbWVzdGFtcD0iMTM5
NDI2NTcwMiI+OTc3Mjwva2V5PjwvZm9yZWlnbi1rZXlzPjxyZWYtdHlwZSBuYW1lPSJCb29rIj42
PC9yZWYtdHlwZT48Y29udHJpYnV0b3JzPjxhdXRob3JzPjxhdXRob3I+VGhvcm9nb29kLCBKb2hu
PC9hdXRob3I+PGF1dGhvcj5Cb2dnb24sIFQ8L2F1dGhvcj48L2F1dGhvcnM+PC9jb250cmlidXRv
cnM+PHRpdGxlcz48dGl0bGU+UGlvbmVlciBCYXkgZW52aXJvbm1lbnRhbCBtb25pdG9yaW5nIHBy
b2dyYW0uIEZvdXJ0aCBtb25pdG9yaW5nIGV2ZW50LCBOb3ZlbWJlciAxOTk5LjwvdGl0bGU+PC90
aXRsZXM+PHNlY3Rpb24+Mzk8L3NlY3Rpb24+PGRhdGVzPjx5ZWFyPjE5OTk8L3llYXI+PC9kYXRl
cz48cHViLWxvY2F0aW9uPldlbGxpbmd0b24gUG9pbnQsIEJyaXNiYW5lPC9wdWItbG9jYXRpb24+
PHB1Ymxpc2hlcj5GUkMgQ29hc3RhbCBSZXNvdXJjZSAmYW1wOyBFbnZpcm9ubWVudGFsPC9wdWJs
aXNoZXI+PHVybHM+PC91cmxzPjwvcmVjb3JkPjwvQ2l0ZT48Q2l0ZT48QXV0aG9yPk1lbGxvcnM8
L0F1dGhvcj48WWVhcj4yMDA1PC9ZZWFyPjxSZWNOdW0+MzczOTwvUmVjTnVtPjxyZWNvcmQ+PHJl
Yy1udW1iZXI+MzczOTwvcmVjLW51bWJlcj48Zm9yZWlnbi1rZXlzPjxrZXkgYXBwPSJFTiIgZGIt
aWQ9IjBldmU1NXg5eTV2ZmQ2ZTlkYWN4dGV3NGVhdHZlMmR6ZHM5YSIgdGltZXN0YW1wPSIwIj4z
NzM5PC9rZXk+PC9mb3JlaWduLWtleXM+PHJlZi10eXBlIG5hbWU9IkpvdXJuYWwgQXJ0aWNsZSI+
MTc8L3JlZi10eXBlPjxjb250cmlidXRvcnM+PGF1dGhvcnM+PGF1dGhvcj5NZWxsb3JzLCBKLjwv
YXV0aG9yPjxhdXRob3I+V2F5Y290dCwgTS48L2F1dGhvcj48YXV0aG9yPk1hcnNoLCBILjwvYXV0
aG9yPjwvYXV0aG9ycz48L2NvbnRyaWJ1dG9ycz48dGl0bGVzPjx0aXRsZT5WYXJpYXRpb24gaW4g
YmlvZ2VvY2hlbWljYWwgcGFyYW1ldGVycyBhY3Jvc3MgaW50ZXJ0aWRhbCBzZWFncmFzcyBtZWFk
b3dzIGluIHRoZSBjZW50cmFsIEdyZWF0IEJhcnJpZXIgUmVlZiByZWdpb248L3RpdGxlPjxzZWNv
bmRhcnktdGl0bGU+TWFyaW5lIFBvbGx1dGlvbiBCdWxsZXRpbjwvc2Vjb25kYXJ5LXRpdGxlPjwv
dGl0bGVzPjxwZXJpb2RpY2FsPjxmdWxsLXRpdGxlPk1hcmluZSBQb2xsdXRpb24gQnVsbGV0aW48
L2Z1bGwtdGl0bGU+PC9wZXJpb2RpY2FsPjxwYWdlcz4zMzUtMzQyPC9wYWdlcz48dm9sdW1lPjUx
PC92b2x1bWU+PG51bWJlcj4xLTQ8L251bWJlcj48ZGF0ZXM+PHllYXI+MjAwNTwveWVhcj48L2Rh
dGVzPjxpc2JuPjAwMjUtMzI2WDwvaXNibj48YWNjZXNzaW9uLW51bT5XT1M6MDAwMjI3OTgxODAw
MDMxPC9hY2Nlc3Npb24tbnVtPjx1cmxzPjxyZWxhdGVkLXVybHM+PHVybD4mbHQ7R28gdG8gSVNJ
Jmd0OzovL1dPUzowMDAyMjc5ODE4MDAwMzEgPC91cmw+PC9yZWxhdGVkLXVybHM+PC91cmxzPjxl
bGVjdHJvbmljLXJlc291cmNlLW51bT4xMC4xMDE2L2oubWFycG9sYnVsLjIwMDQuMTAuMDQ2PC9l
bGVjdHJvbmljLXJlc291cmNlLW51bT48L3JlY29yZD48L0NpdGU+PC9FbmROb3RlPn==
</w:fldData>
        </w:fldChar>
      </w:r>
      <w:r w:rsidR="004A409C">
        <w:rPr>
          <w:rFonts w:cs="Arial"/>
          <w:szCs w:val="22"/>
        </w:rPr>
        <w:instrText xml:space="preserve"> ADDIN EN.CITE </w:instrText>
      </w:r>
      <w:r w:rsidR="004A409C">
        <w:rPr>
          <w:rFonts w:cs="Arial"/>
          <w:szCs w:val="22"/>
        </w:rPr>
        <w:fldChar w:fldCharType="begin">
          <w:fldData xml:space="preserve">PEVuZE5vdGU+PENpdGU+PEF1dGhvcj5Mb2JiPC9BdXRob3I+PFllYXI+MjAwNjwvWWVhcj48UmVj
TnVtPjk3NTg8L1JlY051bT48RGlzcGxheVRleHQ+RGVubmlzb248c3R5bGUgZmFjZT0iaXRhbGlj
Ij4gZXQgYWwuPC9zdHlsZT4gMTk5NTsgSW5nbGlzIDE5OTk7IFRob3JvZ29vZCBhbmQgQm9nZ29u
IDE5OTk7IFVkeTxzdHlsZSBmYWNlPSJpdGFsaWMiPiBldCBhbC48L3N0eWxlPiAxOTk5OyBIYXlu
ZXM8c3R5bGUgZmFjZT0iaXRhbGljIj4gZXQgYWwuPC9zdHlsZT4gMjAwMDsgQ2FtcGJlbGwgYW5k
IE1jS2VuemllIDIwMDE7IE1lbGxvcnMgMjAwMzsgQ2FtcGJlbGwgYW5kIE1jS2VuemllIDIwMDQ7
IExpbXB1czxzdHlsZSBmYWNlPSJpdGFsaWMiPiBldCBhbC48L3N0eWxlPiAyMDA1OyBNY01haG9u
PHN0eWxlIGZhY2U9Iml0YWxpYyI+IGV0IGFsLjwvc3R5bGU+IDIwMDU7IE1lbGxvcnM8c3R5bGUg
ZmFjZT0iaXRhbGljIj4gZXQgYWwuPC9zdHlsZT4gMjAwNTsgTG9iYiAyMDA2PC9EaXNwbGF5VGV4
dD48cmVjb3JkPjxyZWMtbnVtYmVyPjk3NTg8L3JlYy1udW1iZXI+PGZvcmVpZ24ta2V5cz48a2V5
IGFwcD0iRU4iIGRiLWlkPSIwZXZlNTV4OXk1dmZkNmU5ZGFjeHRldzRlYXR2ZTJkemRzOWEiIHRp
bWVzdGFtcD0iMTM5NDI1Mjk1NSI+OTc1ODwva2V5PjwvZm9yZWlnbi1rZXlzPjxyZWYtdHlwZSBu
YW1lPSJUaGVzaXMiPjMyPC9yZWYtdHlwZT48Y29udHJpYnV0b3JzPjxhdXRob3JzPjxhdXRob3I+
TG9iYiwgS2VsbGllIEY8L2F1dGhvcj48L2F1dGhvcnM+PC9jb250cmlidXRvcnM+PHRpdGxlcz48
dGl0bGU+QnJvYWQgc2NhbGUgY29hc3RhbCBudXRyaWVudCBhc3Nlc3NtZW50IG9mIHRoZSBpbnNo
b3JlIEdyZWF0IEJhcnJpZXIgUmVlZiB1c2luZyBjYXJib24gYW5kIG5pdHJvZ2VuIGluIG1hcmlu
ZSBwbGFudHMgYW5kIHNlZGltZW50czwvdGl0bGU+PHNlY29uZGFyeS10aXRsZT5TY2hvb2wgb2Yg
SW50ZWdyYXRpdmUgQmlvbG9neTwvc2Vjb25kYXJ5LXRpdGxlPjwvdGl0bGVzPjxwYWdlcz42Mjwv
cGFnZXM+PHZvbHVtZT5CYWNoZWxvciBvZiBTY2llbmNlIHdpdGggSG9ub3Vyczwvdm9sdW1lPjxk
YXRlcz48eWVhcj4yMDA2PC95ZWFyPjxwdWItZGF0ZXM+PGRhdGU+T2N0b2JlciAyMDA2PC9kYXRl
PjwvcHViLWRhdGVzPjwvZGF0ZXM+PHB1Yi1sb2NhdGlvbj5CcmlzYmFuZTwvcHViLWxvY2F0aW9u
PjxwdWJsaXNoZXI+VGhlIFVuaXZlcnNpdHkgb2YgUXVlZW5zbGFuZDwvcHVibGlzaGVyPjx1cmxz
PjwvdXJscz48L3JlY29yZD48L0NpdGU+PENpdGU+PEF1dGhvcj5JbmdsaXM8L0F1dGhvcj48WWVh
cj4xOTk5PC9ZZWFyPjxSZWNOdW0+NTQwODwvUmVjTnVtPjxyZWNvcmQ+PHJlYy1udW1iZXI+NTQw
ODwvcmVjLW51bWJlcj48Zm9yZWlnbi1rZXlzPjxrZXkgYXBwPSJFTiIgZGItaWQ9IjBldmU1NXg5
eTV2ZmQ2ZTlkYWN4dGV3NGVhdHZlMmR6ZHM5YSIgdGltZXN0YW1wPSIwIj41NDA4PC9rZXk+PC9m
b3JlaWduLWtleXM+PHJlZi10eXBlIG5hbWU9IkpvdXJuYWwgQXJ0aWNsZSI+MTc8L3JlZi10eXBl
Pjxjb250cmlidXRvcnM+PGF1dGhvcnM+PGF1dGhvcj5JbmdsaXMsIEcgSjwvYXV0aG9yPjwvYXV0
aG9ycz48L2NvbnRyaWJ1dG9ycz48dGl0bGVzPjx0aXRsZT5WYXJpYXRpb24gaW4gdGhlIHJlY3J1
aXRtZW50IGJlaGF2aW91ciBvZiBzZWFncmFzcyBzZWVkczogaW1wbGljYXRpb25zIGZvciBwb3B1
bGF0aW9uIGR5bmFtaWNzIGFuZCByZXNvdXJjZSBtYW5hZ2VtZW50PC90aXRsZT48c2Vjb25kYXJ5
LXRpdGxlPlBhY2lmaWMgQ29uc2VydmF0aW9uIEJpb2xvZ3k8L3NlY29uZGFyeS10aXRsZT48L3Rp
dGxlcz48cGVyaW9kaWNhbD48ZnVsbC10aXRsZT5QYWNpZmljIENvbnNlcnZhdGlvbiBCaW9sb2d5
PC9mdWxsLXRpdGxlPjwvcGVyaW9kaWNhbD48cGFnZXM+MjUxLTI1OTwvcGFnZXM+PHZvbHVtZT41
PC92b2x1bWU+PGRhdGVzPjx5ZWFyPjE5OTk8L3llYXI+PC9kYXRlcz48dXJscz48L3VybHM+PC9y
ZWNvcmQ+PC9DaXRlPjxDaXRlPjxBdXRob3I+VWR5PC9BdXRob3I+PFllYXI+MTk5OTwvWWVhcj48
UmVjTnVtPjIzNzE8L1JlY051bT48cmVjb3JkPjxyZWMtbnVtYmVyPjIzNzE8L3JlYy1udW1iZXI+
PGZvcmVpZ24ta2V5cz48a2V5IGFwcD0iRU4iIGRiLWlkPSIwZXZlNTV4OXk1dmZkNmU5ZGFjeHRl
dzRlYXR2ZTJkemRzOWEiIHRpbWVzdGFtcD0iMCI+MjM3MTwva2V5PjwvZm9yZWlnbi1rZXlzPjxy
ZWYtdHlwZSBuYW1lPSJKb3VybmFsIEFydGljbGUiPjE3PC9yZWYtdHlwZT48Y29udHJpYnV0b3Jz
PjxhdXRob3JzPjxhdXRob3I+VWR5LCBKYW1lcyBXLjwvYXV0aG9yPjxhdXRob3I+RGVubmlzb24s
IFcuIEMuPC9hdXRob3I+PGF1dGhvcj5MZWUgTG9uZywgVy4gSi48L2F1dGhvcj48YXV0aG9yPk1j
S2VuemllLCBMZW4gSi48L2F1dGhvcj48L2F1dGhvcnM+PC9jb250cmlidXRvcnM+PHRpdGxlcz48
dGl0bGU+UmVzcG9uc2VzIG9mIHNlYWdyYXNzIHRvIG51dHJpZW50cyBpbiB0aGUgR3JlYXQgQmFy
cmllciBSZWVmLCBBdXN0cmFsaWEuPC90aXRsZT48c2Vjb25kYXJ5LXRpdGxlPk1hcmluZSBFY29s
b2d5IFByb2dyZXNzIFNlcmllczwvc2Vjb25kYXJ5LXRpdGxlPjwvdGl0bGVzPjxwZXJpb2RpY2Fs
PjxmdWxsLXRpdGxlPk1hcmluZSBFY29sb2d5IFByb2dyZXNzIFNlcmllczwvZnVsbC10aXRsZT48
L3BlcmlvZGljYWw+PHBhZ2VzPjI1Ny0yNzE8L3BhZ2VzPjx2b2x1bWU+MTg1PC92b2x1bWU+PGtl
eXdvcmRzPjxrZXl3b3JkPlNlYWdyYXNzLCBHcmVhdCBCYXJyaWVyIFJlZWYsIE51dHJpZW50czwv
a2V5d29yZD48L2tleXdvcmRzPjxkYXRlcz48eWVhcj4xOTk5PC95ZWFyPjxwdWItZGF0ZXM+PGRh
dGU+QXVndXN0IDIwPC9kYXRlPjwvcHViLWRhdGVzPjwvZGF0ZXM+PHVybHM+PC91cmxzPjxjdXN0
b20xPkFubmV4LiBMZW4gTWNLZW56aWUgQ29sbGVjdGlvbjwvY3VzdG9tMT48L3JlY29yZD48L0Np
dGU+PENpdGU+PEF1dGhvcj5NZWxsb3JzPC9BdXRob3I+PFllYXI+MjAwMzwvWWVhcj48UmVjTnVt
PjcwODY8L1JlY051bT48cmVjb3JkPjxyZWMtbnVtYmVyPjcwODY8L3JlYy1udW1iZXI+PGZvcmVp
Z24ta2V5cz48a2V5IGFwcD0iRU4iIGRiLWlkPSIwZXZlNTV4OXk1dmZkNmU5ZGFjeHRldzRlYXR2
ZTJkemRzOWEiIHRpbWVzdGFtcD0iMCI+NzA4Njwva2V5PjwvZm9yZWlnbi1rZXlzPjxyZWYtdHlw
ZSBuYW1lPSJCb29rIj42PC9yZWYtdHlwZT48Y29udHJpYnV0b3JzPjxhdXRob3JzPjxhdXRob3I+
TWVsbG9ycywgSi4gRS48L2F1dGhvcj48L2F1dGhvcnM+PC9jb250cmlidXRvcnM+PHRpdGxlcz48
dGl0bGU+U2VkaW1lbnQgYW5kIG51dHJpZW50IGR5bmFtaWNzIGluIGNvYXN0YWwgaW50ZXJ0aWRh
bCBzZWFncmFzcyBvZiBub3J0aCBlYXN0ZXJuIHRyb3BpY2FsIEF1c3RyYWxpYS4gUGhEIFRoZXNp
cy48L3RpdGxlPjwvdGl0bGVzPjxwYWdlcz4yODQ8L3BhZ2VzPjxkYXRlcz48eWVhcj4yMDAzPC95
ZWFyPjwvZGF0ZXM+PHB1Yi1sb2NhdGlvbj5TY2hvb2wgb2YgVHJvcGljYWwgRW52aXJvbm1lbnQg
U3R1ZGllcyBhbmQgR2VvZ3JhcGh5PC9wdWItbG9jYXRpb24+PHB1Ymxpc2hlcj5KYW1lcyBDb29r
IFVuaXZlcnNpdHksIFRvd25zdmlsbGU8L3B1Ymxpc2hlcj48dXJscz48L3VybHM+PC9yZWNvcmQ+
PC9DaXRlPjxDaXRlPjxBdXRob3I+TWVsbG9yczwvQXV0aG9yPjxZZWFyPjIwMDU8L1llYXI+PFJl
Y051bT4zNzM5PC9SZWNOdW0+PHJlY29yZD48cmVjLW51bWJlcj4zNzM5PC9yZWMtbnVtYmVyPjxm
b3JlaWduLWtleXM+PGtleSBhcHA9IkVOIiBkYi1pZD0iMGV2ZTU1eDl5NXZmZDZlOWRhY3h0ZXc0
ZWF0dmUyZHpkczlhIiB0aW1lc3RhbXA9IjAiPjM3Mzk8L2tleT48L2ZvcmVpZ24ta2V5cz48cmVm
LXR5cGUgbmFtZT0iSm91cm5hbCBBcnRpY2xlIj4xNzwvcmVmLXR5cGU+PGNvbnRyaWJ1dG9ycz48
YXV0aG9ycz48YXV0aG9yPk1lbGxvcnMsIEouPC9hdXRob3I+PGF1dGhvcj5XYXljb3R0LCBNLjwv
YXV0aG9yPjxhdXRob3I+TWFyc2gsIEguPC9hdXRob3I+PC9hdXRob3JzPjwvY29udHJpYnV0b3Jz
Pjx0aXRsZXM+PHRpdGxlPlZhcmlhdGlvbiBpbiBiaW9nZW9jaGVtaWNhbCBwYXJhbWV0ZXJzIGFj
cm9zcyBpbnRlcnRpZGFsIHNlYWdyYXNzIG1lYWRvd3MgaW4gdGhlIGNlbnRyYWwgR3JlYXQgQmFy
cmllciBSZWVmIHJlZ2lvbjwvdGl0bGU+PHNlY29uZGFyeS10aXRsZT5NYXJpbmUgUG9sbHV0aW9u
IEJ1bGxldGluPC9zZWNvbmRhcnktdGl0bGU+PC90aXRsZXM+PHBlcmlvZGljYWw+PGZ1bGwtdGl0
bGU+TWFyaW5lIFBvbGx1dGlvbiBCdWxsZXRpbjwvZnVsbC10aXRsZT48L3BlcmlvZGljYWw+PHBh
Z2VzPjMzNS0zNDI8L3BhZ2VzPjx2b2x1bWU+NTE8L3ZvbHVtZT48bnVtYmVyPjEtNDwvbnVtYmVy
PjxkYXRlcz48eWVhcj4yMDA1PC95ZWFyPjwvZGF0ZXM+PGlzYm4+MDAyNS0zMjZYPC9pc2JuPjxh
Y2Nlc3Npb24tbnVtPldPUzowMDAyMjc5ODE4MDAwMzE8L2FjY2Vzc2lvbi1udW0+PHVybHM+PHJl
bGF0ZWQtdXJscz48dXJsPiZsdDtHbyB0byBJU0kmZ3Q7Oi8vV09TOjAwMDIyNzk4MTgwMDAzMSA8
L3VybD48L3JlbGF0ZWQtdXJscz48L3VybHM+PGVsZWN0cm9uaWMtcmVzb3VyY2UtbnVtPjEwLjEw
MTYvai5tYXJwb2xidWwuMjAwNC4xMC4wNDY8L2VsZWN0cm9uaWMtcmVzb3VyY2UtbnVtPjwvcmVj
b3JkPjwvQ2l0ZT48Q2l0ZT48QXV0aG9yPkhheW5lczwvQXV0aG9yPjxZZWFyPjIwMDA8L1llYXI+
PFJlY051bT43MzQwPC9SZWNOdW0+PHJlY29yZD48cmVjLW51bWJlcj43MzQwPC9yZWMtbnVtYmVy
Pjxmb3JlaWduLWtleXM+PGtleSBhcHA9IkVOIiBkYi1pZD0iMGV2ZTU1eDl5NXZmZDZlOWRhY3h0
ZXc0ZWF0dmUyZHpkczlhIiB0aW1lc3RhbXA9IjAiPjczNDA8L2tleT48L2ZvcmVpZ24ta2V5cz48
cmVmLXR5cGUgbmFtZT0iSm91cm5hbCBBcnRpY2xlIj4xNzwvcmVmLXR5cGU+PGNvbnRyaWJ1dG9y
cz48YXV0aG9ycz48YXV0aG9yPkhheW5lcywgRC48L2F1dGhvcj48YXV0aG9yPk3DvGxsZXIsIEou
PC9hdXRob3I+PGF1dGhvcj5DYXJ0ZXIsIFMuPC9hdXRob3I+PC9hdXRob3JzPjwvY29udHJpYnV0
b3JzPjx0aXRsZXM+PHRpdGxlPlBlc3RpY2lkZSBhbmQgSGVyYmljaWRlIFJlc2lkdWVzIGluIFNl
ZGltZW50cyBhbmQgU2VhZ3Jhc3NlcyBmcm9tIHRoZSBHcmVhdCBCYXJyaWVyIFJlZWYgV29ybGQg
SGVyaXRhZ2UgQXJlYSBhbmQgUXVlZW5zbGFuZCBDb2FzdDwvdGl0bGU+PHNlY29uZGFyeS10aXRs
ZT5NYXJpbmUgUG9sbHV0aW9uIEJ1bGxldGluPC9zZWNvbmRhcnktdGl0bGU+PC90aXRsZXM+PHBl
cmlvZGljYWw+PGZ1bGwtdGl0bGU+TWFyaW5lIFBvbGx1dGlvbiBCdWxsZXRpbjwvZnVsbC10aXRs
ZT48L3BlcmlvZGljYWw+PHBhZ2VzPjI3OS0yODc8L3BhZ2VzPjx2b2x1bWU+NDE8L3ZvbHVtZT48
bnVtYmVyPjctMTI8L251bWJlcj48ZGF0ZXM+PHllYXI+MjAwMDwveWVhcj48L2RhdGVzPjx1cmxz
PjwvdXJscz48L3JlY29yZD48L0NpdGU+PENpdGU+PEF1dGhvcj5NY01haG9uPC9BdXRob3I+PFll
YXI+MjAwNTwvWWVhcj48UmVjTnVtPjc0MTg8L1JlY051bT48cmVjb3JkPjxyZWMtbnVtYmVyPjc0
MTg8L3JlYy1udW1iZXI+PGZvcmVpZ24ta2V5cz48a2V5IGFwcD0iRU4iIGRiLWlkPSIwZXZlNTV4
OXk1dmZkNmU5ZGFjeHRldzRlYXR2ZTJkemRzOWEiIHRpbWVzdGFtcD0iMCI+NzQxODwva2V5Pjwv
Zm9yZWlnbi1rZXlzPjxyZWYtdHlwZSBuYW1lPSJKb3VybmFsIEFydGljbGUiPjE3PC9yZWYtdHlw
ZT48Y29udHJpYnV0b3JzPjxhdXRob3JzPjxhdXRob3I+TWNNYWhvbiwgSy5NLjwvYXV0aG9yPjxh
dXRob3I+QmVuZ3N0b24tTmFzaCwgU3VzYW48L2F1dGhvcj48YXV0aG9yPkVhZ2xlc2hhbSwgR2Vv
ZmYgSzwvYXV0aG9yPjxhdXRob3I+TXVlbGxlciwgSi48L2F1dGhvcj48YXV0aG9yPkR1a2UsIE4u
IEMuPC9hdXRob3I+PGF1dGhvcj5XaW5kZXJsaWNoLCBTLjwvYXV0aG9yPjwvYXV0aG9ycz48L2Nv
bnRyaWJ1dG9ycz48dGl0bGVzPjx0aXRsZT5IZXJiaWNpZGUgY29udGFtaW5hdGlvbiBhbmQgdGhl
IHBvdGVudGlhbCBpbXBhY3QgdG8gc2VhZ3Jhc3MgbWVhZG93cyBpbiBIZXJ2ZXkgQmF5LCBRdWVl
bnNsYW5kLCBBdXN0cmFsaWE8L3RpdGxlPjxzZWNvbmRhcnktdGl0bGU+TWFyaW5lIFBvbGx1dGlv
biBCdWxsZXRpbjwvc2Vjb25kYXJ5LXRpdGxlPjwvdGl0bGVzPjxwZXJpb2RpY2FsPjxmdWxsLXRp
dGxlPk1hcmluZSBQb2xsdXRpb24gQnVsbGV0aW48L2Z1bGwtdGl0bGU+PC9wZXJpb2RpY2FsPjxw
YWdlcz4zMjUtMzM0PC9wYWdlcz48dm9sdW1lPjUxPC92b2x1bWU+PGRhdGVzPjx5ZWFyPjIwMDU8
L3llYXI+PC9kYXRlcz48dXJscz48L3VybHM+PC9yZWNvcmQ+PC9DaXRlPjxDaXRlPjxBdXRob3I+
Q2FtcGJlbGw8L0F1dGhvcj48WWVhcj4yMDA0PC9ZZWFyPjxSZWNOdW0+MjgzODwvUmVjTnVtPjxy
ZWNvcmQ+PHJlYy1udW1iZXI+MjgzODwvcmVjLW51bWJlcj48Zm9yZWlnbi1rZXlzPjxrZXkgYXBw
PSJFTiIgZGItaWQ9IjBldmU1NXg5eTV2ZmQ2ZTlkYWN4dGV3NGVhdHZlMmR6ZHM5YSIgdGltZXN0
YW1wPSIwIj4yODM4PC9rZXk+PC9mb3JlaWduLWtleXM+PHJlZi10eXBlIG5hbWU9IkpvdXJuYWwg
QXJ0aWNsZSI+MTc8L3JlZi10eXBlPjxjb250cmlidXRvcnM+PGF1dGhvcnM+PGF1dGhvcj5DYW1w
YmVsbCwgU3R1YXJ0IEouPC9hdXRob3I+PGF1dGhvcj5NY0tlbnppZSwgTGVuIEouPC9hdXRob3I+
PC9hdXRob3JzPjwvY29udHJpYnV0b3JzPjx0aXRsZXM+PHRpdGxlPkZsb29kIHJlbGF0ZWQgbG9z
cyBhbmQgcmVjb3Zlcnkgb2YgaW50ZXJ0aWRhbCBzZWFncmFzcyBtZWFkb3dzIGluIHNvdXRoZXJu
IFF1ZWVuc2xhbmQsIEF1c3RyYWxpYTwvdGl0bGU+PHNlY29uZGFyeS10aXRsZT5Fc3R1YXJpbmUs
IENvYXN0YWwgYW5kIFNoZWxmIFNjaWVuY2U8L3NlY29uZGFyeS10aXRsZT48L3RpdGxlcz48cGVy
aW9kaWNhbD48ZnVsbC10aXRsZT5Fc3R1YXJpbmUsIENvYXN0YWwgYW5kIFNoZWxmIFNjaWVuY2U8
L2Z1bGwtdGl0bGU+PC9wZXJpb2RpY2FsPjxwYWdlcz40NzctNDkwPC9wYWdlcz48dm9sdW1lPjYw
PC92b2x1bWU+PG51bWJlcj4zPC9udW1iZXI+PGRhdGVzPjx5ZWFyPjIwMDQ8L3llYXI+PHB1Yi1k
YXRlcz48ZGF0ZT4yMDA0Lzc8L2RhdGU+PC9wdWItZGF0ZXM+PC9kYXRlcz48dXJscz48cmVsYXRl
ZC11cmxzPjx1cmw+aHR0cDovL3d3dy5zY2llbmNlZGlyZWN0LmNvbS9zY2llbmNlL2FydGljbGUv
QjZXRFYtNEM0QkpSNS01LzIvMTU0ODEwOTg3MjAyZmM2ZDI3YmE2ZmEzNWMwN2YxOTc8L3VybD48
L3JlbGF0ZWQtdXJscz48L3VybHM+PC9yZWNvcmQ+PC9DaXRlPjxDaXRlPjxBdXRob3I+Q2FtcGJl
bGw8L0F1dGhvcj48WWVhcj4yMDAxPC9ZZWFyPjxSZWNOdW0+OTM0MTwvUmVjTnVtPjxyZWNvcmQ+
PHJlYy1udW1iZXI+OTM0MTwvcmVjLW51bWJlcj48Zm9yZWlnbi1rZXlzPjxrZXkgYXBwPSJFTiIg
ZGItaWQ9IjBldmU1NXg5eTV2ZmQ2ZTlkYWN4dGV3NGVhdHZlMmR6ZHM5YSIgdGltZXN0YW1wPSIx
Mzc1MDUyNDc4Ij45MzQxPC9rZXk+PC9mb3JlaWduLWtleXM+PHJlZi10eXBlIG5hbWU9IlJlcG9y
dCI+Mjc8L3JlZi10eXBlPjxjb250cmlidXRvcnM+PGF1dGhvcnM+PGF1dGhvcj5DYW1wYmVsbCwg
U3R1YXJ0IEo8L2F1dGhvcj48YXV0aG9yPk1jS2VuemllLCBMZW4gSjwvYXV0aG9yPjwvYXV0aG9y
cz48L2NvbnRyaWJ1dG9ycz48dGl0bGVzPjx0aXRsZT5TZWFncmFzcyBhbmQgYWxnYWwgYWJ1bmRh
bmNlIGluIHRoZSBXaGl0c3VuZGF5cyByZWdpb24uIFN0YXR1cyBSZXBvcnQuPC90aXRsZT48L3Rp
dGxlcz48c2VjdGlvbj4xNDwvc2VjdGlvbj48ZGF0ZXM+PHllYXI+MjAwMTwveWVhcj48L2RhdGVz
PjxwdWItbG9jYXRpb24+Q2Fpcm5zPC9wdWItbG9jYXRpb24+PHB1Ymxpc2hlcj5EZXBhcnRtZW50
IG9mIFByaW1hcnkgSW5kdXN0cmllczwvcHVibGlzaGVyPjx1cmxzPjwvdXJscz48L3JlY29yZD48
L0NpdGU+PENpdGU+PEF1dGhvcj5MaW1wdXM8L0F1dGhvcj48WWVhcj4yMDA1PC9ZZWFyPjxSZWNO
dW0+OTY5MTwvUmVjTnVtPjxyZWNvcmQ+PHJlYy1udW1iZXI+OTY5MTwvcmVjLW51bWJlcj48Zm9y
ZWlnbi1rZXlzPjxrZXkgYXBwPSJFTiIgZGItaWQ9IjBldmU1NXg5eTV2ZmQ2ZTlkYWN4dGV3NGVh
dHZlMmR6ZHM5YSIgdGltZXN0YW1wPSIxMzkyOTQxOTkxIj45NjkxPC9rZXk+PC9mb3JlaWduLWtl
eXM+PHJlZi10eXBlIG5hbWU9IkJvb2siPjY8L3JlZi10eXBlPjxjb250cmlidXRvcnM+PGF1dGhv
cnM+PGF1dGhvcj5MaW1wdXMsIENvbGluIEo8L2F1dGhvcj48YXV0aG9yPkxpbXB1cywgRHVuY2Fu
IEogPC9hdXRob3I+PGF1dGhvcj5BcnRodXIsIEthcmVuIEU8L2F1dGhvcj48YXV0aG9yPlBhcm1l
bnRlciwgQyBKb2huPC9hdXRob3I+PC9hdXRob3JzPjwvY29udHJpYnV0b3JzPjx0aXRsZXM+PHRp
dGxlPk1vbml0b3JpbmcgR3JlZW4gVHVydGxlIFBvcHVsYXRpb24gRHluYW1pY3MgaW4gU2hvYWx3
YXRlciBCYXk6MjAwMCAtIDIwMDQuIEdCUk1QQSBSZXNlYXJjaCBQdWJsaWNhdGlvbiBObyA4MyA8
L3RpdGxlPjwvdGl0bGVzPjxzZWN0aW9uPjUwPC9zZWN0aW9uPjxkYXRlcz48eWVhcj4yMDA1PC95
ZWFyPjwvZGF0ZXM+PHB1Yi1sb2NhdGlvbj5Ub3duc3ZpbGxlPC9wdWItbG9jYXRpb24+PHB1Ymxp
c2hlcj5HcmVhdCBCYXJyaWVyIFJlZWYgTWFyaW5lIFBhcmsgQXV0aG9yaXR5PC9wdWJsaXNoZXI+
PHVybHM+PC91cmxzPjwvcmVjb3JkPjwvQ2l0ZT48Q2l0ZT48QXV0aG9yPkRlbm5pc29uPC9BdXRo
b3I+PFllYXI+MTk5NTwvWWVhcj48UmVjTnVtPjk3NzE8L1JlY051bT48cmVjb3JkPjxyZWMtbnVt
YmVyPjk3NzE8L3JlYy1udW1iZXI+PGZvcmVpZ24ta2V5cz48a2V5IGFwcD0iRU4iIGRiLWlkPSIw
ZXZlNTV4OXk1dmZkNmU5ZGFjeHRldzRlYXR2ZTJkemRzOWEiIHRpbWVzdGFtcD0iMTM5NDI2NTUz
NSI+OTc3MTwva2V5PjwvZm9yZWlnbi1rZXlzPjxyZWYtdHlwZSBuYW1lPSJCb29rIj42PC9yZWYt
dHlwZT48Y29udHJpYnV0b3JzPjxhdXRob3JzPjxhdXRob3I+RGVubmlzb24sIFdpbGxpYW0gQy48
L2F1dGhvcj48YXV0aG9yPk8mYXBvcztEb25ub2h1ZSwgTSBLPC9hdXRob3I+PGF1dGhvcj5BYmFs
LCBFIEc8L2F1dGhvcj48L2F1dGhvcnM+PC9jb250cmlidXRvcnM+PHRpdGxlcz48dGl0bGU+QW4g
YXNzZXNzbWVudCBvZiBudXRyaWVudCBiaW9pbmRpY2F0b3JzIHVzaW5nIG1hcmluZSBwbGFudHMg
aW4gdGhlIHJlZ2lvbiBvZiBQaW9uZWVyIEJheSwgQWlybGllIEJlYWNoLCBRdWVlbnNsYW5kLiBE
cnkgc2Vhc29uIHNhbXBsaW5nLCBTZXB0ZW1iZXIgMTk5NTwvdGl0bGU+PC90aXRsZXM+PHNlY3Rp
b24+NDA8L3NlY3Rpb24+PGRhdGVzPjx5ZWFyPjE5OTU8L3llYXI+PC9kYXRlcz48cHViLWxvY2F0
aW9uPkJyaXNiYW5lPC9wdWItbG9jYXRpb24+PHB1Ymxpc2hlcj5NYXJpbmUgQm90YW55IFNlY3Rp
b24sIERlcGFydG1lbnQgb2YgQm90YW55LCBVbml2ZXJzaXR5IG9mIFF1ZWVuc2xhbmQ8L3B1Ymxp
c2hlcj48dXJscz48L3VybHM+PC9yZWNvcmQ+PC9DaXRlPjxDaXRlPjxBdXRob3I+VGhvcm9nb29k
PC9BdXRob3I+PFllYXI+MTk5OTwvWWVhcj48UmVjTnVtPjk3NzI8L1JlY051bT48cmVjb3JkPjxy
ZWMtbnVtYmVyPjk3NzI8L3JlYy1udW1iZXI+PGZvcmVpZ24ta2V5cz48a2V5IGFwcD0iRU4iIGRi
LWlkPSIwZXZlNTV4OXk1dmZkNmU5ZGFjeHRldzRlYXR2ZTJkemRzOWEiIHRpbWVzdGFtcD0iMTM5
NDI2NTcwMiI+OTc3Mjwva2V5PjwvZm9yZWlnbi1rZXlzPjxyZWYtdHlwZSBuYW1lPSJCb29rIj42
PC9yZWYtdHlwZT48Y29udHJpYnV0b3JzPjxhdXRob3JzPjxhdXRob3I+VGhvcm9nb29kLCBKb2hu
PC9hdXRob3I+PGF1dGhvcj5Cb2dnb24sIFQ8L2F1dGhvcj48L2F1dGhvcnM+PC9jb250cmlidXRv
cnM+PHRpdGxlcz48dGl0bGU+UGlvbmVlciBCYXkgZW52aXJvbm1lbnRhbCBtb25pdG9yaW5nIHBy
b2dyYW0uIEZvdXJ0aCBtb25pdG9yaW5nIGV2ZW50LCBOb3ZlbWJlciAxOTk5LjwvdGl0bGU+PC90
aXRsZXM+PHNlY3Rpb24+Mzk8L3NlY3Rpb24+PGRhdGVzPjx5ZWFyPjE5OTk8L3llYXI+PC9kYXRl
cz48cHViLWxvY2F0aW9uPldlbGxpbmd0b24gUG9pbnQsIEJyaXNiYW5lPC9wdWItbG9jYXRpb24+
PHB1Ymxpc2hlcj5GUkMgQ29hc3RhbCBSZXNvdXJjZSAmYW1wOyBFbnZpcm9ubWVudGFsPC9wdWJs
aXNoZXI+PHVybHM+PC91cmxzPjwvcmVjb3JkPjwvQ2l0ZT48Q2l0ZT48QXV0aG9yPk1lbGxvcnM8
L0F1dGhvcj48WWVhcj4yMDA1PC9ZZWFyPjxSZWNOdW0+MzczOTwvUmVjTnVtPjxyZWNvcmQ+PHJl
Yy1udW1iZXI+MzczOTwvcmVjLW51bWJlcj48Zm9yZWlnbi1rZXlzPjxrZXkgYXBwPSJFTiIgZGIt
aWQ9IjBldmU1NXg5eTV2ZmQ2ZTlkYWN4dGV3NGVhdHZlMmR6ZHM5YSIgdGltZXN0YW1wPSIwIj4z
NzM5PC9rZXk+PC9mb3JlaWduLWtleXM+PHJlZi10eXBlIG5hbWU9IkpvdXJuYWwgQXJ0aWNsZSI+
MTc8L3JlZi10eXBlPjxjb250cmlidXRvcnM+PGF1dGhvcnM+PGF1dGhvcj5NZWxsb3JzLCBKLjwv
YXV0aG9yPjxhdXRob3I+V2F5Y290dCwgTS48L2F1dGhvcj48YXV0aG9yPk1hcnNoLCBILjwvYXV0
aG9yPjwvYXV0aG9ycz48L2NvbnRyaWJ1dG9ycz48dGl0bGVzPjx0aXRsZT5WYXJpYXRpb24gaW4g
YmlvZ2VvY2hlbWljYWwgcGFyYW1ldGVycyBhY3Jvc3MgaW50ZXJ0aWRhbCBzZWFncmFzcyBtZWFk
b3dzIGluIHRoZSBjZW50cmFsIEdyZWF0IEJhcnJpZXIgUmVlZiByZWdpb248L3RpdGxlPjxzZWNv
bmRhcnktdGl0bGU+TWFyaW5lIFBvbGx1dGlvbiBCdWxsZXRpbjwvc2Vjb25kYXJ5LXRpdGxlPjwv
dGl0bGVzPjxwZXJpb2RpY2FsPjxmdWxsLXRpdGxlPk1hcmluZSBQb2xsdXRpb24gQnVsbGV0aW48
L2Z1bGwtdGl0bGU+PC9wZXJpb2RpY2FsPjxwYWdlcz4zMzUtMzQyPC9wYWdlcz48dm9sdW1lPjUx
PC92b2x1bWU+PG51bWJlcj4xLTQ8L251bWJlcj48ZGF0ZXM+PHllYXI+MjAwNTwveWVhcj48L2Rh
dGVzPjxpc2JuPjAwMjUtMzI2WDwvaXNibj48YWNjZXNzaW9uLW51bT5XT1M6MDAwMjI3OTgxODAw
MDMxPC9hY2Nlc3Npb24tbnVtPjx1cmxzPjxyZWxhdGVkLXVybHM+PHVybD4mbHQ7R28gdG8gSVNJ
Jmd0OzovL1dPUzowMDAyMjc5ODE4MDAwMzEgPC91cmw+PC9yZWxhdGVkLXVybHM+PC91cmxzPjxl
bGVjdHJvbmljLXJlc291cmNlLW51bT4xMC4xMDE2L2oubWFycG9sYnVsLjIwMDQuMTAuMDQ2PC9l
bGVjdHJvbmljLXJlc291cmNlLW51bT48L3JlY29yZD48L0NpdGU+PC9FbmROb3RlPn==
</w:fldData>
        </w:fldChar>
      </w:r>
      <w:r w:rsidR="004A409C">
        <w:rPr>
          <w:rFonts w:cs="Arial"/>
          <w:szCs w:val="22"/>
        </w:rPr>
        <w:instrText xml:space="preserve"> ADDIN EN.CITE.DATA </w:instrText>
      </w:r>
      <w:r w:rsidR="004A409C">
        <w:rPr>
          <w:rFonts w:cs="Arial"/>
          <w:szCs w:val="22"/>
        </w:rPr>
      </w:r>
      <w:r w:rsidR="004A409C">
        <w:rPr>
          <w:rFonts w:cs="Arial"/>
          <w:szCs w:val="22"/>
        </w:rPr>
        <w:fldChar w:fldCharType="end"/>
      </w:r>
      <w:r w:rsidR="00644A84" w:rsidRPr="005B2157">
        <w:rPr>
          <w:rFonts w:cs="Arial"/>
          <w:szCs w:val="22"/>
        </w:rPr>
      </w:r>
      <w:r w:rsidR="00644A84" w:rsidRPr="005B2157">
        <w:rPr>
          <w:rFonts w:cs="Arial"/>
          <w:szCs w:val="22"/>
        </w:rPr>
        <w:fldChar w:fldCharType="separate"/>
      </w:r>
      <w:hyperlink w:anchor="_ENREF_47" w:tooltip="Dennison, 1995 #9771" w:history="1">
        <w:r w:rsidR="009A7AB4">
          <w:rPr>
            <w:rFonts w:cs="Arial"/>
            <w:noProof/>
            <w:szCs w:val="22"/>
          </w:rPr>
          <w:t>Dennison</w:t>
        </w:r>
        <w:r w:rsidR="009A7AB4" w:rsidRPr="004A409C">
          <w:rPr>
            <w:rFonts w:cs="Arial"/>
            <w:i/>
            <w:noProof/>
            <w:szCs w:val="22"/>
          </w:rPr>
          <w:t xml:space="preserve"> et al.</w:t>
        </w:r>
        <w:r w:rsidR="009A7AB4">
          <w:rPr>
            <w:rFonts w:cs="Arial"/>
            <w:noProof/>
            <w:szCs w:val="22"/>
          </w:rPr>
          <w:t xml:space="preserve"> 1995</w:t>
        </w:r>
      </w:hyperlink>
      <w:r w:rsidR="004A409C">
        <w:rPr>
          <w:rFonts w:cs="Arial"/>
          <w:noProof/>
          <w:szCs w:val="22"/>
        </w:rPr>
        <w:t xml:space="preserve">; </w:t>
      </w:r>
      <w:hyperlink w:anchor="_ENREF_77" w:tooltip="Inglis, 1999 #5408" w:history="1">
        <w:r w:rsidR="009A7AB4">
          <w:rPr>
            <w:rFonts w:cs="Arial"/>
            <w:noProof/>
            <w:szCs w:val="22"/>
          </w:rPr>
          <w:t>Inglis 1999</w:t>
        </w:r>
      </w:hyperlink>
      <w:r w:rsidR="004A409C">
        <w:rPr>
          <w:rFonts w:cs="Arial"/>
          <w:noProof/>
          <w:szCs w:val="22"/>
        </w:rPr>
        <w:t xml:space="preserve">; </w:t>
      </w:r>
      <w:hyperlink w:anchor="_ENREF_140" w:tooltip="Thorogood, 1999 #9772" w:history="1">
        <w:r w:rsidR="009A7AB4">
          <w:rPr>
            <w:rFonts w:cs="Arial"/>
            <w:noProof/>
            <w:szCs w:val="22"/>
          </w:rPr>
          <w:t>Thorogood and Boggon 1999</w:t>
        </w:r>
      </w:hyperlink>
      <w:r w:rsidR="004A409C">
        <w:rPr>
          <w:rFonts w:cs="Arial"/>
          <w:noProof/>
          <w:szCs w:val="22"/>
        </w:rPr>
        <w:t xml:space="preserve">; </w:t>
      </w:r>
      <w:hyperlink w:anchor="_ENREF_143" w:tooltip="Udy, 1999 #2371" w:history="1">
        <w:r w:rsidR="009A7AB4">
          <w:rPr>
            <w:rFonts w:cs="Arial"/>
            <w:noProof/>
            <w:szCs w:val="22"/>
          </w:rPr>
          <w:t>Udy</w:t>
        </w:r>
        <w:r w:rsidR="009A7AB4" w:rsidRPr="004A409C">
          <w:rPr>
            <w:rFonts w:cs="Arial"/>
            <w:i/>
            <w:noProof/>
            <w:szCs w:val="22"/>
          </w:rPr>
          <w:t xml:space="preserve"> et al.</w:t>
        </w:r>
        <w:r w:rsidR="009A7AB4">
          <w:rPr>
            <w:rFonts w:cs="Arial"/>
            <w:noProof/>
            <w:szCs w:val="22"/>
          </w:rPr>
          <w:t xml:space="preserve"> 1999</w:t>
        </w:r>
      </w:hyperlink>
      <w:r w:rsidR="004A409C">
        <w:rPr>
          <w:rFonts w:cs="Arial"/>
          <w:noProof/>
          <w:szCs w:val="22"/>
        </w:rPr>
        <w:t xml:space="preserve">; </w:t>
      </w:r>
      <w:hyperlink w:anchor="_ENREF_71" w:tooltip="Haynes, 2000 #7340" w:history="1">
        <w:r w:rsidR="009A7AB4">
          <w:rPr>
            <w:rFonts w:cs="Arial"/>
            <w:noProof/>
            <w:szCs w:val="22"/>
          </w:rPr>
          <w:t>Haynes</w:t>
        </w:r>
        <w:r w:rsidR="009A7AB4" w:rsidRPr="004A409C">
          <w:rPr>
            <w:rFonts w:cs="Arial"/>
            <w:i/>
            <w:noProof/>
            <w:szCs w:val="22"/>
          </w:rPr>
          <w:t xml:space="preserve"> et al.</w:t>
        </w:r>
        <w:r w:rsidR="009A7AB4">
          <w:rPr>
            <w:rFonts w:cs="Arial"/>
            <w:noProof/>
            <w:szCs w:val="22"/>
          </w:rPr>
          <w:t xml:space="preserve"> 2000</w:t>
        </w:r>
      </w:hyperlink>
      <w:r w:rsidR="004A409C">
        <w:rPr>
          <w:rFonts w:cs="Arial"/>
          <w:noProof/>
          <w:szCs w:val="22"/>
        </w:rPr>
        <w:t xml:space="preserve">; </w:t>
      </w:r>
      <w:hyperlink w:anchor="_ENREF_18" w:tooltip="Campbell, 2001 #9341" w:history="1">
        <w:r w:rsidR="009A7AB4">
          <w:rPr>
            <w:rFonts w:cs="Arial"/>
            <w:noProof/>
            <w:szCs w:val="22"/>
          </w:rPr>
          <w:t>Campbell and McKenzie 2001</w:t>
        </w:r>
      </w:hyperlink>
      <w:r w:rsidR="004A409C">
        <w:rPr>
          <w:rFonts w:cs="Arial"/>
          <w:noProof/>
          <w:szCs w:val="22"/>
        </w:rPr>
        <w:t xml:space="preserve">; </w:t>
      </w:r>
      <w:hyperlink w:anchor="_ENREF_118" w:tooltip="Mellors, 2003 #7086" w:history="1">
        <w:r w:rsidR="009A7AB4">
          <w:rPr>
            <w:rFonts w:cs="Arial"/>
            <w:noProof/>
            <w:szCs w:val="22"/>
          </w:rPr>
          <w:t>Mellors 2003</w:t>
        </w:r>
      </w:hyperlink>
      <w:r w:rsidR="004A409C">
        <w:rPr>
          <w:rFonts w:cs="Arial"/>
          <w:noProof/>
          <w:szCs w:val="22"/>
        </w:rPr>
        <w:t xml:space="preserve">; </w:t>
      </w:r>
      <w:hyperlink w:anchor="_ENREF_19" w:tooltip="Campbell, 2004 #2838" w:history="1">
        <w:r w:rsidR="009A7AB4">
          <w:rPr>
            <w:rFonts w:cs="Arial"/>
            <w:noProof/>
            <w:szCs w:val="22"/>
          </w:rPr>
          <w:t>Campbell and McKenzie 2004</w:t>
        </w:r>
      </w:hyperlink>
      <w:r w:rsidR="004A409C">
        <w:rPr>
          <w:rFonts w:cs="Arial"/>
          <w:noProof/>
          <w:szCs w:val="22"/>
        </w:rPr>
        <w:t xml:space="preserve">; </w:t>
      </w:r>
      <w:hyperlink w:anchor="_ENREF_92" w:tooltip="Limpus, 2005 #9691" w:history="1">
        <w:r w:rsidR="009A7AB4">
          <w:rPr>
            <w:rFonts w:cs="Arial"/>
            <w:noProof/>
            <w:szCs w:val="22"/>
          </w:rPr>
          <w:t>Limpus</w:t>
        </w:r>
        <w:r w:rsidR="009A7AB4" w:rsidRPr="004A409C">
          <w:rPr>
            <w:rFonts w:cs="Arial"/>
            <w:i/>
            <w:noProof/>
            <w:szCs w:val="22"/>
          </w:rPr>
          <w:t xml:space="preserve"> et al.</w:t>
        </w:r>
        <w:r w:rsidR="009A7AB4">
          <w:rPr>
            <w:rFonts w:cs="Arial"/>
            <w:noProof/>
            <w:szCs w:val="22"/>
          </w:rPr>
          <w:t xml:space="preserve"> 2005</w:t>
        </w:r>
      </w:hyperlink>
      <w:r w:rsidR="004A409C">
        <w:rPr>
          <w:rFonts w:cs="Arial"/>
          <w:noProof/>
          <w:szCs w:val="22"/>
        </w:rPr>
        <w:t xml:space="preserve">; </w:t>
      </w:r>
      <w:hyperlink w:anchor="_ENREF_116" w:tooltip="McMahon, 2005 #7418" w:history="1">
        <w:r w:rsidR="009A7AB4">
          <w:rPr>
            <w:rFonts w:cs="Arial"/>
            <w:noProof/>
            <w:szCs w:val="22"/>
          </w:rPr>
          <w:t>McMahon</w:t>
        </w:r>
        <w:r w:rsidR="009A7AB4" w:rsidRPr="004A409C">
          <w:rPr>
            <w:rFonts w:cs="Arial"/>
            <w:i/>
            <w:noProof/>
            <w:szCs w:val="22"/>
          </w:rPr>
          <w:t xml:space="preserve"> et al.</w:t>
        </w:r>
        <w:r w:rsidR="009A7AB4">
          <w:rPr>
            <w:rFonts w:cs="Arial"/>
            <w:noProof/>
            <w:szCs w:val="22"/>
          </w:rPr>
          <w:t xml:space="preserve"> 2005</w:t>
        </w:r>
      </w:hyperlink>
      <w:r w:rsidR="004A409C">
        <w:rPr>
          <w:rFonts w:cs="Arial"/>
          <w:noProof/>
          <w:szCs w:val="22"/>
        </w:rPr>
        <w:t xml:space="preserve">; </w:t>
      </w:r>
      <w:hyperlink w:anchor="_ENREF_117" w:tooltip="Mellors, 2005 #3739" w:history="1">
        <w:r w:rsidR="009A7AB4">
          <w:rPr>
            <w:rFonts w:cs="Arial"/>
            <w:noProof/>
            <w:szCs w:val="22"/>
          </w:rPr>
          <w:t>Mellors</w:t>
        </w:r>
        <w:r w:rsidR="009A7AB4" w:rsidRPr="004A409C">
          <w:rPr>
            <w:rFonts w:cs="Arial"/>
            <w:i/>
            <w:noProof/>
            <w:szCs w:val="22"/>
          </w:rPr>
          <w:t xml:space="preserve"> et al.</w:t>
        </w:r>
        <w:r w:rsidR="009A7AB4">
          <w:rPr>
            <w:rFonts w:cs="Arial"/>
            <w:noProof/>
            <w:szCs w:val="22"/>
          </w:rPr>
          <w:t xml:space="preserve"> 2005</w:t>
        </w:r>
      </w:hyperlink>
      <w:r w:rsidR="004A409C">
        <w:rPr>
          <w:rFonts w:cs="Arial"/>
          <w:noProof/>
          <w:szCs w:val="22"/>
        </w:rPr>
        <w:t xml:space="preserve">; </w:t>
      </w:r>
      <w:hyperlink w:anchor="_ENREF_93" w:tooltip="Lobb, 2006 #9758" w:history="1">
        <w:r w:rsidR="009A7AB4">
          <w:rPr>
            <w:rFonts w:cs="Arial"/>
            <w:noProof/>
            <w:szCs w:val="22"/>
          </w:rPr>
          <w:t>Lobb 2006</w:t>
        </w:r>
      </w:hyperlink>
      <w:r w:rsidR="00644A84" w:rsidRPr="005B2157">
        <w:rPr>
          <w:rFonts w:cs="Arial"/>
          <w:szCs w:val="22"/>
        </w:rPr>
        <w:fldChar w:fldCharType="end"/>
      </w:r>
      <w:r w:rsidR="003D1F7F" w:rsidRPr="005B2157">
        <w:rPr>
          <w:rFonts w:cs="Arial"/>
          <w:szCs w:val="22"/>
        </w:rPr>
        <w:t>)</w:t>
      </w:r>
    </w:p>
    <w:p w14:paraId="358C105C" w14:textId="32525EDE" w:rsidR="003D1F7F" w:rsidRPr="005B2157" w:rsidRDefault="001D0B44" w:rsidP="003F4D32">
      <w:pPr>
        <w:numPr>
          <w:ilvl w:val="0"/>
          <w:numId w:val="14"/>
        </w:numPr>
        <w:ind w:left="714" w:hanging="357"/>
        <w:rPr>
          <w:rFonts w:cs="Arial"/>
          <w:szCs w:val="22"/>
        </w:rPr>
      </w:pPr>
      <w:r w:rsidRPr="005B2157">
        <w:rPr>
          <w:rFonts w:cs="Arial"/>
          <w:szCs w:val="22"/>
          <w:lang w:val="en-US"/>
        </w:rPr>
        <w:t>a</w:t>
      </w:r>
      <w:r w:rsidR="003D1F7F" w:rsidRPr="005B2157">
        <w:rPr>
          <w:rFonts w:cs="Arial"/>
          <w:szCs w:val="22"/>
          <w:lang w:val="en-US"/>
        </w:rPr>
        <w:t xml:space="preserve"> Minimum Detectable Difference (MDD) below 20</w:t>
      </w:r>
      <w:r w:rsidR="003C311A">
        <w:rPr>
          <w:rFonts w:cs="Arial"/>
          <w:szCs w:val="22"/>
          <w:lang w:val="en-US"/>
        </w:rPr>
        <w:t>%</w:t>
      </w:r>
      <w:r w:rsidR="007C215D">
        <w:rPr>
          <w:rFonts w:cs="Arial"/>
          <w:szCs w:val="22"/>
          <w:lang w:val="en-US"/>
        </w:rPr>
        <w:t xml:space="preserve"> </w:t>
      </w:r>
      <w:r w:rsidR="003D1F7F" w:rsidRPr="005B2157">
        <w:rPr>
          <w:rFonts w:cs="Arial"/>
          <w:szCs w:val="22"/>
          <w:lang w:val="en-US"/>
        </w:rPr>
        <w:t>(at the 5</w:t>
      </w:r>
      <w:r w:rsidR="003C311A">
        <w:rPr>
          <w:rFonts w:cs="Arial"/>
          <w:szCs w:val="22"/>
          <w:lang w:val="en-US"/>
        </w:rPr>
        <w:t xml:space="preserve">% </w:t>
      </w:r>
      <w:r w:rsidR="003D1F7F" w:rsidRPr="005B2157">
        <w:rPr>
          <w:rFonts w:cs="Arial"/>
          <w:szCs w:val="22"/>
          <w:lang w:val="en-US"/>
        </w:rPr>
        <w:t>level of significance with 80</w:t>
      </w:r>
      <w:r w:rsidR="003C311A">
        <w:rPr>
          <w:rFonts w:cs="Arial"/>
          <w:szCs w:val="22"/>
          <w:lang w:val="en-US"/>
        </w:rPr>
        <w:t xml:space="preserve">% </w:t>
      </w:r>
      <w:r w:rsidR="003D1F7F" w:rsidRPr="005B2157">
        <w:rPr>
          <w:rFonts w:cs="Arial"/>
          <w:szCs w:val="22"/>
          <w:lang w:val="en-US"/>
        </w:rPr>
        <w:t>power) (</w:t>
      </w:r>
      <w:hyperlink w:anchor="_ENREF_15" w:tooltip="Bros, 1987 #9156"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&lt;EndNote&gt;&lt;Cite&gt;&lt;Author&gt;Bros&lt;/Author&gt;&lt;Year&gt;1987&lt;/Year&gt;&lt;RecNum&gt;9156&lt;/RecNum&gt;&lt;DisplayText&gt;Bros and Cowell 1987&lt;/DisplayText&gt;&lt;record&gt;&lt;rec-number&gt;9156&lt;/rec-number&gt;&lt;foreign-keys&gt;&lt;key app="EN" db-id="0eve55x9y5vfd6e9dacxtew4eatve2dzds9a" timestamp="1374984599"&gt;9156&lt;/key&gt;&lt;/foreign-keys&gt;&lt;ref-type name="Journal Article"&gt;17&lt;/ref-type&gt;&lt;contributors&gt;&lt;authors&gt;&lt;author&gt;Bros, W.E.&lt;/author&gt;&lt;author&gt;Cowell, B.C.&lt;/author&gt;&lt;/authors&gt;&lt;/contributors&gt;&lt;titles&gt;&lt;title&gt;A technique for optimising sample size (replication)&lt;/title&gt;&lt;secondary-title&gt;Journal of  Experimental Marine Biology and Ecology&lt;/secondary-title&gt;&lt;/titles&gt;&lt;periodical&gt;&lt;full-title&gt;Journal of  Experimental Marine Biology and Ecology&lt;/full-title&gt;&lt;/periodical&gt;&lt;pages&gt;63-71&lt;/pages&gt;&lt;volume&gt;114&lt;/volume&gt;&lt;dates&gt;&lt;year&gt;1987&lt;/year&gt;&lt;/dates&gt;&lt;urls&gt;&lt;/urls&gt;&lt;/record&gt;&lt;/Cite&gt;&lt;/EndNote&gt;</w:instrText>
        </w:r>
        <w:r w:rsidR="009A7AB4" w:rsidRPr="005B2157">
          <w:rPr>
            <w:rFonts w:cs="Arial"/>
            <w:szCs w:val="22"/>
            <w:lang w:val="en-US"/>
          </w:rPr>
          <w:fldChar w:fldCharType="separate"/>
        </w:r>
        <w:r w:rsidR="009A7AB4" w:rsidRPr="005B2157">
          <w:rPr>
            <w:rFonts w:cs="Arial"/>
            <w:noProof/>
            <w:szCs w:val="22"/>
            <w:lang w:val="en-US"/>
          </w:rPr>
          <w:t>Bros and Cowell 1987</w:t>
        </w:r>
        <w:r w:rsidR="009A7AB4" w:rsidRPr="005B2157">
          <w:rPr>
            <w:rFonts w:cs="Arial"/>
            <w:szCs w:val="22"/>
            <w:lang w:val="en-US"/>
          </w:rPr>
          <w:fldChar w:fldCharType="end"/>
        </w:r>
      </w:hyperlink>
      <w:r w:rsidR="003D1F7F" w:rsidRPr="005B2157">
        <w:rPr>
          <w:rFonts w:cs="Arial"/>
          <w:szCs w:val="22"/>
          <w:lang w:val="en-US"/>
        </w:rPr>
        <w:t>).</w:t>
      </w:r>
    </w:p>
    <w:p w14:paraId="1B3E83E4" w14:textId="6C14CA79" w:rsidR="006907CE" w:rsidRPr="005B2157" w:rsidRDefault="005C1908" w:rsidP="003D1F7F">
      <w:pPr>
        <w:rPr>
          <w:rFonts w:cs="Arial"/>
          <w:szCs w:val="22"/>
          <w:lang w:val="en-US"/>
        </w:rPr>
      </w:pPr>
      <w:r w:rsidRPr="005B2157">
        <w:rPr>
          <w:rFonts w:cs="Arial"/>
          <w:szCs w:val="22"/>
          <w:lang w:val="en-US"/>
        </w:rPr>
        <w:t>Sentinel s</w:t>
      </w:r>
      <w:r w:rsidR="003D1F7F" w:rsidRPr="005B2157">
        <w:rPr>
          <w:rFonts w:cs="Arial"/>
          <w:szCs w:val="22"/>
          <w:lang w:val="en-US"/>
        </w:rPr>
        <w:t xml:space="preserve">ites were selected using mapping surveys across the regions prior to site establishment. Ideally mapping was conducted immediately prior to site positioning, however in most cases </w:t>
      </w:r>
      <w:r w:rsidR="006907CE" w:rsidRPr="005B2157">
        <w:rPr>
          <w:rFonts w:cs="Arial"/>
          <w:szCs w:val="22"/>
          <w:lang w:val="en-US"/>
        </w:rPr>
        <w:t>(60</w:t>
      </w:r>
      <w:r w:rsidR="00A751EF">
        <w:rPr>
          <w:rFonts w:cs="Arial"/>
          <w:szCs w:val="22"/>
          <w:lang w:val="en-US"/>
        </w:rPr>
        <w:t>%</w:t>
      </w:r>
      <w:r w:rsidR="006907CE" w:rsidRPr="005B2157">
        <w:rPr>
          <w:rFonts w:cs="Arial"/>
          <w:szCs w:val="22"/>
          <w:lang w:val="en-US"/>
        </w:rPr>
        <w:t xml:space="preserve">) </w:t>
      </w:r>
      <w:r w:rsidR="003D1F7F" w:rsidRPr="005B2157">
        <w:rPr>
          <w:rFonts w:cs="Arial"/>
          <w:szCs w:val="22"/>
          <w:lang w:val="en-US"/>
        </w:rPr>
        <w:t>it was based on historic (&gt;5</w:t>
      </w:r>
      <w:r w:rsidR="006907CE" w:rsidRPr="005B2157">
        <w:rPr>
          <w:rFonts w:cs="Arial"/>
          <w:szCs w:val="22"/>
          <w:lang w:val="en-US"/>
        </w:rPr>
        <w:t xml:space="preserve"> </w:t>
      </w:r>
      <w:r w:rsidR="007C25B9">
        <w:rPr>
          <w:rFonts w:cs="Arial"/>
          <w:szCs w:val="22"/>
          <w:lang w:val="en-US"/>
        </w:rPr>
        <w:t>y</w:t>
      </w:r>
      <w:r w:rsidR="00F30A0D">
        <w:rPr>
          <w:rFonts w:cs="Arial"/>
          <w:szCs w:val="22"/>
          <w:lang w:val="en-US"/>
        </w:rPr>
        <w:t>ea</w:t>
      </w:r>
      <w:r w:rsidR="007C25B9">
        <w:rPr>
          <w:rFonts w:cs="Arial"/>
          <w:szCs w:val="22"/>
          <w:lang w:val="en-US"/>
        </w:rPr>
        <w:t>r) information.</w:t>
      </w:r>
    </w:p>
    <w:p w14:paraId="595C6639" w14:textId="64F70408" w:rsidR="003D1F7F" w:rsidRPr="005B2157" w:rsidRDefault="003D1F7F" w:rsidP="003D1F7F">
      <w:pPr>
        <w:rPr>
          <w:rFonts w:cs="Arial"/>
          <w:szCs w:val="22"/>
          <w:lang w:val="en-US"/>
        </w:rPr>
      </w:pPr>
      <w:r w:rsidRPr="005B2157">
        <w:rPr>
          <w:rFonts w:cs="Arial"/>
          <w:szCs w:val="22"/>
          <w:lang w:val="en-US"/>
        </w:rPr>
        <w:t xml:space="preserve">Representative meadows were those which covered the greater extent within the inshore region, were generally the dominant seagrass community type and were within </w:t>
      </w:r>
      <w:r w:rsidR="00F206BF" w:rsidRPr="005B2157">
        <w:rPr>
          <w:rFonts w:cs="Arial"/>
          <w:szCs w:val="22"/>
          <w:lang w:val="en-US"/>
        </w:rPr>
        <w:t>Reef</w:t>
      </w:r>
      <w:r w:rsidRPr="005B2157">
        <w:rPr>
          <w:rFonts w:cs="Arial"/>
          <w:szCs w:val="22"/>
          <w:lang w:val="en-US"/>
        </w:rPr>
        <w:t xml:space="preserve"> </w:t>
      </w:r>
      <w:r w:rsidR="001D0B44" w:rsidRPr="005B2157">
        <w:rPr>
          <w:rFonts w:cs="Arial"/>
          <w:szCs w:val="22"/>
          <w:lang w:val="en-US"/>
        </w:rPr>
        <w:t>baseline</w:t>
      </w:r>
      <w:r w:rsidRPr="005B2157">
        <w:rPr>
          <w:rFonts w:cs="Arial"/>
          <w:szCs w:val="22"/>
          <w:lang w:val="en-US"/>
        </w:rPr>
        <w:t xml:space="preserve"> abundances (based on </w:t>
      </w:r>
      <w:r w:rsidR="00644A84" w:rsidRPr="005B2157">
        <w:rPr>
          <w:rFonts w:cs="Arial"/>
          <w:szCs w:val="22"/>
          <w:lang w:val="en-US"/>
        </w:rPr>
        <w:fldChar w:fldCharType="begin">
          <w:fldData xml:space="preserve">PEVuZE5vdGU+PENpdGU+PEF1dGhvcj5Db2xlczwvQXV0aG9yPjxZZWFyPjIwMDE8L1llYXI+PFJl
Y051bT45NzU5PC9SZWNOdW0+PERpc3BsYXlUZXh0PkNvbGVzPHN0eWxlIGZhY2U9Iml0YWxpYyI+
IGV0IGFsLjwvc3R5bGU+IDIwMDFhOyBDb2xlczxzdHlsZSBmYWNlPSJpdGFsaWMiPiBldCBhbC48
L3N0eWxlPiAyMDAxYywgMjAwMWIsIDIwMDFkPC9EaXNwbGF5VGV4dD48cmVjb3JkPjxyZWMtbnVt
YmVyPjk3NTk8L3JlYy1udW1iZXI+PGZvcmVpZ24ta2V5cz48a2V5IGFwcD0iRU4iIGRiLWlkPSIw
ZXZlNTV4OXk1dmZkNmU5ZGFjeHRldzRlYXR2ZTJkemRzOWEiIHRpbWVzdGFtcD0iMTM5NDI1NTc4
NiI+OTc1OTwva2V5PjwvZm9yZWlnbi1rZXlzPjxyZWYtdHlwZSBuYW1lPSJSZXBvcnQiPjI3PC9y
ZWYtdHlwZT48Y29udHJpYnV0b3JzPjxhdXRob3JzPjxhdXRob3I+Q29sZXMsIFIgRzwvYXV0aG9y
PjxhdXRob3I+TWNLZW56aWUsIExlbiBKPC9hdXRob3I+PGF1dGhvcj5Zb3NoaWRhLCBSdWRpIEw8
L2F1dGhvcj48L2F1dGhvcnM+PC9jb250cmlidXRvcnM+PHRpdGxlcz48dGl0bGU+VmFsaWRhdGlv
biBhbmQgR0lTIG9mIHNlYWdyYXNzIHN1cnZleXMgYmV0d2VlbiBDYXBlIFlvcmsgYW5kIENhaXJu
cyAtIE5vdmVtYmVyIDE5ODQ8L3RpdGxlPjwvdGl0bGVzPjxwYWdlcz5DRCBSb20uPC9wYWdlcz48
ZGF0ZXM+PHllYXI+MjAwMTwveWVhcj48L2RhdGVzPjxwdWItbG9jYXRpb24+Q2Fpcm5zPC9wdWIt
bG9jYXRpb24+PHB1Ymxpc2hlcj5EUEksIFFGUzwvcHVibGlzaGVyPjx1cmxzPjwvdXJscz48L3Jl
Y29yZD48L0NpdGU+PENpdGU+PEF1dGhvcj5Db2xlczwvQXV0aG9yPjxZZWFyPjIwMDE8L1llYXI+
PFJlY051bT45NzYwPC9SZWNOdW0+PHJlY29yZD48cmVjLW51bWJlcj45NzYwPC9yZWMtbnVtYmVy
Pjxmb3JlaWduLWtleXM+PGtleSBhcHA9IkVOIiBkYi1pZD0iMGV2ZTU1eDl5NXZmZDZlOWRhY3h0
ZXc0ZWF0dmUyZHpkczlhIiB0aW1lc3RhbXA9IjEzOTQyNTU4NDEiPjk3NjA8L2tleT48L2ZvcmVp
Z24ta2V5cz48cmVmLXR5cGUgbmFtZT0iUmVwb3J0Ij4yNzwvcmVmLXR5cGU+PGNvbnRyaWJ1dG9y
cz48YXV0aG9ycz48YXV0aG9yPkNvbGVzLCBSIEc8L2F1dGhvcj48YXV0aG9yPk1jS2VuemllLCBM
ZW4gSjwvYXV0aG9yPjxhdXRob3I+TWVsbG9ycywgSiBFPC9hdXRob3I+PGF1dGhvcj5Zb3NoaWRh
LCBSdWRpIEw8L2F1dGhvcj48L2F1dGhvcnM+PC9jb250cmlidXRvcnM+PHRpdGxlcz48dGl0bGU+
VmFsaWRhdGlvbiBhbmQgR0lTIG9mIHNlYWdyYXNzIHN1cnZleXMgYmV0d2VlbiBDYWlybnMgYW5k
IEJvd2VuIOKAkyBPY3RvYmVyL05vdmVtYmVyIDE5ODc8L3RpdGxlPjwvdGl0bGVzPjxwYWdlcz5D
RCBSb20uPC9wYWdlcz48ZGF0ZXM+PHllYXI+MjAwMTwveWVhcj48L2RhdGVzPjxwdWItbG9jYXRp
b24+Q2Fpcm5zPC9wdWItbG9jYXRpb24+PHB1Ymxpc2hlcj5EUEksIFFGUzwvcHVibGlzaGVyPjx1
cmxzPjwvdXJscz48L3JlY29yZD48L0NpdGU+PENpdGU+PEF1dGhvcj5Db2xlczwvQXV0aG9yPjxZ
ZWFyPjIwMDE8L1llYXI+PFJlY051bT45NzYxPC9SZWNOdW0+PHJlY29yZD48cmVjLW51bWJlcj45
NzYxPC9yZWMtbnVtYmVyPjxmb3JlaWduLWtleXM+PGtleSBhcHA9IkVOIiBkYi1pZD0iMGV2ZTU1
eDl5NXZmZDZlOWRhY3h0ZXc0ZWF0dmUyZHpkczlhIiB0aW1lc3RhbXA9IjEzOTQyNTU5MjEiPjk3
NjE8L2tleT48L2ZvcmVpZ24ta2V5cz48cmVmLXR5cGUgbmFtZT0iUmVwb3J0Ij4yNzwvcmVmLXR5
cGU+PGNvbnRyaWJ1dG9ycz48YXV0aG9ycz48YXV0aG9yPkNvbGVzLCBSIEc8L2F1dGhvcj48YXV0
aG9yPk1jS2VuemllLCBMZW4gSjwvYXV0aG9yPjxhdXRob3I+WW9zaGlkYSwgUnVkaSBMPC9hdXRo
b3I+PC9hdXRob3JzPjwvY29udHJpYnV0b3JzPjx0aXRsZXM+PHRpdGxlPlZhbGlkYXRpb24gYW5k
IEdJUyBvZiBzZWFncmFzcyBzdXJ2ZXlzIGJldHdlZW4gQm93ZW4gYW5kIFdhdGVyIFBhcmsgUG9p
bnTigJMgTWFyY2gvQXByaWwgMTk4NzwvdGl0bGU+PC90aXRsZXM+PHBhZ2VzPkNEIFJvbS48L3Bh
Z2VzPjxkYXRlcz48eWVhcj4yMDAxPC95ZWFyPjwvZGF0ZXM+PHB1Yi1sb2NhdGlvbj5DYWlybnM8
L3B1Yi1sb2NhdGlvbj48cHVibGlzaGVyPkRQSSwgUUZTPC9wdWJsaXNoZXI+PHVybHM+PC91cmxz
PjwvcmVjb3JkPjwvQ2l0ZT48Q2l0ZT48QXV0aG9yPkNvbGVzPC9BdXRob3I+PFllYXI+MjAwMTwv
WWVhcj48UmVjTnVtPjk3NjI8L1JlY051bT48cmVjb3JkPjxyZWMtbnVtYmVyPjk3NjI8L3JlYy1u
dW1iZXI+PGZvcmVpZ24ta2V5cz48a2V5IGFwcD0iRU4iIGRiLWlkPSIwZXZlNTV4OXk1dmZkNmU5
ZGFjeHRldzRlYXR2ZTJkemRzOWEiIHRpbWVzdGFtcD0iMTM5NDI1NTk1OCI+OTc2Mjwva2V5Pjwv
Zm9yZWlnbi1rZXlzPjxyZWYtdHlwZSBuYW1lPSJSZXBvcnQiPjI3PC9yZWYtdHlwZT48Y29udHJp
YnV0b3JzPjxhdXRob3JzPjxhdXRob3I+Q29sZXMsIFIgRzwvYXV0aG9yPjxhdXRob3I+TWNLZW56
aWUsIExlbiBKPC9hdXRob3I+PGF1dGhvcj5Zb3NoaWRhLCBSdWRpIEw8L2F1dGhvcj48L2F1dGhv
cnM+PC9jb250cmlidXRvcnM+PHRpdGxlcz48dGl0bGU+VmFsaWRhdGlvbiBhbmQgR0lTIG9mIHNl
YWdyYXNzIHN1cnZleXMgYmV0d2VlbiBXYXRlciBQYXJrIFBvaW50IGFuZCBIZXJ2ZXkgQmF5IOKA
kyBPY3RvYmVyL05vdmVtYmVyIDE5ODg8L3RpdGxlPjwvdGl0bGVzPjxwYWdlcz5DRCBSb20uPC9w
YWdlcz48ZGF0ZXM+PHllYXI+MjAwMTwveWVhcj48L2RhdGVzPjxwdWItbG9jYXRpb24+Q2Fpcm5z
PC9wdWItbG9jYXRpb24+PHB1Ymxpc2hlcj5EUEksIFFGUzwvcHVibGlzaGVyPjx1cmxzPjwvdXJs
cz48L3JlY29yZD48L0NpdGU+PC9FbmROb3RlPn==
</w:fldData>
        </w:fldChar>
      </w:r>
      <w:r w:rsidR="005B0C7C" w:rsidRPr="005B2157">
        <w:rPr>
          <w:rFonts w:cs="Arial"/>
          <w:szCs w:val="22"/>
          <w:lang w:val="en-US"/>
        </w:rPr>
        <w:instrText xml:space="preserve"> ADDIN EN.CITE </w:instrText>
      </w:r>
      <w:r w:rsidR="005B0C7C" w:rsidRPr="005B2157">
        <w:rPr>
          <w:rFonts w:cs="Arial"/>
          <w:szCs w:val="22"/>
          <w:lang w:val="en-US"/>
        </w:rPr>
        <w:fldChar w:fldCharType="begin">
          <w:fldData xml:space="preserve">PEVuZE5vdGU+PENpdGU+PEF1dGhvcj5Db2xlczwvQXV0aG9yPjxZZWFyPjIwMDE8L1llYXI+PFJl
Y051bT45NzU5PC9SZWNOdW0+PERpc3BsYXlUZXh0PkNvbGVzPHN0eWxlIGZhY2U9Iml0YWxpYyI+
IGV0IGFsLjwvc3R5bGU+IDIwMDFhOyBDb2xlczxzdHlsZSBmYWNlPSJpdGFsaWMiPiBldCBhbC48
L3N0eWxlPiAyMDAxYywgMjAwMWIsIDIwMDFkPC9EaXNwbGF5VGV4dD48cmVjb3JkPjxyZWMtbnVt
YmVyPjk3NTk8L3JlYy1udW1iZXI+PGZvcmVpZ24ta2V5cz48a2V5IGFwcD0iRU4iIGRiLWlkPSIw
ZXZlNTV4OXk1dmZkNmU5ZGFjeHRldzRlYXR2ZTJkemRzOWEiIHRpbWVzdGFtcD0iMTM5NDI1NTc4
NiI+OTc1OTwva2V5PjwvZm9yZWlnbi1rZXlzPjxyZWYtdHlwZSBuYW1lPSJSZXBvcnQiPjI3PC9y
ZWYtdHlwZT48Y29udHJpYnV0b3JzPjxhdXRob3JzPjxhdXRob3I+Q29sZXMsIFIgRzwvYXV0aG9y
PjxhdXRob3I+TWNLZW56aWUsIExlbiBKPC9hdXRob3I+PGF1dGhvcj5Zb3NoaWRhLCBSdWRpIEw8
L2F1dGhvcj48L2F1dGhvcnM+PC9jb250cmlidXRvcnM+PHRpdGxlcz48dGl0bGU+VmFsaWRhdGlv
biBhbmQgR0lTIG9mIHNlYWdyYXNzIHN1cnZleXMgYmV0d2VlbiBDYXBlIFlvcmsgYW5kIENhaXJu
cyAtIE5vdmVtYmVyIDE5ODQ8L3RpdGxlPjwvdGl0bGVzPjxwYWdlcz5DRCBSb20uPC9wYWdlcz48
ZGF0ZXM+PHllYXI+MjAwMTwveWVhcj48L2RhdGVzPjxwdWItbG9jYXRpb24+Q2Fpcm5zPC9wdWIt
bG9jYXRpb24+PHB1Ymxpc2hlcj5EUEksIFFGUzwvcHVibGlzaGVyPjx1cmxzPjwvdXJscz48L3Jl
Y29yZD48L0NpdGU+PENpdGU+PEF1dGhvcj5Db2xlczwvQXV0aG9yPjxZZWFyPjIwMDE8L1llYXI+
PFJlY051bT45NzYwPC9SZWNOdW0+PHJlY29yZD48cmVjLW51bWJlcj45NzYwPC9yZWMtbnVtYmVy
Pjxmb3JlaWduLWtleXM+PGtleSBhcHA9IkVOIiBkYi1pZD0iMGV2ZTU1eDl5NXZmZDZlOWRhY3h0
ZXc0ZWF0dmUyZHpkczlhIiB0aW1lc3RhbXA9IjEzOTQyNTU4NDEiPjk3NjA8L2tleT48L2ZvcmVp
Z24ta2V5cz48cmVmLXR5cGUgbmFtZT0iUmVwb3J0Ij4yNzwvcmVmLXR5cGU+PGNvbnRyaWJ1dG9y
cz48YXV0aG9ycz48YXV0aG9yPkNvbGVzLCBSIEc8L2F1dGhvcj48YXV0aG9yPk1jS2VuemllLCBM
ZW4gSjwvYXV0aG9yPjxhdXRob3I+TWVsbG9ycywgSiBFPC9hdXRob3I+PGF1dGhvcj5Zb3NoaWRh
LCBSdWRpIEw8L2F1dGhvcj48L2F1dGhvcnM+PC9jb250cmlidXRvcnM+PHRpdGxlcz48dGl0bGU+
VmFsaWRhdGlvbiBhbmQgR0lTIG9mIHNlYWdyYXNzIHN1cnZleXMgYmV0d2VlbiBDYWlybnMgYW5k
IEJvd2VuIOKAkyBPY3RvYmVyL05vdmVtYmVyIDE5ODc8L3RpdGxlPjwvdGl0bGVzPjxwYWdlcz5D
RCBSb20uPC9wYWdlcz48ZGF0ZXM+PHllYXI+MjAwMTwveWVhcj48L2RhdGVzPjxwdWItbG9jYXRp
b24+Q2Fpcm5zPC9wdWItbG9jYXRpb24+PHB1Ymxpc2hlcj5EUEksIFFGUzwvcHVibGlzaGVyPjx1
cmxzPjwvdXJscz48L3JlY29yZD48L0NpdGU+PENpdGU+PEF1dGhvcj5Db2xlczwvQXV0aG9yPjxZ
ZWFyPjIwMDE8L1llYXI+PFJlY051bT45NzYxPC9SZWNOdW0+PHJlY29yZD48cmVjLW51bWJlcj45
NzYxPC9yZWMtbnVtYmVyPjxmb3JlaWduLWtleXM+PGtleSBhcHA9IkVOIiBkYi1pZD0iMGV2ZTU1
eDl5NXZmZDZlOWRhY3h0ZXc0ZWF0dmUyZHpkczlhIiB0aW1lc3RhbXA9IjEzOTQyNTU5MjEiPjk3
NjE8L2tleT48L2ZvcmVpZ24ta2V5cz48cmVmLXR5cGUgbmFtZT0iUmVwb3J0Ij4yNzwvcmVmLXR5
cGU+PGNvbnRyaWJ1dG9ycz48YXV0aG9ycz48YXV0aG9yPkNvbGVzLCBSIEc8L2F1dGhvcj48YXV0
aG9yPk1jS2VuemllLCBMZW4gSjwvYXV0aG9yPjxhdXRob3I+WW9zaGlkYSwgUnVkaSBMPC9hdXRo
b3I+PC9hdXRob3JzPjwvY29udHJpYnV0b3JzPjx0aXRsZXM+PHRpdGxlPlZhbGlkYXRpb24gYW5k
IEdJUyBvZiBzZWFncmFzcyBzdXJ2ZXlzIGJldHdlZW4gQm93ZW4gYW5kIFdhdGVyIFBhcmsgUG9p
bnTigJMgTWFyY2gvQXByaWwgMTk4NzwvdGl0bGU+PC90aXRsZXM+PHBhZ2VzPkNEIFJvbS48L3Bh
Z2VzPjxkYXRlcz48eWVhcj4yMDAxPC95ZWFyPjwvZGF0ZXM+PHB1Yi1sb2NhdGlvbj5DYWlybnM8
L3B1Yi1sb2NhdGlvbj48cHVibGlzaGVyPkRQSSwgUUZTPC9wdWJsaXNoZXI+PHVybHM+PC91cmxz
PjwvcmVjb3JkPjwvQ2l0ZT48Q2l0ZT48QXV0aG9yPkNvbGVzPC9BdXRob3I+PFllYXI+MjAwMTwv
WWVhcj48UmVjTnVtPjk3NjI8L1JlY051bT48cmVjb3JkPjxyZWMtbnVtYmVyPjk3NjI8L3JlYy1u
dW1iZXI+PGZvcmVpZ24ta2V5cz48a2V5IGFwcD0iRU4iIGRiLWlkPSIwZXZlNTV4OXk1dmZkNmU5
ZGFjeHRldzRlYXR2ZTJkemRzOWEiIHRpbWVzdGFtcD0iMTM5NDI1NTk1OCI+OTc2Mjwva2V5Pjwv
Zm9yZWlnbi1rZXlzPjxyZWYtdHlwZSBuYW1lPSJSZXBvcnQiPjI3PC9yZWYtdHlwZT48Y29udHJp
YnV0b3JzPjxhdXRob3JzPjxhdXRob3I+Q29sZXMsIFIgRzwvYXV0aG9yPjxhdXRob3I+TWNLZW56
aWUsIExlbiBKPC9hdXRob3I+PGF1dGhvcj5Zb3NoaWRhLCBSdWRpIEw8L2F1dGhvcj48L2F1dGhv
cnM+PC9jb250cmlidXRvcnM+PHRpdGxlcz48dGl0bGU+VmFsaWRhdGlvbiBhbmQgR0lTIG9mIHNl
YWdyYXNzIHN1cnZleXMgYmV0d2VlbiBXYXRlciBQYXJrIFBvaW50IGFuZCBIZXJ2ZXkgQmF5IOKA
kyBPY3RvYmVyL05vdmVtYmVyIDE5ODg8L3RpdGxlPjwvdGl0bGVzPjxwYWdlcz5DRCBSb20uPC9w
YWdlcz48ZGF0ZXM+PHllYXI+MjAwMTwveWVhcj48L2RhdGVzPjxwdWItbG9jYXRpb24+Q2Fpcm5z
PC9wdWItbG9jYXRpb24+PHB1Ymxpc2hlcj5EUEksIFFGUzwvcHVibGlzaGVyPjx1cmxzPjwvdXJs
cz48L3JlY29yZD48L0NpdGU+PC9FbmROb3RlPn==
</w:fldData>
        </w:fldChar>
      </w:r>
      <w:r w:rsidR="005B0C7C" w:rsidRPr="005B2157">
        <w:rPr>
          <w:rFonts w:cs="Arial"/>
          <w:szCs w:val="22"/>
          <w:lang w:val="en-US"/>
        </w:rPr>
        <w:instrText xml:space="preserve"> ADDIN EN.CITE.DATA </w:instrText>
      </w:r>
      <w:r w:rsidR="005B0C7C" w:rsidRPr="005B2157">
        <w:rPr>
          <w:rFonts w:cs="Arial"/>
          <w:szCs w:val="22"/>
          <w:lang w:val="en-US"/>
        </w:rPr>
      </w:r>
      <w:r w:rsidR="005B0C7C" w:rsidRPr="005B2157">
        <w:rPr>
          <w:rFonts w:cs="Arial"/>
          <w:szCs w:val="22"/>
          <w:lang w:val="en-US"/>
        </w:rPr>
        <w:fldChar w:fldCharType="end"/>
      </w:r>
      <w:r w:rsidR="00644A84" w:rsidRPr="005B2157">
        <w:rPr>
          <w:rFonts w:cs="Arial"/>
          <w:szCs w:val="22"/>
          <w:lang w:val="en-US"/>
        </w:rPr>
      </w:r>
      <w:r w:rsidR="00644A84" w:rsidRPr="005B2157">
        <w:rPr>
          <w:rFonts w:cs="Arial"/>
          <w:szCs w:val="22"/>
          <w:lang w:val="en-US"/>
        </w:rPr>
        <w:fldChar w:fldCharType="separate"/>
      </w:r>
      <w:hyperlink w:anchor="_ENREF_27" w:tooltip="Coles, 2001 #9760" w:history="1">
        <w:r w:rsidR="009A7AB4" w:rsidRPr="005B2157">
          <w:rPr>
            <w:rFonts w:cs="Arial"/>
            <w:noProof/>
            <w:szCs w:val="22"/>
            <w:lang w:val="en-US"/>
          </w:rPr>
          <w:t>Coles</w:t>
        </w:r>
        <w:r w:rsidR="009A7AB4" w:rsidRPr="005B2157">
          <w:rPr>
            <w:rFonts w:cs="Arial"/>
            <w:i/>
            <w:noProof/>
            <w:szCs w:val="22"/>
            <w:lang w:val="en-US"/>
          </w:rPr>
          <w:t xml:space="preserve"> et al.</w:t>
        </w:r>
        <w:r w:rsidR="009A7AB4" w:rsidRPr="005B2157">
          <w:rPr>
            <w:rFonts w:cs="Arial"/>
            <w:noProof/>
            <w:szCs w:val="22"/>
            <w:lang w:val="en-US"/>
          </w:rPr>
          <w:t xml:space="preserve"> 2001a</w:t>
        </w:r>
      </w:hyperlink>
      <w:r w:rsidR="00644A84" w:rsidRPr="005B2157">
        <w:rPr>
          <w:rFonts w:cs="Arial"/>
          <w:noProof/>
          <w:szCs w:val="22"/>
          <w:lang w:val="en-US"/>
        </w:rPr>
        <w:t xml:space="preserve">; </w:t>
      </w:r>
      <w:hyperlink w:anchor="_ENREF_29" w:tooltip="Coles, 2001 #9759" w:history="1">
        <w:r w:rsidR="009A7AB4" w:rsidRPr="005B2157">
          <w:rPr>
            <w:rFonts w:cs="Arial"/>
            <w:noProof/>
            <w:szCs w:val="22"/>
            <w:lang w:val="en-US"/>
          </w:rPr>
          <w:t>Coles</w:t>
        </w:r>
        <w:r w:rsidR="009A7AB4" w:rsidRPr="005B2157">
          <w:rPr>
            <w:rFonts w:cs="Arial"/>
            <w:i/>
            <w:noProof/>
            <w:szCs w:val="22"/>
            <w:lang w:val="en-US"/>
          </w:rPr>
          <w:t xml:space="preserve"> et al.</w:t>
        </w:r>
        <w:r w:rsidR="009A7AB4" w:rsidRPr="005B2157">
          <w:rPr>
            <w:rFonts w:cs="Arial"/>
            <w:noProof/>
            <w:szCs w:val="22"/>
            <w:lang w:val="en-US"/>
          </w:rPr>
          <w:t xml:space="preserve"> 2001c</w:t>
        </w:r>
      </w:hyperlink>
      <w:r w:rsidR="00644A84" w:rsidRPr="005B2157">
        <w:rPr>
          <w:rFonts w:cs="Arial"/>
          <w:noProof/>
          <w:szCs w:val="22"/>
          <w:lang w:val="en-US"/>
        </w:rPr>
        <w:t xml:space="preserve">, </w:t>
      </w:r>
      <w:hyperlink w:anchor="_ENREF_28" w:tooltip="Coles, 2001 #9761" w:history="1">
        <w:r w:rsidR="009A7AB4" w:rsidRPr="005B2157">
          <w:rPr>
            <w:rFonts w:cs="Arial"/>
            <w:noProof/>
            <w:szCs w:val="22"/>
            <w:lang w:val="en-US"/>
          </w:rPr>
          <w:t>2001b</w:t>
        </w:r>
      </w:hyperlink>
      <w:r w:rsidR="00644A84" w:rsidRPr="005B2157">
        <w:rPr>
          <w:rFonts w:cs="Arial"/>
          <w:noProof/>
          <w:szCs w:val="22"/>
          <w:lang w:val="en-US"/>
        </w:rPr>
        <w:t xml:space="preserve">, </w:t>
      </w:r>
      <w:hyperlink w:anchor="_ENREF_30" w:tooltip="Coles, 2001 #9762" w:history="1">
        <w:r w:rsidR="009A7AB4" w:rsidRPr="005B2157">
          <w:rPr>
            <w:rFonts w:cs="Arial"/>
            <w:noProof/>
            <w:szCs w:val="22"/>
            <w:lang w:val="en-US"/>
          </w:rPr>
          <w:t>2001d</w:t>
        </w:r>
      </w:hyperlink>
      <w:r w:rsidR="00644A84" w:rsidRPr="005B2157">
        <w:rPr>
          <w:rFonts w:cs="Arial"/>
          <w:szCs w:val="22"/>
          <w:lang w:val="en-US"/>
        </w:rPr>
        <w:fldChar w:fldCharType="end"/>
      </w:r>
      <w:r w:rsidRPr="005B2157">
        <w:rPr>
          <w:rFonts w:cs="Arial"/>
          <w:szCs w:val="22"/>
          <w:lang w:val="en-US"/>
        </w:rPr>
        <w:t xml:space="preserve">). To account for spatial heterogeneity of meadows within habitats, </w:t>
      </w:r>
      <w:r w:rsidR="00106862" w:rsidRPr="005B2157">
        <w:rPr>
          <w:rFonts w:cs="Arial"/>
          <w:szCs w:val="22"/>
          <w:lang w:val="en-US"/>
        </w:rPr>
        <w:t xml:space="preserve">at least </w:t>
      </w:r>
      <w:r w:rsidRPr="005B2157">
        <w:rPr>
          <w:rFonts w:cs="Arial"/>
          <w:szCs w:val="22"/>
          <w:lang w:val="en-US"/>
        </w:rPr>
        <w:t xml:space="preserve">two sites were selected at each location. </w:t>
      </w:r>
      <w:r w:rsidR="00566CA2" w:rsidRPr="005B2157">
        <w:rPr>
          <w:rFonts w:cs="Arial"/>
          <w:szCs w:val="22"/>
          <w:lang w:val="en-US"/>
        </w:rPr>
        <w:t>If meadow overall extent was larger than ~15</w:t>
      </w:r>
      <w:r w:rsidR="006907CE" w:rsidRPr="005B2157">
        <w:rPr>
          <w:rFonts w:cs="Arial"/>
          <w:szCs w:val="22"/>
          <w:lang w:val="en-US"/>
        </w:rPr>
        <w:t xml:space="preserve"> </w:t>
      </w:r>
      <w:r w:rsidR="00566CA2" w:rsidRPr="005B2157">
        <w:rPr>
          <w:rFonts w:cs="Arial"/>
          <w:szCs w:val="22"/>
          <w:lang w:val="en-US"/>
        </w:rPr>
        <w:t>hec</w:t>
      </w:r>
      <w:r w:rsidR="006907CE" w:rsidRPr="005B2157">
        <w:rPr>
          <w:rFonts w:cs="Arial"/>
          <w:szCs w:val="22"/>
          <w:lang w:val="en-US"/>
        </w:rPr>
        <w:t>t</w:t>
      </w:r>
      <w:r w:rsidR="00566CA2" w:rsidRPr="005B2157">
        <w:rPr>
          <w:rFonts w:cs="Arial"/>
          <w:szCs w:val="22"/>
          <w:lang w:val="en-US"/>
        </w:rPr>
        <w:t>ares (0.15 km</w:t>
      </w:r>
      <w:r w:rsidR="00566CA2" w:rsidRPr="005B2157">
        <w:rPr>
          <w:rFonts w:cs="Arial"/>
          <w:szCs w:val="22"/>
          <w:vertAlign w:val="superscript"/>
          <w:lang w:val="en-US"/>
        </w:rPr>
        <w:t>2</w:t>
      </w:r>
      <w:r w:rsidR="00566CA2" w:rsidRPr="005B2157">
        <w:rPr>
          <w:rFonts w:cs="Arial"/>
          <w:szCs w:val="22"/>
          <w:lang w:val="en-US"/>
        </w:rPr>
        <w:t>), replicate sites were often located within the same meadow</w:t>
      </w:r>
      <w:r w:rsidR="00106862" w:rsidRPr="005B2157">
        <w:rPr>
          <w:rFonts w:cs="Arial"/>
          <w:szCs w:val="22"/>
          <w:lang w:val="en-US"/>
        </w:rPr>
        <w:t xml:space="preserve"> (a greater number of sites was desirable </w:t>
      </w:r>
      <w:r w:rsidR="00106862" w:rsidRPr="005B2157">
        <w:rPr>
          <w:rFonts w:cs="Arial"/>
          <w:szCs w:val="22"/>
          <w:lang w:val="en-US"/>
        </w:rPr>
        <w:lastRenderedPageBreak/>
        <w:t xml:space="preserve">with increasing meadow </w:t>
      </w:r>
      <w:r w:rsidR="003A03FE" w:rsidRPr="005B2157">
        <w:rPr>
          <w:rFonts w:cs="Arial"/>
          <w:szCs w:val="22"/>
          <w:lang w:val="en-US"/>
        </w:rPr>
        <w:t>size,</w:t>
      </w:r>
      <w:r w:rsidR="00106862" w:rsidRPr="005B2157">
        <w:rPr>
          <w:rFonts w:cs="Arial"/>
          <w:szCs w:val="22"/>
          <w:lang w:val="en-US"/>
        </w:rPr>
        <w:t xml:space="preserve"> however not possible due to funding constraints)</w:t>
      </w:r>
      <w:r w:rsidR="00566CA2" w:rsidRPr="005B2157">
        <w:rPr>
          <w:rFonts w:cs="Arial"/>
          <w:szCs w:val="22"/>
          <w:lang w:val="en-US"/>
        </w:rPr>
        <w:t>.</w:t>
      </w:r>
    </w:p>
    <w:p w14:paraId="48CA7984" w14:textId="77777777" w:rsidR="003D1F7F" w:rsidRPr="005B2157" w:rsidRDefault="003D1F7F" w:rsidP="005B2157">
      <w:pPr>
        <w:rPr>
          <w:rFonts w:cs="Arial"/>
          <w:szCs w:val="22"/>
          <w:lang w:val="en-US"/>
        </w:rPr>
      </w:pPr>
      <w:r w:rsidRPr="005B2157">
        <w:rPr>
          <w:rFonts w:cs="Arial"/>
          <w:szCs w:val="22"/>
          <w:lang w:val="en-US"/>
        </w:rPr>
        <w:t>From the onset, inshore seagrass monitoring for the MMP was focused primarily on intertidal</w:t>
      </w:r>
      <w:r w:rsidR="00566CA2" w:rsidRPr="005B2157">
        <w:rPr>
          <w:rFonts w:cs="Arial"/>
          <w:szCs w:val="22"/>
          <w:lang w:val="en-US"/>
        </w:rPr>
        <w:t>/lower littoral</w:t>
      </w:r>
      <w:r w:rsidRPr="005B2157">
        <w:rPr>
          <w:rFonts w:cs="Arial"/>
          <w:szCs w:val="22"/>
          <w:lang w:val="en-US"/>
        </w:rPr>
        <w:t xml:space="preserve"> seagrass meadows due to:</w:t>
      </w:r>
    </w:p>
    <w:p w14:paraId="1AA48A82" w14:textId="77777777"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accessibility and cost effectiveness (limiting use of vessels and divers)</w:t>
      </w:r>
    </w:p>
    <w:p w14:paraId="356250A1" w14:textId="213847BB" w:rsidR="003D1F7F" w:rsidRPr="005B2157" w:rsidRDefault="00AB452F" w:rsidP="005B2157">
      <w:pPr>
        <w:numPr>
          <w:ilvl w:val="0"/>
          <w:numId w:val="1"/>
        </w:numPr>
        <w:tabs>
          <w:tab w:val="clear" w:pos="360"/>
          <w:tab w:val="num" w:pos="709"/>
        </w:tabs>
        <w:ind w:left="709" w:hanging="349"/>
        <w:rPr>
          <w:rFonts w:cs="Arial"/>
          <w:szCs w:val="22"/>
        </w:rPr>
      </w:pPr>
      <w:r w:rsidRPr="005B2157">
        <w:rPr>
          <w:rFonts w:cs="Arial"/>
          <w:szCs w:val="22"/>
        </w:rPr>
        <w:t>Occupational</w:t>
      </w:r>
      <w:r w:rsidR="003D1F7F" w:rsidRPr="005B2157">
        <w:rPr>
          <w:rFonts w:cs="Arial"/>
          <w:szCs w:val="22"/>
        </w:rPr>
        <w:t xml:space="preserve"> Health and Safety </w:t>
      </w:r>
      <w:r w:rsidR="006907CE" w:rsidRPr="005B2157">
        <w:rPr>
          <w:rFonts w:cs="Arial"/>
          <w:szCs w:val="22"/>
        </w:rPr>
        <w:t>issues with</w:t>
      </w:r>
      <w:r w:rsidR="008D142C" w:rsidRPr="005B2157">
        <w:rPr>
          <w:rFonts w:cs="Arial"/>
          <w:szCs w:val="22"/>
        </w:rPr>
        <w:t xml:space="preserve"> dangerous marine animals (e.g.</w:t>
      </w:r>
      <w:r w:rsidR="003D1F7F" w:rsidRPr="005B2157">
        <w:rPr>
          <w:rFonts w:cs="Arial"/>
          <w:szCs w:val="22"/>
        </w:rPr>
        <w:t xml:space="preserve"> crocodiles, box jellyfish and irukandji)</w:t>
      </w:r>
    </w:p>
    <w:p w14:paraId="17BBFB32" w14:textId="7A57BE27"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 xml:space="preserve">occurrence of meadows in estuarine, coastal and reef habitats across the entire </w:t>
      </w:r>
      <w:r w:rsidR="00F206BF" w:rsidRPr="005B2157">
        <w:rPr>
          <w:rFonts w:cs="Arial"/>
          <w:szCs w:val="22"/>
        </w:rPr>
        <w:t>Reef</w:t>
      </w:r>
    </w:p>
    <w:p w14:paraId="21A06450" w14:textId="20C74CFF"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where possible, provid</w:t>
      </w:r>
      <w:r w:rsidR="006907CE" w:rsidRPr="005B2157">
        <w:rPr>
          <w:rFonts w:cs="Arial"/>
          <w:szCs w:val="22"/>
        </w:rPr>
        <w:t>ing</w:t>
      </w:r>
      <w:r w:rsidRPr="005B2157">
        <w:rPr>
          <w:rFonts w:cs="Arial"/>
          <w:szCs w:val="22"/>
        </w:rPr>
        <w:t xml:space="preserve"> an opportunity for </w:t>
      </w:r>
      <w:r w:rsidR="00106862" w:rsidRPr="005B2157">
        <w:rPr>
          <w:rFonts w:cs="Arial"/>
          <w:szCs w:val="22"/>
        </w:rPr>
        <w:t>citizen</w:t>
      </w:r>
      <w:r w:rsidRPr="005B2157">
        <w:rPr>
          <w:rFonts w:cs="Arial"/>
          <w:szCs w:val="22"/>
        </w:rPr>
        <w:t xml:space="preserve"> involvement, ensuring broad acceptance and ownership of Reef </w:t>
      </w:r>
      <w:r w:rsidR="009E0200" w:rsidRPr="005B2157">
        <w:rPr>
          <w:rFonts w:cs="Arial"/>
          <w:szCs w:val="22"/>
        </w:rPr>
        <w:t xml:space="preserve">2050 </w:t>
      </w:r>
      <w:r w:rsidRPr="005B2157">
        <w:rPr>
          <w:rFonts w:cs="Arial"/>
          <w:szCs w:val="22"/>
        </w:rPr>
        <w:t>Plan by the Queensland and Australian community.</w:t>
      </w:r>
    </w:p>
    <w:p w14:paraId="7B6F8052" w14:textId="77777777" w:rsidR="00834641" w:rsidRPr="005B2157" w:rsidRDefault="003D1F7F" w:rsidP="003D1F7F">
      <w:pPr>
        <w:rPr>
          <w:rFonts w:cs="Arial"/>
          <w:szCs w:val="22"/>
          <w:lang w:val="en-US"/>
        </w:rPr>
      </w:pPr>
      <w:r w:rsidRPr="005B2157">
        <w:rPr>
          <w:rFonts w:cs="Arial"/>
          <w:szCs w:val="22"/>
          <w:lang w:val="en-US"/>
        </w:rPr>
        <w:t>Some of the restrictions for working in hazardous waters are overcome by using drop cameras</w:t>
      </w:r>
      <w:r w:rsidR="000945E8" w:rsidRPr="005B2157">
        <w:rPr>
          <w:rFonts w:cs="Arial"/>
          <w:szCs w:val="22"/>
          <w:lang w:val="en-US"/>
        </w:rPr>
        <w:t>, however, drop cameras only provide</w:t>
      </w:r>
      <w:r w:rsidRPr="005B2157">
        <w:rPr>
          <w:rFonts w:cs="Arial"/>
          <w:szCs w:val="22"/>
          <w:lang w:val="en-US"/>
        </w:rPr>
        <w:t xml:space="preserve"> abundance</w:t>
      </w:r>
      <w:r w:rsidR="000945E8" w:rsidRPr="005B2157">
        <w:rPr>
          <w:rFonts w:cs="Arial"/>
          <w:szCs w:val="22"/>
          <w:lang w:val="en-US"/>
        </w:rPr>
        <w:t xml:space="preserve"> measures and do</w:t>
      </w:r>
      <w:r w:rsidRPr="005B2157">
        <w:rPr>
          <w:rFonts w:cs="Arial"/>
          <w:szCs w:val="22"/>
          <w:lang w:val="en-US"/>
        </w:rPr>
        <w:t xml:space="preserve"> not contribute to </w:t>
      </w:r>
      <w:r w:rsidR="000945E8" w:rsidRPr="005B2157">
        <w:rPr>
          <w:rFonts w:cs="Arial"/>
          <w:szCs w:val="22"/>
          <w:lang w:val="en-US"/>
        </w:rPr>
        <w:t xml:space="preserve">the other metrics </w:t>
      </w:r>
      <w:r w:rsidRPr="005B2157">
        <w:rPr>
          <w:rFonts w:cs="Arial"/>
          <w:szCs w:val="22"/>
          <w:lang w:val="en-US"/>
        </w:rPr>
        <w:t>(e.g. tissue nutrients, reproductive ef</w:t>
      </w:r>
      <w:r w:rsidR="000945E8" w:rsidRPr="005B2157">
        <w:rPr>
          <w:rFonts w:cs="Arial"/>
          <w:szCs w:val="22"/>
          <w:lang w:val="en-US"/>
        </w:rPr>
        <w:t>fort)</w:t>
      </w:r>
      <w:r w:rsidRPr="005B2157">
        <w:rPr>
          <w:rFonts w:cs="Arial"/>
          <w:szCs w:val="22"/>
          <w:lang w:val="en-US"/>
        </w:rPr>
        <w:t xml:space="preserve">. Although considered intertidal within the MMP, the meadows chosen for monitoring were in fact lower littoral (rarely exposed to air). </w:t>
      </w:r>
    </w:p>
    <w:p w14:paraId="354E6678" w14:textId="67632042" w:rsidR="00834641" w:rsidRPr="005B2157" w:rsidRDefault="003D1F7F" w:rsidP="003D1F7F">
      <w:pPr>
        <w:rPr>
          <w:rFonts w:cs="Arial"/>
          <w:szCs w:val="22"/>
          <w:lang w:val="en-US"/>
        </w:rPr>
      </w:pPr>
      <w:r w:rsidRPr="005B2157">
        <w:rPr>
          <w:rFonts w:cs="Arial"/>
          <w:szCs w:val="22"/>
          <w:lang w:val="en-US"/>
        </w:rPr>
        <w:t xml:space="preserve">The long-term median annual daylight exposure (the time intertidal meadows are exposed to air during daylight hours) was </w:t>
      </w:r>
      <w:r w:rsidR="001E57DF" w:rsidRPr="005B2157">
        <w:rPr>
          <w:rFonts w:cs="Arial"/>
          <w:szCs w:val="22"/>
          <w:lang w:val="en-US"/>
        </w:rPr>
        <w:t>1.7</w:t>
      </w:r>
      <w:r w:rsidR="003C311A">
        <w:rPr>
          <w:rFonts w:cs="Arial"/>
          <w:szCs w:val="22"/>
          <w:lang w:val="en-US"/>
        </w:rPr>
        <w:t xml:space="preserve"> </w:t>
      </w:r>
      <w:r w:rsidRPr="005B2157">
        <w:rPr>
          <w:rFonts w:cs="Arial"/>
          <w:szCs w:val="22"/>
          <w:lang w:val="en-US"/>
        </w:rPr>
        <w:t>(all meadows pooled) (</w:t>
      </w:r>
      <w:r w:rsidRPr="005B2157">
        <w:rPr>
          <w:rFonts w:cs="Arial"/>
          <w:szCs w:val="22"/>
          <w:lang w:val="en-US"/>
        </w:rPr>
        <w:fldChar w:fldCharType="begin"/>
      </w:r>
      <w:r w:rsidRPr="005B2157">
        <w:rPr>
          <w:rFonts w:cs="Arial"/>
          <w:szCs w:val="22"/>
          <w:lang w:val="en-US"/>
        </w:rPr>
        <w:instrText xml:space="preserve"> REF _Ref409806677 \h </w:instrText>
      </w:r>
      <w:r w:rsidR="00DA741D" w:rsidRPr="005B2157">
        <w:rPr>
          <w:rFonts w:cs="Arial"/>
          <w:szCs w:val="22"/>
          <w:lang w:val="en-US"/>
        </w:rPr>
        <w:instrText xml:space="preserve"> \* MERGEFORMAT </w:instrText>
      </w:r>
      <w:r w:rsidRPr="005B2157">
        <w:rPr>
          <w:rFonts w:cs="Arial"/>
          <w:szCs w:val="22"/>
          <w:lang w:val="en-US"/>
        </w:rPr>
      </w:r>
      <w:r w:rsidRPr="005B2157">
        <w:rPr>
          <w:rFonts w:cs="Arial"/>
          <w:szCs w:val="22"/>
          <w:lang w:val="en-US"/>
        </w:rPr>
        <w:fldChar w:fldCharType="separate"/>
      </w:r>
      <w:r w:rsidR="0067675D" w:rsidRPr="00867E8C">
        <w:rPr>
          <w:rFonts w:cs="Arial"/>
          <w:szCs w:val="22"/>
        </w:rPr>
        <w:t xml:space="preserve">Table </w:t>
      </w:r>
      <w:r w:rsidR="0067675D">
        <w:rPr>
          <w:rFonts w:cs="Arial"/>
          <w:noProof/>
          <w:szCs w:val="22"/>
        </w:rPr>
        <w:t>19</w:t>
      </w:r>
      <w:r w:rsidRPr="005B2157">
        <w:rPr>
          <w:rFonts w:cs="Arial"/>
          <w:szCs w:val="22"/>
          <w:lang w:val="en-US"/>
        </w:rPr>
        <w:fldChar w:fldCharType="end"/>
      </w:r>
      <w:r w:rsidRPr="005B2157">
        <w:rPr>
          <w:rFonts w:cs="Arial"/>
          <w:szCs w:val="22"/>
          <w:lang w:val="en-US"/>
        </w:rPr>
        <w:t>). This limited the time monitoring could be conducted to the very low spring tides within small tidal windows (mostly 1</w:t>
      </w:r>
      <w:r w:rsidR="00834641" w:rsidRPr="005B2157">
        <w:rPr>
          <w:rFonts w:cs="Arial"/>
          <w:szCs w:val="22"/>
          <w:lang w:val="en-US"/>
        </w:rPr>
        <w:t>–</w:t>
      </w:r>
      <w:r w:rsidRPr="005B2157">
        <w:rPr>
          <w:rFonts w:cs="Arial"/>
          <w:szCs w:val="22"/>
          <w:lang w:val="en-US"/>
        </w:rPr>
        <w:t>4</w:t>
      </w:r>
      <w:r w:rsidR="00A12DFC" w:rsidRPr="005B2157">
        <w:rPr>
          <w:rFonts w:cs="Arial"/>
          <w:szCs w:val="22"/>
          <w:lang w:val="en-US"/>
        </w:rPr>
        <w:t xml:space="preserve"> </w:t>
      </w:r>
      <w:r w:rsidRPr="005B2157">
        <w:rPr>
          <w:rFonts w:cs="Arial"/>
          <w:szCs w:val="22"/>
          <w:lang w:val="en-US"/>
        </w:rPr>
        <w:t>h</w:t>
      </w:r>
      <w:r w:rsidR="00F30A0D">
        <w:rPr>
          <w:rFonts w:cs="Arial"/>
          <w:szCs w:val="22"/>
          <w:lang w:val="en-US"/>
        </w:rPr>
        <w:t>ou</w:t>
      </w:r>
      <w:r w:rsidRPr="005B2157">
        <w:rPr>
          <w:rFonts w:cs="Arial"/>
          <w:szCs w:val="22"/>
          <w:lang w:val="en-US"/>
        </w:rPr>
        <w:t>rs per day for 3</w:t>
      </w:r>
      <w:r w:rsidR="00834641" w:rsidRPr="005B2157">
        <w:rPr>
          <w:rFonts w:cs="Arial"/>
          <w:szCs w:val="22"/>
          <w:lang w:val="en-US"/>
        </w:rPr>
        <w:t>–</w:t>
      </w:r>
      <w:r w:rsidRPr="005B2157">
        <w:rPr>
          <w:rFonts w:cs="Arial"/>
          <w:szCs w:val="22"/>
          <w:lang w:val="en-US"/>
        </w:rPr>
        <w:t>6 days per month for 6</w:t>
      </w:r>
      <w:r w:rsidR="00834641" w:rsidRPr="005B2157">
        <w:rPr>
          <w:rFonts w:cs="Arial"/>
          <w:szCs w:val="22"/>
          <w:lang w:val="en-US"/>
        </w:rPr>
        <w:t>–</w:t>
      </w:r>
      <w:r w:rsidRPr="005B2157">
        <w:rPr>
          <w:rFonts w:cs="Arial"/>
          <w:szCs w:val="22"/>
          <w:lang w:val="en-US"/>
        </w:rPr>
        <w:t>9 months of the year). Traditionally, approaches developed for monitoring seagrass to assess changes in water quality were developed for subtidal meadows typif</w:t>
      </w:r>
      <w:r w:rsidR="008D142C" w:rsidRPr="005B2157">
        <w:rPr>
          <w:rFonts w:cs="Arial"/>
          <w:szCs w:val="22"/>
          <w:lang w:val="en-US"/>
        </w:rPr>
        <w:t>ied by small tidal ranges (e.g.</w:t>
      </w:r>
      <w:r w:rsidRPr="005B2157">
        <w:rPr>
          <w:rFonts w:cs="Arial"/>
          <w:szCs w:val="22"/>
          <w:lang w:val="en-US"/>
        </w:rPr>
        <w:t xml:space="preserve"> Florida = 0.7</w:t>
      </w:r>
      <w:r w:rsidR="00834641" w:rsidRPr="005B2157">
        <w:rPr>
          <w:rFonts w:cs="Arial"/>
          <w:szCs w:val="22"/>
          <w:lang w:val="en-US"/>
        </w:rPr>
        <w:t xml:space="preserve"> </w:t>
      </w:r>
      <w:r w:rsidRPr="005B2157">
        <w:rPr>
          <w:rFonts w:cs="Arial"/>
          <w:szCs w:val="22"/>
          <w:lang w:val="en-US"/>
        </w:rPr>
        <w:t>m, Chesapeake Bay = 0.6</w:t>
      </w:r>
      <w:r w:rsidR="00834641" w:rsidRPr="005B2157">
        <w:rPr>
          <w:rFonts w:cs="Arial"/>
          <w:szCs w:val="22"/>
          <w:lang w:val="en-US"/>
        </w:rPr>
        <w:t xml:space="preserve"> </w:t>
      </w:r>
      <w:r w:rsidRPr="005B2157">
        <w:rPr>
          <w:rFonts w:cs="Arial"/>
          <w:szCs w:val="22"/>
          <w:lang w:val="en-US"/>
        </w:rPr>
        <w:t>m) and clear waters where the seaward edges of meadows were only determined by light (</w:t>
      </w:r>
      <w:hyperlink w:anchor="_ENREF_56" w:tooltip="EHMP, 2008 #9478"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&lt;EndNote&gt;&lt;Cite&gt;&lt;Author&gt;EHMP&lt;/Author&gt;&lt;Year&gt;2008&lt;/Year&gt;&lt;RecNum&gt;9478&lt;/RecNum&gt;&lt;DisplayText&gt;EHMP 2008&lt;/DisplayText&gt;&lt;record&gt;&lt;rec-number&gt;9478&lt;/rec-number&gt;&lt;foreign-keys&gt;&lt;key app="EN" db-id="0eve55x9y5vfd6e9dacxtew4eatve2dzds9a" timestamp="1375681258"&gt;9478&lt;/key&gt;&lt;/foreign-keys&gt;&lt;ref-type name="Book"&gt;6&lt;/ref-type&gt;&lt;contributors&gt;&lt;authors&gt;&lt;author&gt;EHMP,&lt;/author&gt;&lt;/authors&gt;&lt;/contributors&gt;&lt;titles&gt;&lt;title&gt;Ecosystem Health Monitoring Program 2006-07: Annual Technical Report&lt;/title&gt;&lt;/titles&gt;&lt;section&gt;18-43&lt;/section&gt;&lt;dates&gt;&lt;year&gt;2008&lt;/year&gt;&lt;/dates&gt;&lt;pub-location&gt;Brisbane&lt;/pub-location&gt;&lt;publisher&gt;South East Queensland Healthy Waterways Partnership&lt;/publisher&gt;&lt;urls&gt;&lt;/urls&gt;&lt;/record&gt;&lt;/Cite&gt;&lt;/EndNote&gt;</w:instrText>
        </w:r>
        <w:r w:rsidR="009A7AB4" w:rsidRPr="005B2157">
          <w:rPr>
            <w:rFonts w:cs="Arial"/>
            <w:szCs w:val="22"/>
            <w:lang w:val="en-US"/>
          </w:rPr>
          <w:fldChar w:fldCharType="separate"/>
        </w:r>
        <w:r w:rsidR="009A7AB4" w:rsidRPr="005B2157">
          <w:rPr>
            <w:rFonts w:cs="Arial"/>
            <w:noProof/>
            <w:szCs w:val="22"/>
            <w:lang w:val="en-US"/>
          </w:rPr>
          <w:t>EHMP 2008</w:t>
        </w:r>
        <w:r w:rsidR="009A7AB4" w:rsidRPr="005B2157">
          <w:rPr>
            <w:rFonts w:cs="Arial"/>
            <w:szCs w:val="22"/>
            <w:lang w:val="en-US"/>
          </w:rPr>
          <w:fldChar w:fldCharType="end"/>
        </w:r>
      </w:hyperlink>
      <w:r w:rsidRPr="005B2157">
        <w:rPr>
          <w:rFonts w:cs="Arial"/>
          <w:szCs w:val="22"/>
          <w:lang w:val="en-US"/>
        </w:rPr>
        <w:t xml:space="preserve">). </w:t>
      </w:r>
    </w:p>
    <w:p w14:paraId="21351EEA" w14:textId="53A60A36" w:rsidR="003D1F7F" w:rsidRPr="005B2157" w:rsidRDefault="00DF2EA6" w:rsidP="003D1F7F">
      <w:pPr>
        <w:rPr>
          <w:rFonts w:cs="Arial"/>
          <w:szCs w:val="22"/>
          <w:lang w:val="en-US"/>
        </w:rPr>
      </w:pPr>
      <w:r w:rsidRPr="005B2157">
        <w:rPr>
          <w:rFonts w:cs="Arial"/>
          <w:szCs w:val="22"/>
          <w:lang w:val="en-US"/>
        </w:rPr>
        <w:t>D</w:t>
      </w:r>
      <w:r w:rsidR="003D1F7F" w:rsidRPr="005B2157">
        <w:rPr>
          <w:rFonts w:cs="Arial"/>
          <w:szCs w:val="22"/>
          <w:lang w:val="en-US"/>
        </w:rPr>
        <w:t xml:space="preserve">epth range monitoring in subtropical/tropical seagrass meadows </w:t>
      </w:r>
      <w:r w:rsidR="00CE7000" w:rsidRPr="005B2157">
        <w:rPr>
          <w:rFonts w:cs="Arial"/>
          <w:szCs w:val="22"/>
          <w:lang w:val="en-US"/>
        </w:rPr>
        <w:t>has had</w:t>
      </w:r>
      <w:r w:rsidR="00B136DE" w:rsidRPr="005B2157">
        <w:rPr>
          <w:rFonts w:cs="Arial"/>
          <w:szCs w:val="22"/>
          <w:lang w:val="en-US"/>
        </w:rPr>
        <w:t xml:space="preserve"> limited</w:t>
      </w:r>
      <w:r w:rsidR="003D1F7F" w:rsidRPr="005B2157">
        <w:rPr>
          <w:rFonts w:cs="Arial"/>
          <w:szCs w:val="22"/>
          <w:lang w:val="en-US"/>
        </w:rPr>
        <w:t xml:space="preserve"> success </w:t>
      </w:r>
      <w:r w:rsidR="00B136DE" w:rsidRPr="005B2157">
        <w:rPr>
          <w:rFonts w:cs="Arial"/>
          <w:szCs w:val="22"/>
          <w:lang w:val="en-US"/>
        </w:rPr>
        <w:t xml:space="preserve">due to logistic/technical issues  </w:t>
      </w:r>
      <w:r w:rsidR="003D1F7F" w:rsidRPr="005B2157">
        <w:rPr>
          <w:rFonts w:cs="Arial"/>
          <w:szCs w:val="22"/>
          <w:lang w:val="en-US"/>
        </w:rPr>
        <w:t xml:space="preserve">and </w:t>
      </w:r>
      <w:r w:rsidR="00834641" w:rsidRPr="005B2157">
        <w:rPr>
          <w:rFonts w:cs="Arial"/>
          <w:szCs w:val="22"/>
          <w:lang w:val="en-US"/>
        </w:rPr>
        <w:t>non-conformism with</w:t>
      </w:r>
      <w:r w:rsidR="003D1F7F" w:rsidRPr="005B2157">
        <w:rPr>
          <w:rFonts w:cs="Arial"/>
          <w:szCs w:val="22"/>
          <w:lang w:val="en-US"/>
        </w:rPr>
        <w:t xml:space="preserve"> traditional ecosystem models because of the complexity (</w:t>
      </w:r>
      <w:hyperlink w:anchor="_ENREF_22" w:tooltip="Carruthers, 2002 #8021"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&lt;EndNote&gt;&lt;Cite&gt;&lt;Author&gt;Carruthers&lt;/Author&gt;&lt;Year&gt;2002&lt;/Year&gt;&lt;RecNum&gt;8021&lt;/RecNum&gt;&lt;DisplayText&gt;Carruthers&lt;style face="italic"&gt; et al.&lt;/style&gt; 2002&lt;/DisplayText&gt;&lt;record&gt;&lt;rec-number&gt;8021&lt;/rec-number&gt;&lt;foreign-keys&gt;&lt;key app="EN" db-id="0eve55x9y5vfd6e9dacxtew4eatve2dzds9a" timestamp="0"&gt;8021&lt;/key&gt;&lt;/foreign-keys&gt;&lt;ref-type name="Journal Article"&gt;17&lt;/ref-type&gt;&lt;contributors&gt;&lt;authors&gt;&lt;author&gt;Carruthers, TJB.&lt;/author&gt;&lt;author&gt;Dennison, WC&lt;/author&gt;&lt;author&gt;Longstaff, BJ&lt;/author&gt;&lt;author&gt;Waycott, Michelle&lt;/author&gt;&lt;author&gt;Abal, E. G.&lt;/author&gt;&lt;author&gt;McKenzie, Len J&lt;/author&gt;&lt;author&gt;Lee Long, WJ&lt;/author&gt;&lt;/authors&gt;&lt;/contributors&gt;&lt;titles&gt;&lt;title&gt;Seagrass habitats of north east Australia: models of key processes and controls&lt;/title&gt;&lt;secondary-title&gt;Bulletin of Marine Science&lt;/secondary-title&gt;&lt;/titles&gt;&lt;periodical&gt;&lt;full-title&gt;Bulletin of Marine Science&lt;/full-title&gt;&lt;/periodical&gt;&lt;pages&gt;1153-1169&lt;/pages&gt;&lt;volume&gt;71&lt;/volume&gt;&lt;number&gt;3&lt;/number&gt;&lt;dates&gt;&lt;year&gt;2002&lt;/year&gt;&lt;/dates&gt;&lt;label&gt;Habitats&lt;/label&gt;&lt;urls&gt;&lt;/urls&gt;&lt;/record&gt;&lt;/Cite&gt;&lt;/EndNote&gt;</w:instrText>
        </w:r>
        <w:r w:rsidR="009A7AB4" w:rsidRPr="005B2157">
          <w:rPr>
            <w:rFonts w:cs="Arial"/>
            <w:szCs w:val="22"/>
            <w:lang w:val="en-US"/>
          </w:rPr>
          <w:fldChar w:fldCharType="separate"/>
        </w:r>
        <w:r w:rsidR="009A7AB4" w:rsidRPr="005B2157">
          <w:rPr>
            <w:rFonts w:cs="Arial"/>
            <w:noProof/>
            <w:szCs w:val="22"/>
            <w:lang w:val="en-US"/>
          </w:rPr>
          <w:t>Carruthers</w:t>
        </w:r>
        <w:r w:rsidR="009A7AB4" w:rsidRPr="005B2157">
          <w:rPr>
            <w:rFonts w:cs="Arial"/>
            <w:i/>
            <w:noProof/>
            <w:szCs w:val="22"/>
            <w:lang w:val="en-US"/>
          </w:rPr>
          <w:t xml:space="preserve"> et al.</w:t>
        </w:r>
        <w:r w:rsidR="009A7AB4" w:rsidRPr="005B2157">
          <w:rPr>
            <w:rFonts w:cs="Arial"/>
            <w:noProof/>
            <w:szCs w:val="22"/>
            <w:lang w:val="en-US"/>
          </w:rPr>
          <w:t xml:space="preserve"> 2002</w:t>
        </w:r>
        <w:r w:rsidR="009A7AB4" w:rsidRPr="005B2157">
          <w:rPr>
            <w:rFonts w:cs="Arial"/>
            <w:szCs w:val="22"/>
            <w:lang w:val="en-US"/>
          </w:rPr>
          <w:fldChar w:fldCharType="end"/>
        </w:r>
      </w:hyperlink>
      <w:r w:rsidR="003D1F7F" w:rsidRPr="005B2157">
        <w:rPr>
          <w:rFonts w:cs="Arial"/>
          <w:szCs w:val="22"/>
          <w:lang w:val="en-US"/>
        </w:rPr>
        <w:t xml:space="preserve">), </w:t>
      </w:r>
      <w:bookmarkStart w:id="60" w:name="OLE_LINK33"/>
      <w:r w:rsidR="003D1F7F" w:rsidRPr="005B2157">
        <w:rPr>
          <w:rFonts w:cs="Arial"/>
          <w:szCs w:val="22"/>
          <w:lang w:val="en-US"/>
        </w:rPr>
        <w:t>including:</w:t>
      </w:r>
    </w:p>
    <w:p w14:paraId="0DEFC649" w14:textId="381B6DED"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lastRenderedPageBreak/>
        <w:t>a variety of habitat types (estuarine, coastal, reef and deepwater)</w:t>
      </w:r>
    </w:p>
    <w:p w14:paraId="429698BD" w14:textId="0F54E315"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a large variety of seagrass species with differing life history traits and strategies</w:t>
      </w:r>
    </w:p>
    <w:p w14:paraId="266E69AC" w14:textId="23E2A0CC"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 xml:space="preserve">tidal amplitudes spanning 3.42m (Cairns) to 10.4m (Broad Sound) (www.msq.qld.gov.au; </w:t>
      </w:r>
      <w:hyperlink w:anchor="_ENREF_96" w:tooltip="Maxwell, 1968 #700" w:history="1">
        <w:r w:rsidR="009A7AB4" w:rsidRPr="005B2157">
          <w:rPr>
            <w:rFonts w:cs="Arial"/>
            <w:szCs w:val="22"/>
          </w:rPr>
          <w:fldChar w:fldCharType="begin"/>
        </w:r>
        <w:r w:rsidR="009A7AB4" w:rsidRPr="005B2157">
          <w:rPr>
            <w:rFonts w:cs="Arial"/>
            <w:szCs w:val="22"/>
          </w:rPr>
          <w:instrText xml:space="preserve"> ADDIN EN.CITE &lt;EndNote&gt;&lt;Cite&gt;&lt;Author&gt;Maxwell&lt;/Author&gt;&lt;Year&gt;1968&lt;/Year&gt;&lt;RecNum&gt;700&lt;/RecNum&gt;&lt;DisplayText&gt;Maxwell 1968&lt;/DisplayText&gt;&lt;record&gt;&lt;rec-number&gt;700&lt;/rec-number&gt;&lt;foreign-keys&gt;&lt;key app="EN" db-id="0eve55x9y5vfd6e9dacxtew4eatve2dzds9a" timestamp="0"&gt;700&lt;/key&gt;&lt;/foreign-keys&gt;&lt;ref-type name="Book"&gt;6&lt;/ref-type&gt;&lt;contributors&gt;&lt;authors&gt;&lt;author&gt;Maxwell, W. G. H.&lt;/author&gt;&lt;/authors&gt;&lt;/contributors&gt;&lt;titles&gt;&lt;title&gt;Atlas of the Great Barrier Reef&lt;/title&gt;&lt;/titles&gt;&lt;pages&gt;258&lt;/pages&gt;&lt;keywords&gt;&lt;keyword&gt;GREAT BARRIER REEF&lt;/keyword&gt;&lt;keyword&gt;LEN&amp;apos;S REFERENCES&lt;/keyword&gt;&lt;keyword&gt;SEDIMENTS&lt;/keyword&gt;&lt;/keywords&gt;&lt;dates&gt;&lt;year&gt;1968&lt;/year&gt;&lt;/dates&gt;&lt;pub-location&gt;Amsterdam&lt;/pub-location&gt;&lt;publisher&gt;Elsevier Publishing Company&lt;/publisher&gt;&lt;label&gt;702&lt;/label&gt;&lt;urls&gt;&lt;/urls&gt;&lt;custom1&gt;Annex&lt;/custom1&gt;&lt;/record&gt;&lt;/Cite&gt;&lt;/EndNote&gt;</w:instrText>
        </w:r>
        <w:r w:rsidR="009A7AB4" w:rsidRPr="005B2157">
          <w:rPr>
            <w:rFonts w:cs="Arial"/>
            <w:szCs w:val="22"/>
          </w:rPr>
          <w:fldChar w:fldCharType="separate"/>
        </w:r>
        <w:r w:rsidR="009A7AB4" w:rsidRPr="005B2157">
          <w:rPr>
            <w:rFonts w:cs="Arial"/>
            <w:szCs w:val="22"/>
          </w:rPr>
          <w:t>Maxwell 1968</w:t>
        </w:r>
        <w:r w:rsidR="009A7AB4" w:rsidRPr="005B2157">
          <w:rPr>
            <w:rFonts w:cs="Arial"/>
            <w:szCs w:val="22"/>
          </w:rPr>
          <w:fldChar w:fldCharType="end"/>
        </w:r>
      </w:hyperlink>
      <w:r w:rsidRPr="005B2157">
        <w:rPr>
          <w:rFonts w:cs="Arial"/>
          <w:szCs w:val="22"/>
        </w:rPr>
        <w:t>)</w:t>
      </w:r>
    </w:p>
    <w:p w14:paraId="74D8AB3F" w14:textId="60060249"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a variety of sediment substrates, from terrigenous with high organic content, to oligotrophic calcium carbonate</w:t>
      </w:r>
    </w:p>
    <w:p w14:paraId="372E7FD5" w14:textId="76C65EC9"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 xml:space="preserve">turbid </w:t>
      </w:r>
      <w:r w:rsidR="00217AEE" w:rsidRPr="005B2157">
        <w:rPr>
          <w:rFonts w:cs="Arial"/>
          <w:szCs w:val="22"/>
        </w:rPr>
        <w:t>waters</w:t>
      </w:r>
      <w:r w:rsidR="00217AEE">
        <w:rPr>
          <w:rFonts w:cs="Arial"/>
          <w:szCs w:val="22"/>
        </w:rPr>
        <w:t xml:space="preserve"> </w:t>
      </w:r>
      <w:r w:rsidRPr="005B2157">
        <w:rPr>
          <w:rFonts w:cs="Arial"/>
          <w:szCs w:val="22"/>
        </w:rPr>
        <w:t xml:space="preserve">nearshore to clearer </w:t>
      </w:r>
      <w:r w:rsidR="00217AEE">
        <w:rPr>
          <w:rFonts w:cs="Arial"/>
          <w:szCs w:val="22"/>
        </w:rPr>
        <w:t>further seaward</w:t>
      </w:r>
    </w:p>
    <w:p w14:paraId="0DEAD03F" w14:textId="4D8D87DA"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grazing dugongs and sea turtles influencing meadow community structure and landscapes</w:t>
      </w:r>
    </w:p>
    <w:p w14:paraId="0443A767" w14:textId="65B74557" w:rsidR="003D1F7F" w:rsidRPr="005B2157" w:rsidRDefault="003D1F7F" w:rsidP="005B2157">
      <w:pPr>
        <w:numPr>
          <w:ilvl w:val="0"/>
          <w:numId w:val="1"/>
        </w:numPr>
        <w:tabs>
          <w:tab w:val="clear" w:pos="360"/>
          <w:tab w:val="num" w:pos="709"/>
        </w:tabs>
        <w:ind w:left="709" w:hanging="349"/>
        <w:rPr>
          <w:rFonts w:cs="Arial"/>
          <w:szCs w:val="22"/>
        </w:rPr>
      </w:pPr>
      <w:r w:rsidRPr="005B2157">
        <w:rPr>
          <w:rFonts w:cs="Arial"/>
          <w:szCs w:val="22"/>
        </w:rPr>
        <w:t>near</w:t>
      </w:r>
      <w:r w:rsidR="00C3035F" w:rsidRPr="005B2157">
        <w:rPr>
          <w:rFonts w:cs="Arial"/>
          <w:szCs w:val="22"/>
        </w:rPr>
        <w:t>-</w:t>
      </w:r>
      <w:r w:rsidRPr="005B2157">
        <w:rPr>
          <w:rFonts w:cs="Arial"/>
          <w:szCs w:val="22"/>
        </w:rPr>
        <w:t xml:space="preserve">absence of shallow subtidal meadows south of </w:t>
      </w:r>
      <w:r w:rsidR="00B72AC4">
        <w:rPr>
          <w:rFonts w:cs="Arial"/>
          <w:szCs w:val="22"/>
        </w:rPr>
        <w:t>Mackay–Whitsunday</w:t>
      </w:r>
      <w:r w:rsidRPr="005B2157">
        <w:rPr>
          <w:rFonts w:cs="Arial"/>
          <w:szCs w:val="22"/>
        </w:rPr>
        <w:t xml:space="preserve"> due to the large tides which scour the seabed.</w:t>
      </w:r>
    </w:p>
    <w:bookmarkEnd w:id="60"/>
    <w:p w14:paraId="496F49FC" w14:textId="418C7597" w:rsidR="00F17593" w:rsidRPr="005B2157" w:rsidRDefault="000945E8" w:rsidP="003D1F7F">
      <w:pPr>
        <w:rPr>
          <w:rFonts w:cs="Arial"/>
          <w:szCs w:val="22"/>
          <w:lang w:val="en-US"/>
        </w:rPr>
      </w:pPr>
      <w:r w:rsidRPr="005B2157">
        <w:rPr>
          <w:rFonts w:cs="Arial"/>
          <w:szCs w:val="22"/>
          <w:lang w:val="en-US"/>
        </w:rPr>
        <w:t>Deepwater</w:t>
      </w:r>
      <w:r w:rsidR="003D1F7F" w:rsidRPr="005B2157">
        <w:rPr>
          <w:rFonts w:cs="Arial"/>
          <w:szCs w:val="22"/>
          <w:lang w:val="en-US"/>
        </w:rPr>
        <w:t xml:space="preserve"> </w:t>
      </w:r>
      <w:r w:rsidR="00840A57" w:rsidRPr="005B2157">
        <w:rPr>
          <w:rFonts w:cs="Arial"/>
          <w:szCs w:val="22"/>
          <w:lang w:val="en-US"/>
        </w:rPr>
        <w:t>(&gt;15</w:t>
      </w:r>
      <w:r w:rsidR="00834641" w:rsidRPr="005B2157">
        <w:rPr>
          <w:rFonts w:cs="Arial"/>
          <w:szCs w:val="22"/>
          <w:lang w:val="en-US"/>
        </w:rPr>
        <w:t xml:space="preserve"> </w:t>
      </w:r>
      <w:r w:rsidR="00840A57" w:rsidRPr="005B2157">
        <w:rPr>
          <w:rFonts w:cs="Arial"/>
          <w:szCs w:val="22"/>
          <w:lang w:val="en-US"/>
        </w:rPr>
        <w:t xml:space="preserve">m) </w:t>
      </w:r>
      <w:r w:rsidR="003D1F7F" w:rsidRPr="005B2157">
        <w:rPr>
          <w:rFonts w:cs="Arial"/>
          <w:szCs w:val="22"/>
          <w:lang w:val="en-US"/>
        </w:rPr>
        <w:t xml:space="preserve">meadows across the </w:t>
      </w:r>
      <w:r w:rsidR="00F206BF" w:rsidRPr="005B2157">
        <w:rPr>
          <w:rFonts w:cs="Arial"/>
          <w:szCs w:val="22"/>
          <w:lang w:val="en-US"/>
        </w:rPr>
        <w:t>Reef</w:t>
      </w:r>
      <w:r w:rsidR="003D1F7F" w:rsidRPr="005B2157">
        <w:rPr>
          <w:rFonts w:cs="Arial"/>
          <w:szCs w:val="22"/>
          <w:lang w:val="en-US"/>
        </w:rPr>
        <w:t xml:space="preserve"> are </w:t>
      </w:r>
      <w:r w:rsidR="00106862" w:rsidRPr="005B2157">
        <w:rPr>
          <w:rFonts w:cs="Arial"/>
          <w:szCs w:val="22"/>
          <w:lang w:val="en-US"/>
        </w:rPr>
        <w:t>comprised of only</w:t>
      </w:r>
      <w:r w:rsidR="003D1F7F" w:rsidRPr="005B2157">
        <w:rPr>
          <w:rFonts w:cs="Arial"/>
          <w:szCs w:val="22"/>
          <w:lang w:val="en-US"/>
        </w:rPr>
        <w:t xml:space="preserve"> </w:t>
      </w:r>
      <w:r w:rsidR="003D1F7F" w:rsidRPr="005B2157">
        <w:rPr>
          <w:rFonts w:cs="Arial"/>
          <w:i/>
          <w:szCs w:val="22"/>
          <w:lang w:val="en-US"/>
        </w:rPr>
        <w:t>Halophila</w:t>
      </w:r>
      <w:r w:rsidR="003D1F7F" w:rsidRPr="005B2157">
        <w:rPr>
          <w:rFonts w:cs="Arial"/>
          <w:szCs w:val="22"/>
          <w:lang w:val="en-US"/>
        </w:rPr>
        <w:t xml:space="preserve"> species and are highly variable in abundance and distribution (</w:t>
      </w:r>
      <w:r w:rsidR="00850D03" w:rsidRPr="005B2157">
        <w:rPr>
          <w:rFonts w:cs="Arial"/>
          <w:szCs w:val="22"/>
          <w:lang w:val="en-US"/>
        </w:rPr>
        <w:fldChar w:fldCharType="begin">
          <w:fldData xml:space="preserve">PEVuZE5vdGU+PENpdGU+PEF1dGhvcj5MZWUgTG9uZzwvQXV0aG9yPjxZZWFyPjE5OTk8L1llYXI+
PFJlY051bT41NzgyPC9SZWNOdW0+PERpc3BsYXlUZXh0PkxlZSBMb25nPHN0eWxlIGZhY2U9Iml0
YWxpYyI+IGV0IGFsLjwvc3R5bGU+IDE5OTk7IFlvcms8c3R5bGUgZmFjZT0iaXRhbGljIj4gZXQg
YWwuPC9zdHlsZT4gMjAxNTsgQ2hhcnRyYW5kPHN0eWxlIGZhY2U9Iml0YWxpYyI+IGV0IGFsLjwv
c3R5bGU+IDIwMTg8L0Rpc3BsYXlUZXh0PjxyZWNvcmQ+PHJlYy1udW1iZXI+NTc4MjwvcmVjLW51
bWJlcj48Zm9yZWlnbi1rZXlzPjxrZXkgYXBwPSJFTiIgZGItaWQ9IjBldmU1NXg5eTV2ZmQ2ZTlk
YWN4dGV3NGVhdHZlMmR6ZHM5YSIgdGltZXN0YW1wPSIwIj41NzgyPC9rZXk+PC9mb3JlaWduLWtl
eXM+PHJlZi10eXBlIG5hbWU9IkpvdXJuYWwgQXJ0aWNsZSI+MTc8L3JlZi10eXBlPjxjb250cmli
dXRvcnM+PGF1dGhvcnM+PGF1dGhvcj5MZWUgTG9uZywgV2FycmVuIEo8L2F1dGhvcj48YXV0aG9y
PkNvbGVzLCBSb2JlcnQgRzwvYXV0aG9yPjxhdXRob3I+TWNLZW56aWUsIExlbiBKPC9hdXRob3I+
PC9hdXRob3JzPjwvY29udHJpYnV0b3JzPjx0aXRsZXM+PHRpdGxlPklzc3VlcyBmb3IgU2VhZ3Jh
c3MgY29uc2VydmF0aW9uIG1hbmFnZW1lbnQgaW4gUXVlZW5zbGFuZDwvdGl0bGU+PHNlY29uZGFy
eS10aXRsZT5QYWNpZmljIENvbnNlcnZhdGlvbiBCaW9sb2d5PC9zZWNvbmRhcnktdGl0bGU+PC90
aXRsZXM+PHBlcmlvZGljYWw+PGZ1bGwtdGl0bGU+UGFjaWZpYyBDb25zZXJ2YXRpb24gQmlvbG9n
eTwvZnVsbC10aXRsZT48L3BlcmlvZGljYWw+PHBhZ2VzPjMyMS0zMjg8L3BhZ2VzPjx2b2x1bWU+
NTwvdm9sdW1lPjxudW1iZXI+NDwvbnVtYmVyPjxkYXRlcz48eWVhcj4xOTk5PC95ZWFyPjwvZGF0
ZXM+PHVybHM+PC91cmxzPjwvcmVjb3JkPjwvQ2l0ZT48Q2l0ZT48QXV0aG9yPllvcms8L0F1dGhv
cj48WWVhcj4yMDE1PC9ZZWFyPjxSZWNOdW0+MTA0MDQ8L1JlY051bT48cmVjb3JkPjxyZWMtbnVt
YmVyPjEwNDA0PC9yZWMtbnVtYmVyPjxmb3JlaWduLWtleXM+PGtleSBhcHA9IkVOIiBkYi1pZD0i
MGV2ZTU1eDl5NXZmZDZlOWRhY3h0ZXc0ZWF0dmUyZHpkczlhIiB0aW1lc3RhbXA9IjE0NDkwMDY1
NDIiPjEwNDA0PC9rZXk+PC9mb3JlaWduLWtleXM+PHJlZi10eXBlIG5hbWU9IkpvdXJuYWwgQXJ0
aWNsZSI+MTc8L3JlZi10eXBlPjxjb250cmlidXRvcnM+PGF1dGhvcnM+PGF1dGhvcj5Zb3JrLCBQ
YXVsIEguPC9hdXRob3I+PGF1dGhvcj5DYXJ0ZXIsIEFsZXggQi48L2F1dGhvcj48YXV0aG9yPkNo
YXJ0cmFuZCwgS2F0aHJ5bjwvYXV0aG9yPjxhdXRob3I+U2Fua2V5LCBUb25pYTwvYXV0aG9yPjxh
dXRob3I+V2VsbHMsIExpbmRhPC9hdXRob3I+PGF1dGhvcj5SYXNoZWVkLCBNaWNoYWVsIEEuPC9h
dXRob3I+PC9hdXRob3JzPjwvY29udHJpYnV0b3JzPjx0aXRsZXM+PHRpdGxlPkR5bmFtaWNzIG9m
IGEgZGVlcC13YXRlciBzZWFncmFzcyBwb3B1bGF0aW9uIG9uIHRoZSBHcmVhdCBCYXJyaWVyIFJl
ZWY6IGFubnVhbCBvY2N1cnJlbmNlIGFuZCByZXNwb25zZSB0byBhIG1ham9yIGRyZWRnaW5nIHBy
b2dyYW08L3RpdGxlPjxzZWNvbmRhcnktdGl0bGU+U2NpZW50aWZpYyBSZXBvcnRzPC9zZWNvbmRh
cnktdGl0bGU+PC90aXRsZXM+PHBlcmlvZGljYWw+PGZ1bGwtdGl0bGU+U2NpZW50aWZpYyBSZXBv
cnRzPC9mdWxsLXRpdGxlPjwvcGVyaW9kaWNhbD48cGFnZXM+MTMxNjc8L3BhZ2VzPjx2b2x1bWU+
NTwvdm9sdW1lPjxkYXRlcz48eWVhcj4yMDE1PC95ZWFyPjwvZGF0ZXM+PHB1Ymxpc2hlcj5NYWNt
aWxsYW4gUHVibGlzaGVycyBMaW1pdGVkPC9wdWJsaXNoZXI+PHVybHM+PHJlbGF0ZWQtdXJscz48
dXJsPmh0dHA6Ly9keC5kb2kub3JnLzEwLjEwMzgvc3JlcDEzMTY3PC91cmw+PC9yZWxhdGVkLXVy
bHM+PC91cmxzPjxlbGVjdHJvbmljLXJlc291cmNlLW51bT4xMC4xMDM4L3NyZXAxMzE2NyBodHRw
Oi8vd3d3Lm5hdHVyZS5jb20vYXJ0aWNsZXMvc3JlcDEzMTY3I3N1cHBsZW1lbnRhcnktaW5mb3Jt
YXRpb248L2VsZWN0cm9uaWMtcmVzb3VyY2UtbnVtPjwvcmVjb3JkPjwvQ2l0ZT48Q2l0ZT48QXV0
aG9yPkNoYXJ0cmFuZDwvQXV0aG9yPjxZZWFyPjIwMTg8L1llYXI+PFJlY051bT4xMTQ4MTwvUmVj
TnVtPjxyZWNvcmQ+PHJlYy1udW1iZXI+MTE0ODE8L3JlYy1udW1iZXI+PGZvcmVpZ24ta2V5cz48
a2V5IGFwcD0iRU4iIGRiLWlkPSIwZXZlNTV4OXk1dmZkNmU5ZGFjeHRldzRlYXR2ZTJkemRzOWEi
IHRpbWVzdGFtcD0iMTUyNDQzODMwOSI+MTE0ODE8L2tleT48L2ZvcmVpZ24ta2V5cz48cmVmLXR5
cGUgbmFtZT0iSm91cm5hbCBBcnRpY2xlIj4xNzwvcmVmLXR5cGU+PGNvbnRyaWJ1dG9ycz48YXV0
aG9ycz48YXV0aG9yPkNoYXJ0cmFuZCwgS2F0aHJ5biBNLjwvYXV0aG9yPjxhdXRob3I+U3phYsOz
LCBNaWzDoW48L2F1dGhvcj48YXV0aG9yPlNpbnV0b2ssIFN1dGluZWU8L2F1dGhvcj48YXV0aG9y
PlJhc2hlZWQsIE1pY2hhZWwgQS48L2F1dGhvcj48YXV0aG9yPlJhbHBoLCBQZXRlciBKLjwvYXV0
aG9yPjwvYXV0aG9ycz48L2NvbnRyaWJ1dG9ycz48dGl0bGVzPjx0aXRsZT5MaXZpbmcgYXQgdGhl
IG1hcmdpbnMg4oCTIFRoZSByZXNwb25zZSBvZiBkZWVwLXdhdGVyIHNlYWdyYXNzZXMgdG8gbGln
aHQgYW5kIHRlbXBlcmF0dXJlIHJlbmRlcnMgdGhlbSBzdXNjZXB0aWJsZSB0byBhY3V0ZSBpbXBh
Y3RzPC90aXRsZT48c2Vjb25kYXJ5LXRpdGxlPk1hcmluZSBFbnZpcm9ubWVudGFsIFJlc2VhcmNo
PC9zZWNvbmRhcnktdGl0bGU+PC90aXRsZXM+PHBlcmlvZGljYWw+PGZ1bGwtdGl0bGU+TWFyaW5l
IEVudmlyb25tZW50YWwgUmVzZWFyY2g8L2Z1bGwtdGl0bGU+PC9wZXJpb2RpY2FsPjxwYWdlcz4x
MjYtMTM4PC9wYWdlcz48dm9sdW1lPjEzNjwvdm9sdW1lPjxrZXl3b3Jkcz48a2V5d29yZD5EZWVw
LXdhdGVyPC9rZXl3b3JkPjxrZXl3b3JkPlNlYWdyYXNzPC9rZXl3b3JkPjxrZXl3b3JkPkxpZ2h0
PC9rZXl3b3JkPjxrZXl3b3JkPlRlbXBlcmF0dXJlPC9rZXl3b3JkPjxrZXl3b3JkPlBBTSBmbHVv
cm9tZXRyeTwva2V5d29yZD48a2V5d29yZD5XYXZlbGVuZ3RoLXNwZWNpZmljIHBob3RvY2hlbWlz
dHJ5PC9rZXl3b3JkPjxrZXl3b3JkPkdyZWF0IEJhcnJpZXIgUmVlZjwva2V5d29yZD48L2tleXdv
cmRzPjxkYXRlcz48eWVhcj4yMDE4PC95ZWFyPjxwdWItZGF0ZXM+PGRhdGU+MjAxOC8wNS8wMS88
L2RhdGU+PC9wdWItZGF0ZXM+PC9kYXRlcz48aXNibj4wMTQxLTExMzY8L2lzYm4+PHVybHM+PHJl
bGF0ZWQtdXJscz48dXJsPmh0dHA6Ly93d3cuc2NpZW5jZWRpcmVjdC5jb20vc2NpZW5jZS9hcnRp
Y2xlL3BpaS9TMDE0MTExMzYxNzMwNzI4NjwvdXJsPjwvcmVsYXRlZC11cmxzPjwvdXJscz48ZWxl
Y3Ryb25pYy1yZXNvdXJjZS1udW0+aHR0cHM6Ly9kb2kub3JnLzEwLjEwMTYvai5tYXJlbnZyZXMu
MjAxOC4wMi4wMDY8L2VsZWN0cm9uaWMtcmVzb3VyY2UtbnVtPjwvcmVjb3JkPjwvQ2l0ZT48L0Vu
ZE5vdGU+
</w:fldData>
        </w:fldChar>
      </w:r>
      <w:r w:rsidR="00DB131A" w:rsidRPr="005B2157">
        <w:rPr>
          <w:rFonts w:cs="Arial"/>
          <w:szCs w:val="22"/>
          <w:lang w:val="en-US"/>
        </w:rPr>
        <w:instrText xml:space="preserve"> ADDIN EN.CITE </w:instrText>
      </w:r>
      <w:r w:rsidR="00DB131A" w:rsidRPr="005B2157">
        <w:rPr>
          <w:rFonts w:cs="Arial"/>
          <w:szCs w:val="22"/>
          <w:lang w:val="en-US"/>
        </w:rPr>
        <w:fldChar w:fldCharType="begin">
          <w:fldData xml:space="preserve">PEVuZE5vdGU+PENpdGU+PEF1dGhvcj5MZWUgTG9uZzwvQXV0aG9yPjxZZWFyPjE5OTk8L1llYXI+
PFJlY051bT41NzgyPC9SZWNOdW0+PERpc3BsYXlUZXh0PkxlZSBMb25nPHN0eWxlIGZhY2U9Iml0
YWxpYyI+IGV0IGFsLjwvc3R5bGU+IDE5OTk7IFlvcms8c3R5bGUgZmFjZT0iaXRhbGljIj4gZXQg
YWwuPC9zdHlsZT4gMjAxNTsgQ2hhcnRyYW5kPHN0eWxlIGZhY2U9Iml0YWxpYyI+IGV0IGFsLjwv
c3R5bGU+IDIwMTg8L0Rpc3BsYXlUZXh0PjxyZWNvcmQ+PHJlYy1udW1iZXI+NTc4MjwvcmVjLW51
bWJlcj48Zm9yZWlnbi1rZXlzPjxrZXkgYXBwPSJFTiIgZGItaWQ9IjBldmU1NXg5eTV2ZmQ2ZTlk
YWN4dGV3NGVhdHZlMmR6ZHM5YSIgdGltZXN0YW1wPSIwIj41NzgyPC9rZXk+PC9mb3JlaWduLWtl
eXM+PHJlZi10eXBlIG5hbWU9IkpvdXJuYWwgQXJ0aWNsZSI+MTc8L3JlZi10eXBlPjxjb250cmli
dXRvcnM+PGF1dGhvcnM+PGF1dGhvcj5MZWUgTG9uZywgV2FycmVuIEo8L2F1dGhvcj48YXV0aG9y
PkNvbGVzLCBSb2JlcnQgRzwvYXV0aG9yPjxhdXRob3I+TWNLZW56aWUsIExlbiBKPC9hdXRob3I+
PC9hdXRob3JzPjwvY29udHJpYnV0b3JzPjx0aXRsZXM+PHRpdGxlPklzc3VlcyBmb3IgU2VhZ3Jh
c3MgY29uc2VydmF0aW9uIG1hbmFnZW1lbnQgaW4gUXVlZW5zbGFuZDwvdGl0bGU+PHNlY29uZGFy
eS10aXRsZT5QYWNpZmljIENvbnNlcnZhdGlvbiBCaW9sb2d5PC9zZWNvbmRhcnktdGl0bGU+PC90
aXRsZXM+PHBlcmlvZGljYWw+PGZ1bGwtdGl0bGU+UGFjaWZpYyBDb25zZXJ2YXRpb24gQmlvbG9n
eTwvZnVsbC10aXRsZT48L3BlcmlvZGljYWw+PHBhZ2VzPjMyMS0zMjg8L3BhZ2VzPjx2b2x1bWU+
NTwvdm9sdW1lPjxudW1iZXI+NDwvbnVtYmVyPjxkYXRlcz48eWVhcj4xOTk5PC95ZWFyPjwvZGF0
ZXM+PHVybHM+PC91cmxzPjwvcmVjb3JkPjwvQ2l0ZT48Q2l0ZT48QXV0aG9yPllvcms8L0F1dGhv
cj48WWVhcj4yMDE1PC9ZZWFyPjxSZWNOdW0+MTA0MDQ8L1JlY051bT48cmVjb3JkPjxyZWMtbnVt
YmVyPjEwNDA0PC9yZWMtbnVtYmVyPjxmb3JlaWduLWtleXM+PGtleSBhcHA9IkVOIiBkYi1pZD0i
MGV2ZTU1eDl5NXZmZDZlOWRhY3h0ZXc0ZWF0dmUyZHpkczlhIiB0aW1lc3RhbXA9IjE0NDkwMDY1
NDIiPjEwNDA0PC9rZXk+PC9mb3JlaWduLWtleXM+PHJlZi10eXBlIG5hbWU9IkpvdXJuYWwgQXJ0
aWNsZSI+MTc8L3JlZi10eXBlPjxjb250cmlidXRvcnM+PGF1dGhvcnM+PGF1dGhvcj5Zb3JrLCBQ
YXVsIEguPC9hdXRob3I+PGF1dGhvcj5DYXJ0ZXIsIEFsZXggQi48L2F1dGhvcj48YXV0aG9yPkNo
YXJ0cmFuZCwgS2F0aHJ5bjwvYXV0aG9yPjxhdXRob3I+U2Fua2V5LCBUb25pYTwvYXV0aG9yPjxh
dXRob3I+V2VsbHMsIExpbmRhPC9hdXRob3I+PGF1dGhvcj5SYXNoZWVkLCBNaWNoYWVsIEEuPC9h
dXRob3I+PC9hdXRob3JzPjwvY29udHJpYnV0b3JzPjx0aXRsZXM+PHRpdGxlPkR5bmFtaWNzIG9m
IGEgZGVlcC13YXRlciBzZWFncmFzcyBwb3B1bGF0aW9uIG9uIHRoZSBHcmVhdCBCYXJyaWVyIFJl
ZWY6IGFubnVhbCBvY2N1cnJlbmNlIGFuZCByZXNwb25zZSB0byBhIG1ham9yIGRyZWRnaW5nIHBy
b2dyYW08L3RpdGxlPjxzZWNvbmRhcnktdGl0bGU+U2NpZW50aWZpYyBSZXBvcnRzPC9zZWNvbmRh
cnktdGl0bGU+PC90aXRsZXM+PHBlcmlvZGljYWw+PGZ1bGwtdGl0bGU+U2NpZW50aWZpYyBSZXBv
cnRzPC9mdWxsLXRpdGxlPjwvcGVyaW9kaWNhbD48cGFnZXM+MTMxNjc8L3BhZ2VzPjx2b2x1bWU+
NTwvdm9sdW1lPjxkYXRlcz48eWVhcj4yMDE1PC95ZWFyPjwvZGF0ZXM+PHB1Ymxpc2hlcj5NYWNt
aWxsYW4gUHVibGlzaGVycyBMaW1pdGVkPC9wdWJsaXNoZXI+PHVybHM+PHJlbGF0ZWQtdXJscz48
dXJsPmh0dHA6Ly9keC5kb2kub3JnLzEwLjEwMzgvc3JlcDEzMTY3PC91cmw+PC9yZWxhdGVkLXVy
bHM+PC91cmxzPjxlbGVjdHJvbmljLXJlc291cmNlLW51bT4xMC4xMDM4L3NyZXAxMzE2NyBodHRw
Oi8vd3d3Lm5hdHVyZS5jb20vYXJ0aWNsZXMvc3JlcDEzMTY3I3N1cHBsZW1lbnRhcnktaW5mb3Jt
YXRpb248L2VsZWN0cm9uaWMtcmVzb3VyY2UtbnVtPjwvcmVjb3JkPjwvQ2l0ZT48Q2l0ZT48QXV0
aG9yPkNoYXJ0cmFuZDwvQXV0aG9yPjxZZWFyPjIwMTg8L1llYXI+PFJlY051bT4xMTQ4MTwvUmVj
TnVtPjxyZWNvcmQ+PHJlYy1udW1iZXI+MTE0ODE8L3JlYy1udW1iZXI+PGZvcmVpZ24ta2V5cz48
a2V5IGFwcD0iRU4iIGRiLWlkPSIwZXZlNTV4OXk1dmZkNmU5ZGFjeHRldzRlYXR2ZTJkemRzOWEi
IHRpbWVzdGFtcD0iMTUyNDQzODMwOSI+MTE0ODE8L2tleT48L2ZvcmVpZ24ta2V5cz48cmVmLXR5
cGUgbmFtZT0iSm91cm5hbCBBcnRpY2xlIj4xNzwvcmVmLXR5cGU+PGNvbnRyaWJ1dG9ycz48YXV0
aG9ycz48YXV0aG9yPkNoYXJ0cmFuZCwgS2F0aHJ5biBNLjwvYXV0aG9yPjxhdXRob3I+U3phYsOz
LCBNaWzDoW48L2F1dGhvcj48YXV0aG9yPlNpbnV0b2ssIFN1dGluZWU8L2F1dGhvcj48YXV0aG9y
PlJhc2hlZWQsIE1pY2hhZWwgQS48L2F1dGhvcj48YXV0aG9yPlJhbHBoLCBQZXRlciBKLjwvYXV0
aG9yPjwvYXV0aG9ycz48L2NvbnRyaWJ1dG9ycz48dGl0bGVzPjx0aXRsZT5MaXZpbmcgYXQgdGhl
IG1hcmdpbnMg4oCTIFRoZSByZXNwb25zZSBvZiBkZWVwLXdhdGVyIHNlYWdyYXNzZXMgdG8gbGln
aHQgYW5kIHRlbXBlcmF0dXJlIHJlbmRlcnMgdGhlbSBzdXNjZXB0aWJsZSB0byBhY3V0ZSBpbXBh
Y3RzPC90aXRsZT48c2Vjb25kYXJ5LXRpdGxlPk1hcmluZSBFbnZpcm9ubWVudGFsIFJlc2VhcmNo
PC9zZWNvbmRhcnktdGl0bGU+PC90aXRsZXM+PHBlcmlvZGljYWw+PGZ1bGwtdGl0bGU+TWFyaW5l
IEVudmlyb25tZW50YWwgUmVzZWFyY2g8L2Z1bGwtdGl0bGU+PC9wZXJpb2RpY2FsPjxwYWdlcz4x
MjYtMTM4PC9wYWdlcz48dm9sdW1lPjEzNjwvdm9sdW1lPjxrZXl3b3Jkcz48a2V5d29yZD5EZWVw
LXdhdGVyPC9rZXl3b3JkPjxrZXl3b3JkPlNlYWdyYXNzPC9rZXl3b3JkPjxrZXl3b3JkPkxpZ2h0
PC9rZXl3b3JkPjxrZXl3b3JkPlRlbXBlcmF0dXJlPC9rZXl3b3JkPjxrZXl3b3JkPlBBTSBmbHVv
cm9tZXRyeTwva2V5d29yZD48a2V5d29yZD5XYXZlbGVuZ3RoLXNwZWNpZmljIHBob3RvY2hlbWlz
dHJ5PC9rZXl3b3JkPjxrZXl3b3JkPkdyZWF0IEJhcnJpZXIgUmVlZjwva2V5d29yZD48L2tleXdv
cmRzPjxkYXRlcz48eWVhcj4yMDE4PC95ZWFyPjxwdWItZGF0ZXM+PGRhdGU+MjAxOC8wNS8wMS88
L2RhdGU+PC9wdWItZGF0ZXM+PC9kYXRlcz48aXNibj4wMTQxLTExMzY8L2lzYm4+PHVybHM+PHJl
bGF0ZWQtdXJscz48dXJsPmh0dHA6Ly93d3cuc2NpZW5jZWRpcmVjdC5jb20vc2NpZW5jZS9hcnRp
Y2xlL3BpaS9TMDE0MTExMzYxNzMwNzI4NjwvdXJsPjwvcmVsYXRlZC11cmxzPjwvdXJscz48ZWxl
Y3Ryb25pYy1yZXNvdXJjZS1udW0+aHR0cHM6Ly9kb2kub3JnLzEwLjEwMTYvai5tYXJlbnZyZXMu
MjAxOC4wMi4wMDY8L2VsZWN0cm9uaWMtcmVzb3VyY2UtbnVtPjwvcmVjb3JkPjwvQ2l0ZT48L0Vu
ZE5vdGU+
</w:fldData>
        </w:fldChar>
      </w:r>
      <w:r w:rsidR="00DB131A" w:rsidRPr="005B2157">
        <w:rPr>
          <w:rFonts w:cs="Arial"/>
          <w:szCs w:val="22"/>
          <w:lang w:val="en-US"/>
        </w:rPr>
        <w:instrText xml:space="preserve"> ADDIN EN.CITE.DATA </w:instrText>
      </w:r>
      <w:r w:rsidR="00DB131A" w:rsidRPr="005B2157">
        <w:rPr>
          <w:rFonts w:cs="Arial"/>
          <w:szCs w:val="22"/>
          <w:lang w:val="en-US"/>
        </w:rPr>
      </w:r>
      <w:r w:rsidR="00DB131A" w:rsidRPr="005B2157">
        <w:rPr>
          <w:rFonts w:cs="Arial"/>
          <w:szCs w:val="22"/>
          <w:lang w:val="en-US"/>
        </w:rPr>
        <w:fldChar w:fldCharType="end"/>
      </w:r>
      <w:r w:rsidR="00850D03" w:rsidRPr="005B2157">
        <w:rPr>
          <w:rFonts w:cs="Arial"/>
          <w:szCs w:val="22"/>
          <w:lang w:val="en-US"/>
        </w:rPr>
      </w:r>
      <w:r w:rsidR="00850D03" w:rsidRPr="005B2157">
        <w:rPr>
          <w:rFonts w:cs="Arial"/>
          <w:szCs w:val="22"/>
          <w:lang w:val="en-US"/>
        </w:rPr>
        <w:fldChar w:fldCharType="separate"/>
      </w:r>
      <w:hyperlink w:anchor="_ENREF_88" w:tooltip="Lee Long, 1999 #5782" w:history="1">
        <w:r w:rsidR="009A7AB4" w:rsidRPr="005B2157">
          <w:rPr>
            <w:rFonts w:cs="Arial"/>
            <w:noProof/>
            <w:szCs w:val="22"/>
            <w:lang w:val="en-US"/>
          </w:rPr>
          <w:t>Lee Long</w:t>
        </w:r>
        <w:r w:rsidR="009A7AB4" w:rsidRPr="005B2157">
          <w:rPr>
            <w:rFonts w:cs="Arial"/>
            <w:i/>
            <w:noProof/>
            <w:szCs w:val="22"/>
            <w:lang w:val="en-US"/>
          </w:rPr>
          <w:t xml:space="preserve"> et al.</w:t>
        </w:r>
        <w:r w:rsidR="009A7AB4" w:rsidRPr="005B2157">
          <w:rPr>
            <w:rFonts w:cs="Arial"/>
            <w:noProof/>
            <w:szCs w:val="22"/>
            <w:lang w:val="en-US"/>
          </w:rPr>
          <w:t xml:space="preserve"> 1999</w:t>
        </w:r>
      </w:hyperlink>
      <w:r w:rsidR="00867CCE" w:rsidRPr="005B2157">
        <w:rPr>
          <w:rFonts w:cs="Arial"/>
          <w:noProof/>
          <w:szCs w:val="22"/>
          <w:lang w:val="en-US"/>
        </w:rPr>
        <w:t xml:space="preserve">; </w:t>
      </w:r>
      <w:hyperlink w:anchor="_ENREF_160" w:tooltip="York, 2015 #10404" w:history="1">
        <w:r w:rsidR="009A7AB4" w:rsidRPr="005B2157">
          <w:rPr>
            <w:rFonts w:cs="Arial"/>
            <w:noProof/>
            <w:szCs w:val="22"/>
            <w:lang w:val="en-US"/>
          </w:rPr>
          <w:t>York</w:t>
        </w:r>
        <w:r w:rsidR="009A7AB4" w:rsidRPr="005B2157">
          <w:rPr>
            <w:rFonts w:cs="Arial"/>
            <w:i/>
            <w:noProof/>
            <w:szCs w:val="22"/>
            <w:lang w:val="en-US"/>
          </w:rPr>
          <w:t xml:space="preserve"> et al.</w:t>
        </w:r>
        <w:r w:rsidR="009A7AB4" w:rsidRPr="005B2157">
          <w:rPr>
            <w:rFonts w:cs="Arial"/>
            <w:noProof/>
            <w:szCs w:val="22"/>
            <w:lang w:val="en-US"/>
          </w:rPr>
          <w:t xml:space="preserve"> 2015</w:t>
        </w:r>
      </w:hyperlink>
      <w:r w:rsidR="00867CCE" w:rsidRPr="005B2157">
        <w:rPr>
          <w:rFonts w:cs="Arial"/>
          <w:noProof/>
          <w:szCs w:val="22"/>
          <w:lang w:val="en-US"/>
        </w:rPr>
        <w:t xml:space="preserve">; </w:t>
      </w:r>
      <w:hyperlink w:anchor="_ENREF_24" w:tooltip="Chartrand, 2018 #11481" w:history="1">
        <w:r w:rsidR="009A7AB4" w:rsidRPr="005B2157">
          <w:rPr>
            <w:rFonts w:cs="Arial"/>
            <w:noProof/>
            <w:szCs w:val="22"/>
            <w:lang w:val="en-US"/>
          </w:rPr>
          <w:t>Chartrand</w:t>
        </w:r>
        <w:r w:rsidR="009A7AB4" w:rsidRPr="005B2157">
          <w:rPr>
            <w:rFonts w:cs="Arial"/>
            <w:i/>
            <w:noProof/>
            <w:szCs w:val="22"/>
            <w:lang w:val="en-US"/>
          </w:rPr>
          <w:t xml:space="preserve"> et al.</w:t>
        </w:r>
        <w:r w:rsidR="009A7AB4" w:rsidRPr="005B2157">
          <w:rPr>
            <w:rFonts w:cs="Arial"/>
            <w:noProof/>
            <w:szCs w:val="22"/>
            <w:lang w:val="en-US"/>
          </w:rPr>
          <w:t xml:space="preserve"> 2018</w:t>
        </w:r>
      </w:hyperlink>
      <w:r w:rsidR="00850D03" w:rsidRPr="005B2157">
        <w:rPr>
          <w:rFonts w:cs="Arial"/>
          <w:szCs w:val="22"/>
          <w:lang w:val="en-US"/>
        </w:rPr>
        <w:fldChar w:fldCharType="end"/>
      </w:r>
      <w:r w:rsidR="003D1F7F" w:rsidRPr="005B2157">
        <w:rPr>
          <w:rFonts w:cs="Arial"/>
          <w:szCs w:val="22"/>
          <w:lang w:val="en-US"/>
        </w:rPr>
        <w:t xml:space="preserve">). Due to this high variability they </w:t>
      </w:r>
      <w:r w:rsidR="00840A57" w:rsidRPr="005B2157">
        <w:rPr>
          <w:rFonts w:cs="Arial"/>
          <w:szCs w:val="22"/>
          <w:lang w:val="en-US"/>
        </w:rPr>
        <w:t xml:space="preserve">do not meet the current criteria </w:t>
      </w:r>
      <w:r w:rsidR="003D1F7F" w:rsidRPr="005B2157">
        <w:rPr>
          <w:rFonts w:cs="Arial"/>
          <w:szCs w:val="22"/>
          <w:lang w:val="en-US"/>
        </w:rPr>
        <w:t>for monitoring</w:t>
      </w:r>
      <w:r w:rsidR="00840A57" w:rsidRPr="005B2157">
        <w:rPr>
          <w:rFonts w:cs="Arial"/>
          <w:szCs w:val="22"/>
          <w:lang w:val="en-US"/>
        </w:rPr>
        <w:t>,</w:t>
      </w:r>
      <w:r w:rsidR="003D1F7F" w:rsidRPr="005B2157">
        <w:rPr>
          <w:rFonts w:cs="Arial"/>
          <w:szCs w:val="22"/>
          <w:lang w:val="en-US"/>
        </w:rPr>
        <w:t xml:space="preserve"> as the MDD is very poor at the 5</w:t>
      </w:r>
      <w:r w:rsidR="003C311A">
        <w:rPr>
          <w:rFonts w:cs="Arial"/>
          <w:szCs w:val="22"/>
          <w:lang w:val="en-US"/>
        </w:rPr>
        <w:t xml:space="preserve">% </w:t>
      </w:r>
      <w:r w:rsidR="003D1F7F" w:rsidRPr="005B2157">
        <w:rPr>
          <w:rFonts w:cs="Arial"/>
          <w:szCs w:val="22"/>
          <w:lang w:val="en-US"/>
        </w:rPr>
        <w:t>level of significance with 80</w:t>
      </w:r>
      <w:r w:rsidR="003C311A">
        <w:rPr>
          <w:rFonts w:cs="Arial"/>
          <w:szCs w:val="22"/>
          <w:lang w:val="en-US"/>
        </w:rPr>
        <w:t xml:space="preserve">% </w:t>
      </w:r>
      <w:r w:rsidR="003D1F7F" w:rsidRPr="005B2157">
        <w:rPr>
          <w:rFonts w:cs="Arial"/>
          <w:szCs w:val="22"/>
          <w:lang w:val="en-US"/>
        </w:rPr>
        <w:t>power (</w:t>
      </w:r>
      <w:hyperlink w:anchor="_ENREF_105" w:tooltip="McKenzie, 1998 #6844" w:history="1">
        <w:r w:rsidR="009A7AB4" w:rsidRPr="005B2157">
          <w:rPr>
            <w:rFonts w:cs="Arial"/>
            <w:szCs w:val="22"/>
            <w:lang w:val="en-US"/>
          </w:rPr>
          <w:fldChar w:fldCharType="begin"/>
        </w:r>
        <w:r w:rsidR="009A7AB4">
          <w:rPr>
            <w:rFonts w:cs="Arial"/>
            <w:szCs w:val="22"/>
            <w:lang w:val="en-US"/>
          </w:rPr>
          <w:instrText xml:space="preserve"> ADDIN EN.CITE &lt;EndNote&gt;&lt;Cite&gt;&lt;Author&gt;McKenzie&lt;/Author&gt;&lt;Year&gt;1998&lt;/Year&gt;&lt;RecNum&gt;6844&lt;/RecNum&gt;&lt;DisplayText&gt;McKenzie&lt;style face="italic"&gt; et al.&lt;/style&gt; 1998&lt;/DisplayText&gt;&lt;record&gt;&lt;rec-number&gt;6844&lt;/rec-number&gt;&lt;foreign-keys&gt;&lt;key app="EN" db-id="0eve55x9y5vfd6e9dacxtew4eatve2dzds9a" timestamp="0"&gt;6844&lt;/key&gt;&lt;/foreign-keys&gt;&lt;ref-type name="Book"&gt;6&lt;/ref-type&gt;&lt;contributors&gt;&lt;authors&gt;&lt;author&gt;McKenzie, Len J&lt;/author&gt;&lt;author&gt;Lee Long, W. J.&lt;/author&gt;&lt;author&gt;Roelofs, A&lt;/author&gt;&lt;author&gt;Roder, C A&lt;/author&gt;&lt;author&gt;Coles, R&lt;/author&gt;&lt;/authors&gt;&lt;/contributors&gt;&lt;titles&gt;&lt;title&gt;Port of Mourilyan seagrass monitoring - first four years. EcoPorts Monograph Series No. 15.&lt;/title&gt;&lt;/titles&gt;&lt;pages&gt;30&lt;/pages&gt;&lt;dates&gt;&lt;year&gt;1998&lt;/year&gt;&lt;/dates&gt;&lt;pub-location&gt;Brisbane&lt;/pub-location&gt;&lt;publisher&gt;Ports Corporation of Queensland&lt;/publisher&gt;&lt;urls&gt;&lt;/urls&gt;&lt;/record&gt;&lt;/Cite&gt;&lt;/EndNote&gt;</w:instrText>
        </w:r>
        <w:r w:rsidR="009A7AB4" w:rsidRPr="005B2157">
          <w:rPr>
            <w:rFonts w:cs="Arial"/>
            <w:szCs w:val="22"/>
            <w:lang w:val="en-US"/>
          </w:rPr>
          <w:fldChar w:fldCharType="separate"/>
        </w:r>
        <w:r w:rsidR="009A7AB4" w:rsidRPr="005B2157">
          <w:rPr>
            <w:rFonts w:cs="Arial"/>
            <w:noProof/>
            <w:szCs w:val="22"/>
            <w:lang w:val="en-US"/>
          </w:rPr>
          <w:t>McKenzie</w:t>
        </w:r>
        <w:r w:rsidR="009A7AB4" w:rsidRPr="005B2157">
          <w:rPr>
            <w:rFonts w:cs="Arial"/>
            <w:i/>
            <w:noProof/>
            <w:szCs w:val="22"/>
            <w:lang w:val="en-US"/>
          </w:rPr>
          <w:t xml:space="preserve"> et al.</w:t>
        </w:r>
        <w:r w:rsidR="009A7AB4" w:rsidRPr="005B2157">
          <w:rPr>
            <w:rFonts w:cs="Arial"/>
            <w:noProof/>
            <w:szCs w:val="22"/>
            <w:lang w:val="en-US"/>
          </w:rPr>
          <w:t xml:space="preserve"> 1998</w:t>
        </w:r>
        <w:r w:rsidR="009A7AB4" w:rsidRPr="005B2157">
          <w:rPr>
            <w:rFonts w:cs="Arial"/>
            <w:szCs w:val="22"/>
            <w:lang w:val="en-US"/>
          </w:rPr>
          <w:fldChar w:fldCharType="end"/>
        </w:r>
      </w:hyperlink>
      <w:r w:rsidR="00F17593" w:rsidRPr="005B2157">
        <w:rPr>
          <w:rFonts w:cs="Arial"/>
          <w:szCs w:val="22"/>
          <w:lang w:val="en-US"/>
        </w:rPr>
        <w:t>)</w:t>
      </w:r>
      <w:r w:rsidR="003D1F7F" w:rsidRPr="005B2157">
        <w:rPr>
          <w:rFonts w:cs="Arial"/>
          <w:szCs w:val="22"/>
          <w:lang w:val="en-US"/>
        </w:rPr>
        <w:t xml:space="preserve">. </w:t>
      </w:r>
    </w:p>
    <w:p w14:paraId="3279DBD5" w14:textId="673B40B8" w:rsidR="003D1F7F" w:rsidRPr="005B2157" w:rsidRDefault="003D1F7F" w:rsidP="003D1F7F">
      <w:pPr>
        <w:rPr>
          <w:rFonts w:cs="Arial"/>
          <w:szCs w:val="22"/>
          <w:lang w:val="en-US"/>
        </w:rPr>
      </w:pPr>
      <w:r w:rsidRPr="005B2157">
        <w:rPr>
          <w:rFonts w:cs="Arial"/>
          <w:szCs w:val="22"/>
          <w:lang w:val="en-US"/>
        </w:rPr>
        <w:t xml:space="preserve">Predominately stable lower littoral </w:t>
      </w:r>
      <w:r w:rsidR="000945E8" w:rsidRPr="005B2157">
        <w:rPr>
          <w:rFonts w:cs="Arial"/>
          <w:szCs w:val="22"/>
          <w:lang w:val="en-US"/>
        </w:rPr>
        <w:t>and shallow (&gt;1.5</w:t>
      </w:r>
      <w:r w:rsidR="00F17593" w:rsidRPr="005B2157">
        <w:rPr>
          <w:rFonts w:cs="Arial"/>
          <w:szCs w:val="22"/>
          <w:lang w:val="en-US"/>
        </w:rPr>
        <w:t xml:space="preserve"> </w:t>
      </w:r>
      <w:r w:rsidR="000945E8" w:rsidRPr="005B2157">
        <w:rPr>
          <w:rFonts w:cs="Arial"/>
          <w:szCs w:val="22"/>
          <w:lang w:val="en-US"/>
        </w:rPr>
        <w:t xml:space="preserve">m below </w:t>
      </w:r>
      <w:r w:rsidR="00F17593" w:rsidRPr="005B2157">
        <w:rPr>
          <w:rFonts w:cs="Arial"/>
          <w:szCs w:val="22"/>
          <w:lang w:val="en-US"/>
        </w:rPr>
        <w:t>lowest astronomical tide</w:t>
      </w:r>
      <w:r w:rsidR="000945E8" w:rsidRPr="005B2157">
        <w:rPr>
          <w:rFonts w:cs="Arial"/>
          <w:szCs w:val="22"/>
          <w:lang w:val="en-US"/>
        </w:rPr>
        <w:t xml:space="preserve">) subtidal </w:t>
      </w:r>
      <w:r w:rsidRPr="005B2157">
        <w:rPr>
          <w:rFonts w:cs="Arial"/>
          <w:szCs w:val="22"/>
          <w:lang w:val="en-US"/>
        </w:rPr>
        <w:t>meadows of founda</w:t>
      </w:r>
      <w:r w:rsidR="008D142C" w:rsidRPr="005B2157">
        <w:rPr>
          <w:rFonts w:cs="Arial"/>
          <w:szCs w:val="22"/>
          <w:lang w:val="en-US"/>
        </w:rPr>
        <w:t>tion species (e.g.</w:t>
      </w:r>
      <w:r w:rsidRPr="005B2157">
        <w:rPr>
          <w:rFonts w:cs="Arial"/>
          <w:szCs w:val="22"/>
          <w:lang w:val="en-US"/>
        </w:rPr>
        <w:t xml:space="preserve"> </w:t>
      </w:r>
      <w:r w:rsidRPr="005B2157">
        <w:rPr>
          <w:rFonts w:cs="Arial"/>
          <w:i/>
          <w:szCs w:val="22"/>
          <w:lang w:val="en-US"/>
        </w:rPr>
        <w:t>Zostera</w:t>
      </w:r>
      <w:r w:rsidR="000945E8" w:rsidRPr="005B2157">
        <w:rPr>
          <w:rFonts w:cs="Arial"/>
          <w:i/>
          <w:szCs w:val="22"/>
          <w:lang w:val="en-US"/>
        </w:rPr>
        <w:t>, Halodule</w:t>
      </w:r>
      <w:r w:rsidRPr="005B2157">
        <w:rPr>
          <w:rFonts w:cs="Arial"/>
          <w:szCs w:val="22"/>
          <w:lang w:val="en-US"/>
        </w:rPr>
        <w:t xml:space="preserve">) are best for determining significant change/impact (McKenzie </w:t>
      </w:r>
      <w:r w:rsidRPr="005B2157">
        <w:rPr>
          <w:rFonts w:cs="Arial"/>
          <w:i/>
          <w:szCs w:val="22"/>
          <w:lang w:val="en-US"/>
        </w:rPr>
        <w:t>et al.</w:t>
      </w:r>
      <w:r w:rsidRPr="005B2157">
        <w:rPr>
          <w:rFonts w:cs="Arial"/>
          <w:szCs w:val="22"/>
          <w:lang w:val="en-US"/>
        </w:rPr>
        <w:t xml:space="preserve"> 1998). </w:t>
      </w:r>
      <w:r w:rsidR="000945E8" w:rsidRPr="005B2157">
        <w:rPr>
          <w:rFonts w:cs="Arial"/>
          <w:szCs w:val="22"/>
          <w:lang w:val="en-US"/>
        </w:rPr>
        <w:t>W</w:t>
      </w:r>
      <w:r w:rsidR="00206A72" w:rsidRPr="005B2157">
        <w:rPr>
          <w:rFonts w:cs="Arial"/>
          <w:szCs w:val="22"/>
          <w:lang w:val="en-US"/>
        </w:rPr>
        <w:t xml:space="preserve">here possible, shallow </w:t>
      </w:r>
      <w:r w:rsidRPr="005B2157">
        <w:rPr>
          <w:rFonts w:cs="Arial"/>
          <w:szCs w:val="22"/>
          <w:lang w:val="en-US"/>
        </w:rPr>
        <w:t xml:space="preserve">subtidal </w:t>
      </w:r>
      <w:r w:rsidR="000945E8" w:rsidRPr="005B2157">
        <w:rPr>
          <w:rFonts w:cs="Arial"/>
          <w:szCs w:val="22"/>
          <w:lang w:val="en-US"/>
        </w:rPr>
        <w:t xml:space="preserve">and lower littoral </w:t>
      </w:r>
      <w:r w:rsidRPr="005B2157">
        <w:rPr>
          <w:rFonts w:cs="Arial"/>
          <w:szCs w:val="22"/>
          <w:lang w:val="en-US"/>
        </w:rPr>
        <w:t xml:space="preserve">monitoring sites were </w:t>
      </w:r>
      <w:r w:rsidR="000945E8" w:rsidRPr="005B2157">
        <w:rPr>
          <w:rFonts w:cs="Arial"/>
          <w:szCs w:val="22"/>
          <w:lang w:val="en-US"/>
        </w:rPr>
        <w:t>paired when</w:t>
      </w:r>
      <w:r w:rsidRPr="005B2157">
        <w:rPr>
          <w:rFonts w:cs="Arial"/>
          <w:szCs w:val="22"/>
          <w:lang w:val="en-US"/>
        </w:rPr>
        <w:t xml:space="preserve"> dominated by </w:t>
      </w:r>
      <w:r w:rsidR="000945E8" w:rsidRPr="005B2157">
        <w:rPr>
          <w:rFonts w:cs="Arial"/>
          <w:szCs w:val="22"/>
          <w:lang w:val="en-US"/>
        </w:rPr>
        <w:t xml:space="preserve">similar </w:t>
      </w:r>
      <w:r w:rsidRPr="005B2157">
        <w:rPr>
          <w:rFonts w:cs="Arial"/>
          <w:szCs w:val="22"/>
          <w:lang w:val="en-US"/>
        </w:rPr>
        <w:t>species.</w:t>
      </w:r>
    </w:p>
    <w:p w14:paraId="2091290F" w14:textId="30F91A2A" w:rsidR="009D7C70" w:rsidRPr="005B2157" w:rsidRDefault="003D1F7F" w:rsidP="003D1F7F">
      <w:pPr>
        <w:rPr>
          <w:rFonts w:cs="Arial"/>
          <w:szCs w:val="22"/>
          <w:lang w:val="en-US"/>
        </w:rPr>
      </w:pPr>
      <w:r w:rsidRPr="005B2157">
        <w:rPr>
          <w:rFonts w:cs="Arial"/>
          <w:szCs w:val="22"/>
          <w:lang w:val="en-US"/>
        </w:rPr>
        <w:t>Due to the high diversity of seagrass species it was decided to direct monitoring toward the foundation seagrass species across the seagrass habitats. A foundation species is the dominant primary producer in an ecosystem both in terms of abundance and influence, playing central roles in sustaining ecosystem services (</w:t>
      </w:r>
      <w:hyperlink w:anchor="_ENREF_2" w:tooltip="Angelini, 2011 #9077"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&lt;EndNote&gt;&lt;Cite&gt;&lt;Author&gt;Angelini&lt;/Author&gt;&lt;Year&gt;2011&lt;/Year&gt;&lt;RecNum&gt;9077&lt;/RecNum&gt;&lt;DisplayText&gt;Angelini&lt;style face="italic"&gt; et al.&lt;/style&gt; 2011&lt;/DisplayText&gt;&lt;record&gt;&lt;rec-number&gt;9077&lt;/rec-number&gt;&lt;foreign-keys&gt;&lt;key app="EN" db-id="0eve55x9y5vfd6e9dacxtew4eatve2dzds9a" timestamp="0"&gt;9077&lt;/key&gt;&lt;/foreign-keys&gt;&lt;ref-type name="Journal Article"&gt;17&lt;/ref-type&gt;&lt;contributors&gt;&lt;authors&gt;&lt;author&gt;Angelini, Christine &lt;/author&gt;&lt;author&gt;Altieri, Andrew H. &lt;/author&gt;&lt;author&gt;Silliman, Brian R.&lt;/author&gt;&lt;author&gt;Bertness, Mark D. &lt;/author&gt;&lt;/authors&gt;&lt;/contributors&gt;&lt;titles&gt;&lt;title&gt;Interactions among Foundation Species and their Consequences for Community Organization, Biodiversity, and Conservation&lt;/title&gt;&lt;secondary-title&gt;BioScience&lt;/secondary-title&gt;&lt;/titles&gt;&lt;periodical&gt;&lt;full-title&gt;BioScience&lt;/full-title&gt;&lt;/periodical&gt;&lt;pages&gt;782-789&lt;/pages&gt;&lt;volume&gt;61&lt;/volume&gt;&lt;number&gt;10&lt;/number&gt;&lt;dates&gt;&lt;year&gt;2011&lt;/year&gt;&lt;/dates&gt;&lt;urls&gt;&lt;/urls&gt;&lt;/record&gt;&lt;/Cite&gt;&lt;/EndNote&gt;</w:instrText>
        </w:r>
        <w:r w:rsidR="009A7AB4" w:rsidRPr="005B2157">
          <w:rPr>
            <w:rFonts w:cs="Arial"/>
            <w:szCs w:val="22"/>
            <w:lang w:val="en-US"/>
          </w:rPr>
          <w:fldChar w:fldCharType="separate"/>
        </w:r>
        <w:r w:rsidR="009A7AB4" w:rsidRPr="005B2157">
          <w:rPr>
            <w:rFonts w:cs="Arial"/>
            <w:noProof/>
            <w:szCs w:val="22"/>
            <w:lang w:val="en-US"/>
          </w:rPr>
          <w:t>Angelini</w:t>
        </w:r>
        <w:r w:rsidR="009A7AB4" w:rsidRPr="005B2157">
          <w:rPr>
            <w:rFonts w:cs="Arial"/>
            <w:i/>
            <w:noProof/>
            <w:szCs w:val="22"/>
            <w:lang w:val="en-US"/>
          </w:rPr>
          <w:t xml:space="preserve"> et al.</w:t>
        </w:r>
        <w:r w:rsidR="009A7AB4" w:rsidRPr="005B2157">
          <w:rPr>
            <w:rFonts w:cs="Arial"/>
            <w:noProof/>
            <w:szCs w:val="22"/>
            <w:lang w:val="en-US"/>
          </w:rPr>
          <w:t xml:space="preserve"> 2011</w:t>
        </w:r>
        <w:r w:rsidR="009A7AB4" w:rsidRPr="005B2157">
          <w:rPr>
            <w:rFonts w:cs="Arial"/>
            <w:szCs w:val="22"/>
            <w:lang w:val="en-US"/>
          </w:rPr>
          <w:fldChar w:fldCharType="end"/>
        </w:r>
      </w:hyperlink>
      <w:r w:rsidRPr="005B2157">
        <w:rPr>
          <w:rFonts w:cs="Arial"/>
          <w:szCs w:val="22"/>
          <w:lang w:val="en-US"/>
        </w:rPr>
        <w:t>). The activities of foundation species physically modify the environment and produce and maintain habitats that benefit other organisms that use those habitats</w:t>
      </w:r>
      <w:r w:rsidR="00E127D1" w:rsidRPr="005B2157">
        <w:rPr>
          <w:rFonts w:cs="Arial"/>
          <w:szCs w:val="22"/>
          <w:lang w:val="en-US"/>
        </w:rPr>
        <w:t xml:space="preserve"> (</w:t>
      </w:r>
      <w:hyperlink w:anchor="_ENREF_57" w:tooltip="Ellison, 2019 #11979"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&lt;EndNote&gt;&lt;Cite&gt;&lt;Author&gt;Ellison&lt;/Author&gt;&lt;Year&gt;2019&lt;/Year&gt;&lt;RecNum&gt;11979&lt;/RecNum&gt;&lt;DisplayText&gt;Ellison 2019&lt;/DisplayText&gt;&lt;record&gt;&lt;rec-number&gt;11979&lt;/rec-number&gt;&lt;foreign-keys&gt;&lt;key app="EN" db-id="0eve55x9y5vfd6e9dacxtew4eatve2dzds9a" timestamp="1553899622"&gt;11979&lt;/key&gt;&lt;/foreign-keys&gt;&lt;ref-type name="Journal Article"&gt;17&lt;/ref-type&gt;&lt;contributors&gt;&lt;authors&gt;&lt;author&gt;Ellison, Aaron M.&lt;/author&gt;&lt;/authors&gt;&lt;/contributors&gt;&lt;titles&gt;&lt;title&gt;Foundation Species, Non-trophic Interactions, and the Value of Being Common&lt;/title&gt;&lt;secondary-title&gt;iScience&lt;/secondary-title&gt;&lt;/titles&gt;&lt;periodical&gt;&lt;full-title&gt;iScience&lt;/full-title&gt;&lt;/periodical&gt;&lt;pages&gt;254-268&lt;/pages&gt;&lt;volume&gt;13&lt;/volume&gt;&lt;keywords&gt;&lt;keyword&gt;Global Change&lt;/keyword&gt;&lt;keyword&gt;Nature Conservation&lt;/keyword&gt;&lt;keyword&gt;Ecology&lt;/keyword&gt;&lt;/keywords&gt;&lt;dates&gt;&lt;year&gt;2019&lt;/year&gt;&lt;pub-dates&gt;&lt;date&gt;2019/03/29/&lt;/date&gt;&lt;/pub-dates&gt;&lt;/dates&gt;&lt;isbn&gt;2589-0042&lt;/isbn&gt;&lt;urls&gt;&lt;related-urls&gt;&lt;url&gt;http://www.sciencedirect.com/science/article/pii/S2589004219300549&lt;/url&gt;&lt;/related-urls&gt;&lt;/urls&gt;&lt;electronic-resource-num&gt;https://doi.org/10.1016/j.isci.2019.02.020&lt;/electronic-resource-num&gt;&lt;/record&gt;&lt;/Cite&gt;&lt;/EndNote&gt;</w:instrText>
        </w:r>
        <w:r w:rsidR="009A7AB4" w:rsidRPr="005B2157">
          <w:rPr>
            <w:rFonts w:cs="Arial"/>
            <w:szCs w:val="22"/>
            <w:lang w:val="en-US"/>
          </w:rPr>
          <w:fldChar w:fldCharType="separate"/>
        </w:r>
        <w:r w:rsidR="009A7AB4" w:rsidRPr="005B2157">
          <w:rPr>
            <w:rFonts w:cs="Arial"/>
            <w:noProof/>
            <w:szCs w:val="22"/>
            <w:lang w:val="en-US"/>
          </w:rPr>
          <w:t>Ellison 2019</w:t>
        </w:r>
        <w:r w:rsidR="009A7AB4" w:rsidRPr="005B2157">
          <w:rPr>
            <w:rFonts w:cs="Arial"/>
            <w:szCs w:val="22"/>
            <w:lang w:val="en-US"/>
          </w:rPr>
          <w:fldChar w:fldCharType="end"/>
        </w:r>
      </w:hyperlink>
      <w:r w:rsidR="00E127D1" w:rsidRPr="005B2157">
        <w:rPr>
          <w:rFonts w:cs="Arial"/>
          <w:szCs w:val="22"/>
          <w:lang w:val="en-US"/>
        </w:rPr>
        <w:t>)</w:t>
      </w:r>
      <w:r w:rsidRPr="005B2157">
        <w:rPr>
          <w:rFonts w:cs="Arial"/>
          <w:szCs w:val="22"/>
          <w:lang w:val="en-US"/>
        </w:rPr>
        <w:t xml:space="preserve">. </w:t>
      </w:r>
    </w:p>
    <w:p w14:paraId="69E7E6DB" w14:textId="038F4E5A" w:rsidR="00F17593" w:rsidRPr="005B2157" w:rsidRDefault="005055DC" w:rsidP="009D7C70">
      <w:pPr>
        <w:rPr>
          <w:rFonts w:cs="Arial"/>
          <w:color w:val="000000" w:themeColor="text1"/>
          <w:szCs w:val="22"/>
        </w:rPr>
      </w:pPr>
      <w:r w:rsidRPr="005B2157">
        <w:rPr>
          <w:rFonts w:cs="Arial"/>
          <w:color w:val="000000" w:themeColor="text1"/>
          <w:szCs w:val="22"/>
        </w:rPr>
        <w:lastRenderedPageBreak/>
        <w:t>Foundation species are the species types that are at the pinnacle of meadow succession.</w:t>
      </w:r>
      <w:r w:rsidRPr="005B2157">
        <w:rPr>
          <w:rFonts w:cs="Arial"/>
          <w:color w:val="000000"/>
          <w:szCs w:val="22"/>
        </w:rPr>
        <w:t xml:space="preserve"> </w:t>
      </w:r>
      <w:r w:rsidRPr="005B2157">
        <w:rPr>
          <w:rFonts w:cs="Arial"/>
          <w:color w:val="000000" w:themeColor="text1"/>
          <w:szCs w:val="22"/>
        </w:rPr>
        <w:t xml:space="preserve">A highly disturbed meadow (due to wave/wind exposure, or low light regime) might only ever have colonising species as the foundational species, while a less disturbed meadow can have persistent species form the foundation. Also, whether </w:t>
      </w:r>
      <w:r w:rsidRPr="005B2157">
        <w:rPr>
          <w:rFonts w:cs="Arial"/>
          <w:i/>
          <w:color w:val="000000" w:themeColor="text1"/>
          <w:szCs w:val="22"/>
        </w:rPr>
        <w:t>Zostera muelleri</w:t>
      </w:r>
      <w:r w:rsidRPr="005B2157">
        <w:rPr>
          <w:rFonts w:cs="Arial"/>
          <w:color w:val="000000" w:themeColor="text1"/>
          <w:szCs w:val="22"/>
        </w:rPr>
        <w:t xml:space="preserve"> is a foundation species is influenced by whether it grows in the tropics or in the sub-tropics, as it is more likely to form a foundation species in the sub-tropics even if it is disturbed.</w:t>
      </w:r>
      <w:r w:rsidR="00F17593" w:rsidRPr="005B2157">
        <w:rPr>
          <w:rFonts w:cs="Arial"/>
          <w:color w:val="000000" w:themeColor="text1"/>
          <w:szCs w:val="22"/>
        </w:rPr>
        <w:t xml:space="preserve"> </w:t>
      </w:r>
    </w:p>
    <w:p w14:paraId="567B20F7" w14:textId="0E4B8D45" w:rsidR="009D7C70" w:rsidRPr="005B2157" w:rsidRDefault="009D7C70" w:rsidP="009D7C70">
      <w:pPr>
        <w:rPr>
          <w:rFonts w:cs="Arial"/>
          <w:szCs w:val="22"/>
        </w:rPr>
      </w:pPr>
      <w:r w:rsidRPr="005B2157">
        <w:rPr>
          <w:rFonts w:cs="Arial"/>
          <w:szCs w:val="22"/>
          <w:lang w:val="en-US"/>
        </w:rPr>
        <w:t>For the seagrass habitats assessed in the MMP, the foundation seagrass species were those species which typified the habitats both in abundance and structure when the meadow was considered in its steady state (opportunistic or persistent) (</w:t>
      </w:r>
      <w:hyperlink w:anchor="_ENREF_80" w:tooltip="Kilminster, 2015 #10294" w:history="1">
        <w:r w:rsidR="009A7AB4" w:rsidRPr="005B2157">
          <w:rPr>
            <w:rFonts w:cs="Arial"/>
            <w:szCs w:val="22"/>
            <w:lang w:val="en-US"/>
          </w:rPr>
          <w:fldChar w:fldCharType="begin"/>
        </w:r>
        <w:r w:rsidR="009A7AB4" w:rsidRPr="005B2157">
          <w:rPr>
            <w:rFonts w:cs="Arial"/>
            <w:szCs w:val="22"/>
            <w:lang w:val="en-US"/>
          </w:rPr>
          <w:instrText xml:space="preserve"> ADDIN EN.CITE &lt;EndNote&gt;&lt;Cite&gt;&lt;Author&gt;Kilminster&lt;/Author&gt;&lt;Year&gt;2015&lt;/Year&gt;&lt;RecNum&gt;10294&lt;/RecNum&gt;&lt;DisplayText&gt;Kilminster&lt;style face="italic"&gt; et al.&lt;/style&gt; 2015&lt;/DisplayText&gt;&lt;record&gt;&lt;rec-number&gt;10294&lt;/rec-number&gt;&lt;foreign-keys&gt;&lt;key app="EN" db-id="0eve55x9y5vfd6e9dacxtew4eatve2dzds9a" timestamp="1441078749"&gt;10294&lt;/key&gt;&lt;/foreign-keys&gt;&lt;ref-type name="Journal Article"&gt;17&lt;/ref-type&gt;&lt;contributors&gt;&lt;authors&gt;&lt;author&gt;Kilminster, Kieryn&lt;/author&gt;&lt;author&gt;McMahon, Kathryn&lt;/author&gt;&lt;author&gt;Waycott, Michelle&lt;/author&gt;&lt;author&gt;Kendrick, Gary A.&lt;/author&gt;&lt;author&gt;Scanes, Peter&lt;/author&gt;&lt;author&gt;McKenzie, Len&lt;/author&gt;&lt;author&gt;O&amp;apos;Brien, Katherine R.&lt;/author&gt;&lt;author&gt;Lyons, Mitchell&lt;/author&gt;&lt;author&gt;Ferguson, Angus&lt;/author&gt;&lt;author&gt;Maxwell, Paul&lt;/author&gt;&lt;author&gt;Glasby, Tim&lt;/author&gt;&lt;author&gt;Udy, James&lt;/author&gt;&lt;/authors&gt;&lt;/contributors&gt;&lt;titles&gt;&lt;title&gt;Unravelling complexity in seagrass systems for management: Australia as a microcosm&lt;/title&gt;&lt;secondary-title&gt;Science of The Total Environment&lt;/secondary-title&gt;&lt;/titles&gt;&lt;periodical&gt;&lt;full-title&gt;Science of The Total Environment&lt;/full-title&gt;&lt;/periodical&gt;&lt;pages&gt;97-109&lt;/pages&gt;&lt;volume&gt;534&lt;/volume&gt;&lt;keywords&gt;&lt;keyword&gt;Life-history&lt;/keyword&gt;&lt;keyword&gt;Transitory&lt;/keyword&gt;&lt;keyword&gt;Monitoring&lt;/keyword&gt;&lt;keyword&gt;Decision-making&lt;/keyword&gt;&lt;keyword&gt;Environmental management&lt;/keyword&gt;&lt;keyword&gt;Policy&lt;/keyword&gt;&lt;keyword&gt;Seagrasses&lt;/keyword&gt;&lt;/keywords&gt;&lt;dates&gt;&lt;year&gt;2015&lt;/year&gt;&lt;/dates&gt;&lt;isbn&gt;0048-9697&lt;/isbn&gt;&lt;urls&gt;&lt;related-urls&gt;&lt;url&gt;http://www.sciencedirect.com/science/article/pii/S0048969715005124&lt;/url&gt;&lt;/related-urls&gt;&lt;/urls&gt;&lt;electronic-resource-num&gt;http://dx.doi.org/10.1016/j.scitotenv.2015.04.061&lt;/electronic-resource-num&gt;&lt;/record&gt;&lt;/Cite&gt;&lt;/EndNote&gt;</w:instrText>
        </w:r>
        <w:r w:rsidR="009A7AB4" w:rsidRPr="005B2157">
          <w:rPr>
            <w:rFonts w:cs="Arial"/>
            <w:szCs w:val="22"/>
            <w:lang w:val="en-US"/>
          </w:rPr>
          <w:fldChar w:fldCharType="separate"/>
        </w:r>
        <w:r w:rsidR="009A7AB4" w:rsidRPr="005B2157">
          <w:rPr>
            <w:rFonts w:cs="Arial"/>
            <w:noProof/>
            <w:szCs w:val="22"/>
            <w:lang w:val="en-US"/>
          </w:rPr>
          <w:t>Kilminster</w:t>
        </w:r>
        <w:r w:rsidR="009A7AB4" w:rsidRPr="005B2157">
          <w:rPr>
            <w:rFonts w:cs="Arial"/>
            <w:i/>
            <w:noProof/>
            <w:szCs w:val="22"/>
            <w:lang w:val="en-US"/>
          </w:rPr>
          <w:t xml:space="preserve"> et al.</w:t>
        </w:r>
        <w:r w:rsidR="009A7AB4" w:rsidRPr="005B2157">
          <w:rPr>
            <w:rFonts w:cs="Arial"/>
            <w:noProof/>
            <w:szCs w:val="22"/>
            <w:lang w:val="en-US"/>
          </w:rPr>
          <w:t xml:space="preserve"> 2015</w:t>
        </w:r>
        <w:r w:rsidR="009A7AB4" w:rsidRPr="005B2157">
          <w:rPr>
            <w:rFonts w:cs="Arial"/>
            <w:szCs w:val="22"/>
            <w:lang w:val="en-US"/>
          </w:rPr>
          <w:fldChar w:fldCharType="end"/>
        </w:r>
      </w:hyperlink>
      <w:r w:rsidRPr="005B2157">
        <w:rPr>
          <w:rFonts w:cs="Arial"/>
          <w:szCs w:val="22"/>
          <w:lang w:val="en-US"/>
        </w:rPr>
        <w:t xml:space="preserve">). The </w:t>
      </w:r>
      <w:r w:rsidRPr="005B2157">
        <w:rPr>
          <w:rFonts w:cs="Arial"/>
          <w:szCs w:val="22"/>
        </w:rPr>
        <w:t xml:space="preserve">foundation species were all di-meristematic leaf-replacing forms from the following families: </w:t>
      </w:r>
      <w:r w:rsidRPr="005B2157">
        <w:rPr>
          <w:rFonts w:cs="Arial"/>
          <w:i/>
          <w:szCs w:val="22"/>
        </w:rPr>
        <w:t>Cymodocea, Enhalus, Halodule, Thalassia</w:t>
      </w:r>
      <w:r w:rsidRPr="005B2157">
        <w:rPr>
          <w:rFonts w:cs="Arial"/>
          <w:szCs w:val="22"/>
        </w:rPr>
        <w:t xml:space="preserve"> and </w:t>
      </w:r>
      <w:r w:rsidRPr="005B2157">
        <w:rPr>
          <w:rFonts w:cs="Arial"/>
          <w:i/>
          <w:szCs w:val="22"/>
        </w:rPr>
        <w:t>Zostera</w:t>
      </w:r>
      <w:r w:rsidRPr="005B2157">
        <w:rPr>
          <w:rFonts w:cs="Arial"/>
          <w:szCs w:val="22"/>
        </w:rPr>
        <w:t xml:space="preserve"> (</w:t>
      </w:r>
      <w:r w:rsidRPr="005B2157">
        <w:rPr>
          <w:rFonts w:cs="Arial"/>
          <w:szCs w:val="22"/>
        </w:rPr>
        <w:fldChar w:fldCharType="begin"/>
      </w:r>
      <w:r w:rsidRPr="005B2157">
        <w:rPr>
          <w:rFonts w:cs="Arial"/>
          <w:szCs w:val="22"/>
        </w:rPr>
        <w:instrText xml:space="preserve"> REF _Ref236539751 \h </w:instrText>
      </w:r>
      <w:r w:rsidR="00DA741D" w:rsidRPr="005B2157">
        <w:rPr>
          <w:rFonts w:cs="Arial"/>
          <w:szCs w:val="22"/>
        </w:rPr>
        <w:instrText xml:space="preserve"> \* MERGEFORMAT </w:instrText>
      </w:r>
      <w:r w:rsidRPr="005B2157">
        <w:rPr>
          <w:rFonts w:cs="Arial"/>
          <w:szCs w:val="22"/>
        </w:rPr>
      </w:r>
      <w:r w:rsidRPr="005B2157">
        <w:rPr>
          <w:rFonts w:cs="Arial"/>
          <w:szCs w:val="22"/>
        </w:rPr>
        <w:fldChar w:fldCharType="separate"/>
      </w:r>
      <w:r w:rsidR="0067675D" w:rsidRPr="00D051A4">
        <w:rPr>
          <w:rFonts w:cs="Arial"/>
          <w:color w:val="000000"/>
          <w:szCs w:val="22"/>
        </w:rPr>
        <w:t xml:space="preserve">Table </w:t>
      </w:r>
      <w:r w:rsidR="0067675D">
        <w:rPr>
          <w:rFonts w:cs="Arial"/>
          <w:noProof/>
          <w:color w:val="000000"/>
          <w:szCs w:val="22"/>
        </w:rPr>
        <w:t>2</w:t>
      </w:r>
      <w:r w:rsidRPr="005B2157">
        <w:rPr>
          <w:rFonts w:cs="Arial"/>
          <w:szCs w:val="22"/>
        </w:rPr>
        <w:fldChar w:fldCharType="end"/>
      </w:r>
      <w:r w:rsidRPr="005B2157">
        <w:rPr>
          <w:rFonts w:cs="Arial"/>
          <w:szCs w:val="22"/>
        </w:rPr>
        <w:t>).</w:t>
      </w:r>
    </w:p>
    <w:p w14:paraId="1A7D3657" w14:textId="0EDB500C" w:rsidR="003D1F7F" w:rsidRPr="005B2157" w:rsidRDefault="003D1F7F" w:rsidP="003D1F7F">
      <w:pPr>
        <w:rPr>
          <w:rFonts w:cs="Arial"/>
          <w:szCs w:val="22"/>
        </w:rPr>
      </w:pPr>
      <w:r w:rsidRPr="005B2157">
        <w:rPr>
          <w:rFonts w:cs="Arial"/>
          <w:szCs w:val="22"/>
          <w:lang w:val="en-US"/>
        </w:rPr>
        <w:t xml:space="preserve">As the major period of runoff from catchments and agricultural lands </w:t>
      </w:r>
      <w:r w:rsidR="009F070C" w:rsidRPr="005B2157">
        <w:rPr>
          <w:rFonts w:cs="Arial"/>
          <w:szCs w:val="22"/>
          <w:lang w:val="en-US"/>
        </w:rPr>
        <w:t xml:space="preserve">is </w:t>
      </w:r>
      <w:r w:rsidRPr="005B2157">
        <w:rPr>
          <w:rFonts w:cs="Arial"/>
          <w:szCs w:val="22"/>
          <w:lang w:val="en-US"/>
        </w:rPr>
        <w:t xml:space="preserve">the tropical wet season/monsoon (December to April), </w:t>
      </w:r>
      <w:r w:rsidRPr="005B2157">
        <w:rPr>
          <w:rFonts w:cs="Arial"/>
          <w:szCs w:val="22"/>
        </w:rPr>
        <w:t xml:space="preserve">monitoring </w:t>
      </w:r>
      <w:r w:rsidR="009F070C" w:rsidRPr="005B2157">
        <w:rPr>
          <w:rFonts w:cs="Arial"/>
          <w:szCs w:val="22"/>
        </w:rPr>
        <w:t xml:space="preserve">is </w:t>
      </w:r>
      <w:r w:rsidRPr="005B2157">
        <w:rPr>
          <w:rFonts w:cs="Arial"/>
          <w:szCs w:val="22"/>
        </w:rPr>
        <w:t xml:space="preserve">focussed on the late dry (growing) season and late wet season to capture the </w:t>
      </w:r>
      <w:r w:rsidR="00A1555C" w:rsidRPr="005B2157">
        <w:rPr>
          <w:rFonts w:cs="Arial"/>
          <w:szCs w:val="22"/>
        </w:rPr>
        <w:t>condition</w:t>
      </w:r>
      <w:r w:rsidRPr="005B2157">
        <w:rPr>
          <w:rFonts w:cs="Arial"/>
          <w:szCs w:val="22"/>
        </w:rPr>
        <w:t xml:space="preserve"> of seagrass pre and post wet.</w:t>
      </w:r>
    </w:p>
    <w:p w14:paraId="1C791BA4" w14:textId="39B857E5" w:rsidR="00406759" w:rsidRPr="005B2157" w:rsidRDefault="00E127D1" w:rsidP="004902B0">
      <w:pPr>
        <w:rPr>
          <w:rFonts w:cs="Arial"/>
          <w:color w:val="000000" w:themeColor="text1"/>
          <w:szCs w:val="22"/>
        </w:rPr>
      </w:pPr>
      <w:r w:rsidRPr="005B2157">
        <w:rPr>
          <w:rFonts w:cs="Arial"/>
          <w:color w:val="000000" w:themeColor="text1"/>
          <w:szCs w:val="22"/>
        </w:rPr>
        <w:t>Sixty</w:t>
      </w:r>
      <w:r w:rsidR="00406759" w:rsidRPr="005B2157">
        <w:rPr>
          <w:rFonts w:cs="Arial"/>
          <w:color w:val="000000" w:themeColor="text1"/>
          <w:szCs w:val="22"/>
        </w:rPr>
        <w:t>-</w:t>
      </w:r>
      <w:r w:rsidR="00F405A2" w:rsidRPr="005B2157">
        <w:rPr>
          <w:rFonts w:cs="Arial"/>
          <w:color w:val="000000" w:themeColor="text1"/>
          <w:szCs w:val="22"/>
        </w:rPr>
        <w:t>nine</w:t>
      </w:r>
      <w:r w:rsidR="003D1F7F" w:rsidRPr="005B2157">
        <w:rPr>
          <w:rFonts w:cs="Arial"/>
          <w:color w:val="000000" w:themeColor="text1"/>
          <w:szCs w:val="22"/>
        </w:rPr>
        <w:t xml:space="preserve"> sites at </w:t>
      </w:r>
      <w:r w:rsidRPr="005B2157">
        <w:rPr>
          <w:rFonts w:cs="Arial"/>
          <w:color w:val="000000" w:themeColor="text1"/>
          <w:szCs w:val="22"/>
        </w:rPr>
        <w:t>30</w:t>
      </w:r>
      <w:r w:rsidR="003D1F7F" w:rsidRPr="005B2157">
        <w:rPr>
          <w:rFonts w:cs="Arial"/>
          <w:color w:val="000000" w:themeColor="text1"/>
          <w:szCs w:val="22"/>
        </w:rPr>
        <w:t xml:space="preserve"> locations were </w:t>
      </w:r>
      <w:r w:rsidR="00106862" w:rsidRPr="005B2157">
        <w:rPr>
          <w:rFonts w:cs="Arial"/>
          <w:color w:val="000000" w:themeColor="text1"/>
          <w:szCs w:val="22"/>
        </w:rPr>
        <w:t>assessed</w:t>
      </w:r>
      <w:r w:rsidR="003D1F7F" w:rsidRPr="005B2157">
        <w:rPr>
          <w:rFonts w:cs="Arial"/>
          <w:color w:val="000000" w:themeColor="text1"/>
          <w:szCs w:val="22"/>
        </w:rPr>
        <w:t xml:space="preserve"> during the </w:t>
      </w:r>
      <w:r w:rsidR="003654C6" w:rsidRPr="005B2157">
        <w:rPr>
          <w:rFonts w:cs="Arial"/>
          <w:color w:val="000000" w:themeColor="text1"/>
          <w:szCs w:val="22"/>
        </w:rPr>
        <w:t>201</w:t>
      </w:r>
      <w:r w:rsidR="00F405A2" w:rsidRPr="005B2157">
        <w:rPr>
          <w:rFonts w:cs="Arial"/>
          <w:color w:val="000000" w:themeColor="text1"/>
          <w:szCs w:val="22"/>
        </w:rPr>
        <w:t>8</w:t>
      </w:r>
      <w:r w:rsidR="003654C6" w:rsidRPr="005B2157">
        <w:rPr>
          <w:rFonts w:cs="Arial"/>
          <w:color w:val="000000" w:themeColor="text1"/>
          <w:szCs w:val="22"/>
        </w:rPr>
        <w:t>–1</w:t>
      </w:r>
      <w:r w:rsidR="00F405A2" w:rsidRPr="005B2157">
        <w:rPr>
          <w:rFonts w:cs="Arial"/>
          <w:color w:val="000000" w:themeColor="text1"/>
          <w:szCs w:val="22"/>
        </w:rPr>
        <w:t>9</w:t>
      </w:r>
      <w:r w:rsidR="00C81636" w:rsidRPr="005B2157">
        <w:rPr>
          <w:rFonts w:cs="Arial"/>
          <w:color w:val="000000" w:themeColor="text1"/>
          <w:szCs w:val="22"/>
        </w:rPr>
        <w:t xml:space="preserve"> </w:t>
      </w:r>
      <w:r w:rsidR="003D1F7F" w:rsidRPr="005B2157">
        <w:rPr>
          <w:rFonts w:cs="Arial"/>
          <w:color w:val="000000" w:themeColor="text1"/>
          <w:szCs w:val="22"/>
        </w:rPr>
        <w:t>monitoring period (</w:t>
      </w:r>
      <w:r w:rsidR="006F061E" w:rsidRPr="005B2157">
        <w:rPr>
          <w:rFonts w:cs="Arial"/>
          <w:bCs/>
          <w:color w:val="000000" w:themeColor="text1"/>
          <w:szCs w:val="22"/>
        </w:rPr>
        <w:fldChar w:fldCharType="begin"/>
      </w:r>
      <w:r w:rsidR="006F061E" w:rsidRPr="005B2157">
        <w:rPr>
          <w:rFonts w:cs="Arial"/>
          <w:color w:val="000000" w:themeColor="text1"/>
          <w:szCs w:val="22"/>
        </w:rPr>
        <w:instrText xml:space="preserve"> REF _Ref534182043 \r \h </w:instrText>
      </w:r>
      <w:r w:rsidR="00CB093C" w:rsidRPr="005B2157">
        <w:rPr>
          <w:rFonts w:cs="Arial"/>
          <w:bCs/>
          <w:color w:val="000000" w:themeColor="text1"/>
          <w:szCs w:val="22"/>
        </w:rPr>
        <w:instrText xml:space="preserve"> \* MERGEFORMAT </w:instrText>
      </w:r>
      <w:r w:rsidR="006F061E" w:rsidRPr="005B2157">
        <w:rPr>
          <w:rFonts w:cs="Arial"/>
          <w:bCs/>
          <w:color w:val="000000" w:themeColor="text1"/>
          <w:szCs w:val="22"/>
        </w:rPr>
      </w:r>
      <w:r w:rsidR="006F061E" w:rsidRPr="005B2157">
        <w:rPr>
          <w:rFonts w:cs="Arial"/>
          <w:bCs/>
          <w:color w:val="000000" w:themeColor="text1"/>
          <w:szCs w:val="22"/>
        </w:rPr>
        <w:fldChar w:fldCharType="separate"/>
      </w:r>
      <w:r w:rsidR="0067675D">
        <w:rPr>
          <w:rFonts w:cs="Arial"/>
          <w:color w:val="000000" w:themeColor="text1"/>
          <w:szCs w:val="22"/>
        </w:rPr>
        <w:t>Appendix 3</w:t>
      </w:r>
      <w:r w:rsidR="006F061E" w:rsidRPr="005B2157">
        <w:rPr>
          <w:rFonts w:cs="Arial"/>
          <w:bCs/>
          <w:color w:val="000000" w:themeColor="text1"/>
          <w:szCs w:val="22"/>
        </w:rPr>
        <w:fldChar w:fldCharType="end"/>
      </w:r>
      <w:r w:rsidR="00106862" w:rsidRPr="005B2157">
        <w:rPr>
          <w:rFonts w:cs="Arial"/>
          <w:bCs/>
          <w:color w:val="000000" w:themeColor="text1"/>
          <w:szCs w:val="22"/>
        </w:rPr>
        <w:t xml:space="preserve">, </w:t>
      </w:r>
      <w:r w:rsidR="00106862" w:rsidRPr="005B2157">
        <w:rPr>
          <w:rFonts w:cs="Arial"/>
          <w:bCs/>
          <w:color w:val="000000" w:themeColor="text1"/>
          <w:szCs w:val="22"/>
        </w:rPr>
        <w:fldChar w:fldCharType="begin"/>
      </w:r>
      <w:r w:rsidR="00106862" w:rsidRPr="005B2157">
        <w:rPr>
          <w:rFonts w:cs="Arial"/>
          <w:bCs/>
          <w:color w:val="000000" w:themeColor="text1"/>
          <w:szCs w:val="22"/>
        </w:rPr>
        <w:instrText xml:space="preserve"> REF _Ref511373432 \h </w:instrText>
      </w:r>
      <w:r w:rsidR="00DA741D" w:rsidRPr="005B2157">
        <w:rPr>
          <w:rFonts w:cs="Arial"/>
          <w:bCs/>
          <w:color w:val="000000" w:themeColor="text1"/>
          <w:szCs w:val="22"/>
        </w:rPr>
        <w:instrText xml:space="preserve"> \* MERGEFORMAT </w:instrText>
      </w:r>
      <w:r w:rsidR="00106862" w:rsidRPr="005B2157">
        <w:rPr>
          <w:rFonts w:cs="Arial"/>
          <w:bCs/>
          <w:color w:val="000000" w:themeColor="text1"/>
          <w:szCs w:val="22"/>
        </w:rPr>
      </w:r>
      <w:r w:rsidR="00106862" w:rsidRPr="005B2157">
        <w:rPr>
          <w:rFonts w:cs="Arial"/>
          <w:bCs/>
          <w:color w:val="000000" w:themeColor="text1"/>
          <w:szCs w:val="22"/>
        </w:rPr>
        <w:fldChar w:fldCharType="separate"/>
      </w:r>
      <w:r w:rsidR="0067675D" w:rsidRPr="00687A15">
        <w:rPr>
          <w:rFonts w:cs="Arial"/>
          <w:color w:val="000000"/>
          <w:szCs w:val="22"/>
        </w:rPr>
        <w:t xml:space="preserve">Table </w:t>
      </w:r>
      <w:r w:rsidR="0067675D">
        <w:rPr>
          <w:rFonts w:cs="Arial"/>
          <w:noProof/>
          <w:color w:val="000000"/>
          <w:szCs w:val="22"/>
        </w:rPr>
        <w:t>18</w:t>
      </w:r>
      <w:r w:rsidR="00106862" w:rsidRPr="005B2157">
        <w:rPr>
          <w:rFonts w:cs="Arial"/>
          <w:bCs/>
          <w:color w:val="000000" w:themeColor="text1"/>
          <w:szCs w:val="22"/>
        </w:rPr>
        <w:fldChar w:fldCharType="end"/>
      </w:r>
      <w:r w:rsidR="003D1F7F" w:rsidRPr="005B2157">
        <w:rPr>
          <w:rFonts w:cs="Arial"/>
          <w:color w:val="000000" w:themeColor="text1"/>
          <w:szCs w:val="22"/>
        </w:rPr>
        <w:t xml:space="preserve">). This </w:t>
      </w:r>
      <w:r w:rsidR="00640BF3" w:rsidRPr="005B2157">
        <w:rPr>
          <w:rFonts w:cs="Arial"/>
          <w:color w:val="000000" w:themeColor="text1"/>
          <w:szCs w:val="22"/>
        </w:rPr>
        <w:t>covered</w:t>
      </w:r>
      <w:r w:rsidR="003D1F7F" w:rsidRPr="005B2157">
        <w:rPr>
          <w:rFonts w:cs="Arial"/>
          <w:color w:val="000000" w:themeColor="text1"/>
          <w:szCs w:val="22"/>
        </w:rPr>
        <w:t xml:space="preserve"> </w:t>
      </w:r>
      <w:r w:rsidR="007E33C4" w:rsidRPr="005B2157">
        <w:rPr>
          <w:rFonts w:cs="Arial"/>
          <w:color w:val="000000" w:themeColor="text1"/>
          <w:szCs w:val="22"/>
        </w:rPr>
        <w:t>fourteen</w:t>
      </w:r>
      <w:r w:rsidR="003D1F7F" w:rsidRPr="005B2157">
        <w:rPr>
          <w:rFonts w:cs="Arial"/>
          <w:color w:val="000000" w:themeColor="text1"/>
          <w:szCs w:val="22"/>
        </w:rPr>
        <w:t xml:space="preserve"> coastal, four estuarine and </w:t>
      </w:r>
      <w:r w:rsidR="007E33C4" w:rsidRPr="005B2157">
        <w:rPr>
          <w:rFonts w:cs="Arial"/>
          <w:color w:val="000000" w:themeColor="text1"/>
          <w:szCs w:val="22"/>
        </w:rPr>
        <w:t>twelve</w:t>
      </w:r>
      <w:r w:rsidR="00697B76" w:rsidRPr="005B2157">
        <w:rPr>
          <w:rFonts w:cs="Arial"/>
          <w:color w:val="000000" w:themeColor="text1"/>
          <w:szCs w:val="22"/>
        </w:rPr>
        <w:t xml:space="preserve"> </w:t>
      </w:r>
      <w:r w:rsidR="00A12DFC" w:rsidRPr="005B2157">
        <w:rPr>
          <w:rFonts w:cs="Arial"/>
          <w:color w:val="000000" w:themeColor="text1"/>
          <w:szCs w:val="22"/>
        </w:rPr>
        <w:t xml:space="preserve">reef locations (i.e. two or </w:t>
      </w:r>
      <w:r w:rsidR="003D1F7F" w:rsidRPr="005B2157">
        <w:rPr>
          <w:rFonts w:cs="Arial"/>
          <w:color w:val="000000" w:themeColor="text1"/>
          <w:szCs w:val="22"/>
        </w:rPr>
        <w:t>three sites at each location).</w:t>
      </w:r>
    </w:p>
    <w:p w14:paraId="2A26BD31" w14:textId="4D5FB917" w:rsidR="00406759" w:rsidRPr="005B2157" w:rsidRDefault="003D1F7F" w:rsidP="004902B0">
      <w:pPr>
        <w:rPr>
          <w:rFonts w:cs="Arial"/>
          <w:color w:val="000000" w:themeColor="text1"/>
          <w:szCs w:val="22"/>
        </w:rPr>
      </w:pPr>
      <w:r w:rsidRPr="005B2157">
        <w:rPr>
          <w:rFonts w:cs="Arial"/>
          <w:color w:val="000000" w:themeColor="text1"/>
          <w:szCs w:val="22"/>
        </w:rPr>
        <w:t>At the reef locations in the Burdekin and Wet Tropics, intertidal sites were paired with a subtidal site (</w:t>
      </w:r>
      <w:r w:rsidRPr="005B2157">
        <w:rPr>
          <w:rFonts w:cs="Arial"/>
          <w:color w:val="000000" w:themeColor="text1"/>
          <w:szCs w:val="22"/>
        </w:rPr>
        <w:fldChar w:fldCharType="begin"/>
      </w:r>
      <w:r w:rsidRPr="005B2157">
        <w:rPr>
          <w:rFonts w:cs="Arial"/>
          <w:color w:val="000000" w:themeColor="text1"/>
          <w:szCs w:val="22"/>
        </w:rPr>
        <w:instrText xml:space="preserve"> REF _Ref236539751 \h  \* MERGEFORMAT </w:instrText>
      </w:r>
      <w:r w:rsidRPr="005B2157">
        <w:rPr>
          <w:rFonts w:cs="Arial"/>
          <w:color w:val="000000" w:themeColor="text1"/>
          <w:szCs w:val="22"/>
        </w:rPr>
      </w:r>
      <w:r w:rsidRPr="005B2157">
        <w:rPr>
          <w:rFonts w:cs="Arial"/>
          <w:color w:val="000000" w:themeColor="text1"/>
          <w:szCs w:val="22"/>
        </w:rPr>
        <w:fldChar w:fldCharType="separate"/>
      </w:r>
      <w:r w:rsidR="0067675D" w:rsidRPr="0067675D">
        <w:rPr>
          <w:rFonts w:cs="Arial"/>
          <w:color w:val="000000" w:themeColor="text1"/>
          <w:szCs w:val="22"/>
        </w:rPr>
        <w:t xml:space="preserve">Table </w:t>
      </w:r>
      <w:r w:rsidR="0067675D" w:rsidRPr="0067675D">
        <w:rPr>
          <w:rFonts w:cs="Arial"/>
          <w:noProof/>
          <w:color w:val="000000" w:themeColor="text1"/>
          <w:szCs w:val="22"/>
        </w:rPr>
        <w:t>2</w:t>
      </w:r>
      <w:r w:rsidRPr="005B2157">
        <w:rPr>
          <w:rFonts w:cs="Arial"/>
          <w:color w:val="000000" w:themeColor="text1"/>
          <w:szCs w:val="22"/>
        </w:rPr>
        <w:fldChar w:fldCharType="end"/>
      </w:r>
      <w:r w:rsidRPr="005B2157">
        <w:rPr>
          <w:rFonts w:cs="Arial"/>
          <w:color w:val="000000" w:themeColor="text1"/>
          <w:szCs w:val="22"/>
        </w:rPr>
        <w:t xml:space="preserve">). </w:t>
      </w:r>
      <w:r w:rsidR="00106862" w:rsidRPr="005B2157">
        <w:rPr>
          <w:rFonts w:cs="Arial"/>
          <w:color w:val="000000" w:themeColor="text1"/>
          <w:szCs w:val="22"/>
        </w:rPr>
        <w:t xml:space="preserve">Apart from the </w:t>
      </w:r>
      <w:r w:rsidR="00A12DFC" w:rsidRPr="005B2157">
        <w:rPr>
          <w:rFonts w:cs="Arial"/>
          <w:color w:val="000000" w:themeColor="text1"/>
          <w:szCs w:val="22"/>
        </w:rPr>
        <w:t>4</w:t>
      </w:r>
      <w:r w:rsidR="00697B76" w:rsidRPr="005B2157">
        <w:rPr>
          <w:rFonts w:cs="Arial"/>
          <w:color w:val="000000" w:themeColor="text1"/>
          <w:szCs w:val="22"/>
        </w:rPr>
        <w:t>9</w:t>
      </w:r>
      <w:r w:rsidR="00640BF3" w:rsidRPr="005B2157">
        <w:rPr>
          <w:rFonts w:cs="Arial"/>
          <w:color w:val="000000" w:themeColor="text1"/>
          <w:szCs w:val="22"/>
        </w:rPr>
        <w:t xml:space="preserve"> MMP long-term monitoring sites, d</w:t>
      </w:r>
      <w:r w:rsidR="00C815FB" w:rsidRPr="005B2157">
        <w:rPr>
          <w:rFonts w:cs="Arial"/>
          <w:color w:val="000000" w:themeColor="text1"/>
          <w:szCs w:val="22"/>
        </w:rPr>
        <w:t xml:space="preserve">ata </w:t>
      </w:r>
      <w:r w:rsidR="00640BF3" w:rsidRPr="005B2157">
        <w:rPr>
          <w:rFonts w:cs="Arial"/>
          <w:color w:val="000000" w:themeColor="text1"/>
          <w:szCs w:val="22"/>
        </w:rPr>
        <w:t xml:space="preserve">included </w:t>
      </w:r>
      <w:r w:rsidR="00F405A2" w:rsidRPr="005B2157">
        <w:rPr>
          <w:rFonts w:cs="Arial"/>
          <w:color w:val="000000" w:themeColor="text1"/>
          <w:szCs w:val="22"/>
        </w:rPr>
        <w:t>nine</w:t>
      </w:r>
      <w:r w:rsidR="00C815FB" w:rsidRPr="005B2157">
        <w:rPr>
          <w:rFonts w:cs="Arial"/>
          <w:color w:val="000000" w:themeColor="text1"/>
          <w:szCs w:val="22"/>
        </w:rPr>
        <w:t xml:space="preserve"> sites </w:t>
      </w:r>
      <w:r w:rsidR="005918BE" w:rsidRPr="005B2157">
        <w:rPr>
          <w:rFonts w:cs="Arial"/>
          <w:color w:val="000000" w:themeColor="text1"/>
          <w:szCs w:val="22"/>
        </w:rPr>
        <w:t xml:space="preserve">from </w:t>
      </w:r>
      <w:r w:rsidR="00C815FB" w:rsidRPr="005B2157">
        <w:rPr>
          <w:rFonts w:cs="Arial"/>
          <w:color w:val="000000" w:themeColor="text1"/>
          <w:szCs w:val="22"/>
        </w:rPr>
        <w:t xml:space="preserve">Seagrass-Watch </w:t>
      </w:r>
      <w:r w:rsidR="00106862" w:rsidRPr="005B2157">
        <w:rPr>
          <w:rFonts w:cs="Arial"/>
          <w:color w:val="000000" w:themeColor="text1"/>
          <w:szCs w:val="22"/>
        </w:rPr>
        <w:t xml:space="preserve">and </w:t>
      </w:r>
      <w:r w:rsidR="00640BF3" w:rsidRPr="005B2157">
        <w:rPr>
          <w:rFonts w:cs="Arial"/>
          <w:color w:val="000000" w:themeColor="text1"/>
          <w:szCs w:val="22"/>
        </w:rPr>
        <w:t>eight sites from QPWS</w:t>
      </w:r>
      <w:r w:rsidR="00C815FB" w:rsidRPr="005B2157">
        <w:rPr>
          <w:rFonts w:cs="Arial"/>
          <w:color w:val="000000" w:themeColor="text1"/>
          <w:szCs w:val="22"/>
        </w:rPr>
        <w:t xml:space="preserve"> </w:t>
      </w:r>
      <w:r w:rsidR="005918BE" w:rsidRPr="005B2157">
        <w:rPr>
          <w:rFonts w:cs="Arial"/>
          <w:color w:val="000000" w:themeColor="text1"/>
          <w:szCs w:val="22"/>
        </w:rPr>
        <w:t xml:space="preserve">to improve the spatial resolution </w:t>
      </w:r>
      <w:r w:rsidR="00640BF3" w:rsidRPr="005B2157">
        <w:rPr>
          <w:rFonts w:cs="Arial"/>
          <w:color w:val="000000" w:themeColor="text1"/>
          <w:szCs w:val="22"/>
        </w:rPr>
        <w:t xml:space="preserve">and </w:t>
      </w:r>
      <w:r w:rsidR="00406759" w:rsidRPr="005B2157">
        <w:rPr>
          <w:rFonts w:cs="Arial"/>
          <w:color w:val="000000" w:themeColor="text1"/>
          <w:szCs w:val="22"/>
        </w:rPr>
        <w:t xml:space="preserve">representation of </w:t>
      </w:r>
      <w:r w:rsidR="00640BF3" w:rsidRPr="005B2157">
        <w:rPr>
          <w:rFonts w:cs="Arial"/>
          <w:color w:val="000000" w:themeColor="text1"/>
          <w:szCs w:val="22"/>
        </w:rPr>
        <w:t xml:space="preserve">subtidal habitats </w:t>
      </w:r>
      <w:r w:rsidR="00D43B9E" w:rsidRPr="005B2157">
        <w:rPr>
          <w:rFonts w:cs="Arial"/>
          <w:color w:val="000000" w:themeColor="text1"/>
          <w:szCs w:val="22"/>
        </w:rPr>
        <w:t>(</w:t>
      </w:r>
      <w:r w:rsidR="00D43B9E" w:rsidRPr="005B2157">
        <w:rPr>
          <w:rFonts w:cs="Arial"/>
          <w:color w:val="000000" w:themeColor="text1"/>
          <w:szCs w:val="22"/>
        </w:rPr>
        <w:fldChar w:fldCharType="begin"/>
      </w:r>
      <w:r w:rsidR="00D43B9E" w:rsidRPr="005B2157">
        <w:rPr>
          <w:rFonts w:cs="Arial"/>
          <w:color w:val="000000" w:themeColor="text1"/>
          <w:szCs w:val="22"/>
        </w:rPr>
        <w:instrText xml:space="preserve"> REF _Ref461186562 \h </w:instrText>
      </w:r>
      <w:r w:rsidR="00DA741D" w:rsidRPr="005B2157">
        <w:rPr>
          <w:rFonts w:cs="Arial"/>
          <w:color w:val="000000" w:themeColor="text1"/>
          <w:szCs w:val="22"/>
        </w:rPr>
        <w:instrText xml:space="preserve"> \* MERGEFORMAT </w:instrText>
      </w:r>
      <w:r w:rsidR="00D43B9E" w:rsidRPr="005B2157">
        <w:rPr>
          <w:rFonts w:cs="Arial"/>
          <w:color w:val="000000" w:themeColor="text1"/>
          <w:szCs w:val="22"/>
        </w:rPr>
      </w:r>
      <w:r w:rsidR="00D43B9E" w:rsidRPr="005B2157">
        <w:rPr>
          <w:rFonts w:cs="Arial"/>
          <w:color w:val="000000" w:themeColor="text1"/>
          <w:szCs w:val="22"/>
        </w:rPr>
        <w:fldChar w:fldCharType="separate"/>
      </w:r>
      <w:r w:rsidR="0067675D" w:rsidRPr="00CB093C">
        <w:rPr>
          <w:rFonts w:cs="Arial"/>
          <w:color w:val="000000"/>
          <w:szCs w:val="22"/>
        </w:rPr>
        <w:t xml:space="preserve">Table </w:t>
      </w:r>
      <w:r w:rsidR="0067675D">
        <w:rPr>
          <w:rFonts w:cs="Arial"/>
          <w:noProof/>
          <w:color w:val="000000"/>
          <w:szCs w:val="22"/>
        </w:rPr>
        <w:t>3</w:t>
      </w:r>
      <w:r w:rsidR="00D43B9E" w:rsidRPr="005B2157">
        <w:rPr>
          <w:rFonts w:cs="Arial"/>
          <w:color w:val="000000" w:themeColor="text1"/>
          <w:szCs w:val="22"/>
        </w:rPr>
        <w:fldChar w:fldCharType="end"/>
      </w:r>
      <w:r w:rsidR="00D43B9E" w:rsidRPr="005B2157">
        <w:rPr>
          <w:rFonts w:cs="Arial"/>
          <w:color w:val="000000" w:themeColor="text1"/>
          <w:szCs w:val="22"/>
        </w:rPr>
        <w:t>)</w:t>
      </w:r>
      <w:r w:rsidR="00C815FB" w:rsidRPr="005B2157">
        <w:rPr>
          <w:rFonts w:cs="Arial"/>
          <w:color w:val="000000" w:themeColor="text1"/>
          <w:szCs w:val="22"/>
        </w:rPr>
        <w:t xml:space="preserve">. </w:t>
      </w:r>
    </w:p>
    <w:p w14:paraId="509A6EC9" w14:textId="4058DC09" w:rsidR="004902B0" w:rsidRDefault="003D1F7F" w:rsidP="004902B0">
      <w:pPr>
        <w:rPr>
          <w:rFonts w:cs="Arial"/>
          <w:color w:val="000000" w:themeColor="text1"/>
          <w:szCs w:val="22"/>
        </w:rPr>
      </w:pPr>
      <w:r w:rsidRPr="005B2157">
        <w:rPr>
          <w:rFonts w:cs="Arial"/>
          <w:color w:val="000000" w:themeColor="text1"/>
          <w:szCs w:val="22"/>
        </w:rPr>
        <w:t xml:space="preserve">A description of all data collected during the sampling period has been collated by region, site, parameter, and the number of samples collected per sampling period </w:t>
      </w:r>
      <w:r w:rsidR="00406759" w:rsidRPr="005B2157">
        <w:rPr>
          <w:rFonts w:cs="Arial"/>
          <w:color w:val="000000" w:themeColor="text1"/>
          <w:szCs w:val="22"/>
        </w:rPr>
        <w:t>(</w:t>
      </w:r>
      <w:r w:rsidR="00A06B17" w:rsidRPr="005B2157">
        <w:rPr>
          <w:rFonts w:cs="Arial"/>
          <w:color w:val="000000" w:themeColor="text1"/>
          <w:szCs w:val="22"/>
        </w:rPr>
        <w:fldChar w:fldCharType="begin"/>
      </w:r>
      <w:r w:rsidR="00A06B17" w:rsidRPr="005B2157">
        <w:rPr>
          <w:rFonts w:cs="Arial"/>
          <w:color w:val="000000" w:themeColor="text1"/>
          <w:szCs w:val="22"/>
        </w:rPr>
        <w:instrText xml:space="preserve"> REF _Ref511373432 \h </w:instrText>
      </w:r>
      <w:r w:rsidR="00DA741D" w:rsidRPr="005B2157">
        <w:rPr>
          <w:rFonts w:cs="Arial"/>
          <w:color w:val="000000" w:themeColor="text1"/>
          <w:szCs w:val="22"/>
        </w:rPr>
        <w:instrText xml:space="preserve"> \* MERGEFORMAT </w:instrText>
      </w:r>
      <w:r w:rsidR="00A06B17" w:rsidRPr="005B2157">
        <w:rPr>
          <w:rFonts w:cs="Arial"/>
          <w:color w:val="000000" w:themeColor="text1"/>
          <w:szCs w:val="22"/>
        </w:rPr>
      </w:r>
      <w:r w:rsidR="00A06B17" w:rsidRPr="005B2157">
        <w:rPr>
          <w:rFonts w:cs="Arial"/>
          <w:color w:val="000000" w:themeColor="text1"/>
          <w:szCs w:val="22"/>
        </w:rPr>
        <w:fldChar w:fldCharType="separate"/>
      </w:r>
      <w:r w:rsidR="0067675D" w:rsidRPr="00687A15">
        <w:rPr>
          <w:rFonts w:cs="Arial"/>
          <w:color w:val="000000"/>
          <w:szCs w:val="22"/>
        </w:rPr>
        <w:t xml:space="preserve">Table </w:t>
      </w:r>
      <w:r w:rsidR="0067675D">
        <w:rPr>
          <w:rFonts w:cs="Arial"/>
          <w:noProof/>
          <w:color w:val="000000"/>
          <w:szCs w:val="22"/>
        </w:rPr>
        <w:t>18</w:t>
      </w:r>
      <w:r w:rsidR="00A06B17" w:rsidRPr="005B2157">
        <w:rPr>
          <w:rFonts w:cs="Arial"/>
          <w:color w:val="000000" w:themeColor="text1"/>
          <w:szCs w:val="22"/>
        </w:rPr>
        <w:fldChar w:fldCharType="end"/>
      </w:r>
      <w:r w:rsidR="00406759" w:rsidRPr="005B2157">
        <w:rPr>
          <w:rFonts w:cs="Arial"/>
          <w:color w:val="000000" w:themeColor="text1"/>
          <w:szCs w:val="22"/>
        </w:rPr>
        <w:t>)</w:t>
      </w:r>
      <w:r w:rsidRPr="005B2157">
        <w:rPr>
          <w:rFonts w:cs="Arial"/>
          <w:color w:val="000000" w:themeColor="text1"/>
          <w:szCs w:val="22"/>
        </w:rPr>
        <w:t xml:space="preserve">. The seagrass species </w:t>
      </w:r>
      <w:r w:rsidR="00AB452F" w:rsidRPr="005B2157">
        <w:rPr>
          <w:rFonts w:cs="Arial"/>
          <w:color w:val="000000" w:themeColor="text1"/>
          <w:szCs w:val="22"/>
        </w:rPr>
        <w:t xml:space="preserve">(including foundation) </w:t>
      </w:r>
      <w:r w:rsidRPr="005B2157">
        <w:rPr>
          <w:rFonts w:cs="Arial"/>
          <w:color w:val="000000" w:themeColor="text1"/>
          <w:szCs w:val="22"/>
        </w:rPr>
        <w:t>present at each monitoring site is listed</w:t>
      </w:r>
      <w:r w:rsidR="00A06B17" w:rsidRPr="005B2157">
        <w:rPr>
          <w:rFonts w:cs="Arial"/>
          <w:color w:val="000000" w:themeColor="text1"/>
          <w:szCs w:val="22"/>
        </w:rPr>
        <w:t xml:space="preserve"> in</w:t>
      </w:r>
      <w:r w:rsidRPr="005B2157">
        <w:rPr>
          <w:rFonts w:cs="Arial"/>
          <w:color w:val="000000" w:themeColor="text1"/>
          <w:szCs w:val="22"/>
        </w:rPr>
        <w:t xml:space="preserve"> </w:t>
      </w:r>
      <w:r w:rsidR="00EB19B4" w:rsidRPr="005B2157">
        <w:rPr>
          <w:rFonts w:cs="Arial"/>
          <w:color w:val="000000" w:themeColor="text1"/>
          <w:szCs w:val="22"/>
        </w:rPr>
        <w:fldChar w:fldCharType="begin"/>
      </w:r>
      <w:r w:rsidR="00EB19B4" w:rsidRPr="005B2157">
        <w:rPr>
          <w:rFonts w:cs="Arial"/>
          <w:color w:val="000000" w:themeColor="text1"/>
          <w:szCs w:val="22"/>
        </w:rPr>
        <w:instrText xml:space="preserve"> REF _Ref236539751 \h </w:instrText>
      </w:r>
      <w:r w:rsidR="00DA741D" w:rsidRPr="005B2157">
        <w:rPr>
          <w:rFonts w:cs="Arial"/>
          <w:color w:val="000000" w:themeColor="text1"/>
          <w:szCs w:val="22"/>
        </w:rPr>
        <w:instrText xml:space="preserve"> \* MERGEFORMAT </w:instrText>
      </w:r>
      <w:r w:rsidR="00EB19B4" w:rsidRPr="005B2157">
        <w:rPr>
          <w:rFonts w:cs="Arial"/>
          <w:color w:val="000000" w:themeColor="text1"/>
          <w:szCs w:val="22"/>
        </w:rPr>
      </w:r>
      <w:r w:rsidR="00EB19B4" w:rsidRPr="005B2157">
        <w:rPr>
          <w:rFonts w:cs="Arial"/>
          <w:color w:val="000000" w:themeColor="text1"/>
          <w:szCs w:val="22"/>
        </w:rPr>
        <w:fldChar w:fldCharType="separate"/>
      </w:r>
      <w:r w:rsidR="0067675D" w:rsidRPr="00D051A4">
        <w:rPr>
          <w:rFonts w:cs="Arial"/>
          <w:color w:val="000000"/>
          <w:szCs w:val="22"/>
        </w:rPr>
        <w:t xml:space="preserve">Table </w:t>
      </w:r>
      <w:r w:rsidR="0067675D">
        <w:rPr>
          <w:rFonts w:cs="Arial"/>
          <w:noProof/>
          <w:color w:val="000000"/>
          <w:szCs w:val="22"/>
        </w:rPr>
        <w:t>2</w:t>
      </w:r>
      <w:r w:rsidR="00EB19B4" w:rsidRPr="005B2157">
        <w:rPr>
          <w:rFonts w:cs="Arial"/>
          <w:color w:val="000000" w:themeColor="text1"/>
          <w:szCs w:val="22"/>
        </w:rPr>
        <w:fldChar w:fldCharType="end"/>
      </w:r>
      <w:r w:rsidR="00640BF3" w:rsidRPr="005B2157">
        <w:rPr>
          <w:rFonts w:cs="Arial"/>
          <w:color w:val="000000" w:themeColor="text1"/>
          <w:szCs w:val="22"/>
        </w:rPr>
        <w:t xml:space="preserve"> and </w:t>
      </w:r>
      <w:r w:rsidR="00640BF3" w:rsidRPr="005B2157">
        <w:rPr>
          <w:rFonts w:cs="Arial"/>
          <w:color w:val="000000" w:themeColor="text1"/>
          <w:szCs w:val="22"/>
        </w:rPr>
        <w:fldChar w:fldCharType="begin"/>
      </w:r>
      <w:r w:rsidR="00640BF3" w:rsidRPr="005B2157">
        <w:rPr>
          <w:rFonts w:cs="Arial"/>
          <w:color w:val="000000" w:themeColor="text1"/>
          <w:szCs w:val="22"/>
        </w:rPr>
        <w:instrText xml:space="preserve"> REF _Ref461186562 \h </w:instrText>
      </w:r>
      <w:r w:rsidR="00DA741D" w:rsidRPr="005B2157">
        <w:rPr>
          <w:rFonts w:cs="Arial"/>
          <w:color w:val="000000" w:themeColor="text1"/>
          <w:szCs w:val="22"/>
        </w:rPr>
        <w:instrText xml:space="preserve"> \* MERGEFORMAT </w:instrText>
      </w:r>
      <w:r w:rsidR="00640BF3" w:rsidRPr="005B2157">
        <w:rPr>
          <w:rFonts w:cs="Arial"/>
          <w:color w:val="000000" w:themeColor="text1"/>
          <w:szCs w:val="22"/>
        </w:rPr>
      </w:r>
      <w:r w:rsidR="00640BF3" w:rsidRPr="005B2157">
        <w:rPr>
          <w:rFonts w:cs="Arial"/>
          <w:color w:val="000000" w:themeColor="text1"/>
          <w:szCs w:val="22"/>
        </w:rPr>
        <w:fldChar w:fldCharType="separate"/>
      </w:r>
      <w:r w:rsidR="0067675D" w:rsidRPr="00CB093C">
        <w:rPr>
          <w:rFonts w:cs="Arial"/>
          <w:color w:val="000000"/>
          <w:szCs w:val="22"/>
        </w:rPr>
        <w:t xml:space="preserve">Table </w:t>
      </w:r>
      <w:r w:rsidR="0067675D">
        <w:rPr>
          <w:rFonts w:cs="Arial"/>
          <w:noProof/>
          <w:color w:val="000000"/>
          <w:szCs w:val="22"/>
        </w:rPr>
        <w:t>3</w:t>
      </w:r>
      <w:r w:rsidR="00640BF3" w:rsidRPr="005B2157">
        <w:rPr>
          <w:rFonts w:cs="Arial"/>
          <w:color w:val="000000" w:themeColor="text1"/>
          <w:szCs w:val="22"/>
        </w:rPr>
        <w:fldChar w:fldCharType="end"/>
      </w:r>
      <w:r w:rsidRPr="005B2157">
        <w:rPr>
          <w:rFonts w:cs="Arial"/>
          <w:color w:val="000000" w:themeColor="text1"/>
          <w:szCs w:val="22"/>
        </w:rPr>
        <w:t>.</w:t>
      </w:r>
    </w:p>
    <w:p w14:paraId="61DFC6FE" w14:textId="77777777" w:rsidR="00927DC7" w:rsidRPr="00CB093C" w:rsidRDefault="00927DC7" w:rsidP="00927DC7">
      <w:pPr>
        <w:pStyle w:val="Heading3"/>
      </w:pPr>
      <w:bookmarkStart w:id="61" w:name="_Toc37775038"/>
      <w:bookmarkStart w:id="62" w:name="_Toc43987012"/>
      <w:r w:rsidRPr="00CB093C">
        <w:lastRenderedPageBreak/>
        <w:t>Seagrass abundance, composition and extent</w:t>
      </w:r>
      <w:bookmarkEnd w:id="61"/>
      <w:bookmarkEnd w:id="62"/>
    </w:p>
    <w:p w14:paraId="60E1DABC" w14:textId="132EAC02" w:rsidR="00927DC7" w:rsidRPr="001905B0" w:rsidRDefault="00927DC7" w:rsidP="00927DC7">
      <w:pPr>
        <w:rPr>
          <w:rFonts w:cs="Arial"/>
          <w:szCs w:val="22"/>
        </w:rPr>
      </w:pPr>
      <w:r w:rsidRPr="001905B0">
        <w:rPr>
          <w:rFonts w:cs="Arial"/>
          <w:szCs w:val="22"/>
        </w:rPr>
        <w:t xml:space="preserve">Field survey methodology followed globally standardised protocols (detailed in McKenzie </w:t>
      </w:r>
      <w:r w:rsidRPr="001905B0">
        <w:rPr>
          <w:rFonts w:cs="Arial"/>
          <w:i/>
          <w:szCs w:val="22"/>
        </w:rPr>
        <w:t>et al.</w:t>
      </w:r>
      <w:r w:rsidRPr="001905B0">
        <w:rPr>
          <w:rFonts w:cs="Arial"/>
          <w:szCs w:val="22"/>
        </w:rPr>
        <w:t xml:space="preserve"> (</w:t>
      </w:r>
      <w:hyperlink w:anchor="_ENREF_101" w:tooltip="McKenzie, 2003 #9457" w:history="1">
        <w:r w:rsidR="009A7AB4" w:rsidRPr="001905B0">
          <w:rPr>
            <w:rFonts w:cs="Arial"/>
            <w:szCs w:val="22"/>
          </w:rPr>
          <w:fldChar w:fldCharType="begin"/>
        </w:r>
        <w:r w:rsidR="009A7AB4" w:rsidRPr="001905B0">
          <w:rPr>
            <w:rFonts w:cs="Arial"/>
            <w:szCs w:val="22"/>
          </w:rPr>
          <w:instrText xml:space="preserve"> ADDIN EN.CITE &lt;EndNote&gt;&lt;Cite ExcludeAuth="1"&gt;&lt;Year&gt;2003&lt;/Year&gt;&lt;RecNum&gt;9457&lt;/RecNum&gt;&lt;DisplayText&gt;2003&lt;/DisplayText&gt;&lt;record&gt;&lt;rec-number&gt;9457&lt;/rec-number&gt;&lt;foreign-keys&gt;&lt;key app="EN" db-id="0eve55x9y5vfd6e9dacxtew4eatve2dzds9a" timestamp="1375604206"&gt;9457&lt;/key&gt;&lt;/foreign-keys&gt;&lt;ref-type name="Book"&gt;6&lt;/ref-type&gt;&lt;contributors&gt;&lt;authors&gt;&lt;author&gt;McKenzie, Len J&lt;/author&gt;&lt;author&gt;Campbell, Stuart J&lt;/author&gt;&lt;author&gt;Roder, C.A&lt;/author&gt;&lt;/authors&gt;&lt;/contributors&gt;&lt;titles&gt;&lt;title&gt;Seagrass-Watch: Manual for Mapping &amp;amp; Monitoring Seagrass Resources&lt;/title&gt;&lt;/titles&gt;&lt;edition&gt;2nd&lt;/edition&gt;&lt;section&gt;100&lt;/section&gt;&lt;dates&gt;&lt;year&gt;2003&lt;/year&gt;&lt;/dates&gt;&lt;pub-location&gt;Cairns&lt;/pub-location&gt;&lt;publisher&gt;QFS, NFC&lt;/publisher&gt;&lt;urls&gt;&lt;related-urls&gt;&lt;url&gt;www.seagrasswatch.org/manuals.html&lt;/url&gt;&lt;/related-urls&gt;&lt;/urls&gt;&lt;/record&gt;&lt;/Cite&gt;&lt;/EndNote&gt;</w:instrText>
        </w:r>
        <w:r w:rsidR="009A7AB4" w:rsidRPr="001905B0">
          <w:rPr>
            <w:rFonts w:cs="Arial"/>
            <w:szCs w:val="22"/>
          </w:rPr>
          <w:fldChar w:fldCharType="separate"/>
        </w:r>
        <w:r w:rsidR="009A7AB4" w:rsidRPr="001905B0">
          <w:rPr>
            <w:rFonts w:cs="Arial"/>
            <w:noProof/>
            <w:szCs w:val="22"/>
          </w:rPr>
          <w:t>2003</w:t>
        </w:r>
        <w:r w:rsidR="009A7AB4" w:rsidRPr="001905B0">
          <w:rPr>
            <w:rFonts w:cs="Arial"/>
            <w:szCs w:val="22"/>
          </w:rPr>
          <w:fldChar w:fldCharType="end"/>
        </w:r>
      </w:hyperlink>
      <w:r w:rsidRPr="001905B0">
        <w:rPr>
          <w:rFonts w:cs="Arial"/>
          <w:szCs w:val="22"/>
        </w:rPr>
        <w:t>)). At each location, with the exception of subtidal sites, sampling included two sites nested within 500 m of each other. Subtidal sites were not always replicated within locations. Intertidal sites were defined as a 5.5 hectare area within a relatively homogenous section of a representative seagrass community/meadow (</w:t>
      </w:r>
      <w:hyperlink w:anchor="_ENREF_101" w:tooltip="McKenzie, 2003 #9457"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&lt;EndNote&gt;&lt;Cite&gt;&lt;Author&gt;McKenzie&lt;/Author&gt;&lt;Year&gt;2003&lt;/Year&gt;&lt;RecNum&gt;9457&lt;/RecNum&gt;&lt;DisplayText&gt;McKenzie&lt;style face="italic"&gt; et al.&lt;/style&gt; 2003&lt;/DisplayText&gt;&lt;record&gt;&lt;rec-number&gt;9457&lt;/rec-number&gt;&lt;foreign-keys&gt;&lt;key app="EN" db-id="0eve55x9y5vfd6e9dacxtew4eatve2dzds9a" timestamp="1375604206"&gt;9457&lt;/key&gt;&lt;/foreign-keys&gt;&lt;ref-type name="Book"&gt;6&lt;/ref-type&gt;&lt;contributors&gt;&lt;authors&gt;&lt;author&gt;McKenzie, Len J&lt;/author&gt;&lt;author&gt;Campbell, Stuart J&lt;/author&gt;&lt;author&gt;Roder, C.A&lt;/author&gt;&lt;/authors&gt;&lt;/contributors&gt;&lt;titles&gt;&lt;title&gt;Seagrass-Watch: Manual for Mapping &amp;amp; Monitoring Seagrass Resources&lt;/title&gt;&lt;/titles&gt;&lt;edition&gt;2nd&lt;/edition&gt;&lt;section&gt;100&lt;/section&gt;&lt;dates&gt;&lt;year&gt;2003&lt;/year&gt;&lt;/dates&gt;&lt;pub-location&gt;Cairns&lt;/pub-location&gt;&lt;publisher&gt;QFS, NFC&lt;/publisher&gt;&lt;urls&gt;&lt;related-urls&gt;&lt;url&gt;www.seagrasswatch.org/manuals.html&lt;/url&gt;&lt;/related-urls&gt;&lt;/urls&gt;&lt;/record&gt;&lt;/Cite&gt;&lt;/EndNote&gt;</w:instrText>
        </w:r>
        <w:r w:rsidR="009A7AB4" w:rsidRPr="001905B0">
          <w:rPr>
            <w:rFonts w:cs="Arial"/>
            <w:szCs w:val="22"/>
          </w:rPr>
          <w:fldChar w:fldCharType="separate"/>
        </w:r>
        <w:r w:rsidR="009A7AB4" w:rsidRPr="001905B0">
          <w:rPr>
            <w:rFonts w:cs="Arial"/>
            <w:noProof/>
            <w:szCs w:val="22"/>
          </w:rPr>
          <w:t>McKenzie</w:t>
        </w:r>
        <w:r w:rsidR="009A7AB4" w:rsidRPr="001905B0">
          <w:rPr>
            <w:rFonts w:cs="Arial"/>
            <w:i/>
            <w:noProof/>
            <w:szCs w:val="22"/>
          </w:rPr>
          <w:t xml:space="preserve"> et al.</w:t>
        </w:r>
        <w:r w:rsidR="009A7AB4" w:rsidRPr="001905B0">
          <w:rPr>
            <w:rFonts w:cs="Arial"/>
            <w:noProof/>
            <w:szCs w:val="22"/>
          </w:rPr>
          <w:t xml:space="preserve"> 2003</w:t>
        </w:r>
        <w:r w:rsidR="009A7AB4" w:rsidRPr="001905B0">
          <w:rPr>
            <w:rFonts w:cs="Arial"/>
            <w:szCs w:val="22"/>
          </w:rPr>
          <w:fldChar w:fldCharType="end"/>
        </w:r>
      </w:hyperlink>
      <w:r w:rsidRPr="001905B0">
        <w:rPr>
          <w:rFonts w:cs="Arial"/>
          <w:szCs w:val="22"/>
        </w:rPr>
        <w:t xml:space="preserve">). </w:t>
      </w:r>
    </w:p>
    <w:p w14:paraId="53913DAE" w14:textId="77777777" w:rsidR="00927DC7" w:rsidRPr="001905B0" w:rsidRDefault="00927DC7" w:rsidP="00927DC7">
      <w:pPr>
        <w:rPr>
          <w:rFonts w:cs="Arial"/>
          <w:szCs w:val="22"/>
        </w:rPr>
      </w:pPr>
      <w:r w:rsidRPr="001905B0">
        <w:rPr>
          <w:rFonts w:cs="Arial"/>
          <w:szCs w:val="22"/>
        </w:rPr>
        <w:t xml:space="preserve">Monitoring at sites in the late dry (September-November 2018) and late wet (March/April 2019) of each year was conducted by a qualified scientist who was trained in the monitoring protocols. In the centre of each site, during each survey, observers recorded the percentage seagrass cover within 33 quadrats (50 cm × 50 cm, placed every 5 m along three 50 m transects, located 25 m apart). The sampling strategy for subtidal sites was modified to sample along 50 m transects 2–3 m apart (aligned along the depth contour) due to logistics of SCUBA diving in waters of poor visibility. </w:t>
      </w:r>
    </w:p>
    <w:p w14:paraId="05F81ED2" w14:textId="08949AE7" w:rsidR="00927DC7" w:rsidRPr="001905B0" w:rsidRDefault="00927DC7" w:rsidP="00927DC7">
      <w:pPr>
        <w:rPr>
          <w:rFonts w:cs="Arial"/>
          <w:szCs w:val="22"/>
        </w:rPr>
      </w:pPr>
      <w:r w:rsidRPr="001905B0">
        <w:rPr>
          <w:rFonts w:cs="Arial"/>
          <w:szCs w:val="22"/>
        </w:rPr>
        <w:t xml:space="preserve">Seagrass species were identified as per Waycott </w:t>
      </w:r>
      <w:r w:rsidRPr="001905B0">
        <w:rPr>
          <w:rFonts w:cs="Arial"/>
          <w:i/>
          <w:szCs w:val="22"/>
        </w:rPr>
        <w:t>et al.</w:t>
      </w:r>
      <w:r w:rsidRPr="001905B0">
        <w:rPr>
          <w:rFonts w:cs="Arial"/>
          <w:szCs w:val="22"/>
        </w:rPr>
        <w:t xml:space="preserve"> (</w:t>
      </w:r>
      <w:hyperlink w:anchor="_ENREF_155" w:tooltip="Waycott, 2004 #8887" w:history="1">
        <w:r w:rsidR="009A7AB4" w:rsidRPr="001905B0">
          <w:rPr>
            <w:rFonts w:cs="Arial"/>
            <w:szCs w:val="22"/>
          </w:rPr>
          <w:fldChar w:fldCharType="begin"/>
        </w:r>
        <w:r w:rsidR="009A7AB4" w:rsidRPr="001905B0">
          <w:rPr>
            <w:rFonts w:cs="Arial"/>
            <w:szCs w:val="22"/>
          </w:rPr>
          <w:instrText xml:space="preserve"> ADDIN EN.CITE &lt;EndNote&gt;&lt;Cite ExcludeAuth="1"&gt;&lt;Year&gt;2004&lt;/Year&gt;&lt;RecNum&gt;8887&lt;/RecNum&gt;&lt;DisplayText&gt;2004&lt;/DisplayText&gt;&lt;record&gt;&lt;rec-number&gt;8887&lt;/rec-number&gt;&lt;foreign-keys&gt;&lt;key app="EN" db-id="0eve55x9y5vfd6e9dacxtew4eatve2dzds9a" timestamp="0"&gt;8887&lt;/key&gt;&lt;/foreign-keys&gt;&lt;ref-type name="Book"&gt;6&lt;/ref-type&gt;&lt;contributors&gt;&lt;authors&gt;&lt;author&gt;Waycott, Michelle&lt;/author&gt;&lt;author&gt;McMahon, Kathryn Margaret&lt;/author&gt;&lt;author&gt;Mellors, Jane E.&lt;/author&gt;&lt;author&gt;Calladine, Ainsley&lt;/author&gt;&lt;author&gt;Kleine, Diana&lt;/author&gt;&lt;/authors&gt;&lt;/contributors&gt;&lt;titles&gt;&lt;title&gt;A guide to tropical seagrasses of the Indo-West Pacific&lt;/title&gt;&lt;/titles&gt;&lt;pages&gt;72&lt;/pages&gt;&lt;dates&gt;&lt;year&gt;2004&lt;/year&gt;&lt;/dates&gt;&lt;pub-location&gt;Townsville&lt;/pub-location&gt;&lt;publisher&gt;James Cook University&lt;/publisher&gt;&lt;urls&gt;&lt;/urls&gt;&lt;/record&gt;&lt;/Cite&gt;&lt;/EndNote&gt;</w:instrText>
        </w:r>
        <w:r w:rsidR="009A7AB4" w:rsidRPr="001905B0">
          <w:rPr>
            <w:rFonts w:cs="Arial"/>
            <w:szCs w:val="22"/>
          </w:rPr>
          <w:fldChar w:fldCharType="separate"/>
        </w:r>
        <w:r w:rsidR="009A7AB4" w:rsidRPr="001905B0">
          <w:rPr>
            <w:rFonts w:cs="Arial"/>
            <w:noProof/>
            <w:szCs w:val="22"/>
          </w:rPr>
          <w:t>2004</w:t>
        </w:r>
        <w:r w:rsidR="009A7AB4" w:rsidRPr="001905B0">
          <w:rPr>
            <w:rFonts w:cs="Arial"/>
            <w:szCs w:val="22"/>
          </w:rPr>
          <w:fldChar w:fldCharType="end"/>
        </w:r>
      </w:hyperlink>
      <w:r w:rsidRPr="001905B0">
        <w:rPr>
          <w:rFonts w:cs="Arial"/>
          <w:szCs w:val="22"/>
        </w:rPr>
        <w:t xml:space="preserve">). Species were further categorised according to their life history traits and strategies and classified into colonising, opportunistic or persistent as broadly defined by Kilminister </w:t>
      </w:r>
      <w:r w:rsidRPr="001905B0">
        <w:rPr>
          <w:rFonts w:cs="Arial"/>
          <w:i/>
          <w:szCs w:val="22"/>
        </w:rPr>
        <w:t>et al.</w:t>
      </w:r>
      <w:r w:rsidRPr="001905B0">
        <w:rPr>
          <w:rFonts w:cs="Arial"/>
          <w:szCs w:val="22"/>
        </w:rPr>
        <w:t xml:space="preserve"> (</w:t>
      </w:r>
      <w:hyperlink w:anchor="_ENREF_80" w:tooltip="Kilminster, 2015 #10294" w:history="1">
        <w:r w:rsidR="009A7AB4" w:rsidRPr="001905B0">
          <w:rPr>
            <w:rFonts w:cs="Arial"/>
            <w:szCs w:val="22"/>
          </w:rPr>
          <w:fldChar w:fldCharType="begin"/>
        </w:r>
        <w:r w:rsidR="009A7AB4" w:rsidRPr="001905B0">
          <w:rPr>
            <w:rFonts w:cs="Arial"/>
            <w:szCs w:val="22"/>
          </w:rPr>
          <w:instrText xml:space="preserve"> ADDIN EN.CITE &lt;EndNote&gt;&lt;Cite ExcludeAuth="1"&gt;&lt;Author&gt;Kilminster&lt;/Author&gt;&lt;Year&gt;2015&lt;/Year&gt;&lt;RecNum&gt;10294&lt;/RecNum&gt;&lt;DisplayText&gt;2015&lt;/DisplayText&gt;&lt;record&gt;&lt;rec-number&gt;10294&lt;/rec-number&gt;&lt;foreign-keys&gt;&lt;key app="EN" db-id="0eve55x9y5vfd6e9dacxtew4eatve2dzds9a" timestamp="1441078749"&gt;10294&lt;/key&gt;&lt;/foreign-keys&gt;&lt;ref-type name="Journal Article"&gt;17&lt;/ref-type&gt;&lt;contributors&gt;&lt;authors&gt;&lt;author&gt;Kilminster, Kieryn&lt;/author&gt;&lt;author&gt;McMahon, Kathryn&lt;/author&gt;&lt;author&gt;Waycott, Michelle&lt;/author&gt;&lt;author&gt;Kendrick, Gary A.&lt;/author&gt;&lt;author&gt;Scanes, Peter&lt;/author&gt;&lt;author&gt;McKenzie, Len&lt;/author&gt;&lt;author&gt;O&amp;apos;Brien, Katherine R.&lt;/author&gt;&lt;author&gt;Lyons, Mitchell&lt;/author&gt;&lt;author&gt;Ferguson, Angus&lt;/author&gt;&lt;author&gt;Maxwell, Paul&lt;/author&gt;&lt;author&gt;Glasby, Tim&lt;/author&gt;&lt;author&gt;Udy, James&lt;/author&gt;&lt;/authors&gt;&lt;/contributors&gt;&lt;titles&gt;&lt;title&gt;Unravelling complexity in seagrass systems for management: Australia as a microcosm&lt;/title&gt;&lt;secondary-title&gt;Science of The Total Environment&lt;/secondary-title&gt;&lt;/titles&gt;&lt;periodical&gt;&lt;full-title&gt;Science of The Total Environment&lt;/full-title&gt;&lt;/periodical&gt;&lt;pages&gt;97-109&lt;/pages&gt;&lt;volume&gt;534&lt;/volume&gt;&lt;keywords&gt;&lt;keyword&gt;Life-history&lt;/keyword&gt;&lt;keyword&gt;Transitory&lt;/keyword&gt;&lt;keyword&gt;Monitoring&lt;/keyword&gt;&lt;keyword&gt;Decision-making&lt;/keyword&gt;&lt;keyword&gt;Environmental management&lt;/keyword&gt;&lt;keyword&gt;Policy&lt;/keyword&gt;&lt;keyword&gt;Seagrasses&lt;/keyword&gt;&lt;/keywords&gt;&lt;dates&gt;&lt;year&gt;2015&lt;/year&gt;&lt;/dates&gt;&lt;isbn&gt;0048-9697&lt;/isbn&gt;&lt;urls&gt;&lt;related-urls&gt;&lt;url&gt;http://www.sciencedirect.com/science/article/pii/S0048969715005124&lt;/url&gt;&lt;/related-urls&gt;&lt;/urls&gt;&lt;electronic-resource-num&gt;http://dx.doi.org/10.1016/j.scitotenv.2015.04.061&lt;/electronic-resource-num&gt;&lt;/record&gt;&lt;/Cite&gt;&lt;/EndNote&gt;</w:instrText>
        </w:r>
        <w:r w:rsidR="009A7AB4" w:rsidRPr="001905B0">
          <w:rPr>
            <w:rFonts w:cs="Arial"/>
            <w:szCs w:val="22"/>
          </w:rPr>
          <w:fldChar w:fldCharType="separate"/>
        </w:r>
        <w:r w:rsidR="009A7AB4" w:rsidRPr="001905B0">
          <w:rPr>
            <w:rFonts w:cs="Arial"/>
            <w:noProof/>
            <w:szCs w:val="22"/>
          </w:rPr>
          <w:t>2015</w:t>
        </w:r>
        <w:r w:rsidR="009A7AB4" w:rsidRPr="001905B0">
          <w:rPr>
            <w:rFonts w:cs="Arial"/>
            <w:szCs w:val="22"/>
          </w:rPr>
          <w:fldChar w:fldCharType="end"/>
        </w:r>
      </w:hyperlink>
      <w:r w:rsidRPr="001905B0">
        <w:rPr>
          <w:rFonts w:cs="Arial"/>
          <w:szCs w:val="22"/>
        </w:rPr>
        <w:t xml:space="preserve">) (for detailed methods, see </w:t>
      </w:r>
      <w:hyperlink w:anchor="_ENREF_110" w:tooltip="McKenzie, 2018 #11715" w:history="1">
        <w:r w:rsidR="009A7AB4" w:rsidRPr="001905B0">
          <w:rPr>
            <w:rFonts w:cs="Arial"/>
            <w:szCs w:val="22"/>
          </w:rPr>
          <w:fldChar w:fldCharType="begin"/>
        </w:r>
        <w:r w:rsidR="009A7AB4">
          <w:rPr>
            <w:rFonts w:cs="Arial"/>
            <w:szCs w:val="22"/>
          </w:rPr>
          <w:instrText xml:space="preserve"> ADDIN EN.CITE &lt;EndNote&gt;&lt;Cite&gt;&lt;Author&gt;McKenzie&lt;/Author&gt;&lt;Year&gt;2018&lt;/Year&gt;&lt;RecNum&gt;11715&lt;/RecNum&gt;&lt;DisplayText&gt;McKenzie&lt;style face="italic"&gt; et al.&lt;/style&gt; 2018&lt;/DisplayText&gt;&lt;record&gt;&lt;rec-number&gt;11715&lt;/rec-number&gt;&lt;foreign-keys&gt;&lt;key app="EN" db-id="0eve55x9y5vfd6e9dacxtew4eatve2dzds9a" timestamp="1535166877"&gt;11715&lt;/key&gt;&lt;/foreign-keys&gt;&lt;ref-type name="Book Section"&gt;5&lt;/ref-type&gt;&lt;contributors&gt;&lt;authors&gt;&lt;author&gt;McKenzie, Len J&lt;/author&gt;&lt;author&gt;Waycott, Michelle&lt;/author&gt;&lt;author&gt;Unsworth Richard, K. F.&lt;/author&gt;&lt;author&gt;Collier, Catherine&lt;/author&gt;&lt;/authors&gt;&lt;/contributors&gt;&lt;titles&gt;&lt;title&gt;Inshore seagrass monitoring&lt;/title&gt;&lt;secondary-title&gt;Marine Monitoring Program quality assurance and quality control manual 2016/17&lt;/secondary-title&gt;&lt;/titles&gt;&lt;pages&gt;78-95&lt;/pages&gt;&lt;section&gt;6&lt;/section&gt;&lt;dates&gt;&lt;year&gt;2018&lt;/year&gt;&lt;/dates&gt;&lt;pub-location&gt;Townsville&lt;/pub-location&gt;&lt;publisher&gt;Great Barrier Reef Marine Park Authority &lt;/publisher&gt;&lt;urls&gt;&lt;/urls&gt;&lt;/record&gt;&lt;/Cite&gt;&lt;/EndNote&gt;</w:instrText>
        </w:r>
        <w:r w:rsidR="009A7AB4" w:rsidRPr="001905B0">
          <w:rPr>
            <w:rFonts w:cs="Arial"/>
            <w:szCs w:val="22"/>
          </w:rPr>
          <w:fldChar w:fldCharType="separate"/>
        </w:r>
        <w:r w:rsidR="009A7AB4">
          <w:rPr>
            <w:rFonts w:cs="Arial"/>
            <w:noProof/>
            <w:szCs w:val="22"/>
          </w:rPr>
          <w:t>McKenzie</w:t>
        </w:r>
        <w:r w:rsidR="009A7AB4" w:rsidRPr="002126B5">
          <w:rPr>
            <w:rFonts w:cs="Arial"/>
            <w:i/>
            <w:noProof/>
            <w:szCs w:val="22"/>
          </w:rPr>
          <w:t xml:space="preserve"> et al.</w:t>
        </w:r>
        <w:r w:rsidR="009A7AB4">
          <w:rPr>
            <w:rFonts w:cs="Arial"/>
            <w:noProof/>
            <w:szCs w:val="22"/>
          </w:rPr>
          <w:t xml:space="preserve"> 2018</w:t>
        </w:r>
        <w:r w:rsidR="009A7AB4" w:rsidRPr="001905B0">
          <w:rPr>
            <w:rFonts w:cs="Arial"/>
            <w:szCs w:val="22"/>
          </w:rPr>
          <w:fldChar w:fldCharType="end"/>
        </w:r>
      </w:hyperlink>
      <w:r w:rsidRPr="001905B0">
        <w:rPr>
          <w:rFonts w:cs="Arial"/>
          <w:szCs w:val="22"/>
        </w:rPr>
        <w:t>).</w:t>
      </w:r>
    </w:p>
    <w:p w14:paraId="1AC31344" w14:textId="480736F5" w:rsidR="00927DC7" w:rsidRPr="001905B0" w:rsidRDefault="00927DC7" w:rsidP="00927DC7">
      <w:pPr>
        <w:rPr>
          <w:rFonts w:cs="Arial"/>
          <w:szCs w:val="22"/>
        </w:rPr>
      </w:pPr>
      <w:r w:rsidRPr="001905B0">
        <w:rPr>
          <w:rFonts w:cs="Arial"/>
          <w:szCs w:val="22"/>
        </w:rPr>
        <w:t>Mapping of the meadow extent and landscape (i.e. patches and scars) within each site was also conducted as part of the monitoring in both the late dry and late wet periods. Mapping followed standard methodologies (</w:t>
      </w:r>
      <w:hyperlink w:anchor="_ENREF_104" w:tooltip="McKenzie, 2001 #3703"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&lt;EndNote&gt;&lt;Cite&gt;&lt;Author&gt;McKenzie&lt;/Author&gt;&lt;Year&gt;2001&lt;/Year&gt;&lt;RecNum&gt;3703&lt;/RecNum&gt;&lt;DisplayText&gt;McKenzie&lt;style face="italic"&gt; et al.&lt;/style&gt; 2001&lt;/DisplayText&gt;&lt;record&gt;&lt;rec-number&gt;3703&lt;/rec-number&gt;&lt;foreign-keys&gt;&lt;key app="EN" db-id="0eve55x9y5vfd6e9dacxtew4eatve2dzds9a" timestamp="0"&gt;3703&lt;/key&gt;&lt;/foreign-keys&gt;&lt;ref-type name="Book Section"&gt;5&lt;/ref-type&gt;&lt;contributors&gt;&lt;authors&gt;&lt;author&gt;McKenzie, Len J&lt;/author&gt;&lt;author&gt;Finkbeiner, Mark A&lt;/author&gt;&lt;author&gt;Kirkman, Hugh&lt;/author&gt;&lt;/authors&gt;&lt;secondary-authors&gt;&lt;author&gt;Short, F.T.&lt;/author&gt;&lt;author&gt;Coles, R.G.&lt;/author&gt;&lt;/secondary-authors&gt;&lt;/contributors&gt;&lt;titles&gt;&lt;title&gt;Methods for mapping seagrass distribution&lt;/title&gt;&lt;secondary-title&gt;Global Seagrass Research Methods&lt;/secondary-title&gt;&lt;/titles&gt;&lt;periodical&gt;&lt;full-title&gt;Global Seagrass Research Methods&lt;/full-title&gt;&lt;/periodical&gt;&lt;pages&gt;101-121&lt;/pages&gt;&lt;section&gt;5&lt;/section&gt;&lt;dates&gt;&lt;year&gt;2001&lt;/year&gt;&lt;/dates&gt;&lt;pub-location&gt;Amsterdam&lt;/pub-location&gt;&lt;publisher&gt;Elsevier Science B.V.&lt;/publisher&gt;&lt;isbn&gt;0-404-50891-0&lt;/isbn&gt;&lt;urls&gt;&lt;related-urls&gt;&lt;url&gt;http://www.sciencedirect.com/science/article/pii/B9780444508911500062&lt;/url&gt;&lt;/related-urls&gt;&lt;/urls&gt;&lt;electronic-resource-num&gt;10.1016/B978-044450891-1/50006-2&lt;/electronic-resource-num&gt;&lt;/record&gt;&lt;/Cite&gt;&lt;/EndNote&gt;</w:instrText>
        </w:r>
        <w:r w:rsidR="009A7AB4" w:rsidRPr="001905B0">
          <w:rPr>
            <w:rFonts w:cs="Arial"/>
            <w:szCs w:val="22"/>
          </w:rPr>
          <w:fldChar w:fldCharType="separate"/>
        </w:r>
        <w:r w:rsidR="009A7AB4" w:rsidRPr="001905B0">
          <w:rPr>
            <w:rFonts w:cs="Arial"/>
            <w:noProof/>
            <w:szCs w:val="22"/>
          </w:rPr>
          <w:t>McKenzie</w:t>
        </w:r>
        <w:r w:rsidR="009A7AB4" w:rsidRPr="001905B0">
          <w:rPr>
            <w:rFonts w:cs="Arial"/>
            <w:i/>
            <w:noProof/>
            <w:szCs w:val="22"/>
          </w:rPr>
          <w:t xml:space="preserve"> et al.</w:t>
        </w:r>
        <w:r w:rsidR="009A7AB4" w:rsidRPr="001905B0">
          <w:rPr>
            <w:rFonts w:cs="Arial"/>
            <w:noProof/>
            <w:szCs w:val="22"/>
          </w:rPr>
          <w:t xml:space="preserve"> 2001</w:t>
        </w:r>
        <w:r w:rsidR="009A7AB4" w:rsidRPr="001905B0">
          <w:rPr>
            <w:rFonts w:cs="Arial"/>
            <w:szCs w:val="22"/>
          </w:rPr>
          <w:fldChar w:fldCharType="end"/>
        </w:r>
      </w:hyperlink>
      <w:r w:rsidRPr="001905B0">
        <w:rPr>
          <w:rFonts w:cs="Arial"/>
          <w:szCs w:val="22"/>
        </w:rPr>
        <w:t xml:space="preserve">) using a handheld GPS on foot. </w:t>
      </w:r>
      <w:r w:rsidRPr="001905B0">
        <w:rPr>
          <w:rFonts w:cs="Arial"/>
          <w:szCs w:val="22"/>
          <w:lang w:eastAsia="en-AU"/>
        </w:rPr>
        <w:t xml:space="preserve">Where the seagrass landscape tended to grade from dense continuous cover to no cover, over a continuum that included small patches and shoots of decreasing density, the meadow edge was delineated where there was a gap with the distance of more than 3 metres (i.e. accuracy of the GPS). Therefore, the entire 5.5 hectare site was mapped (seagrass and no seagrass). </w:t>
      </w:r>
    </w:p>
    <w:p w14:paraId="1D6D2E35" w14:textId="774EF197" w:rsidR="00927DC7" w:rsidRDefault="00927DC7" w:rsidP="004902B0">
      <w:pPr>
        <w:rPr>
          <w:rFonts w:cs="Arial"/>
          <w:color w:val="000000" w:themeColor="text1"/>
          <w:szCs w:val="22"/>
        </w:rPr>
      </w:pPr>
    </w:p>
    <w:p w14:paraId="2A9724B2" w14:textId="77777777" w:rsidR="00927DC7" w:rsidRPr="005B2157" w:rsidRDefault="00927DC7" w:rsidP="004902B0">
      <w:pPr>
        <w:rPr>
          <w:rFonts w:cs="Arial"/>
          <w:color w:val="000000" w:themeColor="text1"/>
          <w:szCs w:val="22"/>
        </w:rPr>
      </w:pPr>
    </w:p>
    <w:p w14:paraId="5B8FB221" w14:textId="77777777" w:rsidR="00640BF3" w:rsidRPr="005B2157" w:rsidRDefault="00640BF3" w:rsidP="00AB452F">
      <w:pPr>
        <w:rPr>
          <w:rFonts w:cs="Arial"/>
          <w:szCs w:val="22"/>
        </w:rPr>
      </w:pPr>
    </w:p>
    <w:p w14:paraId="3C465A9B" w14:textId="77777777" w:rsidR="004902B0" w:rsidRPr="005B2157" w:rsidRDefault="004902B0" w:rsidP="004902B0">
      <w:pPr>
        <w:rPr>
          <w:rFonts w:cs="Arial"/>
          <w:szCs w:val="22"/>
        </w:rPr>
        <w:sectPr w:rsidR="004902B0" w:rsidRPr="005B2157" w:rsidSect="0085398A">
          <w:headerReference w:type="even" r:id="rId48"/>
          <w:footerReference w:type="even" r:id="rId49"/>
          <w:footerReference w:type="default" r:id="rId50"/>
          <w:headerReference w:type="first" r:id="rId51"/>
          <w:footerReference w:type="first" r:id="rId52"/>
          <w:pgSz w:w="11906" w:h="16838" w:code="9"/>
          <w:pgMar w:top="1134" w:right="1418" w:bottom="1418" w:left="1418" w:header="709" w:footer="709" w:gutter="0"/>
          <w:cols w:space="708"/>
          <w:docGrid w:linePitch="360"/>
        </w:sectPr>
      </w:pPr>
    </w:p>
    <w:p w14:paraId="657C932D" w14:textId="0727E5B3" w:rsidR="008D01F1" w:rsidRPr="00D051A4" w:rsidRDefault="008D01F1" w:rsidP="005734A0">
      <w:pPr>
        <w:keepNext/>
        <w:spacing w:before="60" w:after="0"/>
        <w:jc w:val="center"/>
        <w:rPr>
          <w:rFonts w:cs="Arial"/>
          <w:i/>
          <w:vanish/>
          <w:color w:val="000000"/>
          <w:szCs w:val="22"/>
          <w:specVanish/>
        </w:rPr>
      </w:pPr>
      <w:bookmarkStart w:id="63" w:name="_Ref236539751"/>
      <w:bookmarkStart w:id="64" w:name="_Toc176158939"/>
      <w:bookmarkStart w:id="65" w:name="_Toc37787054"/>
      <w:bookmarkStart w:id="66" w:name="_Toc47600676"/>
      <w:bookmarkStart w:id="67" w:name="_Toc431494017"/>
      <w:bookmarkStart w:id="68" w:name="_Ref318377132"/>
      <w:bookmarkStart w:id="69" w:name="_Toc176158941"/>
      <w:bookmarkStart w:id="70" w:name="_Toc175991044"/>
      <w:r w:rsidRPr="00D051A4">
        <w:rPr>
          <w:rFonts w:cs="Arial"/>
          <w:color w:val="000000"/>
          <w:szCs w:val="22"/>
        </w:rPr>
        <w:lastRenderedPageBreak/>
        <w:t xml:space="preserve">Table </w:t>
      </w:r>
      <w:r w:rsidRPr="00D051A4">
        <w:rPr>
          <w:rFonts w:cs="Arial"/>
          <w:color w:val="000000"/>
          <w:szCs w:val="22"/>
        </w:rPr>
        <w:fldChar w:fldCharType="begin"/>
      </w:r>
      <w:r w:rsidRPr="00D051A4">
        <w:rPr>
          <w:rFonts w:cs="Arial"/>
          <w:color w:val="000000"/>
          <w:szCs w:val="22"/>
        </w:rPr>
        <w:instrText xml:space="preserve"> SEQ Table \* ARABIC </w:instrText>
      </w:r>
      <w:r w:rsidRPr="00D051A4">
        <w:rPr>
          <w:rFonts w:cs="Arial"/>
          <w:color w:val="000000"/>
          <w:szCs w:val="22"/>
        </w:rPr>
        <w:fldChar w:fldCharType="separate"/>
      </w:r>
      <w:r w:rsidR="0067675D">
        <w:rPr>
          <w:rFonts w:cs="Arial"/>
          <w:noProof/>
          <w:color w:val="000000"/>
          <w:szCs w:val="22"/>
        </w:rPr>
        <w:t>2</w:t>
      </w:r>
      <w:r w:rsidRPr="00D051A4">
        <w:rPr>
          <w:rFonts w:cs="Arial"/>
          <w:color w:val="000000"/>
          <w:szCs w:val="22"/>
        </w:rPr>
        <w:fldChar w:fldCharType="end"/>
      </w:r>
      <w:bookmarkEnd w:id="63"/>
      <w:r w:rsidRPr="00D051A4">
        <w:rPr>
          <w:rFonts w:cs="Arial"/>
          <w:i/>
          <w:color w:val="000000"/>
          <w:szCs w:val="22"/>
        </w:rPr>
        <w:t xml:space="preserve">. Inshore </w:t>
      </w:r>
      <w:r w:rsidR="00D051A4">
        <w:rPr>
          <w:rFonts w:cs="Arial"/>
          <w:i/>
          <w:color w:val="000000"/>
          <w:szCs w:val="22"/>
        </w:rPr>
        <w:t xml:space="preserve">sentinel </w:t>
      </w:r>
      <w:r w:rsidRPr="00D051A4">
        <w:rPr>
          <w:rFonts w:cs="Arial"/>
          <w:i/>
          <w:color w:val="000000"/>
          <w:szCs w:val="22"/>
        </w:rPr>
        <w:t>seagrass long-term monitoring</w:t>
      </w:r>
      <w:bookmarkEnd w:id="64"/>
      <w:r w:rsidRPr="00D051A4">
        <w:rPr>
          <w:rFonts w:cs="Arial"/>
          <w:i/>
          <w:color w:val="000000"/>
          <w:szCs w:val="22"/>
        </w:rPr>
        <w:t xml:space="preserve"> site details including presence of foundation (</w:t>
      </w:r>
      <w:r w:rsidRPr="00D051A4">
        <w:rPr>
          <w:rFonts w:cs="Arial"/>
          <w:color w:val="000000"/>
          <w:szCs w:val="22"/>
        </w:rPr>
        <w:sym w:font="Wingdings" w:char="F06E"/>
      </w:r>
      <w:r w:rsidRPr="00D051A4">
        <w:rPr>
          <w:rFonts w:cs="Arial"/>
          <w:i/>
          <w:color w:val="000000"/>
          <w:szCs w:val="22"/>
        </w:rPr>
        <w:t>) and other (</w:t>
      </w:r>
      <w:r w:rsidRPr="00D051A4">
        <w:rPr>
          <w:rFonts w:cs="Arial"/>
          <w:color w:val="000000"/>
          <w:szCs w:val="22"/>
        </w:rPr>
        <w:sym w:font="Wingdings" w:char="F0A8"/>
      </w:r>
      <w:r w:rsidRPr="00D051A4">
        <w:rPr>
          <w:rFonts w:cs="Arial"/>
          <w:i/>
          <w:color w:val="000000"/>
          <w:szCs w:val="22"/>
        </w:rPr>
        <w:t>) seagrass species</w:t>
      </w:r>
      <w:bookmarkEnd w:id="65"/>
      <w:bookmarkEnd w:id="66"/>
      <w:r w:rsidRPr="00D051A4">
        <w:rPr>
          <w:rFonts w:cs="Arial"/>
          <w:i/>
          <w:color w:val="000000"/>
          <w:szCs w:val="22"/>
        </w:rPr>
        <w:t xml:space="preserve"> </w:t>
      </w:r>
    </w:p>
    <w:p w14:paraId="77271AD5" w14:textId="77777777" w:rsidR="008D01F1" w:rsidRPr="008C687A" w:rsidRDefault="008D01F1" w:rsidP="005734A0">
      <w:pPr>
        <w:spacing w:before="60" w:after="0"/>
        <w:rPr>
          <w:rFonts w:cs="Arial"/>
          <w:i/>
          <w:color w:val="000000"/>
          <w:sz w:val="18"/>
          <w:szCs w:val="18"/>
        </w:rPr>
      </w:pPr>
      <w:r w:rsidRPr="00D051A4">
        <w:rPr>
          <w:rFonts w:cs="Arial"/>
          <w:i/>
          <w:color w:val="000000"/>
          <w:szCs w:val="22"/>
        </w:rPr>
        <w:t xml:space="preserve">by region </w:t>
      </w:r>
      <w:bookmarkStart w:id="71" w:name="OLE_LINK5"/>
      <w:bookmarkStart w:id="72" w:name="OLE_LINK6"/>
      <w:r w:rsidRPr="00D051A4">
        <w:rPr>
          <w:rFonts w:cs="Arial"/>
          <w:i/>
          <w:color w:val="000000"/>
          <w:szCs w:val="22"/>
        </w:rPr>
        <w:t>* = intertidal, ^=subtidal.</w:t>
      </w:r>
      <w:bookmarkEnd w:id="67"/>
      <w:r w:rsidRPr="00CB093C">
        <w:rPr>
          <w:rFonts w:cs="Arial"/>
          <w:i/>
          <w:color w:val="000000"/>
          <w:szCs w:val="22"/>
        </w:rPr>
        <w:t xml:space="preserve"> </w:t>
      </w:r>
      <w:bookmarkEnd w:id="71"/>
      <w:bookmarkEnd w:id="72"/>
      <w:r w:rsidRPr="008C687A">
        <w:rPr>
          <w:rFonts w:cs="Arial"/>
          <w:i/>
          <w:color w:val="000000"/>
          <w:sz w:val="18"/>
          <w:szCs w:val="18"/>
        </w:rPr>
        <w:t>CR = Cymodocea rotundata, CS = Cymodocea serrulata, EA = Enhalus acoroides, HD = Halophila decipiens, HO = Halophila ovalis, HS = Halophila spinulosa, HU = Halodule uninervis, SI = Syringodium isoetifolium, TH = Thalassia hemprichii, ZM = Zostera muelleri</w:t>
      </w:r>
    </w:p>
    <w:tbl>
      <w:tblPr>
        <w:tblW w:w="14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4"/>
        <w:gridCol w:w="1523"/>
        <w:gridCol w:w="1079"/>
        <w:gridCol w:w="1576"/>
        <w:gridCol w:w="674"/>
        <w:gridCol w:w="1579"/>
        <w:gridCol w:w="486"/>
        <w:gridCol w:w="830"/>
        <w:gridCol w:w="576"/>
        <w:gridCol w:w="830"/>
        <w:gridCol w:w="481"/>
        <w:gridCol w:w="402"/>
        <w:gridCol w:w="408"/>
        <w:gridCol w:w="416"/>
        <w:gridCol w:w="418"/>
        <w:gridCol w:w="408"/>
        <w:gridCol w:w="422"/>
        <w:gridCol w:w="398"/>
        <w:gridCol w:w="410"/>
        <w:gridCol w:w="422"/>
      </w:tblGrid>
      <w:tr w:rsidR="008D01F1" w:rsidRPr="00592F37" w14:paraId="0F7FF43B" w14:textId="77777777" w:rsidTr="008D01F1">
        <w:trPr>
          <w:trHeight w:val="170"/>
          <w:jc w:val="center"/>
        </w:trPr>
        <w:tc>
          <w:tcPr>
            <w:tcW w:w="1024" w:type="dxa"/>
            <w:shd w:val="clear" w:color="auto" w:fill="BBE0E3"/>
            <w:vAlign w:val="center"/>
          </w:tcPr>
          <w:p w14:paraId="323D5664"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Region</w:t>
            </w:r>
          </w:p>
        </w:tc>
        <w:tc>
          <w:tcPr>
            <w:tcW w:w="1523" w:type="dxa"/>
            <w:shd w:val="clear" w:color="auto" w:fill="BBE0E3"/>
            <w:noWrap/>
            <w:vAlign w:val="center"/>
          </w:tcPr>
          <w:p w14:paraId="7627FB4A"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NRM region (</w:t>
            </w:r>
            <w:r w:rsidRPr="00592F37">
              <w:rPr>
                <w:rFonts w:asciiTheme="minorHAnsi" w:hAnsiTheme="minorHAnsi" w:cstheme="minorHAnsi"/>
                <w:b/>
                <w:bCs/>
                <w:i/>
                <w:color w:val="000000"/>
                <w:sz w:val="14"/>
                <w:szCs w:val="14"/>
              </w:rPr>
              <w:t>Board</w:t>
            </w:r>
            <w:r w:rsidRPr="00592F37">
              <w:rPr>
                <w:rFonts w:asciiTheme="minorHAnsi" w:hAnsiTheme="minorHAnsi" w:cstheme="minorHAnsi"/>
                <w:b/>
                <w:bCs/>
                <w:color w:val="000000"/>
                <w:sz w:val="14"/>
                <w:szCs w:val="14"/>
              </w:rPr>
              <w:t>)</w:t>
            </w:r>
          </w:p>
        </w:tc>
        <w:tc>
          <w:tcPr>
            <w:tcW w:w="1079" w:type="dxa"/>
            <w:shd w:val="clear" w:color="auto" w:fill="BBE0E3"/>
            <w:vAlign w:val="center"/>
          </w:tcPr>
          <w:p w14:paraId="76E0323A"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Basin</w:t>
            </w:r>
          </w:p>
        </w:tc>
        <w:tc>
          <w:tcPr>
            <w:tcW w:w="1576" w:type="dxa"/>
            <w:shd w:val="clear" w:color="auto" w:fill="BBE0E3"/>
            <w:vAlign w:val="center"/>
          </w:tcPr>
          <w:p w14:paraId="11F3CE17"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Monitoring location</w:t>
            </w:r>
          </w:p>
        </w:tc>
        <w:tc>
          <w:tcPr>
            <w:tcW w:w="2253" w:type="dxa"/>
            <w:gridSpan w:val="2"/>
            <w:shd w:val="clear" w:color="auto" w:fill="BBE0E3"/>
            <w:noWrap/>
            <w:vAlign w:val="center"/>
          </w:tcPr>
          <w:p w14:paraId="5135F4F0"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Site</w:t>
            </w:r>
          </w:p>
        </w:tc>
        <w:tc>
          <w:tcPr>
            <w:tcW w:w="1316" w:type="dxa"/>
            <w:gridSpan w:val="2"/>
            <w:shd w:val="clear" w:color="auto" w:fill="BBE0E3"/>
            <w:noWrap/>
            <w:vAlign w:val="center"/>
          </w:tcPr>
          <w:p w14:paraId="1E0277F3"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Latitude</w:t>
            </w:r>
          </w:p>
        </w:tc>
        <w:tc>
          <w:tcPr>
            <w:tcW w:w="1406" w:type="dxa"/>
            <w:gridSpan w:val="2"/>
            <w:shd w:val="clear" w:color="auto" w:fill="BBE0E3"/>
            <w:noWrap/>
            <w:vAlign w:val="center"/>
          </w:tcPr>
          <w:p w14:paraId="5FC07A2B" w14:textId="77777777" w:rsidR="008D01F1" w:rsidRPr="00592F37" w:rsidRDefault="008D01F1" w:rsidP="009638AE">
            <w:pPr>
              <w:spacing w:before="0" w:after="0"/>
              <w:jc w:val="center"/>
              <w:rPr>
                <w:rFonts w:asciiTheme="minorHAnsi" w:hAnsiTheme="minorHAnsi" w:cstheme="minorHAnsi"/>
                <w:b/>
                <w:color w:val="000000"/>
                <w:sz w:val="14"/>
                <w:szCs w:val="14"/>
              </w:rPr>
            </w:pPr>
            <w:r w:rsidRPr="00592F37">
              <w:rPr>
                <w:rFonts w:asciiTheme="minorHAnsi" w:hAnsiTheme="minorHAnsi" w:cstheme="minorHAnsi"/>
                <w:b/>
                <w:bCs/>
                <w:color w:val="000000"/>
                <w:sz w:val="14"/>
                <w:szCs w:val="14"/>
              </w:rPr>
              <w:t>Longitude</w:t>
            </w:r>
          </w:p>
        </w:tc>
        <w:tc>
          <w:tcPr>
            <w:tcW w:w="481" w:type="dxa"/>
            <w:shd w:val="clear" w:color="auto" w:fill="BBE0E3"/>
            <w:noWrap/>
            <w:vAlign w:val="center"/>
          </w:tcPr>
          <w:p w14:paraId="761BBC1A"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CR</w:t>
            </w:r>
          </w:p>
        </w:tc>
        <w:tc>
          <w:tcPr>
            <w:tcW w:w="402" w:type="dxa"/>
            <w:shd w:val="clear" w:color="auto" w:fill="BBE0E3"/>
            <w:vAlign w:val="center"/>
          </w:tcPr>
          <w:p w14:paraId="210C34A6"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CS</w:t>
            </w:r>
          </w:p>
        </w:tc>
        <w:tc>
          <w:tcPr>
            <w:tcW w:w="408" w:type="dxa"/>
            <w:shd w:val="clear" w:color="auto" w:fill="BBE0E3"/>
            <w:vAlign w:val="center"/>
          </w:tcPr>
          <w:p w14:paraId="6C4C79E0"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EA</w:t>
            </w:r>
          </w:p>
        </w:tc>
        <w:tc>
          <w:tcPr>
            <w:tcW w:w="416" w:type="dxa"/>
            <w:shd w:val="clear" w:color="auto" w:fill="BBE0E3"/>
            <w:vAlign w:val="center"/>
          </w:tcPr>
          <w:p w14:paraId="4CEC81B5"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HD</w:t>
            </w:r>
          </w:p>
        </w:tc>
        <w:tc>
          <w:tcPr>
            <w:tcW w:w="418" w:type="dxa"/>
            <w:shd w:val="clear" w:color="auto" w:fill="BBE0E3"/>
            <w:vAlign w:val="center"/>
          </w:tcPr>
          <w:p w14:paraId="2838D5FF"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HO</w:t>
            </w:r>
          </w:p>
        </w:tc>
        <w:tc>
          <w:tcPr>
            <w:tcW w:w="408" w:type="dxa"/>
            <w:shd w:val="clear" w:color="auto" w:fill="BBE0E3"/>
            <w:vAlign w:val="center"/>
          </w:tcPr>
          <w:p w14:paraId="277657ED"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HS</w:t>
            </w:r>
          </w:p>
        </w:tc>
        <w:tc>
          <w:tcPr>
            <w:tcW w:w="422" w:type="dxa"/>
            <w:shd w:val="clear" w:color="auto" w:fill="BBE0E3"/>
            <w:vAlign w:val="center"/>
          </w:tcPr>
          <w:p w14:paraId="0217F319"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HU</w:t>
            </w:r>
          </w:p>
        </w:tc>
        <w:tc>
          <w:tcPr>
            <w:tcW w:w="398" w:type="dxa"/>
            <w:shd w:val="clear" w:color="auto" w:fill="BBE0E3"/>
            <w:vAlign w:val="center"/>
          </w:tcPr>
          <w:p w14:paraId="6BD5AAF2"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SI</w:t>
            </w:r>
          </w:p>
        </w:tc>
        <w:tc>
          <w:tcPr>
            <w:tcW w:w="410" w:type="dxa"/>
            <w:shd w:val="clear" w:color="auto" w:fill="BBE0E3"/>
            <w:vAlign w:val="center"/>
          </w:tcPr>
          <w:p w14:paraId="7F0BEDD7"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TH</w:t>
            </w:r>
          </w:p>
        </w:tc>
        <w:tc>
          <w:tcPr>
            <w:tcW w:w="422" w:type="dxa"/>
            <w:shd w:val="clear" w:color="auto" w:fill="BBE0E3"/>
            <w:vAlign w:val="center"/>
          </w:tcPr>
          <w:p w14:paraId="07B03F7B" w14:textId="77777777" w:rsidR="008D01F1" w:rsidRPr="00592F37" w:rsidRDefault="008D01F1" w:rsidP="009638AE">
            <w:pPr>
              <w:spacing w:before="0" w:after="0"/>
              <w:jc w:val="center"/>
              <w:rPr>
                <w:rFonts w:asciiTheme="minorHAnsi" w:hAnsiTheme="minorHAnsi" w:cstheme="minorHAnsi"/>
                <w:b/>
                <w:bCs/>
                <w:color w:val="000000"/>
                <w:sz w:val="14"/>
                <w:szCs w:val="14"/>
              </w:rPr>
            </w:pPr>
            <w:r w:rsidRPr="00592F37">
              <w:rPr>
                <w:rFonts w:asciiTheme="minorHAnsi" w:hAnsiTheme="minorHAnsi" w:cstheme="minorHAnsi"/>
                <w:b/>
                <w:bCs/>
                <w:color w:val="000000"/>
                <w:sz w:val="14"/>
                <w:szCs w:val="14"/>
              </w:rPr>
              <w:t>ZM</w:t>
            </w:r>
          </w:p>
        </w:tc>
      </w:tr>
      <w:tr w:rsidR="008D01F1" w:rsidRPr="00592F37" w14:paraId="49A712EC" w14:textId="77777777" w:rsidTr="008D01F1">
        <w:trPr>
          <w:trHeight w:val="170"/>
          <w:jc w:val="center"/>
        </w:trPr>
        <w:tc>
          <w:tcPr>
            <w:tcW w:w="1024" w:type="dxa"/>
            <w:vMerge w:val="restart"/>
            <w:shd w:val="clear" w:color="auto" w:fill="auto"/>
            <w:noWrap/>
            <w:vAlign w:val="center"/>
          </w:tcPr>
          <w:p w14:paraId="3AC924C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Far Northern</w:t>
            </w:r>
          </w:p>
        </w:tc>
        <w:tc>
          <w:tcPr>
            <w:tcW w:w="1523" w:type="dxa"/>
            <w:vMerge w:val="restart"/>
            <w:shd w:val="clear" w:color="auto" w:fill="E7F3F4"/>
            <w:noWrap/>
            <w:vAlign w:val="center"/>
          </w:tcPr>
          <w:p w14:paraId="519563C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Cape York</w:t>
            </w:r>
          </w:p>
          <w:p w14:paraId="6B218F93"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(Cape York Natural Resource Management)</w:t>
            </w:r>
          </w:p>
        </w:tc>
        <w:tc>
          <w:tcPr>
            <w:tcW w:w="1079" w:type="dxa"/>
            <w:vMerge w:val="restart"/>
            <w:shd w:val="clear" w:color="auto" w:fill="E7F3F4"/>
            <w:vAlign w:val="center"/>
          </w:tcPr>
          <w:p w14:paraId="018DE2C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Jacky Jacky / Olive-Pascoe</w:t>
            </w:r>
          </w:p>
        </w:tc>
        <w:tc>
          <w:tcPr>
            <w:tcW w:w="1576" w:type="dxa"/>
            <w:vMerge w:val="restart"/>
            <w:shd w:val="clear" w:color="auto" w:fill="E7F3F4"/>
            <w:noWrap/>
            <w:vAlign w:val="center"/>
          </w:tcPr>
          <w:p w14:paraId="3B41C72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Shelburne Bay</w:t>
            </w:r>
          </w:p>
          <w:p w14:paraId="65831636"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E7F3F4"/>
            <w:noWrap/>
            <w:vAlign w:val="center"/>
          </w:tcPr>
          <w:p w14:paraId="70F80D8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SR1*</w:t>
            </w:r>
          </w:p>
        </w:tc>
        <w:tc>
          <w:tcPr>
            <w:tcW w:w="1579" w:type="dxa"/>
            <w:shd w:val="clear" w:color="auto" w:fill="E7F3F4"/>
            <w:noWrap/>
            <w:vAlign w:val="center"/>
          </w:tcPr>
          <w:p w14:paraId="772AD95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Shelburne Bay</w:t>
            </w:r>
          </w:p>
        </w:tc>
        <w:tc>
          <w:tcPr>
            <w:tcW w:w="486" w:type="dxa"/>
            <w:shd w:val="clear" w:color="auto" w:fill="E7F3F4"/>
            <w:noWrap/>
            <w:vAlign w:val="center"/>
          </w:tcPr>
          <w:p w14:paraId="41DFCEF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w:t>
            </w:r>
          </w:p>
        </w:tc>
        <w:tc>
          <w:tcPr>
            <w:tcW w:w="830" w:type="dxa"/>
            <w:shd w:val="clear" w:color="auto" w:fill="E7F3F4"/>
            <w:noWrap/>
            <w:vAlign w:val="center"/>
          </w:tcPr>
          <w:p w14:paraId="4213D22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53.220</w:t>
            </w:r>
          </w:p>
        </w:tc>
        <w:tc>
          <w:tcPr>
            <w:tcW w:w="576" w:type="dxa"/>
            <w:shd w:val="clear" w:color="auto" w:fill="E7F3F4"/>
            <w:noWrap/>
            <w:vAlign w:val="center"/>
          </w:tcPr>
          <w:p w14:paraId="0D7184F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142°</w:t>
            </w:r>
          </w:p>
        </w:tc>
        <w:tc>
          <w:tcPr>
            <w:tcW w:w="830" w:type="dxa"/>
            <w:shd w:val="clear" w:color="auto" w:fill="E7F3F4"/>
            <w:noWrap/>
            <w:vAlign w:val="center"/>
          </w:tcPr>
          <w:p w14:paraId="570617E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54.853</w:t>
            </w:r>
          </w:p>
        </w:tc>
        <w:tc>
          <w:tcPr>
            <w:tcW w:w="481" w:type="dxa"/>
            <w:vMerge w:val="restart"/>
            <w:shd w:val="clear" w:color="auto" w:fill="E7F3F4"/>
            <w:noWrap/>
            <w:vAlign w:val="center"/>
          </w:tcPr>
          <w:p w14:paraId="1FCFA02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7B40E57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03AF0D0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6D9270A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25F94EC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684EF4B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380DF51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0A7FE4C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67773D1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E7F3F4"/>
            <w:vAlign w:val="center"/>
          </w:tcPr>
          <w:p w14:paraId="6470778C"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74C74231" w14:textId="77777777" w:rsidTr="008D01F1">
        <w:trPr>
          <w:trHeight w:val="170"/>
          <w:jc w:val="center"/>
        </w:trPr>
        <w:tc>
          <w:tcPr>
            <w:tcW w:w="1024" w:type="dxa"/>
            <w:vMerge/>
            <w:shd w:val="clear" w:color="auto" w:fill="auto"/>
            <w:noWrap/>
            <w:vAlign w:val="center"/>
          </w:tcPr>
          <w:p w14:paraId="298DB22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3BF7D0B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2D0EDAD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2DED51B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04642EB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SR2*</w:t>
            </w:r>
          </w:p>
        </w:tc>
        <w:tc>
          <w:tcPr>
            <w:tcW w:w="1579" w:type="dxa"/>
            <w:shd w:val="clear" w:color="auto" w:fill="E7F3F4"/>
            <w:noWrap/>
            <w:vAlign w:val="center"/>
          </w:tcPr>
          <w:p w14:paraId="1260475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Shelburne Bay</w:t>
            </w:r>
          </w:p>
        </w:tc>
        <w:tc>
          <w:tcPr>
            <w:tcW w:w="486" w:type="dxa"/>
            <w:shd w:val="clear" w:color="auto" w:fill="E7F3F4"/>
            <w:noWrap/>
            <w:vAlign w:val="center"/>
          </w:tcPr>
          <w:p w14:paraId="129EBFC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w:t>
            </w:r>
          </w:p>
        </w:tc>
        <w:tc>
          <w:tcPr>
            <w:tcW w:w="830" w:type="dxa"/>
            <w:shd w:val="clear" w:color="auto" w:fill="E7F3F4"/>
            <w:noWrap/>
            <w:vAlign w:val="center"/>
          </w:tcPr>
          <w:p w14:paraId="6F30454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53.238</w:t>
            </w:r>
          </w:p>
        </w:tc>
        <w:tc>
          <w:tcPr>
            <w:tcW w:w="576" w:type="dxa"/>
            <w:shd w:val="clear" w:color="auto" w:fill="E7F3F4"/>
            <w:noWrap/>
            <w:vAlign w:val="center"/>
          </w:tcPr>
          <w:p w14:paraId="29DF9F8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142°</w:t>
            </w:r>
          </w:p>
        </w:tc>
        <w:tc>
          <w:tcPr>
            <w:tcW w:w="830" w:type="dxa"/>
            <w:shd w:val="clear" w:color="auto" w:fill="E7F3F4"/>
            <w:noWrap/>
            <w:vAlign w:val="center"/>
          </w:tcPr>
          <w:p w14:paraId="02F7979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54.940</w:t>
            </w:r>
          </w:p>
        </w:tc>
        <w:tc>
          <w:tcPr>
            <w:tcW w:w="481" w:type="dxa"/>
            <w:vMerge/>
            <w:shd w:val="clear" w:color="auto" w:fill="E7F3F4"/>
            <w:noWrap/>
            <w:vAlign w:val="center"/>
          </w:tcPr>
          <w:p w14:paraId="6F7F79B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086E012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7F2E4C0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2E2821E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54A987F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06D0E70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173C573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00EA474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36BE0D8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341A6CA8"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7B332986" w14:textId="77777777" w:rsidTr="008D01F1">
        <w:trPr>
          <w:trHeight w:val="170"/>
          <w:jc w:val="center"/>
        </w:trPr>
        <w:tc>
          <w:tcPr>
            <w:tcW w:w="1024" w:type="dxa"/>
            <w:vMerge/>
            <w:shd w:val="clear" w:color="auto" w:fill="auto"/>
            <w:noWrap/>
            <w:vAlign w:val="center"/>
          </w:tcPr>
          <w:p w14:paraId="1B4357D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018DF80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3E70D00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E7F3F4"/>
            <w:noWrap/>
            <w:vAlign w:val="center"/>
          </w:tcPr>
          <w:p w14:paraId="08E8775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Piper Reef</w:t>
            </w:r>
          </w:p>
          <w:p w14:paraId="5936A2F6"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E7F3F4"/>
            <w:noWrap/>
            <w:vAlign w:val="center"/>
          </w:tcPr>
          <w:p w14:paraId="2016A23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FR1*</w:t>
            </w:r>
          </w:p>
        </w:tc>
        <w:tc>
          <w:tcPr>
            <w:tcW w:w="1579" w:type="dxa"/>
            <w:shd w:val="clear" w:color="auto" w:fill="E7F3F4"/>
            <w:noWrap/>
            <w:vAlign w:val="center"/>
          </w:tcPr>
          <w:p w14:paraId="1F59F29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Farmer Is.</w:t>
            </w:r>
          </w:p>
        </w:tc>
        <w:tc>
          <w:tcPr>
            <w:tcW w:w="486" w:type="dxa"/>
            <w:shd w:val="clear" w:color="auto" w:fill="E7F3F4"/>
            <w:noWrap/>
            <w:vAlign w:val="bottom"/>
          </w:tcPr>
          <w:p w14:paraId="58BB95A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12°</w:t>
            </w:r>
          </w:p>
        </w:tc>
        <w:tc>
          <w:tcPr>
            <w:tcW w:w="830" w:type="dxa"/>
            <w:shd w:val="clear" w:color="auto" w:fill="E7F3F4"/>
            <w:noWrap/>
            <w:vAlign w:val="bottom"/>
          </w:tcPr>
          <w:p w14:paraId="2F6997A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15.339</w:t>
            </w:r>
          </w:p>
        </w:tc>
        <w:tc>
          <w:tcPr>
            <w:tcW w:w="576" w:type="dxa"/>
            <w:shd w:val="clear" w:color="auto" w:fill="E7F3F4"/>
            <w:noWrap/>
            <w:vAlign w:val="bottom"/>
          </w:tcPr>
          <w:p w14:paraId="00EC26B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143°</w:t>
            </w:r>
          </w:p>
        </w:tc>
        <w:tc>
          <w:tcPr>
            <w:tcW w:w="830" w:type="dxa"/>
            <w:shd w:val="clear" w:color="auto" w:fill="E7F3F4"/>
            <w:noWrap/>
            <w:vAlign w:val="bottom"/>
          </w:tcPr>
          <w:p w14:paraId="7E96A2D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14.021</w:t>
            </w:r>
          </w:p>
        </w:tc>
        <w:tc>
          <w:tcPr>
            <w:tcW w:w="481" w:type="dxa"/>
            <w:vMerge w:val="restart"/>
            <w:shd w:val="clear" w:color="auto" w:fill="E7F3F4"/>
            <w:noWrap/>
            <w:vAlign w:val="center"/>
          </w:tcPr>
          <w:p w14:paraId="73F1A97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vMerge w:val="restart"/>
            <w:shd w:val="clear" w:color="auto" w:fill="E7F3F4"/>
            <w:vAlign w:val="center"/>
          </w:tcPr>
          <w:p w14:paraId="18FFD2D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29483F0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53A6968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38E8BE1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53D1290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1A2100D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val="restart"/>
            <w:shd w:val="clear" w:color="auto" w:fill="E7F3F4"/>
            <w:vAlign w:val="center"/>
          </w:tcPr>
          <w:p w14:paraId="7F29EA2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0608E74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E7F3F4"/>
            <w:vAlign w:val="center"/>
          </w:tcPr>
          <w:p w14:paraId="1E9CAA04"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017C13E2" w14:textId="77777777" w:rsidTr="008D01F1">
        <w:trPr>
          <w:trHeight w:val="170"/>
          <w:jc w:val="center"/>
        </w:trPr>
        <w:tc>
          <w:tcPr>
            <w:tcW w:w="1024" w:type="dxa"/>
            <w:vMerge/>
            <w:shd w:val="clear" w:color="auto" w:fill="auto"/>
            <w:noWrap/>
            <w:vAlign w:val="center"/>
          </w:tcPr>
          <w:p w14:paraId="74CD043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7827D30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2AD68E2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041932D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55BFF11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FR2*</w:t>
            </w:r>
          </w:p>
        </w:tc>
        <w:tc>
          <w:tcPr>
            <w:tcW w:w="1579" w:type="dxa"/>
            <w:shd w:val="clear" w:color="auto" w:fill="E7F3F4"/>
            <w:noWrap/>
            <w:vAlign w:val="center"/>
          </w:tcPr>
          <w:p w14:paraId="3F90E5C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Farmer Is.</w:t>
            </w:r>
          </w:p>
        </w:tc>
        <w:tc>
          <w:tcPr>
            <w:tcW w:w="486" w:type="dxa"/>
            <w:shd w:val="clear" w:color="auto" w:fill="E7F3F4"/>
            <w:noWrap/>
            <w:vAlign w:val="bottom"/>
          </w:tcPr>
          <w:p w14:paraId="34CC0F1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12°</w:t>
            </w:r>
          </w:p>
        </w:tc>
        <w:tc>
          <w:tcPr>
            <w:tcW w:w="830" w:type="dxa"/>
            <w:shd w:val="clear" w:color="auto" w:fill="E7F3F4"/>
            <w:noWrap/>
            <w:vAlign w:val="bottom"/>
          </w:tcPr>
          <w:p w14:paraId="136C7CC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15.433</w:t>
            </w:r>
          </w:p>
        </w:tc>
        <w:tc>
          <w:tcPr>
            <w:tcW w:w="576" w:type="dxa"/>
            <w:shd w:val="clear" w:color="auto" w:fill="E7F3F4"/>
            <w:noWrap/>
            <w:vAlign w:val="bottom"/>
          </w:tcPr>
          <w:p w14:paraId="43FB2BA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143°</w:t>
            </w:r>
          </w:p>
        </w:tc>
        <w:tc>
          <w:tcPr>
            <w:tcW w:w="830" w:type="dxa"/>
            <w:shd w:val="clear" w:color="auto" w:fill="E7F3F4"/>
            <w:noWrap/>
            <w:vAlign w:val="bottom"/>
          </w:tcPr>
          <w:p w14:paraId="15C6148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14.186</w:t>
            </w:r>
          </w:p>
        </w:tc>
        <w:tc>
          <w:tcPr>
            <w:tcW w:w="481" w:type="dxa"/>
            <w:vMerge/>
            <w:shd w:val="clear" w:color="auto" w:fill="E7F3F4"/>
            <w:noWrap/>
            <w:vAlign w:val="center"/>
          </w:tcPr>
          <w:p w14:paraId="6B0DA89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0608F81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2121E7A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2CC13AC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0BF8ABD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5DE58F9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4AC2023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0FDD10C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2ED9F06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79E92D4E"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2E570BDD" w14:textId="77777777" w:rsidTr="008D01F1">
        <w:trPr>
          <w:trHeight w:val="170"/>
          <w:jc w:val="center"/>
        </w:trPr>
        <w:tc>
          <w:tcPr>
            <w:tcW w:w="1024" w:type="dxa"/>
            <w:vMerge/>
            <w:shd w:val="clear" w:color="auto" w:fill="auto"/>
            <w:noWrap/>
            <w:vAlign w:val="center"/>
          </w:tcPr>
          <w:p w14:paraId="1013730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5530E10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val="restart"/>
            <w:shd w:val="clear" w:color="auto" w:fill="E7F3F4"/>
            <w:vAlign w:val="center"/>
          </w:tcPr>
          <w:p w14:paraId="4F34ECA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Normanby / Jeannie</w:t>
            </w:r>
          </w:p>
        </w:tc>
        <w:tc>
          <w:tcPr>
            <w:tcW w:w="1576" w:type="dxa"/>
            <w:vMerge w:val="restart"/>
            <w:shd w:val="clear" w:color="auto" w:fill="E7F3F4"/>
            <w:noWrap/>
            <w:vAlign w:val="center"/>
          </w:tcPr>
          <w:p w14:paraId="3C6843A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Flinders Group</w:t>
            </w:r>
          </w:p>
          <w:p w14:paraId="06F8F860"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E7F3F4"/>
            <w:noWrap/>
            <w:vAlign w:val="center"/>
          </w:tcPr>
          <w:p w14:paraId="185D3B0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ST1*</w:t>
            </w:r>
          </w:p>
        </w:tc>
        <w:tc>
          <w:tcPr>
            <w:tcW w:w="1579" w:type="dxa"/>
            <w:shd w:val="clear" w:color="auto" w:fill="E7F3F4"/>
            <w:noWrap/>
            <w:vAlign w:val="center"/>
          </w:tcPr>
          <w:p w14:paraId="4BADCE8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Stanley Island</w:t>
            </w:r>
          </w:p>
        </w:tc>
        <w:tc>
          <w:tcPr>
            <w:tcW w:w="486" w:type="dxa"/>
            <w:shd w:val="clear" w:color="auto" w:fill="E7F3F4"/>
            <w:noWrap/>
            <w:vAlign w:val="bottom"/>
          </w:tcPr>
          <w:p w14:paraId="65D84B0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w:t>
            </w:r>
          </w:p>
        </w:tc>
        <w:tc>
          <w:tcPr>
            <w:tcW w:w="830" w:type="dxa"/>
            <w:shd w:val="clear" w:color="auto" w:fill="E7F3F4"/>
            <w:noWrap/>
            <w:vAlign w:val="bottom"/>
          </w:tcPr>
          <w:p w14:paraId="35C465A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8.563</w:t>
            </w:r>
          </w:p>
        </w:tc>
        <w:tc>
          <w:tcPr>
            <w:tcW w:w="576" w:type="dxa"/>
            <w:shd w:val="clear" w:color="auto" w:fill="E7F3F4"/>
            <w:noWrap/>
            <w:vAlign w:val="bottom"/>
          </w:tcPr>
          <w:p w14:paraId="4A7B898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w:t>
            </w:r>
          </w:p>
        </w:tc>
        <w:tc>
          <w:tcPr>
            <w:tcW w:w="830" w:type="dxa"/>
            <w:shd w:val="clear" w:color="auto" w:fill="E7F3F4"/>
            <w:noWrap/>
            <w:vAlign w:val="bottom"/>
          </w:tcPr>
          <w:p w14:paraId="0058218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14.682</w:t>
            </w:r>
          </w:p>
        </w:tc>
        <w:tc>
          <w:tcPr>
            <w:tcW w:w="481" w:type="dxa"/>
            <w:vMerge w:val="restart"/>
            <w:shd w:val="clear" w:color="auto" w:fill="E7F3F4"/>
            <w:noWrap/>
            <w:vAlign w:val="center"/>
          </w:tcPr>
          <w:p w14:paraId="500A892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vMerge w:val="restart"/>
            <w:shd w:val="clear" w:color="auto" w:fill="E7F3F4"/>
            <w:vAlign w:val="center"/>
          </w:tcPr>
          <w:p w14:paraId="3F3BE8C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785E9D3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16" w:type="dxa"/>
            <w:vMerge w:val="restart"/>
            <w:shd w:val="clear" w:color="auto" w:fill="E7F3F4"/>
            <w:vAlign w:val="center"/>
          </w:tcPr>
          <w:p w14:paraId="60C34A2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3EFFE8D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7A9589C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55D37E2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2D9C2099" w14:textId="1D314FFF" w:rsidR="008D01F1" w:rsidRPr="00592F37" w:rsidRDefault="007868FC"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10" w:type="dxa"/>
            <w:vMerge w:val="restart"/>
            <w:shd w:val="clear" w:color="auto" w:fill="E7F3F4"/>
            <w:vAlign w:val="center"/>
          </w:tcPr>
          <w:p w14:paraId="599B536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E7F3F4"/>
            <w:vAlign w:val="center"/>
          </w:tcPr>
          <w:p w14:paraId="36DBEE70"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0CF9CAD6" w14:textId="77777777" w:rsidTr="008D01F1">
        <w:trPr>
          <w:trHeight w:val="170"/>
          <w:jc w:val="center"/>
        </w:trPr>
        <w:tc>
          <w:tcPr>
            <w:tcW w:w="1024" w:type="dxa"/>
            <w:vMerge/>
            <w:shd w:val="clear" w:color="auto" w:fill="auto"/>
            <w:noWrap/>
            <w:vAlign w:val="center"/>
          </w:tcPr>
          <w:p w14:paraId="5C6EFA9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288F925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26EE3BF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1C7F788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6140A2C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ST2*</w:t>
            </w:r>
          </w:p>
        </w:tc>
        <w:tc>
          <w:tcPr>
            <w:tcW w:w="1579" w:type="dxa"/>
            <w:shd w:val="clear" w:color="auto" w:fill="E7F3F4"/>
            <w:noWrap/>
            <w:vAlign w:val="center"/>
          </w:tcPr>
          <w:p w14:paraId="07B2435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Stanley Island</w:t>
            </w:r>
          </w:p>
        </w:tc>
        <w:tc>
          <w:tcPr>
            <w:tcW w:w="486" w:type="dxa"/>
            <w:shd w:val="clear" w:color="auto" w:fill="E7F3F4"/>
            <w:noWrap/>
            <w:vAlign w:val="bottom"/>
          </w:tcPr>
          <w:p w14:paraId="5CCDB17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w:t>
            </w:r>
          </w:p>
        </w:tc>
        <w:tc>
          <w:tcPr>
            <w:tcW w:w="830" w:type="dxa"/>
            <w:shd w:val="clear" w:color="auto" w:fill="E7F3F4"/>
            <w:noWrap/>
            <w:vAlign w:val="bottom"/>
          </w:tcPr>
          <w:p w14:paraId="5A1E657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8.533</w:t>
            </w:r>
          </w:p>
        </w:tc>
        <w:tc>
          <w:tcPr>
            <w:tcW w:w="576" w:type="dxa"/>
            <w:shd w:val="clear" w:color="auto" w:fill="E7F3F4"/>
            <w:noWrap/>
            <w:vAlign w:val="bottom"/>
          </w:tcPr>
          <w:p w14:paraId="5B287A4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w:t>
            </w:r>
          </w:p>
        </w:tc>
        <w:tc>
          <w:tcPr>
            <w:tcW w:w="830" w:type="dxa"/>
            <w:shd w:val="clear" w:color="auto" w:fill="E7F3F4"/>
            <w:noWrap/>
            <w:vAlign w:val="bottom"/>
          </w:tcPr>
          <w:p w14:paraId="3AE6BD2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14.590</w:t>
            </w:r>
          </w:p>
        </w:tc>
        <w:tc>
          <w:tcPr>
            <w:tcW w:w="481" w:type="dxa"/>
            <w:vMerge/>
            <w:shd w:val="clear" w:color="auto" w:fill="E7F3F4"/>
            <w:noWrap/>
            <w:vAlign w:val="center"/>
          </w:tcPr>
          <w:p w14:paraId="40F4053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6C7A079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2081430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19F55F6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7559AF8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0CB0E32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79083AA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4BBEAB1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6CB6D24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3CAE7CE2"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23554378" w14:textId="77777777" w:rsidTr="008D01F1">
        <w:trPr>
          <w:trHeight w:val="170"/>
          <w:jc w:val="center"/>
        </w:trPr>
        <w:tc>
          <w:tcPr>
            <w:tcW w:w="1024" w:type="dxa"/>
            <w:vMerge/>
            <w:shd w:val="clear" w:color="auto" w:fill="auto"/>
            <w:noWrap/>
            <w:vAlign w:val="center"/>
          </w:tcPr>
          <w:p w14:paraId="65E73A5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72B5600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333229F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E7F3F4"/>
            <w:noWrap/>
            <w:vAlign w:val="center"/>
          </w:tcPr>
          <w:p w14:paraId="2680A36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Bathurst Bay</w:t>
            </w:r>
          </w:p>
          <w:p w14:paraId="30096283"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E7F3F4"/>
            <w:noWrap/>
            <w:vAlign w:val="center"/>
          </w:tcPr>
          <w:p w14:paraId="731508F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BY1*</w:t>
            </w:r>
          </w:p>
        </w:tc>
        <w:tc>
          <w:tcPr>
            <w:tcW w:w="1579" w:type="dxa"/>
            <w:shd w:val="clear" w:color="auto" w:fill="E7F3F4"/>
            <w:noWrap/>
            <w:vAlign w:val="center"/>
          </w:tcPr>
          <w:p w14:paraId="0906C41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Bathurst Bay</w:t>
            </w:r>
          </w:p>
        </w:tc>
        <w:tc>
          <w:tcPr>
            <w:tcW w:w="486" w:type="dxa"/>
            <w:shd w:val="clear" w:color="auto" w:fill="E7F3F4"/>
            <w:noWrap/>
            <w:vAlign w:val="bottom"/>
          </w:tcPr>
          <w:p w14:paraId="639DEC6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w:t>
            </w:r>
          </w:p>
        </w:tc>
        <w:tc>
          <w:tcPr>
            <w:tcW w:w="830" w:type="dxa"/>
            <w:shd w:val="clear" w:color="auto" w:fill="E7F3F4"/>
            <w:noWrap/>
            <w:vAlign w:val="bottom"/>
          </w:tcPr>
          <w:p w14:paraId="3C82951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16.068</w:t>
            </w:r>
          </w:p>
        </w:tc>
        <w:tc>
          <w:tcPr>
            <w:tcW w:w="576" w:type="dxa"/>
            <w:shd w:val="clear" w:color="auto" w:fill="E7F3F4"/>
            <w:noWrap/>
            <w:vAlign w:val="bottom"/>
          </w:tcPr>
          <w:p w14:paraId="789E683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w:t>
            </w:r>
          </w:p>
        </w:tc>
        <w:tc>
          <w:tcPr>
            <w:tcW w:w="830" w:type="dxa"/>
            <w:shd w:val="clear" w:color="auto" w:fill="E7F3F4"/>
            <w:noWrap/>
            <w:vAlign w:val="bottom"/>
          </w:tcPr>
          <w:p w14:paraId="7012315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13.963</w:t>
            </w:r>
          </w:p>
        </w:tc>
        <w:tc>
          <w:tcPr>
            <w:tcW w:w="481" w:type="dxa"/>
            <w:vMerge w:val="restart"/>
            <w:shd w:val="clear" w:color="auto" w:fill="E7F3F4"/>
            <w:noWrap/>
            <w:vAlign w:val="center"/>
          </w:tcPr>
          <w:p w14:paraId="04FCE65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vMerge w:val="restart"/>
            <w:shd w:val="clear" w:color="auto" w:fill="E7F3F4"/>
            <w:vAlign w:val="center"/>
          </w:tcPr>
          <w:p w14:paraId="751DC04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1165EC0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0E1CEE8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06F6D7E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46C4A6B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013D458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26A10D9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0" w:type="dxa"/>
            <w:vMerge w:val="restart"/>
            <w:shd w:val="clear" w:color="auto" w:fill="E7F3F4"/>
            <w:vAlign w:val="center"/>
          </w:tcPr>
          <w:p w14:paraId="0B93CAA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E7F3F4"/>
            <w:vAlign w:val="center"/>
          </w:tcPr>
          <w:p w14:paraId="3FD32C3F"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14A1834C" w14:textId="77777777" w:rsidTr="008D01F1">
        <w:trPr>
          <w:trHeight w:val="170"/>
          <w:jc w:val="center"/>
        </w:trPr>
        <w:tc>
          <w:tcPr>
            <w:tcW w:w="1024" w:type="dxa"/>
            <w:vMerge/>
            <w:shd w:val="clear" w:color="auto" w:fill="auto"/>
            <w:noWrap/>
            <w:vAlign w:val="center"/>
          </w:tcPr>
          <w:p w14:paraId="190A14D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32CDF8B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22CC177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0AAD21E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2EFA3D1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BY2*</w:t>
            </w:r>
          </w:p>
        </w:tc>
        <w:tc>
          <w:tcPr>
            <w:tcW w:w="1579" w:type="dxa"/>
            <w:shd w:val="clear" w:color="auto" w:fill="E7F3F4"/>
            <w:noWrap/>
            <w:vAlign w:val="center"/>
          </w:tcPr>
          <w:p w14:paraId="5106483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Bathurst Bay</w:t>
            </w:r>
          </w:p>
        </w:tc>
        <w:tc>
          <w:tcPr>
            <w:tcW w:w="486" w:type="dxa"/>
            <w:shd w:val="clear" w:color="auto" w:fill="E7F3F4"/>
            <w:noWrap/>
            <w:vAlign w:val="bottom"/>
          </w:tcPr>
          <w:p w14:paraId="790E1E6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w:t>
            </w:r>
          </w:p>
        </w:tc>
        <w:tc>
          <w:tcPr>
            <w:tcW w:w="830" w:type="dxa"/>
            <w:shd w:val="clear" w:color="auto" w:fill="E7F3F4"/>
            <w:noWrap/>
            <w:vAlign w:val="bottom"/>
          </w:tcPr>
          <w:p w14:paraId="2DB24CB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16.049</w:t>
            </w:r>
          </w:p>
        </w:tc>
        <w:tc>
          <w:tcPr>
            <w:tcW w:w="576" w:type="dxa"/>
            <w:shd w:val="clear" w:color="auto" w:fill="E7F3F4"/>
            <w:noWrap/>
            <w:vAlign w:val="bottom"/>
          </w:tcPr>
          <w:p w14:paraId="2C369BF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w:t>
            </w:r>
          </w:p>
        </w:tc>
        <w:tc>
          <w:tcPr>
            <w:tcW w:w="830" w:type="dxa"/>
            <w:shd w:val="clear" w:color="auto" w:fill="E7F3F4"/>
            <w:noWrap/>
            <w:vAlign w:val="bottom"/>
          </w:tcPr>
          <w:p w14:paraId="460B34F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13.897</w:t>
            </w:r>
          </w:p>
        </w:tc>
        <w:tc>
          <w:tcPr>
            <w:tcW w:w="481" w:type="dxa"/>
            <w:vMerge/>
            <w:shd w:val="clear" w:color="auto" w:fill="E7F3F4"/>
            <w:noWrap/>
            <w:vAlign w:val="center"/>
          </w:tcPr>
          <w:p w14:paraId="36FCC65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1A510DA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3285C60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510A551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146EC10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77EEE39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229DA90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1569C8D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164B619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64EA8948"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60C2B75E" w14:textId="77777777" w:rsidTr="008D01F1">
        <w:trPr>
          <w:trHeight w:val="170"/>
          <w:jc w:val="center"/>
        </w:trPr>
        <w:tc>
          <w:tcPr>
            <w:tcW w:w="1024" w:type="dxa"/>
            <w:vMerge w:val="restart"/>
            <w:shd w:val="clear" w:color="auto" w:fill="auto"/>
            <w:noWrap/>
            <w:vAlign w:val="center"/>
          </w:tcPr>
          <w:p w14:paraId="57142C4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Northern</w:t>
            </w:r>
          </w:p>
        </w:tc>
        <w:tc>
          <w:tcPr>
            <w:tcW w:w="1523" w:type="dxa"/>
            <w:vMerge w:val="restart"/>
            <w:shd w:val="clear" w:color="auto" w:fill="F3F9FA"/>
            <w:noWrap/>
            <w:vAlign w:val="center"/>
          </w:tcPr>
          <w:p w14:paraId="3BF3F5A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Wet Tropics</w:t>
            </w:r>
          </w:p>
          <w:p w14:paraId="1923577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t>
            </w:r>
            <w:r w:rsidRPr="00592F37">
              <w:rPr>
                <w:rFonts w:asciiTheme="minorHAnsi" w:hAnsiTheme="minorHAnsi" w:cstheme="minorHAnsi"/>
                <w:i/>
                <w:color w:val="000000"/>
                <w:sz w:val="14"/>
                <w:szCs w:val="14"/>
              </w:rPr>
              <w:t>Terrain NRM</w:t>
            </w:r>
            <w:r w:rsidRPr="00592F37">
              <w:rPr>
                <w:rFonts w:asciiTheme="minorHAnsi" w:hAnsiTheme="minorHAnsi" w:cstheme="minorHAnsi"/>
                <w:color w:val="000000"/>
                <w:sz w:val="14"/>
                <w:szCs w:val="14"/>
              </w:rPr>
              <w:t>)</w:t>
            </w:r>
          </w:p>
        </w:tc>
        <w:tc>
          <w:tcPr>
            <w:tcW w:w="1079" w:type="dxa"/>
            <w:vMerge w:val="restart"/>
            <w:shd w:val="clear" w:color="auto" w:fill="F3F9FA"/>
            <w:vAlign w:val="center"/>
          </w:tcPr>
          <w:p w14:paraId="7BE0381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Daintree</w:t>
            </w:r>
          </w:p>
        </w:tc>
        <w:tc>
          <w:tcPr>
            <w:tcW w:w="1576" w:type="dxa"/>
            <w:vMerge w:val="restart"/>
            <w:shd w:val="clear" w:color="auto" w:fill="F3F9FA"/>
            <w:noWrap/>
            <w:vAlign w:val="center"/>
          </w:tcPr>
          <w:p w14:paraId="63D5AB5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Low Isles</w:t>
            </w:r>
          </w:p>
          <w:p w14:paraId="171B1DB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F3F9FA"/>
            <w:noWrap/>
            <w:vAlign w:val="center"/>
          </w:tcPr>
          <w:p w14:paraId="064FF20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LI1*</w:t>
            </w:r>
          </w:p>
        </w:tc>
        <w:tc>
          <w:tcPr>
            <w:tcW w:w="1579" w:type="dxa"/>
            <w:shd w:val="clear" w:color="auto" w:fill="F3F9FA"/>
            <w:noWrap/>
            <w:vAlign w:val="center"/>
          </w:tcPr>
          <w:p w14:paraId="4404329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Low Isles</w:t>
            </w:r>
          </w:p>
        </w:tc>
        <w:tc>
          <w:tcPr>
            <w:tcW w:w="486" w:type="dxa"/>
            <w:shd w:val="clear" w:color="auto" w:fill="F3F9FA"/>
            <w:noWrap/>
            <w:vAlign w:val="center"/>
          </w:tcPr>
          <w:p w14:paraId="701561A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7F4F661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23.110</w:t>
            </w:r>
          </w:p>
        </w:tc>
        <w:tc>
          <w:tcPr>
            <w:tcW w:w="576" w:type="dxa"/>
            <w:shd w:val="clear" w:color="auto" w:fill="F3F9FA"/>
            <w:noWrap/>
            <w:vAlign w:val="center"/>
          </w:tcPr>
          <w:p w14:paraId="240C129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7E30FD8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33.884</w:t>
            </w:r>
          </w:p>
        </w:tc>
        <w:tc>
          <w:tcPr>
            <w:tcW w:w="481" w:type="dxa"/>
            <w:shd w:val="clear" w:color="auto" w:fill="F3F9FA"/>
            <w:noWrap/>
            <w:vAlign w:val="center"/>
          </w:tcPr>
          <w:p w14:paraId="387BB88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shd w:val="clear" w:color="auto" w:fill="F3F9FA"/>
            <w:vAlign w:val="center"/>
          </w:tcPr>
          <w:p w14:paraId="7D62F6C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shd w:val="clear" w:color="auto" w:fill="F3F9FA"/>
            <w:vAlign w:val="center"/>
          </w:tcPr>
          <w:p w14:paraId="58A1DAB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F3F9FA"/>
            <w:vAlign w:val="center"/>
          </w:tcPr>
          <w:p w14:paraId="544FFE0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shd w:val="clear" w:color="auto" w:fill="F3F9FA"/>
            <w:vAlign w:val="center"/>
          </w:tcPr>
          <w:p w14:paraId="1BD1868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F3F9FA"/>
            <w:vAlign w:val="center"/>
          </w:tcPr>
          <w:p w14:paraId="502281B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56D65A4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F3F9FA"/>
            <w:vAlign w:val="center"/>
          </w:tcPr>
          <w:p w14:paraId="78528D7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shd w:val="clear" w:color="auto" w:fill="F3F9FA"/>
            <w:vAlign w:val="center"/>
          </w:tcPr>
          <w:p w14:paraId="1209099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shd w:val="clear" w:color="auto" w:fill="F3F9FA"/>
            <w:vAlign w:val="center"/>
          </w:tcPr>
          <w:p w14:paraId="7FC26C53"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41788656" w14:textId="77777777" w:rsidTr="008D01F1">
        <w:trPr>
          <w:trHeight w:val="170"/>
          <w:jc w:val="center"/>
        </w:trPr>
        <w:tc>
          <w:tcPr>
            <w:tcW w:w="1024" w:type="dxa"/>
            <w:vMerge/>
            <w:shd w:val="clear" w:color="auto" w:fill="auto"/>
            <w:noWrap/>
            <w:vAlign w:val="center"/>
          </w:tcPr>
          <w:p w14:paraId="29017DD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39469CF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650192F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086FEDA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48FC733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LI2^</w:t>
            </w:r>
          </w:p>
        </w:tc>
        <w:tc>
          <w:tcPr>
            <w:tcW w:w="1579" w:type="dxa"/>
            <w:shd w:val="clear" w:color="auto" w:fill="F3F9FA"/>
            <w:noWrap/>
            <w:vAlign w:val="center"/>
          </w:tcPr>
          <w:p w14:paraId="17DDA9A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Low Isles</w:t>
            </w:r>
          </w:p>
        </w:tc>
        <w:tc>
          <w:tcPr>
            <w:tcW w:w="486" w:type="dxa"/>
            <w:shd w:val="clear" w:color="auto" w:fill="F3F9FA"/>
            <w:noWrap/>
            <w:vAlign w:val="center"/>
          </w:tcPr>
          <w:p w14:paraId="2DC231E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0E003FC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22.973</w:t>
            </w:r>
          </w:p>
        </w:tc>
        <w:tc>
          <w:tcPr>
            <w:tcW w:w="576" w:type="dxa"/>
            <w:shd w:val="clear" w:color="auto" w:fill="F3F9FA"/>
            <w:noWrap/>
            <w:vAlign w:val="center"/>
          </w:tcPr>
          <w:p w14:paraId="3A9BBA9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0352120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33.854</w:t>
            </w:r>
          </w:p>
        </w:tc>
        <w:tc>
          <w:tcPr>
            <w:tcW w:w="481" w:type="dxa"/>
            <w:shd w:val="clear" w:color="auto" w:fill="F3F9FA"/>
            <w:noWrap/>
            <w:vAlign w:val="center"/>
          </w:tcPr>
          <w:p w14:paraId="7E89F12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shd w:val="clear" w:color="auto" w:fill="F3F9FA"/>
            <w:vAlign w:val="center"/>
          </w:tcPr>
          <w:p w14:paraId="0CF54CE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shd w:val="clear" w:color="auto" w:fill="F3F9FA"/>
            <w:vAlign w:val="center"/>
          </w:tcPr>
          <w:p w14:paraId="3992E08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F3F9FA"/>
            <w:vAlign w:val="center"/>
          </w:tcPr>
          <w:p w14:paraId="52BD5D6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shd w:val="clear" w:color="auto" w:fill="F3F9FA"/>
            <w:vAlign w:val="center"/>
          </w:tcPr>
          <w:p w14:paraId="45B4627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F3F9FA"/>
            <w:vAlign w:val="center"/>
          </w:tcPr>
          <w:p w14:paraId="3432AF0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1772393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F3F9FA"/>
            <w:vAlign w:val="center"/>
          </w:tcPr>
          <w:p w14:paraId="14092B3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shd w:val="clear" w:color="auto" w:fill="F3F9FA"/>
            <w:vAlign w:val="center"/>
          </w:tcPr>
          <w:p w14:paraId="3ECB1CE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11213199"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0E109335" w14:textId="77777777" w:rsidTr="008D01F1">
        <w:trPr>
          <w:trHeight w:val="170"/>
          <w:jc w:val="center"/>
        </w:trPr>
        <w:tc>
          <w:tcPr>
            <w:tcW w:w="1024" w:type="dxa"/>
            <w:vMerge/>
            <w:shd w:val="clear" w:color="auto" w:fill="auto"/>
            <w:noWrap/>
            <w:vAlign w:val="center"/>
          </w:tcPr>
          <w:p w14:paraId="47C65D3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1FF30E3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val="restart"/>
            <w:shd w:val="clear" w:color="auto" w:fill="F3F9FA"/>
            <w:vAlign w:val="center"/>
          </w:tcPr>
          <w:p w14:paraId="4A759B9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Mossman /</w:t>
            </w:r>
          </w:p>
          <w:p w14:paraId="1CDEC58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Barron /</w:t>
            </w:r>
          </w:p>
          <w:p w14:paraId="294B8A9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Mulgrave-Russell /</w:t>
            </w:r>
          </w:p>
          <w:p w14:paraId="521029C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Johnstone</w:t>
            </w:r>
          </w:p>
        </w:tc>
        <w:tc>
          <w:tcPr>
            <w:tcW w:w="1576" w:type="dxa"/>
            <w:vMerge w:val="restart"/>
            <w:shd w:val="clear" w:color="auto" w:fill="F3F9FA"/>
            <w:noWrap/>
            <w:vAlign w:val="center"/>
          </w:tcPr>
          <w:p w14:paraId="511EB0B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Yule Point</w:t>
            </w:r>
          </w:p>
          <w:p w14:paraId="216E7A5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F3F9FA"/>
            <w:noWrap/>
            <w:vAlign w:val="center"/>
          </w:tcPr>
          <w:p w14:paraId="2658C40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YP1*</w:t>
            </w:r>
          </w:p>
        </w:tc>
        <w:tc>
          <w:tcPr>
            <w:tcW w:w="1579" w:type="dxa"/>
            <w:shd w:val="clear" w:color="auto" w:fill="F3F9FA"/>
            <w:noWrap/>
            <w:vAlign w:val="center"/>
          </w:tcPr>
          <w:p w14:paraId="366551F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Yule Point</w:t>
            </w:r>
          </w:p>
        </w:tc>
        <w:tc>
          <w:tcPr>
            <w:tcW w:w="486" w:type="dxa"/>
            <w:shd w:val="clear" w:color="auto" w:fill="F3F9FA"/>
            <w:noWrap/>
            <w:vAlign w:val="center"/>
          </w:tcPr>
          <w:p w14:paraId="6806D35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68E588B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34.149</w:t>
            </w:r>
          </w:p>
        </w:tc>
        <w:tc>
          <w:tcPr>
            <w:tcW w:w="576" w:type="dxa"/>
            <w:shd w:val="clear" w:color="auto" w:fill="F3F9FA"/>
            <w:noWrap/>
            <w:vAlign w:val="center"/>
          </w:tcPr>
          <w:p w14:paraId="48B9C5F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19EC828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30.756</w:t>
            </w:r>
          </w:p>
        </w:tc>
        <w:tc>
          <w:tcPr>
            <w:tcW w:w="481" w:type="dxa"/>
            <w:vMerge w:val="restart"/>
            <w:shd w:val="clear" w:color="auto" w:fill="F3F9FA"/>
            <w:noWrap/>
            <w:vAlign w:val="center"/>
          </w:tcPr>
          <w:p w14:paraId="2157465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2C312E6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75CECA6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19371A0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71EF0F5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7B2CFD7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080464D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2B9C94B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31032FA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6248632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r>
      <w:tr w:rsidR="008D01F1" w:rsidRPr="00592F37" w14:paraId="20C53BB7" w14:textId="77777777" w:rsidTr="008D01F1">
        <w:trPr>
          <w:trHeight w:val="170"/>
          <w:jc w:val="center"/>
        </w:trPr>
        <w:tc>
          <w:tcPr>
            <w:tcW w:w="1024" w:type="dxa"/>
            <w:vMerge/>
            <w:shd w:val="clear" w:color="auto" w:fill="auto"/>
            <w:noWrap/>
            <w:vAlign w:val="center"/>
          </w:tcPr>
          <w:p w14:paraId="2CEC090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76235B4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4570EDA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1859470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3406B5F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YP2*</w:t>
            </w:r>
          </w:p>
        </w:tc>
        <w:tc>
          <w:tcPr>
            <w:tcW w:w="1579" w:type="dxa"/>
            <w:shd w:val="clear" w:color="auto" w:fill="F3F9FA"/>
            <w:noWrap/>
            <w:vAlign w:val="center"/>
          </w:tcPr>
          <w:p w14:paraId="007F266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Yule Point</w:t>
            </w:r>
          </w:p>
        </w:tc>
        <w:tc>
          <w:tcPr>
            <w:tcW w:w="486" w:type="dxa"/>
            <w:shd w:val="clear" w:color="auto" w:fill="F3F9FA"/>
            <w:noWrap/>
            <w:vAlign w:val="center"/>
          </w:tcPr>
          <w:p w14:paraId="28F0682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29D85EE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33.825</w:t>
            </w:r>
          </w:p>
        </w:tc>
        <w:tc>
          <w:tcPr>
            <w:tcW w:w="576" w:type="dxa"/>
            <w:shd w:val="clear" w:color="auto" w:fill="F3F9FA"/>
            <w:noWrap/>
            <w:vAlign w:val="center"/>
          </w:tcPr>
          <w:p w14:paraId="6CBCEAB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2685522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30.568</w:t>
            </w:r>
          </w:p>
        </w:tc>
        <w:tc>
          <w:tcPr>
            <w:tcW w:w="481" w:type="dxa"/>
            <w:vMerge/>
            <w:shd w:val="clear" w:color="auto" w:fill="F3F9FA"/>
            <w:noWrap/>
            <w:vAlign w:val="center"/>
          </w:tcPr>
          <w:p w14:paraId="63AE429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2F3C93B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41FA86B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430E70F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1C10C22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49F5D0E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765CDDC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63B3FDC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0B1C361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5453753B"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62311362" w14:textId="77777777" w:rsidTr="008D01F1">
        <w:trPr>
          <w:trHeight w:val="170"/>
          <w:jc w:val="center"/>
        </w:trPr>
        <w:tc>
          <w:tcPr>
            <w:tcW w:w="1024" w:type="dxa"/>
            <w:vMerge/>
            <w:shd w:val="clear" w:color="auto" w:fill="auto"/>
            <w:noWrap/>
            <w:vAlign w:val="center"/>
          </w:tcPr>
          <w:p w14:paraId="4990A8C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4DA8D20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608F608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F3F9FA"/>
            <w:noWrap/>
            <w:vAlign w:val="center"/>
          </w:tcPr>
          <w:p w14:paraId="7776845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Green Island</w:t>
            </w:r>
          </w:p>
          <w:p w14:paraId="18BFD60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F3F9FA"/>
            <w:noWrap/>
            <w:vAlign w:val="center"/>
          </w:tcPr>
          <w:p w14:paraId="1282648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GI1*</w:t>
            </w:r>
          </w:p>
        </w:tc>
        <w:tc>
          <w:tcPr>
            <w:tcW w:w="1579" w:type="dxa"/>
            <w:shd w:val="clear" w:color="auto" w:fill="F3F9FA"/>
            <w:noWrap/>
            <w:vAlign w:val="center"/>
          </w:tcPr>
          <w:p w14:paraId="2F58037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Green Island</w:t>
            </w:r>
          </w:p>
        </w:tc>
        <w:tc>
          <w:tcPr>
            <w:tcW w:w="486" w:type="dxa"/>
            <w:shd w:val="clear" w:color="auto" w:fill="F3F9FA"/>
            <w:noWrap/>
            <w:vAlign w:val="center"/>
          </w:tcPr>
          <w:p w14:paraId="5E898CF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5DF214C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45.709</w:t>
            </w:r>
          </w:p>
        </w:tc>
        <w:tc>
          <w:tcPr>
            <w:tcW w:w="576" w:type="dxa"/>
            <w:shd w:val="clear" w:color="auto" w:fill="F3F9FA"/>
            <w:noWrap/>
            <w:vAlign w:val="center"/>
          </w:tcPr>
          <w:p w14:paraId="2B132A5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194B6F7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58.372</w:t>
            </w:r>
          </w:p>
        </w:tc>
        <w:tc>
          <w:tcPr>
            <w:tcW w:w="481" w:type="dxa"/>
            <w:vMerge w:val="restart"/>
            <w:shd w:val="clear" w:color="auto" w:fill="F3F9FA"/>
            <w:noWrap/>
            <w:vAlign w:val="center"/>
          </w:tcPr>
          <w:p w14:paraId="7DFF323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vMerge w:val="restart"/>
            <w:shd w:val="clear" w:color="auto" w:fill="F3F9FA"/>
            <w:vAlign w:val="center"/>
          </w:tcPr>
          <w:p w14:paraId="423664F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3BCC0A4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1DB4437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278D83C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7B06193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401AF8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3FB81E4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156E0E7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F3F9FA"/>
            <w:vAlign w:val="center"/>
          </w:tcPr>
          <w:p w14:paraId="3A2CC291"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3EC8D788" w14:textId="77777777" w:rsidTr="008D01F1">
        <w:trPr>
          <w:trHeight w:val="170"/>
          <w:jc w:val="center"/>
        </w:trPr>
        <w:tc>
          <w:tcPr>
            <w:tcW w:w="1024" w:type="dxa"/>
            <w:vMerge/>
            <w:shd w:val="clear" w:color="auto" w:fill="auto"/>
            <w:noWrap/>
            <w:vAlign w:val="center"/>
          </w:tcPr>
          <w:p w14:paraId="0FC1873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0E6D496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11A6015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288EF37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0F1E522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GI2*</w:t>
            </w:r>
          </w:p>
        </w:tc>
        <w:tc>
          <w:tcPr>
            <w:tcW w:w="1579" w:type="dxa"/>
            <w:shd w:val="clear" w:color="auto" w:fill="F3F9FA"/>
            <w:noWrap/>
            <w:vAlign w:val="center"/>
          </w:tcPr>
          <w:p w14:paraId="19417D2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Green Island</w:t>
            </w:r>
          </w:p>
        </w:tc>
        <w:tc>
          <w:tcPr>
            <w:tcW w:w="486" w:type="dxa"/>
            <w:shd w:val="clear" w:color="auto" w:fill="F3F9FA"/>
            <w:noWrap/>
            <w:vAlign w:val="center"/>
          </w:tcPr>
          <w:p w14:paraId="006C023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4A9E9E4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45.696</w:t>
            </w:r>
          </w:p>
        </w:tc>
        <w:tc>
          <w:tcPr>
            <w:tcW w:w="576" w:type="dxa"/>
            <w:shd w:val="clear" w:color="auto" w:fill="F3F9FA"/>
            <w:noWrap/>
            <w:vAlign w:val="center"/>
          </w:tcPr>
          <w:p w14:paraId="422BB60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21F32FD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58.566</w:t>
            </w:r>
          </w:p>
        </w:tc>
        <w:tc>
          <w:tcPr>
            <w:tcW w:w="481" w:type="dxa"/>
            <w:vMerge/>
            <w:shd w:val="clear" w:color="auto" w:fill="F3F9FA"/>
            <w:noWrap/>
            <w:vAlign w:val="center"/>
          </w:tcPr>
          <w:p w14:paraId="097F2A4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6E85406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0904971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102642B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26DA917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2A0B6F6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13BD8ED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6A1DD8C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1612EC4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6EFEC497"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5757D27F" w14:textId="77777777" w:rsidTr="008D01F1">
        <w:trPr>
          <w:trHeight w:val="170"/>
          <w:jc w:val="center"/>
        </w:trPr>
        <w:tc>
          <w:tcPr>
            <w:tcW w:w="1024" w:type="dxa"/>
            <w:vMerge/>
            <w:shd w:val="clear" w:color="auto" w:fill="auto"/>
            <w:noWrap/>
            <w:vAlign w:val="center"/>
          </w:tcPr>
          <w:p w14:paraId="3A014DD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5F148F0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32C0739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1C1F0C2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6E20D7C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GI3^</w:t>
            </w:r>
          </w:p>
        </w:tc>
        <w:tc>
          <w:tcPr>
            <w:tcW w:w="1579" w:type="dxa"/>
            <w:shd w:val="clear" w:color="auto" w:fill="F3F9FA"/>
            <w:noWrap/>
            <w:vAlign w:val="center"/>
          </w:tcPr>
          <w:p w14:paraId="7D03CBC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Green Island</w:t>
            </w:r>
          </w:p>
        </w:tc>
        <w:tc>
          <w:tcPr>
            <w:tcW w:w="486" w:type="dxa"/>
            <w:shd w:val="clear" w:color="auto" w:fill="F3F9FA"/>
            <w:noWrap/>
            <w:vAlign w:val="center"/>
          </w:tcPr>
          <w:p w14:paraId="15AE934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w:t>
            </w:r>
          </w:p>
        </w:tc>
        <w:tc>
          <w:tcPr>
            <w:tcW w:w="830" w:type="dxa"/>
            <w:shd w:val="clear" w:color="auto" w:fill="F3F9FA"/>
            <w:noWrap/>
            <w:vAlign w:val="bottom"/>
          </w:tcPr>
          <w:p w14:paraId="6553CA0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45.294</w:t>
            </w:r>
          </w:p>
        </w:tc>
        <w:tc>
          <w:tcPr>
            <w:tcW w:w="576" w:type="dxa"/>
            <w:shd w:val="clear" w:color="auto" w:fill="F3F9FA"/>
            <w:noWrap/>
            <w:vAlign w:val="center"/>
          </w:tcPr>
          <w:p w14:paraId="5A79545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145°</w:t>
            </w:r>
          </w:p>
        </w:tc>
        <w:tc>
          <w:tcPr>
            <w:tcW w:w="830" w:type="dxa"/>
            <w:shd w:val="clear" w:color="auto" w:fill="F3F9FA"/>
            <w:noWrap/>
            <w:vAlign w:val="bottom"/>
          </w:tcPr>
          <w:p w14:paraId="7BA56E7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58.379</w:t>
            </w:r>
          </w:p>
        </w:tc>
        <w:tc>
          <w:tcPr>
            <w:tcW w:w="481" w:type="dxa"/>
            <w:shd w:val="clear" w:color="auto" w:fill="F3F9FA"/>
            <w:noWrap/>
            <w:vAlign w:val="center"/>
          </w:tcPr>
          <w:p w14:paraId="148C85E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shd w:val="clear" w:color="auto" w:fill="F3F9FA"/>
            <w:vAlign w:val="center"/>
          </w:tcPr>
          <w:p w14:paraId="6DFAD11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8" w:type="dxa"/>
            <w:shd w:val="clear" w:color="auto" w:fill="F3F9FA"/>
            <w:vAlign w:val="center"/>
          </w:tcPr>
          <w:p w14:paraId="4A34C3E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F3F9FA"/>
            <w:vAlign w:val="center"/>
          </w:tcPr>
          <w:p w14:paraId="654BB59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shd w:val="clear" w:color="auto" w:fill="F3F9FA"/>
            <w:vAlign w:val="center"/>
          </w:tcPr>
          <w:p w14:paraId="2482C27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F3F9FA"/>
            <w:vAlign w:val="center"/>
          </w:tcPr>
          <w:p w14:paraId="476C24A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1AC7F6F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F3F9FA"/>
            <w:vAlign w:val="center"/>
          </w:tcPr>
          <w:p w14:paraId="045912D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0" w:type="dxa"/>
            <w:shd w:val="clear" w:color="auto" w:fill="F3F9FA"/>
            <w:vAlign w:val="center"/>
          </w:tcPr>
          <w:p w14:paraId="683521D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shd w:val="clear" w:color="auto" w:fill="F3F9FA"/>
            <w:vAlign w:val="center"/>
          </w:tcPr>
          <w:p w14:paraId="59601D7B"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683DF4A1" w14:textId="77777777" w:rsidTr="008D01F1">
        <w:trPr>
          <w:trHeight w:val="170"/>
          <w:jc w:val="center"/>
        </w:trPr>
        <w:tc>
          <w:tcPr>
            <w:tcW w:w="1024" w:type="dxa"/>
            <w:vMerge/>
            <w:shd w:val="clear" w:color="auto" w:fill="auto"/>
            <w:noWrap/>
            <w:vAlign w:val="center"/>
          </w:tcPr>
          <w:p w14:paraId="5F3331A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4A055DA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val="restart"/>
            <w:shd w:val="clear" w:color="auto" w:fill="F3F9FA"/>
            <w:vAlign w:val="center"/>
          </w:tcPr>
          <w:p w14:paraId="4AE715D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Tully / Murray / Herbert</w:t>
            </w:r>
          </w:p>
        </w:tc>
        <w:tc>
          <w:tcPr>
            <w:tcW w:w="1576" w:type="dxa"/>
            <w:vMerge w:val="restart"/>
            <w:shd w:val="clear" w:color="auto" w:fill="F3F9FA"/>
            <w:noWrap/>
            <w:vAlign w:val="center"/>
          </w:tcPr>
          <w:p w14:paraId="1E3E36E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Mission Beach</w:t>
            </w:r>
          </w:p>
          <w:p w14:paraId="53CCBBD8"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 xml:space="preserve">coastal </w:t>
            </w:r>
          </w:p>
        </w:tc>
        <w:tc>
          <w:tcPr>
            <w:tcW w:w="674" w:type="dxa"/>
            <w:shd w:val="clear" w:color="auto" w:fill="F3F9FA"/>
            <w:noWrap/>
            <w:vAlign w:val="center"/>
          </w:tcPr>
          <w:p w14:paraId="704F205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LB1*</w:t>
            </w:r>
          </w:p>
        </w:tc>
        <w:tc>
          <w:tcPr>
            <w:tcW w:w="1579" w:type="dxa"/>
            <w:shd w:val="clear" w:color="auto" w:fill="F3F9FA"/>
            <w:noWrap/>
            <w:vAlign w:val="center"/>
          </w:tcPr>
          <w:p w14:paraId="26987F6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Lugger Bay</w:t>
            </w:r>
          </w:p>
        </w:tc>
        <w:tc>
          <w:tcPr>
            <w:tcW w:w="486" w:type="dxa"/>
            <w:shd w:val="clear" w:color="auto" w:fill="F3F9FA"/>
            <w:noWrap/>
            <w:vAlign w:val="center"/>
          </w:tcPr>
          <w:p w14:paraId="435C452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17°</w:t>
            </w:r>
          </w:p>
        </w:tc>
        <w:tc>
          <w:tcPr>
            <w:tcW w:w="830" w:type="dxa"/>
            <w:shd w:val="clear" w:color="auto" w:fill="F3F9FA"/>
            <w:noWrap/>
            <w:vAlign w:val="bottom"/>
          </w:tcPr>
          <w:p w14:paraId="45D5752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57.645</w:t>
            </w:r>
          </w:p>
        </w:tc>
        <w:tc>
          <w:tcPr>
            <w:tcW w:w="576" w:type="dxa"/>
            <w:shd w:val="clear" w:color="auto" w:fill="F3F9FA"/>
            <w:noWrap/>
            <w:vAlign w:val="center"/>
          </w:tcPr>
          <w:p w14:paraId="28FC5BC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F3F9FA"/>
            <w:noWrap/>
            <w:vAlign w:val="bottom"/>
          </w:tcPr>
          <w:p w14:paraId="74595F0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5.603</w:t>
            </w:r>
          </w:p>
        </w:tc>
        <w:tc>
          <w:tcPr>
            <w:tcW w:w="481" w:type="dxa"/>
            <w:vMerge w:val="restart"/>
            <w:shd w:val="clear" w:color="auto" w:fill="F3F9FA"/>
            <w:noWrap/>
            <w:vAlign w:val="center"/>
          </w:tcPr>
          <w:p w14:paraId="23A017F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4FC4390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35CC49F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793D3CD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3D5447A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654E484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0736DD5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5ED6833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66748D5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205E99C6"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17266DD2" w14:textId="77777777" w:rsidTr="008D01F1">
        <w:trPr>
          <w:trHeight w:val="170"/>
          <w:jc w:val="center"/>
        </w:trPr>
        <w:tc>
          <w:tcPr>
            <w:tcW w:w="1024" w:type="dxa"/>
            <w:vMerge/>
            <w:shd w:val="clear" w:color="auto" w:fill="auto"/>
            <w:noWrap/>
            <w:vAlign w:val="center"/>
          </w:tcPr>
          <w:p w14:paraId="2BDEAB1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1855783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21F1323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3D2135B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3E166201" w14:textId="77777777" w:rsidR="008D01F1" w:rsidRPr="00592F37" w:rsidRDefault="008D01F1"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LB2*</w:t>
            </w:r>
          </w:p>
        </w:tc>
        <w:tc>
          <w:tcPr>
            <w:tcW w:w="1579" w:type="dxa"/>
            <w:shd w:val="clear" w:color="auto" w:fill="F3F9FA"/>
            <w:noWrap/>
            <w:vAlign w:val="center"/>
          </w:tcPr>
          <w:p w14:paraId="7BBAA6D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Lugger Bay</w:t>
            </w:r>
          </w:p>
        </w:tc>
        <w:tc>
          <w:tcPr>
            <w:tcW w:w="486" w:type="dxa"/>
            <w:shd w:val="clear" w:color="auto" w:fill="F3F9FA"/>
            <w:noWrap/>
            <w:vAlign w:val="center"/>
          </w:tcPr>
          <w:p w14:paraId="42A058B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17°</w:t>
            </w:r>
          </w:p>
        </w:tc>
        <w:tc>
          <w:tcPr>
            <w:tcW w:w="830" w:type="dxa"/>
            <w:shd w:val="clear" w:color="auto" w:fill="F3F9FA"/>
            <w:noWrap/>
            <w:vAlign w:val="bottom"/>
          </w:tcPr>
          <w:p w14:paraId="1C77EB4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57.672</w:t>
            </w:r>
          </w:p>
        </w:tc>
        <w:tc>
          <w:tcPr>
            <w:tcW w:w="576" w:type="dxa"/>
            <w:shd w:val="clear" w:color="auto" w:fill="F3F9FA"/>
            <w:noWrap/>
            <w:vAlign w:val="center"/>
          </w:tcPr>
          <w:p w14:paraId="3F8AB0C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F3F9FA"/>
            <w:noWrap/>
            <w:vAlign w:val="bottom"/>
          </w:tcPr>
          <w:p w14:paraId="46ABB66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5.626</w:t>
            </w:r>
          </w:p>
        </w:tc>
        <w:tc>
          <w:tcPr>
            <w:tcW w:w="481" w:type="dxa"/>
            <w:vMerge/>
            <w:shd w:val="clear" w:color="auto" w:fill="F3F9FA"/>
            <w:noWrap/>
            <w:vAlign w:val="center"/>
          </w:tcPr>
          <w:p w14:paraId="4481628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32AE08C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59944A9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28FE131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3630295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70AE8DF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738A73F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218F75D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17A7977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136B519B"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61ADB50E" w14:textId="77777777" w:rsidTr="008D01F1">
        <w:trPr>
          <w:trHeight w:val="170"/>
          <w:jc w:val="center"/>
        </w:trPr>
        <w:tc>
          <w:tcPr>
            <w:tcW w:w="1024" w:type="dxa"/>
            <w:vMerge/>
            <w:shd w:val="clear" w:color="auto" w:fill="auto"/>
            <w:noWrap/>
            <w:vAlign w:val="center"/>
          </w:tcPr>
          <w:p w14:paraId="384FC1D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66CC49E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463C9D0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F3F9FA"/>
            <w:noWrap/>
            <w:vAlign w:val="center"/>
          </w:tcPr>
          <w:p w14:paraId="1E60FB8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Dunk Island</w:t>
            </w:r>
          </w:p>
          <w:p w14:paraId="099DFF54"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F3F9FA"/>
            <w:noWrap/>
            <w:vAlign w:val="center"/>
          </w:tcPr>
          <w:p w14:paraId="0D58DD1C" w14:textId="77777777" w:rsidR="008D01F1" w:rsidRPr="00592F37" w:rsidRDefault="008D01F1"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DI1*</w:t>
            </w:r>
          </w:p>
        </w:tc>
        <w:tc>
          <w:tcPr>
            <w:tcW w:w="1579" w:type="dxa"/>
            <w:shd w:val="clear" w:color="auto" w:fill="F3F9FA"/>
            <w:noWrap/>
            <w:vAlign w:val="center"/>
          </w:tcPr>
          <w:p w14:paraId="2527395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Pallon Beach</w:t>
            </w:r>
          </w:p>
        </w:tc>
        <w:tc>
          <w:tcPr>
            <w:tcW w:w="486" w:type="dxa"/>
            <w:shd w:val="clear" w:color="auto" w:fill="F3F9FA"/>
            <w:noWrap/>
            <w:vAlign w:val="center"/>
          </w:tcPr>
          <w:p w14:paraId="6CD0757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17°</w:t>
            </w:r>
          </w:p>
        </w:tc>
        <w:tc>
          <w:tcPr>
            <w:tcW w:w="830" w:type="dxa"/>
            <w:shd w:val="clear" w:color="auto" w:fill="F3F9FA"/>
            <w:noWrap/>
            <w:vAlign w:val="bottom"/>
          </w:tcPr>
          <w:p w14:paraId="1437E19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56.646</w:t>
            </w:r>
          </w:p>
        </w:tc>
        <w:tc>
          <w:tcPr>
            <w:tcW w:w="576" w:type="dxa"/>
            <w:shd w:val="clear" w:color="auto" w:fill="F3F9FA"/>
            <w:noWrap/>
            <w:vAlign w:val="center"/>
          </w:tcPr>
          <w:p w14:paraId="3ED5A1D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F3F9FA"/>
            <w:noWrap/>
            <w:vAlign w:val="bottom"/>
          </w:tcPr>
          <w:p w14:paraId="24AE7BF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8.452</w:t>
            </w:r>
          </w:p>
        </w:tc>
        <w:tc>
          <w:tcPr>
            <w:tcW w:w="481" w:type="dxa"/>
            <w:vMerge w:val="restart"/>
            <w:shd w:val="clear" w:color="auto" w:fill="F3F9FA"/>
            <w:noWrap/>
            <w:vAlign w:val="center"/>
          </w:tcPr>
          <w:p w14:paraId="54D76C4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vMerge w:val="restart"/>
            <w:shd w:val="clear" w:color="auto" w:fill="F3F9FA"/>
            <w:vAlign w:val="center"/>
          </w:tcPr>
          <w:p w14:paraId="6762CC8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8" w:type="dxa"/>
            <w:vMerge w:val="restart"/>
            <w:shd w:val="clear" w:color="auto" w:fill="F3F9FA"/>
            <w:vAlign w:val="center"/>
          </w:tcPr>
          <w:p w14:paraId="544DD30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48A587E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115BE3B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0D3BB6C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46E0AFB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34C1BFC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07E6BC9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vMerge w:val="restart"/>
            <w:shd w:val="clear" w:color="auto" w:fill="F3F9FA"/>
            <w:vAlign w:val="center"/>
          </w:tcPr>
          <w:p w14:paraId="39DCAB8B"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3AEBB009" w14:textId="77777777" w:rsidTr="008D01F1">
        <w:trPr>
          <w:trHeight w:val="170"/>
          <w:jc w:val="center"/>
        </w:trPr>
        <w:tc>
          <w:tcPr>
            <w:tcW w:w="1024" w:type="dxa"/>
            <w:vMerge/>
            <w:shd w:val="clear" w:color="auto" w:fill="auto"/>
            <w:noWrap/>
            <w:vAlign w:val="center"/>
          </w:tcPr>
          <w:p w14:paraId="6007D7D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27EF3ED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2049EC9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4F05F85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331587F0" w14:textId="77777777" w:rsidR="008D01F1" w:rsidRPr="00592F37" w:rsidRDefault="008D01F1"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DI2*</w:t>
            </w:r>
          </w:p>
        </w:tc>
        <w:tc>
          <w:tcPr>
            <w:tcW w:w="1579" w:type="dxa"/>
            <w:shd w:val="clear" w:color="auto" w:fill="F3F9FA"/>
            <w:noWrap/>
            <w:vAlign w:val="center"/>
          </w:tcPr>
          <w:p w14:paraId="5C0CC39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Pallon Beach</w:t>
            </w:r>
          </w:p>
        </w:tc>
        <w:tc>
          <w:tcPr>
            <w:tcW w:w="486" w:type="dxa"/>
            <w:shd w:val="clear" w:color="auto" w:fill="F3F9FA"/>
            <w:noWrap/>
            <w:vAlign w:val="center"/>
          </w:tcPr>
          <w:p w14:paraId="70B8B45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17°</w:t>
            </w:r>
          </w:p>
        </w:tc>
        <w:tc>
          <w:tcPr>
            <w:tcW w:w="830" w:type="dxa"/>
            <w:shd w:val="clear" w:color="auto" w:fill="F3F9FA"/>
            <w:noWrap/>
            <w:vAlign w:val="bottom"/>
          </w:tcPr>
          <w:p w14:paraId="78ECA10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56.734</w:t>
            </w:r>
          </w:p>
        </w:tc>
        <w:tc>
          <w:tcPr>
            <w:tcW w:w="576" w:type="dxa"/>
            <w:shd w:val="clear" w:color="auto" w:fill="F3F9FA"/>
            <w:noWrap/>
            <w:vAlign w:val="center"/>
          </w:tcPr>
          <w:p w14:paraId="28E9DDB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F3F9FA"/>
            <w:noWrap/>
            <w:vAlign w:val="bottom"/>
          </w:tcPr>
          <w:p w14:paraId="2EEB5F1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8.450</w:t>
            </w:r>
          </w:p>
        </w:tc>
        <w:tc>
          <w:tcPr>
            <w:tcW w:w="481" w:type="dxa"/>
            <w:vMerge/>
            <w:shd w:val="clear" w:color="auto" w:fill="F3F9FA"/>
            <w:noWrap/>
            <w:vAlign w:val="center"/>
          </w:tcPr>
          <w:p w14:paraId="16AAE1C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34A33CA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755B559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4BF0850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652B8C3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52B023A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4A54A48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2C39516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2DF474E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1636446C"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0C77CC9A" w14:textId="77777777" w:rsidTr="008D01F1">
        <w:trPr>
          <w:trHeight w:val="170"/>
          <w:jc w:val="center"/>
        </w:trPr>
        <w:tc>
          <w:tcPr>
            <w:tcW w:w="1024" w:type="dxa"/>
            <w:vMerge/>
            <w:shd w:val="clear" w:color="auto" w:fill="auto"/>
            <w:noWrap/>
            <w:vAlign w:val="center"/>
          </w:tcPr>
          <w:p w14:paraId="7ECD2A1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1FD40ED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254941C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066CCDE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1722E3C4" w14:textId="77777777" w:rsidR="008D01F1" w:rsidRPr="00592F37" w:rsidRDefault="008D01F1"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DI3^</w:t>
            </w:r>
          </w:p>
        </w:tc>
        <w:tc>
          <w:tcPr>
            <w:tcW w:w="1579" w:type="dxa"/>
            <w:shd w:val="clear" w:color="auto" w:fill="F3F9FA"/>
            <w:noWrap/>
            <w:vAlign w:val="center"/>
          </w:tcPr>
          <w:p w14:paraId="3088A46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Brammo Bay</w:t>
            </w:r>
          </w:p>
        </w:tc>
        <w:tc>
          <w:tcPr>
            <w:tcW w:w="486" w:type="dxa"/>
            <w:shd w:val="clear" w:color="auto" w:fill="F3F9FA"/>
            <w:noWrap/>
            <w:vAlign w:val="center"/>
          </w:tcPr>
          <w:p w14:paraId="0518DBB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17°</w:t>
            </w:r>
          </w:p>
        </w:tc>
        <w:tc>
          <w:tcPr>
            <w:tcW w:w="830" w:type="dxa"/>
            <w:shd w:val="clear" w:color="auto" w:fill="F3F9FA"/>
            <w:noWrap/>
            <w:vAlign w:val="bottom"/>
          </w:tcPr>
          <w:p w14:paraId="25B1C77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55.910</w:t>
            </w:r>
          </w:p>
        </w:tc>
        <w:tc>
          <w:tcPr>
            <w:tcW w:w="576" w:type="dxa"/>
            <w:shd w:val="clear" w:color="auto" w:fill="F3F9FA"/>
            <w:noWrap/>
            <w:vAlign w:val="center"/>
          </w:tcPr>
          <w:p w14:paraId="303DB46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F3F9FA"/>
            <w:noWrap/>
            <w:vAlign w:val="bottom"/>
          </w:tcPr>
          <w:p w14:paraId="4A3E0E7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8.417</w:t>
            </w:r>
          </w:p>
        </w:tc>
        <w:tc>
          <w:tcPr>
            <w:tcW w:w="481" w:type="dxa"/>
            <w:shd w:val="clear" w:color="auto" w:fill="F3F9FA"/>
            <w:noWrap/>
            <w:vAlign w:val="center"/>
          </w:tcPr>
          <w:p w14:paraId="49BE80B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shd w:val="clear" w:color="auto" w:fill="F3F9FA"/>
            <w:vAlign w:val="center"/>
          </w:tcPr>
          <w:p w14:paraId="2C5BD16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8" w:type="dxa"/>
            <w:shd w:val="clear" w:color="auto" w:fill="F3F9FA"/>
            <w:vAlign w:val="center"/>
          </w:tcPr>
          <w:p w14:paraId="597C503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F3F9FA"/>
            <w:vAlign w:val="center"/>
          </w:tcPr>
          <w:p w14:paraId="111EA0A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8" w:type="dxa"/>
            <w:shd w:val="clear" w:color="auto" w:fill="F3F9FA"/>
            <w:vAlign w:val="center"/>
          </w:tcPr>
          <w:p w14:paraId="5F07045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F3F9FA"/>
            <w:vAlign w:val="center"/>
          </w:tcPr>
          <w:p w14:paraId="2B3F0C6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2CCB69C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F3F9FA"/>
            <w:vAlign w:val="center"/>
          </w:tcPr>
          <w:p w14:paraId="12A54D5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shd w:val="clear" w:color="auto" w:fill="F3F9FA"/>
            <w:vAlign w:val="center"/>
          </w:tcPr>
          <w:p w14:paraId="6A949A8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F3F9FA"/>
            <w:vAlign w:val="center"/>
          </w:tcPr>
          <w:p w14:paraId="61F844E4"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6D7504D2" w14:textId="77777777" w:rsidTr="008D01F1">
        <w:trPr>
          <w:trHeight w:val="170"/>
          <w:jc w:val="center"/>
        </w:trPr>
        <w:tc>
          <w:tcPr>
            <w:tcW w:w="1024" w:type="dxa"/>
            <w:vMerge w:val="restart"/>
            <w:shd w:val="clear" w:color="auto" w:fill="auto"/>
            <w:noWrap/>
            <w:vAlign w:val="center"/>
          </w:tcPr>
          <w:p w14:paraId="6AF0E76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Central</w:t>
            </w:r>
          </w:p>
        </w:tc>
        <w:tc>
          <w:tcPr>
            <w:tcW w:w="1523" w:type="dxa"/>
            <w:vMerge w:val="restart"/>
            <w:shd w:val="clear" w:color="auto" w:fill="E7F3F4"/>
            <w:noWrap/>
            <w:vAlign w:val="center"/>
          </w:tcPr>
          <w:p w14:paraId="36E9D10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Burdekin</w:t>
            </w:r>
          </w:p>
          <w:p w14:paraId="4305C4F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t>
            </w:r>
            <w:r w:rsidRPr="00592F37">
              <w:rPr>
                <w:rFonts w:asciiTheme="minorHAnsi" w:hAnsiTheme="minorHAnsi" w:cstheme="minorHAnsi"/>
                <w:i/>
                <w:color w:val="000000"/>
                <w:sz w:val="14"/>
                <w:szCs w:val="14"/>
              </w:rPr>
              <w:t>NQ Dry Tropics</w:t>
            </w:r>
            <w:r w:rsidRPr="00592F37">
              <w:rPr>
                <w:rFonts w:asciiTheme="minorHAnsi" w:hAnsiTheme="minorHAnsi" w:cstheme="minorHAnsi"/>
                <w:color w:val="000000"/>
                <w:sz w:val="14"/>
                <w:szCs w:val="14"/>
              </w:rPr>
              <w:t>)</w:t>
            </w:r>
          </w:p>
        </w:tc>
        <w:tc>
          <w:tcPr>
            <w:tcW w:w="1079" w:type="dxa"/>
            <w:vMerge w:val="restart"/>
            <w:shd w:val="clear" w:color="auto" w:fill="E7F3F4"/>
            <w:vAlign w:val="center"/>
          </w:tcPr>
          <w:p w14:paraId="4F61875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Ross / Burdekin</w:t>
            </w:r>
          </w:p>
        </w:tc>
        <w:tc>
          <w:tcPr>
            <w:tcW w:w="1576" w:type="dxa"/>
            <w:vMerge w:val="restart"/>
            <w:shd w:val="clear" w:color="auto" w:fill="E7F3F4"/>
            <w:noWrap/>
            <w:vAlign w:val="center"/>
          </w:tcPr>
          <w:p w14:paraId="6B916E5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Magnetic island</w:t>
            </w:r>
          </w:p>
          <w:p w14:paraId="4541FA3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E7F3F4"/>
            <w:noWrap/>
            <w:vAlign w:val="center"/>
          </w:tcPr>
          <w:p w14:paraId="0F299D5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MI1*</w:t>
            </w:r>
          </w:p>
        </w:tc>
        <w:tc>
          <w:tcPr>
            <w:tcW w:w="1579" w:type="dxa"/>
            <w:shd w:val="clear" w:color="auto" w:fill="E7F3F4"/>
            <w:noWrap/>
            <w:vAlign w:val="center"/>
          </w:tcPr>
          <w:p w14:paraId="4A86391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Picnic Bay</w:t>
            </w:r>
          </w:p>
        </w:tc>
        <w:tc>
          <w:tcPr>
            <w:tcW w:w="486" w:type="dxa"/>
            <w:shd w:val="clear" w:color="auto" w:fill="E7F3F4"/>
            <w:noWrap/>
            <w:vAlign w:val="center"/>
          </w:tcPr>
          <w:p w14:paraId="1A493EC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bottom"/>
          </w:tcPr>
          <w:p w14:paraId="06FA828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10.752</w:t>
            </w:r>
          </w:p>
        </w:tc>
        <w:tc>
          <w:tcPr>
            <w:tcW w:w="576" w:type="dxa"/>
            <w:shd w:val="clear" w:color="auto" w:fill="E7F3F4"/>
            <w:noWrap/>
            <w:vAlign w:val="center"/>
          </w:tcPr>
          <w:p w14:paraId="536E694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E7F3F4"/>
            <w:noWrap/>
            <w:vAlign w:val="bottom"/>
          </w:tcPr>
          <w:p w14:paraId="4DC8D84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50.480</w:t>
            </w:r>
          </w:p>
        </w:tc>
        <w:tc>
          <w:tcPr>
            <w:tcW w:w="481" w:type="dxa"/>
            <w:shd w:val="clear" w:color="auto" w:fill="E7F3F4"/>
            <w:noWrap/>
            <w:vAlign w:val="center"/>
          </w:tcPr>
          <w:p w14:paraId="2D1CEFD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shd w:val="clear" w:color="auto" w:fill="E7F3F4"/>
            <w:vAlign w:val="center"/>
          </w:tcPr>
          <w:p w14:paraId="4A299D6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shd w:val="clear" w:color="auto" w:fill="E7F3F4"/>
            <w:vAlign w:val="center"/>
          </w:tcPr>
          <w:p w14:paraId="3987C51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E7F3F4"/>
            <w:vAlign w:val="center"/>
          </w:tcPr>
          <w:p w14:paraId="28A0F34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shd w:val="clear" w:color="auto" w:fill="E7F3F4"/>
            <w:vAlign w:val="center"/>
          </w:tcPr>
          <w:p w14:paraId="41A292A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E7F3F4"/>
            <w:vAlign w:val="center"/>
          </w:tcPr>
          <w:p w14:paraId="14E228E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E7F3F4"/>
            <w:vAlign w:val="center"/>
          </w:tcPr>
          <w:p w14:paraId="4347096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E7F3F4"/>
            <w:vAlign w:val="center"/>
          </w:tcPr>
          <w:p w14:paraId="1740306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shd w:val="clear" w:color="auto" w:fill="E7F3F4"/>
            <w:vAlign w:val="center"/>
          </w:tcPr>
          <w:p w14:paraId="148C8DB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E7F3F4"/>
            <w:vAlign w:val="center"/>
          </w:tcPr>
          <w:p w14:paraId="6F24AFB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r>
      <w:tr w:rsidR="008D01F1" w:rsidRPr="00592F37" w14:paraId="695ACB72" w14:textId="77777777" w:rsidTr="008D01F1">
        <w:trPr>
          <w:trHeight w:val="170"/>
          <w:jc w:val="center"/>
        </w:trPr>
        <w:tc>
          <w:tcPr>
            <w:tcW w:w="1024" w:type="dxa"/>
            <w:vMerge/>
            <w:shd w:val="clear" w:color="auto" w:fill="auto"/>
            <w:noWrap/>
            <w:vAlign w:val="center"/>
          </w:tcPr>
          <w:p w14:paraId="3D46DF4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62F1864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66B954E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6EFB904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43DA52D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MI2*</w:t>
            </w:r>
          </w:p>
        </w:tc>
        <w:tc>
          <w:tcPr>
            <w:tcW w:w="1579" w:type="dxa"/>
            <w:shd w:val="clear" w:color="auto" w:fill="E7F3F4"/>
            <w:noWrap/>
            <w:vAlign w:val="center"/>
          </w:tcPr>
          <w:p w14:paraId="29A8457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Cockle Bay</w:t>
            </w:r>
          </w:p>
        </w:tc>
        <w:tc>
          <w:tcPr>
            <w:tcW w:w="486" w:type="dxa"/>
            <w:shd w:val="clear" w:color="auto" w:fill="E7F3F4"/>
            <w:noWrap/>
            <w:vAlign w:val="center"/>
          </w:tcPr>
          <w:p w14:paraId="377EA84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bottom"/>
          </w:tcPr>
          <w:p w14:paraId="110A536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10.621</w:t>
            </w:r>
          </w:p>
        </w:tc>
        <w:tc>
          <w:tcPr>
            <w:tcW w:w="576" w:type="dxa"/>
            <w:shd w:val="clear" w:color="auto" w:fill="E7F3F4"/>
            <w:noWrap/>
            <w:vAlign w:val="center"/>
          </w:tcPr>
          <w:p w14:paraId="542F802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E7F3F4"/>
            <w:noWrap/>
            <w:vAlign w:val="bottom"/>
          </w:tcPr>
          <w:p w14:paraId="3D54F05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49.730</w:t>
            </w:r>
          </w:p>
        </w:tc>
        <w:tc>
          <w:tcPr>
            <w:tcW w:w="481" w:type="dxa"/>
            <w:shd w:val="clear" w:color="auto" w:fill="E7F3F4"/>
            <w:noWrap/>
            <w:vAlign w:val="center"/>
          </w:tcPr>
          <w:p w14:paraId="7E947FE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2" w:type="dxa"/>
            <w:shd w:val="clear" w:color="auto" w:fill="E7F3F4"/>
            <w:vAlign w:val="center"/>
          </w:tcPr>
          <w:p w14:paraId="21FBECB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8" w:type="dxa"/>
            <w:shd w:val="clear" w:color="auto" w:fill="E7F3F4"/>
            <w:vAlign w:val="center"/>
          </w:tcPr>
          <w:p w14:paraId="58B588B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E7F3F4"/>
            <w:vAlign w:val="center"/>
          </w:tcPr>
          <w:p w14:paraId="474BAD7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shd w:val="clear" w:color="auto" w:fill="E7F3F4"/>
            <w:vAlign w:val="center"/>
          </w:tcPr>
          <w:p w14:paraId="3D49F91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E7F3F4"/>
            <w:vAlign w:val="center"/>
          </w:tcPr>
          <w:p w14:paraId="59E662F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E7F3F4"/>
            <w:vAlign w:val="center"/>
          </w:tcPr>
          <w:p w14:paraId="766F759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E7F3F4"/>
            <w:vAlign w:val="center"/>
          </w:tcPr>
          <w:p w14:paraId="2D00311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0" w:type="dxa"/>
            <w:shd w:val="clear" w:color="auto" w:fill="E7F3F4"/>
            <w:vAlign w:val="center"/>
          </w:tcPr>
          <w:p w14:paraId="7B67775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22" w:type="dxa"/>
            <w:shd w:val="clear" w:color="auto" w:fill="E7F3F4"/>
            <w:vAlign w:val="center"/>
          </w:tcPr>
          <w:p w14:paraId="4B5A7C2E"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15D9A215" w14:textId="77777777" w:rsidTr="008D01F1">
        <w:trPr>
          <w:trHeight w:val="170"/>
          <w:jc w:val="center"/>
        </w:trPr>
        <w:tc>
          <w:tcPr>
            <w:tcW w:w="1024" w:type="dxa"/>
            <w:vMerge/>
            <w:shd w:val="clear" w:color="auto" w:fill="auto"/>
            <w:noWrap/>
            <w:vAlign w:val="center"/>
          </w:tcPr>
          <w:p w14:paraId="5B3BD35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2127A54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08FC1AC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4A9C7F3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70CA286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MI3^</w:t>
            </w:r>
          </w:p>
        </w:tc>
        <w:tc>
          <w:tcPr>
            <w:tcW w:w="1579" w:type="dxa"/>
            <w:shd w:val="clear" w:color="auto" w:fill="E7F3F4"/>
            <w:noWrap/>
            <w:vAlign w:val="center"/>
          </w:tcPr>
          <w:p w14:paraId="167D61D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Picnic Bay</w:t>
            </w:r>
          </w:p>
        </w:tc>
        <w:tc>
          <w:tcPr>
            <w:tcW w:w="486" w:type="dxa"/>
            <w:shd w:val="clear" w:color="auto" w:fill="E7F3F4"/>
            <w:noWrap/>
            <w:vAlign w:val="center"/>
          </w:tcPr>
          <w:p w14:paraId="6320691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bottom"/>
          </w:tcPr>
          <w:p w14:paraId="6D6DC48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10.888</w:t>
            </w:r>
          </w:p>
        </w:tc>
        <w:tc>
          <w:tcPr>
            <w:tcW w:w="576" w:type="dxa"/>
            <w:shd w:val="clear" w:color="auto" w:fill="E7F3F4"/>
            <w:noWrap/>
            <w:vAlign w:val="center"/>
          </w:tcPr>
          <w:p w14:paraId="2719F31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E7F3F4"/>
            <w:noWrap/>
            <w:vAlign w:val="bottom"/>
          </w:tcPr>
          <w:p w14:paraId="2990B20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50.634</w:t>
            </w:r>
          </w:p>
        </w:tc>
        <w:tc>
          <w:tcPr>
            <w:tcW w:w="481" w:type="dxa"/>
            <w:shd w:val="clear" w:color="auto" w:fill="E7F3F4"/>
            <w:noWrap/>
            <w:vAlign w:val="center"/>
          </w:tcPr>
          <w:p w14:paraId="2F0A47C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shd w:val="clear" w:color="auto" w:fill="E7F3F4"/>
            <w:vAlign w:val="center"/>
          </w:tcPr>
          <w:p w14:paraId="38706E9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408" w:type="dxa"/>
            <w:shd w:val="clear" w:color="auto" w:fill="E7F3F4"/>
            <w:vAlign w:val="center"/>
          </w:tcPr>
          <w:p w14:paraId="4C4F73C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shd w:val="clear" w:color="auto" w:fill="E7F3F4"/>
            <w:vAlign w:val="center"/>
          </w:tcPr>
          <w:p w14:paraId="1F19090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8" w:type="dxa"/>
            <w:shd w:val="clear" w:color="auto" w:fill="E7F3F4"/>
            <w:vAlign w:val="center"/>
          </w:tcPr>
          <w:p w14:paraId="1E7C682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shd w:val="clear" w:color="auto" w:fill="E7F3F4"/>
            <w:vAlign w:val="center"/>
          </w:tcPr>
          <w:p w14:paraId="25B4576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22" w:type="dxa"/>
            <w:shd w:val="clear" w:color="auto" w:fill="E7F3F4"/>
            <w:vAlign w:val="center"/>
          </w:tcPr>
          <w:p w14:paraId="12896C2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shd w:val="clear" w:color="auto" w:fill="E7F3F4"/>
            <w:vAlign w:val="center"/>
          </w:tcPr>
          <w:p w14:paraId="3D06B8F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shd w:val="clear" w:color="auto" w:fill="E7F3F4"/>
            <w:vAlign w:val="center"/>
          </w:tcPr>
          <w:p w14:paraId="45F26FF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shd w:val="clear" w:color="auto" w:fill="E7F3F4"/>
            <w:vAlign w:val="center"/>
          </w:tcPr>
          <w:p w14:paraId="00BE0BDC"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3D6A6597" w14:textId="77777777" w:rsidTr="008D01F1">
        <w:trPr>
          <w:trHeight w:val="170"/>
          <w:jc w:val="center"/>
        </w:trPr>
        <w:tc>
          <w:tcPr>
            <w:tcW w:w="1024" w:type="dxa"/>
            <w:vMerge/>
            <w:shd w:val="clear" w:color="auto" w:fill="auto"/>
            <w:noWrap/>
            <w:vAlign w:val="center"/>
          </w:tcPr>
          <w:p w14:paraId="592BCB1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001AC69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1E41B53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E7F3F4"/>
            <w:noWrap/>
            <w:vAlign w:val="center"/>
          </w:tcPr>
          <w:p w14:paraId="59D1224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Townsville</w:t>
            </w:r>
          </w:p>
          <w:p w14:paraId="471D8B6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coastal </w:t>
            </w:r>
          </w:p>
        </w:tc>
        <w:tc>
          <w:tcPr>
            <w:tcW w:w="674" w:type="dxa"/>
            <w:shd w:val="clear" w:color="auto" w:fill="E7F3F4"/>
            <w:noWrap/>
            <w:vAlign w:val="center"/>
          </w:tcPr>
          <w:p w14:paraId="53791D4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SB1*</w:t>
            </w:r>
          </w:p>
        </w:tc>
        <w:tc>
          <w:tcPr>
            <w:tcW w:w="1579" w:type="dxa"/>
            <w:shd w:val="clear" w:color="auto" w:fill="E7F3F4"/>
            <w:noWrap/>
            <w:vAlign w:val="center"/>
          </w:tcPr>
          <w:p w14:paraId="6864C4C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Shelley Beach</w:t>
            </w:r>
          </w:p>
        </w:tc>
        <w:tc>
          <w:tcPr>
            <w:tcW w:w="486" w:type="dxa"/>
            <w:shd w:val="clear" w:color="auto" w:fill="E7F3F4"/>
            <w:noWrap/>
            <w:vAlign w:val="center"/>
          </w:tcPr>
          <w:p w14:paraId="7CDD983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center"/>
          </w:tcPr>
          <w:p w14:paraId="5C24C62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11.166</w:t>
            </w:r>
          </w:p>
        </w:tc>
        <w:tc>
          <w:tcPr>
            <w:tcW w:w="576" w:type="dxa"/>
            <w:shd w:val="clear" w:color="auto" w:fill="E7F3F4"/>
            <w:noWrap/>
            <w:vAlign w:val="center"/>
          </w:tcPr>
          <w:p w14:paraId="09D38AB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E7F3F4"/>
            <w:noWrap/>
            <w:vAlign w:val="center"/>
          </w:tcPr>
          <w:p w14:paraId="137C295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46.272</w:t>
            </w:r>
          </w:p>
        </w:tc>
        <w:tc>
          <w:tcPr>
            <w:tcW w:w="481" w:type="dxa"/>
            <w:vMerge w:val="restart"/>
            <w:shd w:val="clear" w:color="auto" w:fill="E7F3F4"/>
            <w:noWrap/>
            <w:vAlign w:val="center"/>
          </w:tcPr>
          <w:p w14:paraId="1D4B2A0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679726B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2CB4A60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29521DD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4E4F2C3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4E5F86B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41C0847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11A746A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594DC0E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16EDD75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8D01F1" w:rsidRPr="00592F37" w14:paraId="5C0C4EAA" w14:textId="77777777" w:rsidTr="008D01F1">
        <w:trPr>
          <w:trHeight w:val="170"/>
          <w:jc w:val="center"/>
        </w:trPr>
        <w:tc>
          <w:tcPr>
            <w:tcW w:w="1024" w:type="dxa"/>
            <w:vMerge/>
            <w:shd w:val="clear" w:color="auto" w:fill="auto"/>
            <w:noWrap/>
            <w:vAlign w:val="center"/>
          </w:tcPr>
          <w:p w14:paraId="35C834E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5CA2AD6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67E4262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3699AF0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40DC136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BB1*</w:t>
            </w:r>
          </w:p>
        </w:tc>
        <w:tc>
          <w:tcPr>
            <w:tcW w:w="1579" w:type="dxa"/>
            <w:shd w:val="clear" w:color="auto" w:fill="E7F3F4"/>
            <w:noWrap/>
            <w:vAlign w:val="center"/>
          </w:tcPr>
          <w:p w14:paraId="55E1464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Bushland Beach</w:t>
            </w:r>
          </w:p>
        </w:tc>
        <w:tc>
          <w:tcPr>
            <w:tcW w:w="486" w:type="dxa"/>
            <w:shd w:val="clear" w:color="auto" w:fill="E7F3F4"/>
            <w:noWrap/>
            <w:vAlign w:val="center"/>
          </w:tcPr>
          <w:p w14:paraId="3E523FA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center"/>
          </w:tcPr>
          <w:p w14:paraId="745FC68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11.016</w:t>
            </w:r>
          </w:p>
        </w:tc>
        <w:tc>
          <w:tcPr>
            <w:tcW w:w="576" w:type="dxa"/>
            <w:shd w:val="clear" w:color="auto" w:fill="E7F3F4"/>
            <w:noWrap/>
            <w:vAlign w:val="center"/>
          </w:tcPr>
          <w:p w14:paraId="1950D88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146°</w:t>
            </w:r>
          </w:p>
        </w:tc>
        <w:tc>
          <w:tcPr>
            <w:tcW w:w="830" w:type="dxa"/>
            <w:shd w:val="clear" w:color="auto" w:fill="E7F3F4"/>
            <w:noWrap/>
            <w:vAlign w:val="center"/>
          </w:tcPr>
          <w:p w14:paraId="4D8E993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40.951</w:t>
            </w:r>
          </w:p>
        </w:tc>
        <w:tc>
          <w:tcPr>
            <w:tcW w:w="481" w:type="dxa"/>
            <w:vMerge/>
            <w:shd w:val="clear" w:color="auto" w:fill="E7F3F4"/>
            <w:noWrap/>
            <w:vAlign w:val="center"/>
          </w:tcPr>
          <w:p w14:paraId="7298B05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66B1DFE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50E6B8B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3E48451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758FD86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2A6CC43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29B0A78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7917EAA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259268E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7CD03EF6"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5DE8086B" w14:textId="77777777" w:rsidTr="008D01F1">
        <w:trPr>
          <w:trHeight w:val="170"/>
          <w:jc w:val="center"/>
        </w:trPr>
        <w:tc>
          <w:tcPr>
            <w:tcW w:w="1024" w:type="dxa"/>
            <w:vMerge/>
            <w:shd w:val="clear" w:color="auto" w:fill="auto"/>
            <w:noWrap/>
            <w:vAlign w:val="center"/>
          </w:tcPr>
          <w:p w14:paraId="5F32ADC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36421D0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215FD4E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E7F3F4"/>
            <w:noWrap/>
            <w:vAlign w:val="center"/>
          </w:tcPr>
          <w:p w14:paraId="74769EF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Bowling Green Bay</w:t>
            </w:r>
          </w:p>
          <w:p w14:paraId="05BC7047"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E7F3F4"/>
            <w:noWrap/>
            <w:vAlign w:val="center"/>
          </w:tcPr>
          <w:p w14:paraId="292BF67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JR1*</w:t>
            </w:r>
          </w:p>
        </w:tc>
        <w:tc>
          <w:tcPr>
            <w:tcW w:w="1579" w:type="dxa"/>
            <w:shd w:val="clear" w:color="auto" w:fill="E7F3F4"/>
            <w:noWrap/>
            <w:vAlign w:val="center"/>
          </w:tcPr>
          <w:p w14:paraId="169BD0B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Jerona (Barratta CK)</w:t>
            </w:r>
          </w:p>
        </w:tc>
        <w:tc>
          <w:tcPr>
            <w:tcW w:w="486" w:type="dxa"/>
            <w:shd w:val="clear" w:color="auto" w:fill="E7F3F4"/>
            <w:noWrap/>
          </w:tcPr>
          <w:p w14:paraId="72A28B8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bottom"/>
          </w:tcPr>
          <w:p w14:paraId="60D01A8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25.369</w:t>
            </w:r>
          </w:p>
        </w:tc>
        <w:tc>
          <w:tcPr>
            <w:tcW w:w="576" w:type="dxa"/>
            <w:shd w:val="clear" w:color="auto" w:fill="E7F3F4"/>
            <w:noWrap/>
          </w:tcPr>
          <w:p w14:paraId="2A968E6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147°</w:t>
            </w:r>
          </w:p>
        </w:tc>
        <w:tc>
          <w:tcPr>
            <w:tcW w:w="830" w:type="dxa"/>
            <w:shd w:val="clear" w:color="auto" w:fill="E7F3F4"/>
            <w:noWrap/>
            <w:vAlign w:val="bottom"/>
          </w:tcPr>
          <w:p w14:paraId="6CE0D0D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14.487</w:t>
            </w:r>
          </w:p>
        </w:tc>
        <w:tc>
          <w:tcPr>
            <w:tcW w:w="481" w:type="dxa"/>
            <w:vMerge w:val="restart"/>
            <w:shd w:val="clear" w:color="auto" w:fill="E7F3F4"/>
            <w:noWrap/>
            <w:vAlign w:val="center"/>
          </w:tcPr>
          <w:p w14:paraId="07B8AB6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5293C25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09945BF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1B9958C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64EF33F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47A95FA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47C64F3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1DDB00B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75B7951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1EDEA18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8D01F1" w:rsidRPr="00592F37" w14:paraId="24AF7330" w14:textId="77777777" w:rsidTr="008D01F1">
        <w:trPr>
          <w:trHeight w:val="170"/>
          <w:jc w:val="center"/>
        </w:trPr>
        <w:tc>
          <w:tcPr>
            <w:tcW w:w="1024" w:type="dxa"/>
            <w:vMerge/>
            <w:shd w:val="clear" w:color="auto" w:fill="auto"/>
            <w:noWrap/>
            <w:vAlign w:val="center"/>
          </w:tcPr>
          <w:p w14:paraId="2997D02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401A505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4C8945C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49473FF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4D6D713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JR2*</w:t>
            </w:r>
          </w:p>
        </w:tc>
        <w:tc>
          <w:tcPr>
            <w:tcW w:w="1579" w:type="dxa"/>
            <w:shd w:val="clear" w:color="auto" w:fill="E7F3F4"/>
            <w:noWrap/>
            <w:vAlign w:val="center"/>
          </w:tcPr>
          <w:p w14:paraId="7A9D5BA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Jerona (Barratta CK)</w:t>
            </w:r>
          </w:p>
        </w:tc>
        <w:tc>
          <w:tcPr>
            <w:tcW w:w="486" w:type="dxa"/>
            <w:shd w:val="clear" w:color="auto" w:fill="E7F3F4"/>
            <w:noWrap/>
          </w:tcPr>
          <w:p w14:paraId="01D27F4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w:t>
            </w:r>
          </w:p>
        </w:tc>
        <w:tc>
          <w:tcPr>
            <w:tcW w:w="830" w:type="dxa"/>
            <w:shd w:val="clear" w:color="auto" w:fill="E7F3F4"/>
            <w:noWrap/>
            <w:vAlign w:val="bottom"/>
          </w:tcPr>
          <w:p w14:paraId="036A47E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25.272</w:t>
            </w:r>
          </w:p>
        </w:tc>
        <w:tc>
          <w:tcPr>
            <w:tcW w:w="576" w:type="dxa"/>
            <w:shd w:val="clear" w:color="auto" w:fill="E7F3F4"/>
            <w:noWrap/>
          </w:tcPr>
          <w:p w14:paraId="1F5417D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147°</w:t>
            </w:r>
          </w:p>
        </w:tc>
        <w:tc>
          <w:tcPr>
            <w:tcW w:w="830" w:type="dxa"/>
            <w:shd w:val="clear" w:color="auto" w:fill="E7F3F4"/>
            <w:noWrap/>
            <w:vAlign w:val="bottom"/>
          </w:tcPr>
          <w:p w14:paraId="7824990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14.435</w:t>
            </w:r>
          </w:p>
        </w:tc>
        <w:tc>
          <w:tcPr>
            <w:tcW w:w="481" w:type="dxa"/>
            <w:vMerge/>
            <w:shd w:val="clear" w:color="auto" w:fill="E7F3F4"/>
            <w:noWrap/>
            <w:vAlign w:val="center"/>
          </w:tcPr>
          <w:p w14:paraId="2F0F4FA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796FEBC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55B4DB8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16579B2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39E7BC0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0A24128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24E6DC2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479845E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37BE1C7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1357A707"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718671B7" w14:textId="77777777" w:rsidTr="008D01F1">
        <w:trPr>
          <w:trHeight w:val="170"/>
          <w:jc w:val="center"/>
        </w:trPr>
        <w:tc>
          <w:tcPr>
            <w:tcW w:w="1024" w:type="dxa"/>
            <w:vMerge/>
            <w:shd w:val="clear" w:color="auto" w:fill="auto"/>
            <w:noWrap/>
            <w:vAlign w:val="center"/>
          </w:tcPr>
          <w:p w14:paraId="79E2C26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val="restart"/>
            <w:shd w:val="clear" w:color="auto" w:fill="F3F9FA"/>
            <w:noWrap/>
            <w:vAlign w:val="center"/>
          </w:tcPr>
          <w:p w14:paraId="0B485AE3" w14:textId="42EC00BC" w:rsidR="008D01F1" w:rsidRPr="00592F37" w:rsidRDefault="00B72AC4"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Mackay–Whitsunday</w:t>
            </w:r>
          </w:p>
          <w:p w14:paraId="71D360F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t>
            </w:r>
            <w:r w:rsidRPr="00592F37">
              <w:rPr>
                <w:rFonts w:asciiTheme="minorHAnsi" w:hAnsiTheme="minorHAnsi" w:cstheme="minorHAnsi"/>
                <w:i/>
                <w:color w:val="000000"/>
                <w:sz w:val="14"/>
                <w:szCs w:val="14"/>
              </w:rPr>
              <w:t>Reef Catchments</w:t>
            </w:r>
            <w:r w:rsidRPr="00592F37">
              <w:rPr>
                <w:rFonts w:asciiTheme="minorHAnsi" w:hAnsiTheme="minorHAnsi" w:cstheme="minorHAnsi"/>
                <w:color w:val="000000"/>
                <w:sz w:val="14"/>
                <w:szCs w:val="14"/>
              </w:rPr>
              <w:t>)</w:t>
            </w:r>
          </w:p>
        </w:tc>
        <w:tc>
          <w:tcPr>
            <w:tcW w:w="1079" w:type="dxa"/>
            <w:vMerge w:val="restart"/>
            <w:shd w:val="clear" w:color="auto" w:fill="F3F9FA"/>
            <w:vAlign w:val="center"/>
          </w:tcPr>
          <w:p w14:paraId="553B23B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Proserpine / O'Connell</w:t>
            </w:r>
          </w:p>
        </w:tc>
        <w:tc>
          <w:tcPr>
            <w:tcW w:w="1576" w:type="dxa"/>
            <w:vMerge w:val="restart"/>
            <w:shd w:val="clear" w:color="auto" w:fill="F3F9FA"/>
            <w:noWrap/>
            <w:vAlign w:val="center"/>
          </w:tcPr>
          <w:p w14:paraId="58D7055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Lindeman Is.</w:t>
            </w:r>
          </w:p>
          <w:p w14:paraId="4BF5BCB7"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F3F9FA"/>
            <w:noWrap/>
            <w:vAlign w:val="center"/>
          </w:tcPr>
          <w:p w14:paraId="2D55A2F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LN1</w:t>
            </w:r>
            <w:r w:rsidRPr="00592F37">
              <w:rPr>
                <w:rFonts w:asciiTheme="minorHAnsi" w:hAnsiTheme="minorHAnsi" w:cstheme="minorHAnsi"/>
                <w:iCs/>
                <w:color w:val="000000"/>
                <w:sz w:val="14"/>
                <w:szCs w:val="14"/>
              </w:rPr>
              <w:t>^</w:t>
            </w:r>
          </w:p>
        </w:tc>
        <w:tc>
          <w:tcPr>
            <w:tcW w:w="1579" w:type="dxa"/>
            <w:shd w:val="clear" w:color="auto" w:fill="F3F9FA"/>
            <w:noWrap/>
            <w:vAlign w:val="center"/>
          </w:tcPr>
          <w:p w14:paraId="495948C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Lindeman Is.</w:t>
            </w:r>
          </w:p>
        </w:tc>
        <w:tc>
          <w:tcPr>
            <w:tcW w:w="486" w:type="dxa"/>
            <w:shd w:val="clear" w:color="auto" w:fill="F3F9FA"/>
            <w:noWrap/>
            <w:vAlign w:val="center"/>
          </w:tcPr>
          <w:p w14:paraId="0148CCF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60ECB43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26.293</w:t>
            </w:r>
          </w:p>
        </w:tc>
        <w:tc>
          <w:tcPr>
            <w:tcW w:w="576" w:type="dxa"/>
            <w:shd w:val="clear" w:color="auto" w:fill="F3F9FA"/>
            <w:noWrap/>
            <w:vAlign w:val="center"/>
          </w:tcPr>
          <w:p w14:paraId="73CA858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149°</w:t>
            </w:r>
          </w:p>
        </w:tc>
        <w:tc>
          <w:tcPr>
            <w:tcW w:w="830" w:type="dxa"/>
            <w:shd w:val="clear" w:color="auto" w:fill="F3F9FA"/>
            <w:noWrap/>
            <w:vAlign w:val="bottom"/>
          </w:tcPr>
          <w:p w14:paraId="3B72B39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1.691</w:t>
            </w:r>
          </w:p>
        </w:tc>
        <w:tc>
          <w:tcPr>
            <w:tcW w:w="481" w:type="dxa"/>
            <w:vMerge w:val="restart"/>
            <w:shd w:val="clear" w:color="auto" w:fill="F3F9FA"/>
            <w:noWrap/>
            <w:vAlign w:val="center"/>
          </w:tcPr>
          <w:p w14:paraId="3A6160D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44CC9A3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78449A0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7AD5CFE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7796280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568ACDF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260D525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681C3E2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1E8A202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3FFA5BF"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4FB9DBCB" w14:textId="77777777" w:rsidTr="008D01F1">
        <w:trPr>
          <w:trHeight w:val="170"/>
          <w:jc w:val="center"/>
        </w:trPr>
        <w:tc>
          <w:tcPr>
            <w:tcW w:w="1024" w:type="dxa"/>
            <w:vMerge/>
            <w:shd w:val="clear" w:color="auto" w:fill="auto"/>
            <w:noWrap/>
            <w:vAlign w:val="center"/>
          </w:tcPr>
          <w:p w14:paraId="4DC577C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2B9223A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206DB2C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2B6F52B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68C5A7B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LN2</w:t>
            </w:r>
            <w:r w:rsidRPr="00592F37">
              <w:rPr>
                <w:rFonts w:asciiTheme="minorHAnsi" w:hAnsiTheme="minorHAnsi" w:cstheme="minorHAnsi"/>
                <w:iCs/>
                <w:color w:val="000000"/>
                <w:sz w:val="14"/>
                <w:szCs w:val="14"/>
              </w:rPr>
              <w:t>^</w:t>
            </w:r>
          </w:p>
        </w:tc>
        <w:tc>
          <w:tcPr>
            <w:tcW w:w="1579" w:type="dxa"/>
            <w:shd w:val="clear" w:color="auto" w:fill="F3F9FA"/>
            <w:noWrap/>
            <w:vAlign w:val="center"/>
          </w:tcPr>
          <w:p w14:paraId="01C1461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Lindeman Is.</w:t>
            </w:r>
          </w:p>
        </w:tc>
        <w:tc>
          <w:tcPr>
            <w:tcW w:w="486" w:type="dxa"/>
            <w:shd w:val="clear" w:color="auto" w:fill="F3F9FA"/>
            <w:noWrap/>
            <w:vAlign w:val="center"/>
          </w:tcPr>
          <w:p w14:paraId="6EAADC4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2BD1C6F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26.014</w:t>
            </w:r>
          </w:p>
        </w:tc>
        <w:tc>
          <w:tcPr>
            <w:tcW w:w="576" w:type="dxa"/>
            <w:shd w:val="clear" w:color="auto" w:fill="F3F9FA"/>
            <w:noWrap/>
            <w:vAlign w:val="center"/>
          </w:tcPr>
          <w:p w14:paraId="29CBF36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149°</w:t>
            </w:r>
          </w:p>
        </w:tc>
        <w:tc>
          <w:tcPr>
            <w:tcW w:w="830" w:type="dxa"/>
            <w:shd w:val="clear" w:color="auto" w:fill="F3F9FA"/>
            <w:noWrap/>
            <w:vAlign w:val="bottom"/>
          </w:tcPr>
          <w:p w14:paraId="1044F32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1.923</w:t>
            </w:r>
          </w:p>
        </w:tc>
        <w:tc>
          <w:tcPr>
            <w:tcW w:w="481" w:type="dxa"/>
            <w:vMerge/>
            <w:shd w:val="clear" w:color="auto" w:fill="F3F9FA"/>
            <w:noWrap/>
            <w:vAlign w:val="center"/>
          </w:tcPr>
          <w:p w14:paraId="403034D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146825F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7A85A3A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73E575C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44E4EB7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1D297A9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5B5198B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645CDA2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592B02E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621B6335"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5F247532" w14:textId="77777777" w:rsidTr="008D01F1">
        <w:trPr>
          <w:trHeight w:val="170"/>
          <w:jc w:val="center"/>
        </w:trPr>
        <w:tc>
          <w:tcPr>
            <w:tcW w:w="1024" w:type="dxa"/>
            <w:vMerge/>
            <w:shd w:val="clear" w:color="auto" w:fill="auto"/>
            <w:noWrap/>
            <w:vAlign w:val="center"/>
          </w:tcPr>
          <w:p w14:paraId="2831D80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1B398A3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09783B9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F3F9FA"/>
            <w:noWrap/>
            <w:vAlign w:val="center"/>
          </w:tcPr>
          <w:p w14:paraId="6493FBD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Repulse Bay</w:t>
            </w:r>
          </w:p>
          <w:p w14:paraId="1C31EA23"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F3F9FA"/>
            <w:noWrap/>
            <w:vAlign w:val="center"/>
          </w:tcPr>
          <w:p w14:paraId="41EFF19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MP2*</w:t>
            </w:r>
          </w:p>
        </w:tc>
        <w:tc>
          <w:tcPr>
            <w:tcW w:w="1579" w:type="dxa"/>
            <w:shd w:val="clear" w:color="auto" w:fill="F3F9FA"/>
            <w:noWrap/>
            <w:vAlign w:val="center"/>
          </w:tcPr>
          <w:p w14:paraId="2D13320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Midge Point</w:t>
            </w:r>
          </w:p>
        </w:tc>
        <w:tc>
          <w:tcPr>
            <w:tcW w:w="486" w:type="dxa"/>
            <w:shd w:val="clear" w:color="auto" w:fill="F3F9FA"/>
            <w:noWrap/>
            <w:vAlign w:val="center"/>
          </w:tcPr>
          <w:p w14:paraId="5471FA2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3397517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38.084</w:t>
            </w:r>
          </w:p>
        </w:tc>
        <w:tc>
          <w:tcPr>
            <w:tcW w:w="576" w:type="dxa"/>
            <w:shd w:val="clear" w:color="auto" w:fill="F3F9FA"/>
            <w:noWrap/>
            <w:vAlign w:val="center"/>
          </w:tcPr>
          <w:p w14:paraId="4F1CEFC9"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148°</w:t>
            </w:r>
          </w:p>
        </w:tc>
        <w:tc>
          <w:tcPr>
            <w:tcW w:w="830" w:type="dxa"/>
            <w:shd w:val="clear" w:color="auto" w:fill="F3F9FA"/>
            <w:noWrap/>
            <w:vAlign w:val="bottom"/>
          </w:tcPr>
          <w:p w14:paraId="2427DCA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42.107</w:t>
            </w:r>
          </w:p>
        </w:tc>
        <w:tc>
          <w:tcPr>
            <w:tcW w:w="481" w:type="dxa"/>
            <w:vMerge w:val="restart"/>
            <w:shd w:val="clear" w:color="auto" w:fill="F3F9FA"/>
            <w:noWrap/>
            <w:vAlign w:val="center"/>
          </w:tcPr>
          <w:p w14:paraId="28486BA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7D55B01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5B52445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7E13B3F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54EBCAB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74CCD37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70D9D8F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7065806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00FCC9D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7CD6FFE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8D01F1" w:rsidRPr="00592F37" w14:paraId="0C601FE6" w14:textId="77777777" w:rsidTr="008D01F1">
        <w:trPr>
          <w:trHeight w:val="170"/>
          <w:jc w:val="center"/>
        </w:trPr>
        <w:tc>
          <w:tcPr>
            <w:tcW w:w="1024" w:type="dxa"/>
            <w:vMerge/>
            <w:shd w:val="clear" w:color="auto" w:fill="auto"/>
            <w:noWrap/>
            <w:vAlign w:val="center"/>
          </w:tcPr>
          <w:p w14:paraId="14B0E59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6164B74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6FD9294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7911E2A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3E32358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MP3*</w:t>
            </w:r>
          </w:p>
        </w:tc>
        <w:tc>
          <w:tcPr>
            <w:tcW w:w="1579" w:type="dxa"/>
            <w:shd w:val="clear" w:color="auto" w:fill="F3F9FA"/>
            <w:noWrap/>
            <w:vAlign w:val="center"/>
          </w:tcPr>
          <w:p w14:paraId="273B7F4A"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color w:val="000000"/>
                <w:sz w:val="14"/>
                <w:szCs w:val="14"/>
              </w:rPr>
              <w:t>Midge Point</w:t>
            </w:r>
          </w:p>
        </w:tc>
        <w:tc>
          <w:tcPr>
            <w:tcW w:w="486" w:type="dxa"/>
            <w:shd w:val="clear" w:color="auto" w:fill="F3F9FA"/>
            <w:noWrap/>
            <w:vAlign w:val="center"/>
          </w:tcPr>
          <w:p w14:paraId="308F032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79792E7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38.067</w:t>
            </w:r>
          </w:p>
        </w:tc>
        <w:tc>
          <w:tcPr>
            <w:tcW w:w="576" w:type="dxa"/>
            <w:shd w:val="clear" w:color="auto" w:fill="F3F9FA"/>
            <w:noWrap/>
            <w:vAlign w:val="center"/>
          </w:tcPr>
          <w:p w14:paraId="38F8344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148°</w:t>
            </w:r>
          </w:p>
        </w:tc>
        <w:tc>
          <w:tcPr>
            <w:tcW w:w="830" w:type="dxa"/>
            <w:shd w:val="clear" w:color="auto" w:fill="F3F9FA"/>
            <w:noWrap/>
            <w:vAlign w:val="bottom"/>
          </w:tcPr>
          <w:p w14:paraId="24FAE96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42.282</w:t>
            </w:r>
          </w:p>
        </w:tc>
        <w:tc>
          <w:tcPr>
            <w:tcW w:w="481" w:type="dxa"/>
            <w:vMerge/>
            <w:shd w:val="clear" w:color="auto" w:fill="F3F9FA"/>
            <w:noWrap/>
            <w:vAlign w:val="center"/>
          </w:tcPr>
          <w:p w14:paraId="48D8EB2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44C350F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1405632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2DBA9A9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6AC8E27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37A448F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348F266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72C244D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21D7E81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72F06BAF"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494A10AC" w14:textId="77777777" w:rsidTr="008D01F1">
        <w:trPr>
          <w:trHeight w:val="170"/>
          <w:jc w:val="center"/>
        </w:trPr>
        <w:tc>
          <w:tcPr>
            <w:tcW w:w="1024" w:type="dxa"/>
            <w:vMerge/>
            <w:shd w:val="clear" w:color="auto" w:fill="auto"/>
            <w:noWrap/>
            <w:vAlign w:val="center"/>
          </w:tcPr>
          <w:p w14:paraId="5EB46FD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4B32F77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7D4CC68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val="restart"/>
            <w:shd w:val="clear" w:color="auto" w:fill="F3F9FA"/>
            <w:noWrap/>
            <w:vAlign w:val="center"/>
          </w:tcPr>
          <w:p w14:paraId="056926A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Hamilton Island</w:t>
            </w:r>
          </w:p>
          <w:p w14:paraId="2DFB8C1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F3F9FA"/>
            <w:noWrap/>
            <w:vAlign w:val="center"/>
          </w:tcPr>
          <w:p w14:paraId="2639F82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HM1*</w:t>
            </w:r>
          </w:p>
        </w:tc>
        <w:tc>
          <w:tcPr>
            <w:tcW w:w="1579" w:type="dxa"/>
            <w:shd w:val="clear" w:color="auto" w:fill="F3F9FA"/>
            <w:noWrap/>
            <w:vAlign w:val="center"/>
          </w:tcPr>
          <w:p w14:paraId="18F24AB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Catseye Bay - west</w:t>
            </w:r>
          </w:p>
        </w:tc>
        <w:tc>
          <w:tcPr>
            <w:tcW w:w="486" w:type="dxa"/>
            <w:shd w:val="clear" w:color="auto" w:fill="F3F9FA"/>
            <w:noWrap/>
            <w:vAlign w:val="bottom"/>
          </w:tcPr>
          <w:p w14:paraId="2229E23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3BD8429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20.636</w:t>
            </w:r>
          </w:p>
        </w:tc>
        <w:tc>
          <w:tcPr>
            <w:tcW w:w="576" w:type="dxa"/>
            <w:shd w:val="clear" w:color="auto" w:fill="F3F9FA"/>
            <w:noWrap/>
            <w:vAlign w:val="bottom"/>
          </w:tcPr>
          <w:p w14:paraId="727FF9F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148°</w:t>
            </w:r>
          </w:p>
        </w:tc>
        <w:tc>
          <w:tcPr>
            <w:tcW w:w="830" w:type="dxa"/>
            <w:shd w:val="clear" w:color="auto" w:fill="F3F9FA"/>
            <w:noWrap/>
            <w:vAlign w:val="bottom"/>
          </w:tcPr>
          <w:p w14:paraId="32A65C4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57.439</w:t>
            </w:r>
          </w:p>
        </w:tc>
        <w:tc>
          <w:tcPr>
            <w:tcW w:w="481" w:type="dxa"/>
            <w:vMerge w:val="restart"/>
            <w:shd w:val="clear" w:color="auto" w:fill="F3F9FA"/>
            <w:noWrap/>
            <w:vAlign w:val="center"/>
          </w:tcPr>
          <w:p w14:paraId="332E723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17DFCBAC"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7F954159"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1BF8F88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396437E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54C25ED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FBDD6A5"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70E03EAC"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10" w:type="dxa"/>
            <w:vMerge w:val="restart"/>
            <w:shd w:val="clear" w:color="auto" w:fill="F3F9FA"/>
            <w:vAlign w:val="center"/>
          </w:tcPr>
          <w:p w14:paraId="65D1384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2669F0DD"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8D01F1" w:rsidRPr="00592F37" w14:paraId="6CE75A8C" w14:textId="77777777" w:rsidTr="008D01F1">
        <w:trPr>
          <w:trHeight w:val="170"/>
          <w:jc w:val="center"/>
        </w:trPr>
        <w:tc>
          <w:tcPr>
            <w:tcW w:w="1024" w:type="dxa"/>
            <w:vMerge/>
            <w:shd w:val="clear" w:color="auto" w:fill="auto"/>
            <w:noWrap/>
            <w:vAlign w:val="center"/>
          </w:tcPr>
          <w:p w14:paraId="396E6DC7"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5C76363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3E0AF4C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455C9E5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0D32CCEB"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HM2*</w:t>
            </w:r>
          </w:p>
        </w:tc>
        <w:tc>
          <w:tcPr>
            <w:tcW w:w="1579" w:type="dxa"/>
            <w:shd w:val="clear" w:color="auto" w:fill="F3F9FA"/>
            <w:noWrap/>
            <w:vAlign w:val="center"/>
          </w:tcPr>
          <w:p w14:paraId="70EC0306" w14:textId="77777777" w:rsidR="008D01F1" w:rsidRPr="00592F37" w:rsidRDefault="008D01F1"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color w:val="000000"/>
                <w:sz w:val="14"/>
                <w:szCs w:val="14"/>
              </w:rPr>
              <w:t>Catseye Bay - east</w:t>
            </w:r>
          </w:p>
        </w:tc>
        <w:tc>
          <w:tcPr>
            <w:tcW w:w="486" w:type="dxa"/>
            <w:shd w:val="clear" w:color="auto" w:fill="F3F9FA"/>
            <w:noWrap/>
            <w:vAlign w:val="center"/>
          </w:tcPr>
          <w:p w14:paraId="293CEB1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w:t>
            </w:r>
          </w:p>
        </w:tc>
        <w:tc>
          <w:tcPr>
            <w:tcW w:w="830" w:type="dxa"/>
            <w:shd w:val="clear" w:color="auto" w:fill="F3F9FA"/>
            <w:noWrap/>
            <w:vAlign w:val="bottom"/>
          </w:tcPr>
          <w:p w14:paraId="211409E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20.797</w:t>
            </w:r>
          </w:p>
        </w:tc>
        <w:tc>
          <w:tcPr>
            <w:tcW w:w="576" w:type="dxa"/>
            <w:shd w:val="clear" w:color="auto" w:fill="F3F9FA"/>
            <w:noWrap/>
            <w:vAlign w:val="center"/>
          </w:tcPr>
          <w:p w14:paraId="18CCCB5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148°</w:t>
            </w:r>
          </w:p>
        </w:tc>
        <w:tc>
          <w:tcPr>
            <w:tcW w:w="830" w:type="dxa"/>
            <w:shd w:val="clear" w:color="auto" w:fill="F3F9FA"/>
            <w:noWrap/>
            <w:vAlign w:val="bottom"/>
          </w:tcPr>
          <w:p w14:paraId="03A2B6E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58.234</w:t>
            </w:r>
          </w:p>
        </w:tc>
        <w:tc>
          <w:tcPr>
            <w:tcW w:w="481" w:type="dxa"/>
            <w:vMerge/>
            <w:shd w:val="clear" w:color="auto" w:fill="F3F9FA"/>
            <w:noWrap/>
            <w:vAlign w:val="center"/>
          </w:tcPr>
          <w:p w14:paraId="1450A3E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74AB92E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7530840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6146238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5ACD3520"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0D7BF2F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67253F4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1AFA6F0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148305CA"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0181D57A"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8D01F1" w:rsidRPr="00592F37" w14:paraId="34BF247E" w14:textId="77777777" w:rsidTr="008D01F1">
        <w:trPr>
          <w:trHeight w:val="170"/>
          <w:jc w:val="center"/>
        </w:trPr>
        <w:tc>
          <w:tcPr>
            <w:tcW w:w="1024" w:type="dxa"/>
            <w:vMerge/>
            <w:shd w:val="clear" w:color="auto" w:fill="auto"/>
            <w:noWrap/>
            <w:vAlign w:val="center"/>
          </w:tcPr>
          <w:p w14:paraId="028993A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72F2A7D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val="restart"/>
            <w:shd w:val="clear" w:color="auto" w:fill="F3F9FA"/>
            <w:vAlign w:val="center"/>
          </w:tcPr>
          <w:p w14:paraId="621EB196"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Plane</w:t>
            </w:r>
          </w:p>
        </w:tc>
        <w:tc>
          <w:tcPr>
            <w:tcW w:w="1576" w:type="dxa"/>
            <w:vMerge w:val="restart"/>
            <w:shd w:val="clear" w:color="auto" w:fill="F3F9FA"/>
            <w:noWrap/>
            <w:vAlign w:val="center"/>
          </w:tcPr>
          <w:p w14:paraId="4E8FB26A"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Sarina Inlet</w:t>
            </w:r>
          </w:p>
          <w:p w14:paraId="79BC6E1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estuarine </w:t>
            </w:r>
          </w:p>
        </w:tc>
        <w:tc>
          <w:tcPr>
            <w:tcW w:w="674" w:type="dxa"/>
            <w:shd w:val="clear" w:color="auto" w:fill="F3F9FA"/>
            <w:noWrap/>
            <w:vAlign w:val="center"/>
          </w:tcPr>
          <w:p w14:paraId="4CD748A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SI1*</w:t>
            </w:r>
          </w:p>
        </w:tc>
        <w:tc>
          <w:tcPr>
            <w:tcW w:w="1579" w:type="dxa"/>
            <w:shd w:val="clear" w:color="auto" w:fill="F3F9FA"/>
            <w:noWrap/>
            <w:vAlign w:val="center"/>
          </w:tcPr>
          <w:p w14:paraId="7A0C3890"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Point Salisbury</w:t>
            </w:r>
          </w:p>
        </w:tc>
        <w:tc>
          <w:tcPr>
            <w:tcW w:w="486" w:type="dxa"/>
            <w:shd w:val="clear" w:color="auto" w:fill="F3F9FA"/>
            <w:noWrap/>
            <w:vAlign w:val="center"/>
          </w:tcPr>
          <w:p w14:paraId="41E2E818"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21°</w:t>
            </w:r>
          </w:p>
        </w:tc>
        <w:tc>
          <w:tcPr>
            <w:tcW w:w="830" w:type="dxa"/>
            <w:shd w:val="clear" w:color="auto" w:fill="F3F9FA"/>
            <w:noWrap/>
            <w:vAlign w:val="bottom"/>
          </w:tcPr>
          <w:p w14:paraId="38EEBD42"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23.770</w:t>
            </w:r>
          </w:p>
        </w:tc>
        <w:tc>
          <w:tcPr>
            <w:tcW w:w="576" w:type="dxa"/>
            <w:shd w:val="clear" w:color="auto" w:fill="F3F9FA"/>
            <w:noWrap/>
            <w:vAlign w:val="center"/>
          </w:tcPr>
          <w:p w14:paraId="39DF4CF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149°</w:t>
            </w:r>
          </w:p>
        </w:tc>
        <w:tc>
          <w:tcPr>
            <w:tcW w:w="830" w:type="dxa"/>
            <w:shd w:val="clear" w:color="auto" w:fill="F3F9FA"/>
            <w:noWrap/>
            <w:vAlign w:val="bottom"/>
          </w:tcPr>
          <w:p w14:paraId="46987E37"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18.248</w:t>
            </w:r>
          </w:p>
        </w:tc>
        <w:tc>
          <w:tcPr>
            <w:tcW w:w="481" w:type="dxa"/>
            <w:vMerge w:val="restart"/>
            <w:shd w:val="clear" w:color="auto" w:fill="F3F9FA"/>
            <w:noWrap/>
            <w:vAlign w:val="center"/>
          </w:tcPr>
          <w:p w14:paraId="632EDFB1"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18486FB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2DF3180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61ED75C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6DCBED5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435E111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0AC215B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398" w:type="dxa"/>
            <w:vMerge w:val="restart"/>
            <w:shd w:val="clear" w:color="auto" w:fill="F3F9FA"/>
            <w:vAlign w:val="center"/>
          </w:tcPr>
          <w:p w14:paraId="52C6F094"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3508505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1AFE9C4E"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8D01F1" w:rsidRPr="00592F37" w14:paraId="4D67D4F3" w14:textId="77777777" w:rsidTr="008D01F1">
        <w:trPr>
          <w:trHeight w:val="170"/>
          <w:jc w:val="center"/>
        </w:trPr>
        <w:tc>
          <w:tcPr>
            <w:tcW w:w="1024" w:type="dxa"/>
            <w:vMerge/>
            <w:shd w:val="clear" w:color="auto" w:fill="auto"/>
            <w:noWrap/>
            <w:vAlign w:val="center"/>
          </w:tcPr>
          <w:p w14:paraId="23E7CC8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0E9EB10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78F9829F"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1715195B"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1F7A7AD2" w14:textId="77777777" w:rsidR="008D01F1" w:rsidRPr="00592F37" w:rsidRDefault="008D01F1"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SI2*</w:t>
            </w:r>
          </w:p>
        </w:tc>
        <w:tc>
          <w:tcPr>
            <w:tcW w:w="1579" w:type="dxa"/>
            <w:shd w:val="clear" w:color="auto" w:fill="F3F9FA"/>
            <w:noWrap/>
            <w:vAlign w:val="center"/>
          </w:tcPr>
          <w:p w14:paraId="38C69E0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Point Salisbury</w:t>
            </w:r>
          </w:p>
        </w:tc>
        <w:tc>
          <w:tcPr>
            <w:tcW w:w="486" w:type="dxa"/>
            <w:shd w:val="clear" w:color="auto" w:fill="F3F9FA"/>
            <w:noWrap/>
            <w:vAlign w:val="center"/>
          </w:tcPr>
          <w:p w14:paraId="36AA8223"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21°</w:t>
            </w:r>
          </w:p>
        </w:tc>
        <w:tc>
          <w:tcPr>
            <w:tcW w:w="830" w:type="dxa"/>
            <w:shd w:val="clear" w:color="auto" w:fill="F3F9FA"/>
            <w:noWrap/>
            <w:vAlign w:val="bottom"/>
          </w:tcPr>
          <w:p w14:paraId="464F46A4"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23.719</w:t>
            </w:r>
          </w:p>
        </w:tc>
        <w:tc>
          <w:tcPr>
            <w:tcW w:w="576" w:type="dxa"/>
            <w:shd w:val="clear" w:color="auto" w:fill="F3F9FA"/>
            <w:noWrap/>
            <w:vAlign w:val="center"/>
          </w:tcPr>
          <w:p w14:paraId="6A55D7D1"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149°</w:t>
            </w:r>
          </w:p>
        </w:tc>
        <w:tc>
          <w:tcPr>
            <w:tcW w:w="830" w:type="dxa"/>
            <w:shd w:val="clear" w:color="auto" w:fill="F3F9FA"/>
            <w:noWrap/>
            <w:vAlign w:val="bottom"/>
          </w:tcPr>
          <w:p w14:paraId="7A456FBF" w14:textId="77777777" w:rsidR="008D01F1" w:rsidRPr="00592F37" w:rsidRDefault="008D01F1"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18.288</w:t>
            </w:r>
          </w:p>
        </w:tc>
        <w:tc>
          <w:tcPr>
            <w:tcW w:w="481" w:type="dxa"/>
            <w:vMerge/>
            <w:shd w:val="clear" w:color="auto" w:fill="F3F9FA"/>
            <w:noWrap/>
            <w:vAlign w:val="center"/>
          </w:tcPr>
          <w:p w14:paraId="54DCF822"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3C281308"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686EFC3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04CE897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027BAE7D"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5DE19D3E"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335A3755"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27098043"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328A4FA6" w14:textId="77777777" w:rsidR="008D01F1" w:rsidRPr="00592F37" w:rsidRDefault="008D01F1"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7F1E6DD1" w14:textId="77777777" w:rsidR="008D01F1" w:rsidRPr="00592F37" w:rsidRDefault="008D01F1" w:rsidP="009638AE">
            <w:pPr>
              <w:spacing w:before="0" w:after="0"/>
              <w:jc w:val="center"/>
              <w:rPr>
                <w:rFonts w:asciiTheme="minorHAnsi" w:hAnsiTheme="minorHAnsi" w:cstheme="minorHAnsi"/>
                <w:color w:val="000000"/>
                <w:sz w:val="14"/>
                <w:szCs w:val="14"/>
              </w:rPr>
            </w:pPr>
          </w:p>
        </w:tc>
      </w:tr>
      <w:tr w:rsidR="00123BCA" w:rsidRPr="00592F37" w14:paraId="2F23DBC3" w14:textId="77777777" w:rsidTr="008D01F1">
        <w:trPr>
          <w:trHeight w:val="170"/>
          <w:jc w:val="center"/>
        </w:trPr>
        <w:tc>
          <w:tcPr>
            <w:tcW w:w="1024" w:type="dxa"/>
            <w:vMerge w:val="restart"/>
            <w:shd w:val="clear" w:color="auto" w:fill="auto"/>
            <w:noWrap/>
            <w:vAlign w:val="center"/>
          </w:tcPr>
          <w:p w14:paraId="23614904"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Southern</w:t>
            </w:r>
          </w:p>
        </w:tc>
        <w:tc>
          <w:tcPr>
            <w:tcW w:w="1523" w:type="dxa"/>
            <w:vMerge w:val="restart"/>
            <w:shd w:val="clear" w:color="auto" w:fill="E7F3F4"/>
            <w:noWrap/>
            <w:vAlign w:val="center"/>
          </w:tcPr>
          <w:p w14:paraId="663AF704"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Fitzroy</w:t>
            </w:r>
          </w:p>
          <w:p w14:paraId="7F23491D"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t>
            </w:r>
            <w:r w:rsidRPr="00592F37">
              <w:rPr>
                <w:rFonts w:asciiTheme="minorHAnsi" w:hAnsiTheme="minorHAnsi" w:cstheme="minorHAnsi"/>
                <w:i/>
                <w:color w:val="000000"/>
                <w:sz w:val="14"/>
                <w:szCs w:val="14"/>
              </w:rPr>
              <w:t>Fitzroy Basin Association</w:t>
            </w:r>
            <w:r w:rsidRPr="00592F37">
              <w:rPr>
                <w:rFonts w:asciiTheme="minorHAnsi" w:hAnsiTheme="minorHAnsi" w:cstheme="minorHAnsi"/>
                <w:color w:val="000000"/>
                <w:sz w:val="14"/>
                <w:szCs w:val="14"/>
              </w:rPr>
              <w:t>)</w:t>
            </w:r>
          </w:p>
        </w:tc>
        <w:tc>
          <w:tcPr>
            <w:tcW w:w="1079" w:type="dxa"/>
            <w:vMerge w:val="restart"/>
            <w:shd w:val="clear" w:color="auto" w:fill="E7F3F4"/>
            <w:vAlign w:val="center"/>
          </w:tcPr>
          <w:p w14:paraId="07B8D69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Shoalwater / Fitzroy</w:t>
            </w:r>
          </w:p>
        </w:tc>
        <w:tc>
          <w:tcPr>
            <w:tcW w:w="1576" w:type="dxa"/>
            <w:vMerge w:val="restart"/>
            <w:shd w:val="clear" w:color="auto" w:fill="E7F3F4"/>
            <w:noWrap/>
            <w:vAlign w:val="center"/>
          </w:tcPr>
          <w:p w14:paraId="590E599E"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Shoalwater Bay</w:t>
            </w:r>
          </w:p>
          <w:p w14:paraId="1690E3A9"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coastal </w:t>
            </w:r>
          </w:p>
        </w:tc>
        <w:tc>
          <w:tcPr>
            <w:tcW w:w="674" w:type="dxa"/>
            <w:shd w:val="clear" w:color="auto" w:fill="E7F3F4"/>
            <w:noWrap/>
            <w:vAlign w:val="center"/>
          </w:tcPr>
          <w:p w14:paraId="4F7A750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RC1*</w:t>
            </w:r>
          </w:p>
        </w:tc>
        <w:tc>
          <w:tcPr>
            <w:tcW w:w="1579" w:type="dxa"/>
            <w:shd w:val="clear" w:color="auto" w:fill="E7F3F4"/>
            <w:noWrap/>
            <w:vAlign w:val="center"/>
          </w:tcPr>
          <w:p w14:paraId="27E874F2"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Ross Creek</w:t>
            </w:r>
          </w:p>
        </w:tc>
        <w:tc>
          <w:tcPr>
            <w:tcW w:w="486" w:type="dxa"/>
            <w:shd w:val="clear" w:color="auto" w:fill="E7F3F4"/>
            <w:noWrap/>
            <w:vAlign w:val="center"/>
          </w:tcPr>
          <w:p w14:paraId="1BDB34DE"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22°</w:t>
            </w:r>
          </w:p>
        </w:tc>
        <w:tc>
          <w:tcPr>
            <w:tcW w:w="830" w:type="dxa"/>
            <w:shd w:val="clear" w:color="auto" w:fill="E7F3F4"/>
            <w:noWrap/>
            <w:vAlign w:val="center"/>
          </w:tcPr>
          <w:p w14:paraId="4387F10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22.912</w:t>
            </w:r>
          </w:p>
        </w:tc>
        <w:tc>
          <w:tcPr>
            <w:tcW w:w="576" w:type="dxa"/>
            <w:shd w:val="clear" w:color="auto" w:fill="E7F3F4"/>
            <w:noWrap/>
            <w:vAlign w:val="center"/>
          </w:tcPr>
          <w:p w14:paraId="5136853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150°</w:t>
            </w:r>
          </w:p>
        </w:tc>
        <w:tc>
          <w:tcPr>
            <w:tcW w:w="830" w:type="dxa"/>
            <w:shd w:val="clear" w:color="auto" w:fill="E7F3F4"/>
            <w:noWrap/>
            <w:vAlign w:val="center"/>
          </w:tcPr>
          <w:p w14:paraId="33A1697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12.810</w:t>
            </w:r>
          </w:p>
        </w:tc>
        <w:tc>
          <w:tcPr>
            <w:tcW w:w="481" w:type="dxa"/>
            <w:vMerge w:val="restart"/>
            <w:shd w:val="clear" w:color="auto" w:fill="E7F3F4"/>
            <w:noWrap/>
            <w:vAlign w:val="center"/>
          </w:tcPr>
          <w:p w14:paraId="5258F0C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391A9CC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4CFD298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272EF27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4F189193"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7C95A62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1413A8F1"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5144F4C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5D6E435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6A1B29E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75CACEBF" w14:textId="77777777" w:rsidTr="008D01F1">
        <w:trPr>
          <w:trHeight w:val="170"/>
          <w:jc w:val="center"/>
        </w:trPr>
        <w:tc>
          <w:tcPr>
            <w:tcW w:w="1024" w:type="dxa"/>
            <w:vMerge/>
            <w:shd w:val="clear" w:color="auto" w:fill="auto"/>
            <w:noWrap/>
            <w:vAlign w:val="center"/>
          </w:tcPr>
          <w:p w14:paraId="0DB294F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1708B7D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4482A31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62B7118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24284B06"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WH1*</w:t>
            </w:r>
          </w:p>
        </w:tc>
        <w:tc>
          <w:tcPr>
            <w:tcW w:w="1579" w:type="dxa"/>
            <w:shd w:val="clear" w:color="auto" w:fill="E7F3F4"/>
            <w:noWrap/>
            <w:vAlign w:val="center"/>
          </w:tcPr>
          <w:p w14:paraId="38D2FCF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Wheelans Hut</w:t>
            </w:r>
          </w:p>
        </w:tc>
        <w:tc>
          <w:tcPr>
            <w:tcW w:w="486" w:type="dxa"/>
            <w:shd w:val="clear" w:color="auto" w:fill="E7F3F4"/>
            <w:noWrap/>
            <w:vAlign w:val="center"/>
          </w:tcPr>
          <w:p w14:paraId="114097FC"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22°</w:t>
            </w:r>
          </w:p>
        </w:tc>
        <w:tc>
          <w:tcPr>
            <w:tcW w:w="830" w:type="dxa"/>
            <w:shd w:val="clear" w:color="auto" w:fill="E7F3F4"/>
            <w:noWrap/>
            <w:vAlign w:val="center"/>
          </w:tcPr>
          <w:p w14:paraId="76134DC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23.829</w:t>
            </w:r>
          </w:p>
        </w:tc>
        <w:tc>
          <w:tcPr>
            <w:tcW w:w="576" w:type="dxa"/>
            <w:shd w:val="clear" w:color="auto" w:fill="E7F3F4"/>
            <w:noWrap/>
            <w:vAlign w:val="center"/>
          </w:tcPr>
          <w:p w14:paraId="5D9AA939"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150°</w:t>
            </w:r>
          </w:p>
        </w:tc>
        <w:tc>
          <w:tcPr>
            <w:tcW w:w="830" w:type="dxa"/>
            <w:shd w:val="clear" w:color="auto" w:fill="E7F3F4"/>
            <w:noWrap/>
            <w:vAlign w:val="center"/>
          </w:tcPr>
          <w:p w14:paraId="115ACDE5"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16.520</w:t>
            </w:r>
          </w:p>
        </w:tc>
        <w:tc>
          <w:tcPr>
            <w:tcW w:w="481" w:type="dxa"/>
            <w:vMerge/>
            <w:shd w:val="clear" w:color="auto" w:fill="E7F3F4"/>
            <w:noWrap/>
            <w:vAlign w:val="center"/>
          </w:tcPr>
          <w:p w14:paraId="63998A0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1451257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0816B71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6A7AF96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0ABE843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49E1FFE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7E22176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7CE9B5B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2CEE31A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48F4E38F" w14:textId="77777777" w:rsidR="00123BCA" w:rsidRPr="00592F37" w:rsidRDefault="00123BCA" w:rsidP="009638AE">
            <w:pPr>
              <w:spacing w:before="0" w:after="0"/>
              <w:jc w:val="center"/>
              <w:rPr>
                <w:rFonts w:asciiTheme="minorHAnsi" w:hAnsiTheme="minorHAnsi" w:cstheme="minorHAnsi"/>
                <w:color w:val="000000"/>
                <w:sz w:val="14"/>
                <w:szCs w:val="14"/>
              </w:rPr>
            </w:pPr>
          </w:p>
        </w:tc>
      </w:tr>
      <w:tr w:rsidR="00123BCA" w:rsidRPr="00592F37" w14:paraId="70B3F223" w14:textId="77777777" w:rsidTr="008D01F1">
        <w:trPr>
          <w:trHeight w:val="170"/>
          <w:jc w:val="center"/>
        </w:trPr>
        <w:tc>
          <w:tcPr>
            <w:tcW w:w="1024" w:type="dxa"/>
            <w:vMerge/>
            <w:shd w:val="clear" w:color="auto" w:fill="auto"/>
            <w:noWrap/>
            <w:vAlign w:val="center"/>
          </w:tcPr>
          <w:p w14:paraId="006A618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0C2B964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7F30609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val="restart"/>
            <w:shd w:val="clear" w:color="auto" w:fill="E7F3F4"/>
            <w:noWrap/>
            <w:vAlign w:val="center"/>
          </w:tcPr>
          <w:p w14:paraId="7DF6FE99"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Keppel Islands</w:t>
            </w:r>
          </w:p>
          <w:p w14:paraId="0792258D"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reef</w:t>
            </w:r>
          </w:p>
        </w:tc>
        <w:tc>
          <w:tcPr>
            <w:tcW w:w="674" w:type="dxa"/>
            <w:shd w:val="clear" w:color="auto" w:fill="E7F3F4"/>
            <w:noWrap/>
            <w:vAlign w:val="center"/>
          </w:tcPr>
          <w:p w14:paraId="0CB7505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GK1*</w:t>
            </w:r>
          </w:p>
        </w:tc>
        <w:tc>
          <w:tcPr>
            <w:tcW w:w="1579" w:type="dxa"/>
            <w:shd w:val="clear" w:color="auto" w:fill="E7F3F4"/>
            <w:noWrap/>
            <w:vAlign w:val="bottom"/>
          </w:tcPr>
          <w:p w14:paraId="6F91E355"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Great Keppel Is.</w:t>
            </w:r>
          </w:p>
        </w:tc>
        <w:tc>
          <w:tcPr>
            <w:tcW w:w="486" w:type="dxa"/>
            <w:shd w:val="clear" w:color="auto" w:fill="E7F3F4"/>
            <w:noWrap/>
            <w:vAlign w:val="bottom"/>
          </w:tcPr>
          <w:p w14:paraId="4ACB29E4" w14:textId="77777777" w:rsidR="00123BCA" w:rsidRPr="00592F37" w:rsidRDefault="00123BCA" w:rsidP="009638AE">
            <w:pPr>
              <w:spacing w:before="0" w:after="0"/>
              <w:jc w:val="center"/>
              <w:rPr>
                <w:rFonts w:asciiTheme="minorHAnsi" w:hAnsiTheme="minorHAnsi" w:cstheme="minorHAnsi"/>
                <w:color w:val="000000"/>
                <w:sz w:val="14"/>
                <w:szCs w:val="14"/>
              </w:rPr>
            </w:pPr>
            <w:bookmarkStart w:id="73" w:name="OLE_LINK20"/>
            <w:bookmarkStart w:id="74" w:name="OLE_LINK21"/>
            <w:r w:rsidRPr="00592F37">
              <w:rPr>
                <w:rFonts w:asciiTheme="minorHAnsi" w:hAnsiTheme="minorHAnsi" w:cstheme="minorHAnsi"/>
                <w:color w:val="000000"/>
                <w:sz w:val="14"/>
                <w:szCs w:val="14"/>
              </w:rPr>
              <w:t>23°</w:t>
            </w:r>
            <w:bookmarkEnd w:id="73"/>
            <w:bookmarkEnd w:id="74"/>
          </w:p>
        </w:tc>
        <w:tc>
          <w:tcPr>
            <w:tcW w:w="830" w:type="dxa"/>
            <w:shd w:val="clear" w:color="auto" w:fill="E7F3F4"/>
            <w:noWrap/>
            <w:vAlign w:val="bottom"/>
          </w:tcPr>
          <w:p w14:paraId="6F12ECF6"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11.776</w:t>
            </w:r>
          </w:p>
        </w:tc>
        <w:tc>
          <w:tcPr>
            <w:tcW w:w="576" w:type="dxa"/>
            <w:shd w:val="clear" w:color="auto" w:fill="E7F3F4"/>
            <w:noWrap/>
            <w:vAlign w:val="bottom"/>
          </w:tcPr>
          <w:p w14:paraId="4419911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150°</w:t>
            </w:r>
          </w:p>
        </w:tc>
        <w:tc>
          <w:tcPr>
            <w:tcW w:w="830" w:type="dxa"/>
            <w:shd w:val="clear" w:color="auto" w:fill="E7F3F4"/>
            <w:noWrap/>
            <w:vAlign w:val="bottom"/>
          </w:tcPr>
          <w:p w14:paraId="23E0767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56.356</w:t>
            </w:r>
          </w:p>
        </w:tc>
        <w:tc>
          <w:tcPr>
            <w:tcW w:w="481" w:type="dxa"/>
            <w:vMerge w:val="restart"/>
            <w:shd w:val="clear" w:color="auto" w:fill="E7F3F4"/>
            <w:noWrap/>
            <w:vAlign w:val="center"/>
          </w:tcPr>
          <w:p w14:paraId="752DEC9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7DDAB85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4ADDFCA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41335F6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6AE0A59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473EBA79"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22" w:type="dxa"/>
            <w:vMerge w:val="restart"/>
            <w:shd w:val="clear" w:color="auto" w:fill="E7F3F4"/>
            <w:vAlign w:val="center"/>
          </w:tcPr>
          <w:p w14:paraId="4C849B95"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E7F3F4"/>
            <w:vAlign w:val="center"/>
          </w:tcPr>
          <w:p w14:paraId="165184F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506799E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318905E5"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204612CC" w14:textId="77777777" w:rsidTr="008D01F1">
        <w:trPr>
          <w:trHeight w:val="170"/>
          <w:jc w:val="center"/>
        </w:trPr>
        <w:tc>
          <w:tcPr>
            <w:tcW w:w="1024" w:type="dxa"/>
            <w:vMerge/>
            <w:shd w:val="clear" w:color="auto" w:fill="auto"/>
            <w:noWrap/>
            <w:vAlign w:val="center"/>
          </w:tcPr>
          <w:p w14:paraId="425D21A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09E0BDB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0DDBCCB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444A104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6860492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GK2*</w:t>
            </w:r>
          </w:p>
        </w:tc>
        <w:tc>
          <w:tcPr>
            <w:tcW w:w="1579" w:type="dxa"/>
            <w:shd w:val="clear" w:color="auto" w:fill="E7F3F4"/>
            <w:noWrap/>
            <w:vAlign w:val="center"/>
          </w:tcPr>
          <w:p w14:paraId="50E3BF6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Great Keppel Is.</w:t>
            </w:r>
          </w:p>
        </w:tc>
        <w:tc>
          <w:tcPr>
            <w:tcW w:w="486" w:type="dxa"/>
            <w:shd w:val="clear" w:color="auto" w:fill="E7F3F4"/>
            <w:noWrap/>
            <w:vAlign w:val="center"/>
          </w:tcPr>
          <w:p w14:paraId="4C31AE06"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w:t>
            </w:r>
          </w:p>
        </w:tc>
        <w:tc>
          <w:tcPr>
            <w:tcW w:w="830" w:type="dxa"/>
            <w:shd w:val="clear" w:color="auto" w:fill="E7F3F4"/>
            <w:noWrap/>
            <w:vAlign w:val="bottom"/>
          </w:tcPr>
          <w:p w14:paraId="28EE0874"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11.638</w:t>
            </w:r>
          </w:p>
        </w:tc>
        <w:tc>
          <w:tcPr>
            <w:tcW w:w="576" w:type="dxa"/>
            <w:shd w:val="clear" w:color="auto" w:fill="E7F3F4"/>
            <w:noWrap/>
            <w:vAlign w:val="center"/>
          </w:tcPr>
          <w:p w14:paraId="4EC70FAC"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150°</w:t>
            </w:r>
          </w:p>
        </w:tc>
        <w:tc>
          <w:tcPr>
            <w:tcW w:w="830" w:type="dxa"/>
            <w:shd w:val="clear" w:color="auto" w:fill="E7F3F4"/>
            <w:noWrap/>
            <w:vAlign w:val="bottom"/>
          </w:tcPr>
          <w:p w14:paraId="45B128E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56.364</w:t>
            </w:r>
          </w:p>
        </w:tc>
        <w:tc>
          <w:tcPr>
            <w:tcW w:w="481" w:type="dxa"/>
            <w:vMerge/>
            <w:shd w:val="clear" w:color="auto" w:fill="E7F3F4"/>
            <w:noWrap/>
            <w:vAlign w:val="center"/>
          </w:tcPr>
          <w:p w14:paraId="387B039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6245208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10FEAE9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157DC4B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14F111E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7F4887D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1C8FEA1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5813796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7E25151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6FA822A5" w14:textId="77777777" w:rsidR="00123BCA" w:rsidRPr="00592F37" w:rsidRDefault="00123BCA" w:rsidP="009638AE">
            <w:pPr>
              <w:spacing w:before="0" w:after="0"/>
              <w:jc w:val="center"/>
              <w:rPr>
                <w:rFonts w:asciiTheme="minorHAnsi" w:hAnsiTheme="minorHAnsi" w:cstheme="minorHAnsi"/>
                <w:color w:val="000000"/>
                <w:sz w:val="14"/>
                <w:szCs w:val="14"/>
              </w:rPr>
            </w:pPr>
          </w:p>
        </w:tc>
      </w:tr>
      <w:tr w:rsidR="00123BCA" w:rsidRPr="00592F37" w14:paraId="0E1B062C" w14:textId="77777777" w:rsidTr="008D01F1">
        <w:trPr>
          <w:trHeight w:val="170"/>
          <w:jc w:val="center"/>
        </w:trPr>
        <w:tc>
          <w:tcPr>
            <w:tcW w:w="1024" w:type="dxa"/>
            <w:vMerge/>
            <w:shd w:val="clear" w:color="auto" w:fill="auto"/>
            <w:noWrap/>
            <w:vAlign w:val="center"/>
          </w:tcPr>
          <w:p w14:paraId="3B4BE38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69641CC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val="restart"/>
            <w:shd w:val="clear" w:color="auto" w:fill="E7F3F4"/>
            <w:vAlign w:val="center"/>
          </w:tcPr>
          <w:p w14:paraId="40B04E9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Calliope / Boyne</w:t>
            </w:r>
          </w:p>
        </w:tc>
        <w:tc>
          <w:tcPr>
            <w:tcW w:w="1576" w:type="dxa"/>
            <w:vMerge w:val="restart"/>
            <w:shd w:val="clear" w:color="auto" w:fill="E7F3F4"/>
            <w:noWrap/>
            <w:vAlign w:val="center"/>
          </w:tcPr>
          <w:p w14:paraId="46C2CF7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Gladstone Harbour</w:t>
            </w:r>
          </w:p>
          <w:p w14:paraId="3A9DEA5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estuarine </w:t>
            </w:r>
          </w:p>
        </w:tc>
        <w:tc>
          <w:tcPr>
            <w:tcW w:w="674" w:type="dxa"/>
            <w:shd w:val="clear" w:color="auto" w:fill="E7F3F4"/>
            <w:noWrap/>
            <w:vAlign w:val="center"/>
          </w:tcPr>
          <w:p w14:paraId="5732CFFC"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GH1*</w:t>
            </w:r>
          </w:p>
        </w:tc>
        <w:tc>
          <w:tcPr>
            <w:tcW w:w="1579" w:type="dxa"/>
            <w:shd w:val="clear" w:color="auto" w:fill="E7F3F4"/>
            <w:noWrap/>
            <w:vAlign w:val="center"/>
          </w:tcPr>
          <w:p w14:paraId="5361D6FB"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Pelican Banks</w:t>
            </w:r>
          </w:p>
        </w:tc>
        <w:tc>
          <w:tcPr>
            <w:tcW w:w="486" w:type="dxa"/>
            <w:shd w:val="clear" w:color="auto" w:fill="E7F3F4"/>
            <w:noWrap/>
            <w:vAlign w:val="center"/>
          </w:tcPr>
          <w:p w14:paraId="6B812C41"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w:t>
            </w:r>
          </w:p>
        </w:tc>
        <w:tc>
          <w:tcPr>
            <w:tcW w:w="830" w:type="dxa"/>
            <w:shd w:val="clear" w:color="auto" w:fill="E7F3F4"/>
            <w:noWrap/>
            <w:vAlign w:val="bottom"/>
          </w:tcPr>
          <w:p w14:paraId="558BA7FB"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46.015</w:t>
            </w:r>
          </w:p>
        </w:tc>
        <w:tc>
          <w:tcPr>
            <w:tcW w:w="576" w:type="dxa"/>
            <w:shd w:val="clear" w:color="auto" w:fill="E7F3F4"/>
            <w:noWrap/>
            <w:vAlign w:val="center"/>
          </w:tcPr>
          <w:p w14:paraId="69B83773"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151°</w:t>
            </w:r>
          </w:p>
        </w:tc>
        <w:tc>
          <w:tcPr>
            <w:tcW w:w="830" w:type="dxa"/>
            <w:shd w:val="clear" w:color="auto" w:fill="E7F3F4"/>
            <w:noWrap/>
            <w:vAlign w:val="bottom"/>
          </w:tcPr>
          <w:p w14:paraId="5B342CDD"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18.059</w:t>
            </w:r>
          </w:p>
        </w:tc>
        <w:tc>
          <w:tcPr>
            <w:tcW w:w="481" w:type="dxa"/>
            <w:vMerge w:val="restart"/>
            <w:shd w:val="clear" w:color="auto" w:fill="E7F3F4"/>
            <w:noWrap/>
            <w:vAlign w:val="center"/>
          </w:tcPr>
          <w:p w14:paraId="7BA9FE5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E7F3F4"/>
            <w:vAlign w:val="center"/>
          </w:tcPr>
          <w:p w14:paraId="438E2FB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E7F3F4"/>
            <w:vAlign w:val="center"/>
          </w:tcPr>
          <w:p w14:paraId="40C91B4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E7F3F4"/>
            <w:vAlign w:val="center"/>
          </w:tcPr>
          <w:p w14:paraId="7E285B8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E7F3F4"/>
            <w:vAlign w:val="center"/>
          </w:tcPr>
          <w:p w14:paraId="6D4CBAC9"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E7F3F4"/>
            <w:vAlign w:val="center"/>
          </w:tcPr>
          <w:p w14:paraId="33A6A26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1AB0831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r w:rsidRPr="00592F37">
              <w:rPr>
                <w:rFonts w:asciiTheme="minorHAnsi" w:hAnsiTheme="minorHAnsi" w:cstheme="minorHAnsi"/>
                <w:color w:val="000000"/>
                <w:sz w:val="14"/>
                <w:szCs w:val="14"/>
              </w:rPr>
              <w:t>*</w:t>
            </w:r>
          </w:p>
        </w:tc>
        <w:tc>
          <w:tcPr>
            <w:tcW w:w="398" w:type="dxa"/>
            <w:vMerge w:val="restart"/>
            <w:shd w:val="clear" w:color="auto" w:fill="E7F3F4"/>
            <w:vAlign w:val="center"/>
          </w:tcPr>
          <w:p w14:paraId="00A0C12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E7F3F4"/>
            <w:vAlign w:val="center"/>
          </w:tcPr>
          <w:p w14:paraId="321E9B7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E7F3F4"/>
            <w:vAlign w:val="center"/>
          </w:tcPr>
          <w:p w14:paraId="5B3EAA6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7D64F2F7" w14:textId="77777777" w:rsidTr="008D01F1">
        <w:trPr>
          <w:trHeight w:val="170"/>
          <w:jc w:val="center"/>
        </w:trPr>
        <w:tc>
          <w:tcPr>
            <w:tcW w:w="1024" w:type="dxa"/>
            <w:vMerge/>
            <w:shd w:val="clear" w:color="auto" w:fill="auto"/>
            <w:noWrap/>
            <w:vAlign w:val="center"/>
          </w:tcPr>
          <w:p w14:paraId="3DC8875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E7F3F4"/>
            <w:noWrap/>
            <w:vAlign w:val="center"/>
          </w:tcPr>
          <w:p w14:paraId="50FC3D9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E7F3F4"/>
            <w:vAlign w:val="center"/>
          </w:tcPr>
          <w:p w14:paraId="77D48E4B"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E7F3F4"/>
            <w:noWrap/>
            <w:vAlign w:val="center"/>
          </w:tcPr>
          <w:p w14:paraId="3063C06B"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E7F3F4"/>
            <w:noWrap/>
            <w:vAlign w:val="center"/>
          </w:tcPr>
          <w:p w14:paraId="7DD9955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GH2*</w:t>
            </w:r>
          </w:p>
        </w:tc>
        <w:tc>
          <w:tcPr>
            <w:tcW w:w="1579" w:type="dxa"/>
            <w:shd w:val="clear" w:color="auto" w:fill="E7F3F4"/>
            <w:noWrap/>
            <w:vAlign w:val="center"/>
          </w:tcPr>
          <w:p w14:paraId="1F4448D0" w14:textId="77777777" w:rsidR="00123BCA" w:rsidRPr="00592F37" w:rsidRDefault="00123BCA" w:rsidP="009638AE">
            <w:pPr>
              <w:spacing w:before="0" w:after="0"/>
              <w:jc w:val="center"/>
              <w:rPr>
                <w:rFonts w:asciiTheme="minorHAnsi" w:hAnsiTheme="minorHAnsi" w:cstheme="minorHAnsi"/>
                <w:i/>
                <w:color w:val="000000"/>
                <w:sz w:val="14"/>
                <w:szCs w:val="14"/>
              </w:rPr>
            </w:pPr>
            <w:r w:rsidRPr="00592F37">
              <w:rPr>
                <w:rFonts w:asciiTheme="minorHAnsi" w:hAnsiTheme="minorHAnsi" w:cstheme="minorHAnsi"/>
                <w:color w:val="000000"/>
                <w:sz w:val="14"/>
                <w:szCs w:val="14"/>
              </w:rPr>
              <w:t>Pelican Banks</w:t>
            </w:r>
          </w:p>
        </w:tc>
        <w:tc>
          <w:tcPr>
            <w:tcW w:w="486" w:type="dxa"/>
            <w:shd w:val="clear" w:color="auto" w:fill="E7F3F4"/>
            <w:noWrap/>
            <w:vAlign w:val="center"/>
          </w:tcPr>
          <w:p w14:paraId="19AA0B3D"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23°</w:t>
            </w:r>
          </w:p>
        </w:tc>
        <w:tc>
          <w:tcPr>
            <w:tcW w:w="830" w:type="dxa"/>
            <w:shd w:val="clear" w:color="auto" w:fill="E7F3F4"/>
            <w:noWrap/>
            <w:vAlign w:val="bottom"/>
          </w:tcPr>
          <w:p w14:paraId="2B7DD51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45.884</w:t>
            </w:r>
          </w:p>
        </w:tc>
        <w:tc>
          <w:tcPr>
            <w:tcW w:w="576" w:type="dxa"/>
            <w:shd w:val="clear" w:color="auto" w:fill="E7F3F4"/>
            <w:noWrap/>
            <w:vAlign w:val="center"/>
          </w:tcPr>
          <w:p w14:paraId="15639F9B"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151°</w:t>
            </w:r>
          </w:p>
        </w:tc>
        <w:tc>
          <w:tcPr>
            <w:tcW w:w="830" w:type="dxa"/>
            <w:shd w:val="clear" w:color="auto" w:fill="E7F3F4"/>
            <w:noWrap/>
            <w:vAlign w:val="bottom"/>
          </w:tcPr>
          <w:p w14:paraId="29EEBA2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18.233</w:t>
            </w:r>
          </w:p>
        </w:tc>
        <w:tc>
          <w:tcPr>
            <w:tcW w:w="481" w:type="dxa"/>
            <w:vMerge/>
            <w:shd w:val="clear" w:color="auto" w:fill="E7F3F4"/>
            <w:noWrap/>
            <w:vAlign w:val="center"/>
          </w:tcPr>
          <w:p w14:paraId="4668308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E7F3F4"/>
            <w:vAlign w:val="center"/>
          </w:tcPr>
          <w:p w14:paraId="261A740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5FE1E0D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E7F3F4"/>
            <w:vAlign w:val="center"/>
          </w:tcPr>
          <w:p w14:paraId="777CAAEB"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E7F3F4"/>
            <w:vAlign w:val="center"/>
          </w:tcPr>
          <w:p w14:paraId="04B5E66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E7F3F4"/>
            <w:vAlign w:val="center"/>
          </w:tcPr>
          <w:p w14:paraId="51546F4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2F3D042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E7F3F4"/>
            <w:vAlign w:val="center"/>
          </w:tcPr>
          <w:p w14:paraId="52D5297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E7F3F4"/>
            <w:vAlign w:val="center"/>
          </w:tcPr>
          <w:p w14:paraId="56A4267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E7F3F4"/>
            <w:vAlign w:val="center"/>
          </w:tcPr>
          <w:p w14:paraId="7263E569" w14:textId="77777777" w:rsidR="00123BCA" w:rsidRPr="00592F37" w:rsidRDefault="00123BCA" w:rsidP="009638AE">
            <w:pPr>
              <w:spacing w:before="0" w:after="0"/>
              <w:jc w:val="center"/>
              <w:rPr>
                <w:rFonts w:asciiTheme="minorHAnsi" w:hAnsiTheme="minorHAnsi" w:cstheme="minorHAnsi"/>
                <w:color w:val="000000"/>
                <w:sz w:val="14"/>
                <w:szCs w:val="14"/>
              </w:rPr>
            </w:pPr>
          </w:p>
        </w:tc>
      </w:tr>
      <w:tr w:rsidR="00123BCA" w:rsidRPr="00592F37" w14:paraId="0A0F3CC6" w14:textId="77777777" w:rsidTr="008D01F1">
        <w:trPr>
          <w:trHeight w:val="170"/>
          <w:jc w:val="center"/>
        </w:trPr>
        <w:tc>
          <w:tcPr>
            <w:tcW w:w="1024" w:type="dxa"/>
            <w:vMerge/>
            <w:shd w:val="clear" w:color="auto" w:fill="auto"/>
            <w:noWrap/>
            <w:vAlign w:val="center"/>
          </w:tcPr>
          <w:p w14:paraId="24C9D77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val="restart"/>
            <w:shd w:val="clear" w:color="auto" w:fill="F3F9FA"/>
            <w:noWrap/>
            <w:vAlign w:val="center"/>
          </w:tcPr>
          <w:p w14:paraId="6E5B625E" w14:textId="0B3C7F36" w:rsidR="00123BCA" w:rsidRPr="00592F37" w:rsidRDefault="00B72AC4"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Burnett–Mary</w:t>
            </w:r>
          </w:p>
          <w:p w14:paraId="42D99933" w14:textId="468F8E8B"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w:t>
            </w:r>
            <w:r w:rsidR="00B72AC4">
              <w:rPr>
                <w:rFonts w:asciiTheme="minorHAnsi" w:hAnsiTheme="minorHAnsi" w:cstheme="minorHAnsi"/>
                <w:i/>
                <w:color w:val="000000"/>
                <w:sz w:val="14"/>
                <w:szCs w:val="14"/>
              </w:rPr>
              <w:t>Burnett–Mary</w:t>
            </w:r>
            <w:r w:rsidRPr="00592F37">
              <w:rPr>
                <w:rFonts w:asciiTheme="minorHAnsi" w:hAnsiTheme="minorHAnsi" w:cstheme="minorHAnsi"/>
                <w:i/>
                <w:color w:val="000000"/>
                <w:sz w:val="14"/>
                <w:szCs w:val="14"/>
              </w:rPr>
              <w:t xml:space="preserve"> Regional Group</w:t>
            </w:r>
            <w:r w:rsidRPr="00592F37">
              <w:rPr>
                <w:rFonts w:asciiTheme="minorHAnsi" w:hAnsiTheme="minorHAnsi" w:cstheme="minorHAnsi"/>
                <w:color w:val="000000"/>
                <w:sz w:val="14"/>
                <w:szCs w:val="14"/>
              </w:rPr>
              <w:t>)</w:t>
            </w:r>
          </w:p>
        </w:tc>
        <w:tc>
          <w:tcPr>
            <w:tcW w:w="1079" w:type="dxa"/>
            <w:vMerge w:val="restart"/>
            <w:shd w:val="clear" w:color="auto" w:fill="F3F9FA"/>
            <w:vAlign w:val="center"/>
          </w:tcPr>
          <w:p w14:paraId="30D7067B"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Baffle</w:t>
            </w:r>
          </w:p>
        </w:tc>
        <w:tc>
          <w:tcPr>
            <w:tcW w:w="1576" w:type="dxa"/>
            <w:vMerge w:val="restart"/>
            <w:shd w:val="clear" w:color="auto" w:fill="F3F9FA"/>
            <w:noWrap/>
            <w:vAlign w:val="center"/>
          </w:tcPr>
          <w:p w14:paraId="4420651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Rodds Bay</w:t>
            </w:r>
          </w:p>
          <w:p w14:paraId="29D2027C"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estuarine </w:t>
            </w:r>
          </w:p>
        </w:tc>
        <w:tc>
          <w:tcPr>
            <w:tcW w:w="674" w:type="dxa"/>
            <w:shd w:val="clear" w:color="auto" w:fill="F3F9FA"/>
            <w:noWrap/>
            <w:vAlign w:val="center"/>
          </w:tcPr>
          <w:p w14:paraId="78B6298F" w14:textId="77777777" w:rsidR="00123BCA" w:rsidRPr="00592F37" w:rsidRDefault="00123BCA"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RD1*</w:t>
            </w:r>
          </w:p>
        </w:tc>
        <w:tc>
          <w:tcPr>
            <w:tcW w:w="1579" w:type="dxa"/>
            <w:shd w:val="clear" w:color="auto" w:fill="F3F9FA"/>
            <w:noWrap/>
            <w:vAlign w:val="center"/>
          </w:tcPr>
          <w:p w14:paraId="7F653CF8"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Cay Bank</w:t>
            </w:r>
          </w:p>
        </w:tc>
        <w:tc>
          <w:tcPr>
            <w:tcW w:w="486" w:type="dxa"/>
            <w:shd w:val="clear" w:color="auto" w:fill="F3F9FA"/>
            <w:noWrap/>
            <w:vAlign w:val="center"/>
          </w:tcPr>
          <w:p w14:paraId="69E0F731"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24°</w:t>
            </w:r>
          </w:p>
        </w:tc>
        <w:tc>
          <w:tcPr>
            <w:tcW w:w="830" w:type="dxa"/>
            <w:shd w:val="clear" w:color="auto" w:fill="F3F9FA"/>
            <w:noWrap/>
            <w:vAlign w:val="bottom"/>
          </w:tcPr>
          <w:p w14:paraId="767811CD"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3.467</w:t>
            </w:r>
          </w:p>
        </w:tc>
        <w:tc>
          <w:tcPr>
            <w:tcW w:w="576" w:type="dxa"/>
            <w:shd w:val="clear" w:color="auto" w:fill="F3F9FA"/>
            <w:noWrap/>
            <w:vAlign w:val="center"/>
          </w:tcPr>
          <w:p w14:paraId="774FE11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151°</w:t>
            </w:r>
          </w:p>
        </w:tc>
        <w:tc>
          <w:tcPr>
            <w:tcW w:w="830" w:type="dxa"/>
            <w:shd w:val="clear" w:color="auto" w:fill="F3F9FA"/>
            <w:noWrap/>
            <w:vAlign w:val="bottom"/>
          </w:tcPr>
          <w:p w14:paraId="4E7B978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39.333</w:t>
            </w:r>
          </w:p>
        </w:tc>
        <w:tc>
          <w:tcPr>
            <w:tcW w:w="481" w:type="dxa"/>
            <w:vMerge w:val="restart"/>
            <w:shd w:val="clear" w:color="auto" w:fill="F3F9FA"/>
            <w:noWrap/>
            <w:vAlign w:val="center"/>
          </w:tcPr>
          <w:p w14:paraId="76721F3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1323774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52A324D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57CA6F8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0C266DA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394A96E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7D8C354B"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398" w:type="dxa"/>
            <w:vMerge w:val="restart"/>
            <w:shd w:val="clear" w:color="auto" w:fill="F3F9FA"/>
            <w:vAlign w:val="center"/>
          </w:tcPr>
          <w:p w14:paraId="06E5777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2C257FA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59E0414"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32C0E34C" w14:textId="77777777" w:rsidTr="008D01F1">
        <w:trPr>
          <w:trHeight w:val="170"/>
          <w:jc w:val="center"/>
        </w:trPr>
        <w:tc>
          <w:tcPr>
            <w:tcW w:w="1024" w:type="dxa"/>
            <w:vMerge/>
            <w:shd w:val="clear" w:color="auto" w:fill="auto"/>
            <w:noWrap/>
            <w:vAlign w:val="center"/>
          </w:tcPr>
          <w:p w14:paraId="059B32A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2DF3D9E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F3F9FA"/>
            <w:vAlign w:val="center"/>
          </w:tcPr>
          <w:p w14:paraId="7EFB88E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12C0B84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066B317A" w14:textId="77777777" w:rsidR="00123BCA" w:rsidRPr="00592F37" w:rsidRDefault="00123BCA" w:rsidP="009638AE">
            <w:pPr>
              <w:spacing w:before="0" w:after="0"/>
              <w:jc w:val="center"/>
              <w:rPr>
                <w:rFonts w:asciiTheme="minorHAnsi" w:hAnsiTheme="minorHAnsi" w:cstheme="minorHAnsi"/>
                <w:iCs/>
                <w:color w:val="000000"/>
                <w:sz w:val="14"/>
                <w:szCs w:val="14"/>
              </w:rPr>
            </w:pPr>
            <w:r w:rsidRPr="00592F37">
              <w:rPr>
                <w:rFonts w:asciiTheme="minorHAnsi" w:hAnsiTheme="minorHAnsi" w:cstheme="minorHAnsi"/>
                <w:iCs/>
                <w:color w:val="000000"/>
                <w:sz w:val="14"/>
                <w:szCs w:val="14"/>
              </w:rPr>
              <w:t>RD2*</w:t>
            </w:r>
          </w:p>
        </w:tc>
        <w:tc>
          <w:tcPr>
            <w:tcW w:w="1579" w:type="dxa"/>
            <w:shd w:val="clear" w:color="auto" w:fill="F3F9FA"/>
            <w:noWrap/>
            <w:vAlign w:val="center"/>
          </w:tcPr>
          <w:p w14:paraId="5955BE15"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Turkey Beach</w:t>
            </w:r>
          </w:p>
        </w:tc>
        <w:tc>
          <w:tcPr>
            <w:tcW w:w="486" w:type="dxa"/>
            <w:shd w:val="clear" w:color="auto" w:fill="F3F9FA"/>
            <w:noWrap/>
            <w:vAlign w:val="center"/>
          </w:tcPr>
          <w:p w14:paraId="4969FE46"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24°</w:t>
            </w:r>
          </w:p>
        </w:tc>
        <w:tc>
          <w:tcPr>
            <w:tcW w:w="830" w:type="dxa"/>
            <w:shd w:val="clear" w:color="auto" w:fill="F3F9FA"/>
            <w:noWrap/>
            <w:vAlign w:val="bottom"/>
          </w:tcPr>
          <w:p w14:paraId="024CAAAF"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4.854</w:t>
            </w:r>
          </w:p>
        </w:tc>
        <w:tc>
          <w:tcPr>
            <w:tcW w:w="576" w:type="dxa"/>
            <w:shd w:val="clear" w:color="auto" w:fill="F3F9FA"/>
            <w:noWrap/>
            <w:vAlign w:val="center"/>
          </w:tcPr>
          <w:p w14:paraId="523CBA9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151°</w:t>
            </w:r>
          </w:p>
        </w:tc>
        <w:tc>
          <w:tcPr>
            <w:tcW w:w="830" w:type="dxa"/>
            <w:shd w:val="clear" w:color="auto" w:fill="F3F9FA"/>
            <w:noWrap/>
            <w:vAlign w:val="bottom"/>
          </w:tcPr>
          <w:p w14:paraId="7ECF037A"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39.752</w:t>
            </w:r>
          </w:p>
        </w:tc>
        <w:tc>
          <w:tcPr>
            <w:tcW w:w="481" w:type="dxa"/>
            <w:vMerge/>
            <w:shd w:val="clear" w:color="auto" w:fill="F3F9FA"/>
            <w:noWrap/>
            <w:vAlign w:val="center"/>
          </w:tcPr>
          <w:p w14:paraId="66C5613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F3F9FA"/>
            <w:vAlign w:val="center"/>
          </w:tcPr>
          <w:p w14:paraId="3D30868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09A5BE5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F3F9FA"/>
            <w:vAlign w:val="center"/>
          </w:tcPr>
          <w:p w14:paraId="3682D1A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F3F9FA"/>
            <w:vAlign w:val="center"/>
          </w:tcPr>
          <w:p w14:paraId="53B22EFD"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vAlign w:val="center"/>
          </w:tcPr>
          <w:p w14:paraId="75C17DA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1AFE05B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F3F9FA"/>
            <w:vAlign w:val="center"/>
          </w:tcPr>
          <w:p w14:paraId="1E2D671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F3F9FA"/>
            <w:vAlign w:val="center"/>
          </w:tcPr>
          <w:p w14:paraId="4ED8A6A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vAlign w:val="center"/>
          </w:tcPr>
          <w:p w14:paraId="687D876A" w14:textId="77777777" w:rsidR="00123BCA" w:rsidRPr="00592F37" w:rsidRDefault="00123BCA" w:rsidP="009638AE">
            <w:pPr>
              <w:spacing w:before="0" w:after="0"/>
              <w:jc w:val="center"/>
              <w:rPr>
                <w:rFonts w:asciiTheme="minorHAnsi" w:hAnsiTheme="minorHAnsi" w:cstheme="minorHAnsi"/>
                <w:color w:val="000000"/>
                <w:sz w:val="14"/>
                <w:szCs w:val="14"/>
              </w:rPr>
            </w:pPr>
          </w:p>
        </w:tc>
      </w:tr>
      <w:tr w:rsidR="00123BCA" w:rsidRPr="00592F37" w14:paraId="7EDA5A88" w14:textId="77777777" w:rsidTr="008D01F1">
        <w:trPr>
          <w:trHeight w:val="170"/>
          <w:jc w:val="center"/>
        </w:trPr>
        <w:tc>
          <w:tcPr>
            <w:tcW w:w="1024" w:type="dxa"/>
            <w:vMerge/>
            <w:shd w:val="clear" w:color="auto" w:fill="auto"/>
            <w:noWrap/>
            <w:vAlign w:val="center"/>
          </w:tcPr>
          <w:p w14:paraId="2CDCA2C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23" w:type="dxa"/>
            <w:vMerge/>
            <w:shd w:val="clear" w:color="auto" w:fill="F3F9FA"/>
            <w:noWrap/>
            <w:vAlign w:val="center"/>
          </w:tcPr>
          <w:p w14:paraId="275D0FF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val="restart"/>
            <w:shd w:val="clear" w:color="auto" w:fill="F3F9FA"/>
            <w:vAlign w:val="center"/>
          </w:tcPr>
          <w:p w14:paraId="383A83F9" w14:textId="6ECC6D73"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Burrum</w:t>
            </w:r>
          </w:p>
        </w:tc>
        <w:tc>
          <w:tcPr>
            <w:tcW w:w="1576" w:type="dxa"/>
            <w:vMerge w:val="restart"/>
            <w:shd w:val="clear" w:color="auto" w:fill="F3F9FA"/>
            <w:noWrap/>
            <w:vAlign w:val="center"/>
          </w:tcPr>
          <w:p w14:paraId="44E5F507"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Hervey Bay</w:t>
            </w:r>
          </w:p>
          <w:p w14:paraId="00B75A81" w14:textId="67406724"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coastal</w:t>
            </w:r>
          </w:p>
        </w:tc>
        <w:tc>
          <w:tcPr>
            <w:tcW w:w="674" w:type="dxa"/>
            <w:shd w:val="clear" w:color="auto" w:fill="F3F9FA"/>
            <w:noWrap/>
            <w:vAlign w:val="center"/>
          </w:tcPr>
          <w:p w14:paraId="1517C98D" w14:textId="6D504B21"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BH1*</w:t>
            </w:r>
          </w:p>
        </w:tc>
        <w:tc>
          <w:tcPr>
            <w:tcW w:w="1579" w:type="dxa"/>
            <w:shd w:val="clear" w:color="auto" w:fill="F3F9FA"/>
            <w:noWrap/>
            <w:vAlign w:val="center"/>
          </w:tcPr>
          <w:p w14:paraId="4C9BF306" w14:textId="3C5F2DD2"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Burrum Heads</w:t>
            </w:r>
          </w:p>
        </w:tc>
        <w:tc>
          <w:tcPr>
            <w:tcW w:w="486" w:type="dxa"/>
            <w:shd w:val="clear" w:color="auto" w:fill="F3F9FA"/>
            <w:noWrap/>
            <w:vAlign w:val="center"/>
          </w:tcPr>
          <w:p w14:paraId="15C7197E" w14:textId="2A6D9C72"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w:t>
            </w:r>
          </w:p>
        </w:tc>
        <w:tc>
          <w:tcPr>
            <w:tcW w:w="830" w:type="dxa"/>
            <w:shd w:val="clear" w:color="auto" w:fill="F3F9FA"/>
            <w:noWrap/>
            <w:vAlign w:val="center"/>
          </w:tcPr>
          <w:p w14:paraId="1229AC93" w14:textId="4A177C02"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11.290</w:t>
            </w:r>
          </w:p>
        </w:tc>
        <w:tc>
          <w:tcPr>
            <w:tcW w:w="576" w:type="dxa"/>
            <w:shd w:val="clear" w:color="auto" w:fill="F3F9FA"/>
            <w:noWrap/>
            <w:vAlign w:val="center"/>
          </w:tcPr>
          <w:p w14:paraId="63CE46E9" w14:textId="01FD3438"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152°</w:t>
            </w:r>
          </w:p>
        </w:tc>
        <w:tc>
          <w:tcPr>
            <w:tcW w:w="830" w:type="dxa"/>
            <w:shd w:val="clear" w:color="auto" w:fill="F3F9FA"/>
            <w:noWrap/>
            <w:vAlign w:val="center"/>
          </w:tcPr>
          <w:p w14:paraId="7B834BBB" w14:textId="69C8F380"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37.532</w:t>
            </w:r>
          </w:p>
        </w:tc>
        <w:tc>
          <w:tcPr>
            <w:tcW w:w="481" w:type="dxa"/>
            <w:vMerge w:val="restart"/>
            <w:shd w:val="clear" w:color="auto" w:fill="F3F9FA"/>
            <w:noWrap/>
            <w:vAlign w:val="center"/>
          </w:tcPr>
          <w:p w14:paraId="76FD452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6D52217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02DA8C4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1545371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1B606F3E" w14:textId="73659ECC"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5D9852D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7B01B71" w14:textId="1C89E9A1"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c>
          <w:tcPr>
            <w:tcW w:w="398" w:type="dxa"/>
            <w:vMerge w:val="restart"/>
            <w:shd w:val="clear" w:color="auto" w:fill="F3F9FA"/>
            <w:vAlign w:val="center"/>
          </w:tcPr>
          <w:p w14:paraId="7A197D2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3EE2A5AB"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17FA7800" w14:textId="71D48028"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47CC1EB7" w14:textId="77777777" w:rsidTr="008D01F1">
        <w:trPr>
          <w:trHeight w:val="170"/>
          <w:jc w:val="center"/>
        </w:trPr>
        <w:tc>
          <w:tcPr>
            <w:tcW w:w="1024" w:type="dxa"/>
            <w:vMerge/>
            <w:shd w:val="clear" w:color="auto" w:fill="auto"/>
            <w:noWrap/>
            <w:vAlign w:val="center"/>
          </w:tcPr>
          <w:p w14:paraId="19D01F00" w14:textId="77777777" w:rsidR="00123BCA" w:rsidRPr="00592F37" w:rsidRDefault="00123BCA" w:rsidP="009638AE">
            <w:pPr>
              <w:spacing w:before="0" w:after="0"/>
              <w:ind w:firstLine="560"/>
              <w:jc w:val="center"/>
              <w:rPr>
                <w:rFonts w:asciiTheme="minorHAnsi" w:hAnsiTheme="minorHAnsi" w:cstheme="minorHAnsi"/>
                <w:color w:val="000000"/>
                <w:sz w:val="14"/>
                <w:szCs w:val="14"/>
              </w:rPr>
            </w:pPr>
          </w:p>
        </w:tc>
        <w:tc>
          <w:tcPr>
            <w:tcW w:w="1523" w:type="dxa"/>
            <w:vMerge/>
            <w:shd w:val="clear" w:color="auto" w:fill="F3F9FA"/>
            <w:noWrap/>
            <w:vAlign w:val="center"/>
          </w:tcPr>
          <w:p w14:paraId="604205C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F3F9FA"/>
            <w:noWrap/>
            <w:vAlign w:val="center"/>
          </w:tcPr>
          <w:p w14:paraId="5FE3DD9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43B9865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3F644559" w14:textId="5D326751"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BH3*</w:t>
            </w:r>
          </w:p>
        </w:tc>
        <w:tc>
          <w:tcPr>
            <w:tcW w:w="1579" w:type="dxa"/>
            <w:shd w:val="clear" w:color="auto" w:fill="F3F9FA"/>
            <w:noWrap/>
            <w:vAlign w:val="center"/>
          </w:tcPr>
          <w:p w14:paraId="04C53D94" w14:textId="71B27BE5"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Burrum Heads</w:t>
            </w:r>
          </w:p>
        </w:tc>
        <w:tc>
          <w:tcPr>
            <w:tcW w:w="486" w:type="dxa"/>
            <w:shd w:val="clear" w:color="auto" w:fill="F3F9FA"/>
            <w:noWrap/>
            <w:vAlign w:val="center"/>
          </w:tcPr>
          <w:p w14:paraId="1DD80CDE" w14:textId="6747E87D"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w:t>
            </w:r>
          </w:p>
        </w:tc>
        <w:tc>
          <w:tcPr>
            <w:tcW w:w="830" w:type="dxa"/>
            <w:shd w:val="clear" w:color="auto" w:fill="F3F9FA"/>
            <w:noWrap/>
            <w:vAlign w:val="center"/>
          </w:tcPr>
          <w:p w14:paraId="047259AC" w14:textId="4CAEFD9E"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12.620</w:t>
            </w:r>
          </w:p>
        </w:tc>
        <w:tc>
          <w:tcPr>
            <w:tcW w:w="576" w:type="dxa"/>
            <w:shd w:val="clear" w:color="auto" w:fill="F3F9FA"/>
            <w:noWrap/>
            <w:vAlign w:val="center"/>
          </w:tcPr>
          <w:p w14:paraId="31E6D7BA" w14:textId="70447A0D"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152°</w:t>
            </w:r>
          </w:p>
        </w:tc>
        <w:tc>
          <w:tcPr>
            <w:tcW w:w="830" w:type="dxa"/>
            <w:shd w:val="clear" w:color="auto" w:fill="F3F9FA"/>
            <w:noWrap/>
            <w:vAlign w:val="center"/>
          </w:tcPr>
          <w:p w14:paraId="7FEED5E8" w14:textId="0E0B34E5"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38.359</w:t>
            </w:r>
          </w:p>
        </w:tc>
        <w:tc>
          <w:tcPr>
            <w:tcW w:w="481" w:type="dxa"/>
            <w:vMerge/>
            <w:shd w:val="clear" w:color="auto" w:fill="F3F9FA"/>
            <w:noWrap/>
            <w:vAlign w:val="center"/>
          </w:tcPr>
          <w:p w14:paraId="08910F3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F3F9FA"/>
          </w:tcPr>
          <w:p w14:paraId="40021E4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tcPr>
          <w:p w14:paraId="2C506D7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F3F9FA"/>
          </w:tcPr>
          <w:p w14:paraId="24839E9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F3F9FA"/>
          </w:tcPr>
          <w:p w14:paraId="686790B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tcPr>
          <w:p w14:paraId="6828C853"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tcPr>
          <w:p w14:paraId="7F9A094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F3F9FA"/>
          </w:tcPr>
          <w:p w14:paraId="536366B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F3F9FA"/>
          </w:tcPr>
          <w:p w14:paraId="2768B76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tcPr>
          <w:p w14:paraId="774FB47D" w14:textId="77777777" w:rsidR="00123BCA" w:rsidRPr="00592F37" w:rsidRDefault="00123BCA" w:rsidP="009638AE">
            <w:pPr>
              <w:spacing w:before="0" w:after="0"/>
              <w:jc w:val="center"/>
              <w:rPr>
                <w:rFonts w:asciiTheme="minorHAnsi" w:hAnsiTheme="minorHAnsi" w:cstheme="minorHAnsi"/>
                <w:color w:val="000000"/>
                <w:sz w:val="14"/>
                <w:szCs w:val="14"/>
              </w:rPr>
            </w:pPr>
          </w:p>
        </w:tc>
      </w:tr>
      <w:tr w:rsidR="00123BCA" w:rsidRPr="00592F37" w14:paraId="7BADA283" w14:textId="77777777" w:rsidTr="00123BCA">
        <w:trPr>
          <w:trHeight w:val="170"/>
          <w:jc w:val="center"/>
        </w:trPr>
        <w:tc>
          <w:tcPr>
            <w:tcW w:w="1024" w:type="dxa"/>
            <w:vMerge/>
            <w:shd w:val="clear" w:color="auto" w:fill="auto"/>
            <w:noWrap/>
            <w:vAlign w:val="center"/>
          </w:tcPr>
          <w:p w14:paraId="0E79F11C" w14:textId="77777777" w:rsidR="00123BCA" w:rsidRPr="00592F37" w:rsidRDefault="00123BCA" w:rsidP="009638AE">
            <w:pPr>
              <w:spacing w:before="0" w:after="0"/>
              <w:ind w:firstLine="560"/>
              <w:jc w:val="center"/>
              <w:rPr>
                <w:rFonts w:asciiTheme="minorHAnsi" w:hAnsiTheme="minorHAnsi" w:cstheme="minorHAnsi"/>
                <w:color w:val="000000"/>
                <w:sz w:val="14"/>
                <w:szCs w:val="14"/>
              </w:rPr>
            </w:pPr>
          </w:p>
        </w:tc>
        <w:tc>
          <w:tcPr>
            <w:tcW w:w="1523" w:type="dxa"/>
            <w:vMerge/>
            <w:shd w:val="clear" w:color="auto" w:fill="F3F9FA"/>
            <w:noWrap/>
            <w:vAlign w:val="center"/>
          </w:tcPr>
          <w:p w14:paraId="7723895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val="restart"/>
            <w:shd w:val="clear" w:color="auto" w:fill="F3F9FA"/>
            <w:noWrap/>
            <w:vAlign w:val="center"/>
          </w:tcPr>
          <w:p w14:paraId="295914CB" w14:textId="74942A5B"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Mary</w:t>
            </w:r>
          </w:p>
        </w:tc>
        <w:tc>
          <w:tcPr>
            <w:tcW w:w="1576" w:type="dxa"/>
            <w:vMerge w:val="restart"/>
            <w:shd w:val="clear" w:color="auto" w:fill="F3F9FA"/>
            <w:noWrap/>
            <w:vAlign w:val="center"/>
          </w:tcPr>
          <w:p w14:paraId="1CA3FA50" w14:textId="7777777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Hervey Bay</w:t>
            </w:r>
          </w:p>
          <w:p w14:paraId="597F7428" w14:textId="59C69BDD"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i/>
                <w:color w:val="000000"/>
                <w:sz w:val="14"/>
                <w:szCs w:val="14"/>
              </w:rPr>
              <w:t xml:space="preserve">estuarine </w:t>
            </w:r>
          </w:p>
        </w:tc>
        <w:tc>
          <w:tcPr>
            <w:tcW w:w="674" w:type="dxa"/>
            <w:shd w:val="clear" w:color="auto" w:fill="F3F9FA"/>
            <w:noWrap/>
            <w:vAlign w:val="center"/>
          </w:tcPr>
          <w:p w14:paraId="0997F628" w14:textId="3D42C013"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UG1*</w:t>
            </w:r>
          </w:p>
        </w:tc>
        <w:tc>
          <w:tcPr>
            <w:tcW w:w="1579" w:type="dxa"/>
            <w:shd w:val="clear" w:color="auto" w:fill="F3F9FA"/>
            <w:noWrap/>
            <w:vAlign w:val="center"/>
          </w:tcPr>
          <w:p w14:paraId="25CB04EB" w14:textId="44CF6D0C"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Urangan</w:t>
            </w:r>
          </w:p>
        </w:tc>
        <w:tc>
          <w:tcPr>
            <w:tcW w:w="486" w:type="dxa"/>
            <w:shd w:val="clear" w:color="auto" w:fill="F3F9FA"/>
            <w:noWrap/>
            <w:vAlign w:val="center"/>
          </w:tcPr>
          <w:p w14:paraId="78888189" w14:textId="64973E86"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w:t>
            </w:r>
          </w:p>
        </w:tc>
        <w:tc>
          <w:tcPr>
            <w:tcW w:w="830" w:type="dxa"/>
            <w:shd w:val="clear" w:color="auto" w:fill="F3F9FA"/>
            <w:noWrap/>
            <w:vAlign w:val="center"/>
          </w:tcPr>
          <w:p w14:paraId="27DE60A1" w14:textId="19467A5E"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18.053</w:t>
            </w:r>
          </w:p>
        </w:tc>
        <w:tc>
          <w:tcPr>
            <w:tcW w:w="576" w:type="dxa"/>
            <w:shd w:val="clear" w:color="auto" w:fill="F3F9FA"/>
            <w:noWrap/>
            <w:vAlign w:val="center"/>
          </w:tcPr>
          <w:p w14:paraId="192DBDB5" w14:textId="3FD119E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152°</w:t>
            </w:r>
          </w:p>
        </w:tc>
        <w:tc>
          <w:tcPr>
            <w:tcW w:w="830" w:type="dxa"/>
            <w:shd w:val="clear" w:color="auto" w:fill="F3F9FA"/>
            <w:noWrap/>
            <w:vAlign w:val="center"/>
          </w:tcPr>
          <w:p w14:paraId="0AD38B98" w14:textId="53DB7DC5"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54.409</w:t>
            </w:r>
          </w:p>
        </w:tc>
        <w:tc>
          <w:tcPr>
            <w:tcW w:w="481" w:type="dxa"/>
            <w:vMerge w:val="restart"/>
            <w:shd w:val="clear" w:color="auto" w:fill="F3F9FA"/>
            <w:noWrap/>
            <w:vAlign w:val="center"/>
          </w:tcPr>
          <w:p w14:paraId="709EFA97"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val="restart"/>
            <w:shd w:val="clear" w:color="auto" w:fill="F3F9FA"/>
            <w:vAlign w:val="center"/>
          </w:tcPr>
          <w:p w14:paraId="1E0071C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val="restart"/>
            <w:shd w:val="clear" w:color="auto" w:fill="F3F9FA"/>
            <w:vAlign w:val="center"/>
          </w:tcPr>
          <w:p w14:paraId="1219FA7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val="restart"/>
            <w:shd w:val="clear" w:color="auto" w:fill="F3F9FA"/>
            <w:vAlign w:val="center"/>
          </w:tcPr>
          <w:p w14:paraId="09AAAE4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val="restart"/>
            <w:shd w:val="clear" w:color="auto" w:fill="F3F9FA"/>
            <w:vAlign w:val="center"/>
          </w:tcPr>
          <w:p w14:paraId="73EBB339" w14:textId="1B080F4D"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408" w:type="dxa"/>
            <w:vMerge w:val="restart"/>
            <w:shd w:val="clear" w:color="auto" w:fill="F3F9FA"/>
            <w:vAlign w:val="center"/>
          </w:tcPr>
          <w:p w14:paraId="34479A1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39EEBB38" w14:textId="1F3FCAFA"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A8"/>
            </w:r>
          </w:p>
        </w:tc>
        <w:tc>
          <w:tcPr>
            <w:tcW w:w="398" w:type="dxa"/>
            <w:vMerge w:val="restart"/>
            <w:shd w:val="clear" w:color="auto" w:fill="F3F9FA"/>
            <w:vAlign w:val="center"/>
          </w:tcPr>
          <w:p w14:paraId="169137E6"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val="restart"/>
            <w:shd w:val="clear" w:color="auto" w:fill="F3F9FA"/>
            <w:vAlign w:val="center"/>
          </w:tcPr>
          <w:p w14:paraId="5C1A4340"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val="restart"/>
            <w:shd w:val="clear" w:color="auto" w:fill="F3F9FA"/>
            <w:vAlign w:val="center"/>
          </w:tcPr>
          <w:p w14:paraId="7692E023" w14:textId="6D5A8FAA"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sym w:font="Wingdings" w:char="F06E"/>
            </w:r>
          </w:p>
        </w:tc>
      </w:tr>
      <w:tr w:rsidR="00123BCA" w:rsidRPr="00592F37" w14:paraId="2019A0D2" w14:textId="77777777" w:rsidTr="008D01F1">
        <w:trPr>
          <w:trHeight w:val="170"/>
          <w:jc w:val="center"/>
        </w:trPr>
        <w:tc>
          <w:tcPr>
            <w:tcW w:w="1024" w:type="dxa"/>
            <w:vMerge/>
            <w:shd w:val="clear" w:color="auto" w:fill="auto"/>
            <w:noWrap/>
            <w:vAlign w:val="center"/>
          </w:tcPr>
          <w:p w14:paraId="4F4068E9" w14:textId="77777777" w:rsidR="00123BCA" w:rsidRPr="00592F37" w:rsidRDefault="00123BCA" w:rsidP="009638AE">
            <w:pPr>
              <w:spacing w:before="0" w:after="0"/>
              <w:ind w:firstLine="560"/>
              <w:jc w:val="center"/>
              <w:rPr>
                <w:rFonts w:asciiTheme="minorHAnsi" w:hAnsiTheme="minorHAnsi" w:cstheme="minorHAnsi"/>
                <w:color w:val="000000"/>
                <w:sz w:val="14"/>
                <w:szCs w:val="14"/>
              </w:rPr>
            </w:pPr>
          </w:p>
        </w:tc>
        <w:tc>
          <w:tcPr>
            <w:tcW w:w="1523" w:type="dxa"/>
            <w:vMerge/>
            <w:shd w:val="clear" w:color="auto" w:fill="F3F9FA"/>
            <w:noWrap/>
            <w:vAlign w:val="center"/>
          </w:tcPr>
          <w:p w14:paraId="75058D1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079" w:type="dxa"/>
            <w:vMerge/>
            <w:shd w:val="clear" w:color="auto" w:fill="F3F9FA"/>
            <w:noWrap/>
            <w:vAlign w:val="center"/>
          </w:tcPr>
          <w:p w14:paraId="710241AE"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1576" w:type="dxa"/>
            <w:vMerge/>
            <w:shd w:val="clear" w:color="auto" w:fill="F3F9FA"/>
            <w:noWrap/>
            <w:vAlign w:val="center"/>
          </w:tcPr>
          <w:p w14:paraId="7E9EB58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674" w:type="dxa"/>
            <w:shd w:val="clear" w:color="auto" w:fill="F3F9FA"/>
            <w:noWrap/>
            <w:vAlign w:val="center"/>
          </w:tcPr>
          <w:p w14:paraId="29A61B76" w14:textId="2674DA04"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UG2*</w:t>
            </w:r>
          </w:p>
        </w:tc>
        <w:tc>
          <w:tcPr>
            <w:tcW w:w="1579" w:type="dxa"/>
            <w:shd w:val="clear" w:color="auto" w:fill="F3F9FA"/>
            <w:noWrap/>
            <w:vAlign w:val="center"/>
          </w:tcPr>
          <w:p w14:paraId="6478529C" w14:textId="6BDC910F"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Urangan</w:t>
            </w:r>
          </w:p>
        </w:tc>
        <w:tc>
          <w:tcPr>
            <w:tcW w:w="486" w:type="dxa"/>
            <w:shd w:val="clear" w:color="auto" w:fill="F3F9FA"/>
            <w:noWrap/>
            <w:vAlign w:val="center"/>
          </w:tcPr>
          <w:p w14:paraId="77061538" w14:textId="07B5E2D7"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25°</w:t>
            </w:r>
          </w:p>
        </w:tc>
        <w:tc>
          <w:tcPr>
            <w:tcW w:w="830" w:type="dxa"/>
            <w:shd w:val="clear" w:color="auto" w:fill="F3F9FA"/>
            <w:noWrap/>
            <w:vAlign w:val="center"/>
          </w:tcPr>
          <w:p w14:paraId="3F68EA6C" w14:textId="67CC0548"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18.197</w:t>
            </w:r>
          </w:p>
        </w:tc>
        <w:tc>
          <w:tcPr>
            <w:tcW w:w="576" w:type="dxa"/>
            <w:shd w:val="clear" w:color="auto" w:fill="F3F9FA"/>
            <w:noWrap/>
            <w:vAlign w:val="center"/>
          </w:tcPr>
          <w:p w14:paraId="36F60C6C" w14:textId="18F37752"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152°</w:t>
            </w:r>
          </w:p>
        </w:tc>
        <w:tc>
          <w:tcPr>
            <w:tcW w:w="830" w:type="dxa"/>
            <w:shd w:val="clear" w:color="auto" w:fill="F3F9FA"/>
            <w:noWrap/>
            <w:vAlign w:val="center"/>
          </w:tcPr>
          <w:p w14:paraId="18476740" w14:textId="4F35484D" w:rsidR="00123BCA" w:rsidRPr="00592F37" w:rsidRDefault="00123BCA" w:rsidP="009638AE">
            <w:pPr>
              <w:spacing w:before="0" w:after="0"/>
              <w:jc w:val="center"/>
              <w:rPr>
                <w:rFonts w:asciiTheme="minorHAnsi" w:hAnsiTheme="minorHAnsi" w:cstheme="minorHAnsi"/>
                <w:color w:val="000000"/>
                <w:sz w:val="14"/>
                <w:szCs w:val="14"/>
              </w:rPr>
            </w:pPr>
            <w:r w:rsidRPr="00592F37">
              <w:rPr>
                <w:rFonts w:asciiTheme="minorHAnsi" w:hAnsiTheme="minorHAnsi" w:cstheme="minorHAnsi"/>
                <w:color w:val="000000"/>
                <w:sz w:val="14"/>
                <w:szCs w:val="14"/>
              </w:rPr>
              <w:t>54.364</w:t>
            </w:r>
          </w:p>
        </w:tc>
        <w:tc>
          <w:tcPr>
            <w:tcW w:w="481" w:type="dxa"/>
            <w:vMerge/>
            <w:shd w:val="clear" w:color="auto" w:fill="F3F9FA"/>
            <w:noWrap/>
            <w:vAlign w:val="center"/>
          </w:tcPr>
          <w:p w14:paraId="0650B7D4"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2" w:type="dxa"/>
            <w:vMerge/>
            <w:shd w:val="clear" w:color="auto" w:fill="F3F9FA"/>
          </w:tcPr>
          <w:p w14:paraId="61A8EE9F"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tcPr>
          <w:p w14:paraId="28D722DA"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6" w:type="dxa"/>
            <w:vMerge/>
            <w:shd w:val="clear" w:color="auto" w:fill="F3F9FA"/>
          </w:tcPr>
          <w:p w14:paraId="6060DDE9"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8" w:type="dxa"/>
            <w:vMerge/>
            <w:shd w:val="clear" w:color="auto" w:fill="F3F9FA"/>
          </w:tcPr>
          <w:p w14:paraId="7F2E0FE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08" w:type="dxa"/>
            <w:vMerge/>
            <w:shd w:val="clear" w:color="auto" w:fill="F3F9FA"/>
          </w:tcPr>
          <w:p w14:paraId="25241B95"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tcPr>
          <w:p w14:paraId="7542EBE2"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398" w:type="dxa"/>
            <w:vMerge/>
            <w:shd w:val="clear" w:color="auto" w:fill="F3F9FA"/>
          </w:tcPr>
          <w:p w14:paraId="23602541"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10" w:type="dxa"/>
            <w:vMerge/>
            <w:shd w:val="clear" w:color="auto" w:fill="F3F9FA"/>
          </w:tcPr>
          <w:p w14:paraId="3A81F4AC" w14:textId="77777777" w:rsidR="00123BCA" w:rsidRPr="00592F37" w:rsidRDefault="00123BCA" w:rsidP="009638AE">
            <w:pPr>
              <w:spacing w:before="0" w:after="0"/>
              <w:jc w:val="center"/>
              <w:rPr>
                <w:rFonts w:asciiTheme="minorHAnsi" w:hAnsiTheme="minorHAnsi" w:cstheme="minorHAnsi"/>
                <w:color w:val="000000"/>
                <w:sz w:val="14"/>
                <w:szCs w:val="14"/>
              </w:rPr>
            </w:pPr>
          </w:p>
        </w:tc>
        <w:tc>
          <w:tcPr>
            <w:tcW w:w="422" w:type="dxa"/>
            <w:vMerge/>
            <w:shd w:val="clear" w:color="auto" w:fill="F3F9FA"/>
          </w:tcPr>
          <w:p w14:paraId="26943DF5" w14:textId="77777777" w:rsidR="00123BCA" w:rsidRPr="00592F37" w:rsidRDefault="00123BCA" w:rsidP="009638AE">
            <w:pPr>
              <w:spacing w:before="0" w:after="0"/>
              <w:jc w:val="center"/>
              <w:rPr>
                <w:rFonts w:asciiTheme="minorHAnsi" w:hAnsiTheme="minorHAnsi" w:cstheme="minorHAnsi"/>
                <w:color w:val="000000"/>
                <w:sz w:val="14"/>
                <w:szCs w:val="14"/>
              </w:rPr>
            </w:pPr>
          </w:p>
        </w:tc>
      </w:tr>
    </w:tbl>
    <w:p w14:paraId="5BE787A9" w14:textId="77777777" w:rsidR="008D01F1" w:rsidRPr="00CB093C" w:rsidRDefault="008D01F1" w:rsidP="008D01F1">
      <w:pPr>
        <w:rPr>
          <w:rFonts w:cs="Arial"/>
          <w:color w:val="000000"/>
          <w:szCs w:val="22"/>
        </w:rPr>
      </w:pPr>
    </w:p>
    <w:p w14:paraId="24BF9BB7" w14:textId="4C36B3B5" w:rsidR="00D051A4" w:rsidRPr="00CB093C" w:rsidRDefault="008D01F1" w:rsidP="00D051A4">
      <w:pPr>
        <w:keepNext/>
        <w:jc w:val="center"/>
        <w:rPr>
          <w:rFonts w:cs="Arial"/>
          <w:i/>
          <w:vanish/>
          <w:color w:val="000000"/>
          <w:szCs w:val="22"/>
          <w:specVanish/>
        </w:rPr>
      </w:pPr>
      <w:bookmarkStart w:id="75" w:name="_Ref461186562"/>
      <w:bookmarkStart w:id="76" w:name="_Toc37787055"/>
      <w:bookmarkStart w:id="77" w:name="_Toc47600677"/>
      <w:r w:rsidRPr="00CB093C">
        <w:rPr>
          <w:rFonts w:cs="Arial"/>
          <w:color w:val="000000"/>
          <w:szCs w:val="22"/>
        </w:rPr>
        <w:t xml:space="preserve">Table </w:t>
      </w:r>
      <w:r w:rsidRPr="00CB093C">
        <w:rPr>
          <w:rFonts w:cs="Arial"/>
          <w:color w:val="000000"/>
          <w:szCs w:val="22"/>
        </w:rPr>
        <w:fldChar w:fldCharType="begin"/>
      </w:r>
      <w:r w:rsidRPr="00CB093C">
        <w:rPr>
          <w:rFonts w:cs="Arial"/>
          <w:color w:val="000000"/>
          <w:szCs w:val="22"/>
        </w:rPr>
        <w:instrText xml:space="preserve"> SEQ Table \* ARABIC </w:instrText>
      </w:r>
      <w:r w:rsidRPr="00CB093C">
        <w:rPr>
          <w:rFonts w:cs="Arial"/>
          <w:color w:val="000000"/>
          <w:szCs w:val="22"/>
        </w:rPr>
        <w:fldChar w:fldCharType="separate"/>
      </w:r>
      <w:r w:rsidR="0067675D">
        <w:rPr>
          <w:rFonts w:cs="Arial"/>
          <w:noProof/>
          <w:color w:val="000000"/>
          <w:szCs w:val="22"/>
        </w:rPr>
        <w:t>3</w:t>
      </w:r>
      <w:r w:rsidRPr="00CB093C">
        <w:rPr>
          <w:rFonts w:cs="Arial"/>
          <w:color w:val="000000"/>
          <w:szCs w:val="22"/>
        </w:rPr>
        <w:fldChar w:fldCharType="end"/>
      </w:r>
      <w:bookmarkEnd w:id="75"/>
      <w:r w:rsidRPr="00CB093C">
        <w:rPr>
          <w:rFonts w:cs="Arial"/>
          <w:i/>
          <w:color w:val="000000"/>
          <w:szCs w:val="22"/>
        </w:rPr>
        <w:t xml:space="preserve">. Additional inshore </w:t>
      </w:r>
      <w:r w:rsidR="00D051A4">
        <w:rPr>
          <w:rFonts w:cs="Arial"/>
          <w:i/>
          <w:color w:val="000000"/>
          <w:szCs w:val="22"/>
        </w:rPr>
        <w:t xml:space="preserve">sentinel </w:t>
      </w:r>
      <w:r w:rsidRPr="00CB093C">
        <w:rPr>
          <w:rFonts w:cs="Arial"/>
          <w:i/>
          <w:color w:val="000000"/>
          <w:szCs w:val="22"/>
        </w:rPr>
        <w:t xml:space="preserve">seagrass long-term monitoring sites </w:t>
      </w:r>
      <w:r w:rsidR="00F93DD8">
        <w:rPr>
          <w:rFonts w:cs="Arial"/>
          <w:i/>
          <w:color w:val="000000"/>
          <w:szCs w:val="22"/>
        </w:rPr>
        <w:t xml:space="preserve">integrated </w:t>
      </w:r>
      <w:r w:rsidRPr="00CB093C">
        <w:rPr>
          <w:rFonts w:cs="Arial"/>
          <w:i/>
          <w:color w:val="000000"/>
          <w:szCs w:val="22"/>
        </w:rPr>
        <w:t>from the Seagrass-Watch</w:t>
      </w:r>
      <w:r w:rsidR="009638AE">
        <w:rPr>
          <w:rFonts w:cs="Arial"/>
          <w:i/>
          <w:color w:val="000000"/>
          <w:szCs w:val="22"/>
        </w:rPr>
        <w:t xml:space="preserve"> (intertidal sites)</w:t>
      </w:r>
      <w:r w:rsidR="0052546C">
        <w:rPr>
          <w:rFonts w:cs="Arial"/>
          <w:i/>
          <w:color w:val="000000"/>
          <w:szCs w:val="22"/>
        </w:rPr>
        <w:t>*</w:t>
      </w:r>
      <w:r w:rsidRPr="00CB093C">
        <w:rPr>
          <w:rFonts w:cs="Arial"/>
          <w:i/>
          <w:color w:val="000000"/>
          <w:szCs w:val="22"/>
        </w:rPr>
        <w:t xml:space="preserve"> and QPWS drop-camera</w:t>
      </w:r>
      <w:r w:rsidR="009638AE">
        <w:rPr>
          <w:rFonts w:cs="Arial"/>
          <w:i/>
          <w:color w:val="000000"/>
          <w:szCs w:val="22"/>
        </w:rPr>
        <w:t xml:space="preserve"> (subtidal sites)</w:t>
      </w:r>
      <w:r w:rsidR="0052546C" w:rsidRPr="00CB093C">
        <w:rPr>
          <w:rFonts w:cs="Arial"/>
          <w:i/>
          <w:color w:val="000000"/>
          <w:szCs w:val="22"/>
        </w:rPr>
        <w:t>^</w:t>
      </w:r>
      <w:r w:rsidRPr="00CB093C">
        <w:rPr>
          <w:rFonts w:cs="Arial"/>
          <w:i/>
          <w:color w:val="000000"/>
          <w:szCs w:val="22"/>
        </w:rPr>
        <w:t xml:space="preserve"> programs, including presence of foundation (</w:t>
      </w:r>
      <w:r w:rsidRPr="00CB093C">
        <w:rPr>
          <w:rFonts w:cs="Arial"/>
          <w:color w:val="000000"/>
          <w:szCs w:val="22"/>
        </w:rPr>
        <w:sym w:font="Wingdings" w:char="F06E"/>
      </w:r>
      <w:r w:rsidRPr="00CB093C">
        <w:rPr>
          <w:rFonts w:cs="Arial"/>
          <w:i/>
          <w:color w:val="000000"/>
          <w:szCs w:val="22"/>
        </w:rPr>
        <w:t>) and other (</w:t>
      </w:r>
      <w:r w:rsidRPr="00CB093C">
        <w:rPr>
          <w:rFonts w:cs="Arial"/>
          <w:color w:val="000000"/>
          <w:szCs w:val="22"/>
        </w:rPr>
        <w:sym w:font="Wingdings" w:char="F0A8"/>
      </w:r>
      <w:r w:rsidRPr="00CB093C">
        <w:rPr>
          <w:rFonts w:cs="Arial"/>
          <w:i/>
          <w:color w:val="000000"/>
          <w:szCs w:val="22"/>
        </w:rPr>
        <w:t>) seagrass species.</w:t>
      </w:r>
      <w:bookmarkEnd w:id="76"/>
      <w:bookmarkEnd w:id="77"/>
      <w:r w:rsidRPr="00CB093C">
        <w:rPr>
          <w:rFonts w:cs="Arial"/>
          <w:i/>
          <w:color w:val="000000"/>
          <w:szCs w:val="22"/>
        </w:rPr>
        <w:t xml:space="preserve"> </w:t>
      </w:r>
    </w:p>
    <w:p w14:paraId="766EC0ED" w14:textId="31D453F3" w:rsidR="008D01F1" w:rsidRPr="00CB093C" w:rsidRDefault="008D01F1" w:rsidP="00D051A4">
      <w:pPr>
        <w:jc w:val="center"/>
        <w:rPr>
          <w:rFonts w:cs="Arial"/>
          <w:i/>
          <w:color w:val="000000"/>
          <w:szCs w:val="22"/>
        </w:rPr>
      </w:pPr>
      <w:r w:rsidRPr="00CB093C">
        <w:rPr>
          <w:rFonts w:cs="Arial"/>
          <w:i/>
          <w:color w:val="000000"/>
          <w:szCs w:val="22"/>
        </w:rPr>
        <w:t>NRM region from www.nrm.gov.au. *</w:t>
      </w:r>
      <w:r w:rsidR="007A4779">
        <w:rPr>
          <w:rFonts w:cs="Arial"/>
          <w:i/>
          <w:color w:val="000000"/>
          <w:szCs w:val="22"/>
        </w:rPr>
        <w:t> </w:t>
      </w:r>
      <w:r w:rsidRPr="00CB093C">
        <w:rPr>
          <w:rFonts w:cs="Arial"/>
          <w:i/>
          <w:color w:val="000000"/>
          <w:szCs w:val="22"/>
        </w:rPr>
        <w:t>= intertidal, ^</w:t>
      </w:r>
      <w:r w:rsidR="007A4779">
        <w:rPr>
          <w:rFonts w:cs="Arial"/>
          <w:i/>
          <w:color w:val="000000"/>
          <w:szCs w:val="22"/>
        </w:rPr>
        <w:t> </w:t>
      </w:r>
      <w:r w:rsidRPr="00CB093C">
        <w:rPr>
          <w:rFonts w:cs="Arial"/>
          <w:i/>
          <w:color w:val="000000"/>
          <w:szCs w:val="22"/>
        </w:rPr>
        <w:t>=subtidal.</w:t>
      </w:r>
    </w:p>
    <w:tbl>
      <w:tblPr>
        <w:tblW w:w="14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367"/>
        <w:gridCol w:w="1100"/>
        <w:gridCol w:w="1338"/>
        <w:gridCol w:w="678"/>
        <w:gridCol w:w="1116"/>
        <w:gridCol w:w="493"/>
        <w:gridCol w:w="876"/>
        <w:gridCol w:w="594"/>
        <w:gridCol w:w="876"/>
        <w:gridCol w:w="480"/>
        <w:gridCol w:w="470"/>
        <w:gridCol w:w="470"/>
        <w:gridCol w:w="480"/>
        <w:gridCol w:w="490"/>
        <w:gridCol w:w="470"/>
        <w:gridCol w:w="480"/>
        <w:gridCol w:w="389"/>
        <w:gridCol w:w="460"/>
        <w:gridCol w:w="480"/>
      </w:tblGrid>
      <w:tr w:rsidR="008D01F1" w:rsidRPr="008C687A" w14:paraId="78841703" w14:textId="77777777" w:rsidTr="008D01F1">
        <w:trPr>
          <w:trHeight w:val="170"/>
          <w:jc w:val="center"/>
        </w:trPr>
        <w:tc>
          <w:tcPr>
            <w:tcW w:w="1135" w:type="dxa"/>
            <w:shd w:val="clear" w:color="auto" w:fill="BBE0E3"/>
          </w:tcPr>
          <w:p w14:paraId="11EC4367"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Region</w:t>
            </w:r>
          </w:p>
        </w:tc>
        <w:tc>
          <w:tcPr>
            <w:tcW w:w="1367" w:type="dxa"/>
            <w:shd w:val="clear" w:color="auto" w:fill="BBE0E3"/>
          </w:tcPr>
          <w:p w14:paraId="2FE29146"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NRM region (</w:t>
            </w:r>
            <w:r w:rsidRPr="008C687A">
              <w:rPr>
                <w:rFonts w:asciiTheme="minorHAnsi" w:hAnsiTheme="minorHAnsi" w:cstheme="minorHAnsi"/>
                <w:b/>
                <w:bCs/>
                <w:i/>
                <w:color w:val="000000"/>
                <w:sz w:val="14"/>
                <w:szCs w:val="14"/>
              </w:rPr>
              <w:t>Board</w:t>
            </w:r>
            <w:r w:rsidRPr="008C687A">
              <w:rPr>
                <w:rFonts w:asciiTheme="minorHAnsi" w:hAnsiTheme="minorHAnsi" w:cstheme="minorHAnsi"/>
                <w:b/>
                <w:bCs/>
                <w:color w:val="000000"/>
                <w:sz w:val="14"/>
                <w:szCs w:val="14"/>
              </w:rPr>
              <w:t>)</w:t>
            </w:r>
          </w:p>
        </w:tc>
        <w:tc>
          <w:tcPr>
            <w:tcW w:w="1100" w:type="dxa"/>
            <w:shd w:val="clear" w:color="auto" w:fill="BBE0E3"/>
          </w:tcPr>
          <w:p w14:paraId="21EBEF84"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Basin</w:t>
            </w:r>
          </w:p>
        </w:tc>
        <w:tc>
          <w:tcPr>
            <w:tcW w:w="1338" w:type="dxa"/>
            <w:shd w:val="clear" w:color="auto" w:fill="BBE0E3"/>
            <w:vAlign w:val="center"/>
          </w:tcPr>
          <w:p w14:paraId="7350608F"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Monitoring location</w:t>
            </w:r>
          </w:p>
        </w:tc>
        <w:tc>
          <w:tcPr>
            <w:tcW w:w="1794" w:type="dxa"/>
            <w:gridSpan w:val="2"/>
            <w:shd w:val="clear" w:color="auto" w:fill="BBE0E3"/>
            <w:noWrap/>
            <w:vAlign w:val="center"/>
          </w:tcPr>
          <w:p w14:paraId="6D954455"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Site</w:t>
            </w:r>
          </w:p>
        </w:tc>
        <w:tc>
          <w:tcPr>
            <w:tcW w:w="1369" w:type="dxa"/>
            <w:gridSpan w:val="2"/>
            <w:shd w:val="clear" w:color="auto" w:fill="BBE0E3"/>
            <w:noWrap/>
            <w:vAlign w:val="center"/>
          </w:tcPr>
          <w:p w14:paraId="126B70C9"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Latitude</w:t>
            </w:r>
          </w:p>
        </w:tc>
        <w:tc>
          <w:tcPr>
            <w:tcW w:w="1470" w:type="dxa"/>
            <w:gridSpan w:val="2"/>
            <w:shd w:val="clear" w:color="auto" w:fill="BBE0E3"/>
            <w:noWrap/>
            <w:vAlign w:val="center"/>
          </w:tcPr>
          <w:p w14:paraId="3ED284E5" w14:textId="77777777" w:rsidR="008D01F1" w:rsidRPr="008C687A" w:rsidRDefault="008D01F1" w:rsidP="009638AE">
            <w:pPr>
              <w:spacing w:before="0" w:after="0"/>
              <w:jc w:val="center"/>
              <w:rPr>
                <w:rFonts w:asciiTheme="minorHAnsi" w:hAnsiTheme="minorHAnsi" w:cstheme="minorHAnsi"/>
                <w:b/>
                <w:color w:val="000000"/>
                <w:sz w:val="14"/>
                <w:szCs w:val="14"/>
              </w:rPr>
            </w:pPr>
            <w:r w:rsidRPr="008C687A">
              <w:rPr>
                <w:rFonts w:asciiTheme="minorHAnsi" w:hAnsiTheme="minorHAnsi" w:cstheme="minorHAnsi"/>
                <w:b/>
                <w:bCs/>
                <w:color w:val="000000"/>
                <w:sz w:val="14"/>
                <w:szCs w:val="14"/>
              </w:rPr>
              <w:t>Longitude</w:t>
            </w:r>
          </w:p>
        </w:tc>
        <w:tc>
          <w:tcPr>
            <w:tcW w:w="480" w:type="dxa"/>
            <w:shd w:val="clear" w:color="auto" w:fill="BBE0E3"/>
            <w:noWrap/>
            <w:vAlign w:val="center"/>
          </w:tcPr>
          <w:p w14:paraId="2D410FAC"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CR</w:t>
            </w:r>
          </w:p>
        </w:tc>
        <w:tc>
          <w:tcPr>
            <w:tcW w:w="470" w:type="dxa"/>
            <w:shd w:val="clear" w:color="auto" w:fill="BBE0E3"/>
            <w:vAlign w:val="center"/>
          </w:tcPr>
          <w:p w14:paraId="34030217"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CS</w:t>
            </w:r>
          </w:p>
        </w:tc>
        <w:tc>
          <w:tcPr>
            <w:tcW w:w="470" w:type="dxa"/>
            <w:shd w:val="clear" w:color="auto" w:fill="BBE0E3"/>
            <w:vAlign w:val="center"/>
          </w:tcPr>
          <w:p w14:paraId="72740691"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EA</w:t>
            </w:r>
          </w:p>
        </w:tc>
        <w:tc>
          <w:tcPr>
            <w:tcW w:w="480" w:type="dxa"/>
            <w:shd w:val="clear" w:color="auto" w:fill="BBE0E3"/>
            <w:vAlign w:val="center"/>
          </w:tcPr>
          <w:p w14:paraId="682CDD30"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HD</w:t>
            </w:r>
          </w:p>
        </w:tc>
        <w:tc>
          <w:tcPr>
            <w:tcW w:w="490" w:type="dxa"/>
            <w:shd w:val="clear" w:color="auto" w:fill="BBE0E3"/>
            <w:vAlign w:val="center"/>
          </w:tcPr>
          <w:p w14:paraId="1C2E65AA"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HO</w:t>
            </w:r>
          </w:p>
        </w:tc>
        <w:tc>
          <w:tcPr>
            <w:tcW w:w="470" w:type="dxa"/>
            <w:shd w:val="clear" w:color="auto" w:fill="BBE0E3"/>
            <w:vAlign w:val="center"/>
          </w:tcPr>
          <w:p w14:paraId="3AFEDB76"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HS</w:t>
            </w:r>
          </w:p>
        </w:tc>
        <w:tc>
          <w:tcPr>
            <w:tcW w:w="480" w:type="dxa"/>
            <w:shd w:val="clear" w:color="auto" w:fill="BBE0E3"/>
            <w:vAlign w:val="center"/>
          </w:tcPr>
          <w:p w14:paraId="5E361A41"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HU</w:t>
            </w:r>
          </w:p>
        </w:tc>
        <w:tc>
          <w:tcPr>
            <w:tcW w:w="389" w:type="dxa"/>
            <w:shd w:val="clear" w:color="auto" w:fill="BBE0E3"/>
            <w:vAlign w:val="center"/>
          </w:tcPr>
          <w:p w14:paraId="5C9A0807"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SI</w:t>
            </w:r>
          </w:p>
        </w:tc>
        <w:tc>
          <w:tcPr>
            <w:tcW w:w="460" w:type="dxa"/>
            <w:shd w:val="clear" w:color="auto" w:fill="BBE0E3"/>
            <w:vAlign w:val="center"/>
          </w:tcPr>
          <w:p w14:paraId="1C32DB46"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TH</w:t>
            </w:r>
          </w:p>
        </w:tc>
        <w:tc>
          <w:tcPr>
            <w:tcW w:w="480" w:type="dxa"/>
            <w:shd w:val="clear" w:color="auto" w:fill="BBE0E3"/>
            <w:vAlign w:val="center"/>
          </w:tcPr>
          <w:p w14:paraId="6612C107" w14:textId="77777777" w:rsidR="008D01F1" w:rsidRPr="008C687A" w:rsidRDefault="008D01F1" w:rsidP="009638AE">
            <w:pPr>
              <w:spacing w:before="0" w:after="0"/>
              <w:jc w:val="center"/>
              <w:rPr>
                <w:rFonts w:asciiTheme="minorHAnsi" w:hAnsiTheme="minorHAnsi" w:cstheme="minorHAnsi"/>
                <w:b/>
                <w:bCs/>
                <w:color w:val="000000"/>
                <w:sz w:val="14"/>
                <w:szCs w:val="14"/>
              </w:rPr>
            </w:pPr>
            <w:r w:rsidRPr="008C687A">
              <w:rPr>
                <w:rFonts w:asciiTheme="minorHAnsi" w:hAnsiTheme="minorHAnsi" w:cstheme="minorHAnsi"/>
                <w:b/>
                <w:bCs/>
                <w:color w:val="000000"/>
                <w:sz w:val="14"/>
                <w:szCs w:val="14"/>
              </w:rPr>
              <w:t>ZM</w:t>
            </w:r>
          </w:p>
        </w:tc>
      </w:tr>
      <w:tr w:rsidR="00123BCA" w:rsidRPr="008C687A" w14:paraId="1DB4E22E" w14:textId="77777777" w:rsidTr="008D01F1">
        <w:trPr>
          <w:trHeight w:val="170"/>
          <w:jc w:val="center"/>
        </w:trPr>
        <w:tc>
          <w:tcPr>
            <w:tcW w:w="1135" w:type="dxa"/>
            <w:vMerge w:val="restart"/>
            <w:shd w:val="clear" w:color="auto" w:fill="auto"/>
            <w:vAlign w:val="center"/>
          </w:tcPr>
          <w:p w14:paraId="7E73B663"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Far Northern</w:t>
            </w:r>
          </w:p>
        </w:tc>
        <w:tc>
          <w:tcPr>
            <w:tcW w:w="1367" w:type="dxa"/>
            <w:vMerge w:val="restart"/>
            <w:shd w:val="clear" w:color="auto" w:fill="E7F3F4"/>
            <w:vAlign w:val="center"/>
          </w:tcPr>
          <w:p w14:paraId="3828EE2C"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Cape York</w:t>
            </w:r>
          </w:p>
          <w:p w14:paraId="1545F1B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(Cape York Nat Res Manage)</w:t>
            </w:r>
          </w:p>
        </w:tc>
        <w:tc>
          <w:tcPr>
            <w:tcW w:w="1100" w:type="dxa"/>
            <w:vMerge w:val="restart"/>
            <w:shd w:val="clear" w:color="auto" w:fill="E7F3F4"/>
            <w:vAlign w:val="center"/>
          </w:tcPr>
          <w:p w14:paraId="3756CA41"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Lockhart</w:t>
            </w:r>
          </w:p>
        </w:tc>
        <w:tc>
          <w:tcPr>
            <w:tcW w:w="1338" w:type="dxa"/>
            <w:shd w:val="clear" w:color="auto" w:fill="E7F3F4"/>
            <w:noWrap/>
            <w:vAlign w:val="center"/>
          </w:tcPr>
          <w:p w14:paraId="1799F21D"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Weymouth Bay</w:t>
            </w:r>
          </w:p>
          <w:p w14:paraId="07E9F57D" w14:textId="77777777" w:rsidR="00123BCA" w:rsidRPr="008C687A" w:rsidRDefault="00123BCA"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357B83A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YY1*</w:t>
            </w:r>
          </w:p>
        </w:tc>
        <w:tc>
          <w:tcPr>
            <w:tcW w:w="1116" w:type="dxa"/>
            <w:shd w:val="clear" w:color="auto" w:fill="E7F3F4"/>
            <w:noWrap/>
            <w:vAlign w:val="center"/>
          </w:tcPr>
          <w:p w14:paraId="5E7706F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Yum Yum Beach</w:t>
            </w:r>
          </w:p>
        </w:tc>
        <w:tc>
          <w:tcPr>
            <w:tcW w:w="493" w:type="dxa"/>
            <w:shd w:val="clear" w:color="auto" w:fill="E7F3F4"/>
            <w:noWrap/>
            <w:vAlign w:val="center"/>
          </w:tcPr>
          <w:p w14:paraId="1754303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w:t>
            </w:r>
          </w:p>
        </w:tc>
        <w:tc>
          <w:tcPr>
            <w:tcW w:w="876" w:type="dxa"/>
            <w:shd w:val="clear" w:color="auto" w:fill="E7F3F4"/>
            <w:noWrap/>
            <w:vAlign w:val="center"/>
          </w:tcPr>
          <w:p w14:paraId="13CB7891"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34.247</w:t>
            </w:r>
          </w:p>
        </w:tc>
        <w:tc>
          <w:tcPr>
            <w:tcW w:w="594" w:type="dxa"/>
            <w:shd w:val="clear" w:color="auto" w:fill="E7F3F4"/>
            <w:noWrap/>
            <w:vAlign w:val="center"/>
          </w:tcPr>
          <w:p w14:paraId="7FDD156F"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143°</w:t>
            </w:r>
          </w:p>
        </w:tc>
        <w:tc>
          <w:tcPr>
            <w:tcW w:w="876" w:type="dxa"/>
            <w:shd w:val="clear" w:color="auto" w:fill="E7F3F4"/>
            <w:noWrap/>
            <w:vAlign w:val="center"/>
          </w:tcPr>
          <w:p w14:paraId="5F8C3D75"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21.639</w:t>
            </w:r>
          </w:p>
        </w:tc>
        <w:tc>
          <w:tcPr>
            <w:tcW w:w="480" w:type="dxa"/>
            <w:shd w:val="clear" w:color="auto" w:fill="E7F3F4"/>
            <w:noWrap/>
            <w:vAlign w:val="center"/>
          </w:tcPr>
          <w:p w14:paraId="221E8E5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shd w:val="clear" w:color="auto" w:fill="E7F3F4"/>
            <w:vAlign w:val="center"/>
          </w:tcPr>
          <w:p w14:paraId="09477B79"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shd w:val="clear" w:color="auto" w:fill="E7F3F4"/>
            <w:vAlign w:val="center"/>
          </w:tcPr>
          <w:p w14:paraId="16587899"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80" w:type="dxa"/>
            <w:shd w:val="clear" w:color="auto" w:fill="E7F3F4"/>
            <w:vAlign w:val="center"/>
          </w:tcPr>
          <w:p w14:paraId="5B173C6E"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shd w:val="clear" w:color="auto" w:fill="E7F3F4"/>
            <w:vAlign w:val="center"/>
          </w:tcPr>
          <w:p w14:paraId="2576204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shd w:val="clear" w:color="auto" w:fill="E7F3F4"/>
            <w:vAlign w:val="center"/>
          </w:tcPr>
          <w:p w14:paraId="3FC209B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11FC2A05"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shd w:val="clear" w:color="auto" w:fill="E7F3F4"/>
            <w:vAlign w:val="center"/>
          </w:tcPr>
          <w:p w14:paraId="11E4C88D"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shd w:val="clear" w:color="auto" w:fill="E7F3F4"/>
            <w:vAlign w:val="center"/>
          </w:tcPr>
          <w:p w14:paraId="10EE8EAF"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80" w:type="dxa"/>
            <w:shd w:val="clear" w:color="auto" w:fill="E7F3F4"/>
            <w:vAlign w:val="center"/>
          </w:tcPr>
          <w:p w14:paraId="2AE491AA"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466E119E" w14:textId="77777777" w:rsidTr="008D01F1">
        <w:trPr>
          <w:trHeight w:val="170"/>
          <w:jc w:val="center"/>
        </w:trPr>
        <w:tc>
          <w:tcPr>
            <w:tcW w:w="1135" w:type="dxa"/>
            <w:vMerge/>
            <w:shd w:val="clear" w:color="auto" w:fill="auto"/>
            <w:vAlign w:val="center"/>
          </w:tcPr>
          <w:p w14:paraId="3F55B3C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55DE0A6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4241944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val="restart"/>
            <w:shd w:val="clear" w:color="auto" w:fill="E7F3F4"/>
            <w:noWrap/>
            <w:vAlign w:val="center"/>
          </w:tcPr>
          <w:p w14:paraId="68E1CAC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Lloyd Bay</w:t>
            </w:r>
          </w:p>
          <w:p w14:paraId="392DC2A3" w14:textId="77777777" w:rsidR="00123BCA" w:rsidRPr="008C687A" w:rsidRDefault="00123BCA"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2B90A87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LR1^</w:t>
            </w:r>
          </w:p>
        </w:tc>
        <w:tc>
          <w:tcPr>
            <w:tcW w:w="1116" w:type="dxa"/>
            <w:shd w:val="clear" w:color="auto" w:fill="E7F3F4"/>
            <w:noWrap/>
            <w:vAlign w:val="center"/>
          </w:tcPr>
          <w:p w14:paraId="679C322D"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Lloyd Bay</w:t>
            </w:r>
          </w:p>
        </w:tc>
        <w:tc>
          <w:tcPr>
            <w:tcW w:w="493" w:type="dxa"/>
            <w:shd w:val="clear" w:color="auto" w:fill="E7F3F4"/>
            <w:noWrap/>
            <w:vAlign w:val="center"/>
          </w:tcPr>
          <w:p w14:paraId="6E3DCAB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w:t>
            </w:r>
          </w:p>
        </w:tc>
        <w:tc>
          <w:tcPr>
            <w:tcW w:w="876" w:type="dxa"/>
            <w:shd w:val="clear" w:color="auto" w:fill="E7F3F4"/>
            <w:noWrap/>
            <w:vAlign w:val="bottom"/>
          </w:tcPr>
          <w:p w14:paraId="53972E5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47.792</w:t>
            </w:r>
          </w:p>
        </w:tc>
        <w:tc>
          <w:tcPr>
            <w:tcW w:w="594" w:type="dxa"/>
            <w:shd w:val="clear" w:color="auto" w:fill="E7F3F4"/>
            <w:noWrap/>
            <w:vAlign w:val="center"/>
          </w:tcPr>
          <w:p w14:paraId="69DA9C1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143°</w:t>
            </w:r>
          </w:p>
        </w:tc>
        <w:tc>
          <w:tcPr>
            <w:tcW w:w="876" w:type="dxa"/>
            <w:shd w:val="clear" w:color="auto" w:fill="E7F3F4"/>
            <w:noWrap/>
            <w:vAlign w:val="bottom"/>
          </w:tcPr>
          <w:p w14:paraId="02A33DA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29.118</w:t>
            </w:r>
          </w:p>
        </w:tc>
        <w:tc>
          <w:tcPr>
            <w:tcW w:w="480" w:type="dxa"/>
            <w:vMerge w:val="restart"/>
            <w:shd w:val="clear" w:color="auto" w:fill="E7F3F4"/>
            <w:noWrap/>
            <w:vAlign w:val="center"/>
          </w:tcPr>
          <w:p w14:paraId="4B810FF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314DC6C8"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0FCFA78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C5B64E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4939B5FF"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4607E28F"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80" w:type="dxa"/>
            <w:vMerge w:val="restart"/>
            <w:shd w:val="clear" w:color="auto" w:fill="E7F3F4"/>
            <w:vAlign w:val="center"/>
          </w:tcPr>
          <w:p w14:paraId="378B6982"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7A5B66B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1F811137"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357E396E"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66951951" w14:textId="77777777" w:rsidTr="008D01F1">
        <w:trPr>
          <w:trHeight w:val="170"/>
          <w:jc w:val="center"/>
        </w:trPr>
        <w:tc>
          <w:tcPr>
            <w:tcW w:w="1135" w:type="dxa"/>
            <w:vMerge/>
            <w:shd w:val="clear" w:color="auto" w:fill="auto"/>
            <w:vAlign w:val="center"/>
          </w:tcPr>
          <w:p w14:paraId="07A6C06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232F04E2"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5DDB1C0E"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39D029A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01DA494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LR2^</w:t>
            </w:r>
          </w:p>
        </w:tc>
        <w:tc>
          <w:tcPr>
            <w:tcW w:w="1116" w:type="dxa"/>
            <w:shd w:val="clear" w:color="auto" w:fill="E7F3F4"/>
            <w:noWrap/>
            <w:vAlign w:val="center"/>
          </w:tcPr>
          <w:p w14:paraId="2E39F452"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Lloyd Bay</w:t>
            </w:r>
          </w:p>
        </w:tc>
        <w:tc>
          <w:tcPr>
            <w:tcW w:w="493" w:type="dxa"/>
            <w:shd w:val="clear" w:color="auto" w:fill="E7F3F4"/>
            <w:noWrap/>
            <w:vAlign w:val="center"/>
          </w:tcPr>
          <w:p w14:paraId="005ECB3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w:t>
            </w:r>
          </w:p>
        </w:tc>
        <w:tc>
          <w:tcPr>
            <w:tcW w:w="876" w:type="dxa"/>
            <w:shd w:val="clear" w:color="auto" w:fill="E7F3F4"/>
            <w:noWrap/>
            <w:vAlign w:val="bottom"/>
          </w:tcPr>
          <w:p w14:paraId="4FA74DF4"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49.502</w:t>
            </w:r>
          </w:p>
        </w:tc>
        <w:tc>
          <w:tcPr>
            <w:tcW w:w="594" w:type="dxa"/>
            <w:shd w:val="clear" w:color="auto" w:fill="E7F3F4"/>
            <w:noWrap/>
            <w:vAlign w:val="center"/>
          </w:tcPr>
          <w:p w14:paraId="60667A55"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143°</w:t>
            </w:r>
          </w:p>
        </w:tc>
        <w:tc>
          <w:tcPr>
            <w:tcW w:w="876" w:type="dxa"/>
            <w:shd w:val="clear" w:color="auto" w:fill="E7F3F4"/>
            <w:noWrap/>
            <w:vAlign w:val="bottom"/>
          </w:tcPr>
          <w:p w14:paraId="566FFE4C"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28.488</w:t>
            </w:r>
          </w:p>
        </w:tc>
        <w:tc>
          <w:tcPr>
            <w:tcW w:w="480" w:type="dxa"/>
            <w:vMerge/>
            <w:shd w:val="clear" w:color="auto" w:fill="E7F3F4"/>
            <w:noWrap/>
            <w:vAlign w:val="center"/>
          </w:tcPr>
          <w:p w14:paraId="217B8746"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B013DD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9AEC198"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60459F3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69F8CC67"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8C66EB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3F91965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4F41E5E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2E1E3F7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59748813"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2413BEE6" w14:textId="77777777" w:rsidTr="008D01F1">
        <w:trPr>
          <w:trHeight w:val="170"/>
          <w:jc w:val="center"/>
        </w:trPr>
        <w:tc>
          <w:tcPr>
            <w:tcW w:w="1135" w:type="dxa"/>
            <w:vMerge/>
            <w:shd w:val="clear" w:color="auto" w:fill="auto"/>
            <w:vAlign w:val="center"/>
          </w:tcPr>
          <w:p w14:paraId="00F91F28"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702CF62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07EB3D77"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Normanby / Jeannie</w:t>
            </w:r>
          </w:p>
        </w:tc>
        <w:tc>
          <w:tcPr>
            <w:tcW w:w="1338" w:type="dxa"/>
            <w:vMerge w:val="restart"/>
            <w:shd w:val="clear" w:color="auto" w:fill="E7F3F4"/>
            <w:noWrap/>
            <w:vAlign w:val="center"/>
          </w:tcPr>
          <w:p w14:paraId="66A1A56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Flinders Group</w:t>
            </w:r>
          </w:p>
          <w:p w14:paraId="6253D3A2" w14:textId="77777777" w:rsidR="00123BCA" w:rsidRPr="008C687A" w:rsidRDefault="00123BCA"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44EADEE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FG1^</w:t>
            </w:r>
          </w:p>
        </w:tc>
        <w:tc>
          <w:tcPr>
            <w:tcW w:w="1116" w:type="dxa"/>
            <w:shd w:val="clear" w:color="auto" w:fill="E7F3F4"/>
            <w:noWrap/>
            <w:vAlign w:val="center"/>
          </w:tcPr>
          <w:p w14:paraId="0176BAE3"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Flinders Island</w:t>
            </w:r>
          </w:p>
        </w:tc>
        <w:tc>
          <w:tcPr>
            <w:tcW w:w="493" w:type="dxa"/>
            <w:shd w:val="clear" w:color="auto" w:fill="E7F3F4"/>
            <w:noWrap/>
            <w:vAlign w:val="center"/>
          </w:tcPr>
          <w:p w14:paraId="42EC3DF4"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w:t>
            </w:r>
          </w:p>
        </w:tc>
        <w:tc>
          <w:tcPr>
            <w:tcW w:w="876" w:type="dxa"/>
            <w:shd w:val="clear" w:color="auto" w:fill="E7F3F4"/>
            <w:noWrap/>
            <w:vAlign w:val="center"/>
          </w:tcPr>
          <w:p w14:paraId="7C1188E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10.9464</w:t>
            </w:r>
          </w:p>
        </w:tc>
        <w:tc>
          <w:tcPr>
            <w:tcW w:w="594" w:type="dxa"/>
            <w:shd w:val="clear" w:color="auto" w:fill="E7F3F4"/>
            <w:noWrap/>
            <w:vAlign w:val="center"/>
          </w:tcPr>
          <w:p w14:paraId="47BE650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144°</w:t>
            </w:r>
          </w:p>
        </w:tc>
        <w:tc>
          <w:tcPr>
            <w:tcW w:w="876" w:type="dxa"/>
            <w:shd w:val="clear" w:color="auto" w:fill="E7F3F4"/>
            <w:noWrap/>
            <w:vAlign w:val="center"/>
          </w:tcPr>
          <w:p w14:paraId="6E37A13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13.522</w:t>
            </w:r>
          </w:p>
        </w:tc>
        <w:tc>
          <w:tcPr>
            <w:tcW w:w="480" w:type="dxa"/>
            <w:vMerge w:val="restart"/>
            <w:shd w:val="clear" w:color="auto" w:fill="E7F3F4"/>
            <w:noWrap/>
            <w:vAlign w:val="center"/>
          </w:tcPr>
          <w:p w14:paraId="6731116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6076570A"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36F60FA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8C408B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338DFB31"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68EA4391"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80" w:type="dxa"/>
            <w:vMerge w:val="restart"/>
            <w:shd w:val="clear" w:color="auto" w:fill="E7F3F4"/>
            <w:vAlign w:val="center"/>
          </w:tcPr>
          <w:p w14:paraId="7E2EF76D"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6AD7040F"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55C3B03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4F4BA55D"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70B4DFB6" w14:textId="77777777" w:rsidTr="008D01F1">
        <w:trPr>
          <w:trHeight w:val="170"/>
          <w:jc w:val="center"/>
        </w:trPr>
        <w:tc>
          <w:tcPr>
            <w:tcW w:w="1135" w:type="dxa"/>
            <w:vMerge/>
            <w:shd w:val="clear" w:color="auto" w:fill="auto"/>
            <w:vAlign w:val="center"/>
          </w:tcPr>
          <w:p w14:paraId="248F366D"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2527C845"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023ABC49"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2255FF5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583220CC"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FG2^</w:t>
            </w:r>
          </w:p>
        </w:tc>
        <w:tc>
          <w:tcPr>
            <w:tcW w:w="1116" w:type="dxa"/>
            <w:shd w:val="clear" w:color="auto" w:fill="E7F3F4"/>
            <w:noWrap/>
            <w:vAlign w:val="center"/>
          </w:tcPr>
          <w:p w14:paraId="162121AE"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Flinders Island</w:t>
            </w:r>
          </w:p>
        </w:tc>
        <w:tc>
          <w:tcPr>
            <w:tcW w:w="493" w:type="dxa"/>
            <w:shd w:val="clear" w:color="auto" w:fill="E7F3F4"/>
            <w:noWrap/>
            <w:vAlign w:val="center"/>
          </w:tcPr>
          <w:p w14:paraId="1015D573"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w:t>
            </w:r>
          </w:p>
        </w:tc>
        <w:tc>
          <w:tcPr>
            <w:tcW w:w="876" w:type="dxa"/>
            <w:shd w:val="clear" w:color="auto" w:fill="E7F3F4"/>
            <w:noWrap/>
            <w:vAlign w:val="center"/>
          </w:tcPr>
          <w:p w14:paraId="30AA49F6"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10.932</w:t>
            </w:r>
          </w:p>
        </w:tc>
        <w:tc>
          <w:tcPr>
            <w:tcW w:w="594" w:type="dxa"/>
            <w:shd w:val="clear" w:color="auto" w:fill="E7F3F4"/>
            <w:noWrap/>
            <w:vAlign w:val="center"/>
          </w:tcPr>
          <w:p w14:paraId="0FE42A27"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144°</w:t>
            </w:r>
          </w:p>
        </w:tc>
        <w:tc>
          <w:tcPr>
            <w:tcW w:w="876" w:type="dxa"/>
            <w:shd w:val="clear" w:color="auto" w:fill="E7F3F4"/>
            <w:noWrap/>
            <w:vAlign w:val="center"/>
          </w:tcPr>
          <w:p w14:paraId="3F31CE1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13.522</w:t>
            </w:r>
          </w:p>
        </w:tc>
        <w:tc>
          <w:tcPr>
            <w:tcW w:w="480" w:type="dxa"/>
            <w:vMerge/>
            <w:shd w:val="clear" w:color="auto" w:fill="E7F3F4"/>
            <w:noWrap/>
            <w:vAlign w:val="center"/>
          </w:tcPr>
          <w:p w14:paraId="74BC43D6"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75834FC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4998091D"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68A2819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3D515DF6"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758E686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73472C0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0C71CE42"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0502843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C97A57F"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53DAD656" w14:textId="77777777" w:rsidTr="008D01F1">
        <w:trPr>
          <w:trHeight w:val="170"/>
          <w:jc w:val="center"/>
        </w:trPr>
        <w:tc>
          <w:tcPr>
            <w:tcW w:w="1135" w:type="dxa"/>
            <w:vMerge/>
            <w:shd w:val="clear" w:color="auto" w:fill="auto"/>
            <w:vAlign w:val="center"/>
          </w:tcPr>
          <w:p w14:paraId="65F73C8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58D9169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1B43ECF5"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val="restart"/>
            <w:shd w:val="clear" w:color="auto" w:fill="E7F3F4"/>
            <w:noWrap/>
            <w:vAlign w:val="center"/>
          </w:tcPr>
          <w:p w14:paraId="17E6278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Bathurst Bay</w:t>
            </w:r>
          </w:p>
          <w:p w14:paraId="73874C8B" w14:textId="77777777" w:rsidR="00123BCA" w:rsidRPr="008C687A" w:rsidRDefault="00123BCA"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28905CE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BY3^</w:t>
            </w:r>
          </w:p>
        </w:tc>
        <w:tc>
          <w:tcPr>
            <w:tcW w:w="1116" w:type="dxa"/>
            <w:shd w:val="clear" w:color="auto" w:fill="E7F3F4"/>
            <w:noWrap/>
            <w:vAlign w:val="center"/>
          </w:tcPr>
          <w:p w14:paraId="454976EB"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Bathurst Bay</w:t>
            </w:r>
          </w:p>
        </w:tc>
        <w:tc>
          <w:tcPr>
            <w:tcW w:w="493" w:type="dxa"/>
            <w:shd w:val="clear" w:color="auto" w:fill="E7F3F4"/>
            <w:noWrap/>
            <w:vAlign w:val="center"/>
          </w:tcPr>
          <w:p w14:paraId="2E63DD27"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w:t>
            </w:r>
          </w:p>
        </w:tc>
        <w:tc>
          <w:tcPr>
            <w:tcW w:w="876" w:type="dxa"/>
            <w:shd w:val="clear" w:color="auto" w:fill="E7F3F4"/>
            <w:noWrap/>
            <w:vAlign w:val="center"/>
          </w:tcPr>
          <w:p w14:paraId="4827FB75"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16.556</w:t>
            </w:r>
          </w:p>
        </w:tc>
        <w:tc>
          <w:tcPr>
            <w:tcW w:w="594" w:type="dxa"/>
            <w:shd w:val="clear" w:color="auto" w:fill="E7F3F4"/>
            <w:noWrap/>
            <w:vAlign w:val="center"/>
          </w:tcPr>
          <w:p w14:paraId="40E68C9F"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144°</w:t>
            </w:r>
          </w:p>
        </w:tc>
        <w:tc>
          <w:tcPr>
            <w:tcW w:w="876" w:type="dxa"/>
            <w:shd w:val="clear" w:color="auto" w:fill="E7F3F4"/>
            <w:noWrap/>
            <w:vAlign w:val="center"/>
          </w:tcPr>
          <w:p w14:paraId="67AD96C9"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17.069</w:t>
            </w:r>
          </w:p>
        </w:tc>
        <w:tc>
          <w:tcPr>
            <w:tcW w:w="480" w:type="dxa"/>
            <w:vMerge w:val="restart"/>
            <w:shd w:val="clear" w:color="auto" w:fill="E7F3F4"/>
            <w:noWrap/>
            <w:vAlign w:val="center"/>
          </w:tcPr>
          <w:p w14:paraId="097E93D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57FB158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56765F4B"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632AC5F"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310B701C"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1ED8B379"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7A69DF80"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4AB03AB2"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65C8889E"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592DF9F3"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2C0AEA45" w14:textId="77777777" w:rsidTr="008D01F1">
        <w:trPr>
          <w:trHeight w:val="170"/>
          <w:jc w:val="center"/>
        </w:trPr>
        <w:tc>
          <w:tcPr>
            <w:tcW w:w="1135" w:type="dxa"/>
            <w:vMerge/>
            <w:shd w:val="clear" w:color="auto" w:fill="auto"/>
            <w:vAlign w:val="center"/>
          </w:tcPr>
          <w:p w14:paraId="0D5D932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59E25CC9"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5C0E784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32289C19"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5AF94B4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BY4^</w:t>
            </w:r>
          </w:p>
        </w:tc>
        <w:tc>
          <w:tcPr>
            <w:tcW w:w="1116" w:type="dxa"/>
            <w:shd w:val="clear" w:color="auto" w:fill="E7F3F4"/>
            <w:noWrap/>
            <w:vAlign w:val="center"/>
          </w:tcPr>
          <w:p w14:paraId="28CA386A"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Bathurst Bay</w:t>
            </w:r>
          </w:p>
        </w:tc>
        <w:tc>
          <w:tcPr>
            <w:tcW w:w="493" w:type="dxa"/>
            <w:shd w:val="clear" w:color="auto" w:fill="E7F3F4"/>
            <w:noWrap/>
            <w:vAlign w:val="center"/>
          </w:tcPr>
          <w:p w14:paraId="70E30EE0"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w:t>
            </w:r>
          </w:p>
        </w:tc>
        <w:tc>
          <w:tcPr>
            <w:tcW w:w="876" w:type="dxa"/>
            <w:shd w:val="clear" w:color="auto" w:fill="E7F3F4"/>
            <w:noWrap/>
            <w:vAlign w:val="center"/>
          </w:tcPr>
          <w:p w14:paraId="51BE9572"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16.482</w:t>
            </w:r>
          </w:p>
        </w:tc>
        <w:tc>
          <w:tcPr>
            <w:tcW w:w="594" w:type="dxa"/>
            <w:shd w:val="clear" w:color="auto" w:fill="E7F3F4"/>
            <w:noWrap/>
            <w:vAlign w:val="center"/>
          </w:tcPr>
          <w:p w14:paraId="177809D0"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144°</w:t>
            </w:r>
          </w:p>
        </w:tc>
        <w:tc>
          <w:tcPr>
            <w:tcW w:w="876" w:type="dxa"/>
            <w:shd w:val="clear" w:color="auto" w:fill="E7F3F4"/>
            <w:noWrap/>
            <w:vAlign w:val="center"/>
          </w:tcPr>
          <w:p w14:paraId="731D2A68"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18.006</w:t>
            </w:r>
          </w:p>
        </w:tc>
        <w:tc>
          <w:tcPr>
            <w:tcW w:w="480" w:type="dxa"/>
            <w:vMerge/>
            <w:shd w:val="clear" w:color="auto" w:fill="E7F3F4"/>
            <w:noWrap/>
            <w:vAlign w:val="center"/>
          </w:tcPr>
          <w:p w14:paraId="40F0BA5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6E28638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E7E40E7"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6C8CAD4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6BDFF14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93725A8"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23AC45D2"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22FF4E1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3762FF0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6BDD8381"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123BCA" w:rsidRPr="008C687A" w14:paraId="7E1073F2" w14:textId="77777777" w:rsidTr="002126B5">
        <w:trPr>
          <w:trHeight w:val="170"/>
          <w:jc w:val="center"/>
        </w:trPr>
        <w:tc>
          <w:tcPr>
            <w:tcW w:w="1135" w:type="dxa"/>
            <w:vMerge/>
            <w:shd w:val="clear" w:color="auto" w:fill="auto"/>
            <w:vAlign w:val="center"/>
          </w:tcPr>
          <w:p w14:paraId="4C1D524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1BE97516"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663D8EED" w14:textId="139227B8"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Endeavour</w:t>
            </w:r>
          </w:p>
        </w:tc>
        <w:tc>
          <w:tcPr>
            <w:tcW w:w="1338" w:type="dxa"/>
            <w:vMerge w:val="restart"/>
            <w:shd w:val="clear" w:color="auto" w:fill="E7F3F4"/>
            <w:noWrap/>
            <w:vAlign w:val="center"/>
          </w:tcPr>
          <w:p w14:paraId="690A83E6" w14:textId="7777777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Archer Point</w:t>
            </w:r>
          </w:p>
          <w:p w14:paraId="62A1144E" w14:textId="53730863"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5894D7FD" w14:textId="101F8756"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AP1*</w:t>
            </w:r>
          </w:p>
        </w:tc>
        <w:tc>
          <w:tcPr>
            <w:tcW w:w="1116" w:type="dxa"/>
            <w:shd w:val="clear" w:color="auto" w:fill="E7F3F4"/>
            <w:noWrap/>
            <w:vAlign w:val="center"/>
          </w:tcPr>
          <w:p w14:paraId="612EF513" w14:textId="2497B68D"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Archer Point</w:t>
            </w:r>
          </w:p>
        </w:tc>
        <w:tc>
          <w:tcPr>
            <w:tcW w:w="493" w:type="dxa"/>
            <w:shd w:val="clear" w:color="auto" w:fill="E7F3F4"/>
            <w:noWrap/>
            <w:vAlign w:val="center"/>
          </w:tcPr>
          <w:p w14:paraId="617CD6E2" w14:textId="6B42FD90"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15°</w:t>
            </w:r>
          </w:p>
        </w:tc>
        <w:tc>
          <w:tcPr>
            <w:tcW w:w="876" w:type="dxa"/>
            <w:shd w:val="clear" w:color="auto" w:fill="E7F3F4"/>
            <w:noWrap/>
            <w:vAlign w:val="bottom"/>
          </w:tcPr>
          <w:p w14:paraId="0D4C750B" w14:textId="04065BF3"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36.508</w:t>
            </w:r>
          </w:p>
        </w:tc>
        <w:tc>
          <w:tcPr>
            <w:tcW w:w="594" w:type="dxa"/>
            <w:shd w:val="clear" w:color="auto" w:fill="E7F3F4"/>
            <w:noWrap/>
            <w:vAlign w:val="center"/>
          </w:tcPr>
          <w:p w14:paraId="4932F1C6" w14:textId="03023CA4"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145°</w:t>
            </w:r>
          </w:p>
        </w:tc>
        <w:tc>
          <w:tcPr>
            <w:tcW w:w="876" w:type="dxa"/>
            <w:shd w:val="clear" w:color="auto" w:fill="E7F3F4"/>
            <w:noWrap/>
            <w:vAlign w:val="bottom"/>
          </w:tcPr>
          <w:p w14:paraId="42721D69" w14:textId="07DD1E5F"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19.147</w:t>
            </w:r>
          </w:p>
        </w:tc>
        <w:tc>
          <w:tcPr>
            <w:tcW w:w="480" w:type="dxa"/>
            <w:vMerge w:val="restart"/>
            <w:shd w:val="clear" w:color="auto" w:fill="E7F3F4"/>
            <w:noWrap/>
            <w:vAlign w:val="center"/>
          </w:tcPr>
          <w:p w14:paraId="2EDF0EE0" w14:textId="01A886C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vMerge w:val="restart"/>
            <w:shd w:val="clear" w:color="auto" w:fill="E7F3F4"/>
            <w:vAlign w:val="center"/>
          </w:tcPr>
          <w:p w14:paraId="3E4A7706" w14:textId="39473B6A"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vMerge w:val="restart"/>
            <w:shd w:val="clear" w:color="auto" w:fill="E7F3F4"/>
            <w:vAlign w:val="center"/>
          </w:tcPr>
          <w:p w14:paraId="49C4FE3E" w14:textId="7CBF110B"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80" w:type="dxa"/>
            <w:vMerge w:val="restart"/>
            <w:shd w:val="clear" w:color="auto" w:fill="E7F3F4"/>
            <w:vAlign w:val="center"/>
          </w:tcPr>
          <w:p w14:paraId="255A5AEE"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165F1E1A" w14:textId="48FDDFDC"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5A12836A"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3486DA6" w14:textId="4E81E758"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5CA3419C"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7E18E25F" w14:textId="6894EE70"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80" w:type="dxa"/>
            <w:vMerge w:val="restart"/>
            <w:shd w:val="clear" w:color="auto" w:fill="E7F3F4"/>
            <w:vAlign w:val="center"/>
          </w:tcPr>
          <w:p w14:paraId="1BB15B83" w14:textId="348C25DD"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r>
      <w:tr w:rsidR="00123BCA" w:rsidRPr="008C687A" w14:paraId="71C449DF" w14:textId="77777777" w:rsidTr="002126B5">
        <w:trPr>
          <w:trHeight w:val="170"/>
          <w:jc w:val="center"/>
        </w:trPr>
        <w:tc>
          <w:tcPr>
            <w:tcW w:w="1135" w:type="dxa"/>
            <w:vMerge/>
            <w:shd w:val="clear" w:color="auto" w:fill="auto"/>
            <w:vAlign w:val="center"/>
          </w:tcPr>
          <w:p w14:paraId="583D166E"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3A925C3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1BE7A2AA"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20580596"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6BDB1D50" w14:textId="48E2DE3B"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AP2*</w:t>
            </w:r>
          </w:p>
        </w:tc>
        <w:tc>
          <w:tcPr>
            <w:tcW w:w="1116" w:type="dxa"/>
            <w:shd w:val="clear" w:color="auto" w:fill="E7F3F4"/>
            <w:noWrap/>
            <w:vAlign w:val="center"/>
          </w:tcPr>
          <w:p w14:paraId="50006D63" w14:textId="4274655A"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Archer Point</w:t>
            </w:r>
          </w:p>
        </w:tc>
        <w:tc>
          <w:tcPr>
            <w:tcW w:w="493" w:type="dxa"/>
            <w:shd w:val="clear" w:color="auto" w:fill="E7F3F4"/>
            <w:noWrap/>
            <w:vAlign w:val="center"/>
          </w:tcPr>
          <w:p w14:paraId="3B715B63" w14:textId="0660F5C8"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15°</w:t>
            </w:r>
          </w:p>
        </w:tc>
        <w:tc>
          <w:tcPr>
            <w:tcW w:w="876" w:type="dxa"/>
            <w:shd w:val="clear" w:color="auto" w:fill="E7F3F4"/>
            <w:noWrap/>
            <w:vAlign w:val="bottom"/>
          </w:tcPr>
          <w:p w14:paraId="06CBB870" w14:textId="50C1A317"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36.533</w:t>
            </w:r>
          </w:p>
        </w:tc>
        <w:tc>
          <w:tcPr>
            <w:tcW w:w="594" w:type="dxa"/>
            <w:shd w:val="clear" w:color="auto" w:fill="E7F3F4"/>
            <w:noWrap/>
            <w:vAlign w:val="center"/>
          </w:tcPr>
          <w:p w14:paraId="506F6180" w14:textId="2F9A945B"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145°</w:t>
            </w:r>
          </w:p>
        </w:tc>
        <w:tc>
          <w:tcPr>
            <w:tcW w:w="876" w:type="dxa"/>
            <w:shd w:val="clear" w:color="auto" w:fill="E7F3F4"/>
            <w:noWrap/>
            <w:vAlign w:val="bottom"/>
          </w:tcPr>
          <w:p w14:paraId="5BFC49E9" w14:textId="583A2938" w:rsidR="00123BCA" w:rsidRPr="008C687A" w:rsidRDefault="00123BCA"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19.118</w:t>
            </w:r>
          </w:p>
        </w:tc>
        <w:tc>
          <w:tcPr>
            <w:tcW w:w="480" w:type="dxa"/>
            <w:vMerge/>
            <w:shd w:val="clear" w:color="auto" w:fill="E7F3F4"/>
            <w:noWrap/>
            <w:vAlign w:val="center"/>
          </w:tcPr>
          <w:p w14:paraId="78AC4463"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3C87484"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3C2AAAD2"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BE7FCFA"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1DE0CFA0"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5489E791"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9859997"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25620F9F"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3DFE1177" w14:textId="77777777" w:rsidR="00123BCA" w:rsidRPr="008C687A" w:rsidRDefault="00123BCA"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56F0DFBD" w14:textId="77777777" w:rsidR="00123BCA" w:rsidRPr="008C687A" w:rsidRDefault="00123BCA" w:rsidP="009638AE">
            <w:pPr>
              <w:spacing w:before="0" w:after="0"/>
              <w:jc w:val="center"/>
              <w:rPr>
                <w:rFonts w:asciiTheme="minorHAnsi" w:hAnsiTheme="minorHAnsi" w:cstheme="minorHAnsi"/>
                <w:color w:val="000000"/>
                <w:sz w:val="14"/>
                <w:szCs w:val="14"/>
              </w:rPr>
            </w:pPr>
          </w:p>
        </w:tc>
      </w:tr>
      <w:tr w:rsidR="008D01F1" w:rsidRPr="008C687A" w14:paraId="6CE77C54" w14:textId="77777777" w:rsidTr="008D01F1">
        <w:trPr>
          <w:trHeight w:val="170"/>
          <w:jc w:val="center"/>
        </w:trPr>
        <w:tc>
          <w:tcPr>
            <w:tcW w:w="1135" w:type="dxa"/>
            <w:vMerge w:val="restart"/>
            <w:shd w:val="clear" w:color="auto" w:fill="auto"/>
            <w:vAlign w:val="center"/>
          </w:tcPr>
          <w:p w14:paraId="39CA1D0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lastRenderedPageBreak/>
              <w:t>Northern</w:t>
            </w:r>
          </w:p>
        </w:tc>
        <w:tc>
          <w:tcPr>
            <w:tcW w:w="1367" w:type="dxa"/>
            <w:vMerge w:val="restart"/>
            <w:shd w:val="clear" w:color="auto" w:fill="E7F3F4"/>
            <w:vAlign w:val="center"/>
          </w:tcPr>
          <w:p w14:paraId="19C865B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Wet Tropics</w:t>
            </w:r>
          </w:p>
        </w:tc>
        <w:tc>
          <w:tcPr>
            <w:tcW w:w="1100" w:type="dxa"/>
            <w:vMerge w:val="restart"/>
            <w:shd w:val="clear" w:color="auto" w:fill="E7F3F4"/>
            <w:vAlign w:val="center"/>
          </w:tcPr>
          <w:p w14:paraId="37F304F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Tully / Murray / Herbert</w:t>
            </w:r>
          </w:p>
        </w:tc>
        <w:tc>
          <w:tcPr>
            <w:tcW w:w="1338" w:type="dxa"/>
            <w:shd w:val="clear" w:color="auto" w:fill="E7F3F4"/>
            <w:noWrap/>
            <w:vAlign w:val="center"/>
          </w:tcPr>
          <w:p w14:paraId="0111FEE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Rockingham Bay</w:t>
            </w:r>
          </w:p>
          <w:p w14:paraId="2A6D8E5C" w14:textId="77777777" w:rsidR="008D01F1" w:rsidRPr="008C687A" w:rsidRDefault="008D01F1"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47FB251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GO1</w:t>
            </w:r>
          </w:p>
        </w:tc>
        <w:tc>
          <w:tcPr>
            <w:tcW w:w="1116" w:type="dxa"/>
            <w:shd w:val="clear" w:color="auto" w:fill="E7F3F4"/>
            <w:noWrap/>
            <w:vAlign w:val="center"/>
          </w:tcPr>
          <w:p w14:paraId="08CB5F4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Goold Island</w:t>
            </w:r>
          </w:p>
        </w:tc>
        <w:tc>
          <w:tcPr>
            <w:tcW w:w="493" w:type="dxa"/>
            <w:shd w:val="clear" w:color="auto" w:fill="E7F3F4"/>
            <w:noWrap/>
            <w:vAlign w:val="center"/>
          </w:tcPr>
          <w:p w14:paraId="7D13F11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18°</w:t>
            </w:r>
          </w:p>
        </w:tc>
        <w:tc>
          <w:tcPr>
            <w:tcW w:w="876" w:type="dxa"/>
            <w:shd w:val="clear" w:color="auto" w:fill="E7F3F4"/>
            <w:noWrap/>
            <w:vAlign w:val="center"/>
          </w:tcPr>
          <w:p w14:paraId="0114598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10.428</w:t>
            </w:r>
          </w:p>
        </w:tc>
        <w:tc>
          <w:tcPr>
            <w:tcW w:w="594" w:type="dxa"/>
            <w:shd w:val="clear" w:color="auto" w:fill="E7F3F4"/>
            <w:noWrap/>
            <w:vAlign w:val="center"/>
          </w:tcPr>
          <w:p w14:paraId="04BB014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146°</w:t>
            </w:r>
          </w:p>
        </w:tc>
        <w:tc>
          <w:tcPr>
            <w:tcW w:w="876" w:type="dxa"/>
            <w:shd w:val="clear" w:color="auto" w:fill="E7F3F4"/>
            <w:noWrap/>
            <w:vAlign w:val="center"/>
          </w:tcPr>
          <w:p w14:paraId="152D095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9.186</w:t>
            </w:r>
          </w:p>
        </w:tc>
        <w:tc>
          <w:tcPr>
            <w:tcW w:w="480" w:type="dxa"/>
            <w:shd w:val="clear" w:color="auto" w:fill="E7F3F4"/>
            <w:noWrap/>
            <w:vAlign w:val="center"/>
          </w:tcPr>
          <w:p w14:paraId="7BCB257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shd w:val="clear" w:color="auto" w:fill="E7F3F4"/>
            <w:vAlign w:val="center"/>
          </w:tcPr>
          <w:p w14:paraId="3B68901D"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shd w:val="clear" w:color="auto" w:fill="E7F3F4"/>
            <w:vAlign w:val="center"/>
          </w:tcPr>
          <w:p w14:paraId="356D84C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458B6A6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shd w:val="clear" w:color="auto" w:fill="E7F3F4"/>
            <w:vAlign w:val="center"/>
          </w:tcPr>
          <w:p w14:paraId="107E06C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shd w:val="clear" w:color="auto" w:fill="E7F3F4"/>
            <w:vAlign w:val="center"/>
          </w:tcPr>
          <w:p w14:paraId="4DD5CDF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1E4B4AE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shd w:val="clear" w:color="auto" w:fill="E7F3F4"/>
            <w:vAlign w:val="center"/>
          </w:tcPr>
          <w:p w14:paraId="498484E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shd w:val="clear" w:color="auto" w:fill="E7F3F4"/>
            <w:vAlign w:val="center"/>
          </w:tcPr>
          <w:p w14:paraId="7BEAC88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791D1CD1"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78BEDEC1" w14:textId="77777777" w:rsidTr="008D01F1">
        <w:trPr>
          <w:trHeight w:val="170"/>
          <w:jc w:val="center"/>
        </w:trPr>
        <w:tc>
          <w:tcPr>
            <w:tcW w:w="1135" w:type="dxa"/>
            <w:vMerge/>
            <w:shd w:val="clear" w:color="auto" w:fill="auto"/>
            <w:vAlign w:val="center"/>
          </w:tcPr>
          <w:p w14:paraId="07998CD8"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28BCE45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71913F2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val="restart"/>
            <w:shd w:val="clear" w:color="auto" w:fill="E7F3F4"/>
            <w:noWrap/>
            <w:vAlign w:val="center"/>
          </w:tcPr>
          <w:p w14:paraId="6C3017E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Missionary Bay</w:t>
            </w:r>
          </w:p>
          <w:p w14:paraId="0C10D77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7D261FF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MS1^</w:t>
            </w:r>
          </w:p>
        </w:tc>
        <w:tc>
          <w:tcPr>
            <w:tcW w:w="1116" w:type="dxa"/>
            <w:shd w:val="clear" w:color="auto" w:fill="E7F3F4"/>
            <w:noWrap/>
            <w:vAlign w:val="center"/>
          </w:tcPr>
          <w:p w14:paraId="3AA5CBC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Cape Richards</w:t>
            </w:r>
          </w:p>
        </w:tc>
        <w:tc>
          <w:tcPr>
            <w:tcW w:w="493" w:type="dxa"/>
            <w:shd w:val="clear" w:color="auto" w:fill="E7F3F4"/>
            <w:noWrap/>
            <w:vAlign w:val="center"/>
          </w:tcPr>
          <w:p w14:paraId="05878B3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18°</w:t>
            </w:r>
          </w:p>
        </w:tc>
        <w:tc>
          <w:tcPr>
            <w:tcW w:w="876" w:type="dxa"/>
            <w:shd w:val="clear" w:color="auto" w:fill="E7F3F4"/>
            <w:noWrap/>
            <w:vAlign w:val="center"/>
          </w:tcPr>
          <w:p w14:paraId="3BF411A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12.950</w:t>
            </w:r>
          </w:p>
        </w:tc>
        <w:tc>
          <w:tcPr>
            <w:tcW w:w="594" w:type="dxa"/>
            <w:shd w:val="clear" w:color="auto" w:fill="E7F3F4"/>
            <w:noWrap/>
            <w:vAlign w:val="center"/>
          </w:tcPr>
          <w:p w14:paraId="1D56CDC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146°</w:t>
            </w:r>
          </w:p>
        </w:tc>
        <w:tc>
          <w:tcPr>
            <w:tcW w:w="876" w:type="dxa"/>
            <w:shd w:val="clear" w:color="auto" w:fill="E7F3F4"/>
            <w:noWrap/>
            <w:vAlign w:val="center"/>
          </w:tcPr>
          <w:p w14:paraId="2620FA0D"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12.753</w:t>
            </w:r>
          </w:p>
        </w:tc>
        <w:tc>
          <w:tcPr>
            <w:tcW w:w="480" w:type="dxa"/>
            <w:vMerge w:val="restart"/>
            <w:shd w:val="clear" w:color="auto" w:fill="E7F3F4"/>
            <w:noWrap/>
            <w:vAlign w:val="center"/>
          </w:tcPr>
          <w:p w14:paraId="5A25856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6C7AF76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447360A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950905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42BEE626"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309019A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334A09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3502806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3C05A3D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3F6AA168"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793A92CC" w14:textId="77777777" w:rsidTr="008D01F1">
        <w:trPr>
          <w:trHeight w:val="170"/>
          <w:jc w:val="center"/>
        </w:trPr>
        <w:tc>
          <w:tcPr>
            <w:tcW w:w="1135" w:type="dxa"/>
            <w:vMerge/>
            <w:shd w:val="clear" w:color="auto" w:fill="auto"/>
            <w:vAlign w:val="center"/>
          </w:tcPr>
          <w:p w14:paraId="4D74995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0D2C330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73ADFD1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74D23C2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4059BEC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MS2^</w:t>
            </w:r>
          </w:p>
        </w:tc>
        <w:tc>
          <w:tcPr>
            <w:tcW w:w="1116" w:type="dxa"/>
            <w:shd w:val="clear" w:color="auto" w:fill="E7F3F4"/>
            <w:noWrap/>
            <w:vAlign w:val="center"/>
          </w:tcPr>
          <w:p w14:paraId="4DF92E8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Macushla</w:t>
            </w:r>
          </w:p>
        </w:tc>
        <w:tc>
          <w:tcPr>
            <w:tcW w:w="493" w:type="dxa"/>
            <w:shd w:val="clear" w:color="auto" w:fill="E7F3F4"/>
            <w:noWrap/>
            <w:vAlign w:val="center"/>
          </w:tcPr>
          <w:p w14:paraId="6B7A3D5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18°</w:t>
            </w:r>
          </w:p>
        </w:tc>
        <w:tc>
          <w:tcPr>
            <w:tcW w:w="876" w:type="dxa"/>
            <w:shd w:val="clear" w:color="auto" w:fill="E7F3F4"/>
            <w:noWrap/>
            <w:vAlign w:val="center"/>
          </w:tcPr>
          <w:p w14:paraId="4B90261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12.316</w:t>
            </w:r>
          </w:p>
        </w:tc>
        <w:tc>
          <w:tcPr>
            <w:tcW w:w="594" w:type="dxa"/>
            <w:shd w:val="clear" w:color="auto" w:fill="E7F3F4"/>
            <w:noWrap/>
            <w:vAlign w:val="center"/>
          </w:tcPr>
          <w:p w14:paraId="741156E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146°</w:t>
            </w:r>
          </w:p>
        </w:tc>
        <w:tc>
          <w:tcPr>
            <w:tcW w:w="876" w:type="dxa"/>
            <w:shd w:val="clear" w:color="auto" w:fill="E7F3F4"/>
            <w:noWrap/>
            <w:vAlign w:val="center"/>
          </w:tcPr>
          <w:p w14:paraId="5840D2D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13.010</w:t>
            </w:r>
          </w:p>
        </w:tc>
        <w:tc>
          <w:tcPr>
            <w:tcW w:w="480" w:type="dxa"/>
            <w:vMerge/>
            <w:shd w:val="clear" w:color="auto" w:fill="E7F3F4"/>
            <w:noWrap/>
            <w:vAlign w:val="center"/>
          </w:tcPr>
          <w:p w14:paraId="49E6191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B5C5E2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41956BE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1C59D71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3D9E249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76EF73E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5B3E28B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7AAD503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65EC513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35F453AB"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781A9DDD" w14:textId="77777777" w:rsidTr="008D01F1">
        <w:trPr>
          <w:trHeight w:val="170"/>
          <w:jc w:val="center"/>
        </w:trPr>
        <w:tc>
          <w:tcPr>
            <w:tcW w:w="1135" w:type="dxa"/>
            <w:vMerge w:val="restart"/>
            <w:shd w:val="clear" w:color="auto" w:fill="auto"/>
            <w:vAlign w:val="center"/>
          </w:tcPr>
          <w:p w14:paraId="571E877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Central</w:t>
            </w:r>
          </w:p>
        </w:tc>
        <w:tc>
          <w:tcPr>
            <w:tcW w:w="1367" w:type="dxa"/>
            <w:shd w:val="clear" w:color="auto" w:fill="F3F9FA"/>
            <w:vAlign w:val="center"/>
          </w:tcPr>
          <w:p w14:paraId="49405EC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Burdekin</w:t>
            </w:r>
          </w:p>
          <w:p w14:paraId="458039F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w:t>
            </w:r>
            <w:r w:rsidRPr="008C687A">
              <w:rPr>
                <w:rFonts w:asciiTheme="minorHAnsi" w:hAnsiTheme="minorHAnsi" w:cstheme="minorHAnsi"/>
                <w:i/>
                <w:color w:val="000000"/>
                <w:sz w:val="14"/>
                <w:szCs w:val="14"/>
              </w:rPr>
              <w:t>NQ Dry Tropics</w:t>
            </w:r>
            <w:r w:rsidRPr="008C687A">
              <w:rPr>
                <w:rFonts w:asciiTheme="minorHAnsi" w:hAnsiTheme="minorHAnsi" w:cstheme="minorHAnsi"/>
                <w:color w:val="000000"/>
                <w:sz w:val="14"/>
                <w:szCs w:val="14"/>
              </w:rPr>
              <w:t>)</w:t>
            </w:r>
          </w:p>
        </w:tc>
        <w:tc>
          <w:tcPr>
            <w:tcW w:w="1100" w:type="dxa"/>
            <w:shd w:val="clear" w:color="auto" w:fill="F3F9FA"/>
            <w:vAlign w:val="center"/>
          </w:tcPr>
          <w:p w14:paraId="633C1AA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Ross / Burdekin</w:t>
            </w:r>
          </w:p>
        </w:tc>
        <w:tc>
          <w:tcPr>
            <w:tcW w:w="1338" w:type="dxa"/>
            <w:shd w:val="clear" w:color="auto" w:fill="F3F9FA"/>
            <w:noWrap/>
            <w:vAlign w:val="center"/>
          </w:tcPr>
          <w:p w14:paraId="13D88BA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Townsville</w:t>
            </w:r>
          </w:p>
          <w:p w14:paraId="75719A7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F3F9FA"/>
            <w:noWrap/>
            <w:vAlign w:val="center"/>
          </w:tcPr>
          <w:p w14:paraId="223EE40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SB2*</w:t>
            </w:r>
          </w:p>
        </w:tc>
        <w:tc>
          <w:tcPr>
            <w:tcW w:w="1116" w:type="dxa"/>
            <w:shd w:val="clear" w:color="auto" w:fill="F3F9FA"/>
            <w:noWrap/>
            <w:vAlign w:val="center"/>
          </w:tcPr>
          <w:p w14:paraId="61BEA78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Shelley Beach</w:t>
            </w:r>
          </w:p>
        </w:tc>
        <w:tc>
          <w:tcPr>
            <w:tcW w:w="493" w:type="dxa"/>
            <w:shd w:val="clear" w:color="auto" w:fill="F3F9FA"/>
            <w:noWrap/>
            <w:vAlign w:val="center"/>
          </w:tcPr>
          <w:p w14:paraId="6A2CB3D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19°</w:t>
            </w:r>
          </w:p>
        </w:tc>
        <w:tc>
          <w:tcPr>
            <w:tcW w:w="876" w:type="dxa"/>
            <w:shd w:val="clear" w:color="auto" w:fill="F3F9FA"/>
            <w:noWrap/>
            <w:vAlign w:val="center"/>
          </w:tcPr>
          <w:p w14:paraId="4FFD015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10.939</w:t>
            </w:r>
          </w:p>
        </w:tc>
        <w:tc>
          <w:tcPr>
            <w:tcW w:w="594" w:type="dxa"/>
            <w:shd w:val="clear" w:color="auto" w:fill="F3F9FA"/>
            <w:noWrap/>
            <w:vAlign w:val="center"/>
          </w:tcPr>
          <w:p w14:paraId="382A7C6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146°</w:t>
            </w:r>
          </w:p>
        </w:tc>
        <w:tc>
          <w:tcPr>
            <w:tcW w:w="876" w:type="dxa"/>
            <w:shd w:val="clear" w:color="auto" w:fill="F3F9FA"/>
            <w:noWrap/>
            <w:vAlign w:val="center"/>
          </w:tcPr>
          <w:p w14:paraId="50F3E5B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45.767</w:t>
            </w:r>
          </w:p>
        </w:tc>
        <w:tc>
          <w:tcPr>
            <w:tcW w:w="480" w:type="dxa"/>
            <w:shd w:val="clear" w:color="auto" w:fill="F3F9FA"/>
            <w:noWrap/>
            <w:vAlign w:val="center"/>
          </w:tcPr>
          <w:p w14:paraId="37C09D4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shd w:val="clear" w:color="auto" w:fill="F3F9FA"/>
            <w:vAlign w:val="center"/>
          </w:tcPr>
          <w:p w14:paraId="735FB4E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shd w:val="clear" w:color="auto" w:fill="F3F9FA"/>
            <w:vAlign w:val="center"/>
          </w:tcPr>
          <w:p w14:paraId="39AB7CD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F3F9FA"/>
            <w:vAlign w:val="center"/>
          </w:tcPr>
          <w:p w14:paraId="02E0770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shd w:val="clear" w:color="auto" w:fill="F3F9FA"/>
            <w:vAlign w:val="center"/>
          </w:tcPr>
          <w:p w14:paraId="78423EB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shd w:val="clear" w:color="auto" w:fill="F3F9FA"/>
            <w:vAlign w:val="center"/>
          </w:tcPr>
          <w:p w14:paraId="206D257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F3F9FA"/>
            <w:vAlign w:val="center"/>
          </w:tcPr>
          <w:p w14:paraId="1643F49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shd w:val="clear" w:color="auto" w:fill="F3F9FA"/>
            <w:vAlign w:val="center"/>
          </w:tcPr>
          <w:p w14:paraId="480A357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shd w:val="clear" w:color="auto" w:fill="F3F9FA"/>
            <w:vAlign w:val="center"/>
          </w:tcPr>
          <w:p w14:paraId="4AB116E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F3F9FA"/>
            <w:vAlign w:val="center"/>
          </w:tcPr>
          <w:p w14:paraId="06C96B0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r>
      <w:tr w:rsidR="008D01F1" w:rsidRPr="008C687A" w14:paraId="79A11959" w14:textId="77777777" w:rsidTr="008D01F1">
        <w:trPr>
          <w:trHeight w:val="170"/>
          <w:jc w:val="center"/>
        </w:trPr>
        <w:tc>
          <w:tcPr>
            <w:tcW w:w="1135" w:type="dxa"/>
            <w:vMerge/>
            <w:shd w:val="clear" w:color="auto" w:fill="auto"/>
            <w:vAlign w:val="center"/>
          </w:tcPr>
          <w:p w14:paraId="3027105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val="restart"/>
            <w:shd w:val="clear" w:color="auto" w:fill="E7F3F4"/>
            <w:vAlign w:val="center"/>
          </w:tcPr>
          <w:p w14:paraId="65AA8031" w14:textId="72E4F5E0" w:rsidR="008D01F1" w:rsidRPr="008C687A" w:rsidRDefault="00B72AC4"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Mackay–Whitsunday</w:t>
            </w:r>
          </w:p>
          <w:p w14:paraId="5904C68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w:t>
            </w:r>
            <w:r w:rsidRPr="008C687A">
              <w:rPr>
                <w:rFonts w:asciiTheme="minorHAnsi" w:hAnsiTheme="minorHAnsi" w:cstheme="minorHAnsi"/>
                <w:i/>
                <w:color w:val="000000"/>
                <w:sz w:val="14"/>
                <w:szCs w:val="14"/>
              </w:rPr>
              <w:t>Reef Catchments</w:t>
            </w:r>
            <w:r w:rsidRPr="008C687A">
              <w:rPr>
                <w:rFonts w:asciiTheme="minorHAnsi" w:hAnsiTheme="minorHAnsi" w:cstheme="minorHAnsi"/>
                <w:color w:val="000000"/>
                <w:sz w:val="14"/>
                <w:szCs w:val="14"/>
              </w:rPr>
              <w:t>)</w:t>
            </w:r>
          </w:p>
        </w:tc>
        <w:tc>
          <w:tcPr>
            <w:tcW w:w="1100" w:type="dxa"/>
            <w:vMerge w:val="restart"/>
            <w:shd w:val="clear" w:color="auto" w:fill="E7F3F4"/>
            <w:vAlign w:val="center"/>
          </w:tcPr>
          <w:p w14:paraId="2741AE2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Don</w:t>
            </w:r>
          </w:p>
        </w:tc>
        <w:tc>
          <w:tcPr>
            <w:tcW w:w="1338" w:type="dxa"/>
            <w:vMerge w:val="restart"/>
            <w:shd w:val="clear" w:color="auto" w:fill="E7F3F4"/>
            <w:noWrap/>
            <w:vAlign w:val="center"/>
          </w:tcPr>
          <w:p w14:paraId="1DC3822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Shoal Bay</w:t>
            </w:r>
          </w:p>
          <w:p w14:paraId="70643C5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506D098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HB1*</w:t>
            </w:r>
          </w:p>
        </w:tc>
        <w:tc>
          <w:tcPr>
            <w:tcW w:w="1116" w:type="dxa"/>
            <w:shd w:val="clear" w:color="auto" w:fill="E7F3F4"/>
            <w:noWrap/>
            <w:vAlign w:val="center"/>
          </w:tcPr>
          <w:p w14:paraId="0213C4E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Hydeaway Bay</w:t>
            </w:r>
          </w:p>
        </w:tc>
        <w:tc>
          <w:tcPr>
            <w:tcW w:w="493" w:type="dxa"/>
            <w:shd w:val="clear" w:color="auto" w:fill="E7F3F4"/>
            <w:noWrap/>
            <w:vAlign w:val="center"/>
          </w:tcPr>
          <w:p w14:paraId="4B74CC1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5AC6A53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4.481</w:t>
            </w:r>
          </w:p>
        </w:tc>
        <w:tc>
          <w:tcPr>
            <w:tcW w:w="594" w:type="dxa"/>
            <w:shd w:val="clear" w:color="auto" w:fill="E7F3F4"/>
            <w:noWrap/>
            <w:vAlign w:val="center"/>
          </w:tcPr>
          <w:p w14:paraId="11BC059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752E716D"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28.943</w:t>
            </w:r>
          </w:p>
        </w:tc>
        <w:tc>
          <w:tcPr>
            <w:tcW w:w="480" w:type="dxa"/>
            <w:vMerge w:val="restart"/>
            <w:shd w:val="clear" w:color="auto" w:fill="E7F3F4"/>
            <w:noWrap/>
            <w:vAlign w:val="center"/>
          </w:tcPr>
          <w:p w14:paraId="11C2561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vMerge w:val="restart"/>
            <w:shd w:val="clear" w:color="auto" w:fill="E7F3F4"/>
            <w:vAlign w:val="center"/>
          </w:tcPr>
          <w:p w14:paraId="676C7A3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4799074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54B9790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6A64BE8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35EE621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534E6E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298B767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664BF2A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80" w:type="dxa"/>
            <w:vMerge w:val="restart"/>
            <w:shd w:val="clear" w:color="auto" w:fill="E7F3F4"/>
            <w:vAlign w:val="center"/>
          </w:tcPr>
          <w:p w14:paraId="0AA867C1"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04F28C1A" w14:textId="77777777" w:rsidTr="008D01F1">
        <w:trPr>
          <w:trHeight w:val="170"/>
          <w:jc w:val="center"/>
        </w:trPr>
        <w:tc>
          <w:tcPr>
            <w:tcW w:w="1135" w:type="dxa"/>
            <w:vMerge/>
            <w:shd w:val="clear" w:color="auto" w:fill="auto"/>
            <w:vAlign w:val="center"/>
          </w:tcPr>
          <w:p w14:paraId="34565B0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6FEFD4F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5ECA005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067CDAB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7EDF334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HB2*</w:t>
            </w:r>
          </w:p>
        </w:tc>
        <w:tc>
          <w:tcPr>
            <w:tcW w:w="1116" w:type="dxa"/>
            <w:shd w:val="clear" w:color="auto" w:fill="E7F3F4"/>
            <w:noWrap/>
            <w:vAlign w:val="center"/>
          </w:tcPr>
          <w:p w14:paraId="53C04A9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Hydeaway Bay</w:t>
            </w:r>
          </w:p>
        </w:tc>
        <w:tc>
          <w:tcPr>
            <w:tcW w:w="493" w:type="dxa"/>
            <w:shd w:val="clear" w:color="auto" w:fill="E7F3F4"/>
            <w:noWrap/>
            <w:vAlign w:val="center"/>
          </w:tcPr>
          <w:p w14:paraId="12F99A0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0C96FA5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4.292</w:t>
            </w:r>
          </w:p>
        </w:tc>
        <w:tc>
          <w:tcPr>
            <w:tcW w:w="594" w:type="dxa"/>
            <w:shd w:val="clear" w:color="auto" w:fill="E7F3F4"/>
            <w:noWrap/>
            <w:vAlign w:val="center"/>
          </w:tcPr>
          <w:p w14:paraId="170E1EB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13BC2C4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28.861</w:t>
            </w:r>
          </w:p>
        </w:tc>
        <w:tc>
          <w:tcPr>
            <w:tcW w:w="480" w:type="dxa"/>
            <w:vMerge/>
            <w:shd w:val="clear" w:color="auto" w:fill="E7F3F4"/>
            <w:noWrap/>
            <w:vAlign w:val="center"/>
          </w:tcPr>
          <w:p w14:paraId="34FBF15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40677ED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5D7AA45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4FFCFC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24D3299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53F02C7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3FE6FFE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1BF390D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6A07643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389D487C"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0B8E22F4" w14:textId="77777777" w:rsidTr="008D01F1">
        <w:trPr>
          <w:trHeight w:val="87"/>
          <w:jc w:val="center"/>
        </w:trPr>
        <w:tc>
          <w:tcPr>
            <w:tcW w:w="1135" w:type="dxa"/>
            <w:vMerge/>
            <w:shd w:val="clear" w:color="auto" w:fill="auto"/>
            <w:vAlign w:val="center"/>
          </w:tcPr>
          <w:p w14:paraId="67F566C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4C740BD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1AF768D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Proserpine</w:t>
            </w:r>
          </w:p>
        </w:tc>
        <w:tc>
          <w:tcPr>
            <w:tcW w:w="1338" w:type="dxa"/>
            <w:vMerge w:val="restart"/>
            <w:shd w:val="clear" w:color="auto" w:fill="E7F3F4"/>
            <w:noWrap/>
            <w:vAlign w:val="center"/>
          </w:tcPr>
          <w:p w14:paraId="207DADE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Pioneer Bay</w:t>
            </w:r>
          </w:p>
          <w:p w14:paraId="1084B6A2" w14:textId="77777777" w:rsidR="008D01F1" w:rsidRPr="008C687A" w:rsidRDefault="008D01F1"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4E5F1E2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PI2*</w:t>
            </w:r>
          </w:p>
        </w:tc>
        <w:tc>
          <w:tcPr>
            <w:tcW w:w="1116" w:type="dxa"/>
            <w:shd w:val="clear" w:color="auto" w:fill="E7F3F4"/>
            <w:noWrap/>
            <w:vAlign w:val="center"/>
          </w:tcPr>
          <w:p w14:paraId="3215561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Pigeon Island</w:t>
            </w:r>
          </w:p>
        </w:tc>
        <w:tc>
          <w:tcPr>
            <w:tcW w:w="493" w:type="dxa"/>
            <w:shd w:val="clear" w:color="auto" w:fill="E7F3F4"/>
            <w:noWrap/>
            <w:vAlign w:val="center"/>
          </w:tcPr>
          <w:p w14:paraId="7794EE4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2786C50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16.163</w:t>
            </w:r>
          </w:p>
        </w:tc>
        <w:tc>
          <w:tcPr>
            <w:tcW w:w="594" w:type="dxa"/>
            <w:shd w:val="clear" w:color="auto" w:fill="E7F3F4"/>
            <w:noWrap/>
            <w:vAlign w:val="center"/>
          </w:tcPr>
          <w:p w14:paraId="7842963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2D894D3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41.585</w:t>
            </w:r>
          </w:p>
        </w:tc>
        <w:tc>
          <w:tcPr>
            <w:tcW w:w="480" w:type="dxa"/>
            <w:vMerge w:val="restart"/>
            <w:shd w:val="clear" w:color="auto" w:fill="E7F3F4"/>
            <w:noWrap/>
            <w:vAlign w:val="center"/>
          </w:tcPr>
          <w:p w14:paraId="0764086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23A4287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6BB0780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6BF888F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38AC4ED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455879F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80" w:type="dxa"/>
            <w:vMerge w:val="restart"/>
            <w:shd w:val="clear" w:color="auto" w:fill="E7F3F4"/>
            <w:vAlign w:val="center"/>
          </w:tcPr>
          <w:p w14:paraId="6E4C1B5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78C11F2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23D44F6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2F77D4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r>
      <w:tr w:rsidR="008D01F1" w:rsidRPr="008C687A" w14:paraId="191BB898" w14:textId="77777777" w:rsidTr="008D01F1">
        <w:trPr>
          <w:trHeight w:val="170"/>
          <w:jc w:val="center"/>
        </w:trPr>
        <w:tc>
          <w:tcPr>
            <w:tcW w:w="1135" w:type="dxa"/>
            <w:vMerge/>
            <w:shd w:val="clear" w:color="auto" w:fill="auto"/>
            <w:vAlign w:val="center"/>
          </w:tcPr>
          <w:p w14:paraId="66DF9E6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F3F9FA"/>
            <w:vAlign w:val="center"/>
          </w:tcPr>
          <w:p w14:paraId="2BCD360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7A9F7FF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53FE02F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52C5D4A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PI3*</w:t>
            </w:r>
          </w:p>
        </w:tc>
        <w:tc>
          <w:tcPr>
            <w:tcW w:w="1116" w:type="dxa"/>
            <w:shd w:val="clear" w:color="auto" w:fill="E7F3F4"/>
            <w:noWrap/>
            <w:vAlign w:val="center"/>
          </w:tcPr>
          <w:p w14:paraId="0A7C6A68" w14:textId="77777777" w:rsidR="008D01F1" w:rsidRPr="008C687A" w:rsidRDefault="008D01F1"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color w:val="000000"/>
                <w:sz w:val="14"/>
                <w:szCs w:val="14"/>
              </w:rPr>
              <w:t>Pigeon Island</w:t>
            </w:r>
          </w:p>
        </w:tc>
        <w:tc>
          <w:tcPr>
            <w:tcW w:w="493" w:type="dxa"/>
            <w:shd w:val="clear" w:color="auto" w:fill="E7F3F4"/>
            <w:noWrap/>
            <w:vAlign w:val="center"/>
          </w:tcPr>
          <w:p w14:paraId="620AD9C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55521B8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16.232</w:t>
            </w:r>
          </w:p>
        </w:tc>
        <w:tc>
          <w:tcPr>
            <w:tcW w:w="594" w:type="dxa"/>
            <w:shd w:val="clear" w:color="auto" w:fill="E7F3F4"/>
            <w:noWrap/>
            <w:vAlign w:val="center"/>
          </w:tcPr>
          <w:p w14:paraId="49F81C7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4E698B3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41.850</w:t>
            </w:r>
          </w:p>
        </w:tc>
        <w:tc>
          <w:tcPr>
            <w:tcW w:w="480" w:type="dxa"/>
            <w:vMerge/>
            <w:shd w:val="clear" w:color="auto" w:fill="E7F3F4"/>
            <w:noWrap/>
            <w:vAlign w:val="center"/>
          </w:tcPr>
          <w:p w14:paraId="420F032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54F94CF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7B0A1FA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E6D42E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50AC6DD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1FF77E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0A695E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51D0B9D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4F7693E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13149EC5"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0AAF68E4" w14:textId="77777777" w:rsidTr="008D01F1">
        <w:trPr>
          <w:trHeight w:val="170"/>
          <w:jc w:val="center"/>
        </w:trPr>
        <w:tc>
          <w:tcPr>
            <w:tcW w:w="1135" w:type="dxa"/>
            <w:vMerge/>
            <w:shd w:val="clear" w:color="auto" w:fill="auto"/>
            <w:vAlign w:val="center"/>
          </w:tcPr>
          <w:p w14:paraId="57856E9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F3F9FA"/>
            <w:vAlign w:val="center"/>
          </w:tcPr>
          <w:p w14:paraId="34EF983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66AFC3F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Proserpine / O'Connell</w:t>
            </w:r>
          </w:p>
        </w:tc>
        <w:tc>
          <w:tcPr>
            <w:tcW w:w="1338" w:type="dxa"/>
            <w:vMerge w:val="restart"/>
            <w:shd w:val="clear" w:color="auto" w:fill="E7F3F4"/>
            <w:noWrap/>
            <w:vAlign w:val="center"/>
          </w:tcPr>
          <w:p w14:paraId="7FFD7481" w14:textId="77777777" w:rsidR="008D01F1" w:rsidRPr="008C687A" w:rsidRDefault="008D01F1"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color w:val="000000"/>
                <w:sz w:val="14"/>
                <w:szCs w:val="14"/>
              </w:rPr>
              <w:t>Whitsunday Island</w:t>
            </w:r>
          </w:p>
          <w:p w14:paraId="396B654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reef</w:t>
            </w:r>
          </w:p>
        </w:tc>
        <w:tc>
          <w:tcPr>
            <w:tcW w:w="678" w:type="dxa"/>
            <w:shd w:val="clear" w:color="auto" w:fill="E7F3F4"/>
            <w:noWrap/>
            <w:vAlign w:val="center"/>
          </w:tcPr>
          <w:p w14:paraId="6819751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TO1^</w:t>
            </w:r>
          </w:p>
        </w:tc>
        <w:tc>
          <w:tcPr>
            <w:tcW w:w="1116" w:type="dxa"/>
            <w:shd w:val="clear" w:color="auto" w:fill="E7F3F4"/>
            <w:noWrap/>
            <w:vAlign w:val="center"/>
          </w:tcPr>
          <w:p w14:paraId="33ACD4F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Tongue Bay</w:t>
            </w:r>
          </w:p>
        </w:tc>
        <w:tc>
          <w:tcPr>
            <w:tcW w:w="493" w:type="dxa"/>
            <w:shd w:val="clear" w:color="auto" w:fill="E7F3F4"/>
            <w:noWrap/>
            <w:vAlign w:val="center"/>
          </w:tcPr>
          <w:p w14:paraId="0872954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2ED6335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14.399</w:t>
            </w:r>
          </w:p>
        </w:tc>
        <w:tc>
          <w:tcPr>
            <w:tcW w:w="594" w:type="dxa"/>
            <w:shd w:val="clear" w:color="auto" w:fill="E7F3F4"/>
            <w:noWrap/>
            <w:vAlign w:val="center"/>
          </w:tcPr>
          <w:p w14:paraId="6A7D5DCF"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149°</w:t>
            </w:r>
          </w:p>
        </w:tc>
        <w:tc>
          <w:tcPr>
            <w:tcW w:w="876" w:type="dxa"/>
            <w:shd w:val="clear" w:color="auto" w:fill="E7F3F4"/>
            <w:noWrap/>
            <w:vAlign w:val="bottom"/>
          </w:tcPr>
          <w:p w14:paraId="6684C50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0.934</w:t>
            </w:r>
          </w:p>
        </w:tc>
        <w:tc>
          <w:tcPr>
            <w:tcW w:w="480" w:type="dxa"/>
            <w:vMerge w:val="restart"/>
            <w:shd w:val="clear" w:color="auto" w:fill="E7F3F4"/>
            <w:noWrap/>
            <w:vAlign w:val="center"/>
          </w:tcPr>
          <w:p w14:paraId="0E87C74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09F3F26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6EA7924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DA318A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64F6033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4CE5CCB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6EC494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51C2E6E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3D201C4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80" w:type="dxa"/>
            <w:vMerge w:val="restart"/>
            <w:shd w:val="clear" w:color="auto" w:fill="E7F3F4"/>
            <w:vAlign w:val="center"/>
          </w:tcPr>
          <w:p w14:paraId="13E9C821"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4D9E6983" w14:textId="77777777" w:rsidTr="008D01F1">
        <w:trPr>
          <w:trHeight w:val="170"/>
          <w:jc w:val="center"/>
        </w:trPr>
        <w:tc>
          <w:tcPr>
            <w:tcW w:w="1135" w:type="dxa"/>
            <w:vMerge/>
            <w:shd w:val="clear" w:color="auto" w:fill="auto"/>
            <w:vAlign w:val="center"/>
          </w:tcPr>
          <w:p w14:paraId="0657B09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F3F9FA"/>
            <w:vAlign w:val="center"/>
          </w:tcPr>
          <w:p w14:paraId="6D1D9E4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244E612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6DF1570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5EA577A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TO2^</w:t>
            </w:r>
          </w:p>
        </w:tc>
        <w:tc>
          <w:tcPr>
            <w:tcW w:w="1116" w:type="dxa"/>
            <w:shd w:val="clear" w:color="auto" w:fill="E7F3F4"/>
            <w:noWrap/>
            <w:vAlign w:val="center"/>
          </w:tcPr>
          <w:p w14:paraId="0CECD55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Tongue Bay</w:t>
            </w:r>
          </w:p>
        </w:tc>
        <w:tc>
          <w:tcPr>
            <w:tcW w:w="493" w:type="dxa"/>
            <w:shd w:val="clear" w:color="auto" w:fill="E7F3F4"/>
            <w:noWrap/>
            <w:vAlign w:val="center"/>
          </w:tcPr>
          <w:p w14:paraId="74C0DB2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25A4F0C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14.495</w:t>
            </w:r>
          </w:p>
        </w:tc>
        <w:tc>
          <w:tcPr>
            <w:tcW w:w="594" w:type="dxa"/>
            <w:shd w:val="clear" w:color="auto" w:fill="E7F3F4"/>
            <w:noWrap/>
            <w:vAlign w:val="center"/>
          </w:tcPr>
          <w:p w14:paraId="43B64C1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149°</w:t>
            </w:r>
          </w:p>
        </w:tc>
        <w:tc>
          <w:tcPr>
            <w:tcW w:w="876" w:type="dxa"/>
            <w:shd w:val="clear" w:color="auto" w:fill="E7F3F4"/>
            <w:noWrap/>
            <w:vAlign w:val="bottom"/>
          </w:tcPr>
          <w:p w14:paraId="439154D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0.697</w:t>
            </w:r>
          </w:p>
        </w:tc>
        <w:tc>
          <w:tcPr>
            <w:tcW w:w="480" w:type="dxa"/>
            <w:vMerge/>
            <w:shd w:val="clear" w:color="auto" w:fill="E7F3F4"/>
            <w:noWrap/>
            <w:vAlign w:val="center"/>
          </w:tcPr>
          <w:p w14:paraId="396F7638"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417273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074795B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60482EB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4C348E5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744E55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91DFBC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1E504F8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0A0849F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7B0A1A43"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22D0722F" w14:textId="77777777" w:rsidTr="008D01F1">
        <w:trPr>
          <w:trHeight w:val="87"/>
          <w:jc w:val="center"/>
        </w:trPr>
        <w:tc>
          <w:tcPr>
            <w:tcW w:w="1135" w:type="dxa"/>
            <w:vMerge/>
            <w:shd w:val="clear" w:color="auto" w:fill="auto"/>
            <w:vAlign w:val="center"/>
          </w:tcPr>
          <w:p w14:paraId="5142931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0211C4A8"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7EB218B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O'Connell</w:t>
            </w:r>
            <w:r>
              <w:rPr>
                <w:rFonts w:asciiTheme="minorHAnsi" w:hAnsiTheme="minorHAnsi" w:cstheme="minorHAnsi"/>
                <w:color w:val="000000"/>
                <w:sz w:val="14"/>
                <w:szCs w:val="14"/>
              </w:rPr>
              <w:t xml:space="preserve"> / Pioneer</w:t>
            </w:r>
          </w:p>
        </w:tc>
        <w:tc>
          <w:tcPr>
            <w:tcW w:w="1338" w:type="dxa"/>
            <w:vMerge w:val="restart"/>
            <w:shd w:val="clear" w:color="auto" w:fill="E7F3F4"/>
            <w:noWrap/>
            <w:vAlign w:val="center"/>
          </w:tcPr>
          <w:p w14:paraId="116A89A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Newry Islands</w:t>
            </w:r>
          </w:p>
          <w:p w14:paraId="3F2FE1E6"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2AFA15AA" w14:textId="77777777" w:rsidR="008D01F1" w:rsidRPr="008C687A" w:rsidRDefault="008D01F1"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SH1*</w:t>
            </w:r>
          </w:p>
        </w:tc>
        <w:tc>
          <w:tcPr>
            <w:tcW w:w="1116" w:type="dxa"/>
            <w:shd w:val="clear" w:color="auto" w:fill="E7F3F4"/>
            <w:noWrap/>
            <w:vAlign w:val="center"/>
          </w:tcPr>
          <w:p w14:paraId="571DDDD1" w14:textId="77777777" w:rsidR="008D01F1" w:rsidRPr="008C687A" w:rsidRDefault="008D01F1"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St Helens Bch</w:t>
            </w:r>
          </w:p>
        </w:tc>
        <w:tc>
          <w:tcPr>
            <w:tcW w:w="493" w:type="dxa"/>
            <w:shd w:val="clear" w:color="auto" w:fill="E7F3F4"/>
            <w:noWrap/>
            <w:vAlign w:val="center"/>
          </w:tcPr>
          <w:p w14:paraId="2FD38A9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6177CF3D" w14:textId="77777777" w:rsidR="008D01F1" w:rsidRPr="008C687A" w:rsidRDefault="008D01F1"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49.344</w:t>
            </w:r>
          </w:p>
        </w:tc>
        <w:tc>
          <w:tcPr>
            <w:tcW w:w="594" w:type="dxa"/>
            <w:shd w:val="clear" w:color="auto" w:fill="E7F3F4"/>
            <w:noWrap/>
            <w:vAlign w:val="center"/>
          </w:tcPr>
          <w:p w14:paraId="4C564CF2"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25D2CE6F" w14:textId="77777777" w:rsidR="008D01F1" w:rsidRPr="008C687A" w:rsidRDefault="008D01F1" w:rsidP="009638AE">
            <w:pPr>
              <w:spacing w:before="0" w:after="0"/>
              <w:jc w:val="center"/>
              <w:rPr>
                <w:rFonts w:asciiTheme="minorHAnsi" w:hAnsiTheme="minorHAnsi" w:cstheme="minorHAnsi"/>
                <w:color w:val="000000"/>
                <w:sz w:val="14"/>
                <w:szCs w:val="14"/>
              </w:rPr>
            </w:pPr>
            <w:r>
              <w:rPr>
                <w:rFonts w:asciiTheme="minorHAnsi" w:hAnsiTheme="minorHAnsi" w:cstheme="minorHAnsi"/>
                <w:color w:val="000000"/>
                <w:sz w:val="14"/>
                <w:szCs w:val="14"/>
              </w:rPr>
              <w:t>50.124</w:t>
            </w:r>
          </w:p>
        </w:tc>
        <w:tc>
          <w:tcPr>
            <w:tcW w:w="480" w:type="dxa"/>
            <w:shd w:val="clear" w:color="auto" w:fill="E7F3F4"/>
            <w:noWrap/>
            <w:vAlign w:val="center"/>
          </w:tcPr>
          <w:p w14:paraId="23464F18"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shd w:val="clear" w:color="auto" w:fill="E7F3F4"/>
            <w:vAlign w:val="center"/>
          </w:tcPr>
          <w:p w14:paraId="5B550C3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shd w:val="clear" w:color="auto" w:fill="E7F3F4"/>
            <w:vAlign w:val="center"/>
          </w:tcPr>
          <w:p w14:paraId="68C31C5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2022CE1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shd w:val="clear" w:color="auto" w:fill="E7F3F4"/>
            <w:vAlign w:val="center"/>
          </w:tcPr>
          <w:p w14:paraId="7249CAD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shd w:val="clear" w:color="auto" w:fill="E7F3F4"/>
            <w:vAlign w:val="center"/>
          </w:tcPr>
          <w:p w14:paraId="13F826B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31F2681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shd w:val="clear" w:color="auto" w:fill="E7F3F4"/>
            <w:vAlign w:val="center"/>
          </w:tcPr>
          <w:p w14:paraId="3B900EE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shd w:val="clear" w:color="auto" w:fill="E7F3F4"/>
            <w:vAlign w:val="center"/>
          </w:tcPr>
          <w:p w14:paraId="20977D0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shd w:val="clear" w:color="auto" w:fill="E7F3F4"/>
            <w:vAlign w:val="center"/>
          </w:tcPr>
          <w:p w14:paraId="6EA3F3E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r>
      <w:tr w:rsidR="008D01F1" w:rsidRPr="008C687A" w14:paraId="1ED5770B" w14:textId="77777777" w:rsidTr="008D01F1">
        <w:trPr>
          <w:trHeight w:val="87"/>
          <w:jc w:val="center"/>
        </w:trPr>
        <w:tc>
          <w:tcPr>
            <w:tcW w:w="1135" w:type="dxa"/>
            <w:vMerge/>
            <w:shd w:val="clear" w:color="auto" w:fill="auto"/>
            <w:vAlign w:val="center"/>
          </w:tcPr>
          <w:p w14:paraId="31B92E6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2835B0C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2ECCC00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7FF09E2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4CF0C39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NB1^</w:t>
            </w:r>
          </w:p>
        </w:tc>
        <w:tc>
          <w:tcPr>
            <w:tcW w:w="1116" w:type="dxa"/>
            <w:shd w:val="clear" w:color="auto" w:fill="E7F3F4"/>
            <w:noWrap/>
            <w:vAlign w:val="center"/>
          </w:tcPr>
          <w:p w14:paraId="4B8C6E51"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Newry Bay</w:t>
            </w:r>
          </w:p>
        </w:tc>
        <w:tc>
          <w:tcPr>
            <w:tcW w:w="493" w:type="dxa"/>
            <w:shd w:val="clear" w:color="auto" w:fill="E7F3F4"/>
            <w:noWrap/>
            <w:vAlign w:val="center"/>
          </w:tcPr>
          <w:p w14:paraId="6570F9E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3A311DD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52.057</w:t>
            </w:r>
          </w:p>
        </w:tc>
        <w:tc>
          <w:tcPr>
            <w:tcW w:w="594" w:type="dxa"/>
            <w:shd w:val="clear" w:color="auto" w:fill="E7F3F4"/>
            <w:noWrap/>
            <w:vAlign w:val="center"/>
          </w:tcPr>
          <w:p w14:paraId="0953918A"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6602FDF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55.531</w:t>
            </w:r>
          </w:p>
        </w:tc>
        <w:tc>
          <w:tcPr>
            <w:tcW w:w="480" w:type="dxa"/>
            <w:vMerge w:val="restart"/>
            <w:shd w:val="clear" w:color="auto" w:fill="E7F3F4"/>
            <w:noWrap/>
            <w:vAlign w:val="center"/>
          </w:tcPr>
          <w:p w14:paraId="1BD6250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01585DA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70" w:type="dxa"/>
            <w:vMerge w:val="restart"/>
            <w:shd w:val="clear" w:color="auto" w:fill="E7F3F4"/>
            <w:vAlign w:val="center"/>
          </w:tcPr>
          <w:p w14:paraId="360CD7A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25B93C2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4E4511A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4AC35F6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80" w:type="dxa"/>
            <w:vMerge w:val="restart"/>
            <w:shd w:val="clear" w:color="auto" w:fill="E7F3F4"/>
            <w:vAlign w:val="center"/>
          </w:tcPr>
          <w:p w14:paraId="442FD88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7A933C7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460" w:type="dxa"/>
            <w:vMerge w:val="restart"/>
            <w:shd w:val="clear" w:color="auto" w:fill="E7F3F4"/>
            <w:vAlign w:val="center"/>
          </w:tcPr>
          <w:p w14:paraId="7D827CC2"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11F92A39"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0BF92B4D" w14:textId="77777777" w:rsidTr="008D01F1">
        <w:trPr>
          <w:trHeight w:val="87"/>
          <w:jc w:val="center"/>
        </w:trPr>
        <w:tc>
          <w:tcPr>
            <w:tcW w:w="1135" w:type="dxa"/>
            <w:vMerge/>
            <w:shd w:val="clear" w:color="auto" w:fill="auto"/>
            <w:vAlign w:val="center"/>
          </w:tcPr>
          <w:p w14:paraId="7E44AC8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2B9B6E1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04DC3BD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0FF11AE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2FA2ABD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NB2^</w:t>
            </w:r>
          </w:p>
        </w:tc>
        <w:tc>
          <w:tcPr>
            <w:tcW w:w="1116" w:type="dxa"/>
            <w:shd w:val="clear" w:color="auto" w:fill="E7F3F4"/>
            <w:noWrap/>
            <w:vAlign w:val="center"/>
          </w:tcPr>
          <w:p w14:paraId="0EA67A3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Newry Bay</w:t>
            </w:r>
          </w:p>
        </w:tc>
        <w:tc>
          <w:tcPr>
            <w:tcW w:w="493" w:type="dxa"/>
            <w:shd w:val="clear" w:color="auto" w:fill="E7F3F4"/>
            <w:noWrap/>
            <w:vAlign w:val="center"/>
          </w:tcPr>
          <w:p w14:paraId="23AAA10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20°</w:t>
            </w:r>
          </w:p>
        </w:tc>
        <w:tc>
          <w:tcPr>
            <w:tcW w:w="876" w:type="dxa"/>
            <w:shd w:val="clear" w:color="auto" w:fill="E7F3F4"/>
            <w:noWrap/>
            <w:vAlign w:val="bottom"/>
          </w:tcPr>
          <w:p w14:paraId="63EFC98D"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52.325</w:t>
            </w:r>
          </w:p>
        </w:tc>
        <w:tc>
          <w:tcPr>
            <w:tcW w:w="594" w:type="dxa"/>
            <w:shd w:val="clear" w:color="auto" w:fill="E7F3F4"/>
            <w:noWrap/>
            <w:vAlign w:val="center"/>
          </w:tcPr>
          <w:p w14:paraId="011421C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148°</w:t>
            </w:r>
          </w:p>
        </w:tc>
        <w:tc>
          <w:tcPr>
            <w:tcW w:w="876" w:type="dxa"/>
            <w:shd w:val="clear" w:color="auto" w:fill="E7F3F4"/>
            <w:noWrap/>
            <w:vAlign w:val="bottom"/>
          </w:tcPr>
          <w:p w14:paraId="7C60BD49"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55.423</w:t>
            </w:r>
          </w:p>
        </w:tc>
        <w:tc>
          <w:tcPr>
            <w:tcW w:w="480" w:type="dxa"/>
            <w:vMerge/>
            <w:shd w:val="clear" w:color="auto" w:fill="E7F3F4"/>
            <w:noWrap/>
            <w:vAlign w:val="center"/>
          </w:tcPr>
          <w:p w14:paraId="264A8C3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4F2C2C6"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4026EBC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302F7CC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28D25EB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29897C50"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1A72C20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3F89A25D"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1E26A93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4C379919" w14:textId="77777777" w:rsidR="008D01F1" w:rsidRPr="008C687A" w:rsidRDefault="008D01F1" w:rsidP="009638AE">
            <w:pPr>
              <w:spacing w:before="0" w:after="0"/>
              <w:jc w:val="center"/>
              <w:rPr>
                <w:rFonts w:asciiTheme="minorHAnsi" w:hAnsiTheme="minorHAnsi" w:cstheme="minorHAnsi"/>
                <w:color w:val="000000"/>
                <w:sz w:val="14"/>
                <w:szCs w:val="14"/>
              </w:rPr>
            </w:pPr>
          </w:p>
        </w:tc>
      </w:tr>
      <w:tr w:rsidR="008D01F1" w:rsidRPr="008C687A" w14:paraId="313431A6" w14:textId="77777777" w:rsidTr="008D01F1">
        <w:trPr>
          <w:trHeight w:val="87"/>
          <w:jc w:val="center"/>
        </w:trPr>
        <w:tc>
          <w:tcPr>
            <w:tcW w:w="1135" w:type="dxa"/>
            <w:vMerge/>
            <w:shd w:val="clear" w:color="auto" w:fill="auto"/>
            <w:vAlign w:val="center"/>
          </w:tcPr>
          <w:p w14:paraId="70FEECE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7ED45CF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val="restart"/>
            <w:shd w:val="clear" w:color="auto" w:fill="E7F3F4"/>
            <w:vAlign w:val="center"/>
          </w:tcPr>
          <w:p w14:paraId="34008A43"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Plane</w:t>
            </w:r>
          </w:p>
        </w:tc>
        <w:tc>
          <w:tcPr>
            <w:tcW w:w="1338" w:type="dxa"/>
            <w:vMerge w:val="restart"/>
            <w:shd w:val="clear" w:color="auto" w:fill="E7F3F4"/>
            <w:noWrap/>
            <w:vAlign w:val="center"/>
          </w:tcPr>
          <w:p w14:paraId="13C50E46"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Clairview</w:t>
            </w:r>
          </w:p>
          <w:p w14:paraId="09C1566B" w14:textId="77777777" w:rsidR="008D01F1" w:rsidRPr="008C687A" w:rsidRDefault="008D01F1" w:rsidP="009638AE">
            <w:pPr>
              <w:spacing w:before="0" w:after="0"/>
              <w:jc w:val="center"/>
              <w:rPr>
                <w:rFonts w:asciiTheme="minorHAnsi" w:hAnsiTheme="minorHAnsi" w:cstheme="minorHAnsi"/>
                <w:i/>
                <w:color w:val="000000"/>
                <w:sz w:val="14"/>
                <w:szCs w:val="14"/>
              </w:rPr>
            </w:pPr>
            <w:r w:rsidRPr="008C687A">
              <w:rPr>
                <w:rFonts w:asciiTheme="minorHAnsi" w:hAnsiTheme="minorHAnsi" w:cstheme="minorHAnsi"/>
                <w:i/>
                <w:color w:val="000000"/>
                <w:sz w:val="14"/>
                <w:szCs w:val="14"/>
              </w:rPr>
              <w:t>coastal</w:t>
            </w:r>
          </w:p>
        </w:tc>
        <w:tc>
          <w:tcPr>
            <w:tcW w:w="678" w:type="dxa"/>
            <w:shd w:val="clear" w:color="auto" w:fill="E7F3F4"/>
            <w:noWrap/>
            <w:vAlign w:val="center"/>
          </w:tcPr>
          <w:p w14:paraId="591D092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CV1*</w:t>
            </w:r>
          </w:p>
        </w:tc>
        <w:tc>
          <w:tcPr>
            <w:tcW w:w="1116" w:type="dxa"/>
            <w:shd w:val="clear" w:color="auto" w:fill="E7F3F4"/>
            <w:noWrap/>
            <w:vAlign w:val="center"/>
          </w:tcPr>
          <w:p w14:paraId="49F62066"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Clairview</w:t>
            </w:r>
          </w:p>
        </w:tc>
        <w:tc>
          <w:tcPr>
            <w:tcW w:w="493" w:type="dxa"/>
            <w:shd w:val="clear" w:color="auto" w:fill="E7F3F4"/>
            <w:noWrap/>
            <w:vAlign w:val="center"/>
          </w:tcPr>
          <w:p w14:paraId="0245B81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22°</w:t>
            </w:r>
          </w:p>
        </w:tc>
        <w:tc>
          <w:tcPr>
            <w:tcW w:w="876" w:type="dxa"/>
            <w:shd w:val="clear" w:color="auto" w:fill="E7F3F4"/>
            <w:noWrap/>
            <w:vAlign w:val="bottom"/>
          </w:tcPr>
          <w:p w14:paraId="47B4AF7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6.2592</w:t>
            </w:r>
          </w:p>
        </w:tc>
        <w:tc>
          <w:tcPr>
            <w:tcW w:w="594" w:type="dxa"/>
            <w:shd w:val="clear" w:color="auto" w:fill="E7F3F4"/>
            <w:noWrap/>
            <w:vAlign w:val="center"/>
          </w:tcPr>
          <w:p w14:paraId="79BD136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149°</w:t>
            </w:r>
          </w:p>
        </w:tc>
        <w:tc>
          <w:tcPr>
            <w:tcW w:w="876" w:type="dxa"/>
            <w:shd w:val="clear" w:color="auto" w:fill="E7F3F4"/>
            <w:noWrap/>
            <w:vAlign w:val="bottom"/>
          </w:tcPr>
          <w:p w14:paraId="659EEBE0"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31.9902</w:t>
            </w:r>
          </w:p>
        </w:tc>
        <w:tc>
          <w:tcPr>
            <w:tcW w:w="480" w:type="dxa"/>
            <w:vMerge w:val="restart"/>
            <w:shd w:val="clear" w:color="auto" w:fill="E7F3F4"/>
            <w:noWrap/>
            <w:vAlign w:val="center"/>
          </w:tcPr>
          <w:p w14:paraId="1CCBE1E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54A5C8C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val="restart"/>
            <w:shd w:val="clear" w:color="auto" w:fill="E7F3F4"/>
            <w:vAlign w:val="center"/>
          </w:tcPr>
          <w:p w14:paraId="7714A28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6DAB26BF"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val="restart"/>
            <w:shd w:val="clear" w:color="auto" w:fill="E7F3F4"/>
            <w:vAlign w:val="center"/>
          </w:tcPr>
          <w:p w14:paraId="59FA5F34"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A8"/>
            </w:r>
          </w:p>
        </w:tc>
        <w:tc>
          <w:tcPr>
            <w:tcW w:w="470" w:type="dxa"/>
            <w:vMerge w:val="restart"/>
            <w:shd w:val="clear" w:color="auto" w:fill="E7F3F4"/>
            <w:vAlign w:val="center"/>
          </w:tcPr>
          <w:p w14:paraId="7523246E"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6039884B"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c>
          <w:tcPr>
            <w:tcW w:w="389" w:type="dxa"/>
            <w:vMerge w:val="restart"/>
            <w:shd w:val="clear" w:color="auto" w:fill="E7F3F4"/>
            <w:vAlign w:val="center"/>
          </w:tcPr>
          <w:p w14:paraId="1A2E9AA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val="restart"/>
            <w:shd w:val="clear" w:color="auto" w:fill="E7F3F4"/>
            <w:vAlign w:val="center"/>
          </w:tcPr>
          <w:p w14:paraId="08F0111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val="restart"/>
            <w:shd w:val="clear" w:color="auto" w:fill="E7F3F4"/>
            <w:vAlign w:val="center"/>
          </w:tcPr>
          <w:p w14:paraId="7CCBCAE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sym w:font="Wingdings" w:char="F06E"/>
            </w:r>
          </w:p>
        </w:tc>
      </w:tr>
      <w:tr w:rsidR="008D01F1" w:rsidRPr="008C687A" w14:paraId="23A7C374" w14:textId="77777777" w:rsidTr="008D01F1">
        <w:trPr>
          <w:trHeight w:val="87"/>
          <w:jc w:val="center"/>
        </w:trPr>
        <w:tc>
          <w:tcPr>
            <w:tcW w:w="1135" w:type="dxa"/>
            <w:vMerge/>
            <w:shd w:val="clear" w:color="auto" w:fill="auto"/>
            <w:vAlign w:val="center"/>
          </w:tcPr>
          <w:p w14:paraId="3A618173"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67" w:type="dxa"/>
            <w:vMerge/>
            <w:shd w:val="clear" w:color="auto" w:fill="E7F3F4"/>
            <w:vAlign w:val="center"/>
          </w:tcPr>
          <w:p w14:paraId="49AFF1F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100" w:type="dxa"/>
            <w:vMerge/>
            <w:shd w:val="clear" w:color="auto" w:fill="E7F3F4"/>
            <w:vAlign w:val="center"/>
          </w:tcPr>
          <w:p w14:paraId="7DE18A3B"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1338" w:type="dxa"/>
            <w:vMerge/>
            <w:shd w:val="clear" w:color="auto" w:fill="E7F3F4"/>
            <w:noWrap/>
            <w:vAlign w:val="center"/>
          </w:tcPr>
          <w:p w14:paraId="5080F7E9"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678" w:type="dxa"/>
            <w:shd w:val="clear" w:color="auto" w:fill="E7F3F4"/>
            <w:noWrap/>
            <w:vAlign w:val="center"/>
          </w:tcPr>
          <w:p w14:paraId="7EB396DC"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CV2*</w:t>
            </w:r>
          </w:p>
        </w:tc>
        <w:tc>
          <w:tcPr>
            <w:tcW w:w="1116" w:type="dxa"/>
            <w:shd w:val="clear" w:color="auto" w:fill="E7F3F4"/>
            <w:noWrap/>
            <w:vAlign w:val="center"/>
          </w:tcPr>
          <w:p w14:paraId="4AAF615E"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Clairview</w:t>
            </w:r>
          </w:p>
        </w:tc>
        <w:tc>
          <w:tcPr>
            <w:tcW w:w="493" w:type="dxa"/>
            <w:shd w:val="clear" w:color="auto" w:fill="E7F3F4"/>
            <w:noWrap/>
            <w:vAlign w:val="center"/>
          </w:tcPr>
          <w:p w14:paraId="45373F45"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22°</w:t>
            </w:r>
          </w:p>
        </w:tc>
        <w:tc>
          <w:tcPr>
            <w:tcW w:w="876" w:type="dxa"/>
            <w:shd w:val="clear" w:color="auto" w:fill="E7F3F4"/>
            <w:noWrap/>
            <w:vAlign w:val="bottom"/>
          </w:tcPr>
          <w:p w14:paraId="73831806"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6.4932</w:t>
            </w:r>
          </w:p>
        </w:tc>
        <w:tc>
          <w:tcPr>
            <w:tcW w:w="594" w:type="dxa"/>
            <w:shd w:val="clear" w:color="auto" w:fill="E7F3F4"/>
            <w:noWrap/>
            <w:vAlign w:val="center"/>
          </w:tcPr>
          <w:p w14:paraId="073D95D8"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149°</w:t>
            </w:r>
          </w:p>
        </w:tc>
        <w:tc>
          <w:tcPr>
            <w:tcW w:w="876" w:type="dxa"/>
            <w:shd w:val="clear" w:color="auto" w:fill="E7F3F4"/>
            <w:noWrap/>
            <w:vAlign w:val="bottom"/>
          </w:tcPr>
          <w:p w14:paraId="60AA3617" w14:textId="77777777" w:rsidR="008D01F1" w:rsidRPr="008C687A" w:rsidRDefault="008D01F1" w:rsidP="009638AE">
            <w:pPr>
              <w:spacing w:before="0" w:after="0"/>
              <w:jc w:val="center"/>
              <w:rPr>
                <w:rFonts w:asciiTheme="minorHAnsi" w:hAnsiTheme="minorHAnsi" w:cstheme="minorHAnsi"/>
                <w:color w:val="000000"/>
                <w:sz w:val="14"/>
                <w:szCs w:val="14"/>
              </w:rPr>
            </w:pPr>
            <w:r w:rsidRPr="008C687A">
              <w:rPr>
                <w:rFonts w:asciiTheme="minorHAnsi" w:hAnsiTheme="minorHAnsi" w:cstheme="minorHAnsi"/>
                <w:color w:val="000000"/>
                <w:sz w:val="14"/>
                <w:szCs w:val="14"/>
              </w:rPr>
              <w:t>32.0748</w:t>
            </w:r>
          </w:p>
        </w:tc>
        <w:tc>
          <w:tcPr>
            <w:tcW w:w="480" w:type="dxa"/>
            <w:vMerge/>
            <w:shd w:val="clear" w:color="auto" w:fill="E7F3F4"/>
            <w:noWrap/>
            <w:vAlign w:val="center"/>
          </w:tcPr>
          <w:p w14:paraId="7CE9FA2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372E964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114872EC"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236D79A4"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90" w:type="dxa"/>
            <w:vMerge/>
            <w:shd w:val="clear" w:color="auto" w:fill="E7F3F4"/>
            <w:vAlign w:val="center"/>
          </w:tcPr>
          <w:p w14:paraId="39E03B0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70" w:type="dxa"/>
            <w:vMerge/>
            <w:shd w:val="clear" w:color="auto" w:fill="E7F3F4"/>
            <w:vAlign w:val="center"/>
          </w:tcPr>
          <w:p w14:paraId="6A447891"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5FD23F65"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389" w:type="dxa"/>
            <w:vMerge/>
            <w:shd w:val="clear" w:color="auto" w:fill="E7F3F4"/>
            <w:vAlign w:val="center"/>
          </w:tcPr>
          <w:p w14:paraId="1FD6F50A"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60" w:type="dxa"/>
            <w:vMerge/>
            <w:shd w:val="clear" w:color="auto" w:fill="E7F3F4"/>
            <w:vAlign w:val="center"/>
          </w:tcPr>
          <w:p w14:paraId="148330F7" w14:textId="77777777" w:rsidR="008D01F1" w:rsidRPr="008C687A" w:rsidRDefault="008D01F1" w:rsidP="009638AE">
            <w:pPr>
              <w:spacing w:before="0" w:after="0"/>
              <w:jc w:val="center"/>
              <w:rPr>
                <w:rFonts w:asciiTheme="minorHAnsi" w:hAnsiTheme="minorHAnsi" w:cstheme="minorHAnsi"/>
                <w:color w:val="000000"/>
                <w:sz w:val="14"/>
                <w:szCs w:val="14"/>
              </w:rPr>
            </w:pPr>
          </w:p>
        </w:tc>
        <w:tc>
          <w:tcPr>
            <w:tcW w:w="480" w:type="dxa"/>
            <w:vMerge/>
            <w:shd w:val="clear" w:color="auto" w:fill="E7F3F4"/>
            <w:vAlign w:val="center"/>
          </w:tcPr>
          <w:p w14:paraId="07FA2D47" w14:textId="77777777" w:rsidR="008D01F1" w:rsidRPr="008C687A" w:rsidRDefault="008D01F1" w:rsidP="009638AE">
            <w:pPr>
              <w:spacing w:before="0" w:after="0"/>
              <w:jc w:val="center"/>
              <w:rPr>
                <w:rFonts w:asciiTheme="minorHAnsi" w:hAnsiTheme="minorHAnsi" w:cstheme="minorHAnsi"/>
                <w:color w:val="000000"/>
                <w:sz w:val="14"/>
                <w:szCs w:val="14"/>
              </w:rPr>
            </w:pPr>
          </w:p>
        </w:tc>
      </w:tr>
    </w:tbl>
    <w:p w14:paraId="537957B7" w14:textId="77777777" w:rsidR="008D01F1" w:rsidRPr="00CB093C" w:rsidRDefault="008D01F1" w:rsidP="008D01F1">
      <w:pPr>
        <w:rPr>
          <w:rFonts w:cs="Arial"/>
          <w:color w:val="000000"/>
          <w:szCs w:val="22"/>
        </w:rPr>
      </w:pPr>
    </w:p>
    <w:p w14:paraId="0939A8A5" w14:textId="77777777" w:rsidR="00955497" w:rsidRPr="00CB093C" w:rsidRDefault="00955497" w:rsidP="004902B0">
      <w:pPr>
        <w:rPr>
          <w:rFonts w:cs="Arial"/>
          <w:i/>
          <w:color w:val="000000"/>
          <w:szCs w:val="22"/>
          <w:lang w:val="it-IT"/>
        </w:rPr>
      </w:pPr>
    </w:p>
    <w:p w14:paraId="04077D37" w14:textId="77777777" w:rsidR="004902B0" w:rsidRPr="00CB093C" w:rsidRDefault="004902B0" w:rsidP="00B20DDB">
      <w:pPr>
        <w:outlineLvl w:val="0"/>
        <w:rPr>
          <w:rFonts w:cs="Arial"/>
          <w:szCs w:val="22"/>
        </w:rPr>
        <w:sectPr w:rsidR="004902B0" w:rsidRPr="00CB093C" w:rsidSect="0085398A">
          <w:headerReference w:type="even" r:id="rId53"/>
          <w:headerReference w:type="default" r:id="rId54"/>
          <w:footerReference w:type="even" r:id="rId55"/>
          <w:footerReference w:type="default" r:id="rId56"/>
          <w:headerReference w:type="first" r:id="rId57"/>
          <w:footerReference w:type="first" r:id="rId58"/>
          <w:pgSz w:w="16838" w:h="11906" w:orient="landscape"/>
          <w:pgMar w:top="719" w:right="1440" w:bottom="1079" w:left="1440" w:header="709" w:footer="645" w:gutter="0"/>
          <w:cols w:space="708"/>
          <w:docGrid w:linePitch="360"/>
        </w:sectPr>
      </w:pPr>
    </w:p>
    <w:p w14:paraId="64F97FC2" w14:textId="50907F9D" w:rsidR="000168DB" w:rsidRPr="0066041C" w:rsidRDefault="000168DB" w:rsidP="003653D3">
      <w:pPr>
        <w:pStyle w:val="Heading3"/>
      </w:pPr>
      <w:bookmarkStart w:id="78" w:name="_Toc441474088"/>
      <w:bookmarkStart w:id="79" w:name="_Toc441474123"/>
      <w:bookmarkStart w:id="80" w:name="_Toc441474139"/>
      <w:bookmarkStart w:id="81" w:name="_Toc441474155"/>
      <w:bookmarkStart w:id="82" w:name="_Toc441474171"/>
      <w:bookmarkStart w:id="83" w:name="_Toc441474203"/>
      <w:bookmarkStart w:id="84" w:name="_Toc441474219"/>
      <w:bookmarkStart w:id="85" w:name="_Toc441474235"/>
      <w:bookmarkStart w:id="86" w:name="_Toc441474251"/>
      <w:bookmarkStart w:id="87" w:name="_Toc441474267"/>
      <w:bookmarkStart w:id="88" w:name="_Toc441474283"/>
      <w:bookmarkStart w:id="89" w:name="_Toc441474299"/>
      <w:bookmarkStart w:id="90" w:name="_Toc441474332"/>
      <w:bookmarkStart w:id="91" w:name="_Toc441474348"/>
      <w:bookmarkStart w:id="92" w:name="_Toc441474364"/>
      <w:bookmarkStart w:id="93" w:name="_Toc441474396"/>
      <w:bookmarkStart w:id="94" w:name="_Toc441474412"/>
      <w:bookmarkStart w:id="95" w:name="_Toc441474444"/>
      <w:bookmarkStart w:id="96" w:name="_Toc441474460"/>
      <w:bookmarkStart w:id="97" w:name="_Toc441474492"/>
      <w:bookmarkStart w:id="98" w:name="_Toc441474508"/>
      <w:bookmarkStart w:id="99" w:name="_Toc441474509"/>
      <w:bookmarkStart w:id="100" w:name="_Toc184101946"/>
      <w:bookmarkStart w:id="101" w:name="_Toc232845894"/>
      <w:bookmarkStart w:id="102" w:name="_Toc37775039"/>
      <w:bookmarkStart w:id="103" w:name="_Toc43987013"/>
      <w:bookmarkEnd w:id="68"/>
      <w:bookmarkEnd w:id="69"/>
      <w:bookmarkEnd w:id="70"/>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66041C">
        <w:lastRenderedPageBreak/>
        <w:t xml:space="preserve">Seagrass reproductive </w:t>
      </w:r>
      <w:bookmarkEnd w:id="100"/>
      <w:r w:rsidR="003B152A" w:rsidRPr="0066041C">
        <w:t>status</w:t>
      </w:r>
      <w:bookmarkEnd w:id="101"/>
      <w:bookmarkEnd w:id="102"/>
      <w:bookmarkEnd w:id="103"/>
    </w:p>
    <w:p w14:paraId="52A71443" w14:textId="6FEE0072" w:rsidR="000168DB" w:rsidRPr="001905B0" w:rsidRDefault="000168DB" w:rsidP="00EC3E9B">
      <w:pPr>
        <w:rPr>
          <w:rFonts w:cs="Arial"/>
          <w:szCs w:val="22"/>
        </w:rPr>
      </w:pPr>
      <w:bookmarkStart w:id="104" w:name="_Toc175991047"/>
      <w:bookmarkStart w:id="105" w:name="_Toc232845895"/>
      <w:bookmarkStart w:id="106" w:name="_Toc184101947"/>
      <w:r w:rsidRPr="001905B0">
        <w:rPr>
          <w:rFonts w:cs="Arial"/>
          <w:szCs w:val="22"/>
        </w:rPr>
        <w:t>Seagrass reproductive health was assessed from samples collected in the late dry 201</w:t>
      </w:r>
      <w:r w:rsidR="002305F0" w:rsidRPr="001905B0">
        <w:rPr>
          <w:rFonts w:cs="Arial"/>
          <w:szCs w:val="22"/>
        </w:rPr>
        <w:t>8</w:t>
      </w:r>
      <w:r w:rsidRPr="001905B0">
        <w:rPr>
          <w:rFonts w:cs="Arial"/>
          <w:szCs w:val="22"/>
        </w:rPr>
        <w:t xml:space="preserve"> and late </w:t>
      </w:r>
      <w:r w:rsidR="000945E8" w:rsidRPr="001905B0">
        <w:rPr>
          <w:rFonts w:cs="Arial"/>
          <w:szCs w:val="22"/>
        </w:rPr>
        <w:t>wet</w:t>
      </w:r>
      <w:r w:rsidRPr="001905B0">
        <w:rPr>
          <w:rFonts w:cs="Arial"/>
          <w:szCs w:val="22"/>
        </w:rPr>
        <w:t xml:space="preserve"> 201</w:t>
      </w:r>
      <w:r w:rsidR="002305F0" w:rsidRPr="001905B0">
        <w:rPr>
          <w:rFonts w:cs="Arial"/>
          <w:szCs w:val="22"/>
        </w:rPr>
        <w:t>9</w:t>
      </w:r>
      <w:r w:rsidRPr="001905B0">
        <w:rPr>
          <w:rFonts w:cs="Arial"/>
          <w:szCs w:val="22"/>
        </w:rPr>
        <w:t xml:space="preserve"> at locations identified in </w:t>
      </w:r>
      <w:r w:rsidR="00EB19B4" w:rsidRPr="001905B0">
        <w:rPr>
          <w:rFonts w:cs="Arial"/>
          <w:szCs w:val="22"/>
        </w:rPr>
        <w:fldChar w:fldCharType="begin"/>
      </w:r>
      <w:r w:rsidR="00EB19B4" w:rsidRPr="001905B0">
        <w:rPr>
          <w:rFonts w:cs="Arial"/>
          <w:szCs w:val="22"/>
        </w:rPr>
        <w:instrText xml:space="preserve"> REF _Ref236539751 \h </w:instrText>
      </w:r>
      <w:r w:rsidR="00DA741D" w:rsidRPr="001905B0">
        <w:rPr>
          <w:rFonts w:cs="Arial"/>
          <w:szCs w:val="22"/>
        </w:rPr>
        <w:instrText xml:space="preserve"> \* MERGEFORMAT </w:instrText>
      </w:r>
      <w:r w:rsidR="00EB19B4" w:rsidRPr="001905B0">
        <w:rPr>
          <w:rFonts w:cs="Arial"/>
          <w:szCs w:val="22"/>
        </w:rPr>
      </w:r>
      <w:r w:rsidR="00EB19B4" w:rsidRPr="001905B0">
        <w:rPr>
          <w:rFonts w:cs="Arial"/>
          <w:szCs w:val="22"/>
        </w:rPr>
        <w:fldChar w:fldCharType="separate"/>
      </w:r>
      <w:r w:rsidR="0067675D" w:rsidRPr="00D051A4">
        <w:rPr>
          <w:rFonts w:cs="Arial"/>
          <w:color w:val="000000"/>
          <w:szCs w:val="22"/>
        </w:rPr>
        <w:t xml:space="preserve">Table </w:t>
      </w:r>
      <w:r w:rsidR="0067675D">
        <w:rPr>
          <w:rFonts w:cs="Arial"/>
          <w:noProof/>
          <w:color w:val="000000"/>
          <w:szCs w:val="22"/>
        </w:rPr>
        <w:t>2</w:t>
      </w:r>
      <w:r w:rsidR="00EB19B4" w:rsidRPr="001905B0">
        <w:rPr>
          <w:rFonts w:cs="Arial"/>
          <w:szCs w:val="22"/>
        </w:rPr>
        <w:fldChar w:fldCharType="end"/>
      </w:r>
      <w:r w:rsidRPr="001905B0">
        <w:rPr>
          <w:rFonts w:cs="Arial"/>
          <w:szCs w:val="22"/>
        </w:rPr>
        <w:t>. Samples were processed according to standard methodologies (</w:t>
      </w:r>
      <w:hyperlink w:anchor="_ENREF_111" w:tooltip="McKenzie, 2019 #11986"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&lt;EndNote&gt;&lt;Cite&gt;&lt;Author&gt;McKenzie&lt;/Author&gt;&lt;Year&gt;2019&lt;/Year&gt;&lt;RecNum&gt;11986&lt;/RecNum&gt;&lt;DisplayText&gt;McKenzie&lt;style face="italic"&gt; et al.&lt;/style&gt; 2019&lt;/DisplayText&gt;&lt;record&gt;&lt;rec-number&gt;11986&lt;/rec-number&gt;&lt;foreign-keys&gt;&lt;key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1905B0">
          <w:rPr>
            <w:rFonts w:cs="Arial"/>
            <w:szCs w:val="22"/>
          </w:rPr>
          <w:fldChar w:fldCharType="separate"/>
        </w:r>
        <w:r w:rsidR="009A7AB4" w:rsidRPr="001905B0">
          <w:rPr>
            <w:rFonts w:cs="Arial"/>
            <w:noProof/>
            <w:szCs w:val="22"/>
          </w:rPr>
          <w:t>McKenzie</w:t>
        </w:r>
        <w:r w:rsidR="009A7AB4" w:rsidRPr="001905B0">
          <w:rPr>
            <w:rFonts w:cs="Arial"/>
            <w:i/>
            <w:noProof/>
            <w:szCs w:val="22"/>
          </w:rPr>
          <w:t xml:space="preserve"> et al.</w:t>
        </w:r>
        <w:r w:rsidR="009A7AB4" w:rsidRPr="001905B0">
          <w:rPr>
            <w:rFonts w:cs="Arial"/>
            <w:noProof/>
            <w:szCs w:val="22"/>
          </w:rPr>
          <w:t xml:space="preserve"> 2019</w:t>
        </w:r>
        <w:r w:rsidR="009A7AB4" w:rsidRPr="001905B0">
          <w:rPr>
            <w:rFonts w:cs="Arial"/>
            <w:szCs w:val="22"/>
          </w:rPr>
          <w:fldChar w:fldCharType="end"/>
        </w:r>
      </w:hyperlink>
      <w:r w:rsidR="00F326E4" w:rsidRPr="001905B0">
        <w:rPr>
          <w:rFonts w:cs="Arial"/>
          <w:szCs w:val="22"/>
        </w:rPr>
        <w:t>)</w:t>
      </w:r>
      <w:r w:rsidRPr="001905B0">
        <w:rPr>
          <w:rFonts w:cs="Arial"/>
          <w:szCs w:val="22"/>
        </w:rPr>
        <w:t>.</w:t>
      </w:r>
    </w:p>
    <w:p w14:paraId="6EC11F8F" w14:textId="562213FF" w:rsidR="000168DB" w:rsidRPr="001905B0" w:rsidRDefault="000168DB" w:rsidP="000168DB">
      <w:pPr>
        <w:rPr>
          <w:rFonts w:cs="Arial"/>
          <w:szCs w:val="22"/>
        </w:rPr>
      </w:pPr>
      <w:r w:rsidRPr="001905B0">
        <w:rPr>
          <w:rFonts w:cs="Arial"/>
          <w:szCs w:val="22"/>
        </w:rPr>
        <w:t>In the field, 15 cores (100</w:t>
      </w:r>
      <w:r w:rsidR="00251E93" w:rsidRPr="001905B0">
        <w:rPr>
          <w:rFonts w:cs="Arial"/>
          <w:szCs w:val="22"/>
        </w:rPr>
        <w:t xml:space="preserve"> </w:t>
      </w:r>
      <w:r w:rsidRPr="001905B0">
        <w:rPr>
          <w:rFonts w:cs="Arial"/>
          <w:szCs w:val="22"/>
        </w:rPr>
        <w:t>mm diameter x 100</w:t>
      </w:r>
      <w:r w:rsidR="00251E93" w:rsidRPr="001905B0">
        <w:rPr>
          <w:rFonts w:cs="Arial"/>
          <w:szCs w:val="22"/>
        </w:rPr>
        <w:t xml:space="preserve"> </w:t>
      </w:r>
      <w:r w:rsidRPr="001905B0">
        <w:rPr>
          <w:rFonts w:cs="Arial"/>
          <w:szCs w:val="22"/>
        </w:rPr>
        <w:t xml:space="preserve">mm depth) of seagrass were collected </w:t>
      </w:r>
      <w:r w:rsidR="008B6DAC">
        <w:rPr>
          <w:rFonts w:cs="Arial"/>
          <w:szCs w:val="22"/>
        </w:rPr>
        <w:t xml:space="preserve">haphazardly </w:t>
      </w:r>
      <w:r w:rsidR="00AF378C" w:rsidRPr="001905B0">
        <w:rPr>
          <w:rFonts w:cs="Arial"/>
          <w:szCs w:val="22"/>
        </w:rPr>
        <w:t xml:space="preserve">within each site </w:t>
      </w:r>
      <w:r w:rsidRPr="001905B0">
        <w:rPr>
          <w:rFonts w:cs="Arial"/>
          <w:szCs w:val="22"/>
        </w:rPr>
        <w:t xml:space="preserve">from an area adjacent (of similar cover and species composition) to </w:t>
      </w:r>
      <w:r w:rsidR="00AF378C" w:rsidRPr="001905B0">
        <w:rPr>
          <w:rFonts w:cs="Arial"/>
          <w:szCs w:val="22"/>
        </w:rPr>
        <w:t>the</w:t>
      </w:r>
      <w:r w:rsidRPr="001905B0">
        <w:rPr>
          <w:rFonts w:cs="Arial"/>
          <w:szCs w:val="22"/>
        </w:rPr>
        <w:t xml:space="preserve"> monitoring </w:t>
      </w:r>
      <w:r w:rsidR="00AF378C" w:rsidRPr="001905B0">
        <w:rPr>
          <w:rFonts w:cs="Arial"/>
          <w:szCs w:val="22"/>
        </w:rPr>
        <w:t>transects</w:t>
      </w:r>
      <w:r w:rsidRPr="001905B0">
        <w:rPr>
          <w:rFonts w:cs="Arial"/>
          <w:szCs w:val="22"/>
        </w:rPr>
        <w:t xml:space="preserve">. </w:t>
      </w:r>
      <w:bookmarkStart w:id="107" w:name="_Toc175991046"/>
      <w:r w:rsidRPr="001905B0">
        <w:rPr>
          <w:rFonts w:cs="Arial"/>
          <w:szCs w:val="22"/>
        </w:rPr>
        <w:t xml:space="preserve">In the laboratory, reproductive structures (spathes, fruits, female and male flowers) of plants from each core were </w:t>
      </w:r>
      <w:bookmarkEnd w:id="107"/>
      <w:r w:rsidRPr="001905B0">
        <w:rPr>
          <w:rFonts w:cs="Arial"/>
          <w:szCs w:val="22"/>
        </w:rPr>
        <w:t>identified and counted for each sample and species. Reproductive effort was calculated as number of reproductive structures (fruits, flowers, spathes; species pooled) per core for analysis.</w:t>
      </w:r>
    </w:p>
    <w:p w14:paraId="3CD77DA4" w14:textId="459B0B3E" w:rsidR="003D1F7F" w:rsidRPr="001905B0" w:rsidRDefault="000168DB" w:rsidP="00E742E9">
      <w:pPr>
        <w:rPr>
          <w:rFonts w:cs="Arial"/>
          <w:szCs w:val="22"/>
        </w:rPr>
      </w:pPr>
      <w:r w:rsidRPr="001905B0">
        <w:rPr>
          <w:rFonts w:cs="Arial"/>
          <w:szCs w:val="22"/>
        </w:rPr>
        <w:t xml:space="preserve">Seeds banks and abundance of germinated seeds were sampled according to standard methods </w:t>
      </w:r>
      <w:r w:rsidR="00935167" w:rsidRPr="001905B0">
        <w:rPr>
          <w:rFonts w:cs="Arial"/>
          <w:szCs w:val="22"/>
        </w:rPr>
        <w:t>(</w:t>
      </w:r>
      <w:hyperlink w:anchor="_ENREF_111" w:tooltip="McKenzie, 2019 #11986"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&lt;EndNote&gt;&lt;Cite&gt;&lt;Author&gt;McKenzie&lt;/Author&gt;&lt;Year&gt;2019&lt;/Year&gt;&lt;RecNum&gt;11986&lt;/RecNum&gt;&lt;DisplayText&gt;McKenzie&lt;style face="italic"&gt; et al.&lt;/style&gt; 2019&lt;/DisplayText&gt;&lt;record&gt;&lt;rec-number&gt;11986&lt;/rec-number&gt;&lt;foreign-keys&gt;&lt;key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1905B0">
          <w:rPr>
            <w:rFonts w:cs="Arial"/>
            <w:szCs w:val="22"/>
          </w:rPr>
          <w:fldChar w:fldCharType="separate"/>
        </w:r>
        <w:r w:rsidR="009A7AB4" w:rsidRPr="001905B0">
          <w:rPr>
            <w:rFonts w:cs="Arial"/>
            <w:noProof/>
            <w:szCs w:val="22"/>
          </w:rPr>
          <w:t>McKenzie</w:t>
        </w:r>
        <w:r w:rsidR="009A7AB4" w:rsidRPr="001905B0">
          <w:rPr>
            <w:rFonts w:cs="Arial"/>
            <w:i/>
            <w:noProof/>
            <w:szCs w:val="22"/>
          </w:rPr>
          <w:t xml:space="preserve"> et al.</w:t>
        </w:r>
        <w:r w:rsidR="009A7AB4" w:rsidRPr="001905B0">
          <w:rPr>
            <w:rFonts w:cs="Arial"/>
            <w:noProof/>
            <w:szCs w:val="22"/>
          </w:rPr>
          <w:t xml:space="preserve"> 2019</w:t>
        </w:r>
        <w:r w:rsidR="009A7AB4" w:rsidRPr="001905B0">
          <w:rPr>
            <w:rFonts w:cs="Arial"/>
            <w:szCs w:val="22"/>
          </w:rPr>
          <w:fldChar w:fldCharType="end"/>
        </w:r>
      </w:hyperlink>
      <w:r w:rsidR="00935167" w:rsidRPr="001905B0">
        <w:rPr>
          <w:rFonts w:cs="Arial"/>
          <w:szCs w:val="22"/>
        </w:rPr>
        <w:t>)</w:t>
      </w:r>
      <w:r w:rsidRPr="001905B0">
        <w:rPr>
          <w:rFonts w:cs="Arial"/>
          <w:szCs w:val="22"/>
        </w:rPr>
        <w:t xml:space="preserve"> by sieving (2mm mesh) 30 cores (50mm diameter, 100mm depth) of sediment collected across each site and counting the seeds retained in each. For </w:t>
      </w:r>
      <w:r w:rsidRPr="001905B0">
        <w:rPr>
          <w:rFonts w:cs="Arial"/>
          <w:i/>
          <w:szCs w:val="22"/>
        </w:rPr>
        <w:t>Zostera muelleri</w:t>
      </w:r>
      <w:r w:rsidRPr="001905B0">
        <w:rPr>
          <w:rFonts w:cs="Arial"/>
          <w:szCs w:val="22"/>
        </w:rPr>
        <w:t>, where the seed are &lt;1</w:t>
      </w:r>
      <w:r w:rsidR="00251E93" w:rsidRPr="001905B0">
        <w:rPr>
          <w:rFonts w:cs="Arial"/>
          <w:szCs w:val="22"/>
        </w:rPr>
        <w:t xml:space="preserve"> </w:t>
      </w:r>
      <w:r w:rsidRPr="001905B0">
        <w:rPr>
          <w:rFonts w:cs="Arial"/>
          <w:szCs w:val="22"/>
        </w:rPr>
        <w:t>mm diameter, intact cores (18) were collected and returned to the laboratory where they were washed through a 710</w:t>
      </w:r>
      <w:r w:rsidR="00251E93" w:rsidRPr="001905B0">
        <w:rPr>
          <w:rFonts w:cs="Arial"/>
          <w:szCs w:val="22"/>
        </w:rPr>
        <w:t xml:space="preserve"> </w:t>
      </w:r>
      <w:r w:rsidRPr="001905B0">
        <w:rPr>
          <w:rFonts w:cs="Arial"/>
          <w:szCs w:val="22"/>
        </w:rPr>
        <w:t>µm sieve and seeds identified using a hand lens/microscope.</w:t>
      </w:r>
      <w:bookmarkEnd w:id="104"/>
      <w:bookmarkEnd w:id="105"/>
      <w:bookmarkEnd w:id="106"/>
    </w:p>
    <w:p w14:paraId="31FBCD0E" w14:textId="1CE642B3" w:rsidR="004902B0" w:rsidRPr="008A70D6" w:rsidRDefault="004902B0" w:rsidP="003653D3">
      <w:pPr>
        <w:pStyle w:val="Heading3"/>
      </w:pPr>
      <w:bookmarkStart w:id="108" w:name="_Toc37775040"/>
      <w:bookmarkStart w:id="109" w:name="_Toc43987014"/>
      <w:bookmarkStart w:id="110" w:name="_Toc184101949"/>
      <w:r w:rsidRPr="008A70D6">
        <w:t xml:space="preserve">Seagrass </w:t>
      </w:r>
      <w:r w:rsidR="003B152A" w:rsidRPr="008A70D6">
        <w:t xml:space="preserve">leaf </w:t>
      </w:r>
      <w:r w:rsidRPr="008A70D6">
        <w:t>tissue nutrients</w:t>
      </w:r>
      <w:bookmarkEnd w:id="108"/>
      <w:bookmarkEnd w:id="109"/>
    </w:p>
    <w:p w14:paraId="073DA920" w14:textId="2786DB19" w:rsidR="00F613E3" w:rsidRPr="001905B0" w:rsidRDefault="003D1F7F" w:rsidP="00EC3E9B">
      <w:pPr>
        <w:rPr>
          <w:rFonts w:cs="Arial"/>
          <w:szCs w:val="22"/>
        </w:rPr>
      </w:pPr>
      <w:r w:rsidRPr="001905B0">
        <w:rPr>
          <w:rFonts w:cs="Arial"/>
          <w:szCs w:val="22"/>
        </w:rPr>
        <w:t>In the late dry season (October 201</w:t>
      </w:r>
      <w:r w:rsidR="002305F0" w:rsidRPr="001905B0">
        <w:rPr>
          <w:rFonts w:cs="Arial"/>
          <w:szCs w:val="22"/>
        </w:rPr>
        <w:t>8</w:t>
      </w:r>
      <w:r w:rsidR="00F613E3" w:rsidRPr="001905B0">
        <w:rPr>
          <w:rFonts w:cs="Arial"/>
          <w:szCs w:val="22"/>
        </w:rPr>
        <w:t>)</w:t>
      </w:r>
      <w:r w:rsidRPr="001905B0">
        <w:rPr>
          <w:rFonts w:cs="Arial"/>
          <w:szCs w:val="22"/>
        </w:rPr>
        <w:t xml:space="preserve">, </w:t>
      </w:r>
      <w:r w:rsidR="0042061B" w:rsidRPr="001905B0">
        <w:rPr>
          <w:rFonts w:cs="Arial"/>
          <w:szCs w:val="22"/>
        </w:rPr>
        <w:t xml:space="preserve">leaf tissue samples from the </w:t>
      </w:r>
      <w:r w:rsidRPr="001905B0">
        <w:rPr>
          <w:rFonts w:cs="Arial"/>
          <w:szCs w:val="22"/>
        </w:rPr>
        <w:t xml:space="preserve">foundational seagrass species </w:t>
      </w:r>
      <w:r w:rsidR="0042061B" w:rsidRPr="001905B0">
        <w:rPr>
          <w:rFonts w:cs="Arial"/>
          <w:szCs w:val="22"/>
        </w:rPr>
        <w:t xml:space="preserve">were collected from each monitoring site for </w:t>
      </w:r>
      <w:r w:rsidRPr="001905B0">
        <w:rPr>
          <w:rFonts w:cs="Arial"/>
          <w:szCs w:val="22"/>
        </w:rPr>
        <w:t>nutrient</w:t>
      </w:r>
      <w:r w:rsidR="0042061B" w:rsidRPr="001905B0">
        <w:rPr>
          <w:rFonts w:cs="Arial"/>
          <w:szCs w:val="22"/>
        </w:rPr>
        <w:t xml:space="preserve"> content analysis</w:t>
      </w:r>
      <w:r w:rsidRPr="001905B0">
        <w:rPr>
          <w:rFonts w:cs="Arial"/>
          <w:szCs w:val="22"/>
        </w:rPr>
        <w:t xml:space="preserve"> (</w:t>
      </w:r>
      <w:r w:rsidR="00EB19B4" w:rsidRPr="001905B0">
        <w:rPr>
          <w:rFonts w:cs="Arial"/>
          <w:szCs w:val="22"/>
        </w:rPr>
        <w:fldChar w:fldCharType="begin"/>
      </w:r>
      <w:r w:rsidR="00EB19B4" w:rsidRPr="001905B0">
        <w:rPr>
          <w:rFonts w:cs="Arial"/>
          <w:szCs w:val="22"/>
        </w:rPr>
        <w:instrText xml:space="preserve"> REF _Ref236539751 \h </w:instrText>
      </w:r>
      <w:r w:rsidR="00DA741D" w:rsidRPr="001905B0">
        <w:rPr>
          <w:rFonts w:cs="Arial"/>
          <w:szCs w:val="22"/>
        </w:rPr>
        <w:instrText xml:space="preserve"> \* MERGEFORMAT </w:instrText>
      </w:r>
      <w:r w:rsidR="00EB19B4" w:rsidRPr="001905B0">
        <w:rPr>
          <w:rFonts w:cs="Arial"/>
          <w:szCs w:val="22"/>
        </w:rPr>
      </w:r>
      <w:r w:rsidR="00EB19B4" w:rsidRPr="001905B0">
        <w:rPr>
          <w:rFonts w:cs="Arial"/>
          <w:szCs w:val="22"/>
        </w:rPr>
        <w:fldChar w:fldCharType="separate"/>
      </w:r>
      <w:r w:rsidR="0067675D" w:rsidRPr="00D051A4">
        <w:rPr>
          <w:rFonts w:cs="Arial"/>
          <w:color w:val="000000"/>
          <w:szCs w:val="22"/>
        </w:rPr>
        <w:t xml:space="preserve">Table </w:t>
      </w:r>
      <w:r w:rsidR="0067675D">
        <w:rPr>
          <w:rFonts w:cs="Arial"/>
          <w:noProof/>
          <w:color w:val="000000"/>
          <w:szCs w:val="22"/>
        </w:rPr>
        <w:t>2</w:t>
      </w:r>
      <w:r w:rsidR="00EB19B4" w:rsidRPr="001905B0">
        <w:rPr>
          <w:rFonts w:cs="Arial"/>
          <w:szCs w:val="22"/>
        </w:rPr>
        <w:fldChar w:fldCharType="end"/>
      </w:r>
      <w:r w:rsidRPr="001905B0">
        <w:rPr>
          <w:rFonts w:cs="Arial"/>
          <w:szCs w:val="22"/>
        </w:rPr>
        <w:t>).</w:t>
      </w:r>
      <w:r w:rsidR="00EB19B4" w:rsidRPr="001905B0">
        <w:rPr>
          <w:rFonts w:cs="Arial"/>
          <w:szCs w:val="22"/>
        </w:rPr>
        <w:t xml:space="preserve"> </w:t>
      </w:r>
      <w:r w:rsidRPr="001905B0">
        <w:rPr>
          <w:rFonts w:cs="Arial"/>
          <w:szCs w:val="22"/>
        </w:rPr>
        <w:t xml:space="preserve">For nutrient status comparisons, collections </w:t>
      </w:r>
      <w:r w:rsidR="00F613E3" w:rsidRPr="001905B0">
        <w:rPr>
          <w:rFonts w:cs="Arial"/>
          <w:szCs w:val="22"/>
        </w:rPr>
        <w:t>are made</w:t>
      </w:r>
      <w:r w:rsidRPr="001905B0">
        <w:rPr>
          <w:rFonts w:cs="Arial"/>
          <w:szCs w:val="22"/>
        </w:rPr>
        <w:t xml:space="preserve"> during the growth season (e.g. late dry when nutrient contents are at a minimum) (</w:t>
      </w:r>
      <w:hyperlink w:anchor="_ENREF_117" w:tooltip="Mellors, 2005 #3739" w:history="1">
        <w:r w:rsidR="009A7AB4" w:rsidRPr="001905B0">
          <w:rPr>
            <w:rFonts w:cs="Arial"/>
            <w:szCs w:val="22"/>
          </w:rPr>
          <w:fldChar w:fldCharType="begin"/>
        </w:r>
        <w:r w:rsidR="009A7AB4" w:rsidRPr="001905B0">
          <w:rPr>
            <w:rFonts w:cs="Arial"/>
            <w:szCs w:val="22"/>
          </w:rPr>
          <w:instrText xml:space="preserve"> ADDIN EN.CITE &lt;EndNote&gt;&lt;Cite&gt;&lt;Author&gt;Mellors&lt;/Author&gt;&lt;Year&gt;2005&lt;/Year&gt;&lt;RecNum&gt;3739&lt;/RecNum&gt;&lt;DisplayText&gt;Mellors&lt;style face="italic"&gt; et al.&lt;/style&gt; 2005&lt;/DisplayText&gt;&lt;record&gt;&lt;rec-number&gt;3739&lt;/rec-number&gt;&lt;foreign-keys&gt;&lt;key app="EN" db-id="0eve55x9y5vfd6e9dacxtew4eatve2dzds9a" timestamp="0"&gt;3739&lt;/key&gt;&lt;/foreign-keys&gt;&lt;ref-type name="Journal Article"&gt;17&lt;/ref-type&gt;&lt;contributors&gt;&lt;authors&gt;&lt;author&gt;Mellors, J.&lt;/author&gt;&lt;author&gt;Waycott, M.&lt;/author&gt;&lt;author&gt;Marsh, H.&lt;/author&gt;&lt;/authors&gt;&lt;/contributors&gt;&lt;titles&gt;&lt;title&gt;Variation in biogeochemical parameters across intertidal seagrass meadows in the central Great Barrier Reef region&lt;/title&gt;&lt;secondary-title&gt;Marine Pollution Bulletin&lt;/secondary-title&gt;&lt;/titles&gt;&lt;periodical&gt;&lt;full-title&gt;Marine Pollution Bulletin&lt;/full-title&gt;&lt;/periodical&gt;&lt;pages&gt;335-342&lt;/pages&gt;&lt;volume&gt;51&lt;/volume&gt;&lt;number&gt;1-4&lt;/number&gt;&lt;dates&gt;&lt;year&gt;2005&lt;/year&gt;&lt;/dates&gt;&lt;isbn&gt;0025-326X&lt;/isbn&gt;&lt;accession-num&gt;WOS:000227981800031&lt;/accession-num&gt;&lt;urls&gt;&lt;related-urls&gt;&lt;url&gt;&amp;lt;Go to ISI&amp;gt;://WOS:000227981800031 &lt;/url&gt;&lt;/related-urls&gt;&lt;/urls&gt;&lt;electronic-resource-num&gt;10.1016/j.marpolbul.2004.10.046&lt;/electronic-resource-num&gt;&lt;/record&gt;&lt;/Cite&gt;&lt;/EndNote&gt;</w:instrText>
        </w:r>
        <w:r w:rsidR="009A7AB4" w:rsidRPr="001905B0">
          <w:rPr>
            <w:rFonts w:cs="Arial"/>
            <w:szCs w:val="22"/>
          </w:rPr>
          <w:fldChar w:fldCharType="separate"/>
        </w:r>
        <w:r w:rsidR="009A7AB4" w:rsidRPr="001905B0">
          <w:rPr>
            <w:rFonts w:cs="Arial"/>
            <w:noProof/>
            <w:szCs w:val="22"/>
          </w:rPr>
          <w:t>Mellors</w:t>
        </w:r>
        <w:r w:rsidR="009A7AB4" w:rsidRPr="001905B0">
          <w:rPr>
            <w:rFonts w:cs="Arial"/>
            <w:i/>
            <w:noProof/>
            <w:szCs w:val="22"/>
          </w:rPr>
          <w:t xml:space="preserve"> et al.</w:t>
        </w:r>
        <w:r w:rsidR="009A7AB4" w:rsidRPr="001905B0">
          <w:rPr>
            <w:rFonts w:cs="Arial"/>
            <w:noProof/>
            <w:szCs w:val="22"/>
          </w:rPr>
          <w:t xml:space="preserve"> 2005</w:t>
        </w:r>
        <w:r w:rsidR="009A7AB4" w:rsidRPr="001905B0">
          <w:rPr>
            <w:rFonts w:cs="Arial"/>
            <w:szCs w:val="22"/>
          </w:rPr>
          <w:fldChar w:fldCharType="end"/>
        </w:r>
      </w:hyperlink>
      <w:r w:rsidRPr="001905B0">
        <w:rPr>
          <w:rFonts w:cs="Arial"/>
          <w:szCs w:val="22"/>
        </w:rPr>
        <w:t>) and at the same time of the year and at the same depth at the different localities (</w:t>
      </w:r>
      <w:hyperlink w:anchor="_ENREF_12" w:tooltip="Borum, 2004 #7829" w:history="1">
        <w:r w:rsidR="009A7AB4" w:rsidRPr="001905B0">
          <w:rPr>
            <w:rFonts w:cs="Arial"/>
            <w:szCs w:val="22"/>
          </w:rPr>
          <w:fldChar w:fldCharType="begin"/>
        </w:r>
        <w:r w:rsidR="009A7AB4" w:rsidRPr="001905B0">
          <w:rPr>
            <w:rFonts w:cs="Arial"/>
            <w:szCs w:val="22"/>
          </w:rPr>
          <w:instrText xml:space="preserve"> ADDIN EN.CITE &lt;EndNote&gt;&lt;Cite&gt;&lt;Author&gt;Borum&lt;/Author&gt;&lt;Year&gt;2004&lt;/Year&gt;&lt;RecNum&gt;7829&lt;/RecNum&gt;&lt;DisplayText&gt;Borum&lt;style face="italic"&gt; et al.&lt;/style&gt; 2004&lt;/DisplayText&gt;&lt;record&gt;&lt;rec-number&gt;7829&lt;/rec-number&gt;&lt;foreign-keys&gt;&lt;key app="EN" db-id="0eve55x9y5vfd6e9dacxtew4eatve2dzds9a" timestamp="0"&gt;7829&lt;/key&gt;&lt;/foreign-keys&gt;&lt;ref-type name="Book"&gt;6&lt;/ref-type&gt;&lt;contributors&gt;&lt;authors&gt;&lt;author&gt;Borum, J&lt;/author&gt;&lt;author&gt;Duarte, C M&lt;/author&gt;&lt;author&gt;Krause-Jensen, D&lt;/author&gt;&lt;author&gt;Greve, T M&lt;/author&gt;&lt;/authors&gt;&lt;/contributors&gt;&lt;titles&gt;&lt;title&gt;European seagrasses: an introduction to monitoring and management&lt;/title&gt;&lt;/titles&gt;&lt;pages&gt;95&lt;/pages&gt;&lt;section&gt;1-95&lt;/section&gt;&lt;dates&gt;&lt;year&gt;2004&lt;/year&gt;&lt;/dates&gt;&lt;pub-location&gt;Copenhagen&lt;/pub-location&gt;&lt;publisher&gt;The M&amp;amp;MS project&lt;/publisher&gt;&lt;isbn&gt;ISBN: 87-89143-21-3&lt;/isbn&gt;&lt;urls&gt;&lt;/urls&gt;&lt;/record&gt;&lt;/Cite&gt;&lt;/EndNote&gt;</w:instrText>
        </w:r>
        <w:r w:rsidR="009A7AB4" w:rsidRPr="001905B0">
          <w:rPr>
            <w:rFonts w:cs="Arial"/>
            <w:szCs w:val="22"/>
          </w:rPr>
          <w:fldChar w:fldCharType="separate"/>
        </w:r>
        <w:r w:rsidR="009A7AB4" w:rsidRPr="001905B0">
          <w:rPr>
            <w:rFonts w:cs="Arial"/>
            <w:noProof/>
            <w:szCs w:val="22"/>
          </w:rPr>
          <w:t>Borum</w:t>
        </w:r>
        <w:r w:rsidR="009A7AB4" w:rsidRPr="001905B0">
          <w:rPr>
            <w:rFonts w:cs="Arial"/>
            <w:i/>
            <w:noProof/>
            <w:szCs w:val="22"/>
          </w:rPr>
          <w:t xml:space="preserve"> et al.</w:t>
        </w:r>
        <w:r w:rsidR="009A7AB4" w:rsidRPr="001905B0">
          <w:rPr>
            <w:rFonts w:cs="Arial"/>
            <w:noProof/>
            <w:szCs w:val="22"/>
          </w:rPr>
          <w:t xml:space="preserve"> 2004</w:t>
        </w:r>
        <w:r w:rsidR="009A7AB4" w:rsidRPr="001905B0">
          <w:rPr>
            <w:rFonts w:cs="Arial"/>
            <w:szCs w:val="22"/>
          </w:rPr>
          <w:fldChar w:fldCharType="end"/>
        </w:r>
      </w:hyperlink>
      <w:r w:rsidRPr="001905B0">
        <w:rPr>
          <w:rFonts w:cs="Arial"/>
          <w:szCs w:val="22"/>
        </w:rPr>
        <w:t xml:space="preserve">). </w:t>
      </w:r>
      <w:r w:rsidR="00EC3E9B">
        <w:rPr>
          <w:rFonts w:cs="Arial"/>
          <w:szCs w:val="22"/>
        </w:rPr>
        <w:t>Two to three handfuls of s</w:t>
      </w:r>
      <w:r w:rsidRPr="001905B0">
        <w:rPr>
          <w:rFonts w:cs="Arial"/>
          <w:szCs w:val="22"/>
        </w:rPr>
        <w:t>hoots from three haphazardly placed 0.25</w:t>
      </w:r>
      <w:r w:rsidR="00F613E3" w:rsidRPr="001905B0">
        <w:rPr>
          <w:rFonts w:cs="Arial"/>
          <w:szCs w:val="22"/>
        </w:rPr>
        <w:t xml:space="preserve"> </w:t>
      </w:r>
      <w:r w:rsidRPr="001905B0">
        <w:rPr>
          <w:rFonts w:cs="Arial"/>
          <w:szCs w:val="22"/>
        </w:rPr>
        <w:t>m</w:t>
      </w:r>
      <w:r w:rsidRPr="001905B0">
        <w:rPr>
          <w:rFonts w:cs="Arial"/>
          <w:szCs w:val="22"/>
          <w:vertAlign w:val="superscript"/>
        </w:rPr>
        <w:t>2</w:t>
      </w:r>
      <w:r w:rsidRPr="001905B0">
        <w:rPr>
          <w:rFonts w:cs="Arial"/>
          <w:szCs w:val="22"/>
        </w:rPr>
        <w:t xml:space="preserve"> quadrats were collected from an area adjacent (of similar cover and species composition) to </w:t>
      </w:r>
      <w:r w:rsidR="00A22E5C" w:rsidRPr="001905B0">
        <w:rPr>
          <w:rFonts w:cs="Arial"/>
          <w:szCs w:val="22"/>
        </w:rPr>
        <w:t xml:space="preserve">the </w:t>
      </w:r>
      <w:r w:rsidRPr="001905B0">
        <w:rPr>
          <w:rFonts w:cs="Arial"/>
          <w:szCs w:val="22"/>
        </w:rPr>
        <w:t xml:space="preserve">monitoring </w:t>
      </w:r>
      <w:r w:rsidR="00A22E5C" w:rsidRPr="001905B0">
        <w:rPr>
          <w:rFonts w:cs="Arial"/>
          <w:szCs w:val="22"/>
        </w:rPr>
        <w:t>transects</w:t>
      </w:r>
      <w:r w:rsidRPr="001905B0">
        <w:rPr>
          <w:rFonts w:cs="Arial"/>
          <w:szCs w:val="22"/>
        </w:rPr>
        <w:t xml:space="preserve">. </w:t>
      </w:r>
    </w:p>
    <w:p w14:paraId="6FFAD6C6" w14:textId="09FC1537" w:rsidR="003D1F7F" w:rsidRPr="001905B0" w:rsidRDefault="00F42C54" w:rsidP="006875E3">
      <w:pPr>
        <w:rPr>
          <w:rFonts w:cs="Arial"/>
          <w:szCs w:val="22"/>
        </w:rPr>
      </w:pPr>
      <w:r w:rsidRPr="001905B0">
        <w:rPr>
          <w:rFonts w:cs="Arial"/>
          <w:szCs w:val="22"/>
        </w:rPr>
        <w:t xml:space="preserve">Species within the sample are separated, and all species (except </w:t>
      </w:r>
      <w:r w:rsidRPr="001905B0">
        <w:rPr>
          <w:rFonts w:cs="Arial"/>
          <w:i/>
          <w:szCs w:val="22"/>
        </w:rPr>
        <w:t>Halophila</w:t>
      </w:r>
      <w:r w:rsidRPr="001905B0">
        <w:rPr>
          <w:rFonts w:cs="Arial"/>
          <w:szCs w:val="22"/>
        </w:rPr>
        <w:t xml:space="preserve"> spp.) were analysed for tissue nutrient content. </w:t>
      </w:r>
      <w:r w:rsidR="00BB454E" w:rsidRPr="001905B0">
        <w:rPr>
          <w:rFonts w:cs="Arial"/>
          <w:szCs w:val="22"/>
        </w:rPr>
        <w:t>All l</w:t>
      </w:r>
      <w:r w:rsidR="003D1F7F" w:rsidRPr="001905B0">
        <w:rPr>
          <w:rFonts w:cs="Arial"/>
          <w:szCs w:val="22"/>
        </w:rPr>
        <w:t xml:space="preserve">eaves </w:t>
      </w:r>
      <w:r w:rsidR="00BB454E" w:rsidRPr="001905B0">
        <w:rPr>
          <w:rFonts w:cs="Arial"/>
          <w:szCs w:val="22"/>
        </w:rPr>
        <w:t xml:space="preserve">within the sample </w:t>
      </w:r>
      <w:r w:rsidR="003D1F7F" w:rsidRPr="001905B0">
        <w:rPr>
          <w:rFonts w:cs="Arial"/>
          <w:szCs w:val="22"/>
        </w:rPr>
        <w:t xml:space="preserve">were separated from the below ground material in the laboratory and epiphytic </w:t>
      </w:r>
      <w:r w:rsidR="003D1F7F" w:rsidRPr="001905B0">
        <w:rPr>
          <w:rFonts w:cs="Arial"/>
          <w:szCs w:val="22"/>
        </w:rPr>
        <w:lastRenderedPageBreak/>
        <w:t>algae removed by gently scraping</w:t>
      </w:r>
      <w:r w:rsidR="003D1F7F" w:rsidRPr="001905B0">
        <w:rPr>
          <w:rFonts w:cs="Arial"/>
          <w:color w:val="000000" w:themeColor="text1"/>
          <w:szCs w:val="22"/>
        </w:rPr>
        <w:t xml:space="preserve">. Dried and milled </w:t>
      </w:r>
      <w:r w:rsidRPr="001905B0">
        <w:rPr>
          <w:rFonts w:cs="Arial"/>
          <w:color w:val="000000" w:themeColor="text1"/>
          <w:szCs w:val="22"/>
        </w:rPr>
        <w:t xml:space="preserve">leaf </w:t>
      </w:r>
      <w:r w:rsidR="003D1F7F" w:rsidRPr="001905B0">
        <w:rPr>
          <w:rFonts w:cs="Arial"/>
          <w:color w:val="000000" w:themeColor="text1"/>
          <w:szCs w:val="22"/>
        </w:rPr>
        <w:t xml:space="preserve">samples were analysed according to </w:t>
      </w:r>
      <w:hyperlink w:anchor="_ENREF_111" w:tooltip="McKenzie, 2019 #11986" w:history="1">
        <w:r w:rsidR="009A7AB4" w:rsidRPr="001905B0">
          <w:rPr>
            <w:rFonts w:cs="Arial"/>
            <w:szCs w:val="22"/>
          </w:rPr>
          <w:fldChar w:fldCharType="begin"/>
        </w:r>
        <w:r w:rsidR="009A7AB4">
          <w:rPr>
            <w:rFonts w:cs="Arial"/>
            <w:szCs w:val="22"/>
          </w:rPr>
          <w:instrText xml:space="preserve"> ADDIN EN.CITE &lt;EndNote&gt;&lt;Cite ExcludeYear="1"&gt;&lt;Author&gt;McKenzie&lt;/Author&gt;&lt;Year&gt;2019&lt;/Year&gt;&lt;RecNum&gt;11986&lt;/RecNum&gt;&lt;DisplayText&gt;McKenzie&lt;style face="italic"&gt; et al.&lt;/style&gt; &lt;/DisplayText&gt;&lt;record&gt;&lt;rec-number&gt;11986&lt;/rec-number&gt;&lt;foreign-keys&gt;&lt;key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1905B0">
          <w:rPr>
            <w:rFonts w:cs="Arial"/>
            <w:szCs w:val="22"/>
          </w:rPr>
          <w:fldChar w:fldCharType="separate"/>
        </w:r>
        <w:r w:rsidR="009A7AB4">
          <w:rPr>
            <w:rFonts w:cs="Arial"/>
            <w:noProof/>
            <w:szCs w:val="22"/>
          </w:rPr>
          <w:t>McKenzie</w:t>
        </w:r>
        <w:r w:rsidR="009A7AB4" w:rsidRPr="002126B5">
          <w:rPr>
            <w:rFonts w:cs="Arial"/>
            <w:i/>
            <w:noProof/>
            <w:szCs w:val="22"/>
          </w:rPr>
          <w:t xml:space="preserve"> et al.</w:t>
        </w:r>
        <w:r w:rsidR="009A7AB4">
          <w:rPr>
            <w:rFonts w:cs="Arial"/>
            <w:noProof/>
            <w:szCs w:val="22"/>
          </w:rPr>
          <w:t xml:space="preserve"> </w:t>
        </w:r>
        <w:r w:rsidR="009A7AB4" w:rsidRPr="001905B0">
          <w:rPr>
            <w:rFonts w:cs="Arial"/>
            <w:szCs w:val="22"/>
          </w:rPr>
          <w:fldChar w:fldCharType="end"/>
        </w:r>
      </w:hyperlink>
      <w:r w:rsidR="00935167" w:rsidRPr="001905B0">
        <w:rPr>
          <w:rFonts w:cs="Arial"/>
          <w:szCs w:val="22"/>
        </w:rPr>
        <w:t>(</w:t>
      </w:r>
      <w:hyperlink w:anchor="_ENREF_111" w:tooltip="McKenzie, 2019 #11986" w:history="1">
        <w:r w:rsidR="009A7AB4" w:rsidRPr="001905B0">
          <w:rPr>
            <w:rFonts w:cs="Arial"/>
            <w:szCs w:val="22"/>
          </w:rPr>
          <w:fldChar w:fldCharType="begin"/>
        </w:r>
        <w:r w:rsidR="009A7AB4">
          <w:rPr>
            <w:rFonts w:cs="Arial"/>
            <w:szCs w:val="22"/>
          </w:rPr>
          <w:instrText xml:space="preserve"> ADDIN EN.CITE &lt;EndNote&gt;&lt;Cite ExcludeAuth="1"&gt;&lt;Author&gt;McKenzie&lt;/Author&gt;&lt;Year&gt;2019&lt;/Year&gt;&lt;RecNum&gt;11986&lt;/RecNum&gt;&lt;DisplayText&gt;2019&lt;/DisplayText&gt;&lt;record&gt;&lt;rec-number&gt;11986&lt;/rec-number&gt;&lt;foreign-keys&gt;&lt;key app="EN" db-id="0eve55x9y5vfd6e9dacxtew4eatve2dzds9a" timestamp="1554243817"&gt;11986&lt;/key&gt;&lt;/foreign-keys&gt;&lt;ref-type name="Book Section"&gt;5&lt;/ref-type&gt;&lt;contributors&gt;&lt;authors&gt;&lt;author&gt;McKenzie, Len J&lt;/author&gt;&lt;author&gt;Waycott, Michelle&lt;/author&gt;&lt;author&gt;Unsworth Richard, K. F.&lt;/author&gt;&lt;author&gt;Collier, Catherine&lt;/author&gt;&lt;/authors&gt;&lt;secondary-authors&gt;&lt;author&gt;Great Barrier Reef Marine Park Authority,&lt;/author&gt;&lt;/secondary-authors&gt;&lt;/contributors&gt;&lt;titles&gt;&lt;title&gt;Inshore seagrass monitoring&lt;/title&gt;&lt;secondary-title&gt;Marine Monitoring Program quality assurance and quality control manual 2017–2018&lt;/secondary-title&gt;&lt;/titles&gt;&lt;pages&gt;73-98&lt;/pages&gt;&lt;section&gt;6&lt;/section&gt;&lt;dates&gt;&lt;year&gt;2019&lt;/year&gt;&lt;/dates&gt;&lt;pub-location&gt;Townsville&lt;/pub-location&gt;&lt;publisher&gt;Great Barrier Reef Marine Park Authority &lt;/publisher&gt;&lt;urls&gt;&lt;/urls&gt;&lt;/record&gt;&lt;/Cite&gt;&lt;/EndNote&gt;</w:instrText>
        </w:r>
        <w:r w:rsidR="009A7AB4" w:rsidRPr="001905B0">
          <w:rPr>
            <w:rFonts w:cs="Arial"/>
            <w:szCs w:val="22"/>
          </w:rPr>
          <w:fldChar w:fldCharType="separate"/>
        </w:r>
        <w:r w:rsidR="009A7AB4">
          <w:rPr>
            <w:rFonts w:cs="Arial"/>
            <w:noProof/>
            <w:szCs w:val="22"/>
          </w:rPr>
          <w:t>2019</w:t>
        </w:r>
        <w:r w:rsidR="009A7AB4" w:rsidRPr="001905B0">
          <w:rPr>
            <w:rFonts w:cs="Arial"/>
            <w:szCs w:val="22"/>
          </w:rPr>
          <w:fldChar w:fldCharType="end"/>
        </w:r>
      </w:hyperlink>
      <w:r w:rsidR="00935167" w:rsidRPr="001905B0">
        <w:rPr>
          <w:rFonts w:cs="Arial"/>
          <w:szCs w:val="22"/>
        </w:rPr>
        <w:t>)</w:t>
      </w:r>
      <w:r w:rsidR="003D1F7F" w:rsidRPr="001905B0">
        <w:rPr>
          <w:rFonts w:cs="Arial"/>
          <w:color w:val="000000" w:themeColor="text1"/>
          <w:szCs w:val="22"/>
          <w:lang w:val="en-US"/>
        </w:rPr>
        <w:t xml:space="preserve">. </w:t>
      </w:r>
      <w:r w:rsidR="003D1F7F" w:rsidRPr="001905B0">
        <w:rPr>
          <w:rFonts w:cs="Arial"/>
          <w:color w:val="000000" w:themeColor="text1"/>
          <w:szCs w:val="22"/>
        </w:rPr>
        <w:t>Elemental ratios (C:N:P) were calculated on a mole:mole b</w:t>
      </w:r>
      <w:r w:rsidR="008D142C" w:rsidRPr="001905B0">
        <w:rPr>
          <w:rFonts w:cs="Arial"/>
          <w:color w:val="000000" w:themeColor="text1"/>
          <w:szCs w:val="22"/>
        </w:rPr>
        <w:t>asis using atomic weights (i.e.</w:t>
      </w:r>
      <w:bookmarkStart w:id="111" w:name="_Toc184101948"/>
      <w:r w:rsidR="006875E3" w:rsidRPr="001905B0">
        <w:rPr>
          <w:rFonts w:cs="Arial"/>
          <w:color w:val="000000" w:themeColor="text1"/>
          <w:szCs w:val="22"/>
        </w:rPr>
        <w:t xml:space="preserve"> C=12, N=14, P=31).</w:t>
      </w:r>
    </w:p>
    <w:p w14:paraId="04381739" w14:textId="4A83E87C" w:rsidR="003B152A" w:rsidRPr="008A70D6" w:rsidRDefault="003B152A" w:rsidP="003653D3">
      <w:pPr>
        <w:pStyle w:val="Heading3"/>
      </w:pPr>
      <w:bookmarkStart w:id="112" w:name="_Toc37775041"/>
      <w:bookmarkStart w:id="113" w:name="_Toc43987015"/>
      <w:r w:rsidRPr="008A70D6">
        <w:t xml:space="preserve">Epiphytes </w:t>
      </w:r>
      <w:r w:rsidR="00930A4B" w:rsidRPr="008A70D6">
        <w:t>a</w:t>
      </w:r>
      <w:r w:rsidRPr="008A70D6">
        <w:t>nd macroalgae</w:t>
      </w:r>
      <w:bookmarkEnd w:id="112"/>
      <w:bookmarkEnd w:id="113"/>
    </w:p>
    <w:p w14:paraId="1052E134" w14:textId="26C69263" w:rsidR="003B152A" w:rsidRPr="001905B0" w:rsidRDefault="008C46A0" w:rsidP="008C46A0">
      <w:pPr>
        <w:rPr>
          <w:rFonts w:cs="Arial"/>
          <w:szCs w:val="22"/>
        </w:rPr>
      </w:pPr>
      <w:r w:rsidRPr="001905B0">
        <w:rPr>
          <w:rFonts w:cs="Arial"/>
          <w:szCs w:val="22"/>
        </w:rPr>
        <w:t>Epiphyte and macroalgae cover were measured according to standard methods (</w:t>
      </w:r>
      <w:hyperlink w:anchor="_ENREF_101" w:tooltip="McKenzie, 2003 #9457"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&lt;EndNote&gt;&lt;Cite&gt;&lt;Author&gt;McKenzie&lt;/Author&gt;&lt;Year&gt;2003&lt;/Year&gt;&lt;RecNum&gt;9457&lt;/RecNum&gt;&lt;DisplayText&gt;McKenzie&lt;style face="italic"&gt; et al.&lt;/style&gt; 2003&lt;/DisplayText&gt;&lt;record&gt;&lt;rec-number&gt;9457&lt;/rec-number&gt;&lt;foreign-keys&gt;&lt;key app="EN" db-id="0eve55x9y5vfd6e9dacxtew4eatve2dzds9a" timestamp="1375604206"&gt;9457&lt;/key&gt;&lt;/foreign-keys&gt;&lt;ref-type name="Book"&gt;6&lt;/ref-type&gt;&lt;contributors&gt;&lt;authors&gt;&lt;author&gt;McKenzie, Len J&lt;/author&gt;&lt;author&gt;Campbell, Stuart J&lt;/author&gt;&lt;author&gt;Roder, C.A&lt;/author&gt;&lt;/authors&gt;&lt;/contributors&gt;&lt;titles&gt;&lt;title&gt;Seagrass-Watch: Manual for Mapping &amp;amp; Monitoring Seagrass Resources&lt;/title&gt;&lt;/titles&gt;&lt;edition&gt;2nd&lt;/edition&gt;&lt;section&gt;100&lt;/section&gt;&lt;dates&gt;&lt;year&gt;2003&lt;/year&gt;&lt;/dates&gt;&lt;pub-location&gt;Cairns&lt;/pub-location&gt;&lt;publisher&gt;QFS, NFC&lt;/publisher&gt;&lt;urls&gt;&lt;related-urls&gt;&lt;url&gt;www.seagrasswatch.org/manuals.html&lt;/url&gt;&lt;/related-urls&gt;&lt;/urls&gt;&lt;/record&gt;&lt;/Cite&gt;&lt;/EndNote&gt;</w:instrText>
        </w:r>
        <w:r w:rsidR="009A7AB4" w:rsidRPr="001905B0">
          <w:rPr>
            <w:rFonts w:cs="Arial"/>
            <w:szCs w:val="22"/>
          </w:rPr>
          <w:fldChar w:fldCharType="separate"/>
        </w:r>
        <w:r w:rsidR="009A7AB4" w:rsidRPr="001905B0">
          <w:rPr>
            <w:rFonts w:cs="Arial"/>
            <w:noProof/>
            <w:szCs w:val="22"/>
          </w:rPr>
          <w:t>McKenzie</w:t>
        </w:r>
        <w:r w:rsidR="009A7AB4" w:rsidRPr="001905B0">
          <w:rPr>
            <w:rFonts w:cs="Arial"/>
            <w:i/>
            <w:noProof/>
            <w:szCs w:val="22"/>
          </w:rPr>
          <w:t xml:space="preserve"> et al.</w:t>
        </w:r>
        <w:r w:rsidR="009A7AB4" w:rsidRPr="001905B0">
          <w:rPr>
            <w:rFonts w:cs="Arial"/>
            <w:noProof/>
            <w:szCs w:val="22"/>
          </w:rPr>
          <w:t xml:space="preserve"> 2003</w:t>
        </w:r>
        <w:r w:rsidR="009A7AB4" w:rsidRPr="001905B0">
          <w:rPr>
            <w:rFonts w:cs="Arial"/>
            <w:szCs w:val="22"/>
          </w:rPr>
          <w:fldChar w:fldCharType="end"/>
        </w:r>
      </w:hyperlink>
      <w:r w:rsidRPr="001905B0">
        <w:rPr>
          <w:rFonts w:cs="Arial"/>
          <w:szCs w:val="22"/>
        </w:rPr>
        <w:t xml:space="preserve">). The total percentage of leaf surface area (both sides, all species pooled) covered by epiphytes and percentage of quadrat area covered by macroalgae, were measured each monitoring event. Values were compared against the </w:t>
      </w:r>
      <w:r w:rsidR="00F206BF" w:rsidRPr="001905B0">
        <w:rPr>
          <w:rFonts w:cs="Arial"/>
          <w:szCs w:val="22"/>
        </w:rPr>
        <w:t>Reef</w:t>
      </w:r>
      <w:r w:rsidRPr="001905B0">
        <w:rPr>
          <w:rFonts w:cs="Arial"/>
          <w:szCs w:val="22"/>
        </w:rPr>
        <w:t xml:space="preserve"> long</w:t>
      </w:r>
      <w:r w:rsidRPr="001905B0">
        <w:rPr>
          <w:rFonts w:ascii="Cambria Math" w:hAnsi="Cambria Math" w:cs="Cambria Math"/>
          <w:szCs w:val="22"/>
        </w:rPr>
        <w:t>‐</w:t>
      </w:r>
      <w:r w:rsidRPr="001905B0">
        <w:rPr>
          <w:rFonts w:cs="Arial"/>
          <w:szCs w:val="22"/>
        </w:rPr>
        <w:t>term average (1999</w:t>
      </w:r>
      <w:r w:rsidRPr="001905B0">
        <w:rPr>
          <w:rFonts w:ascii="Cambria Math" w:hAnsi="Cambria Math" w:cs="Cambria Math"/>
          <w:szCs w:val="22"/>
        </w:rPr>
        <w:t>‐</w:t>
      </w:r>
      <w:r w:rsidRPr="001905B0">
        <w:rPr>
          <w:rFonts w:cs="Arial"/>
          <w:szCs w:val="22"/>
        </w:rPr>
        <w:t>2010) calculated for each habitat type.</w:t>
      </w:r>
    </w:p>
    <w:p w14:paraId="476B2FC0" w14:textId="77777777" w:rsidR="007F5DF1" w:rsidRPr="00DF79A6" w:rsidRDefault="007F5DF1" w:rsidP="000150D8">
      <w:pPr>
        <w:pStyle w:val="Heading2"/>
      </w:pPr>
      <w:bookmarkStart w:id="114" w:name="_Toc530689355"/>
      <w:bookmarkStart w:id="115" w:name="_Toc37775042"/>
      <w:bookmarkStart w:id="116" w:name="_Toc43987016"/>
      <w:bookmarkEnd w:id="111"/>
      <w:r w:rsidRPr="00DF79A6">
        <w:t>Data analyses</w:t>
      </w:r>
      <w:bookmarkEnd w:id="114"/>
      <w:bookmarkEnd w:id="115"/>
      <w:bookmarkEnd w:id="116"/>
    </w:p>
    <w:p w14:paraId="418E030C" w14:textId="2AEA9B4D" w:rsidR="00807334" w:rsidRPr="001905B0" w:rsidRDefault="00807334" w:rsidP="007F5DF1">
      <w:pPr>
        <w:rPr>
          <w:rFonts w:cs="Arial"/>
          <w:color w:val="000000" w:themeColor="text1"/>
          <w:szCs w:val="22"/>
        </w:rPr>
      </w:pPr>
      <w:r w:rsidRPr="001905B0">
        <w:rPr>
          <w:rFonts w:cs="Arial"/>
          <w:color w:val="000000" w:themeColor="text1"/>
          <w:szCs w:val="22"/>
        </w:rPr>
        <w:t xml:space="preserve">All seagrass condition indicators had uncertainties associated with their measurements at the lowest reporting levels (e.g. percentage, count, ratio, </w:t>
      </w:r>
      <w:r w:rsidR="003A03FE" w:rsidRPr="001905B0">
        <w:rPr>
          <w:rFonts w:cs="Arial"/>
          <w:color w:val="000000" w:themeColor="text1"/>
          <w:szCs w:val="22"/>
        </w:rPr>
        <w:t>etc.</w:t>
      </w:r>
      <w:r w:rsidRPr="001905B0">
        <w:rPr>
          <w:rFonts w:cs="Arial"/>
          <w:color w:val="000000" w:themeColor="text1"/>
          <w:szCs w:val="22"/>
        </w:rPr>
        <w:t xml:space="preserve">) which was presented as Standard Error (calculated from the site, day, or core standard deviations). To propagate the uncertainty (i.e. propagation of error) through each higher level of aggregation (e.g. habitat, NRM </w:t>
      </w:r>
      <w:r w:rsidR="00EC3E9B">
        <w:rPr>
          <w:rFonts w:cs="Arial"/>
          <w:color w:val="000000" w:themeColor="text1"/>
          <w:szCs w:val="22"/>
        </w:rPr>
        <w:t xml:space="preserve">region </w:t>
      </w:r>
      <w:r w:rsidRPr="001905B0">
        <w:rPr>
          <w:rFonts w:cs="Arial"/>
          <w:color w:val="000000" w:themeColor="text1"/>
          <w:szCs w:val="22"/>
        </w:rPr>
        <w:t>and GBR), the square root of the sum of squares approach (using the SE at each subsequent level) was applied (</w:t>
      </w:r>
      <w:hyperlink w:anchor="_ENREF_82" w:tooltip="Ku, 1966 #10906" w:history="1">
        <w:r w:rsidR="009A7AB4">
          <w:rPr>
            <w:rFonts w:cs="Arial"/>
            <w:color w:val="000000" w:themeColor="text1"/>
            <w:szCs w:val="22"/>
          </w:rPr>
          <w:fldChar w:fldCharType="begin"/>
        </w:r>
        <w:r w:rsidR="009A7AB4">
          <w:rPr>
            <w:rFonts w:cs="Arial"/>
            <w:color w:val="000000" w:themeColor="text1"/>
            <w:szCs w:val="22"/>
          </w:rPr>
          <w:instrText xml:space="preserve"> ADDIN EN.CITE &lt;EndNote&gt;&lt;Cite&gt;&lt;Author&gt;Ku&lt;/Author&gt;&lt;Year&gt;1966&lt;/Year&gt;&lt;RecNum&gt;10906&lt;/RecNum&gt;&lt;DisplayText&gt;Ku 1966&lt;/DisplayText&gt;&lt;record&gt;&lt;rec-number&gt;10906&lt;/rec-number&gt;&lt;foreign-keys&gt;&lt;key app="EN" db-id="0eve55x9y5vfd6e9dacxtew4eatve2dzds9a" timestamp="1487903579"&gt;10906&lt;/key&gt;&lt;/foreign-keys&gt;&lt;ref-type name="Journal Article"&gt;17&lt;/ref-type&gt;&lt;contributors&gt;&lt;authors&gt;&lt;author&gt;Ku, H. H.&lt;/author&gt;&lt;/authors&gt;&lt;/contributors&gt;&lt;titles&gt;&lt;title&gt;Notes on the use of propagation of error formulas&lt;/title&gt;&lt;secondary-title&gt;Journal of Research of the National Bureau of Standards. Section C: Engineering and Instrumentation&lt;/secondary-title&gt;&lt;/titles&gt;&lt;periodical&gt;&lt;full-title&gt;Journal of Research of the National Bureau of Standards. Section C: Engineering and Instrumentation&lt;/full-title&gt;&lt;/periodical&gt;&lt;pages&gt;263-273&lt;/pages&gt;&lt;volume&gt;70C&lt;/volume&gt;&lt;number&gt;4&lt;/number&gt;&lt;dates&gt;&lt;year&gt;1966&lt;/year&gt;&lt;pub-dates&gt;&lt;date&gt;10//&lt;/date&gt;&lt;/pub-dates&gt;&lt;/dates&gt;&lt;isbn&gt;0022-4316&lt;/isbn&gt;&lt;urls&gt;&lt;/urls&gt;&lt;electronic-resource-num&gt;citeulike-article-id:11657425&lt;/electronic-resource-num&gt;&lt;/record&gt;&lt;/Cite&gt;&lt;/EndNote&gt;</w:instrText>
        </w:r>
        <w:r w:rsidR="009A7AB4">
          <w:rPr>
            <w:rFonts w:cs="Arial"/>
            <w:color w:val="000000" w:themeColor="text1"/>
            <w:szCs w:val="22"/>
          </w:rPr>
          <w:fldChar w:fldCharType="separate"/>
        </w:r>
        <w:r w:rsidR="009A7AB4">
          <w:rPr>
            <w:rFonts w:cs="Arial"/>
            <w:noProof/>
            <w:color w:val="000000" w:themeColor="text1"/>
            <w:szCs w:val="22"/>
          </w:rPr>
          <w:t>Ku 1966</w:t>
        </w:r>
        <w:r w:rsidR="009A7AB4">
          <w:rPr>
            <w:rFonts w:cs="Arial"/>
            <w:color w:val="000000" w:themeColor="text1"/>
            <w:szCs w:val="22"/>
          </w:rPr>
          <w:fldChar w:fldCharType="end"/>
        </w:r>
      </w:hyperlink>
      <w:r w:rsidRPr="001905B0">
        <w:rPr>
          <w:rFonts w:cs="Arial"/>
          <w:color w:val="000000" w:themeColor="text1"/>
          <w:szCs w:val="22"/>
        </w:rPr>
        <w:t>). The same propagation of error approach was applied to the annual seagrass report card scores to calculate a more exact measure of uncertainty in the three seagrass indicators and overall index.</w:t>
      </w:r>
    </w:p>
    <w:p w14:paraId="7613AB65" w14:textId="7156E9CC" w:rsidR="007F5DF1" w:rsidRPr="001905B0" w:rsidRDefault="0034227D" w:rsidP="007F5DF1">
      <w:pPr>
        <w:rPr>
          <w:rFonts w:cs="Arial"/>
          <w:color w:val="000000" w:themeColor="text1"/>
          <w:szCs w:val="22"/>
        </w:rPr>
      </w:pPr>
      <w:r w:rsidRPr="001905B0">
        <w:rPr>
          <w:rFonts w:cs="Arial"/>
          <w:color w:val="000000" w:themeColor="text1"/>
          <w:szCs w:val="22"/>
        </w:rPr>
        <w:t xml:space="preserve">Results </w:t>
      </w:r>
      <w:r w:rsidR="007F5DF1" w:rsidRPr="001905B0">
        <w:rPr>
          <w:rFonts w:cs="Arial"/>
          <w:color w:val="000000" w:themeColor="text1"/>
          <w:szCs w:val="22"/>
        </w:rPr>
        <w:t xml:space="preserve">are presented to reveal temporal changes in seagrass community attributes and key environmental variables. Generalised additive mixed effects models (GAMMs) </w:t>
      </w:r>
      <w:r w:rsidR="002B4EA4" w:rsidRPr="001905B0">
        <w:rPr>
          <w:rFonts w:cs="Arial"/>
          <w:color w:val="000000" w:themeColor="text1"/>
          <w:szCs w:val="22"/>
        </w:rPr>
        <w:t>are</w:t>
      </w:r>
      <w:r w:rsidR="007F5DF1" w:rsidRPr="001905B0">
        <w:rPr>
          <w:rFonts w:cs="Arial"/>
          <w:color w:val="000000" w:themeColor="text1"/>
          <w:szCs w:val="22"/>
        </w:rPr>
        <w:t xml:space="preserve"> fitted to seagrass attributes for each habitat and NRM, to identify the presence and consistency of trends, using the mgcv (</w:t>
      </w:r>
      <w:hyperlink w:anchor="_ENREF_159" w:tooltip="Wood, 2006 #10039"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&lt;EndNote&gt;&lt;Cite&gt;&lt;Author&gt;Wood&lt;/Author&gt;&lt;Year&gt;2006&lt;/Year&gt;&lt;RecNum&gt;10039&lt;/RecNum&gt;&lt;DisplayText&gt;Wood 2006&lt;/DisplayText&gt;&lt;record&gt;&lt;rec-number&gt;10039&lt;/rec-number&gt;&lt;foreign-keys&gt;&lt;key app="EN" db-id="0eve55x9y5vfd6e9dacxtew4eatve2dzds9a" timestamp="1418705276"&gt;10039&lt;/key&gt;&lt;/foreign-keys&gt;&lt;ref-type name="Book"&gt;6&lt;/ref-type&gt;&lt;contributors&gt;&lt;authors&gt;&lt;author&gt;Wood, Simon N&lt;/author&gt;&lt;/authors&gt;&lt;/contributors&gt;&lt;titles&gt;&lt;title&gt;Generalized Additive Models: An Introduction with R&lt;/title&gt;&lt;/titles&gt;&lt;dates&gt;&lt;year&gt;2006&lt;/year&gt;&lt;/dates&gt;&lt;publisher&gt;Chapman &amp;amp; Hall/CRC&lt;/publisher&gt;&lt;urls&gt;&lt;/urls&gt;&lt;/record&gt;&lt;/Cite&gt;&lt;/EndNote&gt;</w:instrText>
        </w:r>
        <w:r w:rsidR="009A7AB4" w:rsidRPr="001905B0">
          <w:rPr>
            <w:rFonts w:cs="Arial"/>
            <w:color w:val="000000" w:themeColor="text1"/>
            <w:szCs w:val="22"/>
          </w:rPr>
          <w:fldChar w:fldCharType="separate"/>
        </w:r>
        <w:r w:rsidR="009A7AB4" w:rsidRPr="001905B0">
          <w:rPr>
            <w:rFonts w:cs="Arial"/>
            <w:color w:val="000000" w:themeColor="text1"/>
            <w:szCs w:val="22"/>
          </w:rPr>
          <w:t>Wood 2006</w:t>
        </w:r>
        <w:r w:rsidR="009A7AB4" w:rsidRPr="001905B0">
          <w:rPr>
            <w:rFonts w:cs="Arial"/>
            <w:color w:val="000000" w:themeColor="text1"/>
            <w:szCs w:val="22"/>
          </w:rPr>
          <w:fldChar w:fldCharType="end"/>
        </w:r>
      </w:hyperlink>
      <w:r w:rsidR="007F5DF1" w:rsidRPr="001905B0">
        <w:rPr>
          <w:rFonts w:cs="Arial"/>
          <w:color w:val="000000" w:themeColor="text1"/>
          <w:szCs w:val="22"/>
        </w:rPr>
        <w:t>;</w:t>
      </w:r>
      <w:hyperlink w:anchor="_ENREF_158" w:tooltip="Wood, 2014 #10474"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&lt;EndNote&gt;&lt;Cite&gt;&lt;Author&gt;Wood&lt;/Author&gt;&lt;Year&gt;2014&lt;/Year&gt;&lt;RecNum&gt;10474&lt;/RecNum&gt;&lt;DisplayText&gt;Wood 2014&lt;/DisplayText&gt;&lt;record&gt;&lt;rec-number&gt;10474&lt;/rec-number&gt;&lt;foreign-keys&gt;&lt;key app="EN" db-id="0eve55x9y5vfd6e9dacxtew4eatve2dzds9a" timestamp="1453680375"&gt;10474&lt;/key&gt;&lt;/foreign-keys&gt;&lt;ref-type name="Journal Article"&gt;17&lt;/ref-type&gt;&lt;contributors&gt;&lt;authors&gt;&lt;author&gt;Wood, S&lt;/author&gt;&lt;/authors&gt;&lt;/contributors&gt;&lt;titles&gt;&lt;title&gt;Mixed GAM Computation Vehicle with GCV/AIC/REML Smoothness Estimation, version 1.8-9&lt;/title&gt;&lt;secondary-title&gt;Comprehensive R Archive Network&lt;/secondary-title&gt;&lt;/titles&gt;&lt;periodical&gt;&lt;full-title&gt;Comprehensive R Archive Network&lt;/full-title&gt;&lt;/periodical&gt;&lt;pages&gt;10&lt;/pages&gt;&lt;number&gt;cran.r-project.org&lt;/number&gt;&lt;dates&gt;&lt;year&gt;2014&lt;/year&gt;&lt;/dates&gt;&lt;urls&gt;&lt;/urls&gt;&lt;/record&gt;&lt;/Cite&gt;&lt;/EndNote&gt;</w:instrText>
        </w:r>
        <w:r w:rsidR="009A7AB4" w:rsidRPr="001905B0">
          <w:rPr>
            <w:rFonts w:cs="Arial"/>
            <w:color w:val="000000" w:themeColor="text1"/>
            <w:szCs w:val="22"/>
          </w:rPr>
          <w:fldChar w:fldCharType="separate"/>
        </w:r>
        <w:r w:rsidR="009A7AB4" w:rsidRPr="001905B0">
          <w:rPr>
            <w:rFonts w:cs="Arial"/>
            <w:color w:val="000000" w:themeColor="text1"/>
            <w:szCs w:val="22"/>
          </w:rPr>
          <w:t>Wood 2014</w:t>
        </w:r>
        <w:r w:rsidR="009A7AB4" w:rsidRPr="001905B0">
          <w:rPr>
            <w:rFonts w:cs="Arial"/>
            <w:color w:val="000000" w:themeColor="text1"/>
            <w:szCs w:val="22"/>
          </w:rPr>
          <w:fldChar w:fldCharType="end"/>
        </w:r>
      </w:hyperlink>
      <w:r w:rsidR="007F5DF1" w:rsidRPr="001905B0">
        <w:rPr>
          <w:rFonts w:cs="Arial"/>
          <w:color w:val="000000" w:themeColor="text1"/>
          <w:szCs w:val="22"/>
        </w:rPr>
        <w:t>) package in R 3.4.3 (</w:t>
      </w:r>
      <w:hyperlink w:anchor="_ENREF_130" w:tooltip="R Core Team, 2014 #10041"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&lt;EndNote&gt;&lt;Cite&gt;&lt;Author&gt;R Core Team&lt;/Author&gt;&lt;Year&gt;2014&lt;/Year&gt;&lt;RecNum&gt;10041&lt;/RecNum&gt;&lt;DisplayText&gt;R Core Team 2014&lt;/DisplayText&gt;&lt;record&gt;&lt;rec-number&gt;10041&lt;/rec-number&gt;&lt;foreign-keys&gt;&lt;key app="EN" db-id="0eve55x9y5vfd6e9dacxtew4eatve2dzds9a" timestamp="1418705505"&gt;10041&lt;/key&gt;&lt;/foreign-keys&gt;&lt;ref-type name="Electronic Book"&gt;44&lt;/ref-type&gt;&lt;contributors&gt;&lt;authors&gt;&lt;author&gt;R Core Team,&lt;/author&gt;&lt;/authors&gt;&lt;/contributors&gt;&lt;titles&gt;&lt;title&gt;R: A language and environment for statistical computing.&lt;/title&gt;&lt;/titles&gt;&lt;dates&gt;&lt;year&gt;2014&lt;/year&gt;&lt;/dates&gt;&lt;pub-location&gt;Vienna, Austria&lt;/pub-location&gt;&lt;publisher&gt;R Foundation for Statistical Computing&lt;/publisher&gt;&lt;urls&gt;&lt;related-urls&gt;&lt;url&gt;http://www.R-project.org/.&lt;/url&gt;&lt;/related-urls&gt;&lt;/urls&gt;&lt;/record&gt;&lt;/Cite&gt;&lt;/EndNote&gt;</w:instrText>
        </w:r>
        <w:r w:rsidR="009A7AB4" w:rsidRPr="001905B0">
          <w:rPr>
            <w:rFonts w:cs="Arial"/>
            <w:color w:val="000000" w:themeColor="text1"/>
            <w:szCs w:val="22"/>
          </w:rPr>
          <w:fldChar w:fldCharType="separate"/>
        </w:r>
        <w:r w:rsidR="009A7AB4" w:rsidRPr="001905B0">
          <w:rPr>
            <w:rFonts w:cs="Arial"/>
            <w:color w:val="000000" w:themeColor="text1"/>
            <w:szCs w:val="22"/>
          </w:rPr>
          <w:t>R Core Team 2014</w:t>
        </w:r>
        <w:r w:rsidR="009A7AB4" w:rsidRPr="001905B0">
          <w:rPr>
            <w:rFonts w:cs="Arial"/>
            <w:color w:val="000000" w:themeColor="text1"/>
            <w:szCs w:val="22"/>
          </w:rPr>
          <w:fldChar w:fldCharType="end"/>
        </w:r>
      </w:hyperlink>
      <w:r w:rsidR="007F5DF1" w:rsidRPr="001905B0">
        <w:rPr>
          <w:rFonts w:cs="Arial"/>
          <w:color w:val="000000" w:themeColor="text1"/>
          <w:szCs w:val="22"/>
        </w:rPr>
        <w:t>). GAMMs (</w:t>
      </w:r>
      <w:hyperlink w:anchor="_ENREF_159" w:tooltip="Wood, 2006 #10039"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&lt;EndNote&gt;&lt;Cite&gt;&lt;Author&gt;Wood&lt;/Author&gt;&lt;Year&gt;2006&lt;/Year&gt;&lt;RecNum&gt;10039&lt;/RecNum&gt;&lt;DisplayText&gt;Wood 2006&lt;/DisplayText&gt;&lt;record&gt;&lt;rec-number&gt;10039&lt;/rec-number&gt;&lt;foreign-keys&gt;&lt;key app="EN" db-id="0eve55x9y5vfd6e9dacxtew4eatve2dzds9a" timestamp="1418705276"&gt;10039&lt;/key&gt;&lt;/foreign-keys&gt;&lt;ref-type name="Book"&gt;6&lt;/ref-type&gt;&lt;contributors&gt;&lt;authors&gt;&lt;author&gt;Wood, Simon N&lt;/author&gt;&lt;/authors&gt;&lt;/contributors&gt;&lt;titles&gt;&lt;title&gt;Generalized Additive Models: An Introduction with R&lt;/title&gt;&lt;/titles&gt;&lt;dates&gt;&lt;year&gt;2006&lt;/year&gt;&lt;/dates&gt;&lt;publisher&gt;Chapman &amp;amp; Hall/CRC&lt;/publisher&gt;&lt;urls&gt;&lt;/urls&gt;&lt;/record&gt;&lt;/Cite&gt;&lt;/EndNote&gt;</w:instrText>
        </w:r>
        <w:r w:rsidR="009A7AB4" w:rsidRPr="001905B0">
          <w:rPr>
            <w:rFonts w:cs="Arial"/>
            <w:color w:val="000000" w:themeColor="text1"/>
            <w:szCs w:val="22"/>
          </w:rPr>
          <w:fldChar w:fldCharType="separate"/>
        </w:r>
        <w:r w:rsidR="009A7AB4" w:rsidRPr="001905B0">
          <w:rPr>
            <w:rFonts w:cs="Arial"/>
            <w:color w:val="000000" w:themeColor="text1"/>
            <w:szCs w:val="22"/>
          </w:rPr>
          <w:t>Wood 2006</w:t>
        </w:r>
        <w:r w:rsidR="009A7AB4" w:rsidRPr="001905B0">
          <w:rPr>
            <w:rFonts w:cs="Arial"/>
            <w:color w:val="000000" w:themeColor="text1"/>
            <w:szCs w:val="22"/>
          </w:rPr>
          <w:fldChar w:fldCharType="end"/>
        </w:r>
      </w:hyperlink>
      <w:r w:rsidR="007F5DF1" w:rsidRPr="001905B0">
        <w:rPr>
          <w:rFonts w:cs="Arial"/>
          <w:color w:val="000000" w:themeColor="text1"/>
          <w:szCs w:val="22"/>
        </w:rPr>
        <w:t xml:space="preserve">) were used to </w:t>
      </w:r>
      <w:r w:rsidR="00357E36">
        <w:rPr>
          <w:rFonts w:cs="Arial"/>
          <w:color w:val="000000" w:themeColor="text1"/>
          <w:szCs w:val="22"/>
        </w:rPr>
        <w:t>interrogate</w:t>
      </w:r>
      <w:r w:rsidR="007F5DF1" w:rsidRPr="001905B0">
        <w:rPr>
          <w:rFonts w:cs="Arial"/>
          <w:color w:val="000000" w:themeColor="text1"/>
          <w:szCs w:val="22"/>
        </w:rPr>
        <w:t xml:space="preserve"> the </w:t>
      </w:r>
      <w:r w:rsidR="002B4EA4" w:rsidRPr="001905B0">
        <w:rPr>
          <w:rFonts w:cs="Arial"/>
          <w:color w:val="000000" w:themeColor="text1"/>
          <w:szCs w:val="22"/>
        </w:rPr>
        <w:t>irregularly-</w:t>
      </w:r>
      <w:r w:rsidR="007F5DF1" w:rsidRPr="001905B0">
        <w:rPr>
          <w:rFonts w:cs="Arial"/>
          <w:color w:val="000000" w:themeColor="text1"/>
          <w:szCs w:val="22"/>
        </w:rPr>
        <w:t xml:space="preserve">spaced </w:t>
      </w:r>
      <w:r w:rsidR="002B4EA4" w:rsidRPr="001905B0">
        <w:rPr>
          <w:rFonts w:cs="Arial"/>
          <w:color w:val="000000" w:themeColor="text1"/>
          <w:szCs w:val="22"/>
        </w:rPr>
        <w:t>time-</w:t>
      </w:r>
      <w:r w:rsidR="007F5DF1" w:rsidRPr="001905B0">
        <w:rPr>
          <w:rFonts w:cs="Arial"/>
          <w:color w:val="000000" w:themeColor="text1"/>
          <w:szCs w:val="22"/>
        </w:rPr>
        <w:t xml:space="preserve">series into its trend cycles (long-term) and periodic (seasonal) components. </w:t>
      </w:r>
    </w:p>
    <w:p w14:paraId="6BA328F1" w14:textId="61BF79E4" w:rsidR="007F5DF1" w:rsidRPr="001905B0" w:rsidRDefault="007F5DF1" w:rsidP="007F5DF1">
      <w:pPr>
        <w:rPr>
          <w:rFonts w:cs="Arial"/>
          <w:color w:val="000000" w:themeColor="text1"/>
          <w:szCs w:val="22"/>
        </w:rPr>
      </w:pPr>
      <w:r w:rsidRPr="001905B0">
        <w:rPr>
          <w:rFonts w:cs="Arial"/>
          <w:color w:val="000000" w:themeColor="text1"/>
          <w:szCs w:val="22"/>
        </w:rPr>
        <w:t xml:space="preserve">GAMMs are an extension of additive models, which allow flexible modelling of non-linear relationships by incorporating penalized regression spline types of smoothing functions into the estimation process. The degree of smoothing of </w:t>
      </w:r>
      <w:r w:rsidRPr="001905B0">
        <w:rPr>
          <w:rFonts w:cs="Arial"/>
          <w:color w:val="000000" w:themeColor="text1"/>
          <w:szCs w:val="22"/>
        </w:rPr>
        <w:lastRenderedPageBreak/>
        <w:t>each smooth term (and by extension, the estimated degrees of freedom of each smoother) is treated as a random effect and thus estimable via its variance as with other effects in a mixed modelling structure (</w:t>
      </w:r>
      <w:hyperlink w:anchor="_ENREF_159" w:tooltip="Wood, 2006 #10039"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&lt;EndNote&gt;&lt;Cite&gt;&lt;Author&gt;Wood&lt;/Author&gt;&lt;Year&gt;2006&lt;/Year&gt;&lt;RecNum&gt;10039&lt;/RecNum&gt;&lt;DisplayText&gt;Wood 2006&lt;/DisplayText&gt;&lt;record&gt;&lt;rec-number&gt;10039&lt;/rec-number&gt;&lt;foreign-keys&gt;&lt;key app="EN" db-id="0eve55x9y5vfd6e9dacxtew4eatve2dzds9a" timestamp="1418705276"&gt;10039&lt;/key&gt;&lt;/foreign-keys&gt;&lt;ref-type name="Book"&gt;6&lt;/ref-type&gt;&lt;contributors&gt;&lt;authors&gt;&lt;author&gt;Wood, Simon N&lt;/author&gt;&lt;/authors&gt;&lt;/contributors&gt;&lt;titles&gt;&lt;title&gt;Generalized Additive Models: An Introduction with R&lt;/title&gt;&lt;/titles&gt;&lt;dates&gt;&lt;year&gt;2006&lt;/year&gt;&lt;/dates&gt;&lt;publisher&gt;Chapman &amp;amp; Hall/CRC&lt;/publisher&gt;&lt;urls&gt;&lt;/urls&gt;&lt;/record&gt;&lt;/Cite&gt;&lt;/EndNote&gt;</w:instrText>
        </w:r>
        <w:r w:rsidR="009A7AB4" w:rsidRPr="001905B0">
          <w:rPr>
            <w:rFonts w:cs="Arial"/>
            <w:color w:val="000000" w:themeColor="text1"/>
            <w:szCs w:val="22"/>
          </w:rPr>
          <w:fldChar w:fldCharType="separate"/>
        </w:r>
        <w:r w:rsidR="009A7AB4" w:rsidRPr="001905B0">
          <w:rPr>
            <w:rFonts w:cs="Arial"/>
            <w:noProof/>
            <w:color w:val="000000" w:themeColor="text1"/>
            <w:szCs w:val="22"/>
          </w:rPr>
          <w:t>Wood 2006</w:t>
        </w:r>
        <w:r w:rsidR="009A7AB4" w:rsidRPr="001905B0">
          <w:rPr>
            <w:rFonts w:cs="Arial"/>
            <w:color w:val="000000" w:themeColor="text1"/>
            <w:szCs w:val="22"/>
          </w:rPr>
          <w:fldChar w:fldCharType="end"/>
        </w:r>
      </w:hyperlink>
      <w:r w:rsidRPr="001905B0">
        <w:rPr>
          <w:rFonts w:cs="Arial"/>
          <w:color w:val="000000" w:themeColor="text1"/>
          <w:szCs w:val="22"/>
        </w:rPr>
        <w:t xml:space="preserve">). </w:t>
      </w:r>
      <w:r w:rsidR="002B4EA4" w:rsidRPr="001905B0">
        <w:rPr>
          <w:rFonts w:cs="Arial"/>
          <w:color w:val="000000" w:themeColor="text1"/>
          <w:szCs w:val="22"/>
        </w:rPr>
        <w:t xml:space="preserve">Results </w:t>
      </w:r>
      <w:r w:rsidRPr="001905B0">
        <w:rPr>
          <w:rFonts w:cs="Arial"/>
          <w:color w:val="000000" w:themeColor="text1"/>
          <w:szCs w:val="22"/>
        </w:rPr>
        <w:t>of these analyses are graphically presented in a consistent format: predicted values from the model were plotted as bold black lines, the 95</w:t>
      </w:r>
      <w:r w:rsidR="003C311A">
        <w:rPr>
          <w:rFonts w:cs="Arial"/>
          <w:color w:val="000000" w:themeColor="text1"/>
          <w:szCs w:val="22"/>
        </w:rPr>
        <w:t xml:space="preserve">% </w:t>
      </w:r>
      <w:r w:rsidRPr="001905B0">
        <w:rPr>
          <w:rFonts w:cs="Arial"/>
          <w:color w:val="000000" w:themeColor="text1"/>
          <w:szCs w:val="22"/>
        </w:rPr>
        <w:t xml:space="preserve">confidence intervals of these trends delimited by grey shading. </w:t>
      </w:r>
    </w:p>
    <w:p w14:paraId="6D668B14" w14:textId="77777777" w:rsidR="007F5DF1" w:rsidRPr="001905B0" w:rsidRDefault="007F5DF1" w:rsidP="007F5DF1">
      <w:pPr>
        <w:rPr>
          <w:rFonts w:cs="Arial"/>
          <w:color w:val="000000" w:themeColor="text1"/>
          <w:szCs w:val="22"/>
        </w:rPr>
      </w:pPr>
      <w:r w:rsidRPr="001905B0">
        <w:rPr>
          <w:rFonts w:cs="Arial"/>
          <w:color w:val="000000" w:themeColor="text1"/>
          <w:szCs w:val="22"/>
        </w:rPr>
        <w:t>Several GAMMs were used on seagrass cover and C:N ratio to tease out trends at the habitat, regional and location scale over time. The random effects were incorporated as a nested structure of quadrat within transect within site, to account for spatial correlation. As part of our regular validation process the residuals of all models were checked for violations of the generalised model assumptions. In few instances the random effects structure caused issues and the transect level had to be omitted.</w:t>
      </w:r>
    </w:p>
    <w:p w14:paraId="11F25CE7" w14:textId="67647678" w:rsidR="007F5DF1" w:rsidRPr="001905B0" w:rsidRDefault="007F5DF1" w:rsidP="007F5DF1">
      <w:pPr>
        <w:rPr>
          <w:rFonts w:cs="Arial"/>
          <w:szCs w:val="22"/>
        </w:rPr>
      </w:pPr>
      <w:r w:rsidRPr="001905B0">
        <w:rPr>
          <w:rFonts w:cs="Arial"/>
          <w:color w:val="000000" w:themeColor="text1"/>
          <w:szCs w:val="22"/>
        </w:rPr>
        <w:t>Per</w:t>
      </w:r>
      <w:r w:rsidR="00F326E4" w:rsidRPr="001905B0">
        <w:rPr>
          <w:rFonts w:cs="Arial"/>
          <w:color w:val="000000" w:themeColor="text1"/>
          <w:szCs w:val="22"/>
        </w:rPr>
        <w:t> </w:t>
      </w:r>
      <w:r w:rsidRPr="001905B0">
        <w:rPr>
          <w:rFonts w:cs="Arial"/>
          <w:color w:val="000000" w:themeColor="text1"/>
          <w:szCs w:val="22"/>
        </w:rPr>
        <w:t>cent seagrass cover data GAMMs were fitted using a quasi-binomial distribution due to the proportional (bound between 0 and 1) nature of the data. Raw data at the quadrat level was used to provide the maximum resolution for modelling. However, this led</w:t>
      </w:r>
      <w:r w:rsidR="00F30A0D">
        <w:rPr>
          <w:rFonts w:cs="Arial"/>
          <w:color w:val="000000" w:themeColor="text1"/>
          <w:szCs w:val="22"/>
        </w:rPr>
        <w:t xml:space="preserve"> to a very large proportion of zeroes</w:t>
      </w:r>
      <w:r w:rsidRPr="001905B0">
        <w:rPr>
          <w:rFonts w:cs="Arial"/>
          <w:color w:val="000000" w:themeColor="text1"/>
          <w:szCs w:val="22"/>
        </w:rPr>
        <w:t xml:space="preserve"> in some data sets causing high heterogeneity of variance for some models. </w:t>
      </w:r>
      <w:r w:rsidRPr="00592F37">
        <w:rPr>
          <w:rFonts w:cs="Arial"/>
          <w:color w:val="000000" w:themeColor="text1"/>
          <w:szCs w:val="22"/>
        </w:rPr>
        <w:t xml:space="preserve">For this reason, GAMMs for </w:t>
      </w:r>
      <w:r w:rsidR="004142AC" w:rsidRPr="00592F37">
        <w:rPr>
          <w:rFonts w:cs="Arial"/>
          <w:color w:val="000000" w:themeColor="text1"/>
          <w:szCs w:val="22"/>
        </w:rPr>
        <w:t xml:space="preserve">reproductive effort, </w:t>
      </w:r>
      <w:r w:rsidRPr="00592F37">
        <w:rPr>
          <w:rFonts w:cs="Arial"/>
          <w:color w:val="000000" w:themeColor="text1"/>
          <w:szCs w:val="22"/>
        </w:rPr>
        <w:t>epiphyte</w:t>
      </w:r>
      <w:r w:rsidR="004142AC" w:rsidRPr="00592F37">
        <w:rPr>
          <w:rFonts w:cs="Arial"/>
          <w:color w:val="000000" w:themeColor="text1"/>
          <w:szCs w:val="22"/>
        </w:rPr>
        <w:t xml:space="preserve">s, </w:t>
      </w:r>
      <w:r w:rsidRPr="00592F37">
        <w:rPr>
          <w:rFonts w:cs="Arial"/>
          <w:color w:val="000000" w:themeColor="text1"/>
          <w:szCs w:val="22"/>
        </w:rPr>
        <w:t>macroalgae cover are not presented and the inclusion in future reports of zero-inflated GAMMs is being investigated.</w:t>
      </w:r>
      <w:r w:rsidRPr="001905B0">
        <w:rPr>
          <w:rFonts w:cs="Arial"/>
          <w:color w:val="000000" w:themeColor="text1"/>
          <w:szCs w:val="22"/>
        </w:rPr>
        <w:t xml:space="preserve"> C:N data models were fitted using a gamma distribution due to the strictly positive continuous nature of the data. Here the random effects consisted of species nested </w:t>
      </w:r>
      <w:r w:rsidRPr="001905B0">
        <w:rPr>
          <w:rFonts w:cs="Arial"/>
          <w:szCs w:val="22"/>
        </w:rPr>
        <w:t>within site</w:t>
      </w:r>
      <w:r w:rsidR="009C0054" w:rsidRPr="001905B0">
        <w:rPr>
          <w:rFonts w:cs="Arial"/>
          <w:szCs w:val="22"/>
        </w:rPr>
        <w:t>.</w:t>
      </w:r>
    </w:p>
    <w:p w14:paraId="19E2CD48" w14:textId="55797E5F" w:rsidR="007F5DF1" w:rsidRPr="00990009" w:rsidRDefault="007F5DF1" w:rsidP="00990009">
      <w:pPr>
        <w:rPr>
          <w:rFonts w:ascii="Times New Roman" w:hAnsi="Times New Roman"/>
          <w:sz w:val="24"/>
        </w:rPr>
      </w:pPr>
      <w:r w:rsidRPr="001905B0">
        <w:rPr>
          <w:rFonts w:cs="Arial"/>
          <w:color w:val="000000" w:themeColor="text1"/>
          <w:szCs w:val="22"/>
        </w:rPr>
        <w:t xml:space="preserve">For the analyses of the various tissue nutrients and isotopes variables Generalised </w:t>
      </w:r>
      <w:r w:rsidR="009C0054" w:rsidRPr="001905B0">
        <w:rPr>
          <w:rFonts w:cs="Arial"/>
          <w:color w:val="000000" w:themeColor="text1"/>
          <w:szCs w:val="22"/>
        </w:rPr>
        <w:t>L</w:t>
      </w:r>
      <w:r w:rsidRPr="001905B0">
        <w:rPr>
          <w:rFonts w:cs="Arial"/>
          <w:color w:val="000000" w:themeColor="text1"/>
          <w:szCs w:val="22"/>
        </w:rPr>
        <w:t xml:space="preserve">inear </w:t>
      </w:r>
      <w:r w:rsidR="009C0054" w:rsidRPr="001905B0">
        <w:rPr>
          <w:rFonts w:cs="Arial"/>
          <w:color w:val="000000" w:themeColor="text1"/>
          <w:szCs w:val="22"/>
        </w:rPr>
        <w:t>M</w:t>
      </w:r>
      <w:r w:rsidRPr="001905B0">
        <w:rPr>
          <w:rFonts w:cs="Arial"/>
          <w:color w:val="000000" w:themeColor="text1"/>
          <w:szCs w:val="22"/>
        </w:rPr>
        <w:t xml:space="preserve">ixed </w:t>
      </w:r>
      <w:r w:rsidR="009C0054" w:rsidRPr="001905B0">
        <w:rPr>
          <w:rFonts w:cs="Arial"/>
          <w:color w:val="000000" w:themeColor="text1"/>
          <w:szCs w:val="22"/>
        </w:rPr>
        <w:t>M</w:t>
      </w:r>
      <w:r w:rsidRPr="001905B0">
        <w:rPr>
          <w:rFonts w:cs="Arial"/>
          <w:color w:val="000000" w:themeColor="text1"/>
          <w:szCs w:val="22"/>
        </w:rPr>
        <w:t>odels (GLMMs) were used instead of GAMMs as these samples are only collected once a year</w:t>
      </w:r>
      <w:r w:rsidR="00990009">
        <w:rPr>
          <w:rFonts w:cs="Arial"/>
          <w:color w:val="000000" w:themeColor="text1"/>
          <w:szCs w:val="22"/>
        </w:rPr>
        <w:t xml:space="preserve">, </w:t>
      </w:r>
      <w:r w:rsidR="00990009" w:rsidRPr="00990009">
        <w:rPr>
          <w:rFonts w:cs="Arial"/>
          <w:color w:val="000000" w:themeColor="text1"/>
          <w:szCs w:val="22"/>
        </w:rPr>
        <w:t xml:space="preserve">and </w:t>
      </w:r>
      <w:r w:rsidR="00990009" w:rsidRPr="00990009">
        <w:rPr>
          <w:rFonts w:cs="Arial"/>
          <w:color w:val="000000"/>
          <w:szCs w:val="22"/>
        </w:rPr>
        <w:t>due to the low frequency of sampling the use of a smo</w:t>
      </w:r>
      <w:r w:rsidR="00990009">
        <w:rPr>
          <w:rFonts w:cs="Arial"/>
          <w:color w:val="000000"/>
          <w:szCs w:val="22"/>
        </w:rPr>
        <w:t>o</w:t>
      </w:r>
      <w:r w:rsidR="00990009" w:rsidRPr="00990009">
        <w:rPr>
          <w:rFonts w:cs="Arial"/>
          <w:color w:val="000000"/>
          <w:szCs w:val="22"/>
        </w:rPr>
        <w:t>ther</w:t>
      </w:r>
      <w:r w:rsidR="00990009">
        <w:rPr>
          <w:rFonts w:cs="Arial"/>
          <w:color w:val="000000"/>
          <w:szCs w:val="22"/>
        </w:rPr>
        <w:t xml:space="preserve"> (GAMM)</w:t>
      </w:r>
      <w:r w:rsidR="00990009" w:rsidRPr="00990009">
        <w:rPr>
          <w:rFonts w:cs="Arial"/>
          <w:color w:val="000000"/>
          <w:szCs w:val="22"/>
        </w:rPr>
        <w:t xml:space="preserve"> is not recommended</w:t>
      </w:r>
      <w:r w:rsidRPr="00990009">
        <w:rPr>
          <w:rFonts w:cs="Arial"/>
          <w:color w:val="000000" w:themeColor="text1"/>
          <w:szCs w:val="22"/>
        </w:rPr>
        <w:t>.</w:t>
      </w:r>
      <w:r w:rsidRPr="001905B0">
        <w:rPr>
          <w:rFonts w:cs="Arial"/>
          <w:color w:val="000000" w:themeColor="text1"/>
          <w:szCs w:val="22"/>
        </w:rPr>
        <w:t xml:space="preserve"> The </w:t>
      </w:r>
      <w:r w:rsidRPr="001905B0">
        <w:rPr>
          <w:rFonts w:cs="Arial"/>
          <w:szCs w:val="22"/>
        </w:rPr>
        <w:t>tissue nutrient variables (C:N, C:P, N:P,</w:t>
      </w:r>
      <w:r w:rsidR="007C215D">
        <w:rPr>
          <w:rFonts w:cs="Arial"/>
          <w:szCs w:val="22"/>
        </w:rPr>
        <w:t xml:space="preserve"> %</w:t>
      </w:r>
      <w:r w:rsidRPr="001905B0">
        <w:rPr>
          <w:rFonts w:cs="Arial"/>
          <w:szCs w:val="22"/>
        </w:rPr>
        <w:t>N,</w:t>
      </w:r>
      <w:r w:rsidR="007C215D">
        <w:rPr>
          <w:rFonts w:cs="Arial"/>
          <w:szCs w:val="22"/>
        </w:rPr>
        <w:t xml:space="preserve"> </w:t>
      </w:r>
      <w:r w:rsidR="003C311A">
        <w:rPr>
          <w:rFonts w:cs="Arial"/>
          <w:szCs w:val="22"/>
        </w:rPr>
        <w:t>%</w:t>
      </w:r>
      <w:r w:rsidRPr="001905B0">
        <w:rPr>
          <w:rFonts w:cs="Arial"/>
          <w:szCs w:val="22"/>
        </w:rPr>
        <w:t xml:space="preserve">P) were analysed using the R-INLA </w:t>
      </w:r>
      <w:r w:rsidR="009C0054" w:rsidRPr="001905B0">
        <w:rPr>
          <w:rFonts w:cs="Arial"/>
          <w:szCs w:val="22"/>
        </w:rPr>
        <w:t>(</w:t>
      </w:r>
      <w:hyperlink w:anchor="_ENREF_136" w:tooltip="Rue, 2009 #11859" w:history="1">
        <w:r w:rsidR="009A7AB4" w:rsidRPr="001905B0">
          <w:rPr>
            <w:rFonts w:cs="Arial"/>
            <w:szCs w:val="22"/>
          </w:rPr>
          <w:fldChar w:fldCharType="begin"/>
        </w:r>
        <w:r w:rsidR="009A7AB4" w:rsidRPr="001905B0">
          <w:rPr>
            <w:rFonts w:cs="Arial"/>
            <w:szCs w:val="22"/>
          </w:rPr>
          <w:instrText xml:space="preserve"> ADDIN EN.CITE &lt;EndNote&gt;&lt;Cite&gt;&lt;Author&gt;Rue&lt;/Author&gt;&lt;Year&gt;2009&lt;/Year&gt;&lt;RecNum&gt;11859&lt;/RecNum&gt;&lt;DisplayText&gt;Rue&lt;style face="italic"&gt; et al.&lt;/style&gt; 2009&lt;/DisplayText&gt;&lt;record&gt;&lt;rec-number&gt;11859&lt;/rec-number&gt;&lt;foreign-keys&gt;&lt;key app="EN" db-id="0eve55x9y5vfd6e9dacxtew4eatve2dzds9a" timestamp="1544751959"&gt;11859&lt;/key&gt;&lt;/foreign-keys&gt;&lt;ref-type name="Journal Article"&gt;17&lt;/ref-type&gt;&lt;contributors&gt;&lt;authors&gt;&lt;author&gt;Rue, Håvard&lt;/author&gt;&lt;author&gt;Martino, Sara&lt;/author&gt;&lt;author&gt;Chopin, Nicolas&lt;/author&gt;&lt;/authors&gt;&lt;/contributors&gt;&lt;titles&gt;&lt;title&gt;Approximate Bayesian inference for latent Gaussian models by using integrated nested Laplace approximations&lt;/title&gt;&lt;secondary-title&gt;Journal of the Royal Statistical Society: Series B (Statistical Methodology)&lt;/secondary-title&gt;&lt;/titles&gt;&lt;periodical&gt;&lt;full-title&gt;Journal of the Royal Statistical Society: Series B (Statistical Methodology)&lt;/full-title&gt;&lt;/periodical&gt;&lt;pages&gt;319-392&lt;/pages&gt;&lt;volume&gt;71&lt;/volume&gt;&lt;number&gt;2&lt;/number&gt;&lt;dates&gt;&lt;year&gt;2009&lt;/year&gt;&lt;/dates&gt;&lt;urls&gt;&lt;related-urls&gt;&lt;url&gt;https://rss.onlinelibrary.wiley.com/doi/abs/10.1111/j.1467-9868.2008.00700.x&lt;/url&gt;&lt;/related-urls&gt;&lt;/urls&gt;&lt;electronic-resource-num&gt;doi:10.1111/j.1467-9868.2008.00700.x&lt;/electronic-resource-num&gt;&lt;/record&gt;&lt;/Cite&gt;&lt;/EndNote&gt;</w:instrText>
        </w:r>
        <w:r w:rsidR="009A7AB4" w:rsidRPr="001905B0">
          <w:rPr>
            <w:rFonts w:cs="Arial"/>
            <w:szCs w:val="22"/>
          </w:rPr>
          <w:fldChar w:fldCharType="separate"/>
        </w:r>
        <w:r w:rsidR="009A7AB4" w:rsidRPr="001905B0">
          <w:rPr>
            <w:rFonts w:cs="Arial"/>
            <w:noProof/>
            <w:szCs w:val="22"/>
          </w:rPr>
          <w:t>Rue</w:t>
        </w:r>
        <w:r w:rsidR="009A7AB4" w:rsidRPr="001905B0">
          <w:rPr>
            <w:rFonts w:cs="Arial"/>
            <w:i/>
            <w:noProof/>
            <w:szCs w:val="22"/>
          </w:rPr>
          <w:t xml:space="preserve"> et al.</w:t>
        </w:r>
        <w:r w:rsidR="009A7AB4" w:rsidRPr="001905B0">
          <w:rPr>
            <w:rFonts w:cs="Arial"/>
            <w:noProof/>
            <w:szCs w:val="22"/>
          </w:rPr>
          <w:t xml:space="preserve"> 2009</w:t>
        </w:r>
        <w:r w:rsidR="009A7AB4" w:rsidRPr="001905B0">
          <w:rPr>
            <w:rFonts w:cs="Arial"/>
            <w:szCs w:val="22"/>
          </w:rPr>
          <w:fldChar w:fldCharType="end"/>
        </w:r>
      </w:hyperlink>
      <w:r w:rsidR="009C0054" w:rsidRPr="001905B0">
        <w:rPr>
          <w:rFonts w:cs="Arial"/>
          <w:szCs w:val="22"/>
        </w:rPr>
        <w:t xml:space="preserve">) </w:t>
      </w:r>
      <w:r w:rsidRPr="001905B0">
        <w:rPr>
          <w:rFonts w:cs="Arial"/>
          <w:szCs w:val="22"/>
        </w:rPr>
        <w:t>package with a gamma distribution and the isotopes variables (</w:t>
      </w:r>
      <w:r w:rsidRPr="001905B0">
        <w:rPr>
          <w:rFonts w:cs="Arial"/>
          <w:szCs w:val="22"/>
        </w:rPr>
        <w:sym w:font="Symbol" w:char="F064"/>
      </w:r>
      <w:r w:rsidRPr="001905B0">
        <w:rPr>
          <w:rFonts w:cs="Arial"/>
          <w:szCs w:val="22"/>
          <w:vertAlign w:val="superscript"/>
        </w:rPr>
        <w:t>13</w:t>
      </w:r>
      <w:r w:rsidRPr="001905B0">
        <w:rPr>
          <w:rFonts w:cs="Arial"/>
          <w:szCs w:val="22"/>
        </w:rPr>
        <w:t xml:space="preserve">C and </w:t>
      </w:r>
      <w:r w:rsidRPr="001905B0">
        <w:rPr>
          <w:rFonts w:cs="Arial"/>
          <w:szCs w:val="22"/>
        </w:rPr>
        <w:sym w:font="Symbol" w:char="F064"/>
      </w:r>
      <w:r w:rsidRPr="001905B0">
        <w:rPr>
          <w:rFonts w:cs="Arial"/>
          <w:szCs w:val="22"/>
          <w:vertAlign w:val="superscript"/>
        </w:rPr>
        <w:t>15</w:t>
      </w:r>
      <w:r w:rsidRPr="001905B0">
        <w:rPr>
          <w:rFonts w:cs="Arial"/>
          <w:szCs w:val="22"/>
        </w:rPr>
        <w:t xml:space="preserve">N) with a </w:t>
      </w:r>
      <w:r w:rsidR="009E0200" w:rsidRPr="001905B0">
        <w:rPr>
          <w:rFonts w:cs="Arial"/>
          <w:color w:val="000000" w:themeColor="text1"/>
          <w:szCs w:val="22"/>
        </w:rPr>
        <w:t>Gaussian</w:t>
      </w:r>
      <w:r w:rsidRPr="001905B0">
        <w:rPr>
          <w:rFonts w:cs="Arial"/>
          <w:color w:val="000000" w:themeColor="text1"/>
          <w:szCs w:val="22"/>
        </w:rPr>
        <w:t xml:space="preserve"> distribution. </w:t>
      </w:r>
      <w:r w:rsidR="003A03FE" w:rsidRPr="001905B0">
        <w:rPr>
          <w:rFonts w:cs="Arial"/>
          <w:color w:val="000000" w:themeColor="text1"/>
          <w:szCs w:val="22"/>
        </w:rPr>
        <w:t>Similarly,</w:t>
      </w:r>
      <w:r w:rsidRPr="001905B0">
        <w:rPr>
          <w:rFonts w:cs="Arial"/>
          <w:color w:val="000000" w:themeColor="text1"/>
          <w:szCs w:val="22"/>
        </w:rPr>
        <w:t xml:space="preserve"> to the C:N GAMMs, the random effects consisted of species nested within site.</w:t>
      </w:r>
    </w:p>
    <w:p w14:paraId="2CEA01F3" w14:textId="5F589867" w:rsidR="007F5DF1" w:rsidRPr="001905B0" w:rsidRDefault="007F5DF1" w:rsidP="007F5DF1">
      <w:pPr>
        <w:rPr>
          <w:rFonts w:cs="Arial"/>
          <w:color w:val="000000" w:themeColor="text1"/>
          <w:szCs w:val="22"/>
        </w:rPr>
      </w:pPr>
      <w:r w:rsidRPr="001905B0">
        <w:rPr>
          <w:rFonts w:cs="Arial"/>
          <w:color w:val="000000" w:themeColor="text1"/>
          <w:szCs w:val="22"/>
        </w:rPr>
        <w:lastRenderedPageBreak/>
        <w:t>Trend analysis was conducted to determine if there was a significant trend (reduction or increase) in seagrass abundance (</w:t>
      </w:r>
      <w:r w:rsidR="007F7222">
        <w:rPr>
          <w:rFonts w:cs="Arial"/>
          <w:color w:val="000000" w:themeColor="text1"/>
          <w:szCs w:val="22"/>
        </w:rPr>
        <w:t>per cent</w:t>
      </w:r>
      <w:r w:rsidRPr="001905B0">
        <w:rPr>
          <w:rFonts w:cs="Arial"/>
          <w:color w:val="000000" w:themeColor="text1"/>
          <w:szCs w:val="22"/>
        </w:rPr>
        <w:t xml:space="preserve"> cover) at a particular site (averaged by sampling event) over all time periods. A Mann-Kendall test was performed using the “trend” package in R 3.2.1 (</w:t>
      </w:r>
      <w:hyperlink w:anchor="_ENREF_130" w:tooltip="R Core Team, 2014 #10041" w:history="1">
        <w:r w:rsidR="009A7AB4">
          <w:rPr>
            <w:rFonts w:cs="Arial"/>
            <w:color w:val="000000" w:themeColor="text1"/>
            <w:szCs w:val="22"/>
          </w:rPr>
          <w:fldChar w:fldCharType="begin"/>
        </w:r>
        <w:r w:rsidR="009A7AB4">
          <w:rPr>
            <w:rFonts w:cs="Arial"/>
            <w:color w:val="000000" w:themeColor="text1"/>
            <w:szCs w:val="22"/>
          </w:rPr>
          <w:instrText xml:space="preserve"> ADDIN EN.CITE &lt;EndNote&gt;&lt;Cite&gt;&lt;Author&gt;R Core Team&lt;/Author&gt;&lt;Year&gt;2014&lt;/Year&gt;&lt;RecNum&gt;10041&lt;/RecNum&gt;&lt;DisplayText&gt;R Core Team 2014&lt;/DisplayText&gt;&lt;record&gt;&lt;rec-number&gt;10041&lt;/rec-number&gt;&lt;foreign-keys&gt;&lt;key app="EN" db-id="0eve55x9y5vfd6e9dacxtew4eatve2dzds9a" timestamp="1418705505"&gt;10041&lt;/key&gt;&lt;/foreign-keys&gt;&lt;ref-type name="Electronic Book"&gt;44&lt;/ref-type&gt;&lt;contributors&gt;&lt;authors&gt;&lt;author&gt;R Core Team,&lt;/author&gt;&lt;/authors&gt;&lt;/contributors&gt;&lt;titles&gt;&lt;title&gt;R: A language and environment for statistical computing.&lt;/title&gt;&lt;/titles&gt;&lt;dates&gt;&lt;year&gt;2014&lt;/year&gt;&lt;/dates&gt;&lt;pub-location&gt;Vienna, Austria&lt;/pub-location&gt;&lt;publisher&gt;R Foundation for Statistical Computing&lt;/publisher&gt;&lt;urls&gt;&lt;related-urls&gt;&lt;url&gt;http://www.R-project.org/.&lt;/url&gt;&lt;/related-urls&gt;&lt;/urls&gt;&lt;/record&gt;&lt;/Cite&gt;&lt;/EndNote&gt;</w:instrText>
        </w:r>
        <w:r w:rsidR="009A7AB4">
          <w:rPr>
            <w:rFonts w:cs="Arial"/>
            <w:color w:val="000000" w:themeColor="text1"/>
            <w:szCs w:val="22"/>
          </w:rPr>
          <w:fldChar w:fldCharType="separate"/>
        </w:r>
        <w:r w:rsidR="009A7AB4">
          <w:rPr>
            <w:rFonts w:cs="Arial"/>
            <w:noProof/>
            <w:color w:val="000000" w:themeColor="text1"/>
            <w:szCs w:val="22"/>
          </w:rPr>
          <w:t>R Core Team 2014</w:t>
        </w:r>
        <w:r w:rsidR="009A7AB4">
          <w:rPr>
            <w:rFonts w:cs="Arial"/>
            <w:color w:val="000000" w:themeColor="text1"/>
            <w:szCs w:val="22"/>
          </w:rPr>
          <w:fldChar w:fldCharType="end"/>
        </w:r>
      </w:hyperlink>
      <w:r w:rsidRPr="001905B0">
        <w:rPr>
          <w:rFonts w:cs="Arial"/>
          <w:color w:val="000000" w:themeColor="text1"/>
          <w:szCs w:val="22"/>
        </w:rPr>
        <w:t>). Mann-Kendall is a common non-parametric test used to detect overall trends over time. The measure of the ranked correlation is the Kendall’s tau coefficient (Kendall-</w:t>
      </w:r>
      <w:r w:rsidRPr="001905B0">
        <w:rPr>
          <w:rFonts w:cs="Arial"/>
          <w:i/>
          <w:color w:val="000000" w:themeColor="text1"/>
          <w:szCs w:val="22"/>
        </w:rPr>
        <w:t>τ</w:t>
      </w:r>
      <w:r w:rsidRPr="001905B0">
        <w:rPr>
          <w:rFonts w:cs="Arial"/>
          <w:color w:val="000000" w:themeColor="text1"/>
          <w:szCs w:val="22"/>
        </w:rPr>
        <w:t xml:space="preserve">), which is the proportion of up-movements against time vs the proportion of down-movements, looking at all possible pairwise time-differences. As the test assumes independence between observations, data was checked for autocorrelation and if present a corrected </w:t>
      </w:r>
      <w:r w:rsidRPr="001905B0">
        <w:rPr>
          <w:rFonts w:cs="Arial"/>
          <w:i/>
          <w:color w:val="000000" w:themeColor="text1"/>
          <w:szCs w:val="22"/>
        </w:rPr>
        <w:t>p</w:t>
      </w:r>
      <w:r w:rsidRPr="001905B0">
        <w:rPr>
          <w:rFonts w:cs="Arial"/>
          <w:color w:val="000000" w:themeColor="text1"/>
          <w:szCs w:val="22"/>
        </w:rPr>
        <w:t>-value was calculated using the “modifiedmk” package (</w:t>
      </w:r>
      <w:hyperlink w:anchor="_ENREF_70" w:tooltip="Hamed, 1998 #12282" w:history="1">
        <w:r w:rsidR="009A7AB4">
          <w:rPr>
            <w:rFonts w:cs="Arial"/>
            <w:color w:val="000000" w:themeColor="text1"/>
            <w:szCs w:val="22"/>
          </w:rPr>
          <w:fldChar w:fldCharType="begin"/>
        </w:r>
        <w:r w:rsidR="009A7AB4">
          <w:rPr>
            <w:rFonts w:cs="Arial"/>
            <w:color w:val="000000" w:themeColor="text1"/>
            <w:szCs w:val="22"/>
          </w:rPr>
          <w:instrText xml:space="preserve"> ADDIN EN.CITE &lt;EndNote&gt;&lt;Cite&gt;&lt;Author&gt;Hamed&lt;/Author&gt;&lt;Year&gt;1998&lt;/Year&gt;&lt;RecNum&gt;12282&lt;/RecNum&gt;&lt;DisplayText&gt;Hamed and Rao 1998&lt;/DisplayText&gt;&lt;record&gt;&lt;rec-number&gt;12282&lt;/rec-number&gt;&lt;foreign-keys&gt;&lt;key app="EN" db-id="0eve55x9y5vfd6e9dacxtew4eatve2dzds9a" timestamp="1576804853"&gt;12282&lt;/key&gt;&lt;/foreign-keys&gt;&lt;ref-type name="Journal Article"&gt;17&lt;/ref-type&gt;&lt;contributors&gt;&lt;authors&gt;&lt;author&gt;Hamed, Khaled H.&lt;/author&gt;&lt;author&gt;Rao, A. Ramachandra&lt;/author&gt;&lt;/authors&gt;&lt;/contributors&gt;&lt;titles&gt;&lt;title&gt;A modified Mann-Kendall trend test for autocorrelated data&lt;/title&gt;&lt;secondary-title&gt;Journal of Hydrology&lt;/secondary-title&gt;&lt;/titles&gt;&lt;periodical&gt;&lt;full-title&gt;Journal of Hydrology&lt;/full-title&gt;&lt;/periodical&gt;&lt;pages&gt;182-196&lt;/pages&gt;&lt;volume&gt;204&lt;/volume&gt;&lt;number&gt;1&lt;/number&gt;&lt;keywords&gt;&lt;keyword&gt;Time series analysis&lt;/keyword&gt;&lt;keyword&gt;Trend analysis&lt;/keyword&gt;&lt;keyword&gt;Autocorrelation&lt;/keyword&gt;&lt;keyword&gt;Rainfall&lt;/keyword&gt;&lt;keyword&gt;Streamflow&lt;/keyword&gt;&lt;/keywords&gt;&lt;dates&gt;&lt;year&gt;1998&lt;/year&gt;&lt;pub-dates&gt;&lt;date&gt;1998/01/30/&lt;/date&gt;&lt;/pub-dates&gt;&lt;/dates&gt;&lt;isbn&gt;0022-1694&lt;/isbn&gt;&lt;urls&gt;&lt;related-urls&gt;&lt;url&gt;http://www.sciencedirect.com/science/article/pii/S002216949700125X&lt;/url&gt;&lt;/related-urls&gt;&lt;/urls&gt;&lt;electronic-resource-num&gt;https://doi.org/10.1016/S0022-1694(97)00125-X&lt;/electronic-resource-num&gt;&lt;/record&gt;&lt;/Cite&gt;&lt;/EndNote&gt;</w:instrText>
        </w:r>
        <w:r w:rsidR="009A7AB4">
          <w:rPr>
            <w:rFonts w:cs="Arial"/>
            <w:color w:val="000000" w:themeColor="text1"/>
            <w:szCs w:val="22"/>
          </w:rPr>
          <w:fldChar w:fldCharType="separate"/>
        </w:r>
        <w:r w:rsidR="009A7AB4">
          <w:rPr>
            <w:rFonts w:cs="Arial"/>
            <w:noProof/>
            <w:color w:val="000000" w:themeColor="text1"/>
            <w:szCs w:val="22"/>
          </w:rPr>
          <w:t>Hamed and Rao 1998</w:t>
        </w:r>
        <w:r w:rsidR="009A7AB4">
          <w:rPr>
            <w:rFonts w:cs="Arial"/>
            <w:color w:val="000000" w:themeColor="text1"/>
            <w:szCs w:val="22"/>
          </w:rPr>
          <w:fldChar w:fldCharType="end"/>
        </w:r>
      </w:hyperlink>
      <w:r w:rsidRPr="001905B0">
        <w:rPr>
          <w:rFonts w:cs="Arial"/>
          <w:color w:val="000000" w:themeColor="text1"/>
          <w:szCs w:val="22"/>
        </w:rPr>
        <w:t>).</w:t>
      </w:r>
    </w:p>
    <w:p w14:paraId="5AE7D0E3" w14:textId="63FCEB0E" w:rsidR="003D1F7F" w:rsidRDefault="007F5DF1" w:rsidP="009638AE">
      <w:r w:rsidRPr="001905B0">
        <w:t>The majority of meadows have been in a "recovery mode" since losses during the periods 2008</w:t>
      </w:r>
      <w:r w:rsidR="002B4EA4" w:rsidRPr="001905B0">
        <w:t>–20</w:t>
      </w:r>
      <w:r w:rsidRPr="001905B0">
        <w:t>09 to 2010</w:t>
      </w:r>
      <w:r w:rsidR="002B4EA4" w:rsidRPr="001905B0">
        <w:t>–20</w:t>
      </w:r>
      <w:r w:rsidRPr="001905B0">
        <w:t xml:space="preserve">11. As such, there have been periods of limited sample availability (e.g. for tissue nutrients), and the absence of data has restricted whether multivariate analysis can be undertaken routinely. Analysis is currently underway to more fully interrogate the temporal and covariate components of the data as the time series of observations lengthen. </w:t>
      </w:r>
      <w:r w:rsidR="003D1F7F" w:rsidRPr="001905B0">
        <w:t xml:space="preserve"> </w:t>
      </w:r>
    </w:p>
    <w:p w14:paraId="78D258D1" w14:textId="77777777" w:rsidR="009638AE" w:rsidRPr="001905B0" w:rsidRDefault="009638AE" w:rsidP="009638AE"/>
    <w:p w14:paraId="0A457A12" w14:textId="70E809A3" w:rsidR="003D1F7F" w:rsidRPr="00DF79A6" w:rsidRDefault="003D1F7F" w:rsidP="000150D8">
      <w:pPr>
        <w:pStyle w:val="Heading2"/>
      </w:pPr>
      <w:bookmarkStart w:id="117" w:name="_Toc170191607"/>
      <w:bookmarkStart w:id="118" w:name="_Toc175991054"/>
      <w:bookmarkStart w:id="119" w:name="_Toc232845902"/>
      <w:bookmarkStart w:id="120" w:name="_Toc184101953"/>
      <w:bookmarkStart w:id="121" w:name="_Toc37775043"/>
      <w:bookmarkStart w:id="122" w:name="_Toc43987017"/>
      <w:bookmarkEnd w:id="110"/>
      <w:r w:rsidRPr="00DF79A6">
        <w:t xml:space="preserve">Reporting </w:t>
      </w:r>
      <w:r w:rsidR="0040355B">
        <w:t>a</w:t>
      </w:r>
      <w:r w:rsidRPr="00DF79A6">
        <w:t>pproach</w:t>
      </w:r>
      <w:bookmarkEnd w:id="117"/>
      <w:bookmarkEnd w:id="118"/>
      <w:bookmarkEnd w:id="119"/>
      <w:bookmarkEnd w:id="120"/>
      <w:bookmarkEnd w:id="121"/>
      <w:bookmarkEnd w:id="122"/>
    </w:p>
    <w:p w14:paraId="2668C3B5" w14:textId="77777777" w:rsidR="003D1F7F" w:rsidRPr="001905B0" w:rsidRDefault="003D1F7F" w:rsidP="00EC3E9B">
      <w:pPr>
        <w:rPr>
          <w:rFonts w:cs="Arial"/>
          <w:color w:val="000000" w:themeColor="text1"/>
          <w:szCs w:val="22"/>
        </w:rPr>
      </w:pPr>
      <w:r w:rsidRPr="001905B0">
        <w:rPr>
          <w:rFonts w:cs="Arial"/>
          <w:color w:val="000000" w:themeColor="text1"/>
          <w:szCs w:val="22"/>
        </w:rPr>
        <w:t>The data is presented in a number of ways depending on the indicator and section of the report:</w:t>
      </w:r>
    </w:p>
    <w:p w14:paraId="1C28AEF4" w14:textId="5E0AE2ED" w:rsidR="003D1F7F" w:rsidRPr="001905B0" w:rsidRDefault="003D1F7F" w:rsidP="00EC3E9B">
      <w:pPr>
        <w:numPr>
          <w:ilvl w:val="0"/>
          <w:numId w:val="3"/>
        </w:numPr>
        <w:ind w:left="714" w:hanging="357"/>
        <w:rPr>
          <w:rFonts w:cs="Arial"/>
          <w:color w:val="000000" w:themeColor="text1"/>
          <w:szCs w:val="22"/>
        </w:rPr>
      </w:pPr>
      <w:r w:rsidRPr="001905B0">
        <w:rPr>
          <w:rFonts w:cs="Arial"/>
          <w:color w:val="000000" w:themeColor="text1"/>
          <w:szCs w:val="22"/>
        </w:rPr>
        <w:t xml:space="preserve">Report card scores </w:t>
      </w:r>
      <w:r w:rsidR="008E5C2F" w:rsidRPr="001905B0">
        <w:rPr>
          <w:rFonts w:cs="Arial"/>
          <w:color w:val="000000" w:themeColor="text1"/>
          <w:szCs w:val="22"/>
        </w:rPr>
        <w:t xml:space="preserve">for seagrass condition </w:t>
      </w:r>
      <w:r w:rsidRPr="001905B0">
        <w:rPr>
          <w:rFonts w:cs="Arial"/>
          <w:color w:val="000000" w:themeColor="text1"/>
          <w:szCs w:val="22"/>
        </w:rPr>
        <w:t xml:space="preserve">are presented at the start of each section. These are a numerical summary of the </w:t>
      </w:r>
      <w:r w:rsidR="00306CAE" w:rsidRPr="001905B0">
        <w:rPr>
          <w:rFonts w:cs="Arial"/>
          <w:color w:val="000000" w:themeColor="text1"/>
          <w:szCs w:val="22"/>
        </w:rPr>
        <w:t>condition</w:t>
      </w:r>
      <w:r w:rsidRPr="001905B0">
        <w:rPr>
          <w:rFonts w:cs="Arial"/>
          <w:color w:val="000000" w:themeColor="text1"/>
          <w:szCs w:val="22"/>
        </w:rPr>
        <w:t xml:space="preserve"> within the region relative to a regional basel</w:t>
      </w:r>
      <w:r w:rsidR="00CD53D5" w:rsidRPr="001905B0">
        <w:rPr>
          <w:rFonts w:cs="Arial"/>
          <w:color w:val="000000" w:themeColor="text1"/>
          <w:szCs w:val="22"/>
        </w:rPr>
        <w:t>ine (described further below)</w:t>
      </w:r>
    </w:p>
    <w:p w14:paraId="5FCC82F5" w14:textId="62B09169" w:rsidR="00423FEC" w:rsidRPr="001905B0" w:rsidRDefault="00423FEC" w:rsidP="00EC3E9B">
      <w:pPr>
        <w:numPr>
          <w:ilvl w:val="0"/>
          <w:numId w:val="3"/>
        </w:numPr>
        <w:ind w:left="714" w:hanging="357"/>
        <w:rPr>
          <w:rFonts w:cs="Arial"/>
          <w:color w:val="000000" w:themeColor="text1"/>
          <w:szCs w:val="22"/>
        </w:rPr>
      </w:pPr>
      <w:r w:rsidRPr="001905B0">
        <w:rPr>
          <w:rFonts w:cs="Arial"/>
          <w:color w:val="000000" w:themeColor="text1"/>
          <w:szCs w:val="22"/>
        </w:rPr>
        <w:t>Climate and environmental pressures are presented as averages (daily, monthly or a</w:t>
      </w:r>
      <w:r w:rsidR="00CD53D5" w:rsidRPr="001905B0">
        <w:rPr>
          <w:rFonts w:cs="Arial"/>
          <w:color w:val="000000" w:themeColor="text1"/>
          <w:szCs w:val="22"/>
        </w:rPr>
        <w:t>nnual) and threshold exceedance</w:t>
      </w:r>
    </w:p>
    <w:p w14:paraId="43C8D34F" w14:textId="2AC757E4" w:rsidR="003D1F7F" w:rsidRPr="001905B0" w:rsidRDefault="00423FEC" w:rsidP="00EC3E9B">
      <w:pPr>
        <w:numPr>
          <w:ilvl w:val="0"/>
          <w:numId w:val="3"/>
        </w:numPr>
        <w:ind w:left="714" w:hanging="357"/>
        <w:rPr>
          <w:rFonts w:cs="Arial"/>
          <w:color w:val="000000" w:themeColor="text1"/>
          <w:szCs w:val="22"/>
        </w:rPr>
      </w:pPr>
      <w:r w:rsidRPr="001905B0">
        <w:rPr>
          <w:rFonts w:cs="Arial"/>
          <w:color w:val="000000" w:themeColor="text1"/>
          <w:szCs w:val="22"/>
        </w:rPr>
        <w:t xml:space="preserve">Seagrass community data </w:t>
      </w:r>
      <w:r w:rsidR="00395A22" w:rsidRPr="001905B0">
        <w:rPr>
          <w:rFonts w:cs="Arial"/>
          <w:color w:val="000000" w:themeColor="text1"/>
          <w:szCs w:val="22"/>
        </w:rPr>
        <w:t xml:space="preserve">such as seagrass abundance, leaf tissue nutrients </w:t>
      </w:r>
      <w:r w:rsidRPr="001905B0">
        <w:rPr>
          <w:rFonts w:cs="Arial"/>
          <w:color w:val="000000" w:themeColor="text1"/>
          <w:szCs w:val="22"/>
        </w:rPr>
        <w:t xml:space="preserve">are presented as averages </w:t>
      </w:r>
      <w:r w:rsidR="00395A22" w:rsidRPr="001905B0">
        <w:rPr>
          <w:rFonts w:cs="Arial"/>
          <w:color w:val="000000" w:themeColor="text1"/>
          <w:szCs w:val="22"/>
        </w:rPr>
        <w:t>(</w:t>
      </w:r>
      <w:r w:rsidRPr="001905B0">
        <w:rPr>
          <w:rFonts w:cs="Arial"/>
          <w:color w:val="000000" w:themeColor="text1"/>
          <w:szCs w:val="22"/>
        </w:rPr>
        <w:t>sampling event</w:t>
      </w:r>
      <w:r w:rsidR="00395A22" w:rsidRPr="001905B0">
        <w:rPr>
          <w:rFonts w:cs="Arial"/>
          <w:color w:val="000000" w:themeColor="text1"/>
          <w:szCs w:val="22"/>
        </w:rPr>
        <w:t>, season or monitoring period</w:t>
      </w:r>
      <w:r w:rsidR="000630F4" w:rsidRPr="001905B0">
        <w:rPr>
          <w:rFonts w:cs="Arial"/>
          <w:color w:val="000000" w:themeColor="text1"/>
          <w:szCs w:val="22"/>
        </w:rPr>
        <w:t xml:space="preserve"> with </w:t>
      </w:r>
      <w:r w:rsidR="009C7692" w:rsidRPr="001905B0">
        <w:rPr>
          <w:rFonts w:cs="Arial"/>
          <w:color w:val="000000" w:themeColor="text1"/>
          <w:szCs w:val="22"/>
        </w:rPr>
        <w:t>SE</w:t>
      </w:r>
      <w:r w:rsidR="00395A22" w:rsidRPr="001905B0">
        <w:rPr>
          <w:rFonts w:cs="Arial"/>
          <w:color w:val="000000" w:themeColor="text1"/>
          <w:szCs w:val="22"/>
        </w:rPr>
        <w:t>)</w:t>
      </w:r>
      <w:r w:rsidRPr="001905B0">
        <w:rPr>
          <w:rFonts w:cs="Arial"/>
          <w:color w:val="000000" w:themeColor="text1"/>
          <w:szCs w:val="22"/>
        </w:rPr>
        <w:t xml:space="preserve"> and threshold exceedance </w:t>
      </w:r>
      <w:r w:rsidR="00395A22" w:rsidRPr="001905B0">
        <w:rPr>
          <w:rFonts w:cs="Arial"/>
          <w:color w:val="000000" w:themeColor="text1"/>
          <w:szCs w:val="22"/>
        </w:rPr>
        <w:t>data</w:t>
      </w:r>
    </w:p>
    <w:p w14:paraId="0A5F6388" w14:textId="3C838B23" w:rsidR="00395A22" w:rsidRPr="001905B0" w:rsidRDefault="00395A22" w:rsidP="00EC3E9B">
      <w:pPr>
        <w:numPr>
          <w:ilvl w:val="0"/>
          <w:numId w:val="3"/>
        </w:numPr>
        <w:ind w:left="714" w:hanging="357"/>
        <w:rPr>
          <w:rFonts w:cs="Arial"/>
          <w:color w:val="000000" w:themeColor="text1"/>
          <w:szCs w:val="22"/>
        </w:rPr>
      </w:pPr>
      <w:r w:rsidRPr="001905B0">
        <w:rPr>
          <w:rFonts w:cs="Arial"/>
          <w:color w:val="000000" w:themeColor="text1"/>
          <w:szCs w:val="22"/>
        </w:rPr>
        <w:lastRenderedPageBreak/>
        <w:t>Seagrass ecosystem data such as sediment composition, epiphyte and macroalgae are presented as averages (sampling event, season or monitoring period) and relative to the long-term</w:t>
      </w:r>
    </w:p>
    <w:p w14:paraId="087A061E" w14:textId="77777777" w:rsidR="003D1F7F" w:rsidRPr="001905B0" w:rsidRDefault="003D1F7F" w:rsidP="00EC3E9B">
      <w:pPr>
        <w:numPr>
          <w:ilvl w:val="0"/>
          <w:numId w:val="3"/>
        </w:numPr>
        <w:ind w:left="714" w:hanging="357"/>
        <w:rPr>
          <w:rFonts w:cs="Arial"/>
          <w:color w:val="000000" w:themeColor="text1"/>
          <w:szCs w:val="22"/>
        </w:rPr>
      </w:pPr>
      <w:r w:rsidRPr="001905B0">
        <w:rPr>
          <w:rFonts w:cs="Arial"/>
          <w:color w:val="000000" w:themeColor="text1"/>
          <w:szCs w:val="22"/>
        </w:rPr>
        <w:t xml:space="preserve">Trend analysis (GAMM plots) are also used to explore the long-term temporal trends in biological and environmental indicators. </w:t>
      </w:r>
    </w:p>
    <w:p w14:paraId="17147F6F" w14:textId="64DB975C" w:rsidR="005B06BC" w:rsidRPr="001905B0" w:rsidRDefault="003D1F7F" w:rsidP="003D1F7F">
      <w:pPr>
        <w:rPr>
          <w:rFonts w:cs="Arial"/>
          <w:color w:val="000000" w:themeColor="text1"/>
          <w:szCs w:val="22"/>
        </w:rPr>
      </w:pPr>
      <w:r w:rsidRPr="001905B0">
        <w:rPr>
          <w:rFonts w:cs="Arial"/>
          <w:color w:val="000000" w:themeColor="text1"/>
          <w:szCs w:val="22"/>
        </w:rPr>
        <w:t xml:space="preserve">Within each region, estuarine and coastal habitat boundaries were delineated based on the Queensland coastal waterways geomorphic habitat mapping, Version 2 (1:100 000 </w:t>
      </w:r>
      <w:bookmarkStart w:id="123" w:name="OLE_LINK17"/>
      <w:bookmarkStart w:id="124" w:name="OLE_LINK18"/>
      <w:r w:rsidRPr="001905B0">
        <w:rPr>
          <w:rFonts w:cs="Arial"/>
          <w:color w:val="000000" w:themeColor="text1"/>
          <w:szCs w:val="22"/>
        </w:rPr>
        <w:t>scale digital data)</w:t>
      </w:r>
      <w:bookmarkEnd w:id="123"/>
      <w:bookmarkEnd w:id="124"/>
      <w:r w:rsidRPr="001905B0">
        <w:rPr>
          <w:rFonts w:cs="Arial"/>
          <w:color w:val="000000" w:themeColor="text1"/>
          <w:szCs w:val="22"/>
        </w:rPr>
        <w:t xml:space="preserve"> (</w:t>
      </w:r>
      <w:hyperlink w:anchor="_ENREF_72" w:tooltip="Heap, 2015 #10955" w:history="1">
        <w:r w:rsidR="009A7AB4" w:rsidRPr="001905B0">
          <w:rPr>
            <w:rFonts w:cs="Arial"/>
            <w:color w:val="000000" w:themeColor="text1"/>
            <w:szCs w:val="22"/>
          </w:rPr>
          <w:fldChar w:fldCharType="begin"/>
        </w:r>
        <w:r w:rsidR="009A7AB4" w:rsidRPr="001905B0">
          <w:rPr>
            <w:rFonts w:cs="Arial"/>
            <w:color w:val="000000" w:themeColor="text1"/>
            <w:szCs w:val="22"/>
          </w:rPr>
          <w:instrText xml:space="preserve"> ADDIN EN.CITE &lt;EndNote&gt;&lt;Cite&gt;&lt;Author&gt;Heap&lt;/Author&gt;&lt;Year&gt;2015&lt;/Year&gt;&lt;RecNum&gt;10955&lt;/RecNum&gt;&lt;DisplayText&gt;Heap&lt;style face="italic"&gt; et al.&lt;/style&gt; 2015&lt;/DisplayText&gt;&lt;record&gt;&lt;rec-number&gt;10955&lt;/rec-number&gt;&lt;foreign-keys&gt;&lt;key app="EN" db-id="0eve55x9y5vfd6e9dacxtew4eatve2dzds9a" timestamp="1492560013"&gt;10955&lt;/key&gt;&lt;/foreign-keys&gt;&lt;ref-type name="Dataset"&gt;59&lt;/ref-type&gt;&lt;contributors&gt;&lt;authors&gt;&lt;author&gt;Heap, A. D.&lt;/author&gt;&lt;author&gt;Murray, E.&lt;/author&gt;&lt;author&gt;Ryan, D. A.&lt;/author&gt;&lt;author&gt;Gallagher, J.&lt;/author&gt;&lt;author&gt;Tobin, G.&lt;/author&gt;&lt;author&gt;Creasey, J.&lt;/author&gt;&lt;author&gt;Dyall, A.&lt;/author&gt;&lt;/authors&gt;&lt;/contributors&gt;&lt;titles&gt;&lt;title&gt;Queensland Coastal Waterways Geomorphic Habitat Mapping, Version 2 (1:100 000 scale digital data)&lt;/title&gt;&lt;/titles&gt;&lt;keywords&gt;&lt;keyword&gt;Geoscientific Information&lt;/keyword&gt;&lt;keyword&gt;Gis Dataset&lt;/keyword&gt;&lt;keyword&gt;100k Scale&lt;/keyword&gt;&lt;keyword&gt;Water Resources&lt;/keyword&gt;&lt;keyword&gt;Marine&lt;/keyword&gt;&lt;keyword&gt;Mapping&lt;/keyword&gt;&lt;keyword&gt;Coasts&lt;/keyword&gt;&lt;keyword&gt;Gis&lt;/keyword&gt;&lt;keyword&gt;Earth Sciences&lt;/keyword&gt;&lt;/keywords&gt;&lt;dates&gt;&lt;year&gt;2015&lt;/year&gt;&lt;/dates&gt;&lt;publisher&gt;Australian Coastal Ecosystems Facility&lt;/publisher&gt;&lt;reviewed-item&gt;northlimit=-10.6; southlimit=-28.2; westlimit=137.8; eastLimit=153.2; projection=WGS84&lt;/reviewed-item&gt;&lt;urls&gt;&lt;related-urls&gt;&lt;url&gt;http://acef.tern.org.au/geonetwork/srv/en/metadata.show?uuid=a05f7892-c344-7506-e044-00144fdd4fa6&lt;/url&gt;&lt;/related-urls&gt;&lt;/urls&gt;&lt;custom5&gt;Creative Commons Attribution 4.0 International Licence. http://creativecommons.org/licenses/by/4.0/&lt;/custom5&gt;&lt;language&gt;English&lt;/language&gt;&lt;access-date&gt;2017-04-19&lt;/access-date&gt;&lt;/record&gt;&lt;/Cite&gt;&lt;/EndNote&gt;</w:instrText>
        </w:r>
        <w:r w:rsidR="009A7AB4" w:rsidRPr="001905B0">
          <w:rPr>
            <w:rFonts w:cs="Arial"/>
            <w:color w:val="000000" w:themeColor="text1"/>
            <w:szCs w:val="22"/>
          </w:rPr>
          <w:fldChar w:fldCharType="separate"/>
        </w:r>
        <w:r w:rsidR="009A7AB4" w:rsidRPr="001905B0">
          <w:rPr>
            <w:rFonts w:cs="Arial"/>
            <w:noProof/>
            <w:color w:val="000000" w:themeColor="text1"/>
            <w:szCs w:val="22"/>
          </w:rPr>
          <w:t>Heap</w:t>
        </w:r>
        <w:r w:rsidR="009A7AB4" w:rsidRPr="001905B0">
          <w:rPr>
            <w:rFonts w:cs="Arial"/>
            <w:i/>
            <w:noProof/>
            <w:color w:val="000000" w:themeColor="text1"/>
            <w:szCs w:val="22"/>
          </w:rPr>
          <w:t xml:space="preserve"> et al.</w:t>
        </w:r>
        <w:r w:rsidR="009A7AB4" w:rsidRPr="001905B0">
          <w:rPr>
            <w:rFonts w:cs="Arial"/>
            <w:noProof/>
            <w:color w:val="000000" w:themeColor="text1"/>
            <w:szCs w:val="22"/>
          </w:rPr>
          <w:t xml:space="preserve"> 2015</w:t>
        </w:r>
        <w:r w:rsidR="009A7AB4" w:rsidRPr="001905B0">
          <w:rPr>
            <w:rFonts w:cs="Arial"/>
            <w:color w:val="000000" w:themeColor="text1"/>
            <w:szCs w:val="22"/>
          </w:rPr>
          <w:fldChar w:fldCharType="end"/>
        </w:r>
      </w:hyperlink>
      <w:r w:rsidRPr="001905B0">
        <w:rPr>
          <w:rFonts w:cs="Arial"/>
          <w:color w:val="000000" w:themeColor="text1"/>
          <w:szCs w:val="22"/>
        </w:rPr>
        <w:t xml:space="preserve">). </w:t>
      </w:r>
    </w:p>
    <w:p w14:paraId="52127ACB" w14:textId="77777777" w:rsidR="005B06BC" w:rsidRPr="001905B0" w:rsidRDefault="003D1F7F" w:rsidP="003D1F7F">
      <w:pPr>
        <w:rPr>
          <w:rFonts w:cs="Arial"/>
          <w:color w:val="000000" w:themeColor="text1"/>
          <w:szCs w:val="22"/>
        </w:rPr>
      </w:pPr>
      <w:r w:rsidRPr="001905B0">
        <w:rPr>
          <w:rFonts w:cs="Arial"/>
          <w:color w:val="000000" w:themeColor="text1"/>
          <w:szCs w:val="22"/>
        </w:rPr>
        <w:t>Reef habitat boundaries were determined using the AUSLIG (now the National Mapping Division of Geosciences Australia) geodata topographic basemap (1:100 000 scale digital data).</w:t>
      </w:r>
      <w:r w:rsidR="009817B8" w:rsidRPr="001905B0">
        <w:rPr>
          <w:rFonts w:cs="Arial"/>
          <w:color w:val="000000" w:themeColor="text1"/>
          <w:szCs w:val="22"/>
        </w:rPr>
        <w:t xml:space="preserve"> </w:t>
      </w:r>
    </w:p>
    <w:p w14:paraId="20323CD8" w14:textId="77777777" w:rsidR="00A2551D" w:rsidRPr="001905B0" w:rsidRDefault="00A2551D" w:rsidP="003D1F7F">
      <w:pPr>
        <w:rPr>
          <w:rFonts w:cs="Arial"/>
          <w:color w:val="000000" w:themeColor="text1"/>
          <w:szCs w:val="22"/>
        </w:rPr>
      </w:pPr>
    </w:p>
    <w:p w14:paraId="34DDE1BD" w14:textId="36C85D2C" w:rsidR="003D1F7F" w:rsidRPr="00DF79A6" w:rsidRDefault="005478D5" w:rsidP="000150D8">
      <w:pPr>
        <w:pStyle w:val="Heading2"/>
      </w:pPr>
      <w:bookmarkStart w:id="125" w:name="_Toc37775044"/>
      <w:bookmarkStart w:id="126" w:name="_Toc43987018"/>
      <w:r w:rsidRPr="00DF79A6">
        <w:t xml:space="preserve">Calculating </w:t>
      </w:r>
      <w:r w:rsidR="00BB4AB0" w:rsidRPr="00DF79A6">
        <w:t xml:space="preserve">report card </w:t>
      </w:r>
      <w:r w:rsidRPr="00DF79A6">
        <w:t>scores</w:t>
      </w:r>
      <w:bookmarkEnd w:id="125"/>
      <w:bookmarkEnd w:id="126"/>
    </w:p>
    <w:p w14:paraId="3F29E767" w14:textId="67AE4202" w:rsidR="003D1F7F" w:rsidRPr="001905B0" w:rsidRDefault="003D1F7F" w:rsidP="00807368">
      <w:pPr>
        <w:spacing w:after="0"/>
        <w:rPr>
          <w:rFonts w:cs="Arial"/>
          <w:szCs w:val="22"/>
        </w:rPr>
      </w:pPr>
      <w:r w:rsidRPr="001905B0">
        <w:rPr>
          <w:rFonts w:cs="Arial"/>
          <w:szCs w:val="22"/>
        </w:rPr>
        <w:t xml:space="preserve">Three indicators (presented as </w:t>
      </w:r>
      <w:r w:rsidR="009E0200" w:rsidRPr="001905B0">
        <w:rPr>
          <w:rFonts w:cs="Arial"/>
          <w:szCs w:val="22"/>
        </w:rPr>
        <w:t>unitless</w:t>
      </w:r>
      <w:r w:rsidRPr="001905B0">
        <w:rPr>
          <w:rFonts w:cs="Arial"/>
          <w:szCs w:val="22"/>
        </w:rPr>
        <w:t xml:space="preserve"> scores) </w:t>
      </w:r>
      <w:r w:rsidR="005B06BC" w:rsidRPr="001905B0">
        <w:rPr>
          <w:rFonts w:cs="Arial"/>
          <w:szCs w:val="22"/>
        </w:rPr>
        <w:t>are used</w:t>
      </w:r>
      <w:r w:rsidRPr="001905B0">
        <w:rPr>
          <w:rFonts w:cs="Arial"/>
          <w:szCs w:val="22"/>
        </w:rPr>
        <w:t xml:space="preserve"> for the seagrass </w:t>
      </w:r>
      <w:r w:rsidR="00E50AF6" w:rsidRPr="001905B0">
        <w:rPr>
          <w:rFonts w:cs="Arial"/>
          <w:szCs w:val="22"/>
        </w:rPr>
        <w:t xml:space="preserve">component of the Marine Results report and Reef </w:t>
      </w:r>
      <w:r w:rsidRPr="001905B0">
        <w:rPr>
          <w:rFonts w:cs="Arial"/>
          <w:szCs w:val="22"/>
        </w:rPr>
        <w:t xml:space="preserve">report card: </w:t>
      </w:r>
    </w:p>
    <w:p w14:paraId="459F28CB" w14:textId="499C3BD0" w:rsidR="003D1F7F" w:rsidRPr="001905B0" w:rsidRDefault="003D1F7F" w:rsidP="00807368">
      <w:pPr>
        <w:numPr>
          <w:ilvl w:val="0"/>
          <w:numId w:val="15"/>
        </w:numPr>
        <w:spacing w:before="40" w:after="0"/>
        <w:ind w:left="714" w:hanging="357"/>
        <w:rPr>
          <w:rFonts w:cs="Arial"/>
          <w:szCs w:val="22"/>
        </w:rPr>
      </w:pPr>
      <w:r w:rsidRPr="001905B0">
        <w:rPr>
          <w:rFonts w:cs="Arial"/>
          <w:szCs w:val="22"/>
        </w:rPr>
        <w:t>seagrass abundance (</w:t>
      </w:r>
      <w:r w:rsidR="007F7222">
        <w:rPr>
          <w:rFonts w:cs="Arial"/>
          <w:szCs w:val="22"/>
        </w:rPr>
        <w:t>per cent</w:t>
      </w:r>
      <w:r w:rsidR="00167865" w:rsidRPr="001905B0">
        <w:rPr>
          <w:rFonts w:cs="Arial"/>
          <w:szCs w:val="22"/>
        </w:rPr>
        <w:t xml:space="preserve"> </w:t>
      </w:r>
      <w:r w:rsidRPr="001905B0">
        <w:rPr>
          <w:rFonts w:cs="Arial"/>
          <w:szCs w:val="22"/>
        </w:rPr>
        <w:t>cover)</w:t>
      </w:r>
    </w:p>
    <w:p w14:paraId="05ECCD70" w14:textId="77777777" w:rsidR="003D1F7F" w:rsidRPr="001905B0" w:rsidRDefault="003D1F7F" w:rsidP="00807368">
      <w:pPr>
        <w:numPr>
          <w:ilvl w:val="0"/>
          <w:numId w:val="15"/>
        </w:numPr>
        <w:spacing w:before="40" w:after="0"/>
        <w:ind w:left="714" w:hanging="357"/>
        <w:rPr>
          <w:rFonts w:cs="Arial"/>
          <w:szCs w:val="22"/>
        </w:rPr>
      </w:pPr>
      <w:r w:rsidRPr="001905B0">
        <w:rPr>
          <w:rFonts w:cs="Arial"/>
          <w:szCs w:val="22"/>
        </w:rPr>
        <w:t>reproductive effort</w:t>
      </w:r>
    </w:p>
    <w:p w14:paraId="6892056C" w14:textId="72D447F1" w:rsidR="003D1F7F" w:rsidRPr="001905B0" w:rsidRDefault="003D1F7F" w:rsidP="00807368">
      <w:pPr>
        <w:numPr>
          <w:ilvl w:val="0"/>
          <w:numId w:val="15"/>
        </w:numPr>
        <w:spacing w:before="40" w:after="0"/>
        <w:ind w:left="714" w:hanging="357"/>
        <w:rPr>
          <w:rFonts w:cs="Arial"/>
          <w:szCs w:val="22"/>
        </w:rPr>
      </w:pPr>
      <w:r w:rsidRPr="001905B0">
        <w:rPr>
          <w:rFonts w:cs="Arial"/>
          <w:szCs w:val="22"/>
        </w:rPr>
        <w:t>nutrient status (</w:t>
      </w:r>
      <w:r w:rsidR="00EB19B4" w:rsidRPr="001905B0">
        <w:rPr>
          <w:rFonts w:cs="Arial"/>
          <w:szCs w:val="22"/>
        </w:rPr>
        <w:t>leaf</w:t>
      </w:r>
      <w:r w:rsidRPr="001905B0">
        <w:rPr>
          <w:rFonts w:cs="Arial"/>
          <w:szCs w:val="22"/>
        </w:rPr>
        <w:t xml:space="preserve"> tissue C:N ratio)</w:t>
      </w:r>
      <w:r w:rsidR="005B06BC" w:rsidRPr="001905B0">
        <w:rPr>
          <w:rFonts w:cs="Arial"/>
          <w:szCs w:val="22"/>
        </w:rPr>
        <w:t>.</w:t>
      </w:r>
    </w:p>
    <w:p w14:paraId="44E6E1DE" w14:textId="574A8C7F" w:rsidR="003D1F7F" w:rsidRPr="001905B0" w:rsidRDefault="004A6709" w:rsidP="004A6709">
      <w:pPr>
        <w:rPr>
          <w:rFonts w:cs="Arial"/>
          <w:i/>
          <w:szCs w:val="22"/>
        </w:rPr>
      </w:pPr>
      <w:r w:rsidRPr="001905B0">
        <w:rPr>
          <w:rFonts w:cs="Arial"/>
          <w:szCs w:val="22"/>
        </w:rPr>
        <w:t xml:space="preserve">A seagrass condition index (score) is reported for each monitoring </w:t>
      </w:r>
      <w:r w:rsidR="00D90BED" w:rsidRPr="001905B0">
        <w:rPr>
          <w:rFonts w:cs="Arial"/>
          <w:szCs w:val="22"/>
        </w:rPr>
        <w:t>region</w:t>
      </w:r>
      <w:r w:rsidRPr="001905B0">
        <w:rPr>
          <w:rFonts w:cs="Arial"/>
          <w:szCs w:val="22"/>
        </w:rPr>
        <w:t xml:space="preserve"> based on changes in each of the indicators relative to a baseline. </w:t>
      </w:r>
      <w:r w:rsidR="003D1F7F" w:rsidRPr="001905B0">
        <w:rPr>
          <w:rFonts w:cs="Arial"/>
          <w:szCs w:val="22"/>
        </w:rPr>
        <w:t xml:space="preserve">The methods for </w:t>
      </w:r>
      <w:r w:rsidR="00167865" w:rsidRPr="001905B0">
        <w:rPr>
          <w:rFonts w:cs="Arial"/>
          <w:szCs w:val="22"/>
        </w:rPr>
        <w:t xml:space="preserve">score </w:t>
      </w:r>
      <w:r w:rsidR="003D1F7F" w:rsidRPr="001905B0">
        <w:rPr>
          <w:rFonts w:cs="Arial"/>
          <w:szCs w:val="22"/>
        </w:rPr>
        <w:t>calculation w</w:t>
      </w:r>
      <w:r w:rsidRPr="001905B0">
        <w:rPr>
          <w:rFonts w:cs="Arial"/>
          <w:szCs w:val="22"/>
        </w:rPr>
        <w:t>ere</w:t>
      </w:r>
      <w:r w:rsidR="003D1F7F" w:rsidRPr="001905B0">
        <w:rPr>
          <w:rFonts w:cs="Arial"/>
          <w:szCs w:val="22"/>
        </w:rPr>
        <w:t xml:space="preserve"> chosen by </w:t>
      </w:r>
      <w:r w:rsidR="003D1F7F" w:rsidRPr="001905B0">
        <w:rPr>
          <w:rFonts w:cs="Arial"/>
          <w:szCs w:val="22"/>
          <w:lang w:val="en-US"/>
        </w:rPr>
        <w:t xml:space="preserve">the Paddock to Reef Integration Team and </w:t>
      </w:r>
      <w:r w:rsidR="003D1F7F" w:rsidRPr="001905B0">
        <w:rPr>
          <w:rFonts w:cs="Arial"/>
          <w:szCs w:val="22"/>
        </w:rPr>
        <w:t xml:space="preserve">all report card scores are transformed to a five point scale from 0 to 100 to allow integration with other components of the </w:t>
      </w:r>
      <w:r w:rsidR="00A2551D" w:rsidRPr="001905B0">
        <w:rPr>
          <w:rFonts w:cs="Arial"/>
          <w:szCs w:val="22"/>
        </w:rPr>
        <w:t>Reef report card</w:t>
      </w:r>
      <w:r w:rsidR="003D1F7F" w:rsidRPr="001905B0">
        <w:rPr>
          <w:rFonts w:cs="Arial"/>
          <w:szCs w:val="22"/>
        </w:rPr>
        <w:t xml:space="preserve"> (</w:t>
      </w:r>
      <w:hyperlink w:anchor="_ENREF_49" w:tooltip="Department of the Premier and Cabinet, 2014 #10062" w:history="1">
        <w:r w:rsidR="009A7AB4" w:rsidRPr="001905B0">
          <w:rPr>
            <w:rFonts w:cs="Arial"/>
            <w:szCs w:val="22"/>
          </w:rPr>
          <w:fldChar w:fldCharType="begin"/>
        </w:r>
        <w:r w:rsidR="009A7AB4" w:rsidRPr="001905B0">
          <w:rPr>
            <w:rFonts w:cs="Arial"/>
            <w:szCs w:val="22"/>
          </w:rPr>
          <w:instrText xml:space="preserve"> ADDIN EN.CITE &lt;EndNote&gt;&lt;Cite&gt;&lt;Author&gt;Department of the Premier and Cabinet&lt;/Author&gt;&lt;Year&gt;2014&lt;/Year&gt;&lt;RecNum&gt;10062&lt;/RecNum&gt;&lt;DisplayText&gt;Department of the Premier and Cabinet 2014&lt;/DisplayText&gt;&lt;record&gt;&lt;rec-number&gt;10062&lt;/rec-number&gt;&lt;foreign-keys&gt;&lt;key app="EN" db-id="0eve55x9y5vfd6e9dacxtew4eatve2dzds9a" timestamp="1421123388"&gt;10062&lt;/key&gt;&lt;/foreign-keys&gt;&lt;ref-type name="Web Page"&gt;12&lt;/ref-type&gt;&lt;contributors&gt;&lt;authors&gt;&lt;author&gt;Department of the Premier and Cabinet,&lt;/author&gt;&lt;/authors&gt;&lt;/contributors&gt;&lt;titles&gt;&lt;title&gt;Great Barrier Reef report card 2012 and 2013, Reef Water Quality Protection Plan, Scoring system.&lt;/title&gt;&lt;/titles&gt;&lt;number&gt;14/11/2014&lt;/number&gt;&lt;dates&gt;&lt;year&gt;2014&lt;/year&gt;&lt;/dates&gt;&lt;pub-location&gt;Brisbane&lt;/pub-location&gt;&lt;publisher&gt;Australian Government and Queensland Government&lt;/publisher&gt;&lt;urls&gt;&lt;related-urls&gt;&lt;url&gt;http://www.reefplan.qld.gov.au/measuring-success/methods/scoring-system.aspx&lt;/url&gt;&lt;/related-urls&gt;&lt;/urls&gt;&lt;/record&gt;&lt;/Cite&gt;&lt;/EndNote&gt;</w:instrText>
        </w:r>
        <w:r w:rsidR="009A7AB4" w:rsidRPr="001905B0">
          <w:rPr>
            <w:rFonts w:cs="Arial"/>
            <w:szCs w:val="22"/>
          </w:rPr>
          <w:fldChar w:fldCharType="separate"/>
        </w:r>
        <w:r w:rsidR="009A7AB4" w:rsidRPr="001905B0">
          <w:rPr>
            <w:rFonts w:cs="Arial"/>
            <w:noProof/>
            <w:szCs w:val="22"/>
          </w:rPr>
          <w:t>Department of the Premier and Cabinet 2014</w:t>
        </w:r>
        <w:r w:rsidR="009A7AB4" w:rsidRPr="001905B0">
          <w:rPr>
            <w:rFonts w:cs="Arial"/>
            <w:szCs w:val="22"/>
          </w:rPr>
          <w:fldChar w:fldCharType="end"/>
        </w:r>
      </w:hyperlink>
      <w:r w:rsidR="003D1F7F" w:rsidRPr="001905B0">
        <w:rPr>
          <w:rFonts w:cs="Arial"/>
          <w:szCs w:val="22"/>
        </w:rPr>
        <w:t>). The methods a</w:t>
      </w:r>
      <w:r w:rsidR="00167865" w:rsidRPr="001905B0">
        <w:rPr>
          <w:rFonts w:cs="Arial"/>
          <w:szCs w:val="22"/>
        </w:rPr>
        <w:t>nd</w:t>
      </w:r>
      <w:r w:rsidR="003D1F7F" w:rsidRPr="001905B0">
        <w:rPr>
          <w:rFonts w:cs="Arial"/>
          <w:szCs w:val="22"/>
        </w:rPr>
        <w:t xml:space="preserve"> scoring system for the report card are detailed </w:t>
      </w:r>
      <w:r w:rsidR="00867CCE" w:rsidRPr="001905B0">
        <w:rPr>
          <w:rFonts w:cs="Arial"/>
          <w:szCs w:val="22"/>
        </w:rPr>
        <w:t>below</w:t>
      </w:r>
      <w:r w:rsidR="003D1F7F" w:rsidRPr="001905B0">
        <w:rPr>
          <w:rFonts w:cs="Arial"/>
          <w:szCs w:val="22"/>
        </w:rPr>
        <w:t xml:space="preserve">. </w:t>
      </w:r>
      <w:r w:rsidR="003D1F7F" w:rsidRPr="001905B0">
        <w:rPr>
          <w:rFonts w:cs="Arial"/>
          <w:i/>
          <w:szCs w:val="22"/>
        </w:rPr>
        <w:t>Please note that the scale from 0 to 100 is unitless and should not be interpreted as a proportion or ratio.</w:t>
      </w:r>
    </w:p>
    <w:p w14:paraId="6873CF1F" w14:textId="77777777" w:rsidR="003D1F7F" w:rsidRPr="0066041C" w:rsidRDefault="003D1F7F" w:rsidP="003653D3">
      <w:pPr>
        <w:pStyle w:val="Heading3"/>
      </w:pPr>
      <w:bookmarkStart w:id="127" w:name="_Toc381027991"/>
      <w:bookmarkStart w:id="128" w:name="_Ref534355097"/>
      <w:bookmarkStart w:id="129" w:name="_Toc37775045"/>
      <w:bookmarkStart w:id="130" w:name="_Toc43987019"/>
      <w:r w:rsidRPr="0066041C">
        <w:lastRenderedPageBreak/>
        <w:t>Seagrass abundance</w:t>
      </w:r>
      <w:bookmarkEnd w:id="127"/>
      <w:bookmarkEnd w:id="128"/>
      <w:bookmarkEnd w:id="129"/>
      <w:bookmarkEnd w:id="130"/>
    </w:p>
    <w:p w14:paraId="0A34EFAF" w14:textId="19B30385" w:rsidR="000252FF" w:rsidRDefault="000252FF" w:rsidP="000252FF">
      <w:pPr>
        <w:rPr>
          <w:rFonts w:cs="Arial"/>
          <w:szCs w:val="22"/>
        </w:rPr>
      </w:pPr>
      <w:r w:rsidRPr="001905B0">
        <w:rPr>
          <w:rFonts w:cs="Arial"/>
          <w:szCs w:val="22"/>
        </w:rPr>
        <w:t>Seagrass abundance is measure</w:t>
      </w:r>
      <w:r w:rsidR="00F61BF9" w:rsidRPr="001905B0">
        <w:rPr>
          <w:rFonts w:cs="Arial"/>
          <w:szCs w:val="22"/>
        </w:rPr>
        <w:t xml:space="preserve">d using the median seagrass </w:t>
      </w:r>
      <w:r w:rsidR="000E742F" w:rsidRPr="001905B0">
        <w:rPr>
          <w:rFonts w:cs="Arial"/>
          <w:szCs w:val="22"/>
        </w:rPr>
        <w:t>per cent</w:t>
      </w:r>
      <w:r w:rsidRPr="001905B0">
        <w:rPr>
          <w:rFonts w:cs="Arial"/>
          <w:szCs w:val="22"/>
        </w:rPr>
        <w:t xml:space="preserve"> cover relative to the site or reference </w:t>
      </w:r>
      <w:r w:rsidR="003A03FE" w:rsidRPr="001905B0">
        <w:rPr>
          <w:rFonts w:cs="Arial"/>
          <w:szCs w:val="22"/>
        </w:rPr>
        <w:t>guideline (</w:t>
      </w:r>
      <w:r w:rsidR="005B06BC" w:rsidRPr="001905B0">
        <w:rPr>
          <w:rFonts w:cs="Arial"/>
          <w:szCs w:val="22"/>
        </w:rPr>
        <w:t>habitat type within each NRM region)</w:t>
      </w:r>
      <w:r w:rsidRPr="001905B0">
        <w:rPr>
          <w:rFonts w:cs="Arial"/>
          <w:szCs w:val="22"/>
        </w:rPr>
        <w:t>. Abundance guidelines (threshold levels) were determined using the long-term (&gt;4 years) baseline where the percentile variance plateaued (generally 15-20 sampling events), thereby providing an estimate of the true percentile value (</w:t>
      </w:r>
      <w:hyperlink w:anchor="_ENREF_99" w:tooltip="McKenzie, 2009 #9756" w:history="1">
        <w:r w:rsidR="009A7AB4" w:rsidRPr="001905B0">
          <w:rPr>
            <w:rFonts w:cs="Arial"/>
            <w:szCs w:val="22"/>
          </w:rPr>
          <w:fldChar w:fldCharType="begin"/>
        </w:r>
        <w:r w:rsidR="009A7AB4" w:rsidRPr="001905B0">
          <w:rPr>
            <w:rFonts w:cs="Arial"/>
            <w:szCs w:val="22"/>
          </w:rPr>
          <w:instrText xml:space="preserve"> ADDIN EN.CITE &lt;EndNote&gt;&lt;Cite&gt;&lt;Author&gt;McKenzie&lt;/Author&gt;&lt;Year&gt;2009&lt;/Year&gt;&lt;RecNum&gt;9756&lt;/RecNum&gt;&lt;DisplayText&gt;McKenzie 2009&lt;/DisplayText&gt;&lt;record&gt;&lt;rec-number&gt;9756&lt;/rec-number&gt;&lt;foreign-keys&gt;&lt;key app="EN" db-id="0eve55x9y5vfd6e9dacxtew4eatve2dzds9a" timestamp="1393312309"&gt;9756&lt;/key&gt;&lt;/foreign-keys&gt;&lt;ref-type name="Book Section"&gt;5&lt;/ref-type&gt;&lt;contributors&gt;&lt;authors&gt;&lt;author&gt;McKenzie, Len J&lt;/author&gt;&lt;/authors&gt;&lt;secondary-authors&gt;&lt;author&gt;McKenzie, Len J&lt;/author&gt;&lt;author&gt;Waycott, Michelle&lt;/author&gt;&lt;/secondary-authors&gt;&lt;/contributors&gt;&lt;titles&gt;&lt;title&gt;Observing change in seagrass habitats of the GBR– Seagrass-Watch monitoring: Deriving seagrass abundance indicators for regional habitat guidelines,&lt;/title&gt;&lt;secondary-title&gt;Marine and Tropical Sciences Research Facility Milestone and Progress Report #3, 2008-2009 (ARP 3) Project 1.1.3 Report 3, 11th June 2000.  http://rrrc.org.au/wp-content/uploads/2014/06/113-QDPIF-McKenzie-L-2009-June-Milestone-Report.pdf accessed 23 February 2017.&lt;/secondary-title&gt;&lt;/titles&gt;&lt;pages&gt;7-1&lt;/pages&gt;&lt;dates&gt;&lt;year&gt;2009&lt;/year&gt;&lt;/dates&gt;&lt;pub-location&gt;Cairns&lt;/pub-location&gt;&lt;publisher&gt;RRRC&lt;/publisher&gt;&lt;urls&gt;&lt;/urls&gt;&lt;/record&gt;&lt;/Cite&gt;&lt;/EndNote&gt;</w:instrText>
        </w:r>
        <w:r w:rsidR="009A7AB4" w:rsidRPr="001905B0">
          <w:rPr>
            <w:rFonts w:cs="Arial"/>
            <w:szCs w:val="22"/>
          </w:rPr>
          <w:fldChar w:fldCharType="separate"/>
        </w:r>
        <w:r w:rsidR="009A7AB4" w:rsidRPr="001905B0">
          <w:rPr>
            <w:rFonts w:cs="Arial"/>
            <w:noProof/>
            <w:szCs w:val="22"/>
          </w:rPr>
          <w:t>McKenzie 2009</w:t>
        </w:r>
        <w:r w:rsidR="009A7AB4" w:rsidRPr="001905B0">
          <w:rPr>
            <w:rFonts w:cs="Arial"/>
            <w:szCs w:val="22"/>
          </w:rPr>
          <w:fldChar w:fldCharType="end"/>
        </w:r>
      </w:hyperlink>
      <w:r w:rsidRPr="001905B0">
        <w:rPr>
          <w:rFonts w:cs="Arial"/>
          <w:szCs w:val="22"/>
        </w:rPr>
        <w:t>). Guidelines for individual sites were only applied if the conditions of the site aligned with reference conditions and the site had been subject to minimal/limited disturbance for 3</w:t>
      </w:r>
      <w:r w:rsidR="005B06BC" w:rsidRPr="001905B0">
        <w:rPr>
          <w:rFonts w:cs="Arial"/>
          <w:szCs w:val="22"/>
        </w:rPr>
        <w:t>–</w:t>
      </w:r>
      <w:r w:rsidRPr="001905B0">
        <w:rPr>
          <w:rFonts w:cs="Arial"/>
          <w:szCs w:val="22"/>
        </w:rPr>
        <w:t xml:space="preserve">5 years (see </w:t>
      </w:r>
      <w:r w:rsidR="00D90BED" w:rsidRPr="001905B0">
        <w:rPr>
          <w:rFonts w:cs="Arial"/>
          <w:szCs w:val="22"/>
        </w:rPr>
        <w:fldChar w:fldCharType="begin"/>
      </w:r>
      <w:r w:rsidR="00D90BED" w:rsidRPr="001905B0">
        <w:rPr>
          <w:rFonts w:cs="Arial"/>
          <w:szCs w:val="22"/>
        </w:rPr>
        <w:instrText xml:space="preserve"> REF _Ref511380752 \r \h </w:instrText>
      </w:r>
      <w:r w:rsidR="00CB093C" w:rsidRPr="001905B0">
        <w:rPr>
          <w:rFonts w:cs="Arial"/>
          <w:szCs w:val="22"/>
        </w:rPr>
        <w:instrText xml:space="preserve"> \* MERGEFORMAT </w:instrText>
      </w:r>
      <w:r w:rsidR="00D90BED" w:rsidRPr="001905B0">
        <w:rPr>
          <w:rFonts w:cs="Arial"/>
          <w:szCs w:val="22"/>
        </w:rPr>
      </w:r>
      <w:r w:rsidR="00D90BED" w:rsidRPr="001905B0">
        <w:rPr>
          <w:rFonts w:cs="Arial"/>
          <w:szCs w:val="22"/>
        </w:rPr>
        <w:fldChar w:fldCharType="separate"/>
      </w:r>
      <w:r w:rsidR="0067675D">
        <w:rPr>
          <w:rFonts w:cs="Arial"/>
          <w:szCs w:val="22"/>
        </w:rPr>
        <w:t>Appendix 2</w:t>
      </w:r>
      <w:r w:rsidR="00D90BED" w:rsidRPr="001905B0">
        <w:rPr>
          <w:rFonts w:cs="Arial"/>
          <w:szCs w:val="22"/>
        </w:rPr>
        <w:fldChar w:fldCharType="end"/>
      </w:r>
      <w:r w:rsidR="00E03E9F" w:rsidRPr="001905B0">
        <w:rPr>
          <w:rFonts w:cs="Arial"/>
          <w:szCs w:val="22"/>
        </w:rPr>
        <w:t xml:space="preserve">, </w:t>
      </w:r>
      <w:r w:rsidR="00E03E9F" w:rsidRPr="001905B0">
        <w:rPr>
          <w:rFonts w:cs="Arial"/>
          <w:szCs w:val="22"/>
        </w:rPr>
        <w:fldChar w:fldCharType="begin"/>
      </w:r>
      <w:r w:rsidR="00E03E9F" w:rsidRPr="001905B0">
        <w:rPr>
          <w:rFonts w:cs="Arial"/>
          <w:szCs w:val="22"/>
        </w:rPr>
        <w:instrText xml:space="preserve"> REF _Ref340344284 \h </w:instrText>
      </w:r>
      <w:r w:rsidR="00DA741D" w:rsidRPr="001905B0">
        <w:rPr>
          <w:rFonts w:cs="Arial"/>
          <w:szCs w:val="22"/>
        </w:rPr>
        <w:instrText xml:space="preserve"> \* MERGEFORMAT </w:instrText>
      </w:r>
      <w:r w:rsidR="00E03E9F" w:rsidRPr="001905B0">
        <w:rPr>
          <w:rFonts w:cs="Arial"/>
          <w:szCs w:val="22"/>
        </w:rPr>
      </w:r>
      <w:r w:rsidR="00E03E9F" w:rsidRPr="001905B0">
        <w:rPr>
          <w:rFonts w:cs="Arial"/>
          <w:szCs w:val="22"/>
        </w:rPr>
        <w:fldChar w:fldCharType="separate"/>
      </w:r>
      <w:r w:rsidR="0067675D" w:rsidRPr="001F0E92">
        <w:rPr>
          <w:rFonts w:cs="Arial"/>
          <w:color w:val="000000"/>
          <w:szCs w:val="22"/>
        </w:rPr>
        <w:t xml:space="preserve">Table </w:t>
      </w:r>
      <w:r w:rsidR="0067675D">
        <w:rPr>
          <w:rFonts w:cs="Arial"/>
          <w:noProof/>
          <w:color w:val="000000"/>
          <w:szCs w:val="22"/>
        </w:rPr>
        <w:t>17</w:t>
      </w:r>
      <w:r w:rsidR="00E03E9F" w:rsidRPr="001905B0">
        <w:rPr>
          <w:rFonts w:cs="Arial"/>
          <w:szCs w:val="22"/>
        </w:rPr>
        <w:fldChar w:fldCharType="end"/>
      </w:r>
      <w:r w:rsidRPr="001905B0">
        <w:rPr>
          <w:rFonts w:cs="Arial"/>
          <w:szCs w:val="22"/>
        </w:rPr>
        <w:t xml:space="preserve">). </w:t>
      </w:r>
    </w:p>
    <w:p w14:paraId="0B56E4D8" w14:textId="77777777" w:rsidR="00927DC7" w:rsidRPr="001905B0" w:rsidRDefault="00927DC7" w:rsidP="000252FF">
      <w:pPr>
        <w:rPr>
          <w:rFonts w:cs="Arial"/>
          <w:szCs w:val="22"/>
        </w:rPr>
      </w:pPr>
    </w:p>
    <w:p w14:paraId="57B7708B" w14:textId="77777777" w:rsidR="0040355B" w:rsidRDefault="0040355B" w:rsidP="00807368">
      <w:pPr>
        <w:spacing w:after="0"/>
        <w:rPr>
          <w:rFonts w:cs="Arial"/>
          <w:szCs w:val="22"/>
        </w:rPr>
      </w:pPr>
    </w:p>
    <w:p w14:paraId="6C0CBB15" w14:textId="77777777" w:rsidR="005B06BC" w:rsidRPr="001905B0" w:rsidRDefault="00CD3DA9" w:rsidP="00807368">
      <w:pPr>
        <w:spacing w:after="0"/>
        <w:rPr>
          <w:rFonts w:cs="Arial"/>
          <w:szCs w:val="22"/>
        </w:rPr>
      </w:pPr>
      <w:r w:rsidRPr="001905B0">
        <w:rPr>
          <w:rFonts w:cs="Arial"/>
          <w:szCs w:val="22"/>
        </w:rPr>
        <w:t>Abundance</w:t>
      </w:r>
      <w:r w:rsidR="000252FF" w:rsidRPr="001905B0">
        <w:rPr>
          <w:rFonts w:cs="Arial"/>
          <w:szCs w:val="22"/>
        </w:rPr>
        <w:t xml:space="preserve"> state at each site for each monitoring event was allocated a grade: </w:t>
      </w:r>
    </w:p>
    <w:p w14:paraId="72DDBC9B" w14:textId="5EDF8476" w:rsidR="005B06BC" w:rsidRPr="001905B0" w:rsidRDefault="000252FF" w:rsidP="00807368">
      <w:pPr>
        <w:numPr>
          <w:ilvl w:val="0"/>
          <w:numId w:val="16"/>
        </w:numPr>
        <w:spacing w:before="40" w:after="0"/>
        <w:ind w:left="714" w:hanging="357"/>
        <w:rPr>
          <w:rFonts w:cs="Arial"/>
          <w:szCs w:val="22"/>
        </w:rPr>
      </w:pPr>
      <w:r w:rsidRPr="001905B0">
        <w:rPr>
          <w:rFonts w:cs="Arial"/>
          <w:i/>
          <w:szCs w:val="22"/>
        </w:rPr>
        <w:t>very good</w:t>
      </w:r>
      <w:r w:rsidRPr="001905B0">
        <w:rPr>
          <w:rFonts w:cs="Arial"/>
          <w:szCs w:val="22"/>
        </w:rPr>
        <w:t xml:space="preserve">, median </w:t>
      </w:r>
      <w:r w:rsidR="007F7222">
        <w:rPr>
          <w:rFonts w:cs="Arial"/>
          <w:szCs w:val="22"/>
        </w:rPr>
        <w:t>per cent</w:t>
      </w:r>
      <w:r w:rsidRPr="001905B0">
        <w:rPr>
          <w:rFonts w:cs="Arial"/>
          <w:szCs w:val="22"/>
        </w:rPr>
        <w:t xml:space="preserve"> cover at or above 75</w:t>
      </w:r>
      <w:r w:rsidRPr="001905B0">
        <w:rPr>
          <w:rFonts w:cs="Arial"/>
          <w:szCs w:val="22"/>
          <w:vertAlign w:val="superscript"/>
        </w:rPr>
        <w:t>th</w:t>
      </w:r>
      <w:r w:rsidRPr="001905B0">
        <w:rPr>
          <w:rFonts w:cs="Arial"/>
          <w:szCs w:val="22"/>
        </w:rPr>
        <w:t xml:space="preserve"> percentile </w:t>
      </w:r>
    </w:p>
    <w:p w14:paraId="00EC7434" w14:textId="4DF4D8EC" w:rsidR="005B06BC" w:rsidRPr="001905B0" w:rsidRDefault="000252FF" w:rsidP="00807368">
      <w:pPr>
        <w:numPr>
          <w:ilvl w:val="0"/>
          <w:numId w:val="16"/>
        </w:numPr>
        <w:spacing w:before="40" w:after="0"/>
        <w:rPr>
          <w:rFonts w:cs="Arial"/>
          <w:szCs w:val="22"/>
        </w:rPr>
      </w:pPr>
      <w:r w:rsidRPr="001905B0">
        <w:rPr>
          <w:rFonts w:cs="Arial"/>
          <w:i/>
          <w:szCs w:val="22"/>
        </w:rPr>
        <w:t>good</w:t>
      </w:r>
      <w:r w:rsidRPr="001905B0">
        <w:rPr>
          <w:rFonts w:cs="Arial"/>
          <w:szCs w:val="22"/>
        </w:rPr>
        <w:t xml:space="preserve">, median </w:t>
      </w:r>
      <w:r w:rsidR="007F7222">
        <w:rPr>
          <w:rFonts w:cs="Arial"/>
          <w:szCs w:val="22"/>
        </w:rPr>
        <w:t>per cent</w:t>
      </w:r>
      <w:r w:rsidRPr="001905B0">
        <w:rPr>
          <w:rFonts w:cs="Arial"/>
          <w:szCs w:val="22"/>
        </w:rPr>
        <w:t xml:space="preserve"> cover at or above 50</w:t>
      </w:r>
      <w:r w:rsidRPr="001905B0">
        <w:rPr>
          <w:rFonts w:cs="Arial"/>
          <w:szCs w:val="22"/>
          <w:vertAlign w:val="superscript"/>
        </w:rPr>
        <w:t>th</w:t>
      </w:r>
      <w:r w:rsidRPr="001905B0">
        <w:rPr>
          <w:rFonts w:cs="Arial"/>
          <w:szCs w:val="22"/>
        </w:rPr>
        <w:t xml:space="preserve"> percentile</w:t>
      </w:r>
    </w:p>
    <w:p w14:paraId="5457D8A3" w14:textId="4A97A997" w:rsidR="005B06BC" w:rsidRPr="001905B0" w:rsidRDefault="000252FF" w:rsidP="00807368">
      <w:pPr>
        <w:numPr>
          <w:ilvl w:val="0"/>
          <w:numId w:val="16"/>
        </w:numPr>
        <w:spacing w:before="40" w:after="0"/>
        <w:rPr>
          <w:rFonts w:cs="Arial"/>
          <w:szCs w:val="22"/>
        </w:rPr>
      </w:pPr>
      <w:r w:rsidRPr="001905B0">
        <w:rPr>
          <w:rFonts w:cs="Arial"/>
          <w:i/>
          <w:szCs w:val="22"/>
        </w:rPr>
        <w:t>moderate</w:t>
      </w:r>
      <w:r w:rsidRPr="001905B0">
        <w:rPr>
          <w:rFonts w:cs="Arial"/>
          <w:szCs w:val="22"/>
        </w:rPr>
        <w:t xml:space="preserve">, median </w:t>
      </w:r>
      <w:r w:rsidR="007F7222">
        <w:rPr>
          <w:rFonts w:cs="Arial"/>
          <w:szCs w:val="22"/>
        </w:rPr>
        <w:t>per cent</w:t>
      </w:r>
      <w:r w:rsidRPr="001905B0">
        <w:rPr>
          <w:rFonts w:cs="Arial"/>
          <w:szCs w:val="22"/>
        </w:rPr>
        <w:t xml:space="preserve"> cover below 50</w:t>
      </w:r>
      <w:r w:rsidRPr="001905B0">
        <w:rPr>
          <w:rFonts w:cs="Arial"/>
          <w:szCs w:val="22"/>
          <w:vertAlign w:val="superscript"/>
        </w:rPr>
        <w:t>th</w:t>
      </w:r>
      <w:r w:rsidRPr="001905B0">
        <w:rPr>
          <w:rFonts w:cs="Arial"/>
          <w:szCs w:val="22"/>
        </w:rPr>
        <w:t xml:space="preserve"> percentile and at or above </w:t>
      </w:r>
      <w:r w:rsidR="00CD3DA9" w:rsidRPr="001905B0">
        <w:rPr>
          <w:rFonts w:cs="Arial"/>
          <w:szCs w:val="22"/>
        </w:rPr>
        <w:t xml:space="preserve">low </w:t>
      </w:r>
      <w:r w:rsidR="00F61BF9" w:rsidRPr="001905B0">
        <w:rPr>
          <w:rFonts w:cs="Arial"/>
          <w:szCs w:val="22"/>
        </w:rPr>
        <w:t>guideline</w:t>
      </w:r>
      <w:r w:rsidRPr="001905B0">
        <w:rPr>
          <w:rFonts w:cs="Arial"/>
          <w:szCs w:val="22"/>
        </w:rPr>
        <w:t xml:space="preserve"> </w:t>
      </w:r>
    </w:p>
    <w:p w14:paraId="3F6151F2" w14:textId="502F3337" w:rsidR="005B06BC" w:rsidRPr="001905B0" w:rsidRDefault="000252FF" w:rsidP="00807368">
      <w:pPr>
        <w:numPr>
          <w:ilvl w:val="0"/>
          <w:numId w:val="16"/>
        </w:numPr>
        <w:spacing w:before="40" w:after="0"/>
        <w:rPr>
          <w:rFonts w:cs="Arial"/>
          <w:szCs w:val="22"/>
        </w:rPr>
      </w:pPr>
      <w:r w:rsidRPr="001905B0">
        <w:rPr>
          <w:rFonts w:cs="Arial"/>
          <w:i/>
          <w:szCs w:val="22"/>
        </w:rPr>
        <w:t>poor</w:t>
      </w:r>
      <w:r w:rsidRPr="001905B0">
        <w:rPr>
          <w:rFonts w:cs="Arial"/>
          <w:szCs w:val="22"/>
        </w:rPr>
        <w:t xml:space="preserve">, median </w:t>
      </w:r>
      <w:r w:rsidR="007F7222">
        <w:rPr>
          <w:rFonts w:cs="Arial"/>
          <w:szCs w:val="22"/>
        </w:rPr>
        <w:t>per cent</w:t>
      </w:r>
      <w:r w:rsidRPr="001905B0">
        <w:rPr>
          <w:rFonts w:cs="Arial"/>
          <w:szCs w:val="22"/>
        </w:rPr>
        <w:t xml:space="preserve"> cover below </w:t>
      </w:r>
      <w:r w:rsidR="00CD3DA9" w:rsidRPr="001905B0">
        <w:rPr>
          <w:rFonts w:cs="Arial"/>
          <w:szCs w:val="22"/>
        </w:rPr>
        <w:t xml:space="preserve">low </w:t>
      </w:r>
      <w:r w:rsidR="00F61BF9" w:rsidRPr="001905B0">
        <w:rPr>
          <w:rFonts w:cs="Arial"/>
          <w:szCs w:val="22"/>
        </w:rPr>
        <w:t>guideline</w:t>
      </w:r>
    </w:p>
    <w:p w14:paraId="4ED8BE90" w14:textId="6B524C03" w:rsidR="005B06BC" w:rsidRPr="001905B0" w:rsidRDefault="000252FF" w:rsidP="00807368">
      <w:pPr>
        <w:numPr>
          <w:ilvl w:val="0"/>
          <w:numId w:val="16"/>
        </w:numPr>
        <w:spacing w:before="40" w:after="0"/>
        <w:rPr>
          <w:rFonts w:cs="Arial"/>
          <w:szCs w:val="22"/>
        </w:rPr>
      </w:pPr>
      <w:r w:rsidRPr="001905B0">
        <w:rPr>
          <w:rFonts w:cs="Arial"/>
          <w:i/>
          <w:szCs w:val="22"/>
        </w:rPr>
        <w:t>very poor</w:t>
      </w:r>
      <w:r w:rsidRPr="001905B0">
        <w:rPr>
          <w:rFonts w:cs="Arial"/>
          <w:szCs w:val="22"/>
        </w:rPr>
        <w:t xml:space="preserve">, median </w:t>
      </w:r>
      <w:r w:rsidR="007F7222">
        <w:rPr>
          <w:rFonts w:cs="Arial"/>
          <w:szCs w:val="22"/>
        </w:rPr>
        <w:t>per cent</w:t>
      </w:r>
      <w:r w:rsidRPr="001905B0">
        <w:rPr>
          <w:rFonts w:cs="Arial"/>
          <w:szCs w:val="22"/>
        </w:rPr>
        <w:t xml:space="preserve"> cover below </w:t>
      </w:r>
      <w:r w:rsidR="00CD3DA9" w:rsidRPr="001905B0">
        <w:rPr>
          <w:rFonts w:cs="Arial"/>
          <w:szCs w:val="22"/>
        </w:rPr>
        <w:t xml:space="preserve">low </w:t>
      </w:r>
      <w:r w:rsidR="00F61BF9" w:rsidRPr="001905B0">
        <w:rPr>
          <w:rFonts w:cs="Arial"/>
          <w:szCs w:val="22"/>
        </w:rPr>
        <w:t xml:space="preserve">guideline </w:t>
      </w:r>
      <w:r w:rsidRPr="001905B0">
        <w:rPr>
          <w:rFonts w:cs="Arial"/>
          <w:szCs w:val="22"/>
        </w:rPr>
        <w:t>and declined by &gt;20</w:t>
      </w:r>
      <w:r w:rsidR="003C311A">
        <w:rPr>
          <w:rFonts w:cs="Arial"/>
          <w:szCs w:val="22"/>
        </w:rPr>
        <w:t xml:space="preserve">% </w:t>
      </w:r>
      <w:r w:rsidRPr="001905B0">
        <w:rPr>
          <w:rFonts w:cs="Arial"/>
          <w:szCs w:val="22"/>
        </w:rPr>
        <w:t xml:space="preserve">since previous sampling event). </w:t>
      </w:r>
    </w:p>
    <w:p w14:paraId="2BDBC1DA" w14:textId="641739BE" w:rsidR="000252FF" w:rsidRPr="001905B0" w:rsidRDefault="000252FF" w:rsidP="000252FF">
      <w:pPr>
        <w:rPr>
          <w:rFonts w:cs="Arial"/>
          <w:szCs w:val="22"/>
        </w:rPr>
      </w:pPr>
      <w:r w:rsidRPr="001905B0">
        <w:rPr>
          <w:rFonts w:cs="Arial"/>
          <w:szCs w:val="22"/>
        </w:rPr>
        <w:t>The choice of whether the 20</w:t>
      </w:r>
      <w:r w:rsidRPr="001905B0">
        <w:rPr>
          <w:rFonts w:cs="Arial"/>
          <w:szCs w:val="22"/>
          <w:vertAlign w:val="superscript"/>
        </w:rPr>
        <w:t>th</w:t>
      </w:r>
      <w:r w:rsidRPr="001905B0">
        <w:rPr>
          <w:rFonts w:cs="Arial"/>
          <w:szCs w:val="22"/>
        </w:rPr>
        <w:t xml:space="preserve"> or 10</w:t>
      </w:r>
      <w:r w:rsidRPr="001905B0">
        <w:rPr>
          <w:rFonts w:cs="Arial"/>
          <w:szCs w:val="22"/>
          <w:vertAlign w:val="superscript"/>
        </w:rPr>
        <w:t>th</w:t>
      </w:r>
      <w:r w:rsidRPr="001905B0">
        <w:rPr>
          <w:rFonts w:cs="Arial"/>
          <w:szCs w:val="22"/>
        </w:rPr>
        <w:t xml:space="preserve"> percentile </w:t>
      </w:r>
      <w:r w:rsidR="00E03E9F" w:rsidRPr="001905B0">
        <w:rPr>
          <w:rFonts w:cs="Arial"/>
          <w:szCs w:val="22"/>
        </w:rPr>
        <w:t>wa</w:t>
      </w:r>
      <w:r w:rsidRPr="001905B0">
        <w:rPr>
          <w:rFonts w:cs="Arial"/>
          <w:szCs w:val="22"/>
        </w:rPr>
        <w:t>s used for the low guideline depend</w:t>
      </w:r>
      <w:r w:rsidR="00E03E9F" w:rsidRPr="001905B0">
        <w:rPr>
          <w:rFonts w:cs="Arial"/>
          <w:szCs w:val="22"/>
        </w:rPr>
        <w:t>ed</w:t>
      </w:r>
      <w:r w:rsidRPr="001905B0">
        <w:rPr>
          <w:rFonts w:cs="Arial"/>
          <w:szCs w:val="22"/>
        </w:rPr>
        <w:t xml:space="preserve"> on the within-site variability</w:t>
      </w:r>
      <w:r w:rsidR="00F61BF9" w:rsidRPr="001905B0">
        <w:rPr>
          <w:rFonts w:cs="Arial"/>
          <w:szCs w:val="22"/>
        </w:rPr>
        <w:t>; g</w:t>
      </w:r>
      <w:r w:rsidRPr="001905B0">
        <w:rPr>
          <w:rFonts w:cs="Arial"/>
          <w:szCs w:val="22"/>
        </w:rPr>
        <w:t>enerally the 20</w:t>
      </w:r>
      <w:r w:rsidRPr="001905B0">
        <w:rPr>
          <w:rFonts w:cs="Arial"/>
          <w:szCs w:val="22"/>
          <w:vertAlign w:val="superscript"/>
        </w:rPr>
        <w:t>th</w:t>
      </w:r>
      <w:r w:rsidRPr="001905B0">
        <w:rPr>
          <w:rFonts w:cs="Arial"/>
          <w:szCs w:val="22"/>
        </w:rPr>
        <w:t xml:space="preserve"> percentile is used, unless within-site variability</w:t>
      </w:r>
      <w:r w:rsidR="008D142C" w:rsidRPr="001905B0">
        <w:rPr>
          <w:rFonts w:cs="Arial"/>
          <w:szCs w:val="22"/>
        </w:rPr>
        <w:t xml:space="preserve"> was low (e.g.</w:t>
      </w:r>
      <w:r w:rsidRPr="001905B0">
        <w:rPr>
          <w:rFonts w:cs="Arial"/>
          <w:szCs w:val="22"/>
        </w:rPr>
        <w:t xml:space="preserve"> CV&lt;0.6), whereby the 10</w:t>
      </w:r>
      <w:r w:rsidRPr="001905B0">
        <w:rPr>
          <w:rFonts w:cs="Arial"/>
          <w:szCs w:val="22"/>
          <w:vertAlign w:val="superscript"/>
        </w:rPr>
        <w:t>th</w:t>
      </w:r>
      <w:r w:rsidRPr="001905B0">
        <w:rPr>
          <w:rFonts w:cs="Arial"/>
          <w:szCs w:val="22"/>
        </w:rPr>
        <w:t xml:space="preserve"> percentile was more appropriate as the variance would primarily be the result of natural seasonal fluctuations (i.e. nearly every seasonal low would fall below the 20</w:t>
      </w:r>
      <w:r w:rsidRPr="001905B0">
        <w:rPr>
          <w:rFonts w:cs="Arial"/>
          <w:szCs w:val="22"/>
          <w:vertAlign w:val="superscript"/>
        </w:rPr>
        <w:t>th</w:t>
      </w:r>
      <w:r w:rsidRPr="001905B0">
        <w:rPr>
          <w:rFonts w:cs="Arial"/>
          <w:szCs w:val="22"/>
        </w:rPr>
        <w:t xml:space="preserve"> percentile). </w:t>
      </w:r>
      <w:r w:rsidR="00CD3DA9" w:rsidRPr="001905B0">
        <w:rPr>
          <w:rFonts w:cs="Arial"/>
          <w:szCs w:val="22"/>
        </w:rPr>
        <w:t>Details on the per</w:t>
      </w:r>
      <w:r w:rsidR="000E742F" w:rsidRPr="001905B0">
        <w:rPr>
          <w:rFonts w:cs="Arial"/>
          <w:szCs w:val="22"/>
        </w:rPr>
        <w:t> </w:t>
      </w:r>
      <w:r w:rsidR="00CD3DA9" w:rsidRPr="001905B0">
        <w:rPr>
          <w:rFonts w:cs="Arial"/>
          <w:szCs w:val="22"/>
        </w:rPr>
        <w:t xml:space="preserve">cent cover guidelines can be found in </w:t>
      </w:r>
      <w:r w:rsidR="00F326E4" w:rsidRPr="001905B0">
        <w:rPr>
          <w:rFonts w:cs="Arial"/>
          <w:szCs w:val="22"/>
        </w:rPr>
        <w:fldChar w:fldCharType="begin"/>
      </w:r>
      <w:r w:rsidR="00F326E4" w:rsidRPr="001905B0">
        <w:rPr>
          <w:rFonts w:cs="Arial"/>
          <w:szCs w:val="22"/>
        </w:rPr>
        <w:instrText xml:space="preserve"> REF _Ref511380752 \r \h </w:instrText>
      </w:r>
      <w:r w:rsidR="00CB093C" w:rsidRPr="001905B0">
        <w:rPr>
          <w:rFonts w:cs="Arial"/>
          <w:szCs w:val="22"/>
        </w:rPr>
        <w:instrText xml:space="preserve"> \* MERGEFORMAT </w:instrText>
      </w:r>
      <w:r w:rsidR="00F326E4" w:rsidRPr="001905B0">
        <w:rPr>
          <w:rFonts w:cs="Arial"/>
          <w:szCs w:val="22"/>
        </w:rPr>
      </w:r>
      <w:r w:rsidR="00F326E4" w:rsidRPr="001905B0">
        <w:rPr>
          <w:rFonts w:cs="Arial"/>
          <w:szCs w:val="22"/>
        </w:rPr>
        <w:fldChar w:fldCharType="separate"/>
      </w:r>
      <w:r w:rsidR="0067675D">
        <w:rPr>
          <w:rFonts w:cs="Arial"/>
          <w:szCs w:val="22"/>
        </w:rPr>
        <w:t>Appendix 2</w:t>
      </w:r>
      <w:r w:rsidR="00F326E4" w:rsidRPr="001905B0">
        <w:rPr>
          <w:rFonts w:cs="Arial"/>
          <w:szCs w:val="22"/>
        </w:rPr>
        <w:fldChar w:fldCharType="end"/>
      </w:r>
      <w:r w:rsidR="00CD3DA9" w:rsidRPr="001905B0">
        <w:rPr>
          <w:rFonts w:cs="Arial"/>
          <w:szCs w:val="22"/>
        </w:rPr>
        <w:t>.</w:t>
      </w:r>
    </w:p>
    <w:p w14:paraId="28A8814B" w14:textId="5C031AE6" w:rsidR="000252FF" w:rsidRPr="001905B0" w:rsidRDefault="000252FF" w:rsidP="000252FF">
      <w:pPr>
        <w:rPr>
          <w:rFonts w:cs="Arial"/>
          <w:szCs w:val="22"/>
        </w:rPr>
      </w:pPr>
      <w:r w:rsidRPr="001905B0">
        <w:rPr>
          <w:rFonts w:cs="Arial"/>
          <w:szCs w:val="22"/>
        </w:rPr>
        <w:t>A grade score from 0 to 100 (</w:t>
      </w:r>
      <w:r w:rsidRPr="001905B0">
        <w:rPr>
          <w:rFonts w:cs="Arial"/>
          <w:szCs w:val="22"/>
        </w:rPr>
        <w:fldChar w:fldCharType="begin"/>
      </w:r>
      <w:r w:rsidRPr="001905B0">
        <w:rPr>
          <w:rFonts w:cs="Arial"/>
          <w:szCs w:val="22"/>
        </w:rPr>
        <w:instrText xml:space="preserve"> REF _Ref316227159 \h </w:instrText>
      </w:r>
      <w:r w:rsidR="00DA741D" w:rsidRPr="001905B0">
        <w:rPr>
          <w:rFonts w:cs="Arial"/>
          <w:szCs w:val="22"/>
        </w:rPr>
        <w:instrText xml:space="preserve"> \* MERGEFORMAT </w:instrText>
      </w:r>
      <w:r w:rsidRPr="001905B0">
        <w:rPr>
          <w:rFonts w:cs="Arial"/>
          <w:szCs w:val="22"/>
        </w:rPr>
      </w:r>
      <w:r w:rsidRPr="001905B0">
        <w:rPr>
          <w:rFonts w:cs="Arial"/>
          <w:szCs w:val="22"/>
        </w:rPr>
        <w:fldChar w:fldCharType="separate"/>
      </w:r>
      <w:r w:rsidR="0067675D" w:rsidRPr="001905B0">
        <w:rPr>
          <w:rFonts w:cs="Arial"/>
          <w:color w:val="000000"/>
          <w:szCs w:val="22"/>
        </w:rPr>
        <w:t xml:space="preserve">Table </w:t>
      </w:r>
      <w:r w:rsidR="0067675D">
        <w:rPr>
          <w:rFonts w:cs="Arial"/>
          <w:noProof/>
          <w:color w:val="000000"/>
          <w:szCs w:val="22"/>
        </w:rPr>
        <w:t>4</w:t>
      </w:r>
      <w:r w:rsidRPr="001905B0">
        <w:rPr>
          <w:rFonts w:cs="Arial"/>
          <w:szCs w:val="22"/>
        </w:rPr>
        <w:fldChar w:fldCharType="end"/>
      </w:r>
      <w:r w:rsidRPr="001905B0">
        <w:rPr>
          <w:rFonts w:cs="Arial"/>
          <w:szCs w:val="22"/>
        </w:rPr>
        <w:t xml:space="preserve">) was then assigned to enable integration with other seagrass indicators and other components of the </w:t>
      </w:r>
      <w:r w:rsidR="005B06BC" w:rsidRPr="001905B0">
        <w:rPr>
          <w:rFonts w:cs="Arial"/>
          <w:szCs w:val="22"/>
        </w:rPr>
        <w:t>Reef</w:t>
      </w:r>
      <w:r w:rsidRPr="001905B0">
        <w:rPr>
          <w:rFonts w:cs="Arial"/>
          <w:szCs w:val="22"/>
        </w:rPr>
        <w:t xml:space="preserve"> report card (</w:t>
      </w:r>
      <w:hyperlink w:anchor="_ENREF_49" w:tooltip="Department of the Premier and Cabinet, 2014 #10062" w:history="1">
        <w:r w:rsidR="009A7AB4" w:rsidRPr="001905B0">
          <w:rPr>
            <w:rFonts w:cs="Arial"/>
            <w:szCs w:val="22"/>
          </w:rPr>
          <w:fldChar w:fldCharType="begin"/>
        </w:r>
        <w:r w:rsidR="009A7AB4" w:rsidRPr="001905B0">
          <w:rPr>
            <w:rFonts w:cs="Arial"/>
            <w:szCs w:val="22"/>
          </w:rPr>
          <w:instrText xml:space="preserve"> ADDIN EN.CITE &lt;EndNote&gt;&lt;Cite&gt;&lt;Author&gt;Department of the Premier and Cabinet&lt;/Author&gt;&lt;Year&gt;2014&lt;/Year&gt;&lt;RecNum&gt;10062&lt;/RecNum&gt;&lt;DisplayText&gt;Department of the Premier and Cabinet 2014&lt;/DisplayText&gt;&lt;record&gt;&lt;rec-number&gt;10062&lt;/rec-number&gt;&lt;foreign-keys&gt;&lt;key app="EN" db-id="0eve55x9y5vfd6e9dacxtew4eatve2dzds9a" timestamp="1421123388"&gt;10062&lt;/key&gt;&lt;/foreign-keys&gt;&lt;ref-type name="Web Page"&gt;12&lt;/ref-type&gt;&lt;contributors&gt;&lt;authors&gt;&lt;author&gt;Department of the Premier and Cabinet,&lt;/author&gt;&lt;/authors&gt;&lt;/contributors&gt;&lt;titles&gt;&lt;title&gt;Great Barrier Reef report card 2012 and 2013, Reef Water Quality Protection Plan, Scoring system.&lt;/title&gt;&lt;/titles&gt;&lt;number&gt;14/11/2014&lt;/number&gt;&lt;dates&gt;&lt;year&gt;2014&lt;/year&gt;&lt;/dates&gt;&lt;pub-location&gt;Brisbane&lt;/pub-location&gt;&lt;publisher&gt;Australian Government and Queensland Government&lt;/publisher&gt;&lt;urls&gt;&lt;related-urls&gt;&lt;url&gt;http://www.reefplan.qld.gov.au/measuring-success/methods/scoring-system.aspx&lt;/url&gt;&lt;/related-urls&gt;&lt;/urls&gt;&lt;/record&gt;&lt;/Cite&gt;&lt;/EndNote&gt;</w:instrText>
        </w:r>
        <w:r w:rsidR="009A7AB4" w:rsidRPr="001905B0">
          <w:rPr>
            <w:rFonts w:cs="Arial"/>
            <w:szCs w:val="22"/>
          </w:rPr>
          <w:fldChar w:fldCharType="separate"/>
        </w:r>
        <w:r w:rsidR="009A7AB4" w:rsidRPr="001905B0">
          <w:rPr>
            <w:rFonts w:cs="Arial"/>
            <w:noProof/>
            <w:szCs w:val="22"/>
          </w:rPr>
          <w:t>Department of the Premier and Cabinet 2014</w:t>
        </w:r>
        <w:r w:rsidR="009A7AB4" w:rsidRPr="001905B0">
          <w:rPr>
            <w:rFonts w:cs="Arial"/>
            <w:szCs w:val="22"/>
          </w:rPr>
          <w:fldChar w:fldCharType="end"/>
        </w:r>
      </w:hyperlink>
      <w:r w:rsidRPr="001905B0">
        <w:rPr>
          <w:rFonts w:cs="Arial"/>
          <w:szCs w:val="22"/>
        </w:rPr>
        <w:t xml:space="preserve">). Annual seagrass abundance </w:t>
      </w:r>
      <w:r w:rsidRPr="001905B0">
        <w:rPr>
          <w:rFonts w:cs="Arial"/>
          <w:szCs w:val="22"/>
        </w:rPr>
        <w:lastRenderedPageBreak/>
        <w:t>scores were calculate</w:t>
      </w:r>
      <w:r w:rsidR="005B06BC" w:rsidRPr="001905B0">
        <w:rPr>
          <w:rFonts w:cs="Arial"/>
          <w:szCs w:val="22"/>
        </w:rPr>
        <w:t>d</w:t>
      </w:r>
      <w:r w:rsidRPr="001905B0">
        <w:rPr>
          <w:rFonts w:cs="Arial"/>
          <w:szCs w:val="22"/>
        </w:rPr>
        <w:t xml:space="preserve"> using the average grade score for each site (including all sampling events per year), each habitat and each NRM. </w:t>
      </w:r>
    </w:p>
    <w:p w14:paraId="07C17B97" w14:textId="7DC40AEA" w:rsidR="003D1F7F" w:rsidRPr="001905B0" w:rsidRDefault="003D1F7F" w:rsidP="0089405C">
      <w:pPr>
        <w:keepNext/>
        <w:jc w:val="center"/>
        <w:rPr>
          <w:rFonts w:cs="Arial"/>
          <w:i/>
          <w:vanish/>
          <w:color w:val="000000"/>
          <w:szCs w:val="22"/>
          <w:specVanish/>
        </w:rPr>
      </w:pPr>
      <w:bookmarkStart w:id="131" w:name="_Ref271182817"/>
      <w:bookmarkStart w:id="132" w:name="_Ref316227159"/>
      <w:bookmarkStart w:id="133" w:name="_Ref410131826"/>
      <w:bookmarkStart w:id="134" w:name="_Ref271182809"/>
      <w:bookmarkStart w:id="135" w:name="_Toc37787056"/>
      <w:bookmarkStart w:id="136" w:name="_Toc47600678"/>
      <w:r w:rsidRPr="001905B0">
        <w:rPr>
          <w:rFonts w:cs="Arial"/>
          <w:color w:val="000000"/>
          <w:szCs w:val="22"/>
        </w:rPr>
        <w:t xml:space="preserve">Table </w:t>
      </w:r>
      <w:r w:rsidRPr="001905B0">
        <w:rPr>
          <w:rFonts w:cs="Arial"/>
          <w:color w:val="000000"/>
          <w:szCs w:val="22"/>
        </w:rPr>
        <w:fldChar w:fldCharType="begin"/>
      </w:r>
      <w:r w:rsidRPr="001905B0">
        <w:rPr>
          <w:rFonts w:cs="Arial"/>
          <w:color w:val="000000"/>
          <w:szCs w:val="22"/>
        </w:rPr>
        <w:instrText xml:space="preserve"> SEQ Table \* ARABIC </w:instrText>
      </w:r>
      <w:r w:rsidRPr="001905B0">
        <w:rPr>
          <w:rFonts w:cs="Arial"/>
          <w:color w:val="000000"/>
          <w:szCs w:val="22"/>
        </w:rPr>
        <w:fldChar w:fldCharType="separate"/>
      </w:r>
      <w:r w:rsidR="0067675D">
        <w:rPr>
          <w:rFonts w:cs="Arial"/>
          <w:noProof/>
          <w:color w:val="000000"/>
          <w:szCs w:val="22"/>
        </w:rPr>
        <w:t>4</w:t>
      </w:r>
      <w:r w:rsidRPr="001905B0">
        <w:rPr>
          <w:rFonts w:cs="Arial"/>
          <w:color w:val="000000"/>
          <w:szCs w:val="22"/>
        </w:rPr>
        <w:fldChar w:fldCharType="end"/>
      </w:r>
      <w:bookmarkEnd w:id="131"/>
      <w:bookmarkEnd w:id="132"/>
      <w:bookmarkEnd w:id="133"/>
      <w:r w:rsidRPr="001905B0">
        <w:rPr>
          <w:rFonts w:cs="Arial"/>
          <w:color w:val="000000"/>
          <w:szCs w:val="22"/>
        </w:rPr>
        <w:t xml:space="preserve">. </w:t>
      </w:r>
      <w:r w:rsidRPr="001905B0">
        <w:rPr>
          <w:rFonts w:cs="Arial"/>
          <w:i/>
          <w:color w:val="000000"/>
          <w:szCs w:val="22"/>
        </w:rPr>
        <w:t>Scoring threshold table to determine seagrass abundance status.</w:t>
      </w:r>
      <w:bookmarkEnd w:id="134"/>
      <w:bookmarkEnd w:id="135"/>
      <w:bookmarkEnd w:id="136"/>
      <w:r w:rsidRPr="001905B0">
        <w:rPr>
          <w:rFonts w:cs="Arial"/>
          <w:i/>
          <w:color w:val="000000"/>
          <w:szCs w:val="22"/>
        </w:rPr>
        <w:t xml:space="preserve"> </w:t>
      </w:r>
    </w:p>
    <w:p w14:paraId="24AEFADE" w14:textId="14D99EFB" w:rsidR="003D1F7F" w:rsidRDefault="003D1F7F" w:rsidP="0089405C">
      <w:pPr>
        <w:keepNext/>
        <w:jc w:val="center"/>
        <w:rPr>
          <w:rFonts w:cs="Arial"/>
          <w:i/>
          <w:color w:val="000000"/>
          <w:szCs w:val="22"/>
        </w:rPr>
      </w:pPr>
      <w:r w:rsidRPr="001905B0">
        <w:rPr>
          <w:rFonts w:cs="Arial"/>
          <w:i/>
          <w:color w:val="000000"/>
          <w:szCs w:val="22"/>
        </w:rPr>
        <w:t>low = 10</w:t>
      </w:r>
      <w:r w:rsidRPr="001905B0">
        <w:rPr>
          <w:rFonts w:cs="Arial"/>
          <w:i/>
          <w:color w:val="000000"/>
          <w:szCs w:val="22"/>
          <w:vertAlign w:val="superscript"/>
        </w:rPr>
        <w:t>th</w:t>
      </w:r>
      <w:r w:rsidRPr="001905B0">
        <w:rPr>
          <w:rFonts w:cs="Arial"/>
          <w:i/>
          <w:color w:val="000000"/>
          <w:szCs w:val="22"/>
        </w:rPr>
        <w:t xml:space="preserve"> or 20</w:t>
      </w:r>
      <w:r w:rsidRPr="001905B0">
        <w:rPr>
          <w:rFonts w:cs="Arial"/>
          <w:i/>
          <w:color w:val="000000"/>
          <w:szCs w:val="22"/>
          <w:vertAlign w:val="superscript"/>
        </w:rPr>
        <w:t>th</w:t>
      </w:r>
      <w:r w:rsidRPr="001905B0">
        <w:rPr>
          <w:rFonts w:cs="Arial"/>
          <w:i/>
          <w:color w:val="000000"/>
          <w:szCs w:val="22"/>
        </w:rPr>
        <w:t xml:space="preserve"> percentile guideline. NB: scores are unitless.</w:t>
      </w:r>
    </w:p>
    <w:tbl>
      <w:tblPr>
        <w:tblW w:w="6907" w:type="dxa"/>
        <w:jc w:val="center"/>
        <w:tblLook w:val="0000" w:firstRow="0" w:lastRow="0" w:firstColumn="0" w:lastColumn="0" w:noHBand="0" w:noVBand="0"/>
      </w:tblPr>
      <w:tblGrid>
        <w:gridCol w:w="1370"/>
        <w:gridCol w:w="2357"/>
        <w:gridCol w:w="1560"/>
        <w:gridCol w:w="1620"/>
      </w:tblGrid>
      <w:tr w:rsidR="000B6103" w:rsidRPr="000B6103" w14:paraId="01D03533" w14:textId="77777777" w:rsidTr="000B6103">
        <w:trPr>
          <w:trHeight w:val="290"/>
          <w:jc w:val="center"/>
        </w:trPr>
        <w:tc>
          <w:tcPr>
            <w:tcW w:w="1370" w:type="dxa"/>
            <w:tcBorders>
              <w:top w:val="single" w:sz="4" w:space="0" w:color="auto"/>
              <w:left w:val="nil"/>
              <w:bottom w:val="single" w:sz="4" w:space="0" w:color="auto"/>
              <w:right w:val="nil"/>
            </w:tcBorders>
            <w:noWrap/>
            <w:vAlign w:val="center"/>
          </w:tcPr>
          <w:p w14:paraId="4064BC3D" w14:textId="77777777" w:rsidR="000B6103" w:rsidRPr="000B6103" w:rsidRDefault="000B6103" w:rsidP="00592F37">
            <w:pPr>
              <w:spacing w:before="0" w:after="0"/>
              <w:jc w:val="center"/>
              <w:rPr>
                <w:rFonts w:cs="Arial"/>
                <w:b/>
                <w:color w:val="000000"/>
                <w:szCs w:val="22"/>
                <w:lang w:val="en-US"/>
              </w:rPr>
            </w:pPr>
            <w:r w:rsidRPr="000B6103">
              <w:rPr>
                <w:rFonts w:cs="Arial"/>
                <w:b/>
                <w:color w:val="000000"/>
                <w:szCs w:val="22"/>
                <w:lang w:val="en-US"/>
              </w:rPr>
              <w:t>grade</w:t>
            </w:r>
          </w:p>
        </w:tc>
        <w:tc>
          <w:tcPr>
            <w:tcW w:w="2357" w:type="dxa"/>
            <w:tcBorders>
              <w:top w:val="single" w:sz="4" w:space="0" w:color="auto"/>
              <w:left w:val="nil"/>
              <w:bottom w:val="single" w:sz="4" w:space="0" w:color="auto"/>
              <w:right w:val="nil"/>
            </w:tcBorders>
            <w:noWrap/>
            <w:vAlign w:val="center"/>
          </w:tcPr>
          <w:p w14:paraId="739652C3" w14:textId="77777777" w:rsidR="000B6103" w:rsidRPr="000B6103" w:rsidRDefault="000B6103" w:rsidP="00592F37">
            <w:pPr>
              <w:spacing w:before="0" w:after="0"/>
              <w:jc w:val="center"/>
              <w:rPr>
                <w:rFonts w:cs="Arial"/>
                <w:b/>
                <w:color w:val="000000"/>
                <w:szCs w:val="22"/>
                <w:lang w:val="en-US"/>
              </w:rPr>
            </w:pPr>
            <w:r w:rsidRPr="000B6103">
              <w:rPr>
                <w:rFonts w:cs="Arial"/>
                <w:b/>
                <w:color w:val="000000"/>
                <w:szCs w:val="22"/>
                <w:lang w:val="en-US"/>
              </w:rPr>
              <w:t>percentile category</w:t>
            </w:r>
          </w:p>
        </w:tc>
        <w:tc>
          <w:tcPr>
            <w:tcW w:w="1560" w:type="dxa"/>
            <w:tcBorders>
              <w:top w:val="single" w:sz="4" w:space="0" w:color="auto"/>
              <w:left w:val="nil"/>
              <w:bottom w:val="single" w:sz="4" w:space="0" w:color="auto"/>
              <w:right w:val="nil"/>
            </w:tcBorders>
            <w:noWrap/>
            <w:vAlign w:val="center"/>
          </w:tcPr>
          <w:p w14:paraId="68F2048A" w14:textId="77777777" w:rsidR="000B6103" w:rsidRPr="000B6103" w:rsidRDefault="000B6103" w:rsidP="00592F37">
            <w:pPr>
              <w:spacing w:before="0" w:after="0"/>
              <w:jc w:val="center"/>
              <w:rPr>
                <w:rFonts w:cs="Arial"/>
                <w:b/>
                <w:color w:val="000000"/>
                <w:szCs w:val="22"/>
                <w:lang w:val="en-US"/>
              </w:rPr>
            </w:pPr>
            <w:r w:rsidRPr="000B6103">
              <w:rPr>
                <w:rFonts w:cs="Arial"/>
                <w:b/>
                <w:color w:val="000000"/>
                <w:szCs w:val="22"/>
                <w:lang w:val="en-US"/>
              </w:rPr>
              <w:t>score</w:t>
            </w:r>
          </w:p>
        </w:tc>
        <w:tc>
          <w:tcPr>
            <w:tcW w:w="1620" w:type="dxa"/>
            <w:tcBorders>
              <w:top w:val="single" w:sz="4" w:space="0" w:color="auto"/>
              <w:left w:val="nil"/>
              <w:bottom w:val="single" w:sz="4" w:space="0" w:color="auto"/>
              <w:right w:val="nil"/>
            </w:tcBorders>
            <w:noWrap/>
            <w:vAlign w:val="center"/>
          </w:tcPr>
          <w:p w14:paraId="27A50C28" w14:textId="77777777" w:rsidR="000B6103" w:rsidRPr="000B6103" w:rsidRDefault="000B6103" w:rsidP="00592F37">
            <w:pPr>
              <w:spacing w:before="0" w:after="0"/>
              <w:jc w:val="center"/>
              <w:rPr>
                <w:rFonts w:cs="Arial"/>
                <w:b/>
                <w:color w:val="000000"/>
                <w:szCs w:val="22"/>
                <w:lang w:val="en-US"/>
              </w:rPr>
            </w:pPr>
            <w:r w:rsidRPr="000B6103">
              <w:rPr>
                <w:rFonts w:cs="Arial"/>
                <w:b/>
                <w:color w:val="000000"/>
                <w:szCs w:val="22"/>
                <w:lang w:val="en-US"/>
              </w:rPr>
              <w:t>status</w:t>
            </w:r>
          </w:p>
        </w:tc>
      </w:tr>
      <w:tr w:rsidR="000B6103" w:rsidRPr="000B6103" w14:paraId="03FA115D" w14:textId="77777777" w:rsidTr="00BE4AE8">
        <w:trPr>
          <w:trHeight w:val="290"/>
          <w:jc w:val="center"/>
        </w:trPr>
        <w:tc>
          <w:tcPr>
            <w:tcW w:w="1370" w:type="dxa"/>
            <w:tcBorders>
              <w:top w:val="nil"/>
              <w:left w:val="nil"/>
              <w:bottom w:val="nil"/>
              <w:right w:val="nil"/>
            </w:tcBorders>
            <w:noWrap/>
            <w:vAlign w:val="bottom"/>
          </w:tcPr>
          <w:p w14:paraId="2B9590C3" w14:textId="77777777" w:rsidR="000B6103" w:rsidRPr="000B6103" w:rsidRDefault="000B6103" w:rsidP="00592F37">
            <w:pPr>
              <w:spacing w:before="0" w:after="0"/>
              <w:rPr>
                <w:rFonts w:cs="Arial"/>
                <w:i/>
                <w:iCs/>
                <w:color w:val="000000"/>
                <w:szCs w:val="22"/>
                <w:lang w:eastAsia="en-AU"/>
              </w:rPr>
            </w:pPr>
            <w:r w:rsidRPr="000B6103">
              <w:rPr>
                <w:rFonts w:cs="Arial"/>
                <w:i/>
                <w:iCs/>
                <w:color w:val="000000"/>
                <w:szCs w:val="22"/>
                <w:lang w:eastAsia="en-AU"/>
              </w:rPr>
              <w:t>very good</w:t>
            </w:r>
          </w:p>
        </w:tc>
        <w:tc>
          <w:tcPr>
            <w:tcW w:w="2357" w:type="dxa"/>
            <w:tcBorders>
              <w:top w:val="nil"/>
              <w:left w:val="nil"/>
              <w:bottom w:val="nil"/>
              <w:right w:val="nil"/>
            </w:tcBorders>
            <w:noWrap/>
            <w:vAlign w:val="bottom"/>
          </w:tcPr>
          <w:p w14:paraId="23DF5B44"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75-100</w:t>
            </w:r>
          </w:p>
        </w:tc>
        <w:tc>
          <w:tcPr>
            <w:tcW w:w="1560" w:type="dxa"/>
            <w:tcBorders>
              <w:top w:val="nil"/>
              <w:left w:val="nil"/>
              <w:bottom w:val="nil"/>
              <w:right w:val="nil"/>
            </w:tcBorders>
            <w:noWrap/>
            <w:vAlign w:val="bottom"/>
          </w:tcPr>
          <w:p w14:paraId="4ABD02B0"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100</w:t>
            </w:r>
          </w:p>
        </w:tc>
        <w:tc>
          <w:tcPr>
            <w:tcW w:w="1620" w:type="dxa"/>
            <w:tcBorders>
              <w:top w:val="nil"/>
              <w:left w:val="nil"/>
              <w:bottom w:val="nil"/>
              <w:right w:val="nil"/>
            </w:tcBorders>
            <w:shd w:val="clear" w:color="auto" w:fill="008000"/>
            <w:noWrap/>
            <w:vAlign w:val="bottom"/>
          </w:tcPr>
          <w:p w14:paraId="501D029D"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81 - 100</w:t>
            </w:r>
          </w:p>
        </w:tc>
      </w:tr>
      <w:tr w:rsidR="000B6103" w:rsidRPr="000B6103" w14:paraId="71282542" w14:textId="77777777" w:rsidTr="00BE4AE8">
        <w:trPr>
          <w:trHeight w:val="290"/>
          <w:jc w:val="center"/>
        </w:trPr>
        <w:tc>
          <w:tcPr>
            <w:tcW w:w="1370" w:type="dxa"/>
            <w:tcBorders>
              <w:top w:val="nil"/>
              <w:left w:val="nil"/>
              <w:bottom w:val="nil"/>
              <w:right w:val="nil"/>
            </w:tcBorders>
            <w:noWrap/>
            <w:vAlign w:val="bottom"/>
          </w:tcPr>
          <w:p w14:paraId="2B78C579" w14:textId="77777777" w:rsidR="000B6103" w:rsidRPr="000B6103" w:rsidRDefault="000B6103" w:rsidP="00592F37">
            <w:pPr>
              <w:spacing w:before="0" w:after="0"/>
              <w:rPr>
                <w:rFonts w:cs="Arial"/>
                <w:i/>
                <w:iCs/>
                <w:color w:val="000000"/>
                <w:szCs w:val="22"/>
                <w:lang w:eastAsia="en-AU"/>
              </w:rPr>
            </w:pPr>
            <w:r w:rsidRPr="000B6103">
              <w:rPr>
                <w:rFonts w:cs="Arial"/>
                <w:i/>
                <w:iCs/>
                <w:color w:val="000000"/>
                <w:szCs w:val="22"/>
                <w:lang w:eastAsia="en-AU"/>
              </w:rPr>
              <w:t>good</w:t>
            </w:r>
          </w:p>
        </w:tc>
        <w:tc>
          <w:tcPr>
            <w:tcW w:w="2357" w:type="dxa"/>
            <w:tcBorders>
              <w:top w:val="nil"/>
              <w:left w:val="nil"/>
              <w:bottom w:val="nil"/>
              <w:right w:val="nil"/>
            </w:tcBorders>
            <w:noWrap/>
            <w:vAlign w:val="bottom"/>
          </w:tcPr>
          <w:p w14:paraId="533C7EA2"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50-75</w:t>
            </w:r>
          </w:p>
        </w:tc>
        <w:tc>
          <w:tcPr>
            <w:tcW w:w="1560" w:type="dxa"/>
            <w:tcBorders>
              <w:top w:val="nil"/>
              <w:left w:val="nil"/>
              <w:bottom w:val="nil"/>
              <w:right w:val="nil"/>
            </w:tcBorders>
            <w:noWrap/>
            <w:vAlign w:val="bottom"/>
          </w:tcPr>
          <w:p w14:paraId="52D2F839"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75</w:t>
            </w:r>
          </w:p>
        </w:tc>
        <w:tc>
          <w:tcPr>
            <w:tcW w:w="1620" w:type="dxa"/>
            <w:tcBorders>
              <w:top w:val="nil"/>
              <w:left w:val="nil"/>
              <w:bottom w:val="nil"/>
              <w:right w:val="nil"/>
            </w:tcBorders>
            <w:shd w:val="clear" w:color="auto" w:fill="92D050"/>
            <w:noWrap/>
            <w:vAlign w:val="bottom"/>
          </w:tcPr>
          <w:p w14:paraId="028987B7"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61 - 80</w:t>
            </w:r>
          </w:p>
        </w:tc>
      </w:tr>
      <w:tr w:rsidR="000B6103" w:rsidRPr="000B6103" w14:paraId="00124763" w14:textId="77777777" w:rsidTr="00BE4AE8">
        <w:trPr>
          <w:trHeight w:val="290"/>
          <w:jc w:val="center"/>
        </w:trPr>
        <w:tc>
          <w:tcPr>
            <w:tcW w:w="1370" w:type="dxa"/>
            <w:tcBorders>
              <w:top w:val="nil"/>
              <w:left w:val="nil"/>
              <w:bottom w:val="nil"/>
              <w:right w:val="nil"/>
            </w:tcBorders>
            <w:noWrap/>
            <w:vAlign w:val="bottom"/>
          </w:tcPr>
          <w:p w14:paraId="2C2A5482" w14:textId="77777777" w:rsidR="000B6103" w:rsidRPr="000B6103" w:rsidRDefault="000B6103" w:rsidP="00592F37">
            <w:pPr>
              <w:spacing w:before="0" w:after="0"/>
              <w:rPr>
                <w:rFonts w:cs="Arial"/>
                <w:i/>
                <w:iCs/>
                <w:color w:val="000000"/>
                <w:szCs w:val="22"/>
                <w:lang w:eastAsia="en-AU"/>
              </w:rPr>
            </w:pPr>
            <w:r w:rsidRPr="000B6103">
              <w:rPr>
                <w:rFonts w:cs="Arial"/>
                <w:i/>
                <w:iCs/>
                <w:color w:val="000000"/>
                <w:szCs w:val="22"/>
                <w:lang w:eastAsia="en-AU"/>
              </w:rPr>
              <w:t>moderate</w:t>
            </w:r>
          </w:p>
        </w:tc>
        <w:tc>
          <w:tcPr>
            <w:tcW w:w="2357" w:type="dxa"/>
            <w:tcBorders>
              <w:top w:val="nil"/>
              <w:left w:val="nil"/>
              <w:bottom w:val="nil"/>
              <w:right w:val="nil"/>
            </w:tcBorders>
            <w:noWrap/>
            <w:vAlign w:val="bottom"/>
          </w:tcPr>
          <w:p w14:paraId="6EF8CF9F"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low-50</w:t>
            </w:r>
          </w:p>
        </w:tc>
        <w:tc>
          <w:tcPr>
            <w:tcW w:w="1560" w:type="dxa"/>
            <w:tcBorders>
              <w:top w:val="nil"/>
              <w:left w:val="nil"/>
              <w:bottom w:val="nil"/>
              <w:right w:val="nil"/>
            </w:tcBorders>
            <w:noWrap/>
            <w:vAlign w:val="bottom"/>
          </w:tcPr>
          <w:p w14:paraId="5A420324"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50</w:t>
            </w:r>
          </w:p>
        </w:tc>
        <w:tc>
          <w:tcPr>
            <w:tcW w:w="1620" w:type="dxa"/>
            <w:tcBorders>
              <w:top w:val="nil"/>
              <w:left w:val="nil"/>
              <w:bottom w:val="nil"/>
              <w:right w:val="nil"/>
            </w:tcBorders>
            <w:shd w:val="clear" w:color="auto" w:fill="FFFF00"/>
            <w:noWrap/>
            <w:vAlign w:val="bottom"/>
          </w:tcPr>
          <w:p w14:paraId="317F6A00"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41 - 60</w:t>
            </w:r>
          </w:p>
        </w:tc>
      </w:tr>
      <w:tr w:rsidR="000B6103" w:rsidRPr="000B6103" w14:paraId="1DF0CDB1" w14:textId="77777777" w:rsidTr="00807368">
        <w:trPr>
          <w:trHeight w:val="290"/>
          <w:jc w:val="center"/>
        </w:trPr>
        <w:tc>
          <w:tcPr>
            <w:tcW w:w="1370" w:type="dxa"/>
            <w:tcBorders>
              <w:top w:val="nil"/>
              <w:left w:val="nil"/>
              <w:right w:val="nil"/>
            </w:tcBorders>
            <w:noWrap/>
            <w:vAlign w:val="bottom"/>
          </w:tcPr>
          <w:p w14:paraId="58495C15" w14:textId="77777777" w:rsidR="000B6103" w:rsidRPr="000B6103" w:rsidRDefault="000B6103" w:rsidP="00592F37">
            <w:pPr>
              <w:spacing w:before="0" w:after="0"/>
              <w:rPr>
                <w:rFonts w:cs="Arial"/>
                <w:i/>
                <w:iCs/>
                <w:color w:val="000000"/>
                <w:szCs w:val="22"/>
                <w:lang w:eastAsia="en-AU"/>
              </w:rPr>
            </w:pPr>
            <w:r w:rsidRPr="000B6103">
              <w:rPr>
                <w:rFonts w:cs="Arial"/>
                <w:i/>
                <w:iCs/>
                <w:color w:val="000000"/>
                <w:szCs w:val="22"/>
                <w:lang w:eastAsia="en-AU"/>
              </w:rPr>
              <w:t>poor</w:t>
            </w:r>
          </w:p>
        </w:tc>
        <w:tc>
          <w:tcPr>
            <w:tcW w:w="2357" w:type="dxa"/>
            <w:tcBorders>
              <w:top w:val="nil"/>
              <w:left w:val="nil"/>
              <w:right w:val="nil"/>
            </w:tcBorders>
            <w:noWrap/>
            <w:vAlign w:val="bottom"/>
          </w:tcPr>
          <w:p w14:paraId="115E7789"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&lt;low</w:t>
            </w:r>
          </w:p>
        </w:tc>
        <w:tc>
          <w:tcPr>
            <w:tcW w:w="1560" w:type="dxa"/>
            <w:tcBorders>
              <w:top w:val="nil"/>
              <w:left w:val="nil"/>
              <w:right w:val="nil"/>
            </w:tcBorders>
            <w:noWrap/>
            <w:vAlign w:val="bottom"/>
          </w:tcPr>
          <w:p w14:paraId="701C8514"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25</w:t>
            </w:r>
          </w:p>
        </w:tc>
        <w:tc>
          <w:tcPr>
            <w:tcW w:w="1620" w:type="dxa"/>
            <w:tcBorders>
              <w:top w:val="nil"/>
              <w:left w:val="nil"/>
              <w:right w:val="nil"/>
            </w:tcBorders>
            <w:shd w:val="clear" w:color="auto" w:fill="FFC000"/>
            <w:noWrap/>
            <w:vAlign w:val="bottom"/>
          </w:tcPr>
          <w:p w14:paraId="112A46F5"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21 - 40</w:t>
            </w:r>
          </w:p>
        </w:tc>
      </w:tr>
      <w:tr w:rsidR="000B6103" w:rsidRPr="000B6103" w14:paraId="1963106D" w14:textId="77777777" w:rsidTr="00807368">
        <w:trPr>
          <w:trHeight w:val="290"/>
          <w:jc w:val="center"/>
        </w:trPr>
        <w:tc>
          <w:tcPr>
            <w:tcW w:w="1370" w:type="dxa"/>
            <w:tcBorders>
              <w:top w:val="nil"/>
              <w:left w:val="nil"/>
              <w:bottom w:val="single" w:sz="4" w:space="0" w:color="auto"/>
              <w:right w:val="nil"/>
            </w:tcBorders>
            <w:noWrap/>
            <w:vAlign w:val="bottom"/>
          </w:tcPr>
          <w:p w14:paraId="3A0FCAFB" w14:textId="77777777" w:rsidR="000B6103" w:rsidRPr="000B6103" w:rsidRDefault="000B6103" w:rsidP="00592F37">
            <w:pPr>
              <w:spacing w:before="0" w:after="0"/>
              <w:rPr>
                <w:rFonts w:cs="Arial"/>
                <w:i/>
                <w:iCs/>
                <w:color w:val="000000"/>
                <w:szCs w:val="22"/>
                <w:lang w:eastAsia="en-AU"/>
              </w:rPr>
            </w:pPr>
            <w:r w:rsidRPr="000B6103">
              <w:rPr>
                <w:rFonts w:cs="Arial"/>
                <w:i/>
                <w:iCs/>
                <w:color w:val="000000"/>
                <w:szCs w:val="22"/>
                <w:lang w:eastAsia="en-AU"/>
              </w:rPr>
              <w:t>very poor</w:t>
            </w:r>
          </w:p>
        </w:tc>
        <w:tc>
          <w:tcPr>
            <w:tcW w:w="2357" w:type="dxa"/>
            <w:tcBorders>
              <w:top w:val="nil"/>
              <w:left w:val="nil"/>
              <w:bottom w:val="single" w:sz="4" w:space="0" w:color="auto"/>
              <w:right w:val="nil"/>
            </w:tcBorders>
            <w:noWrap/>
            <w:vAlign w:val="bottom"/>
          </w:tcPr>
          <w:p w14:paraId="0AEAC432" w14:textId="7DD5A945" w:rsidR="000B6103" w:rsidRPr="000B6103" w:rsidRDefault="000B6103" w:rsidP="00A751EF">
            <w:pPr>
              <w:spacing w:before="0" w:after="0"/>
              <w:jc w:val="center"/>
              <w:rPr>
                <w:rFonts w:cs="Arial"/>
                <w:color w:val="000000"/>
                <w:szCs w:val="22"/>
                <w:lang w:eastAsia="en-AU"/>
              </w:rPr>
            </w:pPr>
            <w:r w:rsidRPr="000B6103">
              <w:rPr>
                <w:rFonts w:cs="Arial"/>
                <w:color w:val="000000"/>
                <w:szCs w:val="22"/>
                <w:lang w:eastAsia="en-AU"/>
              </w:rPr>
              <w:t xml:space="preserve">&lt;low </w:t>
            </w:r>
            <w:r w:rsidR="00A751EF">
              <w:rPr>
                <w:rFonts w:cs="Arial"/>
                <w:color w:val="000000"/>
                <w:szCs w:val="22"/>
                <w:lang w:eastAsia="en-AU"/>
              </w:rPr>
              <w:t>by &gt;20%</w:t>
            </w:r>
          </w:p>
        </w:tc>
        <w:tc>
          <w:tcPr>
            <w:tcW w:w="1560" w:type="dxa"/>
            <w:tcBorders>
              <w:top w:val="nil"/>
              <w:left w:val="nil"/>
              <w:bottom w:val="single" w:sz="4" w:space="0" w:color="auto"/>
              <w:right w:val="nil"/>
            </w:tcBorders>
            <w:noWrap/>
            <w:vAlign w:val="bottom"/>
          </w:tcPr>
          <w:p w14:paraId="6B7570CD"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0</w:t>
            </w:r>
          </w:p>
        </w:tc>
        <w:tc>
          <w:tcPr>
            <w:tcW w:w="1620" w:type="dxa"/>
            <w:tcBorders>
              <w:top w:val="nil"/>
              <w:left w:val="nil"/>
              <w:bottom w:val="single" w:sz="4" w:space="0" w:color="auto"/>
              <w:right w:val="nil"/>
            </w:tcBorders>
            <w:shd w:val="clear" w:color="auto" w:fill="FF0000"/>
            <w:noWrap/>
            <w:vAlign w:val="bottom"/>
          </w:tcPr>
          <w:p w14:paraId="137562FC" w14:textId="77777777" w:rsidR="000B6103" w:rsidRPr="000B6103" w:rsidRDefault="000B6103" w:rsidP="00592F37">
            <w:pPr>
              <w:spacing w:before="0" w:after="0"/>
              <w:jc w:val="center"/>
              <w:rPr>
                <w:rFonts w:cs="Arial"/>
                <w:color w:val="000000"/>
                <w:szCs w:val="22"/>
                <w:lang w:eastAsia="en-AU"/>
              </w:rPr>
            </w:pPr>
            <w:r w:rsidRPr="000B6103">
              <w:rPr>
                <w:rFonts w:cs="Arial"/>
                <w:color w:val="000000"/>
                <w:szCs w:val="22"/>
                <w:lang w:eastAsia="en-AU"/>
              </w:rPr>
              <w:t>0 - 20</w:t>
            </w:r>
          </w:p>
        </w:tc>
      </w:tr>
    </w:tbl>
    <w:p w14:paraId="2548FF7A" w14:textId="77777777" w:rsidR="000B6103" w:rsidRPr="00CB093C" w:rsidRDefault="000B6103" w:rsidP="003653D3">
      <w:pPr>
        <w:pStyle w:val="Heading3"/>
      </w:pPr>
      <w:bookmarkStart w:id="137" w:name="_Toc184101956"/>
      <w:bookmarkStart w:id="138" w:name="_Toc381027992"/>
      <w:bookmarkStart w:id="139" w:name="_Toc37775046"/>
      <w:bookmarkStart w:id="140" w:name="_Toc43987020"/>
      <w:r w:rsidRPr="00CB093C">
        <w:t>Seagrass reproductive effort</w:t>
      </w:r>
      <w:bookmarkEnd w:id="137"/>
      <w:bookmarkEnd w:id="138"/>
      <w:bookmarkEnd w:id="139"/>
      <w:bookmarkEnd w:id="140"/>
    </w:p>
    <w:p w14:paraId="6E80B2DB" w14:textId="69D44584" w:rsidR="003D1F7F" w:rsidRPr="001905B0" w:rsidRDefault="00D90BED" w:rsidP="003D1F7F">
      <w:pPr>
        <w:rPr>
          <w:rFonts w:cs="Arial"/>
          <w:szCs w:val="22"/>
        </w:rPr>
      </w:pPr>
      <w:r w:rsidRPr="001905B0">
        <w:rPr>
          <w:rFonts w:cs="Arial"/>
          <w:color w:val="000000"/>
          <w:szCs w:val="22"/>
        </w:rPr>
        <w:t>As m</w:t>
      </w:r>
      <w:r w:rsidR="005A3EF5" w:rsidRPr="001905B0">
        <w:rPr>
          <w:rFonts w:cs="Arial"/>
          <w:szCs w:val="22"/>
        </w:rPr>
        <w:t xml:space="preserve">ost seagrass species of the </w:t>
      </w:r>
      <w:r w:rsidR="00F206BF" w:rsidRPr="001905B0">
        <w:rPr>
          <w:rFonts w:cs="Arial"/>
          <w:szCs w:val="22"/>
        </w:rPr>
        <w:t>Reef</w:t>
      </w:r>
      <w:r w:rsidR="005A3EF5" w:rsidRPr="001905B0">
        <w:rPr>
          <w:rFonts w:cs="Arial"/>
          <w:szCs w:val="22"/>
        </w:rPr>
        <w:t xml:space="preserve"> flower in the late dry</w:t>
      </w:r>
      <w:r w:rsidR="007F36FB" w:rsidRPr="001905B0">
        <w:rPr>
          <w:rFonts w:cs="Arial"/>
          <w:szCs w:val="22"/>
        </w:rPr>
        <w:t xml:space="preserve"> season</w:t>
      </w:r>
      <w:r w:rsidR="005A3EF5" w:rsidRPr="001905B0">
        <w:rPr>
          <w:rFonts w:cs="Arial"/>
          <w:noProof/>
          <w:szCs w:val="22"/>
        </w:rPr>
        <w:t xml:space="preserve">, </w:t>
      </w:r>
      <w:r w:rsidR="00F64AA9" w:rsidRPr="001905B0">
        <w:rPr>
          <w:rFonts w:cs="Arial"/>
          <w:noProof/>
          <w:szCs w:val="22"/>
        </w:rPr>
        <w:t>reproductive effort is sampled during the late dry season</w:t>
      </w:r>
      <w:r w:rsidR="00E03E9F" w:rsidRPr="001905B0">
        <w:rPr>
          <w:rFonts w:cs="Arial"/>
          <w:noProof/>
          <w:szCs w:val="22"/>
        </w:rPr>
        <w:t xml:space="preserve"> to capture the sexual reproductive peak</w:t>
      </w:r>
      <w:r w:rsidR="005730C0" w:rsidRPr="001905B0">
        <w:rPr>
          <w:rFonts w:cs="Arial"/>
          <w:noProof/>
          <w:szCs w:val="22"/>
        </w:rPr>
        <w:t>.</w:t>
      </w:r>
    </w:p>
    <w:p w14:paraId="6B2970A3" w14:textId="59B531C0" w:rsidR="00D348B0" w:rsidRPr="001905B0" w:rsidRDefault="005730C0" w:rsidP="005730C0">
      <w:pPr>
        <w:rPr>
          <w:rFonts w:cs="Arial"/>
          <w:szCs w:val="22"/>
        </w:rPr>
      </w:pPr>
      <w:r w:rsidRPr="001905B0">
        <w:rPr>
          <w:rFonts w:cs="Arial"/>
          <w:szCs w:val="22"/>
        </w:rPr>
        <w:t xml:space="preserve">During the current monitoring period, the total number of reproductive structures per core </w:t>
      </w:r>
      <w:r w:rsidR="00DC2C09" w:rsidRPr="001905B0">
        <w:rPr>
          <w:rFonts w:cs="Arial"/>
          <w:color w:val="000000"/>
          <w:szCs w:val="22"/>
        </w:rPr>
        <w:t>(inflorescence, fruit, spathe, seed)</w:t>
      </w:r>
      <w:r w:rsidR="000E742F" w:rsidRPr="001905B0">
        <w:rPr>
          <w:rFonts w:cs="Arial"/>
          <w:color w:val="000000"/>
          <w:szCs w:val="22"/>
        </w:rPr>
        <w:t xml:space="preserve"> </w:t>
      </w:r>
      <w:r w:rsidRPr="001905B0">
        <w:rPr>
          <w:rFonts w:cs="Arial"/>
          <w:szCs w:val="22"/>
        </w:rPr>
        <w:t>was measured at each site in the late dry season (</w:t>
      </w:r>
      <w:r w:rsidR="002305F0" w:rsidRPr="001905B0">
        <w:rPr>
          <w:rFonts w:cs="Arial"/>
          <w:szCs w:val="22"/>
        </w:rPr>
        <w:t>September-November</w:t>
      </w:r>
      <w:r w:rsidRPr="001905B0">
        <w:rPr>
          <w:rFonts w:cs="Arial"/>
          <w:szCs w:val="22"/>
        </w:rPr>
        <w:t xml:space="preserve"> 201</w:t>
      </w:r>
      <w:r w:rsidR="002305F0" w:rsidRPr="001905B0">
        <w:rPr>
          <w:rFonts w:cs="Arial"/>
          <w:szCs w:val="22"/>
        </w:rPr>
        <w:t>8</w:t>
      </w:r>
      <w:r w:rsidRPr="001905B0">
        <w:rPr>
          <w:rFonts w:cs="Arial"/>
          <w:szCs w:val="22"/>
        </w:rPr>
        <w:t>), and a</w:t>
      </w:r>
      <w:r w:rsidR="00D90BED" w:rsidRPr="001905B0">
        <w:rPr>
          <w:rFonts w:cs="Arial"/>
          <w:szCs w:val="22"/>
        </w:rPr>
        <w:t xml:space="preserve"> grade score determined </w:t>
      </w:r>
      <w:r w:rsidRPr="001905B0">
        <w:rPr>
          <w:rFonts w:cs="Arial"/>
          <w:szCs w:val="22"/>
        </w:rPr>
        <w:t>after normalising</w:t>
      </w:r>
      <w:r w:rsidR="00D90BED" w:rsidRPr="001905B0">
        <w:rPr>
          <w:rFonts w:cs="Arial"/>
          <w:szCs w:val="22"/>
        </w:rPr>
        <w:t xml:space="preserve"> </w:t>
      </w:r>
      <w:r w:rsidRPr="001905B0">
        <w:rPr>
          <w:rFonts w:cs="Arial"/>
          <w:szCs w:val="22"/>
        </w:rPr>
        <w:t xml:space="preserve">against the </w:t>
      </w:r>
      <w:r w:rsidR="00DC2C09" w:rsidRPr="001905B0">
        <w:rPr>
          <w:rFonts w:cs="Arial"/>
          <w:szCs w:val="22"/>
        </w:rPr>
        <w:t xml:space="preserve">Reef </w:t>
      </w:r>
      <w:r w:rsidRPr="001905B0">
        <w:rPr>
          <w:rFonts w:cs="Arial"/>
          <w:szCs w:val="22"/>
        </w:rPr>
        <w:t xml:space="preserve">habitat baseline (see </w:t>
      </w:r>
      <w:r w:rsidRPr="001905B0">
        <w:rPr>
          <w:rFonts w:cs="Arial"/>
          <w:szCs w:val="22"/>
        </w:rPr>
        <w:fldChar w:fldCharType="begin"/>
      </w:r>
      <w:r w:rsidRPr="001905B0">
        <w:rPr>
          <w:rFonts w:cs="Arial"/>
          <w:szCs w:val="22"/>
        </w:rPr>
        <w:instrText xml:space="preserve"> REF _Ref511380752 \r \h </w:instrText>
      </w:r>
      <w:r w:rsidR="00CB093C" w:rsidRPr="001905B0">
        <w:rPr>
          <w:rFonts w:cs="Arial"/>
          <w:szCs w:val="22"/>
        </w:rPr>
        <w:instrText xml:space="preserve"> \* MERGEFORMAT </w:instrText>
      </w:r>
      <w:r w:rsidRPr="001905B0">
        <w:rPr>
          <w:rFonts w:cs="Arial"/>
          <w:szCs w:val="22"/>
        </w:rPr>
      </w:r>
      <w:r w:rsidRPr="001905B0">
        <w:rPr>
          <w:rFonts w:cs="Arial"/>
          <w:szCs w:val="22"/>
        </w:rPr>
        <w:fldChar w:fldCharType="separate"/>
      </w:r>
      <w:r w:rsidR="0067675D">
        <w:rPr>
          <w:rFonts w:cs="Arial"/>
          <w:szCs w:val="22"/>
        </w:rPr>
        <w:t>Appendix 2</w:t>
      </w:r>
      <w:r w:rsidRPr="001905B0">
        <w:rPr>
          <w:rFonts w:cs="Arial"/>
          <w:szCs w:val="22"/>
        </w:rPr>
        <w:fldChar w:fldCharType="end"/>
      </w:r>
      <w:r w:rsidRPr="001905B0">
        <w:rPr>
          <w:rFonts w:cs="Arial"/>
          <w:szCs w:val="22"/>
        </w:rPr>
        <w:t>) and using the ratio to rank the score</w:t>
      </w:r>
      <w:r w:rsidR="00D348B0" w:rsidRPr="001905B0">
        <w:rPr>
          <w:rFonts w:cs="Arial"/>
          <w:szCs w:val="22"/>
        </w:rPr>
        <w:t xml:space="preserve"> from very good to very poor (</w:t>
      </w:r>
      <w:r w:rsidRPr="001905B0">
        <w:rPr>
          <w:rFonts w:cs="Arial"/>
          <w:szCs w:val="22"/>
        </w:rPr>
        <w:fldChar w:fldCharType="begin"/>
      </w:r>
      <w:r w:rsidRPr="001905B0">
        <w:rPr>
          <w:rFonts w:cs="Arial"/>
          <w:szCs w:val="22"/>
        </w:rPr>
        <w:instrText xml:space="preserve"> REF _Ref271192830 \h </w:instrText>
      </w:r>
      <w:r w:rsidR="00CB093C" w:rsidRPr="001905B0">
        <w:rPr>
          <w:rFonts w:cs="Arial"/>
          <w:szCs w:val="22"/>
        </w:rPr>
        <w:instrText xml:space="preserve"> \* MERGEFORMAT </w:instrText>
      </w:r>
      <w:r w:rsidRPr="001905B0">
        <w:rPr>
          <w:rFonts w:cs="Arial"/>
          <w:szCs w:val="22"/>
        </w:rPr>
      </w:r>
      <w:r w:rsidRPr="001905B0">
        <w:rPr>
          <w:rFonts w:cs="Arial"/>
          <w:szCs w:val="22"/>
        </w:rPr>
        <w:fldChar w:fldCharType="separate"/>
      </w:r>
      <w:r w:rsidR="0067675D" w:rsidRPr="001905B0">
        <w:rPr>
          <w:rFonts w:cs="Arial"/>
          <w:color w:val="000000"/>
          <w:szCs w:val="22"/>
        </w:rPr>
        <w:t xml:space="preserve">Table </w:t>
      </w:r>
      <w:r w:rsidR="0067675D">
        <w:rPr>
          <w:rFonts w:cs="Arial"/>
          <w:noProof/>
          <w:color w:val="000000"/>
          <w:szCs w:val="22"/>
        </w:rPr>
        <w:t>5</w:t>
      </w:r>
      <w:r w:rsidRPr="001905B0">
        <w:rPr>
          <w:rFonts w:cs="Arial"/>
          <w:szCs w:val="22"/>
        </w:rPr>
        <w:fldChar w:fldCharType="end"/>
      </w:r>
      <w:r w:rsidR="00D348B0" w:rsidRPr="001905B0">
        <w:rPr>
          <w:rFonts w:cs="Arial"/>
          <w:szCs w:val="22"/>
        </w:rPr>
        <w:t>).</w:t>
      </w:r>
    </w:p>
    <w:p w14:paraId="5A7BEE7B" w14:textId="0B3D24B1" w:rsidR="003D1F7F" w:rsidRPr="001905B0" w:rsidRDefault="003D1F7F" w:rsidP="003D1F7F">
      <w:pPr>
        <w:keepNext/>
        <w:jc w:val="center"/>
        <w:rPr>
          <w:rFonts w:cs="Arial"/>
          <w:color w:val="000000"/>
          <w:szCs w:val="22"/>
        </w:rPr>
      </w:pPr>
      <w:bookmarkStart w:id="141" w:name="_Ref271192830"/>
      <w:bookmarkStart w:id="142" w:name="_Toc37787057"/>
      <w:bookmarkStart w:id="143" w:name="_Toc47600679"/>
      <w:r w:rsidRPr="001905B0">
        <w:rPr>
          <w:rFonts w:cs="Arial"/>
          <w:color w:val="000000"/>
          <w:szCs w:val="22"/>
        </w:rPr>
        <w:t xml:space="preserve">Table </w:t>
      </w:r>
      <w:r w:rsidRPr="001905B0">
        <w:rPr>
          <w:rFonts w:cs="Arial"/>
          <w:color w:val="000000"/>
          <w:szCs w:val="22"/>
        </w:rPr>
        <w:fldChar w:fldCharType="begin"/>
      </w:r>
      <w:r w:rsidRPr="001905B0">
        <w:rPr>
          <w:rFonts w:cs="Arial"/>
          <w:color w:val="000000"/>
          <w:szCs w:val="22"/>
        </w:rPr>
        <w:instrText xml:space="preserve"> SEQ Table \* ARABIC </w:instrText>
      </w:r>
      <w:r w:rsidRPr="001905B0">
        <w:rPr>
          <w:rFonts w:cs="Arial"/>
          <w:color w:val="000000"/>
          <w:szCs w:val="22"/>
        </w:rPr>
        <w:fldChar w:fldCharType="separate"/>
      </w:r>
      <w:r w:rsidR="0067675D">
        <w:rPr>
          <w:rFonts w:cs="Arial"/>
          <w:noProof/>
          <w:color w:val="000000"/>
          <w:szCs w:val="22"/>
        </w:rPr>
        <w:t>5</w:t>
      </w:r>
      <w:r w:rsidRPr="001905B0">
        <w:rPr>
          <w:rFonts w:cs="Arial"/>
          <w:color w:val="000000"/>
          <w:szCs w:val="22"/>
        </w:rPr>
        <w:fldChar w:fldCharType="end"/>
      </w:r>
      <w:bookmarkEnd w:id="141"/>
      <w:r w:rsidRPr="001905B0">
        <w:rPr>
          <w:rFonts w:cs="Arial"/>
          <w:color w:val="000000"/>
          <w:szCs w:val="22"/>
        </w:rPr>
        <w:t xml:space="preserve">. </w:t>
      </w:r>
      <w:r w:rsidRPr="001905B0">
        <w:rPr>
          <w:rFonts w:cs="Arial"/>
          <w:i/>
          <w:color w:val="000000"/>
          <w:szCs w:val="22"/>
        </w:rPr>
        <w:t xml:space="preserve">Scores for </w:t>
      </w:r>
      <w:r w:rsidRPr="001905B0">
        <w:rPr>
          <w:rFonts w:cs="Arial"/>
          <w:i/>
          <w:iCs/>
          <w:color w:val="000000"/>
          <w:szCs w:val="22"/>
          <w:lang w:eastAsia="en-AU"/>
        </w:rPr>
        <w:t xml:space="preserve">late dry </w:t>
      </w:r>
      <w:r w:rsidRPr="001905B0">
        <w:rPr>
          <w:rFonts w:cs="Arial"/>
          <w:i/>
          <w:color w:val="000000"/>
          <w:szCs w:val="22"/>
        </w:rPr>
        <w:t xml:space="preserve">monitoring period reproductive effort average against </w:t>
      </w:r>
      <w:r w:rsidR="00F206BF" w:rsidRPr="001905B0">
        <w:rPr>
          <w:rFonts w:cs="Arial"/>
          <w:i/>
          <w:color w:val="000000"/>
          <w:szCs w:val="22"/>
        </w:rPr>
        <w:t>Reef</w:t>
      </w:r>
      <w:r w:rsidRPr="001905B0">
        <w:rPr>
          <w:rFonts w:cs="Arial"/>
          <w:i/>
          <w:color w:val="000000"/>
          <w:szCs w:val="22"/>
        </w:rPr>
        <w:t xml:space="preserve"> habitat </w:t>
      </w:r>
      <w:r w:rsidR="005730C0" w:rsidRPr="001905B0">
        <w:rPr>
          <w:rFonts w:cs="Arial"/>
          <w:i/>
          <w:color w:val="000000"/>
          <w:szCs w:val="22"/>
        </w:rPr>
        <w:t>baseline</w:t>
      </w:r>
      <w:r w:rsidRPr="001905B0">
        <w:rPr>
          <w:rFonts w:cs="Arial"/>
          <w:i/>
          <w:color w:val="000000"/>
          <w:szCs w:val="22"/>
        </w:rPr>
        <w:t>. NB: scores are unitless.</w:t>
      </w:r>
      <w:bookmarkEnd w:id="142"/>
      <w:bookmarkEnd w:id="143"/>
    </w:p>
    <w:tbl>
      <w:tblPr>
        <w:tblW w:w="8279" w:type="dxa"/>
        <w:jc w:val="center"/>
        <w:tblLook w:val="0000" w:firstRow="0" w:lastRow="0" w:firstColumn="0" w:lastColumn="0" w:noHBand="0" w:noVBand="0"/>
      </w:tblPr>
      <w:tblGrid>
        <w:gridCol w:w="1337"/>
        <w:gridCol w:w="2953"/>
        <w:gridCol w:w="766"/>
        <w:gridCol w:w="805"/>
        <w:gridCol w:w="1368"/>
        <w:gridCol w:w="1050"/>
      </w:tblGrid>
      <w:tr w:rsidR="003D1F7F" w:rsidRPr="000B6103" w14:paraId="37E7BDF2" w14:textId="77777777" w:rsidTr="001368E7">
        <w:trPr>
          <w:trHeight w:val="290"/>
          <w:jc w:val="center"/>
        </w:trPr>
        <w:tc>
          <w:tcPr>
            <w:tcW w:w="1337" w:type="dxa"/>
            <w:tcBorders>
              <w:top w:val="single" w:sz="4" w:space="0" w:color="auto"/>
              <w:left w:val="nil"/>
              <w:bottom w:val="single" w:sz="4" w:space="0" w:color="auto"/>
              <w:right w:val="nil"/>
            </w:tcBorders>
            <w:vAlign w:val="center"/>
          </w:tcPr>
          <w:p w14:paraId="5F78D753" w14:textId="2255A928" w:rsidR="003D1F7F" w:rsidRPr="000B6103" w:rsidRDefault="002F7814" w:rsidP="00592F37">
            <w:pPr>
              <w:keepNext/>
              <w:spacing w:before="0" w:after="0"/>
              <w:jc w:val="center"/>
              <w:rPr>
                <w:rFonts w:cs="Arial"/>
                <w:b/>
                <w:i/>
                <w:iCs/>
                <w:color w:val="000000"/>
                <w:szCs w:val="22"/>
                <w:lang w:val="en-US"/>
              </w:rPr>
            </w:pPr>
            <w:r w:rsidRPr="000B6103">
              <w:rPr>
                <w:rFonts w:cs="Arial"/>
                <w:b/>
                <w:color w:val="000000"/>
                <w:szCs w:val="22"/>
                <w:lang w:val="en-US"/>
              </w:rPr>
              <w:t>grade</w:t>
            </w:r>
          </w:p>
        </w:tc>
        <w:tc>
          <w:tcPr>
            <w:tcW w:w="2953" w:type="dxa"/>
            <w:tcBorders>
              <w:top w:val="single" w:sz="4" w:space="0" w:color="auto"/>
              <w:left w:val="nil"/>
              <w:bottom w:val="single" w:sz="4" w:space="0" w:color="auto"/>
              <w:right w:val="nil"/>
            </w:tcBorders>
            <w:noWrap/>
            <w:vAlign w:val="center"/>
          </w:tcPr>
          <w:p w14:paraId="39E9618C" w14:textId="77777777" w:rsidR="003D1F7F" w:rsidRPr="000B6103" w:rsidRDefault="003D1F7F" w:rsidP="00592F37">
            <w:pPr>
              <w:keepNext/>
              <w:spacing w:before="0" w:after="0"/>
              <w:jc w:val="center"/>
              <w:rPr>
                <w:rFonts w:cs="Arial"/>
                <w:b/>
                <w:i/>
                <w:iCs/>
                <w:color w:val="000000"/>
                <w:szCs w:val="22"/>
                <w:lang w:val="en-US"/>
              </w:rPr>
            </w:pPr>
            <w:r w:rsidRPr="000B6103">
              <w:rPr>
                <w:rFonts w:cs="Arial"/>
                <w:b/>
                <w:i/>
                <w:iCs/>
                <w:color w:val="000000"/>
                <w:szCs w:val="22"/>
                <w:lang w:val="en-US"/>
              </w:rPr>
              <w:t>Reproductive Effort</w:t>
            </w:r>
          </w:p>
          <w:p w14:paraId="494FFBE5" w14:textId="0206949A" w:rsidR="003D1F7F" w:rsidRPr="000B6103" w:rsidRDefault="005730C0" w:rsidP="00592F37">
            <w:pPr>
              <w:keepNext/>
              <w:spacing w:before="0" w:after="0"/>
              <w:jc w:val="center"/>
              <w:rPr>
                <w:rFonts w:cs="Arial"/>
                <w:i/>
                <w:iCs/>
                <w:color w:val="000000"/>
                <w:szCs w:val="22"/>
                <w:lang w:val="en-US"/>
              </w:rPr>
            </w:pPr>
            <w:r w:rsidRPr="000B6103">
              <w:rPr>
                <w:rFonts w:cs="Arial"/>
                <w:i/>
                <w:iCs/>
                <w:color w:val="000000"/>
                <w:szCs w:val="22"/>
                <w:lang w:val="en-US"/>
              </w:rPr>
              <w:t>(</w:t>
            </w:r>
            <w:r w:rsidR="003D1F7F" w:rsidRPr="000B6103">
              <w:rPr>
                <w:rFonts w:cs="Arial"/>
                <w:i/>
                <w:iCs/>
                <w:color w:val="000000"/>
                <w:szCs w:val="22"/>
                <w:lang w:val="en-US"/>
              </w:rPr>
              <w:t xml:space="preserve">monitoring period / </w:t>
            </w:r>
            <w:r w:rsidRPr="000B6103">
              <w:rPr>
                <w:rFonts w:cs="Arial"/>
                <w:i/>
                <w:iCs/>
                <w:color w:val="000000"/>
                <w:szCs w:val="22"/>
                <w:lang w:val="en-US"/>
              </w:rPr>
              <w:t>baseline)</w:t>
            </w:r>
          </w:p>
        </w:tc>
        <w:tc>
          <w:tcPr>
            <w:tcW w:w="766" w:type="dxa"/>
            <w:tcBorders>
              <w:top w:val="single" w:sz="4" w:space="0" w:color="auto"/>
              <w:left w:val="nil"/>
              <w:bottom w:val="single" w:sz="4" w:space="0" w:color="auto"/>
              <w:right w:val="nil"/>
            </w:tcBorders>
            <w:vAlign w:val="center"/>
          </w:tcPr>
          <w:p w14:paraId="1C7F5756" w14:textId="77777777" w:rsidR="003D1F7F" w:rsidRPr="000B6103" w:rsidRDefault="003D1F7F" w:rsidP="00592F37">
            <w:pPr>
              <w:keepNext/>
              <w:spacing w:before="0" w:after="0"/>
              <w:jc w:val="center"/>
              <w:rPr>
                <w:rFonts w:cs="Arial"/>
                <w:b/>
                <w:i/>
                <w:iCs/>
                <w:color w:val="000000"/>
                <w:szCs w:val="22"/>
                <w:lang w:val="en-US"/>
              </w:rPr>
            </w:pPr>
            <w:r w:rsidRPr="000B6103">
              <w:rPr>
                <w:rFonts w:cs="Arial"/>
                <w:b/>
                <w:i/>
                <w:iCs/>
                <w:color w:val="000000"/>
                <w:szCs w:val="22"/>
                <w:lang w:val="en-US"/>
              </w:rPr>
              <w:t>ratio</w:t>
            </w:r>
          </w:p>
        </w:tc>
        <w:tc>
          <w:tcPr>
            <w:tcW w:w="805" w:type="dxa"/>
            <w:tcBorders>
              <w:top w:val="single" w:sz="4" w:space="0" w:color="auto"/>
              <w:left w:val="nil"/>
              <w:bottom w:val="single" w:sz="4" w:space="0" w:color="auto"/>
              <w:right w:val="nil"/>
            </w:tcBorders>
            <w:noWrap/>
            <w:vAlign w:val="center"/>
          </w:tcPr>
          <w:p w14:paraId="5C463B3B" w14:textId="77777777" w:rsidR="003D1F7F" w:rsidRPr="000B6103" w:rsidRDefault="003D1F7F" w:rsidP="00592F37">
            <w:pPr>
              <w:keepNext/>
              <w:spacing w:before="0" w:after="0"/>
              <w:jc w:val="center"/>
              <w:rPr>
                <w:rFonts w:cs="Arial"/>
                <w:b/>
                <w:i/>
                <w:iCs/>
                <w:color w:val="000000"/>
                <w:szCs w:val="22"/>
                <w:lang w:val="en-US"/>
              </w:rPr>
            </w:pPr>
            <w:r w:rsidRPr="000B6103">
              <w:rPr>
                <w:rFonts w:cs="Arial"/>
                <w:b/>
                <w:i/>
                <w:iCs/>
                <w:color w:val="000000"/>
                <w:szCs w:val="22"/>
                <w:lang w:val="en-US"/>
              </w:rPr>
              <w:t>score</w:t>
            </w:r>
          </w:p>
        </w:tc>
        <w:tc>
          <w:tcPr>
            <w:tcW w:w="1368" w:type="dxa"/>
            <w:tcBorders>
              <w:top w:val="single" w:sz="4" w:space="0" w:color="auto"/>
              <w:left w:val="nil"/>
              <w:bottom w:val="single" w:sz="4" w:space="0" w:color="auto"/>
              <w:right w:val="nil"/>
            </w:tcBorders>
            <w:noWrap/>
            <w:vAlign w:val="center"/>
          </w:tcPr>
          <w:p w14:paraId="0D5B4118" w14:textId="77777777" w:rsidR="003D1F7F" w:rsidRPr="000B6103" w:rsidRDefault="003D1F7F" w:rsidP="00592F37">
            <w:pPr>
              <w:keepNext/>
              <w:spacing w:before="0" w:after="0"/>
              <w:jc w:val="center"/>
              <w:rPr>
                <w:rFonts w:cs="Arial"/>
                <w:b/>
                <w:i/>
                <w:iCs/>
                <w:color w:val="000000"/>
                <w:szCs w:val="22"/>
                <w:lang w:val="en-US"/>
              </w:rPr>
            </w:pPr>
            <w:r w:rsidRPr="000B6103">
              <w:rPr>
                <w:rFonts w:cs="Arial"/>
                <w:b/>
                <w:i/>
                <w:iCs/>
                <w:color w:val="000000"/>
                <w:szCs w:val="22"/>
                <w:lang w:val="en-US"/>
              </w:rPr>
              <w:t>0-100 score</w:t>
            </w:r>
          </w:p>
        </w:tc>
        <w:tc>
          <w:tcPr>
            <w:tcW w:w="1050" w:type="dxa"/>
            <w:tcBorders>
              <w:top w:val="single" w:sz="4" w:space="0" w:color="auto"/>
              <w:left w:val="nil"/>
              <w:bottom w:val="single" w:sz="4" w:space="0" w:color="auto"/>
              <w:right w:val="nil"/>
            </w:tcBorders>
            <w:noWrap/>
            <w:vAlign w:val="center"/>
          </w:tcPr>
          <w:p w14:paraId="00DCF676" w14:textId="77777777" w:rsidR="003D1F7F" w:rsidRPr="000B6103" w:rsidRDefault="003D1F7F" w:rsidP="00592F37">
            <w:pPr>
              <w:keepNext/>
              <w:spacing w:before="0" w:after="0"/>
              <w:jc w:val="center"/>
              <w:rPr>
                <w:rFonts w:cs="Arial"/>
                <w:b/>
                <w:i/>
                <w:iCs/>
                <w:color w:val="000000"/>
                <w:szCs w:val="22"/>
                <w:lang w:val="en-US"/>
              </w:rPr>
            </w:pPr>
            <w:r w:rsidRPr="000B6103">
              <w:rPr>
                <w:rFonts w:cs="Arial"/>
                <w:b/>
                <w:i/>
                <w:iCs/>
                <w:color w:val="000000"/>
                <w:szCs w:val="22"/>
                <w:lang w:val="en-US"/>
              </w:rPr>
              <w:t>status</w:t>
            </w:r>
          </w:p>
        </w:tc>
      </w:tr>
      <w:tr w:rsidR="003D1F7F" w:rsidRPr="000B6103" w14:paraId="1B767BC6" w14:textId="77777777" w:rsidTr="001368E7">
        <w:trPr>
          <w:trHeight w:val="290"/>
          <w:jc w:val="center"/>
        </w:trPr>
        <w:tc>
          <w:tcPr>
            <w:tcW w:w="1337" w:type="dxa"/>
            <w:tcBorders>
              <w:top w:val="nil"/>
              <w:left w:val="nil"/>
              <w:bottom w:val="nil"/>
              <w:right w:val="nil"/>
            </w:tcBorders>
            <w:vAlign w:val="bottom"/>
          </w:tcPr>
          <w:p w14:paraId="506EC5C8" w14:textId="77777777" w:rsidR="003D1F7F" w:rsidRPr="000B6103" w:rsidRDefault="003D1F7F" w:rsidP="00592F37">
            <w:pPr>
              <w:spacing w:before="0" w:after="0"/>
              <w:rPr>
                <w:rFonts w:cs="Arial"/>
                <w:i/>
                <w:iCs/>
                <w:color w:val="000000"/>
                <w:szCs w:val="22"/>
                <w:lang w:eastAsia="en-AU"/>
              </w:rPr>
            </w:pPr>
            <w:r w:rsidRPr="000B6103">
              <w:rPr>
                <w:rFonts w:cs="Arial"/>
                <w:i/>
                <w:iCs/>
                <w:color w:val="000000"/>
                <w:szCs w:val="22"/>
                <w:lang w:eastAsia="en-AU"/>
              </w:rPr>
              <w:t>very good</w:t>
            </w:r>
          </w:p>
        </w:tc>
        <w:tc>
          <w:tcPr>
            <w:tcW w:w="2953" w:type="dxa"/>
            <w:tcBorders>
              <w:top w:val="nil"/>
              <w:left w:val="nil"/>
              <w:bottom w:val="nil"/>
              <w:right w:val="nil"/>
            </w:tcBorders>
            <w:noWrap/>
            <w:vAlign w:val="bottom"/>
          </w:tcPr>
          <w:p w14:paraId="44A658EE"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≥4</w:t>
            </w:r>
          </w:p>
        </w:tc>
        <w:tc>
          <w:tcPr>
            <w:tcW w:w="766" w:type="dxa"/>
            <w:tcBorders>
              <w:top w:val="nil"/>
              <w:left w:val="nil"/>
              <w:bottom w:val="nil"/>
              <w:right w:val="nil"/>
            </w:tcBorders>
            <w:vAlign w:val="bottom"/>
          </w:tcPr>
          <w:p w14:paraId="3CAE830B"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4.0</w:t>
            </w:r>
          </w:p>
        </w:tc>
        <w:tc>
          <w:tcPr>
            <w:tcW w:w="805" w:type="dxa"/>
            <w:tcBorders>
              <w:top w:val="nil"/>
              <w:left w:val="nil"/>
              <w:bottom w:val="nil"/>
              <w:right w:val="nil"/>
            </w:tcBorders>
            <w:noWrap/>
            <w:vAlign w:val="bottom"/>
          </w:tcPr>
          <w:p w14:paraId="0DE61C02"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4</w:t>
            </w:r>
          </w:p>
        </w:tc>
        <w:tc>
          <w:tcPr>
            <w:tcW w:w="1368" w:type="dxa"/>
            <w:tcBorders>
              <w:top w:val="nil"/>
              <w:left w:val="nil"/>
              <w:bottom w:val="nil"/>
              <w:right w:val="nil"/>
            </w:tcBorders>
            <w:noWrap/>
            <w:vAlign w:val="bottom"/>
          </w:tcPr>
          <w:p w14:paraId="4FCD387D"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100</w:t>
            </w:r>
          </w:p>
        </w:tc>
        <w:tc>
          <w:tcPr>
            <w:tcW w:w="1050" w:type="dxa"/>
            <w:tcBorders>
              <w:top w:val="nil"/>
              <w:left w:val="nil"/>
              <w:bottom w:val="nil"/>
              <w:right w:val="nil"/>
            </w:tcBorders>
            <w:shd w:val="clear" w:color="auto" w:fill="008000"/>
            <w:noWrap/>
            <w:vAlign w:val="bottom"/>
          </w:tcPr>
          <w:p w14:paraId="0EFD035B" w14:textId="77777777" w:rsidR="003D1F7F" w:rsidRPr="000B6103" w:rsidRDefault="002605DA" w:rsidP="00592F37">
            <w:pPr>
              <w:spacing w:before="0" w:after="0"/>
              <w:jc w:val="center"/>
              <w:rPr>
                <w:rFonts w:cs="Arial"/>
                <w:color w:val="000000"/>
                <w:szCs w:val="22"/>
                <w:lang w:eastAsia="en-AU"/>
              </w:rPr>
            </w:pPr>
            <w:r w:rsidRPr="000B6103">
              <w:rPr>
                <w:rFonts w:cs="Arial"/>
                <w:color w:val="000000"/>
                <w:szCs w:val="22"/>
                <w:lang w:eastAsia="en-AU"/>
              </w:rPr>
              <w:t>81</w:t>
            </w:r>
            <w:r w:rsidR="003D1F7F" w:rsidRPr="000B6103">
              <w:rPr>
                <w:rFonts w:cs="Arial"/>
                <w:color w:val="000000"/>
                <w:szCs w:val="22"/>
                <w:lang w:eastAsia="en-AU"/>
              </w:rPr>
              <w:t xml:space="preserve"> - 100</w:t>
            </w:r>
          </w:p>
        </w:tc>
      </w:tr>
      <w:tr w:rsidR="003D1F7F" w:rsidRPr="000B6103" w14:paraId="1196C809" w14:textId="77777777" w:rsidTr="001368E7">
        <w:trPr>
          <w:trHeight w:val="290"/>
          <w:jc w:val="center"/>
        </w:trPr>
        <w:tc>
          <w:tcPr>
            <w:tcW w:w="1337" w:type="dxa"/>
            <w:tcBorders>
              <w:top w:val="nil"/>
              <w:left w:val="nil"/>
              <w:bottom w:val="nil"/>
              <w:right w:val="nil"/>
            </w:tcBorders>
            <w:vAlign w:val="bottom"/>
          </w:tcPr>
          <w:p w14:paraId="2B7719DF" w14:textId="77777777" w:rsidR="003D1F7F" w:rsidRPr="000B6103" w:rsidRDefault="003D1F7F" w:rsidP="00592F37">
            <w:pPr>
              <w:spacing w:before="0" w:after="0"/>
              <w:rPr>
                <w:rFonts w:cs="Arial"/>
                <w:i/>
                <w:iCs/>
                <w:color w:val="000000"/>
                <w:szCs w:val="22"/>
                <w:lang w:eastAsia="en-AU"/>
              </w:rPr>
            </w:pPr>
            <w:r w:rsidRPr="000B6103">
              <w:rPr>
                <w:rFonts w:cs="Arial"/>
                <w:i/>
                <w:iCs/>
                <w:color w:val="000000"/>
                <w:szCs w:val="22"/>
                <w:lang w:eastAsia="en-AU"/>
              </w:rPr>
              <w:t>good</w:t>
            </w:r>
          </w:p>
        </w:tc>
        <w:tc>
          <w:tcPr>
            <w:tcW w:w="2953" w:type="dxa"/>
            <w:tcBorders>
              <w:top w:val="nil"/>
              <w:left w:val="nil"/>
              <w:bottom w:val="nil"/>
              <w:right w:val="nil"/>
            </w:tcBorders>
            <w:noWrap/>
            <w:vAlign w:val="bottom"/>
          </w:tcPr>
          <w:p w14:paraId="132849AB"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2 to &lt;4</w:t>
            </w:r>
          </w:p>
        </w:tc>
        <w:tc>
          <w:tcPr>
            <w:tcW w:w="766" w:type="dxa"/>
            <w:tcBorders>
              <w:top w:val="nil"/>
              <w:left w:val="nil"/>
              <w:bottom w:val="nil"/>
              <w:right w:val="nil"/>
            </w:tcBorders>
            <w:vAlign w:val="bottom"/>
          </w:tcPr>
          <w:p w14:paraId="0B9EEDCE"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2.0</w:t>
            </w:r>
          </w:p>
        </w:tc>
        <w:tc>
          <w:tcPr>
            <w:tcW w:w="805" w:type="dxa"/>
            <w:tcBorders>
              <w:top w:val="nil"/>
              <w:left w:val="nil"/>
              <w:bottom w:val="nil"/>
              <w:right w:val="nil"/>
            </w:tcBorders>
            <w:noWrap/>
            <w:vAlign w:val="bottom"/>
          </w:tcPr>
          <w:p w14:paraId="6B15B2A7"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3</w:t>
            </w:r>
          </w:p>
        </w:tc>
        <w:tc>
          <w:tcPr>
            <w:tcW w:w="1368" w:type="dxa"/>
            <w:tcBorders>
              <w:top w:val="nil"/>
              <w:left w:val="nil"/>
              <w:bottom w:val="nil"/>
              <w:right w:val="nil"/>
            </w:tcBorders>
            <w:noWrap/>
            <w:vAlign w:val="bottom"/>
          </w:tcPr>
          <w:p w14:paraId="3A73A110"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75</w:t>
            </w:r>
          </w:p>
        </w:tc>
        <w:tc>
          <w:tcPr>
            <w:tcW w:w="1050" w:type="dxa"/>
            <w:tcBorders>
              <w:top w:val="nil"/>
              <w:left w:val="nil"/>
              <w:bottom w:val="nil"/>
              <w:right w:val="nil"/>
            </w:tcBorders>
            <w:shd w:val="clear" w:color="auto" w:fill="92D050"/>
            <w:noWrap/>
            <w:vAlign w:val="bottom"/>
          </w:tcPr>
          <w:p w14:paraId="00F6A7FA"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6</w:t>
            </w:r>
            <w:r w:rsidR="002605DA" w:rsidRPr="000B6103">
              <w:rPr>
                <w:rFonts w:cs="Arial"/>
                <w:color w:val="000000"/>
                <w:szCs w:val="22"/>
                <w:lang w:eastAsia="en-AU"/>
              </w:rPr>
              <w:t xml:space="preserve">1 - </w:t>
            </w:r>
            <w:r w:rsidRPr="000B6103">
              <w:rPr>
                <w:rFonts w:cs="Arial"/>
                <w:color w:val="000000"/>
                <w:szCs w:val="22"/>
                <w:lang w:eastAsia="en-AU"/>
              </w:rPr>
              <w:t>80</w:t>
            </w:r>
          </w:p>
        </w:tc>
      </w:tr>
      <w:tr w:rsidR="003D1F7F" w:rsidRPr="000B6103" w14:paraId="294C43B5" w14:textId="77777777" w:rsidTr="001368E7">
        <w:trPr>
          <w:trHeight w:val="290"/>
          <w:jc w:val="center"/>
        </w:trPr>
        <w:tc>
          <w:tcPr>
            <w:tcW w:w="1337" w:type="dxa"/>
            <w:tcBorders>
              <w:top w:val="nil"/>
              <w:left w:val="nil"/>
              <w:bottom w:val="nil"/>
              <w:right w:val="nil"/>
            </w:tcBorders>
            <w:vAlign w:val="bottom"/>
          </w:tcPr>
          <w:p w14:paraId="6084CD2C" w14:textId="77777777" w:rsidR="003D1F7F" w:rsidRPr="000B6103" w:rsidRDefault="003D1F7F" w:rsidP="00592F37">
            <w:pPr>
              <w:spacing w:before="0" w:after="0"/>
              <w:rPr>
                <w:rFonts w:cs="Arial"/>
                <w:i/>
                <w:iCs/>
                <w:color w:val="000000"/>
                <w:szCs w:val="22"/>
                <w:lang w:eastAsia="en-AU"/>
              </w:rPr>
            </w:pPr>
            <w:r w:rsidRPr="000B6103">
              <w:rPr>
                <w:rFonts w:cs="Arial"/>
                <w:i/>
                <w:iCs/>
                <w:color w:val="000000"/>
                <w:szCs w:val="22"/>
                <w:lang w:eastAsia="en-AU"/>
              </w:rPr>
              <w:t>moderate</w:t>
            </w:r>
          </w:p>
        </w:tc>
        <w:tc>
          <w:tcPr>
            <w:tcW w:w="2953" w:type="dxa"/>
            <w:tcBorders>
              <w:top w:val="nil"/>
              <w:left w:val="nil"/>
              <w:bottom w:val="nil"/>
              <w:right w:val="nil"/>
            </w:tcBorders>
            <w:noWrap/>
            <w:vAlign w:val="bottom"/>
          </w:tcPr>
          <w:p w14:paraId="61BFF666"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1 to &lt;2</w:t>
            </w:r>
          </w:p>
        </w:tc>
        <w:tc>
          <w:tcPr>
            <w:tcW w:w="766" w:type="dxa"/>
            <w:tcBorders>
              <w:top w:val="nil"/>
              <w:left w:val="nil"/>
              <w:bottom w:val="nil"/>
              <w:right w:val="nil"/>
            </w:tcBorders>
            <w:vAlign w:val="bottom"/>
          </w:tcPr>
          <w:p w14:paraId="1C5C8E4F"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1.0</w:t>
            </w:r>
          </w:p>
        </w:tc>
        <w:tc>
          <w:tcPr>
            <w:tcW w:w="805" w:type="dxa"/>
            <w:tcBorders>
              <w:top w:val="nil"/>
              <w:left w:val="nil"/>
              <w:bottom w:val="nil"/>
              <w:right w:val="nil"/>
            </w:tcBorders>
            <w:noWrap/>
            <w:vAlign w:val="bottom"/>
          </w:tcPr>
          <w:p w14:paraId="25CC2BB7"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2</w:t>
            </w:r>
          </w:p>
        </w:tc>
        <w:tc>
          <w:tcPr>
            <w:tcW w:w="1368" w:type="dxa"/>
            <w:tcBorders>
              <w:top w:val="nil"/>
              <w:left w:val="nil"/>
              <w:bottom w:val="nil"/>
              <w:right w:val="nil"/>
            </w:tcBorders>
            <w:noWrap/>
            <w:vAlign w:val="bottom"/>
          </w:tcPr>
          <w:p w14:paraId="24B5DC1B"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50</w:t>
            </w:r>
          </w:p>
        </w:tc>
        <w:tc>
          <w:tcPr>
            <w:tcW w:w="1050" w:type="dxa"/>
            <w:tcBorders>
              <w:top w:val="nil"/>
              <w:left w:val="nil"/>
              <w:bottom w:val="nil"/>
              <w:right w:val="nil"/>
            </w:tcBorders>
            <w:shd w:val="clear" w:color="auto" w:fill="FFFF00"/>
            <w:noWrap/>
            <w:vAlign w:val="bottom"/>
          </w:tcPr>
          <w:p w14:paraId="6FC9BC5E" w14:textId="77777777" w:rsidR="003D1F7F" w:rsidRPr="000B6103" w:rsidRDefault="002605DA" w:rsidP="00592F37">
            <w:pPr>
              <w:spacing w:before="0" w:after="0"/>
              <w:jc w:val="center"/>
              <w:rPr>
                <w:rFonts w:cs="Arial"/>
                <w:color w:val="000000"/>
                <w:szCs w:val="22"/>
                <w:lang w:eastAsia="en-AU"/>
              </w:rPr>
            </w:pPr>
            <w:r w:rsidRPr="000B6103">
              <w:rPr>
                <w:rFonts w:cs="Arial"/>
                <w:color w:val="000000"/>
                <w:szCs w:val="22"/>
                <w:lang w:eastAsia="en-AU"/>
              </w:rPr>
              <w:t>41</w:t>
            </w:r>
            <w:r w:rsidR="003D1F7F" w:rsidRPr="000B6103">
              <w:rPr>
                <w:rFonts w:cs="Arial"/>
                <w:color w:val="000000"/>
                <w:szCs w:val="22"/>
                <w:lang w:eastAsia="en-AU"/>
              </w:rPr>
              <w:t xml:space="preserve"> - 60</w:t>
            </w:r>
          </w:p>
        </w:tc>
      </w:tr>
      <w:tr w:rsidR="003D1F7F" w:rsidRPr="000B6103" w14:paraId="7DF0CE27" w14:textId="77777777" w:rsidTr="001368E7">
        <w:trPr>
          <w:trHeight w:val="290"/>
          <w:jc w:val="center"/>
        </w:trPr>
        <w:tc>
          <w:tcPr>
            <w:tcW w:w="1337" w:type="dxa"/>
            <w:tcBorders>
              <w:top w:val="nil"/>
              <w:left w:val="nil"/>
              <w:right w:val="nil"/>
            </w:tcBorders>
            <w:vAlign w:val="bottom"/>
          </w:tcPr>
          <w:p w14:paraId="6DCE3D69" w14:textId="77777777" w:rsidR="003D1F7F" w:rsidRPr="000B6103" w:rsidRDefault="003D1F7F" w:rsidP="00592F37">
            <w:pPr>
              <w:spacing w:before="0" w:after="0"/>
              <w:rPr>
                <w:rFonts w:cs="Arial"/>
                <w:i/>
                <w:iCs/>
                <w:color w:val="000000"/>
                <w:szCs w:val="22"/>
                <w:lang w:eastAsia="en-AU"/>
              </w:rPr>
            </w:pPr>
            <w:r w:rsidRPr="000B6103">
              <w:rPr>
                <w:rFonts w:cs="Arial"/>
                <w:i/>
                <w:iCs/>
                <w:color w:val="000000"/>
                <w:szCs w:val="22"/>
                <w:lang w:eastAsia="en-AU"/>
              </w:rPr>
              <w:t>poor</w:t>
            </w:r>
          </w:p>
        </w:tc>
        <w:tc>
          <w:tcPr>
            <w:tcW w:w="2953" w:type="dxa"/>
            <w:tcBorders>
              <w:top w:val="nil"/>
              <w:left w:val="nil"/>
              <w:right w:val="nil"/>
            </w:tcBorders>
            <w:noWrap/>
            <w:vAlign w:val="bottom"/>
          </w:tcPr>
          <w:p w14:paraId="1C16CA00"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0.5 to &lt;1</w:t>
            </w:r>
          </w:p>
        </w:tc>
        <w:tc>
          <w:tcPr>
            <w:tcW w:w="766" w:type="dxa"/>
            <w:tcBorders>
              <w:top w:val="nil"/>
              <w:left w:val="nil"/>
              <w:right w:val="nil"/>
            </w:tcBorders>
            <w:vAlign w:val="bottom"/>
          </w:tcPr>
          <w:p w14:paraId="3150285C"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0.5</w:t>
            </w:r>
          </w:p>
        </w:tc>
        <w:tc>
          <w:tcPr>
            <w:tcW w:w="805" w:type="dxa"/>
            <w:tcBorders>
              <w:top w:val="nil"/>
              <w:left w:val="nil"/>
              <w:right w:val="nil"/>
            </w:tcBorders>
            <w:noWrap/>
            <w:vAlign w:val="bottom"/>
          </w:tcPr>
          <w:p w14:paraId="6B291A66"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1</w:t>
            </w:r>
          </w:p>
        </w:tc>
        <w:tc>
          <w:tcPr>
            <w:tcW w:w="1368" w:type="dxa"/>
            <w:tcBorders>
              <w:top w:val="nil"/>
              <w:left w:val="nil"/>
              <w:right w:val="nil"/>
            </w:tcBorders>
            <w:noWrap/>
            <w:vAlign w:val="bottom"/>
          </w:tcPr>
          <w:p w14:paraId="22E6B81D"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25</w:t>
            </w:r>
          </w:p>
        </w:tc>
        <w:tc>
          <w:tcPr>
            <w:tcW w:w="1050" w:type="dxa"/>
            <w:tcBorders>
              <w:top w:val="nil"/>
              <w:left w:val="nil"/>
              <w:right w:val="nil"/>
            </w:tcBorders>
            <w:shd w:val="clear" w:color="auto" w:fill="FFC000"/>
            <w:noWrap/>
            <w:vAlign w:val="bottom"/>
          </w:tcPr>
          <w:p w14:paraId="0831EA29" w14:textId="77777777" w:rsidR="003D1F7F" w:rsidRPr="000B6103" w:rsidRDefault="002605DA" w:rsidP="00592F37">
            <w:pPr>
              <w:spacing w:before="0" w:after="0"/>
              <w:jc w:val="center"/>
              <w:rPr>
                <w:rFonts w:cs="Arial"/>
                <w:color w:val="000000"/>
                <w:szCs w:val="22"/>
                <w:lang w:eastAsia="en-AU"/>
              </w:rPr>
            </w:pPr>
            <w:r w:rsidRPr="000B6103">
              <w:rPr>
                <w:rFonts w:cs="Arial"/>
                <w:color w:val="000000"/>
                <w:szCs w:val="22"/>
                <w:lang w:eastAsia="en-AU"/>
              </w:rPr>
              <w:t>21</w:t>
            </w:r>
            <w:r w:rsidR="003D1F7F" w:rsidRPr="000B6103">
              <w:rPr>
                <w:rFonts w:cs="Arial"/>
                <w:color w:val="000000"/>
                <w:szCs w:val="22"/>
                <w:lang w:eastAsia="en-AU"/>
              </w:rPr>
              <w:t xml:space="preserve"> - 40</w:t>
            </w:r>
          </w:p>
        </w:tc>
      </w:tr>
      <w:tr w:rsidR="003D1F7F" w:rsidRPr="000B6103" w14:paraId="660090A3" w14:textId="77777777" w:rsidTr="001368E7">
        <w:trPr>
          <w:trHeight w:val="290"/>
          <w:jc w:val="center"/>
        </w:trPr>
        <w:tc>
          <w:tcPr>
            <w:tcW w:w="1337" w:type="dxa"/>
            <w:tcBorders>
              <w:top w:val="nil"/>
              <w:left w:val="nil"/>
              <w:bottom w:val="single" w:sz="4" w:space="0" w:color="auto"/>
              <w:right w:val="nil"/>
            </w:tcBorders>
            <w:vAlign w:val="bottom"/>
          </w:tcPr>
          <w:p w14:paraId="1A21B544" w14:textId="77777777" w:rsidR="003D1F7F" w:rsidRPr="000B6103" w:rsidRDefault="003D1F7F" w:rsidP="00592F37">
            <w:pPr>
              <w:spacing w:before="0" w:after="0"/>
              <w:rPr>
                <w:rFonts w:cs="Arial"/>
                <w:i/>
                <w:iCs/>
                <w:color w:val="000000"/>
                <w:szCs w:val="22"/>
                <w:lang w:eastAsia="en-AU"/>
              </w:rPr>
            </w:pPr>
            <w:r w:rsidRPr="000B6103">
              <w:rPr>
                <w:rFonts w:cs="Arial"/>
                <w:i/>
                <w:iCs/>
                <w:color w:val="000000"/>
                <w:szCs w:val="22"/>
                <w:lang w:eastAsia="en-AU"/>
              </w:rPr>
              <w:t>very poor</w:t>
            </w:r>
          </w:p>
        </w:tc>
        <w:tc>
          <w:tcPr>
            <w:tcW w:w="2953" w:type="dxa"/>
            <w:tcBorders>
              <w:top w:val="nil"/>
              <w:left w:val="nil"/>
              <w:bottom w:val="single" w:sz="4" w:space="0" w:color="auto"/>
              <w:right w:val="nil"/>
            </w:tcBorders>
            <w:noWrap/>
            <w:vAlign w:val="bottom"/>
          </w:tcPr>
          <w:p w14:paraId="1A33B85D"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&lt;0.5</w:t>
            </w:r>
          </w:p>
        </w:tc>
        <w:tc>
          <w:tcPr>
            <w:tcW w:w="766" w:type="dxa"/>
            <w:tcBorders>
              <w:top w:val="nil"/>
              <w:left w:val="nil"/>
              <w:bottom w:val="single" w:sz="4" w:space="0" w:color="auto"/>
              <w:right w:val="nil"/>
            </w:tcBorders>
            <w:vAlign w:val="bottom"/>
          </w:tcPr>
          <w:p w14:paraId="4D348646"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0.0</w:t>
            </w:r>
          </w:p>
        </w:tc>
        <w:tc>
          <w:tcPr>
            <w:tcW w:w="805" w:type="dxa"/>
            <w:tcBorders>
              <w:top w:val="nil"/>
              <w:left w:val="nil"/>
              <w:bottom w:val="single" w:sz="4" w:space="0" w:color="auto"/>
              <w:right w:val="nil"/>
            </w:tcBorders>
            <w:noWrap/>
            <w:vAlign w:val="bottom"/>
          </w:tcPr>
          <w:p w14:paraId="731017FF"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0</w:t>
            </w:r>
          </w:p>
        </w:tc>
        <w:tc>
          <w:tcPr>
            <w:tcW w:w="1368" w:type="dxa"/>
            <w:tcBorders>
              <w:top w:val="nil"/>
              <w:left w:val="nil"/>
              <w:bottom w:val="single" w:sz="4" w:space="0" w:color="auto"/>
              <w:right w:val="nil"/>
            </w:tcBorders>
            <w:noWrap/>
            <w:vAlign w:val="bottom"/>
          </w:tcPr>
          <w:p w14:paraId="4B759968" w14:textId="77777777" w:rsidR="003D1F7F" w:rsidRPr="000B6103" w:rsidRDefault="003D1F7F" w:rsidP="00592F37">
            <w:pPr>
              <w:spacing w:before="0" w:after="0"/>
              <w:jc w:val="center"/>
              <w:rPr>
                <w:rFonts w:cs="Arial"/>
                <w:color w:val="000000"/>
                <w:szCs w:val="22"/>
                <w:lang w:eastAsia="en-AU"/>
              </w:rPr>
            </w:pPr>
            <w:r w:rsidRPr="000B6103">
              <w:rPr>
                <w:rFonts w:cs="Arial"/>
                <w:color w:val="000000"/>
                <w:szCs w:val="22"/>
                <w:lang w:eastAsia="en-AU"/>
              </w:rPr>
              <w:t>0</w:t>
            </w:r>
          </w:p>
        </w:tc>
        <w:tc>
          <w:tcPr>
            <w:tcW w:w="1050" w:type="dxa"/>
            <w:tcBorders>
              <w:top w:val="nil"/>
              <w:left w:val="nil"/>
              <w:bottom w:val="single" w:sz="4" w:space="0" w:color="auto"/>
              <w:right w:val="nil"/>
            </w:tcBorders>
            <w:shd w:val="clear" w:color="auto" w:fill="FF0000"/>
            <w:noWrap/>
            <w:vAlign w:val="bottom"/>
          </w:tcPr>
          <w:p w14:paraId="798B09B6" w14:textId="77777777" w:rsidR="003D1F7F" w:rsidRPr="000B6103" w:rsidRDefault="002605DA" w:rsidP="00592F37">
            <w:pPr>
              <w:spacing w:before="0" w:after="0"/>
              <w:jc w:val="center"/>
              <w:rPr>
                <w:rFonts w:cs="Arial"/>
                <w:color w:val="000000"/>
                <w:szCs w:val="22"/>
                <w:lang w:eastAsia="en-AU"/>
              </w:rPr>
            </w:pPr>
            <w:r w:rsidRPr="000B6103">
              <w:rPr>
                <w:rFonts w:cs="Arial"/>
                <w:color w:val="000000"/>
                <w:szCs w:val="22"/>
                <w:lang w:eastAsia="en-AU"/>
              </w:rPr>
              <w:t xml:space="preserve">0 - </w:t>
            </w:r>
            <w:r w:rsidR="003D1F7F" w:rsidRPr="000B6103">
              <w:rPr>
                <w:rFonts w:cs="Arial"/>
                <w:color w:val="000000"/>
                <w:szCs w:val="22"/>
                <w:lang w:eastAsia="en-AU"/>
              </w:rPr>
              <w:t>20</w:t>
            </w:r>
          </w:p>
        </w:tc>
      </w:tr>
    </w:tbl>
    <w:p w14:paraId="45519BC7" w14:textId="77777777" w:rsidR="000E742F" w:rsidRPr="000B6103" w:rsidRDefault="000E742F" w:rsidP="000E742F">
      <w:pPr>
        <w:rPr>
          <w:rFonts w:cs="Arial"/>
          <w:szCs w:val="22"/>
        </w:rPr>
      </w:pPr>
      <w:bookmarkStart w:id="144" w:name="_Toc184101957"/>
      <w:bookmarkStart w:id="145" w:name="_Toc381027993"/>
    </w:p>
    <w:p w14:paraId="3EB9B16E" w14:textId="75CFF12A" w:rsidR="003D1F7F" w:rsidRPr="000B6103" w:rsidRDefault="003D1F7F" w:rsidP="003653D3">
      <w:pPr>
        <w:pStyle w:val="Heading3"/>
      </w:pPr>
      <w:bookmarkStart w:id="146" w:name="_Toc37775047"/>
      <w:bookmarkStart w:id="147" w:name="_Toc43987021"/>
      <w:r w:rsidRPr="000B6103">
        <w:t>Seagrass nutrient status</w:t>
      </w:r>
      <w:bookmarkEnd w:id="144"/>
      <w:bookmarkEnd w:id="145"/>
      <w:bookmarkEnd w:id="146"/>
      <w:bookmarkEnd w:id="147"/>
    </w:p>
    <w:p w14:paraId="6E18BF07" w14:textId="569F4565" w:rsidR="00861826" w:rsidRPr="000B6103" w:rsidRDefault="00861826" w:rsidP="0064459D">
      <w:pPr>
        <w:rPr>
          <w:rFonts w:cs="Arial"/>
          <w:szCs w:val="22"/>
        </w:rPr>
      </w:pPr>
      <w:r w:rsidRPr="000B6103">
        <w:rPr>
          <w:rFonts w:cs="Arial"/>
          <w:szCs w:val="22"/>
        </w:rPr>
        <w:t xml:space="preserve">Tissue nutrient content </w:t>
      </w:r>
      <w:r w:rsidR="00BC4AFB" w:rsidRPr="000B6103">
        <w:rPr>
          <w:rFonts w:cs="Arial"/>
          <w:szCs w:val="22"/>
        </w:rPr>
        <w:t xml:space="preserve">of seagrass leaves </w:t>
      </w:r>
      <w:r w:rsidRPr="000B6103">
        <w:rPr>
          <w:rFonts w:cs="Arial"/>
          <w:szCs w:val="22"/>
        </w:rPr>
        <w:t xml:space="preserve">including carbon (C), nitrogen (N) and phosphorus (P) </w:t>
      </w:r>
      <w:r w:rsidR="00BC4AFB" w:rsidRPr="000B6103">
        <w:rPr>
          <w:rFonts w:cs="Arial"/>
          <w:szCs w:val="22"/>
        </w:rPr>
        <w:t xml:space="preserve">were measured </w:t>
      </w:r>
      <w:r w:rsidR="009E0200" w:rsidRPr="000B6103">
        <w:rPr>
          <w:rFonts w:cs="Arial"/>
          <w:szCs w:val="22"/>
        </w:rPr>
        <w:t>annually</w:t>
      </w:r>
      <w:r w:rsidR="00BC4AFB" w:rsidRPr="000B6103">
        <w:rPr>
          <w:rFonts w:cs="Arial"/>
          <w:szCs w:val="22"/>
        </w:rPr>
        <w:t xml:space="preserve">. </w:t>
      </w:r>
      <w:r w:rsidRPr="000B6103">
        <w:rPr>
          <w:rFonts w:cs="Arial"/>
          <w:szCs w:val="22"/>
        </w:rPr>
        <w:t xml:space="preserve">The absolute tissue nutrient </w:t>
      </w:r>
      <w:r w:rsidRPr="000B6103">
        <w:rPr>
          <w:rFonts w:cs="Arial"/>
          <w:szCs w:val="22"/>
        </w:rPr>
        <w:lastRenderedPageBreak/>
        <w:t>concentrations (</w:t>
      </w:r>
      <w:r w:rsidR="007C215D">
        <w:rPr>
          <w:rFonts w:cs="Arial"/>
          <w:szCs w:val="22"/>
        </w:rPr>
        <w:t>%</w:t>
      </w:r>
      <w:r w:rsidRPr="000B6103">
        <w:rPr>
          <w:rFonts w:cs="Arial"/>
          <w:szCs w:val="22"/>
        </w:rPr>
        <w:t>C,</w:t>
      </w:r>
      <w:r w:rsidR="007C215D">
        <w:rPr>
          <w:rFonts w:cs="Arial"/>
          <w:szCs w:val="22"/>
        </w:rPr>
        <w:t xml:space="preserve"> </w:t>
      </w:r>
      <w:r w:rsidR="003C311A">
        <w:rPr>
          <w:rFonts w:cs="Arial"/>
          <w:szCs w:val="22"/>
        </w:rPr>
        <w:t>%</w:t>
      </w:r>
      <w:r w:rsidRPr="000B6103">
        <w:rPr>
          <w:rFonts w:cs="Arial"/>
          <w:szCs w:val="22"/>
        </w:rPr>
        <w:t xml:space="preserve">N </w:t>
      </w:r>
      <w:r w:rsidR="00E03E9F" w:rsidRPr="000B6103">
        <w:rPr>
          <w:rFonts w:cs="Arial"/>
          <w:szCs w:val="22"/>
        </w:rPr>
        <w:t>and</w:t>
      </w:r>
      <w:r w:rsidR="007C215D">
        <w:rPr>
          <w:rFonts w:cs="Arial"/>
          <w:szCs w:val="22"/>
        </w:rPr>
        <w:t xml:space="preserve"> </w:t>
      </w:r>
      <w:r w:rsidR="003C311A">
        <w:rPr>
          <w:rFonts w:cs="Arial"/>
          <w:szCs w:val="22"/>
        </w:rPr>
        <w:t>%</w:t>
      </w:r>
      <w:r w:rsidRPr="000B6103">
        <w:rPr>
          <w:rFonts w:cs="Arial"/>
          <w:szCs w:val="22"/>
        </w:rPr>
        <w:t xml:space="preserve">P) are used to calculate </w:t>
      </w:r>
      <w:r w:rsidR="00BC4AFB" w:rsidRPr="000B6103">
        <w:rPr>
          <w:rFonts w:cs="Arial"/>
          <w:szCs w:val="22"/>
        </w:rPr>
        <w:t>the atomic ratio</w:t>
      </w:r>
      <w:r w:rsidRPr="000B6103">
        <w:rPr>
          <w:rFonts w:cs="Arial"/>
          <w:szCs w:val="22"/>
        </w:rPr>
        <w:t xml:space="preserve"> of nutrients in seagrass leaves</w:t>
      </w:r>
      <w:r w:rsidR="003E508F" w:rsidRPr="000B6103">
        <w:rPr>
          <w:rFonts w:cs="Arial"/>
          <w:szCs w:val="22"/>
        </w:rPr>
        <w:t xml:space="preserve"> (see </w:t>
      </w:r>
      <w:r w:rsidR="003E508F" w:rsidRPr="000B6103">
        <w:rPr>
          <w:rFonts w:cs="Arial"/>
          <w:szCs w:val="22"/>
        </w:rPr>
        <w:fldChar w:fldCharType="begin"/>
      </w:r>
      <w:r w:rsidR="003E508F" w:rsidRPr="000B6103">
        <w:rPr>
          <w:rFonts w:cs="Arial"/>
          <w:szCs w:val="22"/>
        </w:rPr>
        <w:instrText xml:space="preserve"> REF _Ref511380752 \r \h </w:instrText>
      </w:r>
      <w:r w:rsidR="00CB093C" w:rsidRPr="000B6103">
        <w:rPr>
          <w:rFonts w:cs="Arial"/>
          <w:szCs w:val="22"/>
        </w:rPr>
        <w:instrText xml:space="preserve"> \* MERGEFORMAT </w:instrText>
      </w:r>
      <w:r w:rsidR="003E508F" w:rsidRPr="000B6103">
        <w:rPr>
          <w:rFonts w:cs="Arial"/>
          <w:szCs w:val="22"/>
        </w:rPr>
      </w:r>
      <w:r w:rsidR="003E508F" w:rsidRPr="000B6103">
        <w:rPr>
          <w:rFonts w:cs="Arial"/>
          <w:szCs w:val="22"/>
        </w:rPr>
        <w:fldChar w:fldCharType="separate"/>
      </w:r>
      <w:r w:rsidR="0067675D">
        <w:rPr>
          <w:rFonts w:cs="Arial"/>
          <w:szCs w:val="22"/>
        </w:rPr>
        <w:t>Appendix 2</w:t>
      </w:r>
      <w:r w:rsidR="003E508F" w:rsidRPr="000B6103">
        <w:rPr>
          <w:rFonts w:cs="Arial"/>
          <w:szCs w:val="22"/>
        </w:rPr>
        <w:fldChar w:fldCharType="end"/>
      </w:r>
      <w:r w:rsidR="003E508F" w:rsidRPr="000B6103">
        <w:rPr>
          <w:rFonts w:cs="Arial"/>
          <w:szCs w:val="22"/>
        </w:rPr>
        <w:t>)</w:t>
      </w:r>
      <w:r w:rsidRPr="000B6103">
        <w:rPr>
          <w:rFonts w:cs="Arial"/>
          <w:szCs w:val="22"/>
        </w:rPr>
        <w:t>. The C:N ratio</w:t>
      </w:r>
      <w:r w:rsidR="00BC4AFB" w:rsidRPr="000B6103">
        <w:rPr>
          <w:rFonts w:cs="Arial"/>
          <w:szCs w:val="22"/>
        </w:rPr>
        <w:t xml:space="preserve"> was cho</w:t>
      </w:r>
      <w:r w:rsidRPr="000B6103">
        <w:rPr>
          <w:rFonts w:cs="Arial"/>
          <w:szCs w:val="22"/>
        </w:rPr>
        <w:t xml:space="preserve">sen for the purpose of the report card </w:t>
      </w:r>
      <w:r w:rsidR="00BC4AFB" w:rsidRPr="000B6103">
        <w:rPr>
          <w:rFonts w:cs="Arial"/>
          <w:szCs w:val="22"/>
        </w:rPr>
        <w:t xml:space="preserve">score </w:t>
      </w:r>
      <w:r w:rsidRPr="000B6103">
        <w:rPr>
          <w:rFonts w:cs="Arial"/>
          <w:szCs w:val="22"/>
        </w:rPr>
        <w:t xml:space="preserve">as it is the ratio </w:t>
      </w:r>
      <w:r w:rsidR="00CD3DA9" w:rsidRPr="000B6103">
        <w:rPr>
          <w:rFonts w:cs="Arial"/>
          <w:szCs w:val="22"/>
        </w:rPr>
        <w:t>that</w:t>
      </w:r>
      <w:r w:rsidR="00CA6696" w:rsidRPr="000B6103">
        <w:rPr>
          <w:rFonts w:cs="Arial"/>
          <w:szCs w:val="22"/>
        </w:rPr>
        <w:t xml:space="preserve"> indicates </w:t>
      </w:r>
      <w:r w:rsidRPr="000B6103">
        <w:rPr>
          <w:rFonts w:cs="Arial"/>
          <w:szCs w:val="22"/>
        </w:rPr>
        <w:t xml:space="preserve">a change in either light or nitrogen availability at the meadow scale. C:N ratios were compared to a </w:t>
      </w:r>
      <w:r w:rsidR="00BC4AFB" w:rsidRPr="000B6103">
        <w:rPr>
          <w:rFonts w:cs="Arial"/>
          <w:szCs w:val="22"/>
        </w:rPr>
        <w:t>global average</w:t>
      </w:r>
      <w:r w:rsidRPr="000B6103">
        <w:rPr>
          <w:rFonts w:cs="Arial"/>
          <w:szCs w:val="22"/>
        </w:rPr>
        <w:t xml:space="preserve"> value of 20:1 (</w:t>
      </w:r>
      <w:r w:rsidRPr="000B6103">
        <w:rPr>
          <w:rFonts w:cs="Arial"/>
          <w:szCs w:val="22"/>
        </w:rPr>
        <w:fldChar w:fldCharType="begin"/>
      </w:r>
      <w:r w:rsidR="00B63A1C" w:rsidRPr="000B6103">
        <w:rPr>
          <w:rFonts w:cs="Arial"/>
          <w:szCs w:val="22"/>
        </w:rPr>
        <w:instrText xml:space="preserve"> ADDIN EN.CITE &lt;EndNote&gt;&lt;Cite&gt;&lt;Author&gt;Fourqurean&lt;/Author&gt;&lt;Year&gt;1992&lt;/Year&gt;&lt;RecNum&gt;9493&lt;/RecNum&gt;&lt;DisplayText&gt;Atkinson and Smith 1983; Fourqurean&lt;style face="italic"&gt; et al.&lt;/style&gt; 1992&lt;/DisplayText&gt;&lt;record&gt;&lt;rec-number&gt;9493&lt;/rec-number&gt;&lt;foreign-keys&gt;&lt;key app="EN" db-id="0eve55x9y5vfd6e9dacxtew4eatve2dzds9a" timestamp="1375843048"&gt;9493&lt;/key&gt;&lt;/foreign-keys&gt;&lt;ref-type name="Journal Article"&gt;17&lt;/ref-type&gt;&lt;contributors&gt;&lt;authors&gt;&lt;author&gt;Fourqurean, J. W.&lt;/author&gt;&lt;author&gt;Zieman, J. C.&lt;/author&gt;&lt;author&gt;Powell, G. V. N.&lt;/author&gt;&lt;/authors&gt;&lt;/contributors&gt;&lt;titles&gt;&lt;title&gt;Relationships between porewater nutrients and seagrasses in a subtropical carbonate environment&lt;/title&gt;&lt;secondary-title&gt;Marine Biology&lt;/secondary-title&gt;&lt;alt-title&gt;Marine Biology&lt;/alt-title&gt;&lt;/titles&gt;&lt;periodical&gt;&lt;full-title&gt;Marine Biology&lt;/full-title&gt;&lt;/periodical&gt;&lt;alt-periodical&gt;&lt;full-title&gt;Marine Biology&lt;/full-title&gt;&lt;/alt-periodical&gt;&lt;pages&gt;57-65&lt;/pages&gt;&lt;volume&gt;114&lt;/volume&gt;&lt;number&gt;1&lt;/number&gt;&lt;dates&gt;&lt;year&gt;1992&lt;/year&gt;&lt;pub-dates&gt;&lt;date&gt;1992/09/01&lt;/date&gt;&lt;/pub-dates&gt;&lt;/dates&gt;&lt;publisher&gt;Springer-Verlag&lt;/publisher&gt;&lt;isbn&gt;0025-3162&lt;/isbn&gt;&lt;urls&gt;&lt;related-urls&gt;&lt;url&gt;http://dx.doi.org/10.1007/BF00350856&lt;/url&gt;&lt;/related-urls&gt;&lt;/urls&gt;&lt;electronic-resource-num&gt;10.1007/bf00350856&lt;/electronic-resource-num&gt;&lt;language&gt;English&lt;/language&gt;&lt;/record&gt;&lt;/Cite&gt;&lt;Cite&gt;&lt;Author&gt;Atkinson&lt;/Author&gt;&lt;Year&gt;1983&lt;/Year&gt;&lt;RecNum&gt;6292&lt;/RecNum&gt;&lt;record&gt;&lt;rec-number&gt;6292&lt;/rec-number&gt;&lt;foreign-keys&gt;&lt;key app="EN" db-id="0eve55x9y5vfd6e9dacxtew4eatve2dzds9a" timestamp="0"&gt;6292&lt;/key&gt;&lt;/foreign-keys&gt;&lt;ref-type name="Journal Article"&gt;17&lt;/ref-type&gt;&lt;contributors&gt;&lt;authors&gt;&lt;author&gt;Atkinson, M J&lt;/author&gt;&lt;author&gt;Smith, S V&lt;/author&gt;&lt;/authors&gt;&lt;/contributors&gt;&lt;titles&gt;&lt;title&gt;C:N:P ratios of benthic marine plants&lt;/title&gt;&lt;secondary-title&gt;Limnology and Oceanography&lt;/secondary-title&gt;&lt;/titles&gt;&lt;periodical&gt;&lt;full-title&gt;Limnology and Oceanography&lt;/full-title&gt;&lt;/periodical&gt;&lt;pages&gt;568-574&lt;/pages&gt;&lt;volume&gt;28&lt;/volume&gt;&lt;number&gt;3&lt;/number&gt;&lt;dates&gt;&lt;year&gt;1983&lt;/year&gt;&lt;/dates&gt;&lt;urls&gt;&lt;/urls&gt;&lt;/record&gt;&lt;/Cite&gt;&lt;/EndNote&gt;</w:instrText>
      </w:r>
      <w:r w:rsidRPr="000B6103">
        <w:rPr>
          <w:rFonts w:cs="Arial"/>
          <w:szCs w:val="22"/>
        </w:rPr>
        <w:fldChar w:fldCharType="separate"/>
      </w:r>
      <w:hyperlink w:anchor="_ENREF_6" w:tooltip="Atkinson, 1983 #6292" w:history="1">
        <w:r w:rsidR="009A7AB4" w:rsidRPr="000B6103">
          <w:rPr>
            <w:rFonts w:cs="Arial"/>
            <w:noProof/>
            <w:szCs w:val="22"/>
          </w:rPr>
          <w:t>Atkinson and Smith 1983</w:t>
        </w:r>
      </w:hyperlink>
      <w:r w:rsidR="00B63A1C" w:rsidRPr="000B6103">
        <w:rPr>
          <w:rFonts w:cs="Arial"/>
          <w:noProof/>
          <w:szCs w:val="22"/>
        </w:rPr>
        <w:t xml:space="preserve">; </w:t>
      </w:r>
      <w:hyperlink w:anchor="_ENREF_60" w:tooltip="Fourqurean, 1992 #9493" w:history="1">
        <w:r w:rsidR="009A7AB4" w:rsidRPr="000B6103">
          <w:rPr>
            <w:rFonts w:cs="Arial"/>
            <w:noProof/>
            <w:szCs w:val="22"/>
          </w:rPr>
          <w:t>Fourqurean</w:t>
        </w:r>
        <w:r w:rsidR="009A7AB4" w:rsidRPr="000B6103">
          <w:rPr>
            <w:rFonts w:cs="Arial"/>
            <w:i/>
            <w:noProof/>
            <w:szCs w:val="22"/>
          </w:rPr>
          <w:t xml:space="preserve"> et al.</w:t>
        </w:r>
        <w:r w:rsidR="009A7AB4" w:rsidRPr="000B6103">
          <w:rPr>
            <w:rFonts w:cs="Arial"/>
            <w:noProof/>
            <w:szCs w:val="22"/>
          </w:rPr>
          <w:t xml:space="preserve"> 1992</w:t>
        </w:r>
      </w:hyperlink>
      <w:r w:rsidRPr="000B6103">
        <w:rPr>
          <w:rFonts w:cs="Arial"/>
          <w:szCs w:val="22"/>
        </w:rPr>
        <w:fldChar w:fldCharType="end"/>
      </w:r>
      <w:r w:rsidRPr="000B6103">
        <w:rPr>
          <w:rFonts w:cs="Arial"/>
          <w:szCs w:val="22"/>
        </w:rPr>
        <w:t>), with values less than 20:1 indicating either reduced light or excess N is available to the seagrass. Values higher than 20:1 suggest light saturation and low nitrogen availabi</w:t>
      </w:r>
      <w:r w:rsidR="00F26FBD" w:rsidRPr="000B6103">
        <w:rPr>
          <w:rFonts w:cs="Arial"/>
          <w:szCs w:val="22"/>
        </w:rPr>
        <w:t>li</w:t>
      </w:r>
      <w:r w:rsidRPr="000B6103">
        <w:rPr>
          <w:rFonts w:cs="Arial"/>
          <w:szCs w:val="22"/>
        </w:rPr>
        <w:t>ty (</w:t>
      </w:r>
      <w:r w:rsidR="003F6C93">
        <w:rPr>
          <w:rFonts w:cs="Arial"/>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eWxlPiAxOTk2OyBVZHkgYW5kIERlbm5pc29uIDE5OTdiPC9EaXNwbGF5VGV4dD48cmVjb3JkPjxy
ZWMtbnVtYmVyPjc0MDU8L3JlYy1udW1iZXI+PGZvcmVpZ24ta2V5cz48a2V5IGFwcD0iRU4iIGRi
LWlkPSIwZXZlNTV4OXk1dmZkNmU5ZGFjeHRldzRlYXR2ZTJkemRzOWEiIHRpbWVzdGFtcD0iMCI+
NzQwNTwva2V5PjwvZm9yZWlnbi1rZXlzPjxyZWYtdHlwZSBuYW1lPSJKb3VybmFsIEFydGljbGUi
PjE3PC9yZWYtdHlwZT48Y29udHJpYnV0b3JzPjxhdXRob3JzPjxhdXRob3I+QWJhbCwgRS5HLjwv
YXV0aG9yPjxhdXRob3I+TG9uZXJhZ2FuLCBOLlIuPC9hdXRob3I+PGF1dGhvcj5Cb3dlbiwgUC48
L2F1dGhvcj48YXV0aG9yPlBlcnJ5LCBDLkouPC9hdXRob3I+PGF1dGhvcj5VZHksIEouVy48L2F1
dGhvcj48YXV0aG9yPkRlbm5pc29uLCBXLkMuPC9hdXRob3I+PC9hdXRob3JzPjwvY29udHJpYnV0
b3JzPjx0aXRsZXM+PHRpdGxlPjxzdHlsZSBmYWNlPSJub3JtYWwiIGZvbnQ9ImRlZmF1bHQiIHNp
emU9IjEwMCUiPlBoeXNpb2xvZ2ljYWwgYW5kIG1vcnBob2xvZ2ljYWwgcmVzcG9uc2VzIG9mIHRo
ZSBzZWFncmFzcyA8L3N0eWxlPjxzdHlsZSBmYWNlPSJpdGFsaWMiIGZvbnQ9ImRlZmF1bHQiIHNp
emU9IjEwMCUiPlpvc3RlcmEgY2Fwcmljb3JuaTwvc3R5bGU+PHN0eWxlIGZhY2U9Im5vcm1hbCIg
Zm9udD0iZGVmYXVsdCIgc2l6ZT0iMTAwJSI+IEFzY2hlcnMuIHRvIGxpZ2h0IGludGVuc2l0eTwv
c3R5bGU+PC90aXRsZT48c2Vjb25kYXJ5LXRpdGxlPkpvdXJuYWwgb2YgRXhwZXJpbWVudGFsIE1h
cmluZSBCaW9sb2d5IGFuZCBFY29sb2d5PC9zZWNvbmRhcnktdGl0bGU+PC90aXRsZXM+PHBlcmlv
ZGljYWw+PGZ1bGwtdGl0bGU+Sm91cm5hbCBvZiBFeHBlcmltZW50YWwgTWFyaW5lIEJpb2xvZ3kg
YW5kIEVjb2xvZ3k8L2Z1bGwtdGl0bGU+PC9wZXJpb2RpY2FsPjxwYWdlcz4xMTMtMTI5PC9wYWdl
cz48dm9sdW1lPjE3ODwvdm9sdW1lPjxudW1iZXI+MTwvbnVtYmVyPjxkYXRlcz48eWVhcj4xOTk0
PC95ZWFyPjwvZGF0ZXM+PHVybHM+PC91cmxzPjwvcmVjb3JkPjwvQ2l0ZT48Q2l0ZT48QXV0aG9y
PkdyaWNlPC9BdXRob3I+PFllYXI+MTk5NjwvWWVhcj48UmVjTnVtPjEzNDY8L1JlY051bT48cmVj
b3JkPjxyZWMtbnVtYmVyPjEzNDY8L3JlYy1udW1iZXI+PGZvcmVpZ24ta2V5cz48a2V5IGFwcD0i
RU4iIGRiLWlkPSIwZXZlNTV4OXk1dmZkNmU5ZGFjeHRldzRlYXR2ZTJkemRzOWEiIHRpbWVzdGFt
cD0iMCI+MTM0Njwva2V5PjwvZm9yZWlnbi1rZXlzPjxyZWYtdHlwZSBuYW1lPSJKb3VybmFsIEFy
dGljbGUiPjE3PC9yZWYtdHlwZT48Y29udHJpYnV0b3JzPjxhdXRob3JzPjxhdXRob3I+R3JpY2Us
IEFNPC9hdXRob3I+PGF1dGhvcj5Mb25lcmFnYW4sIE5SPC9hdXRob3I+PGF1dGhvcj5EZW5uaXNv
biwgV0M8L2F1dGhvcj48L2F1dGhvcnM+PC9jb250cmlidXRvcnM+PHRpdGxlcz48dGl0bGU+TGln
aHQgaW50ZW5zaXR5IGFuZCB0aGUgaW50ZXJhY3Rpb25zIGJldHdlZW4gcGh5c2lvbG9neSwgbW9y
cGhvbG9neSBhbmQgc3RhYmxlIGlzb3RvcGUgcmF0aW9zIGluIGZpdmUgc3BlY2llcyBvZiBzZWFn
cmFzczwvdGl0bGU+PHNlY29uZGFyeS10aXRsZT5Kb3VybmFsIG9mIEV4cGVyaW1lbnRhbCBNYXJp
bmUgQmlvbG9neSBhbmQgRWNvbG9neTwvc2Vjb25kYXJ5LXRpdGxlPjxhbHQtdGl0bGU+Si4gRXhw
LiBNYXIuIEJpb2wuIEVjb2wuPC9hbHQtdGl0bGU+PC90aXRsZXM+PHBlcmlvZGljYWw+PGZ1bGwt
dGl0bGU+Sm91cm5hbCBvZiBFeHBlcmltZW50YWwgTWFyaW5lIEJpb2xvZ3kgYW5kIEVjb2xvZ3k8
L2Z1bGwtdGl0bGU+PC9wZXJpb2RpY2FsPjxwYWdlcz45MS0xMTA8L3BhZ2VzPjx2b2x1bWU+MTk1
PC92b2x1bWU+PGtleXdvcmRzPjxrZXl3b3JkPkNhcmJvbiwgTGlnaHQsIE5pdHJvZ2VuLCBTZWFn
cmFzcywgU3RhYmxlIGlzb3RvcGUgcmF0aW88L2tleXdvcmQ+PC9rZXl3b3Jkcz48ZGF0ZXM+PHll
YXI+MTk5NjwveWVhcj48L2RhdGVzPjx1cmxzPjwvdXJscz48Y3VzdG9tMT5MZW4gTWNLZW56aWUg
Q29sbGVjdGlvbjwvY3VzdG9tMT48L3JlY29yZD48L0NpdGU+PENpdGU+PEF1dGhvcj5VZHk8L0F1
dGhvcj48WWVhcj4xOTk3PC9ZZWFyPjxSZWNOdW0+OTc5MTwvUmVjTnVtPjxyZWNvcmQ+PHJlYy1u
dW1iZXI+OTc5MTwvcmVjLW51bWJlcj48Zm9yZWlnbi1rZXlzPjxrZXkgYXBwPSJFTiIgZGItaWQ9
IjBldmU1NXg5eTV2ZmQ2ZTlkYWN4dGV3NGVhdHZlMmR6ZHM5YSIgdGltZXN0YW1wPSIxMzk0NzA2
MTM4Ij45NzkxPC9rZXk+PC9mb3JlaWduLWtleXM+PHJlZi10eXBlIG5hbWU9IkpvdXJuYWwgQXJ0
aWNsZSI+MTc8L3JlZi10eXBlPjxjb250cmlidXRvcnM+PGF1dGhvcnM+PGF1dGhvcj5VZHksSmFt
ZXMgVy48L2F1dGhvcj48YXV0aG9yPkRlbm5pc29uLFdpbGxpYW0gQy48L2F1dGhvcj48L2F1dGhv
cnM+PC9jb250cmlidXRvcnM+PHRpdGxlcz48dGl0bGU+UGh5c2lvbG9naWNhbCByZXNwb25zZXMg
b2Ygc2VhZ3Jhc3NlcyB1c2VkIHRvIGlkZW50aWZ5IGFudGhyb3BvZ2VuaWMgbnV0cmllbnQgaW5w
dXRzPC90aXRsZT48c2Vjb25kYXJ5LXRpdGxlPk1hcmluZSBhbmQgRnJlc2h3YXRlciBSZXNlYXJj
aDwvc2Vjb25kYXJ5LXRpdGxlPjwvdGl0bGVzPjxwZXJpb2RpY2FsPjxmdWxsLXRpdGxlPk1hcmlu
ZSBhbmQgRnJlc2h3YXRlciBSZXNlYXJjaDwvZnVsbC10aXRsZT48L3BlcmlvZGljYWw+PHBhZ2Vz
PjYwNS02MTQ8L3BhZ2VzPjx2b2x1bWU+NDg8L3ZvbHVtZT48bnVtYmVyPjc8L251bWJlcj48ZGF0
ZXM+PHllYXI+MTk5NzwveWVhcj48L2RhdGVzPjx1cmxzPjxyZWxhdGVkLXVybHM+PHVybD5odHRw
Oi8vd3d3LnB1Ymxpc2guY3Npcm8uYXUvcGFwZXIvTUY5NzAwMTwvdXJsPjwvcmVsYXRlZC11cmxz
PjwvdXJscz48ZWxlY3Ryb25pYy1yZXNvdXJjZS1udW0+aHR0cDovL2R4LmRvaS5vcmcvMTAuMTA3
MS9NRjk3MDAxPC9lbGVjdHJvbmljLXJlc291cmNlLW51bT48L3JlY29yZD48L0NpdGU+PC9FbmRO
b3RlPn==
</w:fldData>
        </w:fldChar>
      </w:r>
      <w:r w:rsidR="000631A4">
        <w:rPr>
          <w:rFonts w:cs="Arial"/>
          <w:szCs w:val="22"/>
        </w:rPr>
        <w:instrText xml:space="preserve"> ADDIN EN.CITE </w:instrText>
      </w:r>
      <w:r w:rsidR="000631A4">
        <w:rPr>
          <w:rFonts w:cs="Arial"/>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eWxlPiAxOTk2OyBVZHkgYW5kIERlbm5pc29uIDE5OTdiPC9EaXNwbGF5VGV4dD48cmVjb3JkPjxy
ZWMtbnVtYmVyPjc0MDU8L3JlYy1udW1iZXI+PGZvcmVpZ24ta2V5cz48a2V5IGFwcD0iRU4iIGRi
LWlkPSIwZXZlNTV4OXk1dmZkNmU5ZGFjeHRldzRlYXR2ZTJkemRzOWEiIHRpbWVzdGFtcD0iMCI+
NzQwNTwva2V5PjwvZm9yZWlnbi1rZXlzPjxyZWYtdHlwZSBuYW1lPSJKb3VybmFsIEFydGljbGUi
PjE3PC9yZWYtdHlwZT48Y29udHJpYnV0b3JzPjxhdXRob3JzPjxhdXRob3I+QWJhbCwgRS5HLjwv
YXV0aG9yPjxhdXRob3I+TG9uZXJhZ2FuLCBOLlIuPC9hdXRob3I+PGF1dGhvcj5Cb3dlbiwgUC48
L2F1dGhvcj48YXV0aG9yPlBlcnJ5LCBDLkouPC9hdXRob3I+PGF1dGhvcj5VZHksIEouVy48L2F1
dGhvcj48YXV0aG9yPkRlbm5pc29uLCBXLkMuPC9hdXRob3I+PC9hdXRob3JzPjwvY29udHJpYnV0
b3JzPjx0aXRsZXM+PHRpdGxlPjxzdHlsZSBmYWNlPSJub3JtYWwiIGZvbnQ9ImRlZmF1bHQiIHNp
emU9IjEwMCUiPlBoeXNpb2xvZ2ljYWwgYW5kIG1vcnBob2xvZ2ljYWwgcmVzcG9uc2VzIG9mIHRo
ZSBzZWFncmFzcyA8L3N0eWxlPjxzdHlsZSBmYWNlPSJpdGFsaWMiIGZvbnQ9ImRlZmF1bHQiIHNp
emU9IjEwMCUiPlpvc3RlcmEgY2Fwcmljb3JuaTwvc3R5bGU+PHN0eWxlIGZhY2U9Im5vcm1hbCIg
Zm9udD0iZGVmYXVsdCIgc2l6ZT0iMTAwJSI+IEFzY2hlcnMuIHRvIGxpZ2h0IGludGVuc2l0eTwv
c3R5bGU+PC90aXRsZT48c2Vjb25kYXJ5LXRpdGxlPkpvdXJuYWwgb2YgRXhwZXJpbWVudGFsIE1h
cmluZSBCaW9sb2d5IGFuZCBFY29sb2d5PC9zZWNvbmRhcnktdGl0bGU+PC90aXRsZXM+PHBlcmlv
ZGljYWw+PGZ1bGwtdGl0bGU+Sm91cm5hbCBvZiBFeHBlcmltZW50YWwgTWFyaW5lIEJpb2xvZ3kg
YW5kIEVjb2xvZ3k8L2Z1bGwtdGl0bGU+PC9wZXJpb2RpY2FsPjxwYWdlcz4xMTMtMTI5PC9wYWdl
cz48dm9sdW1lPjE3ODwvdm9sdW1lPjxudW1iZXI+MTwvbnVtYmVyPjxkYXRlcz48eWVhcj4xOTk0
PC95ZWFyPjwvZGF0ZXM+PHVybHM+PC91cmxzPjwvcmVjb3JkPjwvQ2l0ZT48Q2l0ZT48QXV0aG9y
PkdyaWNlPC9BdXRob3I+PFllYXI+MTk5NjwvWWVhcj48UmVjTnVtPjEzNDY8L1JlY051bT48cmVj
b3JkPjxyZWMtbnVtYmVyPjEzNDY8L3JlYy1udW1iZXI+PGZvcmVpZ24ta2V5cz48a2V5IGFwcD0i
RU4iIGRiLWlkPSIwZXZlNTV4OXk1dmZkNmU5ZGFjeHRldzRlYXR2ZTJkemRzOWEiIHRpbWVzdGFt
cD0iMCI+MTM0Njwva2V5PjwvZm9yZWlnbi1rZXlzPjxyZWYtdHlwZSBuYW1lPSJKb3VybmFsIEFy
dGljbGUiPjE3PC9yZWYtdHlwZT48Y29udHJpYnV0b3JzPjxhdXRob3JzPjxhdXRob3I+R3JpY2Us
IEFNPC9hdXRob3I+PGF1dGhvcj5Mb25lcmFnYW4sIE5SPC9hdXRob3I+PGF1dGhvcj5EZW5uaXNv
biwgV0M8L2F1dGhvcj48L2F1dGhvcnM+PC9jb250cmlidXRvcnM+PHRpdGxlcz48dGl0bGU+TGln
aHQgaW50ZW5zaXR5IGFuZCB0aGUgaW50ZXJhY3Rpb25zIGJldHdlZW4gcGh5c2lvbG9neSwgbW9y
cGhvbG9neSBhbmQgc3RhYmxlIGlzb3RvcGUgcmF0aW9zIGluIGZpdmUgc3BlY2llcyBvZiBzZWFn
cmFzczwvdGl0bGU+PHNlY29uZGFyeS10aXRsZT5Kb3VybmFsIG9mIEV4cGVyaW1lbnRhbCBNYXJp
bmUgQmlvbG9neSBhbmQgRWNvbG9neTwvc2Vjb25kYXJ5LXRpdGxlPjxhbHQtdGl0bGU+Si4gRXhw
LiBNYXIuIEJpb2wuIEVjb2wuPC9hbHQtdGl0bGU+PC90aXRsZXM+PHBlcmlvZGljYWw+PGZ1bGwt
dGl0bGU+Sm91cm5hbCBvZiBFeHBlcmltZW50YWwgTWFyaW5lIEJpb2xvZ3kgYW5kIEVjb2xvZ3k8
L2Z1bGwtdGl0bGU+PC9wZXJpb2RpY2FsPjxwYWdlcz45MS0xMTA8L3BhZ2VzPjx2b2x1bWU+MTk1
PC92b2x1bWU+PGtleXdvcmRzPjxrZXl3b3JkPkNhcmJvbiwgTGlnaHQsIE5pdHJvZ2VuLCBTZWFn
cmFzcywgU3RhYmxlIGlzb3RvcGUgcmF0aW88L2tleXdvcmQ+PC9rZXl3b3Jkcz48ZGF0ZXM+PHll
YXI+MTk5NjwveWVhcj48L2RhdGVzPjx1cmxzPjwvdXJscz48Y3VzdG9tMT5MZW4gTWNLZW56aWUg
Q29sbGVjdGlvbjwvY3VzdG9tMT48L3JlY29yZD48L0NpdGU+PENpdGU+PEF1dGhvcj5VZHk8L0F1
dGhvcj48WWVhcj4xOTk3PC9ZZWFyPjxSZWNOdW0+OTc5MTwvUmVjTnVtPjxyZWNvcmQ+PHJlYy1u
dW1iZXI+OTc5MTwvcmVjLW51bWJlcj48Zm9yZWlnbi1rZXlzPjxrZXkgYXBwPSJFTiIgZGItaWQ9
IjBldmU1NXg5eTV2ZmQ2ZTlkYWN4dGV3NGVhdHZlMmR6ZHM5YSIgdGltZXN0YW1wPSIxMzk0NzA2
MTM4Ij45NzkxPC9rZXk+PC9mb3JlaWduLWtleXM+PHJlZi10eXBlIG5hbWU9IkpvdXJuYWwgQXJ0
aWNsZSI+MTc8L3JlZi10eXBlPjxjb250cmlidXRvcnM+PGF1dGhvcnM+PGF1dGhvcj5VZHksSmFt
ZXMgVy48L2F1dGhvcj48YXV0aG9yPkRlbm5pc29uLFdpbGxpYW0gQy48L2F1dGhvcj48L2F1dGhv
cnM+PC9jb250cmlidXRvcnM+PHRpdGxlcz48dGl0bGU+UGh5c2lvbG9naWNhbCByZXNwb25zZXMg
b2Ygc2VhZ3Jhc3NlcyB1c2VkIHRvIGlkZW50aWZ5IGFudGhyb3BvZ2VuaWMgbnV0cmllbnQgaW5w
dXRzPC90aXRsZT48c2Vjb25kYXJ5LXRpdGxlPk1hcmluZSBhbmQgRnJlc2h3YXRlciBSZXNlYXJj
aDwvc2Vjb25kYXJ5LXRpdGxlPjwvdGl0bGVzPjxwZXJpb2RpY2FsPjxmdWxsLXRpdGxlPk1hcmlu
ZSBhbmQgRnJlc2h3YXRlciBSZXNlYXJjaDwvZnVsbC10aXRsZT48L3BlcmlvZGljYWw+PHBhZ2Vz
PjYwNS02MTQ8L3BhZ2VzPjx2b2x1bWU+NDg8L3ZvbHVtZT48bnVtYmVyPjc8L251bWJlcj48ZGF0
ZXM+PHllYXI+MTk5NzwveWVhcj48L2RhdGVzPjx1cmxzPjxyZWxhdGVkLXVybHM+PHVybD5odHRw
Oi8vd3d3LnB1Ymxpc2guY3Npcm8uYXUvcGFwZXIvTUY5NzAwMTwvdXJsPjwvcmVsYXRlZC11cmxz
PjwvdXJscz48ZWxlY3Ryb25pYy1yZXNvdXJjZS1udW0+aHR0cDovL2R4LmRvaS5vcmcvMTAuMTA3
MS9NRjk3MDAxPC9lbGVjdHJvbmljLXJlc291cmNlLW51bT48L3JlY29yZD48L0NpdGU+PC9FbmRO
b3RlPn==
</w:fldData>
        </w:fldChar>
      </w:r>
      <w:r w:rsidR="000631A4">
        <w:rPr>
          <w:rFonts w:cs="Arial"/>
          <w:szCs w:val="22"/>
        </w:rPr>
        <w:instrText xml:space="preserve"> ADDIN EN.CITE.DATA </w:instrText>
      </w:r>
      <w:r w:rsidR="000631A4">
        <w:rPr>
          <w:rFonts w:cs="Arial"/>
          <w:szCs w:val="22"/>
        </w:rPr>
      </w:r>
      <w:r w:rsidR="000631A4">
        <w:rPr>
          <w:rFonts w:cs="Arial"/>
          <w:szCs w:val="22"/>
        </w:rPr>
        <w:fldChar w:fldCharType="end"/>
      </w:r>
      <w:r w:rsidR="003F6C93">
        <w:rPr>
          <w:rFonts w:cs="Arial"/>
          <w:szCs w:val="22"/>
        </w:rPr>
      </w:r>
      <w:r w:rsidR="003F6C93">
        <w:rPr>
          <w:rFonts w:cs="Arial"/>
          <w:szCs w:val="22"/>
        </w:rPr>
        <w:fldChar w:fldCharType="separate"/>
      </w:r>
      <w:hyperlink w:anchor="_ENREF_1" w:tooltip="Abal, 1994 #7405" w:history="1">
        <w:r w:rsidR="009A7AB4">
          <w:rPr>
            <w:rFonts w:cs="Arial"/>
            <w:noProof/>
            <w:szCs w:val="22"/>
          </w:rPr>
          <w:t>Abal</w:t>
        </w:r>
        <w:r w:rsidR="009A7AB4" w:rsidRPr="000631A4">
          <w:rPr>
            <w:rFonts w:cs="Arial"/>
            <w:i/>
            <w:noProof/>
            <w:szCs w:val="22"/>
          </w:rPr>
          <w:t xml:space="preserve"> et al.</w:t>
        </w:r>
        <w:r w:rsidR="009A7AB4">
          <w:rPr>
            <w:rFonts w:cs="Arial"/>
            <w:noProof/>
            <w:szCs w:val="22"/>
          </w:rPr>
          <w:t xml:space="preserve"> 1994</w:t>
        </w:r>
      </w:hyperlink>
      <w:r w:rsidR="000631A4">
        <w:rPr>
          <w:rFonts w:cs="Arial"/>
          <w:noProof/>
          <w:szCs w:val="22"/>
        </w:rPr>
        <w:t xml:space="preserve">; </w:t>
      </w:r>
      <w:hyperlink w:anchor="_ENREF_66" w:tooltip="Grice, 1996 #1346" w:history="1">
        <w:r w:rsidR="009A7AB4">
          <w:rPr>
            <w:rFonts w:cs="Arial"/>
            <w:noProof/>
            <w:szCs w:val="22"/>
          </w:rPr>
          <w:t>Grice</w:t>
        </w:r>
        <w:r w:rsidR="009A7AB4" w:rsidRPr="000631A4">
          <w:rPr>
            <w:rFonts w:cs="Arial"/>
            <w:i/>
            <w:noProof/>
            <w:szCs w:val="22"/>
          </w:rPr>
          <w:t xml:space="preserve"> et al.</w:t>
        </w:r>
        <w:r w:rsidR="009A7AB4">
          <w:rPr>
            <w:rFonts w:cs="Arial"/>
            <w:noProof/>
            <w:szCs w:val="22"/>
          </w:rPr>
          <w:t xml:space="preserve"> 1996</w:t>
        </w:r>
      </w:hyperlink>
      <w:r w:rsidR="000631A4">
        <w:rPr>
          <w:rFonts w:cs="Arial"/>
          <w:noProof/>
          <w:szCs w:val="22"/>
        </w:rPr>
        <w:t xml:space="preserve">; </w:t>
      </w:r>
      <w:hyperlink w:anchor="_ENREF_142" w:tooltip="Udy, 1997 #9791" w:history="1">
        <w:r w:rsidR="009A7AB4">
          <w:rPr>
            <w:rFonts w:cs="Arial"/>
            <w:noProof/>
            <w:szCs w:val="22"/>
          </w:rPr>
          <w:t>Udy and Dennison 1997b</w:t>
        </w:r>
      </w:hyperlink>
      <w:r w:rsidR="003F6C93">
        <w:rPr>
          <w:rFonts w:cs="Arial"/>
          <w:szCs w:val="22"/>
        </w:rPr>
        <w:fldChar w:fldCharType="end"/>
      </w:r>
      <w:r w:rsidRPr="000B6103">
        <w:rPr>
          <w:rFonts w:cs="Arial"/>
          <w:szCs w:val="22"/>
        </w:rPr>
        <w:t xml:space="preserve">). C:N ratios from the late dry </w:t>
      </w:r>
      <w:r w:rsidR="003E508F" w:rsidRPr="000B6103">
        <w:rPr>
          <w:rFonts w:cs="Arial"/>
          <w:szCs w:val="22"/>
        </w:rPr>
        <w:t>season</w:t>
      </w:r>
      <w:r w:rsidRPr="000B6103">
        <w:rPr>
          <w:rFonts w:cs="Arial"/>
          <w:szCs w:val="22"/>
        </w:rPr>
        <w:t xml:space="preserve"> (</w:t>
      </w:r>
      <w:r w:rsidR="002305F0" w:rsidRPr="000B6103">
        <w:rPr>
          <w:rFonts w:cs="Arial"/>
          <w:szCs w:val="22"/>
        </w:rPr>
        <w:t>September-November 2018</w:t>
      </w:r>
      <w:r w:rsidRPr="000B6103">
        <w:rPr>
          <w:rFonts w:cs="Arial"/>
          <w:szCs w:val="22"/>
        </w:rPr>
        <w:t>) were categorised on their departure from the guideline and transformed to a score</w:t>
      </w:r>
      <w:r w:rsidR="00F26FBD" w:rsidRPr="000B6103">
        <w:rPr>
          <w:rFonts w:cs="Arial"/>
          <w:szCs w:val="22"/>
        </w:rPr>
        <w:t xml:space="preserve"> </w:t>
      </w:r>
      <w:r w:rsidR="003E508F" w:rsidRPr="000B6103">
        <w:rPr>
          <w:rFonts w:cs="Arial"/>
          <w:szCs w:val="22"/>
        </w:rPr>
        <w:t xml:space="preserve">(see </w:t>
      </w:r>
      <w:r w:rsidR="003E508F" w:rsidRPr="000B6103">
        <w:rPr>
          <w:rFonts w:cs="Arial"/>
          <w:szCs w:val="22"/>
        </w:rPr>
        <w:fldChar w:fldCharType="begin"/>
      </w:r>
      <w:r w:rsidR="003E508F" w:rsidRPr="000B6103">
        <w:rPr>
          <w:rFonts w:cs="Arial"/>
          <w:szCs w:val="22"/>
        </w:rPr>
        <w:instrText xml:space="preserve"> REF _Ref511380752 \r \h </w:instrText>
      </w:r>
      <w:r w:rsidR="00CB093C" w:rsidRPr="000B6103">
        <w:rPr>
          <w:rFonts w:cs="Arial"/>
          <w:szCs w:val="22"/>
        </w:rPr>
        <w:instrText xml:space="preserve"> \* MERGEFORMAT </w:instrText>
      </w:r>
      <w:r w:rsidR="003E508F" w:rsidRPr="000B6103">
        <w:rPr>
          <w:rFonts w:cs="Arial"/>
          <w:szCs w:val="22"/>
        </w:rPr>
      </w:r>
      <w:r w:rsidR="003E508F" w:rsidRPr="000B6103">
        <w:rPr>
          <w:rFonts w:cs="Arial"/>
          <w:szCs w:val="22"/>
        </w:rPr>
        <w:fldChar w:fldCharType="separate"/>
      </w:r>
      <w:r w:rsidR="0067675D">
        <w:rPr>
          <w:rFonts w:cs="Arial"/>
          <w:szCs w:val="22"/>
        </w:rPr>
        <w:t>Appendix 2</w:t>
      </w:r>
      <w:r w:rsidR="003E508F" w:rsidRPr="000B6103">
        <w:rPr>
          <w:rFonts w:cs="Arial"/>
          <w:szCs w:val="22"/>
        </w:rPr>
        <w:fldChar w:fldCharType="end"/>
      </w:r>
      <w:r w:rsidR="003E508F" w:rsidRPr="000B6103">
        <w:rPr>
          <w:rFonts w:cs="Arial"/>
          <w:szCs w:val="22"/>
        </w:rPr>
        <w:t>) which was then graded from very good to very poor (</w:t>
      </w:r>
      <w:r w:rsidR="003E508F" w:rsidRPr="000B6103">
        <w:rPr>
          <w:rFonts w:cs="Arial"/>
          <w:szCs w:val="22"/>
        </w:rPr>
        <w:fldChar w:fldCharType="begin"/>
      </w:r>
      <w:r w:rsidR="003E508F" w:rsidRPr="000B6103">
        <w:rPr>
          <w:rFonts w:cs="Arial"/>
          <w:szCs w:val="22"/>
        </w:rPr>
        <w:instrText xml:space="preserve"> REF _Ref273446285 \h </w:instrText>
      </w:r>
      <w:r w:rsidR="00CB093C" w:rsidRPr="000B6103">
        <w:rPr>
          <w:rFonts w:cs="Arial"/>
          <w:szCs w:val="22"/>
        </w:rPr>
        <w:instrText xml:space="preserve"> \* MERGEFORMAT </w:instrText>
      </w:r>
      <w:r w:rsidR="003E508F" w:rsidRPr="000B6103">
        <w:rPr>
          <w:rFonts w:cs="Arial"/>
          <w:szCs w:val="22"/>
        </w:rPr>
      </w:r>
      <w:r w:rsidR="003E508F" w:rsidRPr="000B6103">
        <w:rPr>
          <w:rFonts w:cs="Arial"/>
          <w:szCs w:val="22"/>
        </w:rPr>
        <w:fldChar w:fldCharType="separate"/>
      </w:r>
      <w:r w:rsidR="0067675D" w:rsidRPr="000B6103">
        <w:rPr>
          <w:rFonts w:cs="Arial"/>
          <w:color w:val="000000"/>
          <w:szCs w:val="22"/>
        </w:rPr>
        <w:t xml:space="preserve">Table </w:t>
      </w:r>
      <w:r w:rsidR="0067675D">
        <w:rPr>
          <w:rFonts w:cs="Arial"/>
          <w:noProof/>
          <w:color w:val="000000"/>
          <w:szCs w:val="22"/>
        </w:rPr>
        <w:t>6</w:t>
      </w:r>
      <w:r w:rsidR="003E508F" w:rsidRPr="000B6103">
        <w:rPr>
          <w:rFonts w:cs="Arial"/>
          <w:szCs w:val="22"/>
        </w:rPr>
        <w:fldChar w:fldCharType="end"/>
      </w:r>
      <w:r w:rsidR="003E508F" w:rsidRPr="000B6103">
        <w:rPr>
          <w:rFonts w:cs="Arial"/>
          <w:szCs w:val="22"/>
        </w:rPr>
        <w:t>)</w:t>
      </w:r>
      <w:r w:rsidRPr="000B6103">
        <w:rPr>
          <w:rFonts w:cs="Arial"/>
          <w:szCs w:val="22"/>
        </w:rPr>
        <w:t>.</w:t>
      </w:r>
    </w:p>
    <w:p w14:paraId="34551661" w14:textId="0EB3A4F2" w:rsidR="003D1F7F" w:rsidRPr="000B6103" w:rsidRDefault="003D1F7F" w:rsidP="0089405C">
      <w:pPr>
        <w:keepNext/>
        <w:jc w:val="center"/>
        <w:rPr>
          <w:rFonts w:cs="Arial"/>
          <w:i/>
          <w:color w:val="000000"/>
          <w:szCs w:val="22"/>
        </w:rPr>
      </w:pPr>
      <w:bookmarkStart w:id="148" w:name="_Ref273446285"/>
      <w:bookmarkStart w:id="149" w:name="_Toc37787058"/>
      <w:bookmarkStart w:id="150" w:name="_Toc47600680"/>
      <w:r w:rsidRPr="000B6103">
        <w:rPr>
          <w:rFonts w:cs="Arial"/>
          <w:color w:val="000000"/>
          <w:szCs w:val="22"/>
        </w:rPr>
        <w:t xml:space="preserve">Table </w:t>
      </w:r>
      <w:r w:rsidRPr="000B6103">
        <w:rPr>
          <w:rFonts w:cs="Arial"/>
          <w:color w:val="000000"/>
          <w:szCs w:val="22"/>
        </w:rPr>
        <w:fldChar w:fldCharType="begin"/>
      </w:r>
      <w:r w:rsidRPr="000B6103">
        <w:rPr>
          <w:rFonts w:cs="Arial"/>
          <w:color w:val="000000"/>
          <w:szCs w:val="22"/>
        </w:rPr>
        <w:instrText xml:space="preserve"> SEQ Table \* ARABIC </w:instrText>
      </w:r>
      <w:r w:rsidRPr="000B6103">
        <w:rPr>
          <w:rFonts w:cs="Arial"/>
          <w:color w:val="000000"/>
          <w:szCs w:val="22"/>
        </w:rPr>
        <w:fldChar w:fldCharType="separate"/>
      </w:r>
      <w:r w:rsidR="0067675D">
        <w:rPr>
          <w:rFonts w:cs="Arial"/>
          <w:noProof/>
          <w:color w:val="000000"/>
          <w:szCs w:val="22"/>
        </w:rPr>
        <w:t>6</w:t>
      </w:r>
      <w:r w:rsidRPr="000B6103">
        <w:rPr>
          <w:rFonts w:cs="Arial"/>
          <w:color w:val="000000"/>
          <w:szCs w:val="22"/>
        </w:rPr>
        <w:fldChar w:fldCharType="end"/>
      </w:r>
      <w:bookmarkEnd w:id="148"/>
      <w:r w:rsidRPr="000B6103">
        <w:rPr>
          <w:rFonts w:cs="Arial"/>
          <w:color w:val="000000"/>
          <w:szCs w:val="22"/>
        </w:rPr>
        <w:t xml:space="preserve">. </w:t>
      </w:r>
      <w:r w:rsidRPr="000B6103">
        <w:rPr>
          <w:rFonts w:cs="Arial"/>
          <w:i/>
          <w:color w:val="000000"/>
          <w:szCs w:val="22"/>
        </w:rPr>
        <w:t>Scores for leaf tissue C:N against guideline to determine light and nutrient availability. NB: scores are unitless.</w:t>
      </w:r>
      <w:bookmarkEnd w:id="149"/>
      <w:bookmarkEnd w:id="150"/>
    </w:p>
    <w:tbl>
      <w:tblPr>
        <w:tblW w:w="5518" w:type="dxa"/>
        <w:jc w:val="center"/>
        <w:tblLook w:val="0000" w:firstRow="0" w:lastRow="0" w:firstColumn="0" w:lastColumn="0" w:noHBand="0" w:noVBand="0"/>
      </w:tblPr>
      <w:tblGrid>
        <w:gridCol w:w="1543"/>
        <w:gridCol w:w="2127"/>
        <w:gridCol w:w="1848"/>
      </w:tblGrid>
      <w:tr w:rsidR="00280130" w:rsidRPr="000B6103" w14:paraId="763C8FC9" w14:textId="77777777" w:rsidTr="00280130">
        <w:trPr>
          <w:trHeight w:val="290"/>
          <w:jc w:val="center"/>
        </w:trPr>
        <w:tc>
          <w:tcPr>
            <w:tcW w:w="1543" w:type="dxa"/>
            <w:tcBorders>
              <w:top w:val="single" w:sz="4" w:space="0" w:color="auto"/>
              <w:left w:val="nil"/>
              <w:bottom w:val="single" w:sz="4" w:space="0" w:color="auto"/>
              <w:right w:val="nil"/>
            </w:tcBorders>
            <w:vAlign w:val="center"/>
          </w:tcPr>
          <w:p w14:paraId="3F486653" w14:textId="41C6C670" w:rsidR="00280130" w:rsidRPr="000B6103" w:rsidRDefault="002F7814" w:rsidP="00592F37">
            <w:pPr>
              <w:spacing w:before="0" w:after="0"/>
              <w:jc w:val="center"/>
              <w:rPr>
                <w:rFonts w:cs="Arial"/>
                <w:b/>
                <w:color w:val="000000"/>
                <w:szCs w:val="22"/>
                <w:lang w:val="en-US"/>
              </w:rPr>
            </w:pPr>
            <w:r w:rsidRPr="000B6103">
              <w:rPr>
                <w:rFonts w:cs="Arial"/>
                <w:b/>
                <w:color w:val="000000"/>
                <w:szCs w:val="22"/>
                <w:lang w:val="en-US"/>
              </w:rPr>
              <w:t>grade</w:t>
            </w:r>
          </w:p>
        </w:tc>
        <w:tc>
          <w:tcPr>
            <w:tcW w:w="2127" w:type="dxa"/>
            <w:tcBorders>
              <w:top w:val="single" w:sz="4" w:space="0" w:color="auto"/>
              <w:left w:val="nil"/>
              <w:bottom w:val="single" w:sz="4" w:space="0" w:color="auto"/>
              <w:right w:val="nil"/>
            </w:tcBorders>
            <w:noWrap/>
            <w:vAlign w:val="center"/>
          </w:tcPr>
          <w:p w14:paraId="578A44E2" w14:textId="77777777" w:rsidR="00280130" w:rsidRPr="000B6103" w:rsidRDefault="00280130" w:rsidP="00592F37">
            <w:pPr>
              <w:spacing w:before="0" w:after="0"/>
              <w:jc w:val="center"/>
              <w:rPr>
                <w:rFonts w:cs="Arial"/>
                <w:b/>
                <w:color w:val="000000"/>
                <w:szCs w:val="22"/>
                <w:lang w:val="en-US"/>
              </w:rPr>
            </w:pPr>
            <w:r w:rsidRPr="000B6103">
              <w:rPr>
                <w:rFonts w:cs="Arial"/>
                <w:b/>
                <w:color w:val="000000"/>
                <w:szCs w:val="22"/>
                <w:lang w:val="en-US"/>
              </w:rPr>
              <w:t>C:N ratio range</w:t>
            </w:r>
          </w:p>
        </w:tc>
        <w:tc>
          <w:tcPr>
            <w:tcW w:w="1848" w:type="dxa"/>
            <w:tcBorders>
              <w:top w:val="single" w:sz="4" w:space="0" w:color="auto"/>
              <w:left w:val="nil"/>
              <w:bottom w:val="single" w:sz="4" w:space="0" w:color="auto"/>
              <w:right w:val="nil"/>
            </w:tcBorders>
            <w:noWrap/>
            <w:vAlign w:val="center"/>
          </w:tcPr>
          <w:p w14:paraId="45F58001" w14:textId="05793837" w:rsidR="00280130" w:rsidRPr="000B6103" w:rsidRDefault="00280130" w:rsidP="00592F37">
            <w:pPr>
              <w:spacing w:before="0" w:after="0"/>
              <w:jc w:val="center"/>
              <w:rPr>
                <w:rFonts w:cs="Arial"/>
                <w:b/>
                <w:color w:val="000000"/>
                <w:szCs w:val="22"/>
                <w:lang w:val="en-US"/>
              </w:rPr>
            </w:pPr>
            <w:r w:rsidRPr="000B6103">
              <w:rPr>
                <w:rFonts w:cs="Arial"/>
                <w:b/>
                <w:color w:val="000000"/>
                <w:szCs w:val="22"/>
                <w:lang w:val="en-US"/>
              </w:rPr>
              <w:t xml:space="preserve">Score </w:t>
            </w:r>
            <w:r w:rsidRPr="000B6103">
              <w:rPr>
                <w:rFonts w:cs="Arial"/>
                <w:color w:val="000000"/>
                <w:szCs w:val="22"/>
                <w:lang w:val="en-US"/>
              </w:rPr>
              <w:t>(</w:t>
            </w:r>
            <w:r w:rsidRPr="000B6103">
              <w:rPr>
                <w:rFonts w:cs="Arial"/>
                <w:noProof/>
                <w:color w:val="000000"/>
                <w:position w:val="-10"/>
                <w:szCs w:val="22"/>
                <w:lang w:eastAsia="en-AU"/>
              </w:rPr>
              <w:drawing>
                <wp:inline distT="0" distB="0" distL="0" distR="0" wp14:anchorId="70C0577B" wp14:editId="1DE90877">
                  <wp:extent cx="178435" cy="229870"/>
                  <wp:effectExtent l="0" t="0" r="0" b="0"/>
                  <wp:docPr id="288" name="Picture 1" descr="R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8435" cy="229870"/>
                          </a:xfrm>
                          <a:prstGeom prst="rect">
                            <a:avLst/>
                          </a:prstGeom>
                          <a:noFill/>
                          <a:ln>
                            <a:noFill/>
                          </a:ln>
                        </pic:spPr>
                      </pic:pic>
                    </a:graphicData>
                  </a:graphic>
                </wp:inline>
              </w:drawing>
            </w:r>
            <w:r w:rsidRPr="000B6103">
              <w:rPr>
                <w:rFonts w:cs="Arial"/>
                <w:color w:val="000000"/>
                <w:szCs w:val="22"/>
              </w:rPr>
              <w:t xml:space="preserve">) </w:t>
            </w:r>
            <w:r w:rsidR="00CA1E88" w:rsidRPr="000B6103">
              <w:rPr>
                <w:rFonts w:cs="Arial"/>
                <w:b/>
                <w:color w:val="000000"/>
                <w:szCs w:val="22"/>
              </w:rPr>
              <w:t xml:space="preserve">range and </w:t>
            </w:r>
            <w:r w:rsidRPr="000B6103">
              <w:rPr>
                <w:rFonts w:cs="Arial"/>
                <w:b/>
                <w:color w:val="000000"/>
                <w:szCs w:val="22"/>
                <w:lang w:val="en-US"/>
              </w:rPr>
              <w:t>status</w:t>
            </w:r>
          </w:p>
        </w:tc>
      </w:tr>
      <w:tr w:rsidR="00280130" w:rsidRPr="000B6103" w14:paraId="79079C30" w14:textId="77777777" w:rsidTr="00280130">
        <w:trPr>
          <w:trHeight w:val="290"/>
          <w:jc w:val="center"/>
        </w:trPr>
        <w:tc>
          <w:tcPr>
            <w:tcW w:w="1543" w:type="dxa"/>
            <w:tcBorders>
              <w:top w:val="nil"/>
              <w:left w:val="nil"/>
              <w:bottom w:val="nil"/>
              <w:right w:val="nil"/>
            </w:tcBorders>
            <w:vAlign w:val="bottom"/>
          </w:tcPr>
          <w:p w14:paraId="0C6501AB" w14:textId="77777777" w:rsidR="00280130" w:rsidRPr="000B6103" w:rsidRDefault="00280130" w:rsidP="00592F37">
            <w:pPr>
              <w:spacing w:before="0" w:after="0"/>
              <w:rPr>
                <w:rFonts w:cs="Arial"/>
                <w:i/>
                <w:color w:val="000000"/>
                <w:szCs w:val="22"/>
                <w:lang w:eastAsia="en-AU"/>
              </w:rPr>
            </w:pPr>
            <w:r w:rsidRPr="000B6103">
              <w:rPr>
                <w:rFonts w:cs="Arial"/>
                <w:i/>
                <w:color w:val="000000"/>
                <w:szCs w:val="22"/>
                <w:lang w:eastAsia="en-AU"/>
              </w:rPr>
              <w:t>very good</w:t>
            </w:r>
          </w:p>
        </w:tc>
        <w:tc>
          <w:tcPr>
            <w:tcW w:w="2127" w:type="dxa"/>
            <w:tcBorders>
              <w:top w:val="nil"/>
              <w:left w:val="nil"/>
              <w:bottom w:val="nil"/>
              <w:right w:val="nil"/>
            </w:tcBorders>
            <w:noWrap/>
            <w:vAlign w:val="bottom"/>
          </w:tcPr>
          <w:p w14:paraId="19FDA31D" w14:textId="77777777" w:rsidR="00280130" w:rsidRPr="000B6103" w:rsidRDefault="00280130" w:rsidP="00592F37">
            <w:pPr>
              <w:spacing w:before="0" w:after="0"/>
              <w:jc w:val="center"/>
              <w:rPr>
                <w:rFonts w:cs="Arial"/>
                <w:color w:val="000000"/>
                <w:szCs w:val="22"/>
                <w:lang w:val="en-US"/>
              </w:rPr>
            </w:pPr>
            <w:bookmarkStart w:id="151" w:name="_Hlk304381412"/>
            <w:r w:rsidRPr="000B6103">
              <w:rPr>
                <w:rFonts w:cs="Arial"/>
                <w:color w:val="000000"/>
                <w:szCs w:val="22"/>
                <w:lang w:val="en-US"/>
              </w:rPr>
              <w:t>C:N ratio &gt;30*</w:t>
            </w:r>
          </w:p>
        </w:tc>
        <w:tc>
          <w:tcPr>
            <w:tcW w:w="1848" w:type="dxa"/>
            <w:tcBorders>
              <w:top w:val="nil"/>
              <w:left w:val="nil"/>
              <w:bottom w:val="nil"/>
              <w:right w:val="nil"/>
            </w:tcBorders>
            <w:shd w:val="clear" w:color="auto" w:fill="008000"/>
            <w:noWrap/>
            <w:vAlign w:val="bottom"/>
          </w:tcPr>
          <w:p w14:paraId="728BD216" w14:textId="77777777" w:rsidR="00280130" w:rsidRPr="000B6103" w:rsidRDefault="00280130" w:rsidP="00592F37">
            <w:pPr>
              <w:spacing w:before="0" w:after="0"/>
              <w:jc w:val="center"/>
              <w:rPr>
                <w:rFonts w:cs="Arial"/>
                <w:color w:val="000000"/>
                <w:szCs w:val="22"/>
                <w:lang w:eastAsia="en-AU"/>
              </w:rPr>
            </w:pPr>
            <w:r w:rsidRPr="000B6103">
              <w:rPr>
                <w:rFonts w:cs="Arial"/>
                <w:color w:val="000000"/>
                <w:szCs w:val="22"/>
                <w:lang w:eastAsia="en-AU"/>
              </w:rPr>
              <w:t>81 - 100</w:t>
            </w:r>
          </w:p>
        </w:tc>
      </w:tr>
      <w:tr w:rsidR="00280130" w:rsidRPr="000B6103" w14:paraId="29A34D8B" w14:textId="77777777" w:rsidTr="00280130">
        <w:trPr>
          <w:trHeight w:val="290"/>
          <w:jc w:val="center"/>
        </w:trPr>
        <w:tc>
          <w:tcPr>
            <w:tcW w:w="1543" w:type="dxa"/>
            <w:tcBorders>
              <w:top w:val="nil"/>
              <w:left w:val="nil"/>
              <w:bottom w:val="nil"/>
              <w:right w:val="nil"/>
            </w:tcBorders>
            <w:vAlign w:val="bottom"/>
          </w:tcPr>
          <w:p w14:paraId="33FFC391" w14:textId="77777777" w:rsidR="00280130" w:rsidRPr="000B6103" w:rsidRDefault="00280130" w:rsidP="00592F37">
            <w:pPr>
              <w:spacing w:before="0" w:after="0"/>
              <w:rPr>
                <w:rFonts w:cs="Arial"/>
                <w:i/>
                <w:color w:val="000000"/>
                <w:szCs w:val="22"/>
                <w:lang w:eastAsia="en-AU"/>
              </w:rPr>
            </w:pPr>
            <w:r w:rsidRPr="000B6103">
              <w:rPr>
                <w:rFonts w:cs="Arial"/>
                <w:i/>
                <w:color w:val="000000"/>
                <w:szCs w:val="22"/>
                <w:lang w:eastAsia="en-AU"/>
              </w:rPr>
              <w:t>good</w:t>
            </w:r>
          </w:p>
        </w:tc>
        <w:tc>
          <w:tcPr>
            <w:tcW w:w="2127" w:type="dxa"/>
            <w:tcBorders>
              <w:top w:val="nil"/>
              <w:left w:val="nil"/>
              <w:bottom w:val="nil"/>
              <w:right w:val="nil"/>
            </w:tcBorders>
            <w:noWrap/>
            <w:vAlign w:val="bottom"/>
          </w:tcPr>
          <w:p w14:paraId="75FE5B54" w14:textId="77777777" w:rsidR="00280130" w:rsidRPr="000B6103" w:rsidRDefault="00280130" w:rsidP="00592F37">
            <w:pPr>
              <w:spacing w:before="0" w:after="0"/>
              <w:jc w:val="center"/>
              <w:rPr>
                <w:rFonts w:cs="Arial"/>
                <w:color w:val="000000"/>
                <w:szCs w:val="22"/>
                <w:lang w:val="en-US"/>
              </w:rPr>
            </w:pPr>
            <w:r w:rsidRPr="000B6103">
              <w:rPr>
                <w:rFonts w:cs="Arial"/>
                <w:color w:val="000000"/>
                <w:szCs w:val="22"/>
                <w:lang w:val="en-US"/>
              </w:rPr>
              <w:t>C:N ratio 25-30</w:t>
            </w:r>
          </w:p>
        </w:tc>
        <w:tc>
          <w:tcPr>
            <w:tcW w:w="1848" w:type="dxa"/>
            <w:tcBorders>
              <w:top w:val="nil"/>
              <w:left w:val="nil"/>
              <w:bottom w:val="nil"/>
              <w:right w:val="nil"/>
            </w:tcBorders>
            <w:shd w:val="clear" w:color="auto" w:fill="92D050"/>
            <w:noWrap/>
            <w:vAlign w:val="bottom"/>
          </w:tcPr>
          <w:p w14:paraId="6D92891F" w14:textId="77777777" w:rsidR="00280130" w:rsidRPr="000B6103" w:rsidRDefault="00280130" w:rsidP="00592F37">
            <w:pPr>
              <w:spacing w:before="0" w:after="0"/>
              <w:jc w:val="center"/>
              <w:rPr>
                <w:rFonts w:cs="Arial"/>
                <w:color w:val="000000"/>
                <w:szCs w:val="22"/>
                <w:lang w:eastAsia="en-AU"/>
              </w:rPr>
            </w:pPr>
            <w:r w:rsidRPr="000B6103">
              <w:rPr>
                <w:rFonts w:cs="Arial"/>
                <w:color w:val="000000"/>
                <w:szCs w:val="22"/>
                <w:lang w:eastAsia="en-AU"/>
              </w:rPr>
              <w:t>61 - 80</w:t>
            </w:r>
          </w:p>
        </w:tc>
      </w:tr>
      <w:tr w:rsidR="00280130" w:rsidRPr="000B6103" w14:paraId="5A38A527" w14:textId="77777777" w:rsidTr="00280130">
        <w:trPr>
          <w:trHeight w:val="300"/>
          <w:jc w:val="center"/>
        </w:trPr>
        <w:tc>
          <w:tcPr>
            <w:tcW w:w="1543" w:type="dxa"/>
            <w:tcBorders>
              <w:top w:val="nil"/>
              <w:left w:val="nil"/>
              <w:bottom w:val="nil"/>
              <w:right w:val="nil"/>
            </w:tcBorders>
            <w:vAlign w:val="bottom"/>
          </w:tcPr>
          <w:p w14:paraId="78E29AE5" w14:textId="77777777" w:rsidR="00280130" w:rsidRPr="000B6103" w:rsidRDefault="00280130" w:rsidP="00592F37">
            <w:pPr>
              <w:spacing w:before="0" w:after="0"/>
              <w:rPr>
                <w:rFonts w:cs="Arial"/>
                <w:i/>
                <w:color w:val="000000"/>
                <w:szCs w:val="22"/>
                <w:lang w:eastAsia="en-AU"/>
              </w:rPr>
            </w:pPr>
            <w:r w:rsidRPr="000B6103">
              <w:rPr>
                <w:rFonts w:cs="Arial"/>
                <w:i/>
                <w:color w:val="000000"/>
                <w:szCs w:val="22"/>
                <w:lang w:eastAsia="en-AU"/>
              </w:rPr>
              <w:t>moderate</w:t>
            </w:r>
          </w:p>
        </w:tc>
        <w:tc>
          <w:tcPr>
            <w:tcW w:w="2127" w:type="dxa"/>
            <w:tcBorders>
              <w:top w:val="nil"/>
              <w:left w:val="nil"/>
              <w:bottom w:val="nil"/>
              <w:right w:val="nil"/>
            </w:tcBorders>
            <w:noWrap/>
            <w:vAlign w:val="bottom"/>
          </w:tcPr>
          <w:p w14:paraId="285D3562" w14:textId="1CCF33FF" w:rsidR="00280130" w:rsidRPr="000B6103" w:rsidRDefault="00280130" w:rsidP="00592F37">
            <w:pPr>
              <w:spacing w:before="0" w:after="0"/>
              <w:jc w:val="center"/>
              <w:rPr>
                <w:rFonts w:cs="Arial"/>
                <w:color w:val="000000"/>
                <w:szCs w:val="22"/>
                <w:lang w:val="en-US"/>
              </w:rPr>
            </w:pPr>
            <w:r w:rsidRPr="000B6103">
              <w:rPr>
                <w:rFonts w:cs="Arial"/>
                <w:color w:val="000000"/>
                <w:szCs w:val="22"/>
                <w:lang w:val="en-US"/>
              </w:rPr>
              <w:t>C:N ratio 20-25</w:t>
            </w:r>
          </w:p>
        </w:tc>
        <w:tc>
          <w:tcPr>
            <w:tcW w:w="1848" w:type="dxa"/>
            <w:tcBorders>
              <w:top w:val="nil"/>
              <w:left w:val="nil"/>
              <w:bottom w:val="nil"/>
              <w:right w:val="nil"/>
            </w:tcBorders>
            <w:shd w:val="clear" w:color="auto" w:fill="FFFF00"/>
            <w:noWrap/>
            <w:vAlign w:val="bottom"/>
          </w:tcPr>
          <w:p w14:paraId="5C26DEA7" w14:textId="77777777" w:rsidR="00280130" w:rsidRPr="000B6103" w:rsidRDefault="00280130" w:rsidP="00592F37">
            <w:pPr>
              <w:spacing w:before="0" w:after="0"/>
              <w:jc w:val="center"/>
              <w:rPr>
                <w:rFonts w:cs="Arial"/>
                <w:color w:val="000000"/>
                <w:szCs w:val="22"/>
                <w:lang w:eastAsia="en-AU"/>
              </w:rPr>
            </w:pPr>
            <w:r w:rsidRPr="000B6103">
              <w:rPr>
                <w:rFonts w:cs="Arial"/>
                <w:color w:val="000000"/>
                <w:szCs w:val="22"/>
                <w:lang w:eastAsia="en-AU"/>
              </w:rPr>
              <w:t>41 - 60</w:t>
            </w:r>
          </w:p>
        </w:tc>
      </w:tr>
      <w:tr w:rsidR="00280130" w:rsidRPr="000B6103" w14:paraId="749C13DF" w14:textId="77777777" w:rsidTr="00280130">
        <w:trPr>
          <w:trHeight w:val="290"/>
          <w:jc w:val="center"/>
        </w:trPr>
        <w:tc>
          <w:tcPr>
            <w:tcW w:w="1543" w:type="dxa"/>
            <w:tcBorders>
              <w:top w:val="nil"/>
              <w:left w:val="nil"/>
              <w:right w:val="nil"/>
            </w:tcBorders>
            <w:vAlign w:val="bottom"/>
          </w:tcPr>
          <w:p w14:paraId="4A24A601" w14:textId="77777777" w:rsidR="00280130" w:rsidRPr="000B6103" w:rsidRDefault="00280130" w:rsidP="00592F37">
            <w:pPr>
              <w:spacing w:before="0" w:after="0"/>
              <w:rPr>
                <w:rFonts w:cs="Arial"/>
                <w:i/>
                <w:color w:val="000000"/>
                <w:szCs w:val="22"/>
                <w:lang w:eastAsia="en-AU"/>
              </w:rPr>
            </w:pPr>
            <w:r w:rsidRPr="000B6103">
              <w:rPr>
                <w:rFonts w:cs="Arial"/>
                <w:i/>
                <w:color w:val="000000"/>
                <w:szCs w:val="22"/>
                <w:lang w:eastAsia="en-AU"/>
              </w:rPr>
              <w:t>poor</w:t>
            </w:r>
          </w:p>
        </w:tc>
        <w:tc>
          <w:tcPr>
            <w:tcW w:w="2127" w:type="dxa"/>
            <w:tcBorders>
              <w:top w:val="nil"/>
              <w:left w:val="nil"/>
              <w:right w:val="nil"/>
            </w:tcBorders>
            <w:noWrap/>
            <w:vAlign w:val="bottom"/>
          </w:tcPr>
          <w:p w14:paraId="7B015039" w14:textId="77777777" w:rsidR="00280130" w:rsidRPr="000B6103" w:rsidRDefault="00280130" w:rsidP="00592F37">
            <w:pPr>
              <w:spacing w:before="0" w:after="0"/>
              <w:jc w:val="center"/>
              <w:rPr>
                <w:rFonts w:cs="Arial"/>
                <w:color w:val="000000"/>
                <w:szCs w:val="22"/>
                <w:lang w:val="en-US"/>
              </w:rPr>
            </w:pPr>
            <w:r w:rsidRPr="000B6103">
              <w:rPr>
                <w:rFonts w:cs="Arial"/>
                <w:color w:val="000000"/>
                <w:szCs w:val="22"/>
                <w:lang w:val="en-US"/>
              </w:rPr>
              <w:t>C:N ratio 15-20</w:t>
            </w:r>
          </w:p>
        </w:tc>
        <w:tc>
          <w:tcPr>
            <w:tcW w:w="1848" w:type="dxa"/>
            <w:tcBorders>
              <w:top w:val="nil"/>
              <w:left w:val="nil"/>
              <w:right w:val="nil"/>
            </w:tcBorders>
            <w:shd w:val="clear" w:color="auto" w:fill="FFC000"/>
            <w:noWrap/>
            <w:vAlign w:val="bottom"/>
          </w:tcPr>
          <w:p w14:paraId="0037B80A" w14:textId="77777777" w:rsidR="00280130" w:rsidRPr="000B6103" w:rsidRDefault="00280130" w:rsidP="00592F37">
            <w:pPr>
              <w:spacing w:before="0" w:after="0"/>
              <w:jc w:val="center"/>
              <w:rPr>
                <w:rFonts w:cs="Arial"/>
                <w:color w:val="000000"/>
                <w:szCs w:val="22"/>
                <w:lang w:eastAsia="en-AU"/>
              </w:rPr>
            </w:pPr>
            <w:r w:rsidRPr="000B6103">
              <w:rPr>
                <w:rFonts w:cs="Arial"/>
                <w:color w:val="000000"/>
                <w:szCs w:val="22"/>
                <w:lang w:eastAsia="en-AU"/>
              </w:rPr>
              <w:t>21 - 40</w:t>
            </w:r>
          </w:p>
        </w:tc>
      </w:tr>
      <w:tr w:rsidR="00280130" w:rsidRPr="000B6103" w14:paraId="2D612546" w14:textId="77777777" w:rsidTr="00280130">
        <w:trPr>
          <w:trHeight w:val="290"/>
          <w:jc w:val="center"/>
        </w:trPr>
        <w:tc>
          <w:tcPr>
            <w:tcW w:w="1543" w:type="dxa"/>
            <w:tcBorders>
              <w:top w:val="nil"/>
              <w:left w:val="nil"/>
              <w:bottom w:val="single" w:sz="4" w:space="0" w:color="auto"/>
              <w:right w:val="nil"/>
            </w:tcBorders>
            <w:vAlign w:val="bottom"/>
          </w:tcPr>
          <w:p w14:paraId="22B353B7" w14:textId="77777777" w:rsidR="00280130" w:rsidRPr="000B6103" w:rsidRDefault="00280130" w:rsidP="00592F37">
            <w:pPr>
              <w:spacing w:before="0" w:after="0"/>
              <w:rPr>
                <w:rFonts w:cs="Arial"/>
                <w:i/>
                <w:color w:val="000000"/>
                <w:szCs w:val="22"/>
                <w:lang w:eastAsia="en-AU"/>
              </w:rPr>
            </w:pPr>
            <w:r w:rsidRPr="000B6103">
              <w:rPr>
                <w:rFonts w:cs="Arial"/>
                <w:i/>
                <w:color w:val="000000"/>
                <w:szCs w:val="22"/>
                <w:lang w:eastAsia="en-AU"/>
              </w:rPr>
              <w:t>very poor</w:t>
            </w:r>
          </w:p>
        </w:tc>
        <w:tc>
          <w:tcPr>
            <w:tcW w:w="2127" w:type="dxa"/>
            <w:tcBorders>
              <w:top w:val="nil"/>
              <w:left w:val="nil"/>
              <w:bottom w:val="single" w:sz="4" w:space="0" w:color="auto"/>
              <w:right w:val="nil"/>
            </w:tcBorders>
            <w:noWrap/>
            <w:vAlign w:val="bottom"/>
          </w:tcPr>
          <w:p w14:paraId="549F6587" w14:textId="77777777" w:rsidR="00280130" w:rsidRPr="000B6103" w:rsidRDefault="00280130" w:rsidP="00592F37">
            <w:pPr>
              <w:spacing w:before="0" w:after="0"/>
              <w:jc w:val="center"/>
              <w:rPr>
                <w:rFonts w:cs="Arial"/>
                <w:color w:val="000000"/>
                <w:szCs w:val="22"/>
                <w:lang w:val="en-US"/>
              </w:rPr>
            </w:pPr>
            <w:r w:rsidRPr="000B6103">
              <w:rPr>
                <w:rFonts w:cs="Arial"/>
                <w:color w:val="000000"/>
                <w:szCs w:val="22"/>
                <w:lang w:val="en-US"/>
              </w:rPr>
              <w:t>C:N ratio &lt;15*</w:t>
            </w:r>
          </w:p>
        </w:tc>
        <w:tc>
          <w:tcPr>
            <w:tcW w:w="1848" w:type="dxa"/>
            <w:tcBorders>
              <w:top w:val="nil"/>
              <w:left w:val="nil"/>
              <w:bottom w:val="single" w:sz="4" w:space="0" w:color="auto"/>
              <w:right w:val="nil"/>
            </w:tcBorders>
            <w:shd w:val="clear" w:color="auto" w:fill="FF0000"/>
            <w:noWrap/>
            <w:vAlign w:val="bottom"/>
          </w:tcPr>
          <w:p w14:paraId="2647D91E" w14:textId="77777777" w:rsidR="00280130" w:rsidRPr="000B6103" w:rsidRDefault="00280130" w:rsidP="00592F37">
            <w:pPr>
              <w:spacing w:before="0" w:after="0"/>
              <w:jc w:val="center"/>
              <w:rPr>
                <w:rFonts w:cs="Arial"/>
                <w:color w:val="000000"/>
                <w:szCs w:val="22"/>
                <w:lang w:eastAsia="en-AU"/>
              </w:rPr>
            </w:pPr>
            <w:r w:rsidRPr="000B6103">
              <w:rPr>
                <w:rFonts w:cs="Arial"/>
                <w:color w:val="000000"/>
                <w:szCs w:val="22"/>
                <w:lang w:eastAsia="en-AU"/>
              </w:rPr>
              <w:t>0 - 20</w:t>
            </w:r>
          </w:p>
        </w:tc>
      </w:tr>
    </w:tbl>
    <w:p w14:paraId="0A2A9015" w14:textId="77777777" w:rsidR="007C0F3F" w:rsidRPr="000B6103" w:rsidRDefault="007C0F3F" w:rsidP="007C0F3F">
      <w:pPr>
        <w:pStyle w:val="Heading3"/>
      </w:pPr>
      <w:bookmarkStart w:id="152" w:name="_Toc43987022"/>
      <w:bookmarkStart w:id="153" w:name="_Ref534355168"/>
      <w:bookmarkStart w:id="154" w:name="_Toc37775048"/>
      <w:bookmarkStart w:id="155" w:name="_Toc184101958"/>
      <w:bookmarkStart w:id="156" w:name="_Toc381027994"/>
      <w:bookmarkEnd w:id="151"/>
      <w:r w:rsidRPr="000B6103">
        <w:t>Seagrass condition index</w:t>
      </w:r>
      <w:bookmarkEnd w:id="152"/>
    </w:p>
    <w:p w14:paraId="1DE634A5" w14:textId="77777777" w:rsidR="007C0F3F" w:rsidRPr="000B6103" w:rsidRDefault="007C0F3F" w:rsidP="007C0F3F">
      <w:pPr>
        <w:spacing w:after="0"/>
        <w:rPr>
          <w:rFonts w:cs="Arial"/>
          <w:szCs w:val="22"/>
        </w:rPr>
      </w:pPr>
      <w:r w:rsidRPr="000B6103">
        <w:rPr>
          <w:rFonts w:cs="Arial"/>
          <w:szCs w:val="22"/>
        </w:rPr>
        <w:t>The seagrass condition index is an average score (0–100) of the three seagrass condition indicators:</w:t>
      </w:r>
    </w:p>
    <w:p w14:paraId="237E6E91" w14:textId="77777777" w:rsidR="007C0F3F" w:rsidRPr="000B6103" w:rsidRDefault="007C0F3F" w:rsidP="007C0F3F">
      <w:pPr>
        <w:numPr>
          <w:ilvl w:val="0"/>
          <w:numId w:val="7"/>
        </w:numPr>
        <w:tabs>
          <w:tab w:val="left" w:pos="6804"/>
        </w:tabs>
        <w:spacing w:before="40" w:after="0"/>
        <w:ind w:left="714" w:hanging="357"/>
        <w:rPr>
          <w:rFonts w:cs="Arial"/>
          <w:color w:val="000000" w:themeColor="text1"/>
          <w:szCs w:val="22"/>
        </w:rPr>
      </w:pPr>
      <w:r w:rsidRPr="000B6103">
        <w:rPr>
          <w:rFonts w:cs="Arial"/>
          <w:color w:val="000000" w:themeColor="text1"/>
          <w:szCs w:val="22"/>
        </w:rPr>
        <w:t>seagrass abundance (</w:t>
      </w:r>
      <w:r>
        <w:rPr>
          <w:rFonts w:cs="Arial"/>
          <w:color w:val="000000" w:themeColor="text1"/>
          <w:szCs w:val="22"/>
        </w:rPr>
        <w:t>per cent</w:t>
      </w:r>
      <w:r w:rsidRPr="000B6103">
        <w:rPr>
          <w:rFonts w:cs="Arial"/>
          <w:color w:val="000000" w:themeColor="text1"/>
          <w:szCs w:val="22"/>
        </w:rPr>
        <w:t xml:space="preserve"> cover)</w:t>
      </w:r>
    </w:p>
    <w:p w14:paraId="4464753C" w14:textId="77777777" w:rsidR="007C0F3F" w:rsidRPr="000B6103" w:rsidRDefault="007C0F3F" w:rsidP="007C0F3F">
      <w:pPr>
        <w:numPr>
          <w:ilvl w:val="0"/>
          <w:numId w:val="7"/>
        </w:numPr>
        <w:tabs>
          <w:tab w:val="left" w:pos="6804"/>
        </w:tabs>
        <w:spacing w:before="40" w:after="0"/>
        <w:ind w:left="714" w:hanging="357"/>
        <w:rPr>
          <w:rFonts w:cs="Arial"/>
          <w:color w:val="000000" w:themeColor="text1"/>
          <w:szCs w:val="22"/>
        </w:rPr>
      </w:pPr>
      <w:r w:rsidRPr="000B6103">
        <w:rPr>
          <w:rFonts w:cs="Arial"/>
          <w:color w:val="000000" w:themeColor="text1"/>
          <w:szCs w:val="22"/>
        </w:rPr>
        <w:t>reproductive effort</w:t>
      </w:r>
    </w:p>
    <w:p w14:paraId="5CF2605A" w14:textId="77777777" w:rsidR="007C0F3F" w:rsidRPr="000B6103" w:rsidRDefault="007C0F3F" w:rsidP="007C0F3F">
      <w:pPr>
        <w:numPr>
          <w:ilvl w:val="0"/>
          <w:numId w:val="7"/>
        </w:numPr>
        <w:spacing w:before="40"/>
        <w:ind w:left="714" w:hanging="357"/>
        <w:rPr>
          <w:rFonts w:cs="Arial"/>
          <w:szCs w:val="22"/>
        </w:rPr>
      </w:pPr>
      <w:r w:rsidRPr="000B6103">
        <w:rPr>
          <w:rFonts w:cs="Arial"/>
          <w:szCs w:val="22"/>
        </w:rPr>
        <w:t>leaf tissue nutrients.</w:t>
      </w:r>
    </w:p>
    <w:p w14:paraId="59674991" w14:textId="5BAFBFEB" w:rsidR="007C0F3F" w:rsidRPr="000B6103" w:rsidRDefault="007C0F3F" w:rsidP="007C0F3F">
      <w:pPr>
        <w:rPr>
          <w:rFonts w:cs="Arial"/>
          <w:szCs w:val="22"/>
        </w:rPr>
      </w:pPr>
      <w:r w:rsidRPr="000B6103">
        <w:rPr>
          <w:rFonts w:cs="Arial"/>
          <w:szCs w:val="22"/>
        </w:rPr>
        <w:t xml:space="preserve">Each indicator is equally weighted, in accordance with </w:t>
      </w:r>
      <w:r w:rsidRPr="000B6103">
        <w:rPr>
          <w:rFonts w:cs="Arial"/>
          <w:szCs w:val="22"/>
          <w:lang w:val="en-US"/>
        </w:rPr>
        <w:t xml:space="preserve">the Paddock to Reef Integration Team’s original </w:t>
      </w:r>
      <w:r w:rsidRPr="000B6103">
        <w:rPr>
          <w:rFonts w:cs="Arial"/>
          <w:szCs w:val="22"/>
        </w:rPr>
        <w:t>recommendations</w:t>
      </w:r>
      <w:r w:rsidRPr="000B6103">
        <w:rPr>
          <w:rFonts w:cs="Arial"/>
          <w:szCs w:val="22"/>
          <w:lang w:val="en-GB"/>
        </w:rPr>
        <w:t xml:space="preserve">. Until the </w:t>
      </w:r>
      <w:r w:rsidRPr="000B6103">
        <w:rPr>
          <w:rFonts w:cs="Arial"/>
          <w:szCs w:val="22"/>
          <w:lang w:val="en-US"/>
        </w:rPr>
        <w:t xml:space="preserve">Paddock to Reef </w:t>
      </w:r>
      <w:r w:rsidRPr="000B6103">
        <w:rPr>
          <w:rFonts w:cs="Arial"/>
          <w:szCs w:val="22"/>
          <w:lang w:val="en-GB"/>
        </w:rPr>
        <w:t xml:space="preserve">Independent Science Panel has reviewed the findings and recommendations of the case study, the equal weighting previously used will remain. </w:t>
      </w:r>
      <w:r w:rsidRPr="000B6103">
        <w:rPr>
          <w:rFonts w:cs="Arial"/>
          <w:szCs w:val="22"/>
        </w:rPr>
        <w:t xml:space="preserve">To calculate the overall score for seagrass of the Reef, the regional scores were weighted </w:t>
      </w:r>
      <w:r w:rsidRPr="000B6103">
        <w:rPr>
          <w:rFonts w:cs="Arial"/>
          <w:szCs w:val="22"/>
        </w:rPr>
        <w:lastRenderedPageBreak/>
        <w:t>on the percentage of World Heritage Area seagrass (shallower than 15 m) within that region (</w:t>
      </w:r>
      <w:r w:rsidR="005C672B">
        <w:rPr>
          <w:rFonts w:cs="Arial"/>
          <w:szCs w:val="22"/>
        </w:rPr>
        <w:fldChar w:fldCharType="begin"/>
      </w:r>
      <w:r w:rsidR="005C672B">
        <w:rPr>
          <w:rFonts w:cs="Arial"/>
          <w:szCs w:val="22"/>
        </w:rPr>
        <w:instrText xml:space="preserve"> REF _Ref48301560 \h </w:instrText>
      </w:r>
      <w:r w:rsidR="005C672B">
        <w:rPr>
          <w:rFonts w:cs="Arial"/>
          <w:szCs w:val="22"/>
        </w:rPr>
      </w:r>
      <w:r w:rsidR="005C672B">
        <w:rPr>
          <w:rFonts w:cs="Arial"/>
          <w:szCs w:val="22"/>
        </w:rPr>
        <w:fldChar w:fldCharType="separate"/>
      </w:r>
      <w:r w:rsidR="005C672B" w:rsidRPr="000B6103">
        <w:rPr>
          <w:rFonts w:cs="Arial"/>
          <w:color w:val="000000"/>
          <w:szCs w:val="22"/>
        </w:rPr>
        <w:t xml:space="preserve">Table </w:t>
      </w:r>
      <w:r w:rsidR="005C672B">
        <w:rPr>
          <w:rFonts w:cs="Arial"/>
          <w:noProof/>
          <w:color w:val="000000"/>
          <w:szCs w:val="22"/>
        </w:rPr>
        <w:t>7</w:t>
      </w:r>
      <w:r w:rsidR="005C672B">
        <w:rPr>
          <w:rFonts w:cs="Arial"/>
          <w:szCs w:val="22"/>
        </w:rPr>
        <w:fldChar w:fldCharType="end"/>
      </w:r>
      <w:r w:rsidRPr="000B6103">
        <w:rPr>
          <w:rFonts w:cs="Arial"/>
          <w:szCs w:val="22"/>
        </w:rPr>
        <w:t xml:space="preserve">). </w:t>
      </w:r>
      <w:r w:rsidRPr="000B6103">
        <w:rPr>
          <w:rFonts w:cs="Arial"/>
          <w:i/>
          <w:szCs w:val="22"/>
        </w:rPr>
        <w:t>Please note: Cape York omitted from the score in reporting prior to 2012 due to poor representation of inshore monitoring sites</w:t>
      </w:r>
      <w:r w:rsidRPr="000B6103">
        <w:rPr>
          <w:rFonts w:cs="Arial"/>
          <w:szCs w:val="22"/>
        </w:rPr>
        <w:t>.</w:t>
      </w:r>
    </w:p>
    <w:p w14:paraId="6A7E1697" w14:textId="0EEA9520" w:rsidR="007C0F3F" w:rsidRPr="000B6103" w:rsidRDefault="007C0F3F" w:rsidP="007C0F3F">
      <w:pPr>
        <w:jc w:val="center"/>
        <w:rPr>
          <w:rFonts w:cs="Arial"/>
          <w:i/>
          <w:vanish/>
          <w:color w:val="000000"/>
          <w:szCs w:val="22"/>
          <w:specVanish/>
        </w:rPr>
      </w:pPr>
      <w:bookmarkStart w:id="157" w:name="_Ref48301560"/>
      <w:bookmarkStart w:id="158" w:name="_Toc47600681"/>
      <w:r w:rsidRPr="000B6103">
        <w:rPr>
          <w:rFonts w:cs="Arial"/>
          <w:color w:val="000000"/>
          <w:szCs w:val="22"/>
        </w:rPr>
        <w:t xml:space="preserve">Table </w:t>
      </w:r>
      <w:r w:rsidRPr="000B6103">
        <w:rPr>
          <w:rFonts w:cs="Arial"/>
          <w:color w:val="000000"/>
          <w:szCs w:val="22"/>
        </w:rPr>
        <w:fldChar w:fldCharType="begin"/>
      </w:r>
      <w:r w:rsidRPr="000B6103">
        <w:rPr>
          <w:rFonts w:cs="Arial"/>
          <w:color w:val="000000"/>
          <w:szCs w:val="22"/>
        </w:rPr>
        <w:instrText xml:space="preserve"> SEQ Table \* ARABIC </w:instrText>
      </w:r>
      <w:r w:rsidRPr="000B6103">
        <w:rPr>
          <w:rFonts w:cs="Arial"/>
          <w:color w:val="000000"/>
          <w:szCs w:val="22"/>
        </w:rPr>
        <w:fldChar w:fldCharType="separate"/>
      </w:r>
      <w:r w:rsidR="0067675D">
        <w:rPr>
          <w:rFonts w:cs="Arial"/>
          <w:noProof/>
          <w:color w:val="000000"/>
          <w:szCs w:val="22"/>
        </w:rPr>
        <w:t>7</w:t>
      </w:r>
      <w:r w:rsidRPr="000B6103">
        <w:rPr>
          <w:rFonts w:cs="Arial"/>
          <w:color w:val="000000"/>
          <w:szCs w:val="22"/>
        </w:rPr>
        <w:fldChar w:fldCharType="end"/>
      </w:r>
      <w:bookmarkEnd w:id="157"/>
      <w:r w:rsidRPr="000B6103">
        <w:rPr>
          <w:rFonts w:cs="Arial"/>
          <w:color w:val="000000"/>
          <w:szCs w:val="22"/>
        </w:rPr>
        <w:t xml:space="preserve">. </w:t>
      </w:r>
      <w:r w:rsidRPr="000B6103">
        <w:rPr>
          <w:rFonts w:cs="Arial"/>
          <w:i/>
          <w:color w:val="000000"/>
          <w:szCs w:val="22"/>
        </w:rPr>
        <w:t>Area of seagrass shallower than 15 m in each region within the boundaries of the World Heritage Area.</w:t>
      </w:r>
      <w:bookmarkEnd w:id="158"/>
    </w:p>
    <w:p w14:paraId="023593AC" w14:textId="77777777" w:rsidR="007C0F3F" w:rsidRPr="000B6103" w:rsidRDefault="007C0F3F" w:rsidP="007C0F3F">
      <w:pPr>
        <w:ind w:left="360"/>
        <w:jc w:val="center"/>
        <w:rPr>
          <w:rFonts w:cs="Arial"/>
          <w:i/>
          <w:color w:val="000000"/>
          <w:szCs w:val="22"/>
        </w:rPr>
      </w:pPr>
      <w:r w:rsidRPr="000B6103">
        <w:rPr>
          <w:rFonts w:cs="Arial"/>
          <w:i/>
          <w:color w:val="000000"/>
          <w:szCs w:val="22"/>
        </w:rPr>
        <w:t xml:space="preserve">(from </w:t>
      </w:r>
      <w:r w:rsidRPr="000B6103">
        <w:rPr>
          <w:rFonts w:cs="Arial"/>
          <w:i/>
          <w:color w:val="000000"/>
          <w:szCs w:val="22"/>
        </w:rPr>
        <w:fldChar w:fldCharType="begin">
          <w:fldData xml:space="preserve">PEVuZE5vdGU+PENpdGU+PEF1dGhvcj5NY0tlbnppZTwvQXV0aG9yPjxZZWFyPjIwMTQ8L1llYXI+
PFJlY051bT45ODM4PC9SZWNOdW0+PERpc3BsYXlUZXh0Pk1jS2VuemllPHN0eWxlIGZhY2U9Iml0
YWxpYyI+IGV0IGFsLjwvc3R5bGU+IDIwMTRiOyBNY0tlbnppZTxzdHlsZSBmYWNlPSJpdGFsaWMi
PiBldCBhbC48L3N0eWxlPiAyMDE0YzsgQ2FydGVyPHN0eWxlIGZhY2U9Iml0YWxpYyI+IGV0IGFs
Ljwvc3R5bGU+IDIwMTY7IFdhdGVyaG91c2U8c3R5bGUgZmFjZT0iaXRhbGljIj4gZXQgYWwuPC9z
dHlsZT4gMjAxNjwvRGlzcGxheVRleHQ+PHJlY29yZD48cmVjLW51bWJlcj45ODM4PC9yZWMtbnVt
YmVyPjxmb3JlaWduLWtleXM+PGtleSBhcHA9IkVOIiBkYi1pZD0iMGV2ZTU1eDl5NXZmZDZlOWRh
Y3h0ZXc0ZWF0dmUyZHpkczlhIiB0aW1lc3RhbXA9IjE0MDMwODc3MzYiPjk4Mzg8L2tleT48L2Zv
cmVpZ24ta2V5cz48cmVmLXR5cGUgbmFtZT0iSm91cm5hbCBBcnRpY2xlIj4xNzwvcmVmLXR5cGU+
PGNvbnRyaWJ1dG9ycz48YXV0aG9ycz48YXV0aG9yPk1jS2VuemllLCBMZW4gSjwvYXV0aG9yPjxh
dXRob3I+WW9zaGlkYSwgUnVkb2xmIEw8L2F1dGhvcj48YXV0aG9yPkdyZWNoLCBBbGFuYTwvYXV0
aG9yPjxhdXRob3I+Q29sZXMsIFJvYmVydCA8L2F1dGhvcj48L2F1dGhvcnM+PC9jb250cmlidXRv
cnM+PHRpdGxlcz48dGl0bGU+Q29tcG9zaXRlIG9mIGNvYXN0YWwgc2VhZ3Jhc3MgbWVhZG93cyBp
biBRdWVlbnNsYW5kLCBBdXN0cmFsaWEgLSBOb3ZlbWJlciAxOTg0IHRvIEp1bmUgMjAxMC4gPC90
aXRsZT48c2Vjb25kYXJ5LXRpdGxlPlBBTkdBRUE8L3NlY29uZGFyeS10aXRsZT48L3RpdGxlcz48
cGVyaW9kaWNhbD48ZnVsbC10aXRsZT5QQU5HQUVBPC9mdWxsLXRpdGxlPjwvcGVyaW9kaWNhbD48
cGFnZXM+aHR0cDovL2RvaS5wYW5nYWVhLmRlLzEwLjE1OTQvUEFOR0FFQS44MjYzNjg8L3BhZ2Vz
PjxkYXRlcz48eWVhcj4yMDE0PC95ZWFyPjwvZGF0ZXM+PHVybHM+PC91cmxzPjwvcmVjb3JkPjwv
Q2l0ZT48Q2l0ZT48QXV0aG9yPk1jS2VuemllPC9BdXRob3I+PFllYXI+MjAxNDwvWWVhcj48UmVj
TnVtPjk5NjE8L1JlY051bT48cmVjb3JkPjxyZWMtbnVtYmVyPjk5NjE8L3JlYy1udW1iZXI+PGZv
cmVpZ24ta2V5cz48a2V5IGFwcD0iRU4iIGRiLWlkPSIwZXZlNTV4OXk1dmZkNmU5ZGFjeHRldzRl
YXR2ZTJkemRzOWEiIHRpbWVzdGFtcD0iMTQxMDkzMDMxNSI+OTk2MTwva2V5PjwvZm9yZWlnbi1r
ZXlzPjxyZWYtdHlwZSBuYW1lPSJKb3VybmFsIEFydGljbGUiPjE3PC9yZWYtdHlwZT48Y29udHJp
YnV0b3JzPjxhdXRob3JzPjxhdXRob3I+TWNLZW56aWUsIExlbiBKPC9hdXRob3I+PGF1dGhvcj5Z
b3NoaWRhLCBSdWRvbGYgTDwvYXV0aG9yPjxhdXRob3I+VW5zd29ydGgsIFJpY2hhcmQgSyBGPC9h
dXRob3I+PC9hdXRob3JzPjwvY29udHJpYnV0b3JzPjx0aXRsZXM+PHRpdGxlPkRpc3R1cmJhbmNl
IGluZmx1ZW5jZXMgdGhlIGludmFzaW9uIG9mIGEgc2VhZ3Jhc3MgaW50byBhbiBleGlzdGluZyBt
ZWFkb3c8L3RpdGxlPjxzZWNvbmRhcnktdGl0bGU+TWFyaW5lIFBvbGx1dGlvbiBCdWxsZXRpbjwv
c2Vjb25kYXJ5LXRpdGxlPjwvdGl0bGVzPjxwZXJpb2RpY2FsPjxmdWxsLXRpdGxlPk1hcmluZSBQ
b2xsdXRpb24gQnVsbGV0aW48L2Z1bGwtdGl0bGU+PC9wZXJpb2RpY2FsPjxwYWdlcz4xODYtMTk2
PC9wYWdlcz48dm9sdW1lPjg2PC92b2x1bWU+PG51bWJlcj4x4oCTMjwvbnVtYmVyPjxrZXl3b3Jk
cz48a2V5d29yZD5TZWFncmFzczwva2V5d29yZD48a2V5d29yZD5JbnZhc2l2ZSBzcGVjaWVzPC9r
ZXl3b3JkPjxrZXl3b3JkPkRpc3R1cmJhbmNlPC9rZXl3b3JkPjxrZXl3b3JkPlRyb3BpY2FsPC9r
ZXl3b3JkPjxrZXl3b3JkPkdyZWF0IEJhcnJpZXIgUmVlZjwva2V5d29yZD48L2tleXdvcmRzPjxk
YXRlcz48eWVhcj4yMDE0PC95ZWFyPjwvZGF0ZXM+PGlzYm4+MDAyNS0zMjZYPC9pc2JuPjx1cmxz
PjxyZWxhdGVkLXVybHM+PHVybD5odHRwOi8vd3d3LnNjaWVuY2VkaXJlY3QuY29tL3NjaWVuY2Uv
YXJ0aWNsZS9waWkvUzAwMjUzMjZYMTQwMDQ1NVg8L3VybD48L3JlbGF0ZWQtdXJscz48L3VybHM+
PGVsZWN0cm9uaWMtcmVzb3VyY2UtbnVtPmh0dHA6Ly9keC5kb2kub3JnLzEwLjEwMTYvai5tYXJw
b2xidWwuMjAxNC4wNy4wMTk8L2VsZWN0cm9uaWMtcmVzb3VyY2UtbnVtPjwvcmVjb3JkPjwvQ2l0
ZT48Q2l0ZT48QXV0aG9yPkNhcnRlcjwvQXV0aG9yPjxZZWFyPjIwMTY8L1llYXI+PFJlY051bT4x
MDU3ODwvUmVjTnVtPjxyZWNvcmQ+PHJlYy1udW1iZXI+MTA1Nzg8L3JlYy1udW1iZXI+PGZvcmVp
Z24ta2V5cz48a2V5IGFwcD0iRU4iIGRiLWlkPSIwZXZlNTV4OXk1dmZkNmU5ZGFjeHRldzRlYXR2
ZTJkemRzOWEiIHRpbWVzdGFtcD0iMTQ1ODI3NzU3MyI+MTA1Nzg8L2tleT48L2ZvcmVpZ24ta2V5
cz48cmVmLXR5cGUgbmFtZT0iQm9vayI+NjwvcmVmLXR5cGU+PGNvbnRyaWJ1dG9ycz48YXV0aG9y
cz48YXV0aG9yPkNhcnRlciwgQWxleCBCPC9hdXRob3I+PGF1dGhvcj5NY0tlbm5hLCBTa3llIEE8
L2F1dGhvcj48YXV0aG9yPlJhc2hlZWQsIE1pY2hhZWwgQSA8L2F1dGhvcj48YXV0aG9yPk1jS2Vu
emllLCBMZW4gSiA8L2F1dGhvcj48YXV0aG9yPkNvbGVzLCBSb2IgRzwvYXV0aG9yPjwvYXV0aG9y
cz48L2NvbnRyaWJ1dG9ycz48dGl0bGVzPjx0aXRsZT5TZWFncmFzcyBtYXBwaW5nIHN5bnRoZXNp
czogQSByZXNvdXJjZSBmb3IgY29hc3RhbCBtYW5hZ2VtZW50IGluIHRoZSBHcmVhdCBCYXJyaWVy
IFJlZWYgV29ybGQgSGVyaXRhZ2UgQXJlYS4gUmVwb3J0IHRvIHRoZSBOYXRpb25hbCBFbnZpcm9u
bWVudGFsIFNjaWVuY2UgUHJvZ3JhbW1lLjwvdGl0bGU+PC90aXRsZXM+PHBhZ2VzPjIyPC9wYWdl
cz48ZGF0ZXM+PHllYXI+MjAxNjwveWVhcj48L2RhdGVzPjxwdWItbG9jYXRpb24+Q2Fpcm5zPC9w
dWItbG9jYXRpb24+PHB1Ymxpc2hlcj5SZWVmIGFuZCBSYWluZm9yZXN0IFJlc2VhcmNoIENlbnRy
ZSBMaW1pdGVkPC9wdWJsaXNoZXI+PHVybHM+PC91cmxzPjwvcmVjb3JkPjwvQ2l0ZT48Q2l0ZT48
QXV0aG9yPldhdGVyaG91c2U8L0F1dGhvcj48WWVhcj4yMDE2PC9ZZWFyPjxSZWNOdW0+MTA2NjU8
L1JlY051bT48cmVjb3JkPjxyZWMtbnVtYmVyPjEwNjY1PC9yZWMtbnVtYmVyPjxmb3JlaWduLWtl
eXM+PGtleSBhcHA9IkVOIiBkYi1pZD0iMGV2ZTU1eDl5NXZmZDZlOWRhY3h0ZXc0ZWF0dmUyZHpk
czlhIiB0aW1lc3RhbXA9IjE0Njc4NTY3NTMiPjEwNjY1PC9rZXk+PC9mb3JlaWduLWtleXM+PHJl
Zi10eXBlIG5hbWU9IkJvb2siPjY8L3JlZi10eXBlPjxjb250cmlidXRvcnM+PGF1dGhvcnM+PGF1
dGhvcj5XYXRlcmhvdXNlLCBKPC9hdXRob3I+PGF1dGhvcj5Ccm9kaWUsIEo8L2F1dGhvcj48YXV0
aG9yPkNvcHBvLCBDPC9hdXRob3I+PGF1dGhvcj5UcmFjZXksIEQ8L2F1dGhvcj48YXV0aG9yPmRh
IFNpbHZhLCBFPC9hdXRob3I+PGF1dGhvcj5Ib3dsZXksIEM8L2F1dGhvcj48YXV0aG9yPlBldHVz
LCBDPC9hdXRob3I+PGF1dGhvcj5NY0tlbnppZSwgTDwvYXV0aG9yPjxhdXRob3I+TGV3aXMsIFM8
L2F1dGhvcj48YXV0aG9yPk1jQ2xvc2tleSwgRzwvYXV0aG9yPjxhdXRob3I+SGlnaGFtLCBXPC9h
dXRob3I+PC9hdXRob3JzPjwvY29udHJpYnV0b3JzPjx0aXRsZXM+PHRpdGxlPkFzc2Vzc21lbnQg
b2YgdGhlIHJlbGF0aXZlIHJpc2sgb2Ygd2F0ZXIgcXVhbGl0eSB0byBlY29zeXN0ZW1zIG9mIHRo
ZSBlYXN0ZXJuIENhcGUgWW9yayBOUk0gUmVnaW9uLCBHcmVhdCBCYXJyaWVyIFJlZWYuIEEgcmVw
b3J0IHRvIFNvdXRoIENhcGUgWW9yayBDYXRjaG1lbnRzLiBUcm9wV0FURVIgUmVwb3J0IDE2LzI0
LCA8L3RpdGxlPjwvdGl0bGVzPjxwYWdlcz4xMDU8L3BhZ2VzPjxkYXRlcz48eWVhcj4yMDE2PC95
ZWFyPjwvZGF0ZXM+PHB1Yi1sb2NhdGlvbj5Ub3duc3ZpbGxlLCBBdXN0cmFsaWEuPC9wdWItbG9j
YXRpb24+PHB1Ymxpc2hlcj5Ucm9wV0FURVIgKEpDVSk8L3B1Ymxpc2hlcj48dXJscz48L3VybHM+
PC9yZWNvcmQ+PC9DaXRlPjwvRW5kTm90ZT4A
</w:fldData>
        </w:fldChar>
      </w:r>
      <w:r w:rsidRPr="000B6103">
        <w:rPr>
          <w:rFonts w:cs="Arial"/>
          <w:i/>
          <w:color w:val="000000"/>
          <w:szCs w:val="22"/>
        </w:rPr>
        <w:instrText xml:space="preserve"> ADDIN EN.CITE </w:instrText>
      </w:r>
      <w:r w:rsidRPr="000B6103">
        <w:rPr>
          <w:rFonts w:cs="Arial"/>
          <w:i/>
          <w:color w:val="000000"/>
          <w:szCs w:val="22"/>
        </w:rPr>
        <w:fldChar w:fldCharType="begin">
          <w:fldData xml:space="preserve">PEVuZE5vdGU+PENpdGU+PEF1dGhvcj5NY0tlbnppZTwvQXV0aG9yPjxZZWFyPjIwMTQ8L1llYXI+
PFJlY051bT45ODM4PC9SZWNOdW0+PERpc3BsYXlUZXh0Pk1jS2VuemllPHN0eWxlIGZhY2U9Iml0
YWxpYyI+IGV0IGFsLjwvc3R5bGU+IDIwMTRiOyBNY0tlbnppZTxzdHlsZSBmYWNlPSJpdGFsaWMi
PiBldCBhbC48L3N0eWxlPiAyMDE0YzsgQ2FydGVyPHN0eWxlIGZhY2U9Iml0YWxpYyI+IGV0IGFs
Ljwvc3R5bGU+IDIwMTY7IFdhdGVyaG91c2U8c3R5bGUgZmFjZT0iaXRhbGljIj4gZXQgYWwuPC9z
dHlsZT4gMjAxNjwvRGlzcGxheVRleHQ+PHJlY29yZD48cmVjLW51bWJlcj45ODM4PC9yZWMtbnVt
YmVyPjxmb3JlaWduLWtleXM+PGtleSBhcHA9IkVOIiBkYi1pZD0iMGV2ZTU1eDl5NXZmZDZlOWRh
Y3h0ZXc0ZWF0dmUyZHpkczlhIiB0aW1lc3RhbXA9IjE0MDMwODc3MzYiPjk4Mzg8L2tleT48L2Zv
cmVpZ24ta2V5cz48cmVmLXR5cGUgbmFtZT0iSm91cm5hbCBBcnRpY2xlIj4xNzwvcmVmLXR5cGU+
PGNvbnRyaWJ1dG9ycz48YXV0aG9ycz48YXV0aG9yPk1jS2VuemllLCBMZW4gSjwvYXV0aG9yPjxh
dXRob3I+WW9zaGlkYSwgUnVkb2xmIEw8L2F1dGhvcj48YXV0aG9yPkdyZWNoLCBBbGFuYTwvYXV0
aG9yPjxhdXRob3I+Q29sZXMsIFJvYmVydCA8L2F1dGhvcj48L2F1dGhvcnM+PC9jb250cmlidXRv
cnM+PHRpdGxlcz48dGl0bGU+Q29tcG9zaXRlIG9mIGNvYXN0YWwgc2VhZ3Jhc3MgbWVhZG93cyBp
biBRdWVlbnNsYW5kLCBBdXN0cmFsaWEgLSBOb3ZlbWJlciAxOTg0IHRvIEp1bmUgMjAxMC4gPC90
aXRsZT48c2Vjb25kYXJ5LXRpdGxlPlBBTkdBRUE8L3NlY29uZGFyeS10aXRsZT48L3RpdGxlcz48
cGVyaW9kaWNhbD48ZnVsbC10aXRsZT5QQU5HQUVBPC9mdWxsLXRpdGxlPjwvcGVyaW9kaWNhbD48
cGFnZXM+aHR0cDovL2RvaS5wYW5nYWVhLmRlLzEwLjE1OTQvUEFOR0FFQS44MjYzNjg8L3BhZ2Vz
PjxkYXRlcz48eWVhcj4yMDE0PC95ZWFyPjwvZGF0ZXM+PHVybHM+PC91cmxzPjwvcmVjb3JkPjwv
Q2l0ZT48Q2l0ZT48QXV0aG9yPk1jS2VuemllPC9BdXRob3I+PFllYXI+MjAxNDwvWWVhcj48UmVj
TnVtPjk5NjE8L1JlY051bT48cmVjb3JkPjxyZWMtbnVtYmVyPjk5NjE8L3JlYy1udW1iZXI+PGZv
cmVpZ24ta2V5cz48a2V5IGFwcD0iRU4iIGRiLWlkPSIwZXZlNTV4OXk1dmZkNmU5ZGFjeHRldzRl
YXR2ZTJkemRzOWEiIHRpbWVzdGFtcD0iMTQxMDkzMDMxNSI+OTk2MTwva2V5PjwvZm9yZWlnbi1r
ZXlzPjxyZWYtdHlwZSBuYW1lPSJKb3VybmFsIEFydGljbGUiPjE3PC9yZWYtdHlwZT48Y29udHJp
YnV0b3JzPjxhdXRob3JzPjxhdXRob3I+TWNLZW56aWUsIExlbiBKPC9hdXRob3I+PGF1dGhvcj5Z
b3NoaWRhLCBSdWRvbGYgTDwvYXV0aG9yPjxhdXRob3I+VW5zd29ydGgsIFJpY2hhcmQgSyBGPC9h
dXRob3I+PC9hdXRob3JzPjwvY29udHJpYnV0b3JzPjx0aXRsZXM+PHRpdGxlPkRpc3R1cmJhbmNl
IGluZmx1ZW5jZXMgdGhlIGludmFzaW9uIG9mIGEgc2VhZ3Jhc3MgaW50byBhbiBleGlzdGluZyBt
ZWFkb3c8L3RpdGxlPjxzZWNvbmRhcnktdGl0bGU+TWFyaW5lIFBvbGx1dGlvbiBCdWxsZXRpbjwv
c2Vjb25kYXJ5LXRpdGxlPjwvdGl0bGVzPjxwZXJpb2RpY2FsPjxmdWxsLXRpdGxlPk1hcmluZSBQ
b2xsdXRpb24gQnVsbGV0aW48L2Z1bGwtdGl0bGU+PC9wZXJpb2RpY2FsPjxwYWdlcz4xODYtMTk2
PC9wYWdlcz48dm9sdW1lPjg2PC92b2x1bWU+PG51bWJlcj4x4oCTMjwvbnVtYmVyPjxrZXl3b3Jk
cz48a2V5d29yZD5TZWFncmFzczwva2V5d29yZD48a2V5d29yZD5JbnZhc2l2ZSBzcGVjaWVzPC9r
ZXl3b3JkPjxrZXl3b3JkPkRpc3R1cmJhbmNlPC9rZXl3b3JkPjxrZXl3b3JkPlRyb3BpY2FsPC9r
ZXl3b3JkPjxrZXl3b3JkPkdyZWF0IEJhcnJpZXIgUmVlZjwva2V5d29yZD48L2tleXdvcmRzPjxk
YXRlcz48eWVhcj4yMDE0PC95ZWFyPjwvZGF0ZXM+PGlzYm4+MDAyNS0zMjZYPC9pc2JuPjx1cmxz
PjxyZWxhdGVkLXVybHM+PHVybD5odHRwOi8vd3d3LnNjaWVuY2VkaXJlY3QuY29tL3NjaWVuY2Uv
YXJ0aWNsZS9waWkvUzAwMjUzMjZYMTQwMDQ1NVg8L3VybD48L3JlbGF0ZWQtdXJscz48L3VybHM+
PGVsZWN0cm9uaWMtcmVzb3VyY2UtbnVtPmh0dHA6Ly9keC5kb2kub3JnLzEwLjEwMTYvai5tYXJw
b2xidWwuMjAxNC4wNy4wMTk8L2VsZWN0cm9uaWMtcmVzb3VyY2UtbnVtPjwvcmVjb3JkPjwvQ2l0
ZT48Q2l0ZT48QXV0aG9yPkNhcnRlcjwvQXV0aG9yPjxZZWFyPjIwMTY8L1llYXI+PFJlY051bT4x
MDU3ODwvUmVjTnVtPjxyZWNvcmQ+PHJlYy1udW1iZXI+MTA1Nzg8L3JlYy1udW1iZXI+PGZvcmVp
Z24ta2V5cz48a2V5IGFwcD0iRU4iIGRiLWlkPSIwZXZlNTV4OXk1dmZkNmU5ZGFjeHRldzRlYXR2
ZTJkemRzOWEiIHRpbWVzdGFtcD0iMTQ1ODI3NzU3MyI+MTA1Nzg8L2tleT48L2ZvcmVpZ24ta2V5
cz48cmVmLXR5cGUgbmFtZT0iQm9vayI+NjwvcmVmLXR5cGU+PGNvbnRyaWJ1dG9ycz48YXV0aG9y
cz48YXV0aG9yPkNhcnRlciwgQWxleCBCPC9hdXRob3I+PGF1dGhvcj5NY0tlbm5hLCBTa3llIEE8
L2F1dGhvcj48YXV0aG9yPlJhc2hlZWQsIE1pY2hhZWwgQSA8L2F1dGhvcj48YXV0aG9yPk1jS2Vu
emllLCBMZW4gSiA8L2F1dGhvcj48YXV0aG9yPkNvbGVzLCBSb2IgRzwvYXV0aG9yPjwvYXV0aG9y
cz48L2NvbnRyaWJ1dG9ycz48dGl0bGVzPjx0aXRsZT5TZWFncmFzcyBtYXBwaW5nIHN5bnRoZXNp
czogQSByZXNvdXJjZSBmb3IgY29hc3RhbCBtYW5hZ2VtZW50IGluIHRoZSBHcmVhdCBCYXJyaWVy
IFJlZWYgV29ybGQgSGVyaXRhZ2UgQXJlYS4gUmVwb3J0IHRvIHRoZSBOYXRpb25hbCBFbnZpcm9u
bWVudGFsIFNjaWVuY2UgUHJvZ3JhbW1lLjwvdGl0bGU+PC90aXRsZXM+PHBhZ2VzPjIyPC9wYWdl
cz48ZGF0ZXM+PHllYXI+MjAxNjwveWVhcj48L2RhdGVzPjxwdWItbG9jYXRpb24+Q2Fpcm5zPC9w
dWItbG9jYXRpb24+PHB1Ymxpc2hlcj5SZWVmIGFuZCBSYWluZm9yZXN0IFJlc2VhcmNoIENlbnRy
ZSBMaW1pdGVkPC9wdWJsaXNoZXI+PHVybHM+PC91cmxzPjwvcmVjb3JkPjwvQ2l0ZT48Q2l0ZT48
QXV0aG9yPldhdGVyaG91c2U8L0F1dGhvcj48WWVhcj4yMDE2PC9ZZWFyPjxSZWNOdW0+MTA2NjU8
L1JlY051bT48cmVjb3JkPjxyZWMtbnVtYmVyPjEwNjY1PC9yZWMtbnVtYmVyPjxmb3JlaWduLWtl
eXM+PGtleSBhcHA9IkVOIiBkYi1pZD0iMGV2ZTU1eDl5NXZmZDZlOWRhY3h0ZXc0ZWF0dmUyZHpk
czlhIiB0aW1lc3RhbXA9IjE0Njc4NTY3NTMiPjEwNjY1PC9rZXk+PC9mb3JlaWduLWtleXM+PHJl
Zi10eXBlIG5hbWU9IkJvb2siPjY8L3JlZi10eXBlPjxjb250cmlidXRvcnM+PGF1dGhvcnM+PGF1
dGhvcj5XYXRlcmhvdXNlLCBKPC9hdXRob3I+PGF1dGhvcj5Ccm9kaWUsIEo8L2F1dGhvcj48YXV0
aG9yPkNvcHBvLCBDPC9hdXRob3I+PGF1dGhvcj5UcmFjZXksIEQ8L2F1dGhvcj48YXV0aG9yPmRh
IFNpbHZhLCBFPC9hdXRob3I+PGF1dGhvcj5Ib3dsZXksIEM8L2F1dGhvcj48YXV0aG9yPlBldHVz
LCBDPC9hdXRob3I+PGF1dGhvcj5NY0tlbnppZSwgTDwvYXV0aG9yPjxhdXRob3I+TGV3aXMsIFM8
L2F1dGhvcj48YXV0aG9yPk1jQ2xvc2tleSwgRzwvYXV0aG9yPjxhdXRob3I+SGlnaGFtLCBXPC9h
dXRob3I+PC9hdXRob3JzPjwvY29udHJpYnV0b3JzPjx0aXRsZXM+PHRpdGxlPkFzc2Vzc21lbnQg
b2YgdGhlIHJlbGF0aXZlIHJpc2sgb2Ygd2F0ZXIgcXVhbGl0eSB0byBlY29zeXN0ZW1zIG9mIHRo
ZSBlYXN0ZXJuIENhcGUgWW9yayBOUk0gUmVnaW9uLCBHcmVhdCBCYXJyaWVyIFJlZWYuIEEgcmVw
b3J0IHRvIFNvdXRoIENhcGUgWW9yayBDYXRjaG1lbnRzLiBUcm9wV0FURVIgUmVwb3J0IDE2LzI0
LCA8L3RpdGxlPjwvdGl0bGVzPjxwYWdlcz4xMDU8L3BhZ2VzPjxkYXRlcz48eWVhcj4yMDE2PC95
ZWFyPjwvZGF0ZXM+PHB1Yi1sb2NhdGlvbj5Ub3duc3ZpbGxlLCBBdXN0cmFsaWEuPC9wdWItbG9j
YXRpb24+PHB1Ymxpc2hlcj5Ucm9wV0FURVIgKEpDVSk8L3B1Ymxpc2hlcj48dXJscz48L3VybHM+
PC9yZWNvcmQ+PC9DaXRlPjwvRW5kTm90ZT4A
</w:fldData>
        </w:fldChar>
      </w:r>
      <w:r w:rsidRPr="000B6103">
        <w:rPr>
          <w:rFonts w:cs="Arial"/>
          <w:i/>
          <w:color w:val="000000"/>
          <w:szCs w:val="22"/>
        </w:rPr>
        <w:instrText xml:space="preserve"> ADDIN EN.CITE.DATA </w:instrText>
      </w:r>
      <w:r w:rsidRPr="000B6103">
        <w:rPr>
          <w:rFonts w:cs="Arial"/>
          <w:i/>
          <w:color w:val="000000"/>
          <w:szCs w:val="22"/>
        </w:rPr>
      </w:r>
      <w:r w:rsidRPr="000B6103">
        <w:rPr>
          <w:rFonts w:cs="Arial"/>
          <w:i/>
          <w:color w:val="000000"/>
          <w:szCs w:val="22"/>
        </w:rPr>
        <w:fldChar w:fldCharType="end"/>
      </w:r>
      <w:r w:rsidRPr="000B6103">
        <w:rPr>
          <w:rFonts w:cs="Arial"/>
          <w:i/>
          <w:color w:val="000000"/>
          <w:szCs w:val="22"/>
        </w:rPr>
      </w:r>
      <w:r w:rsidRPr="000B6103">
        <w:rPr>
          <w:rFonts w:cs="Arial"/>
          <w:i/>
          <w:color w:val="000000"/>
          <w:szCs w:val="22"/>
        </w:rPr>
        <w:fldChar w:fldCharType="separate"/>
      </w:r>
      <w:hyperlink w:anchor="_ENREF_113" w:tooltip="McKenzie, 2014 #9838" w:history="1">
        <w:r w:rsidRPr="000B6103">
          <w:rPr>
            <w:rFonts w:cs="Arial"/>
            <w:i/>
            <w:noProof/>
            <w:color w:val="000000"/>
            <w:szCs w:val="22"/>
          </w:rPr>
          <w:t>McKenzie et al. 2014b</w:t>
        </w:r>
      </w:hyperlink>
      <w:r w:rsidRPr="000B6103">
        <w:rPr>
          <w:rFonts w:cs="Arial"/>
          <w:i/>
          <w:noProof/>
          <w:color w:val="000000"/>
          <w:szCs w:val="22"/>
        </w:rPr>
        <w:t xml:space="preserve">; </w:t>
      </w:r>
      <w:hyperlink w:anchor="_ENREF_114" w:tooltip="McKenzie, 2014 #9961" w:history="1">
        <w:r w:rsidRPr="000B6103">
          <w:rPr>
            <w:rFonts w:cs="Arial"/>
            <w:i/>
            <w:noProof/>
            <w:color w:val="000000"/>
            <w:szCs w:val="22"/>
          </w:rPr>
          <w:t>McKenzie et al. 2014c</w:t>
        </w:r>
      </w:hyperlink>
      <w:r w:rsidRPr="000B6103">
        <w:rPr>
          <w:rFonts w:cs="Arial"/>
          <w:i/>
          <w:noProof/>
          <w:color w:val="000000"/>
          <w:szCs w:val="22"/>
        </w:rPr>
        <w:t xml:space="preserve">; </w:t>
      </w:r>
      <w:hyperlink w:anchor="_ENREF_23" w:tooltip="Carter, 2016 #10578" w:history="1">
        <w:r w:rsidRPr="000B6103">
          <w:rPr>
            <w:rFonts w:cs="Arial"/>
            <w:i/>
            <w:noProof/>
            <w:color w:val="000000"/>
            <w:szCs w:val="22"/>
          </w:rPr>
          <w:t>Carter et al. 2016</w:t>
        </w:r>
      </w:hyperlink>
      <w:r w:rsidRPr="000B6103">
        <w:rPr>
          <w:rFonts w:cs="Arial"/>
          <w:i/>
          <w:noProof/>
          <w:color w:val="000000"/>
          <w:szCs w:val="22"/>
        </w:rPr>
        <w:t xml:space="preserve">; </w:t>
      </w:r>
      <w:hyperlink w:anchor="_ENREF_151" w:tooltip="Waterhouse, 2016 #10665" w:history="1">
        <w:r w:rsidRPr="000B6103">
          <w:rPr>
            <w:rFonts w:cs="Arial"/>
            <w:i/>
            <w:noProof/>
            <w:color w:val="000000"/>
            <w:szCs w:val="22"/>
          </w:rPr>
          <w:t>Waterhouse et al. 2016</w:t>
        </w:r>
      </w:hyperlink>
      <w:r w:rsidRPr="000B6103">
        <w:rPr>
          <w:rFonts w:cs="Arial"/>
          <w:i/>
          <w:color w:val="000000"/>
          <w:szCs w:val="22"/>
        </w:rPr>
        <w:fldChar w:fldCharType="end"/>
      </w:r>
      <w:r w:rsidRPr="000B6103">
        <w:rPr>
          <w:rFonts w:cs="Arial"/>
          <w:i/>
          <w:color w:val="000000"/>
          <w:szCs w:val="22"/>
        </w:rPr>
        <w:t>).</w:t>
      </w:r>
    </w:p>
    <w:tbl>
      <w:tblPr>
        <w:tblW w:w="7362" w:type="dxa"/>
        <w:jc w:val="center"/>
        <w:tblLook w:val="04A0" w:firstRow="1" w:lastRow="0" w:firstColumn="1" w:lastColumn="0" w:noHBand="0" w:noVBand="1"/>
      </w:tblPr>
      <w:tblGrid>
        <w:gridCol w:w="2660"/>
        <w:gridCol w:w="2360"/>
        <w:gridCol w:w="2342"/>
      </w:tblGrid>
      <w:tr w:rsidR="007C0F3F" w:rsidRPr="000B6103" w14:paraId="666CCB27" w14:textId="77777777" w:rsidTr="0035619E">
        <w:trPr>
          <w:trHeight w:val="290"/>
          <w:jc w:val="center"/>
        </w:trPr>
        <w:tc>
          <w:tcPr>
            <w:tcW w:w="2660" w:type="dxa"/>
            <w:tcBorders>
              <w:top w:val="single" w:sz="4" w:space="0" w:color="auto"/>
              <w:left w:val="nil"/>
              <w:bottom w:val="single" w:sz="4" w:space="0" w:color="auto"/>
              <w:right w:val="nil"/>
            </w:tcBorders>
            <w:shd w:val="clear" w:color="auto" w:fill="BBE0E3"/>
            <w:noWrap/>
            <w:vAlign w:val="center"/>
            <w:hideMark/>
          </w:tcPr>
          <w:p w14:paraId="5C6EE7C7" w14:textId="77777777" w:rsidR="007C0F3F" w:rsidRPr="000B6103" w:rsidRDefault="007C0F3F" w:rsidP="0035619E">
            <w:pPr>
              <w:spacing w:before="0" w:after="0"/>
              <w:jc w:val="center"/>
              <w:rPr>
                <w:rFonts w:cs="Arial"/>
                <w:b/>
                <w:color w:val="000000"/>
                <w:szCs w:val="22"/>
                <w:lang w:val="en-US"/>
              </w:rPr>
            </w:pPr>
            <w:r w:rsidRPr="000B6103">
              <w:rPr>
                <w:rFonts w:cs="Arial"/>
                <w:b/>
                <w:color w:val="000000"/>
                <w:szCs w:val="22"/>
                <w:lang w:val="en-US"/>
              </w:rPr>
              <w:t>NRM</w:t>
            </w:r>
          </w:p>
        </w:tc>
        <w:tc>
          <w:tcPr>
            <w:tcW w:w="2360" w:type="dxa"/>
            <w:tcBorders>
              <w:top w:val="single" w:sz="4" w:space="0" w:color="auto"/>
              <w:left w:val="nil"/>
              <w:bottom w:val="single" w:sz="4" w:space="0" w:color="auto"/>
              <w:right w:val="nil"/>
            </w:tcBorders>
            <w:shd w:val="clear" w:color="auto" w:fill="BBE0E3"/>
            <w:noWrap/>
            <w:vAlign w:val="center"/>
            <w:hideMark/>
          </w:tcPr>
          <w:p w14:paraId="25BEA346" w14:textId="77777777" w:rsidR="007C0F3F" w:rsidRPr="000B6103" w:rsidRDefault="007C0F3F" w:rsidP="0035619E">
            <w:pPr>
              <w:spacing w:before="0" w:after="0"/>
              <w:jc w:val="center"/>
              <w:rPr>
                <w:rFonts w:cs="Arial"/>
                <w:b/>
                <w:color w:val="000000"/>
                <w:szCs w:val="22"/>
                <w:lang w:val="en-US"/>
              </w:rPr>
            </w:pPr>
            <w:r w:rsidRPr="000B6103">
              <w:rPr>
                <w:rFonts w:cs="Arial"/>
                <w:b/>
                <w:color w:val="000000"/>
                <w:szCs w:val="22"/>
                <w:lang w:val="en-US"/>
              </w:rPr>
              <w:t xml:space="preserve">Area of seagrass </w:t>
            </w:r>
            <w:r w:rsidRPr="000B6103">
              <w:rPr>
                <w:rFonts w:cs="Arial"/>
                <w:color w:val="000000"/>
                <w:szCs w:val="22"/>
                <w:lang w:val="en-US"/>
              </w:rPr>
              <w:t>(km</w:t>
            </w:r>
            <w:r w:rsidRPr="000B6103">
              <w:rPr>
                <w:rFonts w:cs="Arial"/>
                <w:color w:val="000000"/>
                <w:szCs w:val="22"/>
                <w:vertAlign w:val="superscript"/>
                <w:lang w:val="en-US"/>
              </w:rPr>
              <w:t>2</w:t>
            </w:r>
            <w:r w:rsidRPr="000B6103">
              <w:rPr>
                <w:rFonts w:cs="Arial"/>
                <w:color w:val="000000"/>
                <w:szCs w:val="22"/>
                <w:lang w:val="en-US"/>
              </w:rPr>
              <w:t>)</w:t>
            </w:r>
          </w:p>
        </w:tc>
        <w:tc>
          <w:tcPr>
            <w:tcW w:w="2342" w:type="dxa"/>
            <w:tcBorders>
              <w:top w:val="single" w:sz="4" w:space="0" w:color="auto"/>
              <w:left w:val="nil"/>
              <w:bottom w:val="single" w:sz="4" w:space="0" w:color="auto"/>
              <w:right w:val="nil"/>
            </w:tcBorders>
            <w:shd w:val="clear" w:color="auto" w:fill="BBE0E3"/>
            <w:noWrap/>
            <w:vAlign w:val="center"/>
            <w:hideMark/>
          </w:tcPr>
          <w:p w14:paraId="1D8A8714" w14:textId="77777777" w:rsidR="007C0F3F" w:rsidRPr="000B6103" w:rsidRDefault="007C0F3F" w:rsidP="0035619E">
            <w:pPr>
              <w:spacing w:before="0" w:after="0"/>
              <w:jc w:val="center"/>
              <w:rPr>
                <w:rFonts w:cs="Arial"/>
                <w:b/>
                <w:color w:val="000000"/>
                <w:szCs w:val="22"/>
                <w:lang w:val="en-US"/>
              </w:rPr>
            </w:pPr>
            <w:r w:rsidRPr="000B6103">
              <w:rPr>
                <w:rFonts w:cs="Arial"/>
                <w:b/>
                <w:color w:val="000000"/>
                <w:szCs w:val="22"/>
                <w:lang w:val="en-US"/>
              </w:rPr>
              <w:t>Per cent of World Heritage Area</w:t>
            </w:r>
          </w:p>
        </w:tc>
      </w:tr>
      <w:tr w:rsidR="007C0F3F" w:rsidRPr="000B6103" w14:paraId="08A93FF2" w14:textId="77777777" w:rsidTr="0035619E">
        <w:trPr>
          <w:trHeight w:val="290"/>
          <w:jc w:val="center"/>
        </w:trPr>
        <w:tc>
          <w:tcPr>
            <w:tcW w:w="2660" w:type="dxa"/>
            <w:shd w:val="clear" w:color="auto" w:fill="F3F9FA"/>
            <w:noWrap/>
            <w:vAlign w:val="bottom"/>
            <w:hideMark/>
          </w:tcPr>
          <w:p w14:paraId="76BA7C8B" w14:textId="77777777" w:rsidR="007C0F3F" w:rsidRPr="000B6103" w:rsidRDefault="007C0F3F" w:rsidP="0035619E">
            <w:pPr>
              <w:spacing w:before="0" w:after="0"/>
              <w:rPr>
                <w:rFonts w:cs="Arial"/>
                <w:szCs w:val="22"/>
                <w:lang w:eastAsia="en-AU"/>
              </w:rPr>
            </w:pPr>
            <w:r w:rsidRPr="000B6103">
              <w:rPr>
                <w:rFonts w:cs="Arial"/>
                <w:szCs w:val="22"/>
                <w:lang w:eastAsia="en-AU"/>
              </w:rPr>
              <w:t xml:space="preserve">Cape York </w:t>
            </w:r>
          </w:p>
        </w:tc>
        <w:tc>
          <w:tcPr>
            <w:tcW w:w="2360" w:type="dxa"/>
            <w:shd w:val="clear" w:color="auto" w:fill="F3F9FA"/>
            <w:noWrap/>
            <w:vAlign w:val="bottom"/>
            <w:hideMark/>
          </w:tcPr>
          <w:p w14:paraId="6B48D77B"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2,078</w:t>
            </w:r>
          </w:p>
        </w:tc>
        <w:tc>
          <w:tcPr>
            <w:tcW w:w="2342" w:type="dxa"/>
            <w:shd w:val="clear" w:color="auto" w:fill="F3F9FA"/>
            <w:noWrap/>
            <w:vAlign w:val="bottom"/>
            <w:hideMark/>
          </w:tcPr>
          <w:p w14:paraId="647F749B"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0.60</w:t>
            </w:r>
          </w:p>
        </w:tc>
      </w:tr>
      <w:tr w:rsidR="007C0F3F" w:rsidRPr="000B6103" w14:paraId="2129EE1A" w14:textId="77777777" w:rsidTr="0035619E">
        <w:trPr>
          <w:trHeight w:val="290"/>
          <w:jc w:val="center"/>
        </w:trPr>
        <w:tc>
          <w:tcPr>
            <w:tcW w:w="2660" w:type="dxa"/>
            <w:shd w:val="clear" w:color="auto" w:fill="F3F9FA"/>
            <w:noWrap/>
            <w:vAlign w:val="bottom"/>
            <w:hideMark/>
          </w:tcPr>
          <w:p w14:paraId="6006CE06" w14:textId="77777777" w:rsidR="007C0F3F" w:rsidRPr="000B6103" w:rsidRDefault="007C0F3F" w:rsidP="0035619E">
            <w:pPr>
              <w:spacing w:before="0" w:after="0"/>
              <w:rPr>
                <w:rFonts w:cs="Arial"/>
                <w:szCs w:val="22"/>
                <w:lang w:eastAsia="en-AU"/>
              </w:rPr>
            </w:pPr>
            <w:r w:rsidRPr="000B6103">
              <w:rPr>
                <w:rFonts w:cs="Arial"/>
                <w:szCs w:val="22"/>
                <w:lang w:eastAsia="en-AU"/>
              </w:rPr>
              <w:t xml:space="preserve">Wet Tropics </w:t>
            </w:r>
          </w:p>
        </w:tc>
        <w:tc>
          <w:tcPr>
            <w:tcW w:w="2360" w:type="dxa"/>
            <w:shd w:val="clear" w:color="auto" w:fill="F3F9FA"/>
            <w:noWrap/>
            <w:vAlign w:val="bottom"/>
            <w:hideMark/>
          </w:tcPr>
          <w:p w14:paraId="001AB558"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207</w:t>
            </w:r>
          </w:p>
        </w:tc>
        <w:tc>
          <w:tcPr>
            <w:tcW w:w="2342" w:type="dxa"/>
            <w:shd w:val="clear" w:color="auto" w:fill="F3F9FA"/>
            <w:noWrap/>
            <w:vAlign w:val="bottom"/>
            <w:hideMark/>
          </w:tcPr>
          <w:p w14:paraId="1BAB996F"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0.06</w:t>
            </w:r>
          </w:p>
        </w:tc>
      </w:tr>
      <w:tr w:rsidR="007C0F3F" w:rsidRPr="000B6103" w14:paraId="2606A63B" w14:textId="77777777" w:rsidTr="0035619E">
        <w:trPr>
          <w:trHeight w:val="290"/>
          <w:jc w:val="center"/>
        </w:trPr>
        <w:tc>
          <w:tcPr>
            <w:tcW w:w="2660" w:type="dxa"/>
            <w:shd w:val="clear" w:color="auto" w:fill="F3F9FA"/>
            <w:noWrap/>
            <w:vAlign w:val="bottom"/>
            <w:hideMark/>
          </w:tcPr>
          <w:p w14:paraId="60A014D7" w14:textId="77777777" w:rsidR="007C0F3F" w:rsidRPr="000B6103" w:rsidRDefault="007C0F3F" w:rsidP="0035619E">
            <w:pPr>
              <w:spacing w:before="0" w:after="0"/>
              <w:rPr>
                <w:rFonts w:cs="Arial"/>
                <w:szCs w:val="22"/>
                <w:lang w:eastAsia="en-AU"/>
              </w:rPr>
            </w:pPr>
            <w:r w:rsidRPr="000B6103">
              <w:rPr>
                <w:rFonts w:cs="Arial"/>
                <w:szCs w:val="22"/>
                <w:lang w:eastAsia="en-AU"/>
              </w:rPr>
              <w:t xml:space="preserve">Burdekin </w:t>
            </w:r>
          </w:p>
        </w:tc>
        <w:tc>
          <w:tcPr>
            <w:tcW w:w="2360" w:type="dxa"/>
            <w:shd w:val="clear" w:color="auto" w:fill="F3F9FA"/>
            <w:noWrap/>
            <w:vAlign w:val="bottom"/>
            <w:hideMark/>
          </w:tcPr>
          <w:p w14:paraId="784C5B30"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587</w:t>
            </w:r>
          </w:p>
        </w:tc>
        <w:tc>
          <w:tcPr>
            <w:tcW w:w="2342" w:type="dxa"/>
            <w:shd w:val="clear" w:color="auto" w:fill="F3F9FA"/>
            <w:noWrap/>
            <w:vAlign w:val="bottom"/>
            <w:hideMark/>
          </w:tcPr>
          <w:p w14:paraId="24532D89"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0.17</w:t>
            </w:r>
          </w:p>
        </w:tc>
      </w:tr>
      <w:tr w:rsidR="007C0F3F" w:rsidRPr="000B6103" w14:paraId="178297B1" w14:textId="77777777" w:rsidTr="0035619E">
        <w:trPr>
          <w:trHeight w:val="290"/>
          <w:jc w:val="center"/>
        </w:trPr>
        <w:tc>
          <w:tcPr>
            <w:tcW w:w="2660" w:type="dxa"/>
            <w:shd w:val="clear" w:color="auto" w:fill="F3F9FA"/>
            <w:noWrap/>
            <w:vAlign w:val="bottom"/>
            <w:hideMark/>
          </w:tcPr>
          <w:p w14:paraId="6823E785" w14:textId="77777777" w:rsidR="007C0F3F" w:rsidRPr="000B6103" w:rsidRDefault="007C0F3F" w:rsidP="0035619E">
            <w:pPr>
              <w:spacing w:before="0" w:after="0"/>
              <w:rPr>
                <w:rFonts w:cs="Arial"/>
                <w:szCs w:val="22"/>
                <w:lang w:eastAsia="en-AU"/>
              </w:rPr>
            </w:pPr>
            <w:r>
              <w:rPr>
                <w:rFonts w:cs="Arial"/>
                <w:szCs w:val="22"/>
                <w:lang w:eastAsia="en-AU"/>
              </w:rPr>
              <w:t>Mackay–Whitsunday</w:t>
            </w:r>
            <w:r w:rsidRPr="000B6103">
              <w:rPr>
                <w:rFonts w:cs="Arial"/>
                <w:szCs w:val="22"/>
                <w:lang w:eastAsia="en-AU"/>
              </w:rPr>
              <w:t xml:space="preserve"> </w:t>
            </w:r>
          </w:p>
        </w:tc>
        <w:tc>
          <w:tcPr>
            <w:tcW w:w="2360" w:type="dxa"/>
            <w:shd w:val="clear" w:color="auto" w:fill="F3F9FA"/>
            <w:noWrap/>
            <w:vAlign w:val="bottom"/>
            <w:hideMark/>
          </w:tcPr>
          <w:p w14:paraId="4475BB19"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215</w:t>
            </w:r>
          </w:p>
        </w:tc>
        <w:tc>
          <w:tcPr>
            <w:tcW w:w="2342" w:type="dxa"/>
            <w:shd w:val="clear" w:color="auto" w:fill="F3F9FA"/>
            <w:noWrap/>
            <w:vAlign w:val="bottom"/>
            <w:hideMark/>
          </w:tcPr>
          <w:p w14:paraId="7397897E"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0.06</w:t>
            </w:r>
          </w:p>
        </w:tc>
      </w:tr>
      <w:tr w:rsidR="007C0F3F" w:rsidRPr="000B6103" w14:paraId="6A8DE7BA" w14:textId="77777777" w:rsidTr="0035619E">
        <w:trPr>
          <w:trHeight w:val="290"/>
          <w:jc w:val="center"/>
        </w:trPr>
        <w:tc>
          <w:tcPr>
            <w:tcW w:w="2660" w:type="dxa"/>
            <w:shd w:val="clear" w:color="auto" w:fill="F3F9FA"/>
            <w:noWrap/>
            <w:vAlign w:val="bottom"/>
            <w:hideMark/>
          </w:tcPr>
          <w:p w14:paraId="080230F4" w14:textId="77777777" w:rsidR="007C0F3F" w:rsidRPr="000B6103" w:rsidRDefault="007C0F3F" w:rsidP="0035619E">
            <w:pPr>
              <w:spacing w:before="0" w:after="0"/>
              <w:rPr>
                <w:rFonts w:cs="Arial"/>
                <w:szCs w:val="22"/>
                <w:lang w:eastAsia="en-AU"/>
              </w:rPr>
            </w:pPr>
            <w:r w:rsidRPr="000B6103">
              <w:rPr>
                <w:rFonts w:cs="Arial"/>
                <w:szCs w:val="22"/>
                <w:lang w:eastAsia="en-AU"/>
              </w:rPr>
              <w:t xml:space="preserve">Fitzroy </w:t>
            </w:r>
          </w:p>
        </w:tc>
        <w:tc>
          <w:tcPr>
            <w:tcW w:w="2360" w:type="dxa"/>
            <w:shd w:val="clear" w:color="auto" w:fill="F3F9FA"/>
            <w:noWrap/>
            <w:vAlign w:val="bottom"/>
            <w:hideMark/>
          </w:tcPr>
          <w:p w14:paraId="571CB756"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257</w:t>
            </w:r>
          </w:p>
        </w:tc>
        <w:tc>
          <w:tcPr>
            <w:tcW w:w="2342" w:type="dxa"/>
            <w:shd w:val="clear" w:color="auto" w:fill="F3F9FA"/>
            <w:noWrap/>
            <w:vAlign w:val="bottom"/>
            <w:hideMark/>
          </w:tcPr>
          <w:p w14:paraId="03B24F03"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0.07</w:t>
            </w:r>
          </w:p>
        </w:tc>
      </w:tr>
      <w:tr w:rsidR="007C0F3F" w:rsidRPr="000B6103" w14:paraId="280B45D2" w14:textId="77777777" w:rsidTr="0035619E">
        <w:trPr>
          <w:trHeight w:val="290"/>
          <w:jc w:val="center"/>
        </w:trPr>
        <w:tc>
          <w:tcPr>
            <w:tcW w:w="2660" w:type="dxa"/>
            <w:tcBorders>
              <w:top w:val="nil"/>
              <w:left w:val="nil"/>
              <w:bottom w:val="single" w:sz="4" w:space="0" w:color="auto"/>
              <w:right w:val="nil"/>
            </w:tcBorders>
            <w:shd w:val="clear" w:color="auto" w:fill="F3F9FA"/>
            <w:noWrap/>
            <w:vAlign w:val="bottom"/>
            <w:hideMark/>
          </w:tcPr>
          <w:p w14:paraId="60FFA8E7" w14:textId="77777777" w:rsidR="007C0F3F" w:rsidRPr="000B6103" w:rsidRDefault="007C0F3F" w:rsidP="0035619E">
            <w:pPr>
              <w:spacing w:before="0" w:after="0"/>
              <w:rPr>
                <w:rFonts w:cs="Arial"/>
                <w:szCs w:val="22"/>
                <w:lang w:eastAsia="en-AU"/>
              </w:rPr>
            </w:pPr>
            <w:r>
              <w:rPr>
                <w:rFonts w:cs="Arial"/>
                <w:szCs w:val="22"/>
                <w:lang w:eastAsia="en-AU"/>
              </w:rPr>
              <w:t>Burnett–Mary</w:t>
            </w:r>
            <w:r w:rsidRPr="000B6103">
              <w:rPr>
                <w:rFonts w:cs="Arial"/>
                <w:szCs w:val="22"/>
                <w:lang w:eastAsia="en-AU"/>
              </w:rPr>
              <w:t xml:space="preserve"> </w:t>
            </w:r>
          </w:p>
        </w:tc>
        <w:tc>
          <w:tcPr>
            <w:tcW w:w="2360" w:type="dxa"/>
            <w:tcBorders>
              <w:top w:val="nil"/>
              <w:left w:val="nil"/>
              <w:bottom w:val="single" w:sz="4" w:space="0" w:color="auto"/>
              <w:right w:val="nil"/>
            </w:tcBorders>
            <w:shd w:val="clear" w:color="auto" w:fill="F3F9FA"/>
            <w:noWrap/>
            <w:vAlign w:val="bottom"/>
            <w:hideMark/>
          </w:tcPr>
          <w:p w14:paraId="4AFF9A0E"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120</w:t>
            </w:r>
          </w:p>
        </w:tc>
        <w:tc>
          <w:tcPr>
            <w:tcW w:w="2342" w:type="dxa"/>
            <w:tcBorders>
              <w:top w:val="nil"/>
              <w:left w:val="nil"/>
              <w:bottom w:val="single" w:sz="4" w:space="0" w:color="auto"/>
              <w:right w:val="nil"/>
            </w:tcBorders>
            <w:shd w:val="clear" w:color="auto" w:fill="F3F9FA"/>
            <w:noWrap/>
            <w:vAlign w:val="bottom"/>
            <w:hideMark/>
          </w:tcPr>
          <w:p w14:paraId="4AC5F9C1" w14:textId="77777777" w:rsidR="007C0F3F" w:rsidRPr="000B6103" w:rsidRDefault="007C0F3F" w:rsidP="0035619E">
            <w:pPr>
              <w:spacing w:before="0" w:after="0"/>
              <w:jc w:val="center"/>
              <w:rPr>
                <w:rFonts w:cs="Arial"/>
                <w:szCs w:val="22"/>
                <w:lang w:eastAsia="en-AU"/>
              </w:rPr>
            </w:pPr>
            <w:r w:rsidRPr="000B6103">
              <w:rPr>
                <w:rFonts w:cs="Arial"/>
                <w:szCs w:val="22"/>
                <w:lang w:eastAsia="en-AU"/>
              </w:rPr>
              <w:t>0.03</w:t>
            </w:r>
          </w:p>
        </w:tc>
      </w:tr>
      <w:tr w:rsidR="007C0F3F" w:rsidRPr="000B6103" w14:paraId="4FD19868" w14:textId="77777777" w:rsidTr="0035619E">
        <w:trPr>
          <w:trHeight w:val="290"/>
          <w:jc w:val="center"/>
        </w:trPr>
        <w:tc>
          <w:tcPr>
            <w:tcW w:w="2660" w:type="dxa"/>
            <w:tcBorders>
              <w:top w:val="single" w:sz="4" w:space="0" w:color="auto"/>
              <w:left w:val="nil"/>
              <w:bottom w:val="single" w:sz="4" w:space="0" w:color="auto"/>
              <w:right w:val="nil"/>
            </w:tcBorders>
            <w:shd w:val="clear" w:color="auto" w:fill="E7F3F4"/>
            <w:noWrap/>
            <w:vAlign w:val="bottom"/>
            <w:hideMark/>
          </w:tcPr>
          <w:p w14:paraId="5382418F" w14:textId="77777777" w:rsidR="007C0F3F" w:rsidRPr="000B6103" w:rsidRDefault="007C0F3F" w:rsidP="0035619E">
            <w:pPr>
              <w:spacing w:before="0" w:after="0"/>
              <w:rPr>
                <w:rFonts w:cs="Arial"/>
                <w:b/>
                <w:szCs w:val="22"/>
                <w:lang w:eastAsia="en-AU"/>
              </w:rPr>
            </w:pPr>
            <w:r w:rsidRPr="000B6103">
              <w:rPr>
                <w:rFonts w:cs="Arial"/>
                <w:b/>
                <w:szCs w:val="22"/>
                <w:lang w:eastAsia="en-AU"/>
              </w:rPr>
              <w:t>World Heritage Area</w:t>
            </w:r>
          </w:p>
        </w:tc>
        <w:tc>
          <w:tcPr>
            <w:tcW w:w="2360" w:type="dxa"/>
            <w:tcBorders>
              <w:top w:val="single" w:sz="4" w:space="0" w:color="auto"/>
              <w:left w:val="nil"/>
              <w:bottom w:val="single" w:sz="4" w:space="0" w:color="auto"/>
              <w:right w:val="nil"/>
            </w:tcBorders>
            <w:shd w:val="clear" w:color="auto" w:fill="E7F3F4"/>
            <w:noWrap/>
            <w:vAlign w:val="bottom"/>
            <w:hideMark/>
          </w:tcPr>
          <w:p w14:paraId="4719F499" w14:textId="77777777" w:rsidR="007C0F3F" w:rsidRPr="000B6103" w:rsidRDefault="007C0F3F" w:rsidP="0035619E">
            <w:pPr>
              <w:spacing w:before="0" w:after="0"/>
              <w:jc w:val="center"/>
              <w:rPr>
                <w:rFonts w:cs="Arial"/>
                <w:b/>
                <w:szCs w:val="22"/>
                <w:lang w:eastAsia="en-AU"/>
              </w:rPr>
            </w:pPr>
            <w:r w:rsidRPr="000B6103">
              <w:rPr>
                <w:rFonts w:cs="Arial"/>
                <w:b/>
                <w:szCs w:val="22"/>
                <w:lang w:eastAsia="en-AU"/>
              </w:rPr>
              <w:t>3,464</w:t>
            </w:r>
          </w:p>
        </w:tc>
        <w:tc>
          <w:tcPr>
            <w:tcW w:w="2342" w:type="dxa"/>
            <w:tcBorders>
              <w:top w:val="single" w:sz="4" w:space="0" w:color="auto"/>
              <w:left w:val="nil"/>
              <w:bottom w:val="single" w:sz="4" w:space="0" w:color="auto"/>
              <w:right w:val="nil"/>
            </w:tcBorders>
            <w:shd w:val="clear" w:color="auto" w:fill="E7F3F4"/>
            <w:noWrap/>
            <w:vAlign w:val="bottom"/>
            <w:hideMark/>
          </w:tcPr>
          <w:p w14:paraId="49C96FC4" w14:textId="77777777" w:rsidR="007C0F3F" w:rsidRPr="000B6103" w:rsidRDefault="007C0F3F" w:rsidP="0035619E">
            <w:pPr>
              <w:spacing w:before="0" w:after="0"/>
              <w:jc w:val="center"/>
              <w:rPr>
                <w:rFonts w:cs="Arial"/>
                <w:b/>
                <w:szCs w:val="22"/>
                <w:lang w:eastAsia="en-AU"/>
              </w:rPr>
            </w:pPr>
            <w:r w:rsidRPr="000B6103">
              <w:rPr>
                <w:rFonts w:cs="Arial"/>
                <w:b/>
                <w:szCs w:val="22"/>
                <w:lang w:eastAsia="en-AU"/>
              </w:rPr>
              <w:t>1.00</w:t>
            </w:r>
          </w:p>
        </w:tc>
      </w:tr>
    </w:tbl>
    <w:p w14:paraId="670353E3" w14:textId="4AA559D8" w:rsidR="00306220" w:rsidRPr="000B6103" w:rsidRDefault="007C0F3F" w:rsidP="003653D3">
      <w:pPr>
        <w:pStyle w:val="Heading3"/>
      </w:pPr>
      <w:bookmarkStart w:id="159" w:name="_Toc43987023"/>
      <w:r>
        <w:t>Revision of s</w:t>
      </w:r>
      <w:r w:rsidR="00306220" w:rsidRPr="000B6103">
        <w:t xml:space="preserve">eagrass </w:t>
      </w:r>
      <w:bookmarkEnd w:id="153"/>
      <w:bookmarkEnd w:id="154"/>
      <w:r>
        <w:t>scores</w:t>
      </w:r>
      <w:bookmarkEnd w:id="159"/>
    </w:p>
    <w:p w14:paraId="087635D4" w14:textId="1A59B739" w:rsidR="007C0F3F" w:rsidRPr="007C0F3F" w:rsidRDefault="007C0F3F" w:rsidP="007C0F3F">
      <w:pPr>
        <w:rPr>
          <w:rFonts w:cs="Arial"/>
          <w:color w:val="000000" w:themeColor="text1"/>
          <w:szCs w:val="22"/>
        </w:rPr>
      </w:pPr>
      <w:bookmarkStart w:id="160" w:name="_Toc37775049"/>
      <w:bookmarkEnd w:id="155"/>
      <w:bookmarkEnd w:id="156"/>
      <w:r w:rsidRPr="007C0F3F">
        <w:rPr>
          <w:rFonts w:cs="Arial"/>
          <w:color w:val="000000" w:themeColor="text1"/>
          <w:szCs w:val="22"/>
        </w:rPr>
        <w:t xml:space="preserve">A comprehensive quality assurance and quality control assessment of seagrass data was undertaken this year, in parallel with generating seagrass scores through a new statistical program using ‘R’ scripts. This review identified errors in past data, which only appeared in the 2017-18 report card. Identification of these </w:t>
      </w:r>
      <w:r>
        <w:rPr>
          <w:rFonts w:cs="Arial"/>
          <w:color w:val="000000" w:themeColor="text1"/>
          <w:szCs w:val="22"/>
        </w:rPr>
        <w:t xml:space="preserve">minor errors </w:t>
      </w:r>
      <w:r w:rsidRPr="007C0F3F">
        <w:rPr>
          <w:rFonts w:cs="Arial"/>
          <w:color w:val="000000" w:themeColor="text1"/>
          <w:szCs w:val="22"/>
        </w:rPr>
        <w:t xml:space="preserve">will be corrected for seagrass abundance and nutrient scores over the monitoring period from 2005-06 to 2017-18. </w:t>
      </w:r>
    </w:p>
    <w:p w14:paraId="39FBBCF1" w14:textId="77777777" w:rsidR="007C0F3F" w:rsidRPr="007C0F3F" w:rsidRDefault="007C0F3F" w:rsidP="007C0F3F">
      <w:pPr>
        <w:rPr>
          <w:rFonts w:cs="Arial"/>
          <w:color w:val="000000" w:themeColor="text1"/>
          <w:szCs w:val="22"/>
        </w:rPr>
      </w:pPr>
    </w:p>
    <w:p w14:paraId="098C2E00" w14:textId="77777777" w:rsidR="007C0F3F" w:rsidRPr="007C0F3F" w:rsidRDefault="007C0F3F" w:rsidP="007C0F3F">
      <w:pPr>
        <w:rPr>
          <w:rFonts w:cs="Arial"/>
          <w:color w:val="000000" w:themeColor="text1"/>
          <w:szCs w:val="22"/>
        </w:rPr>
      </w:pPr>
      <w:r w:rsidRPr="007C0F3F">
        <w:rPr>
          <w:rFonts w:cs="Arial"/>
          <w:color w:val="000000" w:themeColor="text1"/>
          <w:szCs w:val="22"/>
        </w:rPr>
        <w:t>The Quality Assurance and Control assessment found that:</w:t>
      </w:r>
    </w:p>
    <w:p w14:paraId="61CD79E2" w14:textId="77777777" w:rsidR="007C0F3F" w:rsidRPr="007C0F3F" w:rsidRDefault="007C0F3F" w:rsidP="007C0F3F">
      <w:pPr>
        <w:numPr>
          <w:ilvl w:val="0"/>
          <w:numId w:val="49"/>
        </w:numPr>
        <w:spacing w:before="0" w:after="0"/>
        <w:rPr>
          <w:rFonts w:cs="Arial"/>
          <w:color w:val="000000" w:themeColor="text1"/>
          <w:szCs w:val="22"/>
        </w:rPr>
      </w:pPr>
      <w:r w:rsidRPr="007C0F3F">
        <w:rPr>
          <w:rFonts w:cs="Arial"/>
          <w:color w:val="000000" w:themeColor="text1"/>
          <w:szCs w:val="22"/>
        </w:rPr>
        <w:t>Some calculations did not include all data during a transition in methodology</w:t>
      </w:r>
    </w:p>
    <w:p w14:paraId="22C9C2AC" w14:textId="77777777" w:rsidR="007C0F3F" w:rsidRPr="007C0F3F" w:rsidRDefault="007C0F3F" w:rsidP="007C0F3F">
      <w:pPr>
        <w:numPr>
          <w:ilvl w:val="0"/>
          <w:numId w:val="49"/>
        </w:numPr>
        <w:spacing w:before="0" w:after="0"/>
        <w:rPr>
          <w:rFonts w:cs="Arial"/>
          <w:color w:val="000000" w:themeColor="text1"/>
          <w:szCs w:val="22"/>
        </w:rPr>
      </w:pPr>
      <w:r w:rsidRPr="007C0F3F">
        <w:rPr>
          <w:rFonts w:cs="Arial"/>
          <w:color w:val="000000" w:themeColor="text1"/>
          <w:szCs w:val="22"/>
        </w:rPr>
        <w:t>Some calculations incorrectly included additional collections outside the late dry (only applies to 2017-18 published report card, errors didn’t occur in previous years)</w:t>
      </w:r>
    </w:p>
    <w:p w14:paraId="313E05B8" w14:textId="77777777" w:rsidR="007C0F3F" w:rsidRPr="007C0F3F" w:rsidRDefault="007C0F3F" w:rsidP="007C0F3F">
      <w:pPr>
        <w:numPr>
          <w:ilvl w:val="0"/>
          <w:numId w:val="49"/>
        </w:numPr>
        <w:spacing w:before="0" w:after="0"/>
        <w:rPr>
          <w:rFonts w:cs="Arial"/>
          <w:color w:val="000000" w:themeColor="text1"/>
          <w:szCs w:val="22"/>
        </w:rPr>
      </w:pPr>
      <w:r w:rsidRPr="007C0F3F">
        <w:rPr>
          <w:rFonts w:cs="Arial"/>
          <w:color w:val="000000" w:themeColor="text1"/>
          <w:szCs w:val="22"/>
        </w:rPr>
        <w:t>Some data was scored against the wrong guideline (only applies to 2017-18 published report card, for sites established in 2017)</w:t>
      </w:r>
    </w:p>
    <w:p w14:paraId="336E3764" w14:textId="77777777" w:rsidR="007C0F3F" w:rsidRPr="007C0F3F" w:rsidRDefault="007C0F3F" w:rsidP="007C0F3F">
      <w:pPr>
        <w:numPr>
          <w:ilvl w:val="0"/>
          <w:numId w:val="49"/>
        </w:numPr>
        <w:spacing w:before="0" w:after="0"/>
        <w:rPr>
          <w:rFonts w:cs="Arial"/>
          <w:color w:val="000000" w:themeColor="text1"/>
          <w:szCs w:val="22"/>
        </w:rPr>
      </w:pPr>
      <w:r w:rsidRPr="007C0F3F">
        <w:rPr>
          <w:rFonts w:cs="Arial"/>
          <w:color w:val="000000" w:themeColor="text1"/>
          <w:szCs w:val="22"/>
        </w:rPr>
        <w:t>Some sites were allocated to the wrong seagrass habitat type</w:t>
      </w:r>
    </w:p>
    <w:p w14:paraId="264FBF1C" w14:textId="77777777" w:rsidR="007C0F3F" w:rsidRPr="007C0F3F" w:rsidRDefault="007C0F3F" w:rsidP="007C0F3F">
      <w:pPr>
        <w:rPr>
          <w:rFonts w:cs="Arial"/>
          <w:color w:val="000000" w:themeColor="text1"/>
          <w:szCs w:val="22"/>
        </w:rPr>
      </w:pPr>
    </w:p>
    <w:p w14:paraId="5C636F76" w14:textId="77777777" w:rsidR="007C0F3F" w:rsidRPr="007C0F3F" w:rsidRDefault="007C0F3F" w:rsidP="007C0F3F">
      <w:pPr>
        <w:rPr>
          <w:rFonts w:cs="Arial"/>
          <w:color w:val="000000" w:themeColor="text1"/>
          <w:szCs w:val="22"/>
        </w:rPr>
      </w:pPr>
      <w:r w:rsidRPr="007C0F3F">
        <w:rPr>
          <w:rFonts w:cs="Arial"/>
          <w:color w:val="000000" w:themeColor="text1"/>
          <w:szCs w:val="22"/>
        </w:rPr>
        <w:t>Some scores and grades were affected. Most of the recalculations resulted in minor changes to scores of less than one, and no change in grades – and therefore have minimal impact on the evaluation of condition and trend. However, there were 5 corrections to indicators scores of 2 or more, and one of these resulted in a grade change for an indicator, with flow-on effects. This change relates to the 2017-18 scores for Cape York where:</w:t>
      </w:r>
    </w:p>
    <w:p w14:paraId="6DB7D6FC" w14:textId="77777777" w:rsidR="007C0F3F" w:rsidRPr="007C0F3F" w:rsidRDefault="007C0F3F" w:rsidP="007C0F3F">
      <w:pPr>
        <w:numPr>
          <w:ilvl w:val="0"/>
          <w:numId w:val="50"/>
        </w:numPr>
        <w:spacing w:before="0" w:after="0"/>
        <w:rPr>
          <w:rFonts w:cs="Arial"/>
          <w:color w:val="000000" w:themeColor="text1"/>
          <w:szCs w:val="22"/>
        </w:rPr>
      </w:pPr>
      <w:r w:rsidRPr="007C0F3F">
        <w:rPr>
          <w:rFonts w:cs="Arial"/>
          <w:color w:val="000000" w:themeColor="text1"/>
          <w:szCs w:val="22"/>
        </w:rPr>
        <w:t xml:space="preserve">the abundance indicator was amended from 40 to 45 ( and improvement in grade from poor to moderate) </w:t>
      </w:r>
    </w:p>
    <w:p w14:paraId="40BF6893" w14:textId="77777777" w:rsidR="007C0F3F" w:rsidRPr="007C0F3F" w:rsidRDefault="007C0F3F" w:rsidP="007C0F3F">
      <w:pPr>
        <w:numPr>
          <w:ilvl w:val="0"/>
          <w:numId w:val="50"/>
        </w:numPr>
        <w:spacing w:before="0" w:after="0"/>
        <w:rPr>
          <w:rFonts w:cs="Arial"/>
          <w:color w:val="000000" w:themeColor="text1"/>
          <w:szCs w:val="22"/>
        </w:rPr>
      </w:pPr>
      <w:r w:rsidRPr="007C0F3F">
        <w:rPr>
          <w:rFonts w:cs="Arial"/>
          <w:color w:val="000000" w:themeColor="text1"/>
          <w:szCs w:val="22"/>
        </w:rPr>
        <w:t xml:space="preserve">the score for the region was amended from 25 to 27 (no change in grade) </w:t>
      </w:r>
    </w:p>
    <w:p w14:paraId="0A1B9FF4" w14:textId="77777777" w:rsidR="007C0F3F" w:rsidRPr="007C0F3F" w:rsidRDefault="007C0F3F" w:rsidP="007C0F3F">
      <w:pPr>
        <w:numPr>
          <w:ilvl w:val="0"/>
          <w:numId w:val="50"/>
        </w:numPr>
        <w:spacing w:before="0" w:after="0"/>
        <w:rPr>
          <w:rFonts w:cs="Arial"/>
          <w:color w:val="000000" w:themeColor="text1"/>
          <w:szCs w:val="22"/>
        </w:rPr>
      </w:pPr>
      <w:r w:rsidRPr="007C0F3F">
        <w:rPr>
          <w:rFonts w:cs="Arial"/>
          <w:color w:val="000000" w:themeColor="text1"/>
          <w:szCs w:val="22"/>
        </w:rPr>
        <w:t>the marine score for the Cape York score was amended from 43 to 44 (no change in grade)</w:t>
      </w:r>
    </w:p>
    <w:p w14:paraId="60D4113B" w14:textId="77777777" w:rsidR="007C0F3F" w:rsidRPr="007C0F3F" w:rsidRDefault="007C0F3F" w:rsidP="007C0F3F">
      <w:pPr>
        <w:numPr>
          <w:ilvl w:val="0"/>
          <w:numId w:val="50"/>
        </w:numPr>
        <w:spacing w:before="0" w:after="0"/>
        <w:rPr>
          <w:rFonts w:cs="Arial"/>
          <w:color w:val="000000" w:themeColor="text1"/>
          <w:szCs w:val="22"/>
        </w:rPr>
      </w:pPr>
      <w:r w:rsidRPr="007C0F3F">
        <w:rPr>
          <w:rFonts w:cs="Arial"/>
          <w:color w:val="000000" w:themeColor="text1"/>
          <w:szCs w:val="22"/>
        </w:rPr>
        <w:t>the abundance indicator for the Reef was amended from 42 to 45 (no change in grade)</w:t>
      </w:r>
    </w:p>
    <w:p w14:paraId="42A5EA1D" w14:textId="007A80F9" w:rsidR="007C0F3F" w:rsidRDefault="007C0F3F" w:rsidP="007C0F3F">
      <w:pPr>
        <w:numPr>
          <w:ilvl w:val="0"/>
          <w:numId w:val="50"/>
        </w:numPr>
        <w:spacing w:before="0" w:after="0"/>
        <w:rPr>
          <w:rFonts w:cs="Arial"/>
          <w:color w:val="000000" w:themeColor="text1"/>
          <w:szCs w:val="22"/>
        </w:rPr>
      </w:pPr>
      <w:r w:rsidRPr="007C0F3F">
        <w:rPr>
          <w:rFonts w:cs="Arial"/>
          <w:color w:val="000000" w:themeColor="text1"/>
          <w:szCs w:val="22"/>
        </w:rPr>
        <w:t>the 2017-18 seagrass score for the Reef was amended from 29 to 30 (no change in grade).</w:t>
      </w:r>
    </w:p>
    <w:p w14:paraId="76B26E20" w14:textId="77777777" w:rsidR="007C0F3F" w:rsidRPr="007C0F3F" w:rsidRDefault="007C0F3F" w:rsidP="007C0F3F">
      <w:pPr>
        <w:spacing w:before="0" w:after="0"/>
        <w:ind w:left="720"/>
        <w:rPr>
          <w:rFonts w:cs="Arial"/>
          <w:color w:val="000000" w:themeColor="text1"/>
          <w:szCs w:val="22"/>
        </w:rPr>
      </w:pPr>
    </w:p>
    <w:p w14:paraId="19189874" w14:textId="77777777" w:rsidR="007C0F3F" w:rsidRDefault="007C0F3F">
      <w:pPr>
        <w:spacing w:before="0" w:after="0"/>
        <w:rPr>
          <w:rFonts w:cs="Arial"/>
          <w:b/>
          <w:kern w:val="32"/>
          <w:sz w:val="36"/>
          <w:szCs w:val="36"/>
        </w:rPr>
      </w:pPr>
      <w:r>
        <w:br w:type="page"/>
      </w:r>
    </w:p>
    <w:p w14:paraId="24C7E03C" w14:textId="2E5BF6D2" w:rsidR="005B75CC" w:rsidRPr="00CB093C" w:rsidRDefault="005B75CC" w:rsidP="000150D8">
      <w:pPr>
        <w:pStyle w:val="Heading1"/>
      </w:pPr>
      <w:bookmarkStart w:id="161" w:name="_Toc43987024"/>
      <w:r w:rsidRPr="00CB093C">
        <w:lastRenderedPageBreak/>
        <w:t xml:space="preserve">Drivers and pressures influencing seagrass meadows in </w:t>
      </w:r>
      <w:r>
        <w:t>2018–19</w:t>
      </w:r>
      <w:bookmarkEnd w:id="160"/>
      <w:bookmarkEnd w:id="161"/>
    </w:p>
    <w:p w14:paraId="334B8C2A" w14:textId="015C6064" w:rsidR="00DC12FC" w:rsidRPr="00C26B18" w:rsidRDefault="00DC12FC" w:rsidP="00807368">
      <w:pPr>
        <w:spacing w:before="240"/>
        <w:rPr>
          <w:rFonts w:cs="Arial"/>
          <w:color w:val="000000" w:themeColor="text1"/>
          <w:szCs w:val="22"/>
        </w:rPr>
      </w:pPr>
      <w:bookmarkStart w:id="162" w:name="_Toc184101961"/>
      <w:bookmarkStart w:id="163" w:name="_Toc431493756"/>
      <w:bookmarkStart w:id="164" w:name="_Ref271279443"/>
      <w:bookmarkEnd w:id="43"/>
      <w:bookmarkEnd w:id="44"/>
      <w:bookmarkEnd w:id="45"/>
      <w:bookmarkEnd w:id="46"/>
      <w:r w:rsidRPr="00C26B18">
        <w:rPr>
          <w:rFonts w:cs="Arial"/>
          <w:color w:val="000000" w:themeColor="text1"/>
          <w:szCs w:val="22"/>
        </w:rPr>
        <w:t>Th</w:t>
      </w:r>
      <w:r w:rsidR="00BB52BF" w:rsidRPr="00C26B18">
        <w:rPr>
          <w:rFonts w:cs="Arial"/>
          <w:color w:val="000000" w:themeColor="text1"/>
          <w:szCs w:val="22"/>
        </w:rPr>
        <w:t>e following</w:t>
      </w:r>
      <w:r w:rsidRPr="00C26B18">
        <w:rPr>
          <w:rFonts w:cs="Arial"/>
          <w:color w:val="000000" w:themeColor="text1"/>
          <w:szCs w:val="22"/>
        </w:rPr>
        <w:t xml:space="preserve"> section provides detail on </w:t>
      </w:r>
      <w:r w:rsidR="00BB52BF" w:rsidRPr="00C26B18">
        <w:rPr>
          <w:rFonts w:cs="Arial"/>
          <w:color w:val="000000" w:themeColor="text1"/>
          <w:szCs w:val="22"/>
        </w:rPr>
        <w:t xml:space="preserve">the </w:t>
      </w:r>
      <w:r w:rsidRPr="00C26B18">
        <w:rPr>
          <w:rFonts w:cs="Arial"/>
          <w:color w:val="000000" w:themeColor="text1"/>
          <w:szCs w:val="22"/>
        </w:rPr>
        <w:t>overall climate</w:t>
      </w:r>
      <w:r w:rsidR="00AC1C6D" w:rsidRPr="00C26B18">
        <w:rPr>
          <w:rFonts w:cs="Arial"/>
          <w:color w:val="000000" w:themeColor="text1"/>
          <w:szCs w:val="22"/>
        </w:rPr>
        <w:t xml:space="preserve"> and</w:t>
      </w:r>
      <w:r w:rsidRPr="00C26B18">
        <w:rPr>
          <w:rFonts w:cs="Arial"/>
          <w:color w:val="000000" w:themeColor="text1"/>
          <w:szCs w:val="22"/>
        </w:rPr>
        <w:t xml:space="preserve"> environmental pressures </w:t>
      </w:r>
      <w:r w:rsidR="00AC1C6D" w:rsidRPr="00C26B18">
        <w:rPr>
          <w:rFonts w:cs="Arial"/>
          <w:color w:val="000000" w:themeColor="text1"/>
          <w:szCs w:val="22"/>
        </w:rPr>
        <w:t>during</w:t>
      </w:r>
      <w:r w:rsidRPr="00C26B18">
        <w:rPr>
          <w:rFonts w:cs="Arial"/>
          <w:color w:val="000000" w:themeColor="text1"/>
          <w:szCs w:val="22"/>
        </w:rPr>
        <w:t xml:space="preserve"> the </w:t>
      </w:r>
      <w:r w:rsidR="003654C6" w:rsidRPr="00C26B18">
        <w:rPr>
          <w:rFonts w:cs="Arial"/>
          <w:color w:val="000000" w:themeColor="text1"/>
          <w:szCs w:val="22"/>
        </w:rPr>
        <w:t>201</w:t>
      </w:r>
      <w:r w:rsidR="00956639" w:rsidRPr="00C26B18">
        <w:rPr>
          <w:rFonts w:cs="Arial"/>
          <w:color w:val="000000" w:themeColor="text1"/>
          <w:szCs w:val="22"/>
        </w:rPr>
        <w:t>8</w:t>
      </w:r>
      <w:r w:rsidR="003654C6" w:rsidRPr="00C26B18">
        <w:rPr>
          <w:rFonts w:cs="Arial"/>
          <w:color w:val="000000" w:themeColor="text1"/>
          <w:szCs w:val="22"/>
        </w:rPr>
        <w:t>–1</w:t>
      </w:r>
      <w:r w:rsidR="00956639" w:rsidRPr="00C26B18">
        <w:rPr>
          <w:rFonts w:cs="Arial"/>
          <w:color w:val="000000" w:themeColor="text1"/>
          <w:szCs w:val="22"/>
        </w:rPr>
        <w:t>9</w:t>
      </w:r>
      <w:r w:rsidR="00C81636" w:rsidRPr="00C26B18">
        <w:rPr>
          <w:rFonts w:cs="Arial"/>
          <w:color w:val="000000" w:themeColor="text1"/>
          <w:szCs w:val="22"/>
        </w:rPr>
        <w:t xml:space="preserve"> </w:t>
      </w:r>
      <w:r w:rsidR="00BB52BF" w:rsidRPr="00C26B18">
        <w:rPr>
          <w:rFonts w:cs="Arial"/>
          <w:color w:val="000000" w:themeColor="text1"/>
          <w:szCs w:val="22"/>
        </w:rPr>
        <w:t>monitoring period</w:t>
      </w:r>
      <w:r w:rsidRPr="00C26B18">
        <w:rPr>
          <w:rFonts w:cs="Arial"/>
          <w:color w:val="000000" w:themeColor="text1"/>
          <w:szCs w:val="22"/>
        </w:rPr>
        <w:t xml:space="preserve">, </w:t>
      </w:r>
      <w:r w:rsidR="00C41DCE" w:rsidRPr="00C26B18">
        <w:rPr>
          <w:rFonts w:cs="Arial"/>
          <w:color w:val="000000" w:themeColor="text1"/>
          <w:szCs w:val="22"/>
        </w:rPr>
        <w:t>at</w:t>
      </w:r>
      <w:r w:rsidR="00AC1C6D" w:rsidRPr="00C26B18">
        <w:rPr>
          <w:rFonts w:cs="Arial"/>
          <w:color w:val="000000" w:themeColor="text1"/>
          <w:szCs w:val="22"/>
        </w:rPr>
        <w:t xml:space="preserve"> a </w:t>
      </w:r>
      <w:r w:rsidR="00C41DCE" w:rsidRPr="00C26B18">
        <w:rPr>
          <w:rFonts w:cs="Arial"/>
          <w:color w:val="000000" w:themeColor="text1"/>
          <w:szCs w:val="22"/>
        </w:rPr>
        <w:t>relatively broad</w:t>
      </w:r>
      <w:r w:rsidR="00AC1C6D" w:rsidRPr="00C26B18">
        <w:rPr>
          <w:rFonts w:cs="Arial"/>
          <w:color w:val="000000" w:themeColor="text1"/>
          <w:szCs w:val="22"/>
        </w:rPr>
        <w:t xml:space="preserve"> </w:t>
      </w:r>
      <w:r w:rsidR="00765A99" w:rsidRPr="00C26B18">
        <w:rPr>
          <w:rFonts w:cs="Arial"/>
          <w:color w:val="000000" w:themeColor="text1"/>
          <w:szCs w:val="22"/>
        </w:rPr>
        <w:t>level</w:t>
      </w:r>
      <w:r w:rsidR="00C41DCE" w:rsidRPr="00C26B18">
        <w:rPr>
          <w:rFonts w:cs="Arial"/>
          <w:color w:val="000000" w:themeColor="text1"/>
          <w:szCs w:val="22"/>
        </w:rPr>
        <w:t xml:space="preserve"> as context for understanding trends in seagrass </w:t>
      </w:r>
      <w:r w:rsidR="003A03FE" w:rsidRPr="00C26B18">
        <w:rPr>
          <w:rFonts w:cs="Arial"/>
          <w:color w:val="000000" w:themeColor="text1"/>
          <w:szCs w:val="22"/>
        </w:rPr>
        <w:t>condition</w:t>
      </w:r>
      <w:r w:rsidR="00C41DCE" w:rsidRPr="00C26B18">
        <w:rPr>
          <w:rFonts w:cs="Arial"/>
          <w:color w:val="000000" w:themeColor="text1"/>
          <w:szCs w:val="22"/>
        </w:rPr>
        <w:t>. It includes:</w:t>
      </w:r>
    </w:p>
    <w:p w14:paraId="1F78FD7A" w14:textId="103F5781" w:rsidR="00DC12FC" w:rsidRPr="00C26B18" w:rsidRDefault="00A81F12" w:rsidP="003F4D32">
      <w:pPr>
        <w:numPr>
          <w:ilvl w:val="0"/>
          <w:numId w:val="17"/>
        </w:numPr>
        <w:spacing w:before="60" w:after="60"/>
        <w:rPr>
          <w:rFonts w:cs="Arial"/>
          <w:color w:val="000000" w:themeColor="text1"/>
          <w:szCs w:val="22"/>
        </w:rPr>
      </w:pPr>
      <w:r w:rsidRPr="00C26B18">
        <w:rPr>
          <w:rFonts w:cs="Arial"/>
          <w:color w:val="000000" w:themeColor="text1"/>
          <w:szCs w:val="22"/>
        </w:rPr>
        <w:t>climate</w:t>
      </w:r>
      <w:r w:rsidR="00DC12FC" w:rsidRPr="00C26B18">
        <w:rPr>
          <w:rFonts w:cs="Arial"/>
          <w:color w:val="000000" w:themeColor="text1"/>
          <w:szCs w:val="22"/>
        </w:rPr>
        <w:t>, river discharge and flood plume exposure</w:t>
      </w:r>
    </w:p>
    <w:p w14:paraId="7FA0FA39" w14:textId="690CAD3A" w:rsidR="00F16C11" w:rsidRPr="00C26B18" w:rsidRDefault="00A81F12" w:rsidP="003F4D32">
      <w:pPr>
        <w:numPr>
          <w:ilvl w:val="0"/>
          <w:numId w:val="17"/>
        </w:numPr>
        <w:spacing w:before="60" w:after="60"/>
        <w:rPr>
          <w:rFonts w:cs="Arial"/>
          <w:color w:val="000000" w:themeColor="text1"/>
          <w:szCs w:val="22"/>
        </w:rPr>
      </w:pPr>
      <w:r w:rsidRPr="00C26B18">
        <w:rPr>
          <w:rFonts w:cs="Arial"/>
          <w:color w:val="000000" w:themeColor="text1"/>
          <w:szCs w:val="22"/>
        </w:rPr>
        <w:t>within</w:t>
      </w:r>
      <w:r w:rsidR="00F16C11" w:rsidRPr="00C26B18">
        <w:rPr>
          <w:rFonts w:cs="Arial"/>
          <w:color w:val="000000" w:themeColor="text1"/>
          <w:szCs w:val="22"/>
        </w:rPr>
        <w:t>-canopy light</w:t>
      </w:r>
      <w:r w:rsidR="006131FB" w:rsidRPr="00C26B18">
        <w:rPr>
          <w:rFonts w:cs="Arial"/>
          <w:color w:val="000000" w:themeColor="text1"/>
          <w:szCs w:val="22"/>
        </w:rPr>
        <w:t xml:space="preserve"> </w:t>
      </w:r>
    </w:p>
    <w:p w14:paraId="5DAC52CB" w14:textId="265E8135" w:rsidR="00DC12FC" w:rsidRPr="00C26B18" w:rsidRDefault="00A81F12" w:rsidP="003F4D32">
      <w:pPr>
        <w:numPr>
          <w:ilvl w:val="0"/>
          <w:numId w:val="17"/>
        </w:numPr>
        <w:spacing w:before="60" w:after="60"/>
        <w:rPr>
          <w:rFonts w:cs="Arial"/>
          <w:color w:val="000000" w:themeColor="text1"/>
          <w:szCs w:val="22"/>
        </w:rPr>
      </w:pPr>
      <w:r w:rsidRPr="00C26B18">
        <w:rPr>
          <w:rFonts w:cs="Arial"/>
          <w:color w:val="000000" w:themeColor="text1"/>
          <w:szCs w:val="22"/>
        </w:rPr>
        <w:t>within</w:t>
      </w:r>
      <w:r w:rsidR="00DC12FC" w:rsidRPr="00C26B18">
        <w:rPr>
          <w:rFonts w:cs="Arial"/>
          <w:color w:val="000000" w:themeColor="text1"/>
          <w:szCs w:val="22"/>
        </w:rPr>
        <w:t>-canopy temperature</w:t>
      </w:r>
      <w:r w:rsidR="009C0054" w:rsidRPr="00C26B18">
        <w:rPr>
          <w:rFonts w:cs="Arial"/>
          <w:color w:val="000000" w:themeColor="text1"/>
          <w:szCs w:val="22"/>
        </w:rPr>
        <w:t xml:space="preserve"> and</w:t>
      </w:r>
      <w:r w:rsidR="006131FB" w:rsidRPr="00C26B18">
        <w:rPr>
          <w:rFonts w:cs="Arial"/>
          <w:color w:val="000000" w:themeColor="text1"/>
          <w:szCs w:val="22"/>
        </w:rPr>
        <w:t xml:space="preserve"> threshold exceedance</w:t>
      </w:r>
    </w:p>
    <w:p w14:paraId="69FB82E6" w14:textId="58AA11B8" w:rsidR="00F16C11" w:rsidRPr="00C26B18" w:rsidRDefault="00A81F12" w:rsidP="003F4D32">
      <w:pPr>
        <w:numPr>
          <w:ilvl w:val="0"/>
          <w:numId w:val="17"/>
        </w:numPr>
        <w:spacing w:before="60" w:after="60"/>
        <w:rPr>
          <w:rFonts w:cs="Arial"/>
          <w:color w:val="000000" w:themeColor="text1"/>
          <w:szCs w:val="22"/>
        </w:rPr>
      </w:pPr>
      <w:r w:rsidRPr="00C26B18">
        <w:rPr>
          <w:rFonts w:cs="Arial"/>
          <w:color w:val="000000" w:themeColor="text1"/>
          <w:szCs w:val="22"/>
        </w:rPr>
        <w:t xml:space="preserve">seagrass </w:t>
      </w:r>
      <w:r w:rsidR="00F16C11" w:rsidRPr="00C26B18">
        <w:rPr>
          <w:rFonts w:cs="Arial"/>
          <w:color w:val="000000" w:themeColor="text1"/>
          <w:szCs w:val="22"/>
        </w:rPr>
        <w:t>meadows sediment characteristics</w:t>
      </w:r>
      <w:r w:rsidRPr="00C26B18">
        <w:rPr>
          <w:rFonts w:cs="Arial"/>
          <w:color w:val="000000" w:themeColor="text1"/>
          <w:szCs w:val="22"/>
        </w:rPr>
        <w:t>.</w:t>
      </w:r>
    </w:p>
    <w:p w14:paraId="674C3643" w14:textId="26DA12A8" w:rsidR="00DC12FC" w:rsidRPr="00C26B18" w:rsidRDefault="00C41DCE" w:rsidP="00DC12FC">
      <w:pPr>
        <w:rPr>
          <w:rFonts w:cs="Arial"/>
          <w:color w:val="000000" w:themeColor="text1"/>
          <w:szCs w:val="22"/>
        </w:rPr>
      </w:pPr>
      <w:r w:rsidRPr="00C26B18">
        <w:rPr>
          <w:rFonts w:cs="Arial"/>
          <w:color w:val="000000" w:themeColor="text1"/>
          <w:szCs w:val="22"/>
        </w:rPr>
        <w:t>The ensuing section contains data on local environmental pressures and</w:t>
      </w:r>
      <w:r w:rsidR="001B5B41" w:rsidRPr="00C26B18">
        <w:rPr>
          <w:rFonts w:cs="Arial"/>
          <w:color w:val="000000" w:themeColor="text1"/>
          <w:szCs w:val="22"/>
        </w:rPr>
        <w:t xml:space="preserve"> s</w:t>
      </w:r>
      <w:r w:rsidR="00DC12FC" w:rsidRPr="00C26B18">
        <w:rPr>
          <w:rFonts w:cs="Arial"/>
          <w:color w:val="000000" w:themeColor="text1"/>
          <w:szCs w:val="22"/>
        </w:rPr>
        <w:t>upporting data</w:t>
      </w:r>
      <w:r w:rsidRPr="00C26B18">
        <w:rPr>
          <w:rFonts w:cs="Arial"/>
          <w:color w:val="000000" w:themeColor="text1"/>
          <w:szCs w:val="22"/>
        </w:rPr>
        <w:t xml:space="preserve"> </w:t>
      </w:r>
      <w:r w:rsidR="001B5B41" w:rsidRPr="00C26B18">
        <w:rPr>
          <w:rFonts w:cs="Arial"/>
          <w:color w:val="000000" w:themeColor="text1"/>
          <w:szCs w:val="22"/>
        </w:rPr>
        <w:t>is</w:t>
      </w:r>
      <w:r w:rsidR="00DC12FC" w:rsidRPr="00C26B18">
        <w:rPr>
          <w:rFonts w:cs="Arial"/>
          <w:color w:val="000000" w:themeColor="text1"/>
          <w:szCs w:val="22"/>
        </w:rPr>
        <w:t xml:space="preserve"> </w:t>
      </w:r>
      <w:r w:rsidR="001B5B41" w:rsidRPr="00C26B18">
        <w:rPr>
          <w:rFonts w:cs="Arial"/>
          <w:color w:val="000000" w:themeColor="text1"/>
          <w:szCs w:val="22"/>
        </w:rPr>
        <w:t>d</w:t>
      </w:r>
      <w:r w:rsidR="00DC12FC" w:rsidRPr="00C26B18">
        <w:rPr>
          <w:rFonts w:cs="Arial"/>
          <w:color w:val="000000" w:themeColor="text1"/>
          <w:szCs w:val="22"/>
        </w:rPr>
        <w:t>etail</w:t>
      </w:r>
      <w:r w:rsidR="001B5B41" w:rsidRPr="00C26B18">
        <w:rPr>
          <w:rFonts w:cs="Arial"/>
          <w:color w:val="000000" w:themeColor="text1"/>
          <w:szCs w:val="22"/>
        </w:rPr>
        <w:t>ed</w:t>
      </w:r>
      <w:r w:rsidR="00DC12FC" w:rsidRPr="00C26B18">
        <w:rPr>
          <w:rFonts w:cs="Arial"/>
          <w:color w:val="000000" w:themeColor="text1"/>
          <w:szCs w:val="22"/>
        </w:rPr>
        <w:t xml:space="preserve"> w</w:t>
      </w:r>
      <w:r w:rsidR="001B5B41" w:rsidRPr="00C26B18">
        <w:rPr>
          <w:rFonts w:cs="Arial"/>
          <w:color w:val="000000" w:themeColor="text1"/>
          <w:szCs w:val="22"/>
        </w:rPr>
        <w:t xml:space="preserve">ithin Appendix </w:t>
      </w:r>
      <w:r w:rsidR="004E6B49" w:rsidRPr="00C26B18">
        <w:rPr>
          <w:rFonts w:cs="Arial"/>
          <w:color w:val="000000" w:themeColor="text1"/>
          <w:szCs w:val="22"/>
        </w:rPr>
        <w:t xml:space="preserve">3 and </w:t>
      </w:r>
      <w:r w:rsidR="001B5B41" w:rsidRPr="00C26B18">
        <w:rPr>
          <w:rFonts w:cs="Arial"/>
          <w:color w:val="000000" w:themeColor="text1"/>
          <w:szCs w:val="22"/>
        </w:rPr>
        <w:t>4</w:t>
      </w:r>
      <w:r w:rsidR="00DC12FC" w:rsidRPr="00C26B18">
        <w:rPr>
          <w:rFonts w:cs="Arial"/>
          <w:color w:val="000000" w:themeColor="text1"/>
          <w:szCs w:val="22"/>
        </w:rPr>
        <w:t>:</w:t>
      </w:r>
    </w:p>
    <w:p w14:paraId="0E45A35E" w14:textId="79DED7AA" w:rsidR="00DC12FC" w:rsidRPr="00A37E15" w:rsidRDefault="00DC12FC" w:rsidP="000150D8">
      <w:pPr>
        <w:pStyle w:val="Heading2"/>
      </w:pPr>
      <w:bookmarkStart w:id="165" w:name="_Toc184101960"/>
      <w:bookmarkStart w:id="166" w:name="_Toc37775050"/>
      <w:bookmarkStart w:id="167" w:name="_Toc43987025"/>
      <w:r w:rsidRPr="00A37E15">
        <w:t>Summary</w:t>
      </w:r>
      <w:bookmarkEnd w:id="165"/>
      <w:bookmarkEnd w:id="166"/>
      <w:bookmarkEnd w:id="167"/>
    </w:p>
    <w:p w14:paraId="042B76DD" w14:textId="01F08AD1" w:rsidR="00C41DCE" w:rsidRPr="00C26B18" w:rsidRDefault="00222E55" w:rsidP="00D2585E">
      <w:pPr>
        <w:rPr>
          <w:rFonts w:cs="Arial"/>
          <w:szCs w:val="22"/>
        </w:rPr>
      </w:pPr>
      <w:bookmarkStart w:id="168" w:name="_Ref410474695"/>
      <w:r w:rsidRPr="00C26B18">
        <w:rPr>
          <w:rFonts w:cs="Arial"/>
          <w:szCs w:val="22"/>
        </w:rPr>
        <w:t>E</w:t>
      </w:r>
      <w:r w:rsidR="00CB15D6" w:rsidRPr="00C26B18">
        <w:rPr>
          <w:rFonts w:cs="Arial"/>
          <w:szCs w:val="22"/>
        </w:rPr>
        <w:t xml:space="preserve">nvironmental stressors </w:t>
      </w:r>
      <w:r w:rsidR="00320A01" w:rsidRPr="00C26B18">
        <w:rPr>
          <w:rFonts w:cs="Arial"/>
          <w:szCs w:val="22"/>
        </w:rPr>
        <w:t>in 2018</w:t>
      </w:r>
      <w:r w:rsidR="00320A01" w:rsidRPr="00C26B18">
        <w:rPr>
          <w:rFonts w:cs="Arial"/>
          <w:color w:val="000000" w:themeColor="text1"/>
          <w:szCs w:val="22"/>
          <w:lang w:val="en-GB"/>
        </w:rPr>
        <w:t>–</w:t>
      </w:r>
      <w:r w:rsidR="00320A01" w:rsidRPr="00C26B18">
        <w:rPr>
          <w:rFonts w:cs="Arial"/>
          <w:szCs w:val="22"/>
        </w:rPr>
        <w:t xml:space="preserve">19 </w:t>
      </w:r>
      <w:r w:rsidR="00CB15D6" w:rsidRPr="00C26B18">
        <w:rPr>
          <w:rFonts w:cs="Arial"/>
          <w:szCs w:val="22"/>
        </w:rPr>
        <w:t>were</w:t>
      </w:r>
      <w:r w:rsidR="009A685A" w:rsidRPr="00C26B18">
        <w:rPr>
          <w:rFonts w:cs="Arial"/>
          <w:szCs w:val="22"/>
        </w:rPr>
        <w:t xml:space="preserve"> above average for rainfall and river discharge, but relatively benign for within canopy light and water temperature</w:t>
      </w:r>
      <w:r w:rsidR="00CB15D6" w:rsidRPr="00C26B18">
        <w:rPr>
          <w:rFonts w:cs="Arial"/>
          <w:szCs w:val="22"/>
        </w:rPr>
        <w:t xml:space="preserve"> (</w:t>
      </w:r>
      <w:r w:rsidR="00CB15D6" w:rsidRPr="00C26B18">
        <w:rPr>
          <w:rFonts w:cs="Arial"/>
          <w:szCs w:val="22"/>
        </w:rPr>
        <w:fldChar w:fldCharType="begin"/>
      </w:r>
      <w:r w:rsidR="00CB15D6" w:rsidRPr="00C26B18">
        <w:rPr>
          <w:rFonts w:cs="Arial"/>
          <w:szCs w:val="22"/>
        </w:rPr>
        <w:instrText xml:space="preserve"> REF _Ref441775247 \h  \* MERGEFORMAT </w:instrText>
      </w:r>
      <w:r w:rsidR="00CB15D6" w:rsidRPr="00C26B18">
        <w:rPr>
          <w:rFonts w:cs="Arial"/>
          <w:szCs w:val="22"/>
        </w:rPr>
      </w:r>
      <w:r w:rsidR="00CB15D6" w:rsidRPr="00C26B18">
        <w:rPr>
          <w:rFonts w:cs="Arial"/>
          <w:szCs w:val="22"/>
        </w:rPr>
        <w:fldChar w:fldCharType="separate"/>
      </w:r>
      <w:r w:rsidR="0067675D" w:rsidRPr="00C26B18">
        <w:rPr>
          <w:rFonts w:cs="Arial"/>
          <w:szCs w:val="22"/>
        </w:rPr>
        <w:t xml:space="preserve">Table </w:t>
      </w:r>
      <w:r w:rsidR="0067675D">
        <w:rPr>
          <w:rFonts w:cs="Arial"/>
          <w:noProof/>
          <w:szCs w:val="22"/>
        </w:rPr>
        <w:t>8</w:t>
      </w:r>
      <w:r w:rsidR="00CB15D6" w:rsidRPr="00C26B18">
        <w:rPr>
          <w:rFonts w:cs="Arial"/>
          <w:szCs w:val="22"/>
        </w:rPr>
        <w:fldChar w:fldCharType="end"/>
      </w:r>
      <w:r w:rsidR="00CB15D6" w:rsidRPr="00C26B18">
        <w:rPr>
          <w:rFonts w:cs="Arial"/>
          <w:szCs w:val="22"/>
        </w:rPr>
        <w:t>)</w:t>
      </w:r>
      <w:r w:rsidR="00C41DCE" w:rsidRPr="00C26B18">
        <w:rPr>
          <w:rFonts w:cs="Arial"/>
          <w:szCs w:val="22"/>
        </w:rPr>
        <w:t xml:space="preserve">. </w:t>
      </w:r>
      <w:r w:rsidR="009A685A" w:rsidRPr="00C26B18">
        <w:rPr>
          <w:rFonts w:cs="Arial"/>
          <w:szCs w:val="22"/>
        </w:rPr>
        <w:t xml:space="preserve">However, there was large degree of variability in rainfall and river discharge, in particular across the inshore </w:t>
      </w:r>
      <w:r w:rsidR="00C71B59">
        <w:rPr>
          <w:rFonts w:cs="Arial"/>
          <w:szCs w:val="22"/>
        </w:rPr>
        <w:t>Reef</w:t>
      </w:r>
      <w:r w:rsidR="009A685A" w:rsidRPr="00C26B18">
        <w:rPr>
          <w:rFonts w:cs="Arial"/>
          <w:szCs w:val="22"/>
        </w:rPr>
        <w:t xml:space="preserve">. </w:t>
      </w:r>
      <w:r w:rsidR="00297A22" w:rsidRPr="00C26B18">
        <w:rPr>
          <w:rFonts w:cs="Arial"/>
          <w:szCs w:val="22"/>
        </w:rPr>
        <w:t xml:space="preserve">Rivers within Cape York, the Wet Tropics, Burdekin and </w:t>
      </w:r>
      <w:r w:rsidR="00B72AC4">
        <w:rPr>
          <w:rFonts w:cs="Arial"/>
          <w:szCs w:val="22"/>
        </w:rPr>
        <w:t>Mackay–Whitsunday</w:t>
      </w:r>
      <w:r w:rsidR="00D051A4">
        <w:rPr>
          <w:rFonts w:cs="Arial"/>
          <w:szCs w:val="22"/>
        </w:rPr>
        <w:t xml:space="preserve"> region</w:t>
      </w:r>
      <w:r w:rsidR="00297A22" w:rsidRPr="00C26B18">
        <w:rPr>
          <w:rFonts w:cs="Arial"/>
          <w:szCs w:val="22"/>
        </w:rPr>
        <w:t xml:space="preserve">s </w:t>
      </w:r>
      <w:r w:rsidR="00080121" w:rsidRPr="00C26B18">
        <w:rPr>
          <w:rFonts w:cs="Arial"/>
          <w:szCs w:val="22"/>
        </w:rPr>
        <w:t>exceeded</w:t>
      </w:r>
      <w:r w:rsidR="00320A01" w:rsidRPr="00C26B18">
        <w:rPr>
          <w:rFonts w:cs="Arial"/>
          <w:szCs w:val="22"/>
        </w:rPr>
        <w:t xml:space="preserve"> the</w:t>
      </w:r>
      <w:r w:rsidR="00D051A4">
        <w:rPr>
          <w:rFonts w:cs="Arial"/>
          <w:szCs w:val="22"/>
        </w:rPr>
        <w:t>ir</w:t>
      </w:r>
      <w:r w:rsidR="00320A01" w:rsidRPr="00C26B18">
        <w:rPr>
          <w:rFonts w:cs="Arial"/>
          <w:szCs w:val="22"/>
        </w:rPr>
        <w:t xml:space="preserve"> long-term median</w:t>
      </w:r>
      <w:r w:rsidR="00D051A4">
        <w:rPr>
          <w:rFonts w:cs="Arial"/>
          <w:szCs w:val="22"/>
        </w:rPr>
        <w:t>s</w:t>
      </w:r>
      <w:r w:rsidR="00297A22" w:rsidRPr="00C26B18">
        <w:rPr>
          <w:rFonts w:cs="Arial"/>
          <w:szCs w:val="22"/>
        </w:rPr>
        <w:t>, while they were below</w:t>
      </w:r>
      <w:r w:rsidR="00D051A4">
        <w:rPr>
          <w:rFonts w:cs="Arial"/>
          <w:szCs w:val="22"/>
        </w:rPr>
        <w:t xml:space="preserve"> </w:t>
      </w:r>
      <w:r w:rsidR="00297A22" w:rsidRPr="00C26B18">
        <w:rPr>
          <w:rFonts w:cs="Arial"/>
          <w:szCs w:val="22"/>
        </w:rPr>
        <w:t xml:space="preserve">the long-term median </w:t>
      </w:r>
      <w:r w:rsidR="00D051A4">
        <w:rPr>
          <w:rFonts w:cs="Arial"/>
          <w:szCs w:val="22"/>
        </w:rPr>
        <w:t xml:space="preserve">in the Fitzroy and </w:t>
      </w:r>
      <w:r w:rsidR="00B72AC4">
        <w:rPr>
          <w:rFonts w:cs="Arial"/>
          <w:szCs w:val="22"/>
        </w:rPr>
        <w:t>Burnett–Mary</w:t>
      </w:r>
      <w:r w:rsidR="00297A22" w:rsidRPr="00C26B18">
        <w:rPr>
          <w:rFonts w:cs="Arial"/>
          <w:szCs w:val="22"/>
        </w:rPr>
        <w:t xml:space="preserve"> regions. </w:t>
      </w:r>
      <w:r w:rsidR="009A685A" w:rsidRPr="00C26B18">
        <w:rPr>
          <w:rFonts w:cs="Arial"/>
          <w:szCs w:val="22"/>
        </w:rPr>
        <w:t xml:space="preserve"> </w:t>
      </w:r>
    </w:p>
    <w:p w14:paraId="58C2FEDA" w14:textId="35AD654B" w:rsidR="003D7FBF" w:rsidRPr="00C26B18" w:rsidRDefault="009C385A" w:rsidP="00D2585E">
      <w:pPr>
        <w:rPr>
          <w:rFonts w:cs="Arial"/>
          <w:color w:val="000000" w:themeColor="text1"/>
          <w:szCs w:val="22"/>
        </w:rPr>
      </w:pPr>
      <w:r w:rsidRPr="00C26B18">
        <w:rPr>
          <w:rFonts w:cs="Arial"/>
          <w:szCs w:val="22"/>
        </w:rPr>
        <w:t>T</w:t>
      </w:r>
      <w:r w:rsidR="00C01F17" w:rsidRPr="00C26B18">
        <w:rPr>
          <w:rFonts w:cs="Arial"/>
          <w:color w:val="000000" w:themeColor="text1"/>
          <w:szCs w:val="22"/>
          <w:lang w:val="en-GB"/>
        </w:rPr>
        <w:t xml:space="preserve">he frequency </w:t>
      </w:r>
      <w:r w:rsidR="00065435" w:rsidRPr="00C26B18">
        <w:rPr>
          <w:rFonts w:cs="Arial"/>
          <w:color w:val="000000" w:themeColor="text1"/>
          <w:szCs w:val="22"/>
          <w:lang w:val="en-GB"/>
        </w:rPr>
        <w:t xml:space="preserve">with which the </w:t>
      </w:r>
      <w:r w:rsidR="00D051A4">
        <w:rPr>
          <w:rFonts w:cs="Arial"/>
          <w:color w:val="000000" w:themeColor="text1"/>
          <w:szCs w:val="22"/>
          <w:lang w:val="en-GB"/>
        </w:rPr>
        <w:t xml:space="preserve">sentinel </w:t>
      </w:r>
      <w:r w:rsidR="00065435" w:rsidRPr="00C26B18">
        <w:rPr>
          <w:rFonts w:cs="Arial"/>
          <w:color w:val="000000" w:themeColor="text1"/>
          <w:szCs w:val="22"/>
          <w:lang w:val="en-GB"/>
        </w:rPr>
        <w:t>seagrass sites w</w:t>
      </w:r>
      <w:r w:rsidR="002744E0" w:rsidRPr="00C26B18">
        <w:rPr>
          <w:rFonts w:cs="Arial"/>
          <w:color w:val="000000" w:themeColor="text1"/>
          <w:szCs w:val="22"/>
          <w:lang w:val="en-GB"/>
        </w:rPr>
        <w:t>ere exposed</w:t>
      </w:r>
      <w:r w:rsidR="00C01F17" w:rsidRPr="00C26B18">
        <w:rPr>
          <w:rFonts w:cs="Arial"/>
          <w:color w:val="000000" w:themeColor="text1"/>
          <w:szCs w:val="22"/>
          <w:lang w:val="en-GB"/>
        </w:rPr>
        <w:t xml:space="preserve"> to ‘brown’ sediment</w:t>
      </w:r>
      <w:r w:rsidR="00065435" w:rsidRPr="00C26B18">
        <w:rPr>
          <w:rFonts w:cs="Arial"/>
          <w:color w:val="000000" w:themeColor="text1"/>
          <w:szCs w:val="22"/>
          <w:lang w:val="en-GB"/>
        </w:rPr>
        <w:t>-</w:t>
      </w:r>
      <w:r w:rsidR="00C01F17" w:rsidRPr="00C26B18">
        <w:rPr>
          <w:rFonts w:cs="Arial"/>
          <w:color w:val="000000" w:themeColor="text1"/>
          <w:szCs w:val="22"/>
          <w:lang w:val="en-GB"/>
        </w:rPr>
        <w:t xml:space="preserve">laden </w:t>
      </w:r>
      <w:r w:rsidR="002744E0" w:rsidRPr="00C26B18">
        <w:rPr>
          <w:rFonts w:cs="Arial"/>
          <w:color w:val="000000" w:themeColor="text1"/>
          <w:szCs w:val="22"/>
          <w:lang w:val="en-GB"/>
        </w:rPr>
        <w:t xml:space="preserve">(1–4) </w:t>
      </w:r>
      <w:r w:rsidR="00C01F17" w:rsidRPr="00C26B18">
        <w:rPr>
          <w:rFonts w:cs="Arial"/>
          <w:color w:val="000000" w:themeColor="text1"/>
          <w:szCs w:val="22"/>
          <w:lang w:val="en-GB"/>
        </w:rPr>
        <w:t>and ‘green’ phytoplankton</w:t>
      </w:r>
      <w:r w:rsidR="00065435" w:rsidRPr="00C26B18">
        <w:rPr>
          <w:rFonts w:cs="Arial"/>
          <w:color w:val="000000" w:themeColor="text1"/>
          <w:szCs w:val="22"/>
          <w:lang w:val="en-GB"/>
        </w:rPr>
        <w:t>-</w:t>
      </w:r>
      <w:r w:rsidR="00C01F17" w:rsidRPr="00C26B18">
        <w:rPr>
          <w:rFonts w:cs="Arial"/>
          <w:color w:val="000000" w:themeColor="text1"/>
          <w:szCs w:val="22"/>
          <w:lang w:val="en-GB"/>
        </w:rPr>
        <w:t>rich waters</w:t>
      </w:r>
      <w:r w:rsidR="002744E0" w:rsidRPr="00C26B18">
        <w:rPr>
          <w:rFonts w:cs="Arial"/>
          <w:color w:val="000000" w:themeColor="text1"/>
          <w:szCs w:val="22"/>
          <w:lang w:val="en-GB"/>
        </w:rPr>
        <w:t xml:space="preserve"> (5) </w:t>
      </w:r>
      <w:r w:rsidR="00A723A2" w:rsidRPr="00C26B18">
        <w:rPr>
          <w:rFonts w:cs="Arial"/>
          <w:color w:val="000000" w:themeColor="text1"/>
          <w:szCs w:val="22"/>
          <w:lang w:val="en-GB"/>
        </w:rPr>
        <w:t xml:space="preserve">during the wet season </w:t>
      </w:r>
      <w:r w:rsidR="00C01F17" w:rsidRPr="00C26B18">
        <w:rPr>
          <w:rFonts w:cs="Arial"/>
          <w:color w:val="000000" w:themeColor="text1"/>
          <w:szCs w:val="22"/>
          <w:lang w:val="en-GB"/>
        </w:rPr>
        <w:t xml:space="preserve">was </w:t>
      </w:r>
      <w:r w:rsidR="00320A01" w:rsidRPr="00C26B18">
        <w:rPr>
          <w:rFonts w:cs="Arial"/>
          <w:color w:val="000000" w:themeColor="text1"/>
          <w:szCs w:val="22"/>
          <w:lang w:val="en-GB"/>
        </w:rPr>
        <w:t xml:space="preserve">also slightly elevated across the entire </w:t>
      </w:r>
      <w:r w:rsidR="00C71B59">
        <w:rPr>
          <w:rFonts w:cs="Arial"/>
          <w:color w:val="000000" w:themeColor="text1"/>
          <w:szCs w:val="22"/>
          <w:lang w:val="en-GB"/>
        </w:rPr>
        <w:t>Reef</w:t>
      </w:r>
      <w:r w:rsidR="00320A01" w:rsidRPr="00C26B18">
        <w:rPr>
          <w:rFonts w:cs="Arial"/>
          <w:color w:val="000000" w:themeColor="text1"/>
          <w:szCs w:val="22"/>
          <w:lang w:val="en-GB"/>
        </w:rPr>
        <w:t>, even in the southern regions where discharge was low</w:t>
      </w:r>
      <w:r w:rsidRPr="00C26B18">
        <w:rPr>
          <w:rFonts w:cs="Arial"/>
          <w:color w:val="000000" w:themeColor="text1"/>
          <w:szCs w:val="22"/>
          <w:lang w:val="en-GB"/>
        </w:rPr>
        <w:t xml:space="preserve"> (</w:t>
      </w:r>
      <w:r w:rsidRPr="00C26B18">
        <w:rPr>
          <w:rFonts w:cs="Arial"/>
          <w:color w:val="000000" w:themeColor="text1"/>
          <w:szCs w:val="22"/>
          <w:lang w:val="en-GB"/>
        </w:rPr>
        <w:fldChar w:fldCharType="begin"/>
      </w:r>
      <w:r w:rsidRPr="00C26B18">
        <w:rPr>
          <w:rFonts w:cs="Arial"/>
          <w:color w:val="000000" w:themeColor="text1"/>
          <w:szCs w:val="22"/>
          <w:lang w:val="en-GB"/>
        </w:rPr>
        <w:instrText xml:space="preserve"> REF _Ref507596879 \h </w:instrText>
      </w:r>
      <w:r w:rsidR="002744E0" w:rsidRPr="00C26B18">
        <w:rPr>
          <w:rFonts w:cs="Arial"/>
          <w:color w:val="000000" w:themeColor="text1"/>
          <w:szCs w:val="22"/>
          <w:lang w:val="en-GB"/>
        </w:rPr>
        <w:instrText xml:space="preserve"> \* MERGEFORMAT </w:instrText>
      </w:r>
      <w:r w:rsidRPr="00C26B18">
        <w:rPr>
          <w:rFonts w:cs="Arial"/>
          <w:color w:val="000000" w:themeColor="text1"/>
          <w:szCs w:val="22"/>
          <w:lang w:val="en-GB"/>
        </w:rPr>
      </w:r>
      <w:r w:rsidRPr="00C26B18">
        <w:rPr>
          <w:rFonts w:cs="Arial"/>
          <w:color w:val="000000" w:themeColor="text1"/>
          <w:szCs w:val="22"/>
          <w:lang w:val="en-GB"/>
        </w:rPr>
        <w:fldChar w:fldCharType="separate"/>
      </w:r>
      <w:r w:rsidR="0067675D" w:rsidRPr="00C26B18">
        <w:rPr>
          <w:rFonts w:cs="Arial"/>
          <w:szCs w:val="22"/>
        </w:rPr>
        <w:t xml:space="preserve">Figure </w:t>
      </w:r>
      <w:r w:rsidR="0067675D">
        <w:rPr>
          <w:rFonts w:cs="Arial"/>
          <w:noProof/>
          <w:szCs w:val="22"/>
        </w:rPr>
        <w:t>9</w:t>
      </w:r>
      <w:r w:rsidRPr="00C26B18">
        <w:rPr>
          <w:rFonts w:cs="Arial"/>
          <w:color w:val="000000" w:themeColor="text1"/>
          <w:szCs w:val="22"/>
          <w:lang w:val="en-GB"/>
        </w:rPr>
        <w:fldChar w:fldCharType="end"/>
      </w:r>
      <w:r w:rsidRPr="00C26B18">
        <w:rPr>
          <w:rFonts w:cs="Arial"/>
          <w:color w:val="000000" w:themeColor="text1"/>
          <w:szCs w:val="22"/>
          <w:lang w:val="en-GB"/>
        </w:rPr>
        <w:t>)</w:t>
      </w:r>
      <w:r w:rsidR="00C01F17" w:rsidRPr="00C26B18">
        <w:rPr>
          <w:rFonts w:cs="Arial"/>
          <w:szCs w:val="22"/>
        </w:rPr>
        <w:t xml:space="preserve">. </w:t>
      </w:r>
      <w:r w:rsidR="00065435" w:rsidRPr="00C26B18">
        <w:rPr>
          <w:rFonts w:cs="Arial"/>
          <w:szCs w:val="22"/>
        </w:rPr>
        <w:t>Th</w:t>
      </w:r>
      <w:r w:rsidRPr="00C26B18">
        <w:rPr>
          <w:rFonts w:cs="Arial"/>
          <w:szCs w:val="22"/>
        </w:rPr>
        <w:t xml:space="preserve">e presence of </w:t>
      </w:r>
      <w:r w:rsidR="002744E0" w:rsidRPr="00C26B18">
        <w:rPr>
          <w:rFonts w:cs="Arial"/>
          <w:szCs w:val="22"/>
        </w:rPr>
        <w:t xml:space="preserve">this coloured </w:t>
      </w:r>
      <w:r w:rsidRPr="00C26B18">
        <w:rPr>
          <w:rFonts w:cs="Arial"/>
          <w:szCs w:val="22"/>
        </w:rPr>
        <w:t>water</w:t>
      </w:r>
      <w:r w:rsidR="00065435" w:rsidRPr="00C26B18">
        <w:rPr>
          <w:rFonts w:cs="Arial"/>
          <w:szCs w:val="22"/>
        </w:rPr>
        <w:t xml:space="preserve"> </w:t>
      </w:r>
      <w:r w:rsidR="001A19DE">
        <w:rPr>
          <w:rFonts w:cs="Arial"/>
          <w:szCs w:val="22"/>
        </w:rPr>
        <w:t>is</w:t>
      </w:r>
      <w:r w:rsidR="002744E0" w:rsidRPr="00C26B18">
        <w:rPr>
          <w:rFonts w:cs="Arial"/>
          <w:szCs w:val="22"/>
        </w:rPr>
        <w:t xml:space="preserve"> affected by</w:t>
      </w:r>
      <w:r w:rsidR="00C01F17" w:rsidRPr="00C26B18">
        <w:rPr>
          <w:rFonts w:cs="Arial"/>
          <w:szCs w:val="22"/>
        </w:rPr>
        <w:t xml:space="preserve"> resuspension</w:t>
      </w:r>
      <w:r w:rsidR="00065435" w:rsidRPr="00C26B18">
        <w:rPr>
          <w:rFonts w:cs="Arial"/>
          <w:szCs w:val="22"/>
        </w:rPr>
        <w:t>-</w:t>
      </w:r>
      <w:r w:rsidR="00C01F17" w:rsidRPr="00C26B18">
        <w:rPr>
          <w:rFonts w:cs="Arial"/>
          <w:szCs w:val="22"/>
        </w:rPr>
        <w:t xml:space="preserve">driven events </w:t>
      </w:r>
      <w:r w:rsidR="004D54CC" w:rsidRPr="00C26B18">
        <w:rPr>
          <w:rFonts w:cs="Arial"/>
          <w:szCs w:val="22"/>
        </w:rPr>
        <w:t>as well as discharge</w:t>
      </w:r>
      <w:r w:rsidR="00C01F17" w:rsidRPr="00C26B18">
        <w:rPr>
          <w:rFonts w:cs="Arial"/>
          <w:szCs w:val="22"/>
        </w:rPr>
        <w:t>.</w:t>
      </w:r>
      <w:r w:rsidR="00C01F17" w:rsidRPr="00C26B18">
        <w:rPr>
          <w:rFonts w:cs="Arial"/>
          <w:color w:val="000000" w:themeColor="text1"/>
          <w:szCs w:val="22"/>
        </w:rPr>
        <w:t xml:space="preserve"> </w:t>
      </w:r>
    </w:p>
    <w:p w14:paraId="66D8D893" w14:textId="5498D2AF" w:rsidR="00E50C95" w:rsidRPr="00C26B18" w:rsidRDefault="007B0A21" w:rsidP="00D2585E">
      <w:pPr>
        <w:rPr>
          <w:rFonts w:cs="Arial"/>
          <w:i/>
          <w:vanish/>
          <w:szCs w:val="22"/>
          <w:specVanish/>
        </w:rPr>
      </w:pPr>
      <w:bookmarkStart w:id="169" w:name="_Ref441775247"/>
      <w:bookmarkStart w:id="170" w:name="_Ref3984343"/>
      <w:bookmarkStart w:id="171" w:name="_Toc37787060"/>
      <w:bookmarkStart w:id="172" w:name="_Toc47600682"/>
      <w:bookmarkEnd w:id="168"/>
      <w:r w:rsidRPr="00C26B18">
        <w:rPr>
          <w:rFonts w:cs="Arial"/>
          <w:szCs w:val="22"/>
        </w:rPr>
        <w:t xml:space="preserve">Table </w:t>
      </w:r>
      <w:r w:rsidR="00C506C7" w:rsidRPr="00C26B18">
        <w:rPr>
          <w:rFonts w:cs="Arial"/>
          <w:noProof/>
          <w:szCs w:val="22"/>
        </w:rPr>
        <w:fldChar w:fldCharType="begin"/>
      </w:r>
      <w:r w:rsidR="00C506C7" w:rsidRPr="00C26B18">
        <w:rPr>
          <w:rFonts w:cs="Arial"/>
          <w:noProof/>
          <w:szCs w:val="22"/>
        </w:rPr>
        <w:instrText xml:space="preserve"> SEQ Table \* ARABIC </w:instrText>
      </w:r>
      <w:r w:rsidR="00C506C7" w:rsidRPr="00C26B18">
        <w:rPr>
          <w:rFonts w:cs="Arial"/>
          <w:noProof/>
          <w:szCs w:val="22"/>
        </w:rPr>
        <w:fldChar w:fldCharType="separate"/>
      </w:r>
      <w:r w:rsidR="0067675D">
        <w:rPr>
          <w:rFonts w:cs="Arial"/>
          <w:noProof/>
          <w:szCs w:val="22"/>
        </w:rPr>
        <w:t>8</w:t>
      </w:r>
      <w:r w:rsidR="00C506C7" w:rsidRPr="00C26B18">
        <w:rPr>
          <w:rFonts w:cs="Arial"/>
          <w:noProof/>
          <w:szCs w:val="22"/>
        </w:rPr>
        <w:fldChar w:fldCharType="end"/>
      </w:r>
      <w:bookmarkEnd w:id="169"/>
      <w:r w:rsidRPr="00C26B18">
        <w:rPr>
          <w:rFonts w:cs="Arial"/>
          <w:szCs w:val="22"/>
        </w:rPr>
        <w:t xml:space="preserve">. </w:t>
      </w:r>
      <w:r w:rsidRPr="00C26B18">
        <w:rPr>
          <w:rFonts w:cs="Arial"/>
          <w:i/>
          <w:szCs w:val="22"/>
        </w:rPr>
        <w:t xml:space="preserve">Summary of environmental conditions at monitoring sites across the </w:t>
      </w:r>
      <w:r w:rsidR="00F206BF" w:rsidRPr="00C26B18">
        <w:rPr>
          <w:rFonts w:cs="Arial"/>
          <w:i/>
          <w:szCs w:val="22"/>
        </w:rPr>
        <w:t>Reef</w:t>
      </w:r>
      <w:r w:rsidRPr="00C26B18">
        <w:rPr>
          <w:rFonts w:cs="Arial"/>
          <w:i/>
          <w:szCs w:val="22"/>
        </w:rPr>
        <w:t xml:space="preserve"> in </w:t>
      </w:r>
      <w:r w:rsidR="006574F1" w:rsidRPr="00C26B18">
        <w:rPr>
          <w:rFonts w:cs="Arial"/>
          <w:i/>
          <w:szCs w:val="22"/>
        </w:rPr>
        <w:t>201</w:t>
      </w:r>
      <w:r w:rsidR="00956639" w:rsidRPr="00C26B18">
        <w:rPr>
          <w:rFonts w:cs="Arial"/>
          <w:i/>
          <w:szCs w:val="22"/>
        </w:rPr>
        <w:t>8</w:t>
      </w:r>
      <w:r w:rsidR="00B3497B" w:rsidRPr="00C26B18">
        <w:rPr>
          <w:rFonts w:cs="Arial"/>
          <w:i/>
          <w:szCs w:val="22"/>
        </w:rPr>
        <w:softHyphen/>
      </w:r>
      <w:r w:rsidR="00C26B18" w:rsidRPr="00C26B18">
        <w:rPr>
          <w:rFonts w:cs="Arial"/>
          <w:i/>
          <w:szCs w:val="22"/>
        </w:rPr>
        <w:t>-</w:t>
      </w:r>
      <w:r w:rsidR="006574F1" w:rsidRPr="00C26B18">
        <w:rPr>
          <w:rFonts w:cs="Arial"/>
          <w:i/>
          <w:szCs w:val="22"/>
        </w:rPr>
        <w:t>1</w:t>
      </w:r>
      <w:r w:rsidR="00956639" w:rsidRPr="00C26B18">
        <w:rPr>
          <w:rFonts w:cs="Arial"/>
          <w:i/>
          <w:szCs w:val="22"/>
        </w:rPr>
        <w:t>9</w:t>
      </w:r>
      <w:r w:rsidRPr="00C26B18">
        <w:rPr>
          <w:rFonts w:cs="Arial"/>
          <w:i/>
          <w:szCs w:val="22"/>
        </w:rPr>
        <w:t xml:space="preserve"> compared to the long-term average</w:t>
      </w:r>
      <w:bookmarkEnd w:id="170"/>
      <w:bookmarkEnd w:id="171"/>
      <w:bookmarkEnd w:id="172"/>
    </w:p>
    <w:p w14:paraId="0498A22A" w14:textId="103155C0" w:rsidR="0095699D" w:rsidRPr="00C26B18" w:rsidRDefault="007B0A21" w:rsidP="0095699D">
      <w:pPr>
        <w:jc w:val="center"/>
        <w:rPr>
          <w:rFonts w:cs="Arial"/>
          <w:i/>
          <w:szCs w:val="22"/>
        </w:rPr>
      </w:pPr>
      <w:r w:rsidRPr="00C26B18">
        <w:rPr>
          <w:rFonts w:cs="Arial"/>
          <w:i/>
          <w:szCs w:val="22"/>
        </w:rPr>
        <w:t xml:space="preserve"> (range indicated for each data set). *intertidal only.</w:t>
      </w:r>
    </w:p>
    <w:tbl>
      <w:tblPr>
        <w:tblW w:w="0" w:type="auto"/>
        <w:jc w:val="center"/>
        <w:tblBorders>
          <w:bottom w:val="single" w:sz="4" w:space="0" w:color="auto"/>
        </w:tblBorders>
        <w:tblLook w:val="04A0" w:firstRow="1" w:lastRow="0" w:firstColumn="1" w:lastColumn="0" w:noHBand="0" w:noVBand="1"/>
      </w:tblPr>
      <w:tblGrid>
        <w:gridCol w:w="4705"/>
        <w:gridCol w:w="2037"/>
        <w:gridCol w:w="2126"/>
      </w:tblGrid>
      <w:tr w:rsidR="0095699D" w:rsidRPr="00173CCC" w14:paraId="31346C66" w14:textId="77777777" w:rsidTr="00CA1552">
        <w:trPr>
          <w:trHeight w:val="227"/>
          <w:jc w:val="center"/>
        </w:trPr>
        <w:tc>
          <w:tcPr>
            <w:tcW w:w="4705" w:type="dxa"/>
            <w:tcBorders>
              <w:top w:val="single" w:sz="4" w:space="0" w:color="auto"/>
              <w:bottom w:val="single" w:sz="4" w:space="0" w:color="auto"/>
            </w:tcBorders>
            <w:shd w:val="clear" w:color="auto" w:fill="BBE0E3"/>
            <w:vAlign w:val="center"/>
          </w:tcPr>
          <w:p w14:paraId="6E91D4AF" w14:textId="5D44C90C" w:rsidR="0095699D" w:rsidRPr="00173CCC" w:rsidRDefault="0095699D" w:rsidP="009638AE">
            <w:pPr>
              <w:spacing w:before="0" w:after="0"/>
              <w:rPr>
                <w:rFonts w:asciiTheme="minorHAnsi" w:hAnsiTheme="minorHAnsi" w:cstheme="minorHAnsi"/>
                <w:b/>
                <w:sz w:val="20"/>
                <w:szCs w:val="20"/>
              </w:rPr>
            </w:pPr>
            <w:r w:rsidRPr="00173CCC">
              <w:rPr>
                <w:rFonts w:asciiTheme="minorHAnsi" w:hAnsiTheme="minorHAnsi" w:cstheme="minorHAnsi"/>
                <w:b/>
                <w:sz w:val="20"/>
                <w:szCs w:val="20"/>
              </w:rPr>
              <w:t xml:space="preserve">Environmental </w:t>
            </w:r>
            <w:r w:rsidR="00B3497B" w:rsidRPr="00173CCC">
              <w:rPr>
                <w:rFonts w:asciiTheme="minorHAnsi" w:hAnsiTheme="minorHAnsi" w:cstheme="minorHAnsi"/>
                <w:b/>
                <w:sz w:val="20"/>
                <w:szCs w:val="20"/>
              </w:rPr>
              <w:t>pressure</w:t>
            </w:r>
          </w:p>
        </w:tc>
        <w:tc>
          <w:tcPr>
            <w:tcW w:w="2037" w:type="dxa"/>
            <w:tcBorders>
              <w:top w:val="single" w:sz="4" w:space="0" w:color="auto"/>
              <w:bottom w:val="single" w:sz="4" w:space="0" w:color="auto"/>
            </w:tcBorders>
            <w:shd w:val="clear" w:color="auto" w:fill="BBE0E3"/>
            <w:vAlign w:val="center"/>
          </w:tcPr>
          <w:p w14:paraId="6B993CF3" w14:textId="77777777" w:rsidR="0095699D" w:rsidRPr="00173CCC" w:rsidRDefault="0095699D" w:rsidP="009638AE">
            <w:pPr>
              <w:spacing w:before="0" w:after="0"/>
              <w:jc w:val="center"/>
              <w:rPr>
                <w:rFonts w:asciiTheme="minorHAnsi" w:hAnsiTheme="minorHAnsi" w:cstheme="minorHAnsi"/>
                <w:b/>
                <w:sz w:val="20"/>
                <w:szCs w:val="20"/>
              </w:rPr>
            </w:pPr>
            <w:r w:rsidRPr="00173CCC">
              <w:rPr>
                <w:rFonts w:asciiTheme="minorHAnsi" w:hAnsiTheme="minorHAnsi" w:cstheme="minorHAnsi"/>
                <w:b/>
                <w:sz w:val="20"/>
                <w:szCs w:val="20"/>
              </w:rPr>
              <w:t>Long-term average</w:t>
            </w:r>
          </w:p>
        </w:tc>
        <w:tc>
          <w:tcPr>
            <w:tcW w:w="2126" w:type="dxa"/>
            <w:tcBorders>
              <w:top w:val="single" w:sz="4" w:space="0" w:color="auto"/>
              <w:bottom w:val="single" w:sz="4" w:space="0" w:color="auto"/>
            </w:tcBorders>
            <w:shd w:val="clear" w:color="auto" w:fill="BBE0E3"/>
            <w:vAlign w:val="center"/>
          </w:tcPr>
          <w:p w14:paraId="70C42E62" w14:textId="5BD1D412" w:rsidR="0095699D" w:rsidRPr="00173CCC" w:rsidRDefault="00956639" w:rsidP="009638AE">
            <w:pPr>
              <w:spacing w:before="0" w:after="0"/>
              <w:jc w:val="center"/>
              <w:rPr>
                <w:rFonts w:asciiTheme="minorHAnsi" w:hAnsiTheme="minorHAnsi" w:cstheme="minorHAnsi"/>
                <w:b/>
                <w:sz w:val="20"/>
                <w:szCs w:val="20"/>
              </w:rPr>
            </w:pPr>
            <w:r>
              <w:rPr>
                <w:rFonts w:asciiTheme="minorHAnsi" w:hAnsiTheme="minorHAnsi" w:cstheme="minorHAnsi"/>
                <w:b/>
                <w:sz w:val="20"/>
                <w:szCs w:val="20"/>
              </w:rPr>
              <w:t>2018–19</w:t>
            </w:r>
          </w:p>
        </w:tc>
      </w:tr>
      <w:tr w:rsidR="0095699D" w:rsidRPr="00173CCC" w14:paraId="1C67A68E" w14:textId="77777777" w:rsidTr="00CA1552">
        <w:trPr>
          <w:trHeight w:val="227"/>
          <w:jc w:val="center"/>
        </w:trPr>
        <w:tc>
          <w:tcPr>
            <w:tcW w:w="4705" w:type="dxa"/>
            <w:tcBorders>
              <w:top w:val="single" w:sz="4" w:space="0" w:color="auto"/>
            </w:tcBorders>
            <w:shd w:val="clear" w:color="auto" w:fill="E7F3F4"/>
            <w:vAlign w:val="center"/>
          </w:tcPr>
          <w:p w14:paraId="432F5634" w14:textId="77777777" w:rsidR="0095699D" w:rsidRPr="00173CCC" w:rsidRDefault="0095699D" w:rsidP="009638AE">
            <w:pPr>
              <w:tabs>
                <w:tab w:val="left" w:pos="176"/>
              </w:tabs>
              <w:spacing w:before="0" w:after="0"/>
              <w:rPr>
                <w:rFonts w:asciiTheme="minorHAnsi" w:hAnsiTheme="minorHAnsi" w:cstheme="minorHAnsi"/>
                <w:i/>
                <w:sz w:val="20"/>
                <w:szCs w:val="20"/>
              </w:rPr>
            </w:pPr>
            <w:r w:rsidRPr="00173CCC">
              <w:rPr>
                <w:rFonts w:asciiTheme="minorHAnsi" w:hAnsiTheme="minorHAnsi" w:cstheme="minorHAnsi"/>
                <w:i/>
                <w:sz w:val="20"/>
                <w:szCs w:val="20"/>
              </w:rPr>
              <w:lastRenderedPageBreak/>
              <w:t>Climate</w:t>
            </w:r>
          </w:p>
        </w:tc>
        <w:tc>
          <w:tcPr>
            <w:tcW w:w="2037" w:type="dxa"/>
            <w:tcBorders>
              <w:top w:val="single" w:sz="4" w:space="0" w:color="auto"/>
            </w:tcBorders>
            <w:shd w:val="clear" w:color="auto" w:fill="E7F3F4"/>
            <w:vAlign w:val="center"/>
          </w:tcPr>
          <w:p w14:paraId="0A0AD7DE" w14:textId="77777777" w:rsidR="0095699D" w:rsidRPr="00173CCC" w:rsidRDefault="0095699D" w:rsidP="009638AE">
            <w:pPr>
              <w:spacing w:before="0" w:after="0"/>
              <w:jc w:val="center"/>
              <w:rPr>
                <w:rFonts w:asciiTheme="minorHAnsi" w:hAnsiTheme="minorHAnsi" w:cstheme="minorHAnsi"/>
                <w:sz w:val="20"/>
                <w:szCs w:val="20"/>
              </w:rPr>
            </w:pPr>
          </w:p>
        </w:tc>
        <w:tc>
          <w:tcPr>
            <w:tcW w:w="2126" w:type="dxa"/>
            <w:tcBorders>
              <w:top w:val="single" w:sz="4" w:space="0" w:color="auto"/>
            </w:tcBorders>
            <w:shd w:val="clear" w:color="auto" w:fill="E7F3F4"/>
            <w:vAlign w:val="center"/>
          </w:tcPr>
          <w:p w14:paraId="5D08245B" w14:textId="77777777" w:rsidR="0095699D" w:rsidRPr="00173CCC" w:rsidRDefault="0095699D" w:rsidP="009638AE">
            <w:pPr>
              <w:spacing w:before="0" w:after="0"/>
              <w:jc w:val="center"/>
              <w:rPr>
                <w:rFonts w:asciiTheme="minorHAnsi" w:hAnsiTheme="minorHAnsi" w:cstheme="minorHAnsi"/>
                <w:sz w:val="20"/>
                <w:szCs w:val="20"/>
              </w:rPr>
            </w:pPr>
          </w:p>
        </w:tc>
      </w:tr>
      <w:tr w:rsidR="0095699D" w:rsidRPr="00173CCC" w14:paraId="1781461D" w14:textId="77777777" w:rsidTr="00CA1552">
        <w:trPr>
          <w:trHeight w:val="227"/>
          <w:jc w:val="center"/>
        </w:trPr>
        <w:tc>
          <w:tcPr>
            <w:tcW w:w="4705" w:type="dxa"/>
            <w:shd w:val="clear" w:color="auto" w:fill="E7F3F4"/>
            <w:vAlign w:val="center"/>
          </w:tcPr>
          <w:p w14:paraId="4F6D53DA" w14:textId="41DE3303" w:rsidR="0095699D" w:rsidRPr="00173CCC" w:rsidRDefault="0095699D" w:rsidP="009638AE">
            <w:pPr>
              <w:tabs>
                <w:tab w:val="left" w:pos="176"/>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006875E3" w:rsidRPr="00173CCC">
              <w:rPr>
                <w:rFonts w:asciiTheme="minorHAnsi" w:hAnsiTheme="minorHAnsi" w:cstheme="minorHAnsi"/>
                <w:sz w:val="20"/>
                <w:szCs w:val="20"/>
              </w:rPr>
              <w:t>C</w:t>
            </w:r>
            <w:r w:rsidRPr="00173CCC">
              <w:rPr>
                <w:rFonts w:asciiTheme="minorHAnsi" w:hAnsiTheme="minorHAnsi" w:cstheme="minorHAnsi"/>
                <w:sz w:val="20"/>
                <w:szCs w:val="20"/>
              </w:rPr>
              <w:t>yclones (1968</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201</w:t>
            </w:r>
            <w:r w:rsidR="00AF69A8" w:rsidRPr="00173CCC">
              <w:rPr>
                <w:rFonts w:asciiTheme="minorHAnsi" w:hAnsiTheme="minorHAnsi" w:cstheme="minorHAnsi"/>
                <w:sz w:val="20"/>
                <w:szCs w:val="20"/>
              </w:rPr>
              <w:t>8</w:t>
            </w:r>
            <w:r w:rsidRPr="00173CCC">
              <w:rPr>
                <w:rFonts w:asciiTheme="minorHAnsi" w:hAnsiTheme="minorHAnsi" w:cstheme="minorHAnsi"/>
                <w:sz w:val="20"/>
                <w:szCs w:val="20"/>
              </w:rPr>
              <w:t>)</w:t>
            </w:r>
          </w:p>
        </w:tc>
        <w:tc>
          <w:tcPr>
            <w:tcW w:w="2037" w:type="dxa"/>
            <w:shd w:val="clear" w:color="auto" w:fill="E7F3F4"/>
            <w:vAlign w:val="center"/>
          </w:tcPr>
          <w:p w14:paraId="3036A9DD" w14:textId="4015F01B" w:rsidR="0095699D" w:rsidRPr="00956639" w:rsidRDefault="00652C26" w:rsidP="009638AE">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4</w:t>
            </w:r>
          </w:p>
        </w:tc>
        <w:tc>
          <w:tcPr>
            <w:tcW w:w="2126" w:type="dxa"/>
            <w:shd w:val="clear" w:color="auto" w:fill="E7F3F4"/>
            <w:vAlign w:val="center"/>
          </w:tcPr>
          <w:p w14:paraId="3C1F4AB1" w14:textId="43104BD8" w:rsidR="0095699D" w:rsidRPr="00E8361C" w:rsidRDefault="00F009F8" w:rsidP="009638AE">
            <w:pPr>
              <w:spacing w:before="0" w:after="0"/>
              <w:jc w:val="center"/>
              <w:rPr>
                <w:rFonts w:asciiTheme="minorHAnsi" w:hAnsiTheme="minorHAnsi" w:cstheme="minorHAnsi"/>
                <w:sz w:val="20"/>
                <w:szCs w:val="20"/>
              </w:rPr>
            </w:pPr>
            <w:r>
              <w:rPr>
                <w:rFonts w:asciiTheme="minorHAnsi" w:hAnsiTheme="minorHAnsi" w:cstheme="minorHAnsi"/>
                <w:sz w:val="20"/>
                <w:szCs w:val="20"/>
              </w:rPr>
              <w:t>3</w:t>
            </w:r>
          </w:p>
        </w:tc>
      </w:tr>
      <w:tr w:rsidR="0095699D" w:rsidRPr="00173CCC" w14:paraId="684460A5" w14:textId="77777777" w:rsidTr="00CA1552">
        <w:trPr>
          <w:trHeight w:val="227"/>
          <w:jc w:val="center"/>
        </w:trPr>
        <w:tc>
          <w:tcPr>
            <w:tcW w:w="4705" w:type="dxa"/>
            <w:shd w:val="clear" w:color="auto" w:fill="E7F3F4"/>
            <w:vAlign w:val="center"/>
          </w:tcPr>
          <w:p w14:paraId="556B89E5" w14:textId="367DD3A7" w:rsidR="0095699D" w:rsidRPr="00173CCC" w:rsidRDefault="0095699D" w:rsidP="009638AE">
            <w:pPr>
              <w:tabs>
                <w:tab w:val="left" w:pos="176"/>
              </w:tabs>
              <w:spacing w:before="0" w:after="0"/>
              <w:rPr>
                <w:rFonts w:asciiTheme="minorHAnsi" w:hAnsiTheme="minorHAnsi" w:cstheme="minorHAnsi"/>
                <w:sz w:val="20"/>
                <w:szCs w:val="20"/>
              </w:rPr>
            </w:pPr>
            <w:r w:rsidRPr="00173CCC">
              <w:rPr>
                <w:rFonts w:asciiTheme="minorHAnsi" w:hAnsiTheme="minorHAnsi" w:cstheme="minorHAnsi"/>
                <w:sz w:val="20"/>
                <w:szCs w:val="20"/>
              </w:rPr>
              <w:tab/>
              <w:t xml:space="preserve">Daily </w:t>
            </w:r>
            <w:r w:rsidR="006875E3" w:rsidRPr="00173CCC">
              <w:rPr>
                <w:rFonts w:asciiTheme="minorHAnsi" w:hAnsiTheme="minorHAnsi" w:cstheme="minorHAnsi"/>
                <w:sz w:val="20"/>
                <w:szCs w:val="20"/>
              </w:rPr>
              <w:t>r</w:t>
            </w:r>
            <w:r w:rsidRPr="00173CCC">
              <w:rPr>
                <w:rFonts w:asciiTheme="minorHAnsi" w:hAnsiTheme="minorHAnsi" w:cstheme="minorHAnsi"/>
                <w:sz w:val="20"/>
                <w:szCs w:val="20"/>
              </w:rPr>
              <w:t>ainfall (1960</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1991)</w:t>
            </w:r>
          </w:p>
        </w:tc>
        <w:tc>
          <w:tcPr>
            <w:tcW w:w="2037" w:type="dxa"/>
            <w:shd w:val="clear" w:color="auto" w:fill="E7F3F4"/>
            <w:vAlign w:val="center"/>
          </w:tcPr>
          <w:p w14:paraId="1995FB59" w14:textId="1586D971" w:rsidR="0095699D" w:rsidRPr="00956639" w:rsidRDefault="00652C26" w:rsidP="009638AE">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4.</w:t>
            </w:r>
            <w:r w:rsidR="00E8361C">
              <w:rPr>
                <w:rFonts w:asciiTheme="minorHAnsi" w:hAnsiTheme="minorHAnsi" w:cstheme="minorHAnsi"/>
                <w:sz w:val="20"/>
                <w:szCs w:val="20"/>
              </w:rPr>
              <w:t>0</w:t>
            </w:r>
            <w:r w:rsidR="0095699D" w:rsidRPr="00956639">
              <w:rPr>
                <w:rFonts w:asciiTheme="minorHAnsi" w:hAnsiTheme="minorHAnsi" w:cstheme="minorHAnsi"/>
                <w:sz w:val="20"/>
                <w:szCs w:val="20"/>
              </w:rPr>
              <w:t xml:space="preserve"> mm d</w:t>
            </w:r>
            <w:r w:rsidR="0095699D" w:rsidRPr="00956639">
              <w:rPr>
                <w:rFonts w:asciiTheme="minorHAnsi" w:hAnsiTheme="minorHAnsi" w:cstheme="minorHAnsi"/>
                <w:sz w:val="20"/>
                <w:szCs w:val="20"/>
                <w:vertAlign w:val="superscript"/>
              </w:rPr>
              <w:t>-1</w:t>
            </w:r>
          </w:p>
        </w:tc>
        <w:tc>
          <w:tcPr>
            <w:tcW w:w="2126" w:type="dxa"/>
            <w:shd w:val="clear" w:color="auto" w:fill="E7F3F4"/>
            <w:vAlign w:val="center"/>
          </w:tcPr>
          <w:p w14:paraId="29D8410D" w14:textId="0617473B" w:rsidR="0095699D" w:rsidRPr="00E8361C" w:rsidRDefault="00E8361C" w:rsidP="009638AE">
            <w:pPr>
              <w:spacing w:before="0" w:after="0"/>
              <w:jc w:val="center"/>
              <w:rPr>
                <w:rFonts w:asciiTheme="minorHAnsi" w:hAnsiTheme="minorHAnsi" w:cstheme="minorHAnsi"/>
                <w:sz w:val="20"/>
                <w:szCs w:val="20"/>
              </w:rPr>
            </w:pPr>
            <w:r w:rsidRPr="00E8361C">
              <w:rPr>
                <w:rFonts w:asciiTheme="minorHAnsi" w:hAnsiTheme="minorHAnsi" w:cstheme="minorHAnsi"/>
                <w:sz w:val="20"/>
                <w:szCs w:val="20"/>
              </w:rPr>
              <w:t>4.4</w:t>
            </w:r>
            <w:r w:rsidR="0095699D" w:rsidRPr="00E8361C">
              <w:rPr>
                <w:rFonts w:asciiTheme="minorHAnsi" w:hAnsiTheme="minorHAnsi" w:cstheme="minorHAnsi"/>
                <w:sz w:val="20"/>
                <w:szCs w:val="20"/>
              </w:rPr>
              <w:t xml:space="preserve"> mm d</w:t>
            </w:r>
            <w:r w:rsidR="0095699D" w:rsidRPr="00E8361C">
              <w:rPr>
                <w:rFonts w:asciiTheme="minorHAnsi" w:hAnsiTheme="minorHAnsi" w:cstheme="minorHAnsi"/>
                <w:sz w:val="20"/>
                <w:szCs w:val="20"/>
                <w:vertAlign w:val="superscript"/>
              </w:rPr>
              <w:t>-1</w:t>
            </w:r>
          </w:p>
        </w:tc>
      </w:tr>
      <w:tr w:rsidR="0095699D" w:rsidRPr="00173CCC" w14:paraId="2BE3505A" w14:textId="77777777" w:rsidTr="00CA1552">
        <w:trPr>
          <w:trHeight w:val="227"/>
          <w:jc w:val="center"/>
        </w:trPr>
        <w:tc>
          <w:tcPr>
            <w:tcW w:w="4705" w:type="dxa"/>
            <w:shd w:val="clear" w:color="auto" w:fill="E7F3F4"/>
            <w:vAlign w:val="center"/>
          </w:tcPr>
          <w:p w14:paraId="223C7A60" w14:textId="6981AF0E" w:rsidR="0095699D" w:rsidRPr="00173CCC" w:rsidRDefault="0095699D" w:rsidP="009638AE">
            <w:pPr>
              <w:tabs>
                <w:tab w:val="left" w:pos="176"/>
              </w:tabs>
              <w:spacing w:before="0" w:after="0"/>
              <w:rPr>
                <w:rFonts w:asciiTheme="minorHAnsi" w:hAnsiTheme="minorHAnsi" w:cstheme="minorHAnsi"/>
                <w:sz w:val="20"/>
                <w:szCs w:val="20"/>
              </w:rPr>
            </w:pPr>
            <w:r w:rsidRPr="00173CCC">
              <w:rPr>
                <w:rFonts w:asciiTheme="minorHAnsi" w:hAnsiTheme="minorHAnsi" w:cstheme="minorHAnsi"/>
                <w:sz w:val="20"/>
                <w:szCs w:val="20"/>
              </w:rPr>
              <w:tab/>
              <w:t>Riverine discharge (19</w:t>
            </w:r>
            <w:r w:rsidR="00A30A14" w:rsidRPr="00173CCC">
              <w:rPr>
                <w:rFonts w:asciiTheme="minorHAnsi" w:hAnsiTheme="minorHAnsi" w:cstheme="minorHAnsi"/>
                <w:sz w:val="20"/>
                <w:szCs w:val="20"/>
              </w:rPr>
              <w:t>86</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201</w:t>
            </w:r>
            <w:r w:rsidR="00C97A63" w:rsidRPr="00173CCC">
              <w:rPr>
                <w:rFonts w:asciiTheme="minorHAnsi" w:hAnsiTheme="minorHAnsi" w:cstheme="minorHAnsi"/>
                <w:sz w:val="20"/>
                <w:szCs w:val="20"/>
              </w:rPr>
              <w:t>8</w:t>
            </w:r>
            <w:r w:rsidRPr="00173CCC">
              <w:rPr>
                <w:rFonts w:asciiTheme="minorHAnsi" w:hAnsiTheme="minorHAnsi" w:cstheme="minorHAnsi"/>
                <w:sz w:val="20"/>
                <w:szCs w:val="20"/>
              </w:rPr>
              <w:t>)</w:t>
            </w:r>
          </w:p>
        </w:tc>
        <w:tc>
          <w:tcPr>
            <w:tcW w:w="2037" w:type="dxa"/>
            <w:shd w:val="clear" w:color="auto" w:fill="E7F3F4"/>
            <w:vAlign w:val="center"/>
          </w:tcPr>
          <w:p w14:paraId="052F85F4" w14:textId="18D068CB" w:rsidR="0095699D" w:rsidRPr="00956639" w:rsidRDefault="003D6E26" w:rsidP="009638AE">
            <w:pPr>
              <w:spacing w:before="0" w:after="0"/>
              <w:jc w:val="center"/>
              <w:rPr>
                <w:rFonts w:asciiTheme="minorHAnsi" w:hAnsiTheme="minorHAnsi" w:cstheme="minorHAnsi"/>
                <w:sz w:val="20"/>
                <w:szCs w:val="20"/>
              </w:rPr>
            </w:pPr>
            <w:r>
              <w:rPr>
                <w:rFonts w:asciiTheme="minorHAnsi" w:hAnsiTheme="minorHAnsi" w:cstheme="minorHAnsi"/>
                <w:sz w:val="20"/>
                <w:szCs w:val="20"/>
              </w:rPr>
              <w:t>43,099,046</w:t>
            </w:r>
            <w:r w:rsidR="0095699D" w:rsidRPr="00956639">
              <w:rPr>
                <w:rFonts w:asciiTheme="minorHAnsi" w:hAnsiTheme="minorHAnsi" w:cstheme="minorHAnsi"/>
                <w:sz w:val="20"/>
                <w:szCs w:val="20"/>
              </w:rPr>
              <w:t xml:space="preserve"> </w:t>
            </w:r>
            <w:r w:rsidR="00F43947" w:rsidRPr="00956639">
              <w:rPr>
                <w:rFonts w:asciiTheme="minorHAnsi" w:hAnsiTheme="minorHAnsi" w:cstheme="minorHAnsi"/>
                <w:sz w:val="20"/>
                <w:szCs w:val="20"/>
              </w:rPr>
              <w:t>M</w:t>
            </w:r>
            <w:r w:rsidR="0095699D" w:rsidRPr="00956639">
              <w:rPr>
                <w:rFonts w:asciiTheme="minorHAnsi" w:hAnsiTheme="minorHAnsi" w:cstheme="minorHAnsi"/>
                <w:sz w:val="20"/>
                <w:szCs w:val="20"/>
              </w:rPr>
              <w:t>L yr</w:t>
            </w:r>
            <w:r w:rsidR="0095699D" w:rsidRPr="00956639">
              <w:rPr>
                <w:rFonts w:asciiTheme="minorHAnsi" w:hAnsiTheme="minorHAnsi" w:cstheme="minorHAnsi"/>
                <w:sz w:val="20"/>
                <w:szCs w:val="20"/>
                <w:vertAlign w:val="superscript"/>
              </w:rPr>
              <w:t>-1</w:t>
            </w:r>
          </w:p>
        </w:tc>
        <w:tc>
          <w:tcPr>
            <w:tcW w:w="2126" w:type="dxa"/>
            <w:shd w:val="clear" w:color="auto" w:fill="E7F3F4"/>
            <w:vAlign w:val="center"/>
          </w:tcPr>
          <w:p w14:paraId="0B328349" w14:textId="2837B26B" w:rsidR="0095699D" w:rsidRPr="00956639" w:rsidRDefault="003D6E26" w:rsidP="009638AE">
            <w:pPr>
              <w:spacing w:before="0" w:after="0"/>
              <w:jc w:val="center"/>
              <w:rPr>
                <w:rFonts w:asciiTheme="minorHAnsi" w:hAnsiTheme="minorHAnsi" w:cstheme="minorHAnsi"/>
                <w:sz w:val="20"/>
                <w:szCs w:val="20"/>
                <w:highlight w:val="yellow"/>
              </w:rPr>
            </w:pPr>
            <w:r w:rsidRPr="003D6E26">
              <w:rPr>
                <w:rFonts w:asciiTheme="minorHAnsi" w:hAnsiTheme="minorHAnsi" w:cstheme="minorHAnsi"/>
                <w:sz w:val="20"/>
                <w:szCs w:val="20"/>
              </w:rPr>
              <w:t>94,323,378</w:t>
            </w:r>
            <w:r w:rsidR="0095699D" w:rsidRPr="003D6E26">
              <w:rPr>
                <w:rFonts w:asciiTheme="minorHAnsi" w:hAnsiTheme="minorHAnsi" w:cstheme="minorHAnsi"/>
                <w:sz w:val="20"/>
                <w:szCs w:val="20"/>
              </w:rPr>
              <w:t xml:space="preserve"> </w:t>
            </w:r>
            <w:r w:rsidR="00F43947" w:rsidRPr="003D6E26">
              <w:rPr>
                <w:rFonts w:asciiTheme="minorHAnsi" w:hAnsiTheme="minorHAnsi" w:cstheme="minorHAnsi"/>
                <w:sz w:val="20"/>
                <w:szCs w:val="20"/>
              </w:rPr>
              <w:t>M</w:t>
            </w:r>
            <w:r w:rsidR="0095699D" w:rsidRPr="003D6E26">
              <w:rPr>
                <w:rFonts w:asciiTheme="minorHAnsi" w:hAnsiTheme="minorHAnsi" w:cstheme="minorHAnsi"/>
                <w:sz w:val="20"/>
                <w:szCs w:val="20"/>
              </w:rPr>
              <w:t>L yr</w:t>
            </w:r>
            <w:r w:rsidR="0095699D" w:rsidRPr="003D6E26">
              <w:rPr>
                <w:rFonts w:asciiTheme="minorHAnsi" w:hAnsiTheme="minorHAnsi" w:cstheme="minorHAnsi"/>
                <w:sz w:val="20"/>
                <w:szCs w:val="20"/>
                <w:vertAlign w:val="superscript"/>
              </w:rPr>
              <w:t>-1</w:t>
            </w:r>
          </w:p>
        </w:tc>
      </w:tr>
      <w:tr w:rsidR="0095699D" w:rsidRPr="00173CCC" w14:paraId="0A03D60C" w14:textId="77777777" w:rsidTr="00CA1552">
        <w:trPr>
          <w:trHeight w:val="227"/>
          <w:jc w:val="center"/>
        </w:trPr>
        <w:tc>
          <w:tcPr>
            <w:tcW w:w="4705" w:type="dxa"/>
            <w:tcBorders>
              <w:bottom w:val="nil"/>
            </w:tcBorders>
            <w:shd w:val="clear" w:color="auto" w:fill="E7F3F4"/>
            <w:vAlign w:val="center"/>
          </w:tcPr>
          <w:p w14:paraId="4A8E5573" w14:textId="4D0C6629" w:rsidR="0095699D" w:rsidRPr="00173CCC" w:rsidRDefault="0095699D" w:rsidP="009638AE">
            <w:pPr>
              <w:tabs>
                <w:tab w:val="left" w:pos="176"/>
              </w:tabs>
              <w:spacing w:before="0" w:after="0"/>
              <w:rPr>
                <w:rFonts w:asciiTheme="minorHAnsi" w:hAnsiTheme="minorHAnsi" w:cstheme="minorHAnsi"/>
                <w:sz w:val="20"/>
                <w:szCs w:val="20"/>
              </w:rPr>
            </w:pPr>
            <w:r w:rsidRPr="00173CCC">
              <w:rPr>
                <w:rFonts w:asciiTheme="minorHAnsi" w:hAnsiTheme="minorHAnsi" w:cstheme="minorHAnsi"/>
                <w:sz w:val="20"/>
                <w:szCs w:val="20"/>
              </w:rPr>
              <w:tab/>
              <w:t>Wet season turbid water exposure (2003</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201</w:t>
            </w:r>
            <w:r w:rsidR="00C97A63" w:rsidRPr="00173CCC">
              <w:rPr>
                <w:rFonts w:asciiTheme="minorHAnsi" w:hAnsiTheme="minorHAnsi" w:cstheme="minorHAnsi"/>
                <w:sz w:val="20"/>
                <w:szCs w:val="20"/>
              </w:rPr>
              <w:t>8</w:t>
            </w:r>
            <w:r w:rsidRPr="00173CCC">
              <w:rPr>
                <w:rFonts w:asciiTheme="minorHAnsi" w:hAnsiTheme="minorHAnsi" w:cstheme="minorHAnsi"/>
                <w:sz w:val="20"/>
                <w:szCs w:val="20"/>
              </w:rPr>
              <w:t>)</w:t>
            </w:r>
          </w:p>
        </w:tc>
        <w:tc>
          <w:tcPr>
            <w:tcW w:w="2037" w:type="dxa"/>
            <w:tcBorders>
              <w:bottom w:val="nil"/>
            </w:tcBorders>
            <w:shd w:val="clear" w:color="auto" w:fill="E7F3F4"/>
            <w:vAlign w:val="center"/>
          </w:tcPr>
          <w:p w14:paraId="517104ED" w14:textId="63E2C4EA" w:rsidR="0095699D" w:rsidRPr="00956639" w:rsidRDefault="0095699D" w:rsidP="00A751EF">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9</w:t>
            </w:r>
            <w:r w:rsidR="00222E55">
              <w:rPr>
                <w:rFonts w:asciiTheme="minorHAnsi" w:hAnsiTheme="minorHAnsi" w:cstheme="minorHAnsi"/>
                <w:sz w:val="20"/>
                <w:szCs w:val="20"/>
              </w:rPr>
              <w:t>2</w:t>
            </w:r>
            <w:r w:rsidR="00A751EF">
              <w:rPr>
                <w:rFonts w:asciiTheme="minorHAnsi" w:hAnsiTheme="minorHAnsi" w:cstheme="minorHAnsi"/>
                <w:sz w:val="20"/>
                <w:szCs w:val="20"/>
              </w:rPr>
              <w:t>%</w:t>
            </w:r>
          </w:p>
        </w:tc>
        <w:tc>
          <w:tcPr>
            <w:tcW w:w="2126" w:type="dxa"/>
            <w:tcBorders>
              <w:bottom w:val="nil"/>
            </w:tcBorders>
            <w:shd w:val="clear" w:color="auto" w:fill="E7F3F4"/>
            <w:vAlign w:val="center"/>
          </w:tcPr>
          <w:p w14:paraId="77D6E45E" w14:textId="3C495B28" w:rsidR="0095699D" w:rsidRPr="00956639" w:rsidRDefault="0095699D" w:rsidP="00A751EF">
            <w:pPr>
              <w:spacing w:before="0" w:after="0"/>
              <w:jc w:val="center"/>
              <w:rPr>
                <w:rFonts w:asciiTheme="minorHAnsi" w:hAnsiTheme="minorHAnsi" w:cstheme="minorHAnsi"/>
                <w:sz w:val="20"/>
                <w:szCs w:val="20"/>
                <w:highlight w:val="yellow"/>
              </w:rPr>
            </w:pPr>
            <w:r w:rsidRPr="00222E55">
              <w:rPr>
                <w:rFonts w:asciiTheme="minorHAnsi" w:hAnsiTheme="minorHAnsi" w:cstheme="minorHAnsi"/>
                <w:sz w:val="20"/>
                <w:szCs w:val="20"/>
              </w:rPr>
              <w:t>9</w:t>
            </w:r>
            <w:r w:rsidR="00222E55" w:rsidRPr="00222E55">
              <w:rPr>
                <w:rFonts w:asciiTheme="minorHAnsi" w:hAnsiTheme="minorHAnsi" w:cstheme="minorHAnsi"/>
                <w:sz w:val="20"/>
                <w:szCs w:val="20"/>
              </w:rPr>
              <w:t>4</w:t>
            </w:r>
            <w:r w:rsidR="00A751EF">
              <w:rPr>
                <w:rFonts w:asciiTheme="minorHAnsi" w:hAnsiTheme="minorHAnsi" w:cstheme="minorHAnsi"/>
                <w:sz w:val="20"/>
                <w:szCs w:val="20"/>
              </w:rPr>
              <w:t>%</w:t>
            </w:r>
          </w:p>
        </w:tc>
      </w:tr>
      <w:tr w:rsidR="0095699D" w:rsidRPr="00173CCC" w14:paraId="44CCDB40" w14:textId="77777777" w:rsidTr="00CA1552">
        <w:trPr>
          <w:trHeight w:val="227"/>
          <w:jc w:val="center"/>
        </w:trPr>
        <w:tc>
          <w:tcPr>
            <w:tcW w:w="4705" w:type="dxa"/>
            <w:tcBorders>
              <w:top w:val="single" w:sz="4" w:space="0" w:color="auto"/>
            </w:tcBorders>
            <w:shd w:val="clear" w:color="auto" w:fill="F3F9FA"/>
            <w:vAlign w:val="center"/>
          </w:tcPr>
          <w:p w14:paraId="5037536A" w14:textId="77777777" w:rsidR="0095699D" w:rsidRPr="00173CCC" w:rsidRDefault="0095699D" w:rsidP="009638AE">
            <w:pPr>
              <w:tabs>
                <w:tab w:val="left" w:pos="176"/>
                <w:tab w:val="left" w:pos="1127"/>
              </w:tabs>
              <w:spacing w:before="0" w:after="0"/>
              <w:rPr>
                <w:rFonts w:asciiTheme="minorHAnsi" w:hAnsiTheme="minorHAnsi" w:cstheme="minorHAnsi"/>
                <w:i/>
                <w:sz w:val="20"/>
                <w:szCs w:val="20"/>
              </w:rPr>
            </w:pPr>
            <w:r w:rsidRPr="00173CCC">
              <w:rPr>
                <w:rFonts w:asciiTheme="minorHAnsi" w:hAnsiTheme="minorHAnsi" w:cstheme="minorHAnsi"/>
                <w:i/>
                <w:sz w:val="20"/>
                <w:szCs w:val="20"/>
              </w:rPr>
              <w:t>Within seagrass canopy</w:t>
            </w:r>
          </w:p>
        </w:tc>
        <w:tc>
          <w:tcPr>
            <w:tcW w:w="2037" w:type="dxa"/>
            <w:tcBorders>
              <w:top w:val="single" w:sz="4" w:space="0" w:color="auto"/>
            </w:tcBorders>
            <w:shd w:val="clear" w:color="auto" w:fill="F3F9FA"/>
            <w:vAlign w:val="center"/>
          </w:tcPr>
          <w:p w14:paraId="7587E72A" w14:textId="77777777" w:rsidR="0095699D" w:rsidRPr="00956639" w:rsidRDefault="0095699D" w:rsidP="009638AE">
            <w:pPr>
              <w:spacing w:before="0" w:after="0"/>
              <w:jc w:val="center"/>
              <w:rPr>
                <w:rFonts w:asciiTheme="minorHAnsi" w:hAnsiTheme="minorHAnsi" w:cstheme="minorHAnsi"/>
                <w:sz w:val="20"/>
                <w:szCs w:val="20"/>
              </w:rPr>
            </w:pPr>
          </w:p>
        </w:tc>
        <w:tc>
          <w:tcPr>
            <w:tcW w:w="2126" w:type="dxa"/>
            <w:tcBorders>
              <w:top w:val="single" w:sz="4" w:space="0" w:color="auto"/>
            </w:tcBorders>
            <w:shd w:val="clear" w:color="auto" w:fill="F3F9FA"/>
            <w:vAlign w:val="center"/>
          </w:tcPr>
          <w:p w14:paraId="79BC3868" w14:textId="77777777" w:rsidR="0095699D" w:rsidRPr="00173CCC" w:rsidRDefault="0095699D" w:rsidP="009638AE">
            <w:pPr>
              <w:spacing w:before="0" w:after="0"/>
              <w:jc w:val="center"/>
              <w:rPr>
                <w:rFonts w:asciiTheme="minorHAnsi" w:hAnsiTheme="minorHAnsi" w:cstheme="minorHAnsi"/>
                <w:sz w:val="20"/>
                <w:szCs w:val="20"/>
              </w:rPr>
            </w:pPr>
          </w:p>
        </w:tc>
      </w:tr>
      <w:tr w:rsidR="0095699D" w:rsidRPr="00173CCC" w14:paraId="271D1264" w14:textId="77777777" w:rsidTr="00CA1552">
        <w:trPr>
          <w:trHeight w:val="227"/>
          <w:jc w:val="center"/>
        </w:trPr>
        <w:tc>
          <w:tcPr>
            <w:tcW w:w="4705" w:type="dxa"/>
            <w:shd w:val="clear" w:color="auto" w:fill="F3F9FA"/>
            <w:vAlign w:val="center"/>
          </w:tcPr>
          <w:p w14:paraId="02040EA1" w14:textId="3E44A6C9" w:rsidR="0095699D" w:rsidRPr="00173CCC" w:rsidRDefault="0095699D" w:rsidP="009638AE">
            <w:pPr>
              <w:tabs>
                <w:tab w:val="left" w:pos="176"/>
                <w:tab w:val="left" w:pos="1127"/>
              </w:tabs>
              <w:spacing w:before="0" w:after="0"/>
              <w:rPr>
                <w:rFonts w:asciiTheme="minorHAnsi" w:hAnsiTheme="minorHAnsi" w:cstheme="minorHAnsi"/>
                <w:sz w:val="20"/>
                <w:szCs w:val="20"/>
              </w:rPr>
            </w:pPr>
            <w:r w:rsidRPr="00173CCC">
              <w:rPr>
                <w:rFonts w:asciiTheme="minorHAnsi" w:hAnsiTheme="minorHAnsi" w:cstheme="minorHAnsi"/>
                <w:sz w:val="20"/>
                <w:szCs w:val="20"/>
              </w:rPr>
              <w:tab/>
              <w:t>Within canopy temperature (±)</w:t>
            </w:r>
            <w:r w:rsidR="00CA1552" w:rsidRPr="00173CCC">
              <w:rPr>
                <w:rFonts w:asciiTheme="minorHAnsi" w:hAnsiTheme="minorHAnsi" w:cstheme="minorHAnsi"/>
                <w:sz w:val="20"/>
                <w:szCs w:val="20"/>
              </w:rPr>
              <w:t xml:space="preserve"> (max)</w:t>
            </w:r>
            <w:r w:rsidRPr="00173CCC">
              <w:rPr>
                <w:rFonts w:asciiTheme="minorHAnsi" w:hAnsiTheme="minorHAnsi" w:cstheme="minorHAnsi"/>
                <w:sz w:val="20"/>
                <w:szCs w:val="20"/>
              </w:rPr>
              <w:t xml:space="preserve"> (2003</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201</w:t>
            </w:r>
            <w:r w:rsidR="00AF69A8" w:rsidRPr="00173CCC">
              <w:rPr>
                <w:rFonts w:asciiTheme="minorHAnsi" w:hAnsiTheme="minorHAnsi" w:cstheme="minorHAnsi"/>
                <w:sz w:val="20"/>
                <w:szCs w:val="20"/>
              </w:rPr>
              <w:t>8</w:t>
            </w:r>
            <w:r w:rsidRPr="00173CCC">
              <w:rPr>
                <w:rFonts w:asciiTheme="minorHAnsi" w:hAnsiTheme="minorHAnsi" w:cstheme="minorHAnsi"/>
                <w:sz w:val="20"/>
                <w:szCs w:val="20"/>
              </w:rPr>
              <w:t>)*</w:t>
            </w:r>
          </w:p>
        </w:tc>
        <w:tc>
          <w:tcPr>
            <w:tcW w:w="2037" w:type="dxa"/>
            <w:shd w:val="clear" w:color="auto" w:fill="F3F9FA"/>
            <w:vAlign w:val="center"/>
          </w:tcPr>
          <w:p w14:paraId="70B1EAEF" w14:textId="1D51407E" w:rsidR="0095699D" w:rsidRPr="00956639" w:rsidRDefault="0095699D" w:rsidP="009638AE">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2</w:t>
            </w:r>
            <w:r w:rsidR="004B4DBE" w:rsidRPr="00956639">
              <w:rPr>
                <w:rFonts w:asciiTheme="minorHAnsi" w:hAnsiTheme="minorHAnsi" w:cstheme="minorHAnsi"/>
                <w:sz w:val="20"/>
                <w:szCs w:val="20"/>
              </w:rPr>
              <w:t>5.</w:t>
            </w:r>
            <w:r w:rsidR="00956639">
              <w:rPr>
                <w:rFonts w:asciiTheme="minorHAnsi" w:hAnsiTheme="minorHAnsi" w:cstheme="minorHAnsi"/>
                <w:sz w:val="20"/>
                <w:szCs w:val="20"/>
              </w:rPr>
              <w:t>7</w:t>
            </w:r>
            <w:r w:rsidRPr="00956639">
              <w:rPr>
                <w:rFonts w:asciiTheme="minorHAnsi" w:hAnsiTheme="minorHAnsi" w:cstheme="minorHAnsi"/>
                <w:sz w:val="20"/>
                <w:szCs w:val="20"/>
              </w:rPr>
              <w:t xml:space="preserve"> ±0.1°C (46.6°C)</w:t>
            </w:r>
          </w:p>
        </w:tc>
        <w:tc>
          <w:tcPr>
            <w:tcW w:w="2126" w:type="dxa"/>
            <w:shd w:val="clear" w:color="auto" w:fill="F3F9FA"/>
            <w:vAlign w:val="center"/>
          </w:tcPr>
          <w:p w14:paraId="748ED8B8" w14:textId="3148D389" w:rsidR="0095699D" w:rsidRPr="00956639" w:rsidRDefault="005C1908" w:rsidP="009638AE">
            <w:pPr>
              <w:spacing w:before="0" w:after="0"/>
              <w:jc w:val="center"/>
              <w:rPr>
                <w:rFonts w:asciiTheme="minorHAnsi" w:hAnsiTheme="minorHAnsi" w:cstheme="minorHAnsi"/>
                <w:sz w:val="20"/>
                <w:szCs w:val="20"/>
                <w:highlight w:val="yellow"/>
              </w:rPr>
            </w:pPr>
            <w:r w:rsidRPr="005C1908">
              <w:rPr>
                <w:rFonts w:asciiTheme="minorHAnsi" w:hAnsiTheme="minorHAnsi" w:cstheme="minorHAnsi"/>
                <w:sz w:val="20"/>
                <w:szCs w:val="20"/>
              </w:rPr>
              <w:t>25.7 ±0.1</w:t>
            </w:r>
            <w:r w:rsidR="0095699D" w:rsidRPr="005C1908">
              <w:rPr>
                <w:rFonts w:asciiTheme="minorHAnsi" w:hAnsiTheme="minorHAnsi" w:cstheme="minorHAnsi"/>
                <w:sz w:val="20"/>
                <w:szCs w:val="20"/>
              </w:rPr>
              <w:t>°C (4</w:t>
            </w:r>
            <w:r w:rsidRPr="005C1908">
              <w:rPr>
                <w:rFonts w:asciiTheme="minorHAnsi" w:hAnsiTheme="minorHAnsi" w:cstheme="minorHAnsi"/>
                <w:sz w:val="20"/>
                <w:szCs w:val="20"/>
              </w:rPr>
              <w:t>1.1</w:t>
            </w:r>
            <w:r w:rsidR="0095699D" w:rsidRPr="005C1908">
              <w:rPr>
                <w:rFonts w:asciiTheme="minorHAnsi" w:hAnsiTheme="minorHAnsi" w:cstheme="minorHAnsi"/>
                <w:sz w:val="20"/>
                <w:szCs w:val="20"/>
              </w:rPr>
              <w:t>°C)</w:t>
            </w:r>
          </w:p>
        </w:tc>
      </w:tr>
      <w:tr w:rsidR="0095699D" w:rsidRPr="00173CCC" w14:paraId="52DAE9DC" w14:textId="77777777" w:rsidTr="00CA1552">
        <w:trPr>
          <w:trHeight w:val="227"/>
          <w:jc w:val="center"/>
        </w:trPr>
        <w:tc>
          <w:tcPr>
            <w:tcW w:w="4705" w:type="dxa"/>
            <w:shd w:val="clear" w:color="auto" w:fill="F3F9FA"/>
            <w:vAlign w:val="center"/>
          </w:tcPr>
          <w:p w14:paraId="54550BD3" w14:textId="18A485B2" w:rsidR="0095699D" w:rsidRPr="00173CCC" w:rsidRDefault="0095699D" w:rsidP="009638AE">
            <w:pPr>
              <w:tabs>
                <w:tab w:val="left" w:pos="176"/>
                <w:tab w:val="left" w:pos="1127"/>
              </w:tabs>
              <w:spacing w:before="0" w:after="0"/>
              <w:rPr>
                <w:rFonts w:asciiTheme="minorHAnsi" w:hAnsiTheme="minorHAnsi" w:cstheme="minorHAnsi"/>
                <w:sz w:val="20"/>
                <w:szCs w:val="20"/>
              </w:rPr>
            </w:pPr>
            <w:r w:rsidRPr="00173CCC">
              <w:rPr>
                <w:rFonts w:asciiTheme="minorHAnsi" w:hAnsiTheme="minorHAnsi" w:cstheme="minorHAnsi"/>
                <w:sz w:val="20"/>
                <w:szCs w:val="20"/>
              </w:rPr>
              <w:tab/>
              <w:t>Within canopy light (2008</w:t>
            </w:r>
            <w:r w:rsidR="00F206BF" w:rsidRPr="00173CCC">
              <w:rPr>
                <w:rFonts w:asciiTheme="minorHAnsi" w:hAnsiTheme="minorHAnsi" w:cstheme="minorHAnsi"/>
                <w:sz w:val="20"/>
                <w:szCs w:val="20"/>
              </w:rPr>
              <w:t>–</w:t>
            </w:r>
            <w:r w:rsidRPr="00173CCC">
              <w:rPr>
                <w:rFonts w:asciiTheme="minorHAnsi" w:hAnsiTheme="minorHAnsi" w:cstheme="minorHAnsi"/>
                <w:sz w:val="20"/>
                <w:szCs w:val="20"/>
              </w:rPr>
              <w:t>2018)</w:t>
            </w:r>
            <w:r w:rsidR="00E81C37" w:rsidRPr="00173CCC">
              <w:rPr>
                <w:rFonts w:asciiTheme="minorHAnsi" w:hAnsiTheme="minorHAnsi" w:cstheme="minorHAnsi"/>
                <w:sz w:val="20"/>
                <w:szCs w:val="20"/>
              </w:rPr>
              <w:t xml:space="preserve"> annual average</w:t>
            </w:r>
          </w:p>
          <w:p w14:paraId="2157506F" w14:textId="4A223870" w:rsidR="00D7472F" w:rsidRPr="00173CCC" w:rsidRDefault="006875E3" w:rsidP="009638AE">
            <w:pPr>
              <w:tabs>
                <w:tab w:val="left" w:pos="176"/>
                <w:tab w:val="left" w:pos="1127"/>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00D7472F" w:rsidRPr="00173CCC">
              <w:rPr>
                <w:rFonts w:asciiTheme="minorHAnsi" w:hAnsiTheme="minorHAnsi" w:cstheme="minorHAnsi"/>
                <w:sz w:val="20"/>
                <w:szCs w:val="20"/>
              </w:rPr>
              <w:t>(min</w:t>
            </w:r>
            <w:r w:rsidR="00A838CF" w:rsidRPr="00173CCC">
              <w:rPr>
                <w:rFonts w:asciiTheme="minorHAnsi" w:hAnsiTheme="minorHAnsi" w:cstheme="minorHAnsi"/>
                <w:sz w:val="20"/>
                <w:szCs w:val="20"/>
              </w:rPr>
              <w:t xml:space="preserve"> site</w:t>
            </w:r>
            <w:r w:rsidR="00272A6F" w:rsidRPr="00173CCC">
              <w:rPr>
                <w:rFonts w:asciiTheme="minorHAnsi" w:hAnsiTheme="minorHAnsi" w:cstheme="minorHAnsi"/>
                <w:sz w:val="20"/>
                <w:szCs w:val="20"/>
              </w:rPr>
              <w:t>–</w:t>
            </w:r>
            <w:r w:rsidR="00D7472F" w:rsidRPr="00173CCC">
              <w:rPr>
                <w:rFonts w:asciiTheme="minorHAnsi" w:hAnsiTheme="minorHAnsi" w:cstheme="minorHAnsi"/>
                <w:sz w:val="20"/>
                <w:szCs w:val="20"/>
              </w:rPr>
              <w:t>max</w:t>
            </w:r>
            <w:r w:rsidR="00A838CF" w:rsidRPr="00173CCC">
              <w:rPr>
                <w:rFonts w:asciiTheme="minorHAnsi" w:hAnsiTheme="minorHAnsi" w:cstheme="minorHAnsi"/>
                <w:sz w:val="20"/>
                <w:szCs w:val="20"/>
              </w:rPr>
              <w:t xml:space="preserve"> site</w:t>
            </w:r>
            <w:r w:rsidR="00D7472F" w:rsidRPr="00173CCC">
              <w:rPr>
                <w:rFonts w:asciiTheme="minorHAnsi" w:hAnsiTheme="minorHAnsi" w:cstheme="minorHAnsi"/>
                <w:sz w:val="20"/>
                <w:szCs w:val="20"/>
              </w:rPr>
              <w:t>)</w:t>
            </w:r>
          </w:p>
        </w:tc>
        <w:tc>
          <w:tcPr>
            <w:tcW w:w="2037" w:type="dxa"/>
            <w:shd w:val="clear" w:color="auto" w:fill="F3F9FA"/>
            <w:vAlign w:val="center"/>
          </w:tcPr>
          <w:p w14:paraId="6B821624" w14:textId="3697C1A0" w:rsidR="0095699D" w:rsidRPr="00956639" w:rsidRDefault="0095699D" w:rsidP="009638AE">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12.</w:t>
            </w:r>
            <w:r w:rsidR="00612930">
              <w:rPr>
                <w:rFonts w:asciiTheme="minorHAnsi" w:hAnsiTheme="minorHAnsi" w:cstheme="minorHAnsi"/>
                <w:sz w:val="20"/>
                <w:szCs w:val="20"/>
              </w:rPr>
              <w:t>4</w:t>
            </w:r>
            <w:r w:rsidRPr="00956639">
              <w:rPr>
                <w:rFonts w:asciiTheme="minorHAnsi" w:hAnsiTheme="minorHAnsi" w:cstheme="minorHAnsi"/>
                <w:sz w:val="20"/>
                <w:szCs w:val="20"/>
              </w:rPr>
              <w:t xml:space="preserve"> mol m</w:t>
            </w:r>
            <w:r w:rsidRPr="00956639">
              <w:rPr>
                <w:rFonts w:asciiTheme="minorHAnsi" w:hAnsiTheme="minorHAnsi" w:cstheme="minorHAnsi"/>
                <w:sz w:val="20"/>
                <w:szCs w:val="20"/>
                <w:vertAlign w:val="superscript"/>
              </w:rPr>
              <w:t>-2</w:t>
            </w:r>
            <w:r w:rsidRPr="00956639">
              <w:rPr>
                <w:rFonts w:asciiTheme="minorHAnsi" w:hAnsiTheme="minorHAnsi" w:cstheme="minorHAnsi"/>
                <w:sz w:val="20"/>
                <w:szCs w:val="20"/>
              </w:rPr>
              <w:t xml:space="preserve"> d</w:t>
            </w:r>
            <w:r w:rsidRPr="00956639">
              <w:rPr>
                <w:rFonts w:asciiTheme="minorHAnsi" w:hAnsiTheme="minorHAnsi" w:cstheme="minorHAnsi"/>
                <w:sz w:val="20"/>
                <w:szCs w:val="20"/>
                <w:vertAlign w:val="superscript"/>
              </w:rPr>
              <w:t>-1</w:t>
            </w:r>
          </w:p>
          <w:p w14:paraId="2DB57E74" w14:textId="40FBAC88" w:rsidR="00D7472F" w:rsidRPr="00956639" w:rsidRDefault="00D7472F" w:rsidP="009638AE">
            <w:pPr>
              <w:spacing w:before="0" w:after="0"/>
              <w:jc w:val="center"/>
              <w:rPr>
                <w:rFonts w:asciiTheme="minorHAnsi" w:hAnsiTheme="minorHAnsi" w:cstheme="minorHAnsi"/>
                <w:sz w:val="20"/>
                <w:szCs w:val="20"/>
              </w:rPr>
            </w:pPr>
            <w:r w:rsidRPr="00956639">
              <w:rPr>
                <w:rFonts w:asciiTheme="minorHAnsi" w:hAnsiTheme="minorHAnsi" w:cstheme="minorHAnsi"/>
                <w:sz w:val="20"/>
                <w:szCs w:val="20"/>
              </w:rPr>
              <w:t>(</w:t>
            </w:r>
            <w:r w:rsidR="00E8361C">
              <w:rPr>
                <w:rFonts w:asciiTheme="minorHAnsi" w:hAnsiTheme="minorHAnsi" w:cstheme="minorHAnsi"/>
                <w:sz w:val="20"/>
                <w:szCs w:val="20"/>
              </w:rPr>
              <w:t>2.6</w:t>
            </w:r>
            <w:r w:rsidRPr="00956639">
              <w:rPr>
                <w:rFonts w:asciiTheme="minorHAnsi" w:hAnsiTheme="minorHAnsi" w:cstheme="minorHAnsi"/>
                <w:sz w:val="20"/>
                <w:szCs w:val="20"/>
              </w:rPr>
              <w:t>–</w:t>
            </w:r>
            <w:r w:rsidR="00E8361C">
              <w:rPr>
                <w:rFonts w:asciiTheme="minorHAnsi" w:hAnsiTheme="minorHAnsi" w:cstheme="minorHAnsi"/>
                <w:sz w:val="20"/>
                <w:szCs w:val="20"/>
              </w:rPr>
              <w:t>20.5</w:t>
            </w:r>
            <w:r w:rsidRPr="00956639">
              <w:rPr>
                <w:rFonts w:asciiTheme="minorHAnsi" w:hAnsiTheme="minorHAnsi" w:cstheme="minorHAnsi"/>
                <w:sz w:val="20"/>
                <w:szCs w:val="20"/>
              </w:rPr>
              <w:t xml:space="preserve"> mol m</w:t>
            </w:r>
            <w:r w:rsidRPr="00956639">
              <w:rPr>
                <w:rFonts w:asciiTheme="minorHAnsi" w:hAnsiTheme="minorHAnsi" w:cstheme="minorHAnsi"/>
                <w:sz w:val="20"/>
                <w:szCs w:val="20"/>
                <w:vertAlign w:val="superscript"/>
              </w:rPr>
              <w:t>-2</w:t>
            </w:r>
            <w:r w:rsidRPr="00956639">
              <w:rPr>
                <w:rFonts w:asciiTheme="minorHAnsi" w:hAnsiTheme="minorHAnsi" w:cstheme="minorHAnsi"/>
                <w:sz w:val="20"/>
                <w:szCs w:val="20"/>
              </w:rPr>
              <w:t xml:space="preserve"> d</w:t>
            </w:r>
            <w:r w:rsidRPr="00956639">
              <w:rPr>
                <w:rFonts w:asciiTheme="minorHAnsi" w:hAnsiTheme="minorHAnsi" w:cstheme="minorHAnsi"/>
                <w:sz w:val="20"/>
                <w:szCs w:val="20"/>
                <w:vertAlign w:val="superscript"/>
              </w:rPr>
              <w:t>-1</w:t>
            </w:r>
            <w:r w:rsidRPr="00956639">
              <w:rPr>
                <w:rFonts w:asciiTheme="minorHAnsi" w:hAnsiTheme="minorHAnsi" w:cstheme="minorHAnsi"/>
                <w:sz w:val="20"/>
                <w:szCs w:val="20"/>
              </w:rPr>
              <w:t>)</w:t>
            </w:r>
          </w:p>
        </w:tc>
        <w:tc>
          <w:tcPr>
            <w:tcW w:w="2126" w:type="dxa"/>
            <w:shd w:val="clear" w:color="auto" w:fill="F3F9FA"/>
            <w:vAlign w:val="center"/>
          </w:tcPr>
          <w:p w14:paraId="3FE75E90" w14:textId="462C175C" w:rsidR="006B3C24" w:rsidRPr="00612930" w:rsidRDefault="00612930" w:rsidP="009638AE">
            <w:pPr>
              <w:spacing w:before="0" w:after="0"/>
              <w:jc w:val="center"/>
              <w:rPr>
                <w:rFonts w:asciiTheme="minorHAnsi" w:hAnsiTheme="minorHAnsi" w:cstheme="minorHAnsi"/>
                <w:sz w:val="20"/>
                <w:szCs w:val="20"/>
              </w:rPr>
            </w:pPr>
            <w:r w:rsidRPr="00612930">
              <w:rPr>
                <w:rFonts w:asciiTheme="minorHAnsi" w:hAnsiTheme="minorHAnsi" w:cstheme="minorHAnsi"/>
                <w:sz w:val="20"/>
                <w:szCs w:val="20"/>
              </w:rPr>
              <w:t>12.0</w:t>
            </w:r>
            <w:r w:rsidR="0095699D" w:rsidRPr="00612930">
              <w:rPr>
                <w:rFonts w:asciiTheme="minorHAnsi" w:hAnsiTheme="minorHAnsi" w:cstheme="minorHAnsi"/>
                <w:sz w:val="20"/>
                <w:szCs w:val="20"/>
              </w:rPr>
              <w:t xml:space="preserve"> mol m</w:t>
            </w:r>
            <w:r w:rsidR="0095699D" w:rsidRPr="00612930">
              <w:rPr>
                <w:rFonts w:asciiTheme="minorHAnsi" w:hAnsiTheme="minorHAnsi" w:cstheme="minorHAnsi"/>
                <w:sz w:val="20"/>
                <w:szCs w:val="20"/>
                <w:vertAlign w:val="superscript"/>
              </w:rPr>
              <w:t>-2</w:t>
            </w:r>
            <w:r w:rsidR="0095699D" w:rsidRPr="00612930">
              <w:rPr>
                <w:rFonts w:asciiTheme="minorHAnsi" w:hAnsiTheme="minorHAnsi" w:cstheme="minorHAnsi"/>
                <w:sz w:val="20"/>
                <w:szCs w:val="20"/>
              </w:rPr>
              <w:t xml:space="preserve"> d</w:t>
            </w:r>
            <w:r w:rsidR="0095699D" w:rsidRPr="00612930">
              <w:rPr>
                <w:rFonts w:asciiTheme="minorHAnsi" w:hAnsiTheme="minorHAnsi" w:cstheme="minorHAnsi"/>
                <w:sz w:val="20"/>
                <w:szCs w:val="20"/>
                <w:vertAlign w:val="superscript"/>
              </w:rPr>
              <w:t>-1</w:t>
            </w:r>
            <w:r w:rsidR="006B3C24" w:rsidRPr="00612930">
              <w:rPr>
                <w:rFonts w:asciiTheme="minorHAnsi" w:hAnsiTheme="minorHAnsi" w:cstheme="minorHAnsi"/>
                <w:sz w:val="20"/>
                <w:szCs w:val="20"/>
              </w:rPr>
              <w:t xml:space="preserve"> </w:t>
            </w:r>
          </w:p>
          <w:p w14:paraId="26C0F099" w14:textId="1EA3F8FE" w:rsidR="0095699D" w:rsidRPr="00956639" w:rsidRDefault="006B3C24" w:rsidP="009638AE">
            <w:pPr>
              <w:spacing w:before="0" w:after="0"/>
              <w:jc w:val="center"/>
              <w:rPr>
                <w:rFonts w:asciiTheme="minorHAnsi" w:hAnsiTheme="minorHAnsi" w:cstheme="minorHAnsi"/>
                <w:sz w:val="20"/>
                <w:szCs w:val="20"/>
                <w:highlight w:val="yellow"/>
              </w:rPr>
            </w:pPr>
            <w:r w:rsidRPr="00E8361C">
              <w:rPr>
                <w:rFonts w:asciiTheme="minorHAnsi" w:hAnsiTheme="minorHAnsi" w:cstheme="minorHAnsi"/>
                <w:sz w:val="20"/>
                <w:szCs w:val="20"/>
              </w:rPr>
              <w:t>(</w:t>
            </w:r>
            <w:r w:rsidR="00612930" w:rsidRPr="00E8361C">
              <w:rPr>
                <w:rFonts w:asciiTheme="minorHAnsi" w:hAnsiTheme="minorHAnsi" w:cstheme="minorHAnsi"/>
                <w:sz w:val="20"/>
                <w:szCs w:val="20"/>
              </w:rPr>
              <w:t>3.5</w:t>
            </w:r>
            <w:r w:rsidRPr="00E8361C">
              <w:rPr>
                <w:rFonts w:asciiTheme="minorHAnsi" w:hAnsiTheme="minorHAnsi" w:cstheme="minorHAnsi"/>
                <w:sz w:val="20"/>
                <w:szCs w:val="20"/>
              </w:rPr>
              <w:t>–2</w:t>
            </w:r>
            <w:r w:rsidR="00E8361C" w:rsidRPr="00E8361C">
              <w:rPr>
                <w:rFonts w:asciiTheme="minorHAnsi" w:hAnsiTheme="minorHAnsi" w:cstheme="minorHAnsi"/>
                <w:sz w:val="20"/>
                <w:szCs w:val="20"/>
              </w:rPr>
              <w:t>2</w:t>
            </w:r>
            <w:r w:rsidRPr="00E8361C">
              <w:rPr>
                <w:rFonts w:asciiTheme="minorHAnsi" w:hAnsiTheme="minorHAnsi" w:cstheme="minorHAnsi"/>
                <w:sz w:val="20"/>
                <w:szCs w:val="20"/>
              </w:rPr>
              <w:t>.</w:t>
            </w:r>
            <w:r w:rsidR="00E8361C" w:rsidRPr="00E8361C">
              <w:rPr>
                <w:rFonts w:asciiTheme="minorHAnsi" w:hAnsiTheme="minorHAnsi" w:cstheme="minorHAnsi"/>
                <w:sz w:val="20"/>
                <w:szCs w:val="20"/>
              </w:rPr>
              <w:t>1</w:t>
            </w:r>
            <w:r w:rsidRPr="00E8361C">
              <w:rPr>
                <w:rFonts w:asciiTheme="minorHAnsi" w:hAnsiTheme="minorHAnsi" w:cstheme="minorHAnsi"/>
                <w:sz w:val="20"/>
                <w:szCs w:val="20"/>
              </w:rPr>
              <w:t xml:space="preserve"> mol m</w:t>
            </w:r>
            <w:r w:rsidRPr="00E8361C">
              <w:rPr>
                <w:rFonts w:asciiTheme="minorHAnsi" w:hAnsiTheme="minorHAnsi" w:cstheme="minorHAnsi"/>
                <w:sz w:val="20"/>
                <w:szCs w:val="20"/>
                <w:vertAlign w:val="superscript"/>
              </w:rPr>
              <w:t>-2</w:t>
            </w:r>
            <w:r w:rsidRPr="00E8361C">
              <w:rPr>
                <w:rFonts w:asciiTheme="minorHAnsi" w:hAnsiTheme="minorHAnsi" w:cstheme="minorHAnsi"/>
                <w:sz w:val="20"/>
                <w:szCs w:val="20"/>
              </w:rPr>
              <w:t xml:space="preserve"> d</w:t>
            </w:r>
            <w:r w:rsidRPr="00E8361C">
              <w:rPr>
                <w:rFonts w:asciiTheme="minorHAnsi" w:hAnsiTheme="minorHAnsi" w:cstheme="minorHAnsi"/>
                <w:sz w:val="20"/>
                <w:szCs w:val="20"/>
                <w:vertAlign w:val="superscript"/>
              </w:rPr>
              <w:t>-1</w:t>
            </w:r>
            <w:r w:rsidRPr="00E8361C">
              <w:rPr>
                <w:rFonts w:asciiTheme="minorHAnsi" w:hAnsiTheme="minorHAnsi" w:cstheme="minorHAnsi"/>
                <w:sz w:val="20"/>
                <w:szCs w:val="20"/>
              </w:rPr>
              <w:t>)</w:t>
            </w:r>
          </w:p>
        </w:tc>
      </w:tr>
      <w:tr w:rsidR="00956639" w:rsidRPr="00173CCC" w14:paraId="79BB3B38" w14:textId="77777777" w:rsidTr="00CA1552">
        <w:trPr>
          <w:trHeight w:val="227"/>
          <w:jc w:val="center"/>
        </w:trPr>
        <w:tc>
          <w:tcPr>
            <w:tcW w:w="4705" w:type="dxa"/>
            <w:shd w:val="clear" w:color="auto" w:fill="F3F9FA"/>
            <w:vAlign w:val="center"/>
          </w:tcPr>
          <w:p w14:paraId="012FD2C1" w14:textId="77777777"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t>Proportion mud</w:t>
            </w:r>
          </w:p>
          <w:p w14:paraId="334A7351" w14:textId="12FD1E72"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Pr="00173CCC">
              <w:rPr>
                <w:rFonts w:asciiTheme="minorHAnsi" w:hAnsiTheme="minorHAnsi" w:cstheme="minorHAnsi"/>
                <w:i/>
                <w:sz w:val="20"/>
                <w:szCs w:val="20"/>
              </w:rPr>
              <w:t>estuary intertidal</w:t>
            </w:r>
            <w:r w:rsidRPr="00173CCC">
              <w:rPr>
                <w:rFonts w:asciiTheme="minorHAnsi" w:hAnsiTheme="minorHAnsi" w:cstheme="minorHAnsi"/>
                <w:sz w:val="20"/>
                <w:szCs w:val="20"/>
              </w:rPr>
              <w:t xml:space="preserve"> (1999–2018)</w:t>
            </w:r>
          </w:p>
          <w:p w14:paraId="4A36AE76" w14:textId="0E962951"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Pr="00173CCC">
              <w:rPr>
                <w:rFonts w:asciiTheme="minorHAnsi" w:hAnsiTheme="minorHAnsi" w:cstheme="minorHAnsi"/>
                <w:i/>
                <w:sz w:val="20"/>
                <w:szCs w:val="20"/>
              </w:rPr>
              <w:t>coast intertidal</w:t>
            </w:r>
            <w:r w:rsidRPr="00173CCC">
              <w:rPr>
                <w:rFonts w:asciiTheme="minorHAnsi" w:hAnsiTheme="minorHAnsi" w:cstheme="minorHAnsi"/>
                <w:sz w:val="20"/>
                <w:szCs w:val="20"/>
              </w:rPr>
              <w:t xml:space="preserve"> (1999–2018)</w:t>
            </w:r>
          </w:p>
          <w:p w14:paraId="2ECFBC03" w14:textId="0C468605"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Pr="00173CCC">
              <w:rPr>
                <w:rFonts w:asciiTheme="minorHAnsi" w:hAnsiTheme="minorHAnsi" w:cstheme="minorHAnsi"/>
                <w:i/>
                <w:sz w:val="20"/>
                <w:szCs w:val="20"/>
              </w:rPr>
              <w:t>coast subtidal</w:t>
            </w:r>
            <w:r w:rsidRPr="00173CCC">
              <w:rPr>
                <w:rFonts w:asciiTheme="minorHAnsi" w:hAnsiTheme="minorHAnsi" w:cstheme="minorHAnsi"/>
                <w:sz w:val="20"/>
                <w:szCs w:val="20"/>
              </w:rPr>
              <w:t xml:space="preserve"> (2015–2018)</w:t>
            </w:r>
          </w:p>
          <w:p w14:paraId="726C7C14" w14:textId="1FACE5A4"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Pr="00173CCC">
              <w:rPr>
                <w:rFonts w:asciiTheme="minorHAnsi" w:hAnsiTheme="minorHAnsi" w:cstheme="minorHAnsi"/>
                <w:i/>
                <w:sz w:val="20"/>
                <w:szCs w:val="20"/>
              </w:rPr>
              <w:t>reef intertidal</w:t>
            </w:r>
            <w:r w:rsidRPr="00173CCC">
              <w:rPr>
                <w:rFonts w:asciiTheme="minorHAnsi" w:hAnsiTheme="minorHAnsi" w:cstheme="minorHAnsi"/>
                <w:sz w:val="20"/>
                <w:szCs w:val="20"/>
              </w:rPr>
              <w:t xml:space="preserve"> (2001–2018)</w:t>
            </w:r>
          </w:p>
          <w:p w14:paraId="46E105EC" w14:textId="600E3615" w:rsidR="00956639" w:rsidRPr="00173CCC" w:rsidRDefault="00956639" w:rsidP="009638AE">
            <w:pPr>
              <w:tabs>
                <w:tab w:val="left" w:pos="176"/>
                <w:tab w:val="left" w:pos="1127"/>
                <w:tab w:val="left" w:pos="1714"/>
              </w:tabs>
              <w:spacing w:before="0" w:after="0"/>
              <w:rPr>
                <w:rFonts w:asciiTheme="minorHAnsi" w:hAnsiTheme="minorHAnsi" w:cstheme="minorHAnsi"/>
                <w:sz w:val="20"/>
                <w:szCs w:val="20"/>
              </w:rPr>
            </w:pPr>
            <w:r w:rsidRPr="00173CCC">
              <w:rPr>
                <w:rFonts w:asciiTheme="minorHAnsi" w:hAnsiTheme="minorHAnsi" w:cstheme="minorHAnsi"/>
                <w:sz w:val="20"/>
                <w:szCs w:val="20"/>
              </w:rPr>
              <w:tab/>
            </w:r>
            <w:r w:rsidRPr="00173CCC">
              <w:rPr>
                <w:rFonts w:asciiTheme="minorHAnsi" w:hAnsiTheme="minorHAnsi" w:cstheme="minorHAnsi"/>
                <w:sz w:val="20"/>
                <w:szCs w:val="20"/>
              </w:rPr>
              <w:tab/>
            </w:r>
            <w:r w:rsidRPr="00173CCC">
              <w:rPr>
                <w:rFonts w:asciiTheme="minorHAnsi" w:hAnsiTheme="minorHAnsi" w:cstheme="minorHAnsi"/>
                <w:i/>
                <w:sz w:val="20"/>
                <w:szCs w:val="20"/>
              </w:rPr>
              <w:t>reef subtidal</w:t>
            </w:r>
            <w:r w:rsidRPr="00173CCC">
              <w:rPr>
                <w:rFonts w:asciiTheme="minorHAnsi" w:hAnsiTheme="minorHAnsi" w:cstheme="minorHAnsi"/>
                <w:sz w:val="20"/>
                <w:szCs w:val="20"/>
              </w:rPr>
              <w:t xml:space="preserve"> (2008–2018)</w:t>
            </w:r>
          </w:p>
        </w:tc>
        <w:tc>
          <w:tcPr>
            <w:tcW w:w="2037" w:type="dxa"/>
            <w:shd w:val="clear" w:color="auto" w:fill="F3F9FA"/>
            <w:vAlign w:val="center"/>
          </w:tcPr>
          <w:p w14:paraId="3FAF5DB6" w14:textId="77777777" w:rsidR="00956639" w:rsidRPr="00B71D96" w:rsidRDefault="00956639" w:rsidP="009638AE">
            <w:pPr>
              <w:spacing w:before="0" w:after="0"/>
              <w:jc w:val="center"/>
              <w:rPr>
                <w:rFonts w:asciiTheme="minorHAnsi" w:hAnsiTheme="minorHAnsi" w:cstheme="minorHAnsi"/>
                <w:sz w:val="20"/>
                <w:szCs w:val="20"/>
                <w:lang w:val="en-US"/>
              </w:rPr>
            </w:pPr>
          </w:p>
          <w:p w14:paraId="45AAD2B4" w14:textId="7FEA26E0"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lang w:val="en-US"/>
              </w:rPr>
              <w:t>49.2 ±2.1</w:t>
            </w:r>
            <w:r w:rsidR="007C215D">
              <w:rPr>
                <w:rFonts w:asciiTheme="minorHAnsi" w:hAnsiTheme="minorHAnsi" w:cstheme="minorHAnsi"/>
                <w:sz w:val="20"/>
                <w:szCs w:val="20"/>
              </w:rPr>
              <w:t>%</w:t>
            </w:r>
          </w:p>
          <w:p w14:paraId="45621716" w14:textId="5993F4A9"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lang w:val="en-US"/>
              </w:rPr>
              <w:t>28.4 ±2.1</w:t>
            </w:r>
            <w:r w:rsidR="007C215D">
              <w:rPr>
                <w:rFonts w:asciiTheme="minorHAnsi" w:hAnsiTheme="minorHAnsi" w:cstheme="minorHAnsi"/>
                <w:sz w:val="20"/>
                <w:szCs w:val="20"/>
              </w:rPr>
              <w:t>%</w:t>
            </w:r>
          </w:p>
          <w:p w14:paraId="5F1C7CB5" w14:textId="38B7395C"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lang w:val="en-US"/>
              </w:rPr>
              <w:t>50.6 ±1.8</w:t>
            </w:r>
            <w:r w:rsidR="007C215D">
              <w:rPr>
                <w:rFonts w:asciiTheme="minorHAnsi" w:hAnsiTheme="minorHAnsi" w:cstheme="minorHAnsi"/>
                <w:sz w:val="20"/>
                <w:szCs w:val="20"/>
              </w:rPr>
              <w:t>%</w:t>
            </w:r>
          </w:p>
          <w:p w14:paraId="6364EEAC" w14:textId="77777777" w:rsidR="007C215D" w:rsidRDefault="00956639" w:rsidP="007C215D">
            <w:pPr>
              <w:spacing w:before="0" w:after="0"/>
              <w:jc w:val="center"/>
              <w:rPr>
                <w:rFonts w:asciiTheme="minorHAnsi" w:hAnsiTheme="minorHAnsi" w:cstheme="minorHAnsi"/>
                <w:sz w:val="20"/>
                <w:szCs w:val="20"/>
              </w:rPr>
            </w:pPr>
            <w:r w:rsidRPr="00B71D96">
              <w:rPr>
                <w:rFonts w:asciiTheme="minorHAnsi" w:hAnsiTheme="minorHAnsi" w:cstheme="minorHAnsi"/>
                <w:sz w:val="20"/>
                <w:szCs w:val="20"/>
                <w:lang w:val="en-US"/>
              </w:rPr>
              <w:t>5.0 ±1.2</w:t>
            </w:r>
            <w:r w:rsidR="003C311A">
              <w:rPr>
                <w:rFonts w:asciiTheme="minorHAnsi" w:hAnsiTheme="minorHAnsi" w:cstheme="minorHAnsi"/>
                <w:sz w:val="20"/>
                <w:szCs w:val="20"/>
              </w:rPr>
              <w:t xml:space="preserve">% </w:t>
            </w:r>
          </w:p>
          <w:p w14:paraId="1CC13365" w14:textId="45BF9FDE" w:rsidR="00956639" w:rsidRPr="00173CCC" w:rsidRDefault="00956639" w:rsidP="007C215D">
            <w:pPr>
              <w:spacing w:before="0" w:after="0"/>
              <w:jc w:val="center"/>
              <w:rPr>
                <w:rFonts w:asciiTheme="minorHAnsi" w:hAnsiTheme="minorHAnsi" w:cstheme="minorHAnsi"/>
                <w:sz w:val="20"/>
                <w:szCs w:val="20"/>
              </w:rPr>
            </w:pPr>
            <w:r w:rsidRPr="00B71D96">
              <w:rPr>
                <w:rFonts w:asciiTheme="minorHAnsi" w:hAnsiTheme="minorHAnsi" w:cstheme="minorHAnsi"/>
                <w:sz w:val="20"/>
                <w:szCs w:val="20"/>
                <w:lang w:val="en-US"/>
              </w:rPr>
              <w:t>7.2 ±0.4</w:t>
            </w:r>
            <w:r w:rsidR="007C215D">
              <w:rPr>
                <w:rFonts w:asciiTheme="minorHAnsi" w:hAnsiTheme="minorHAnsi" w:cstheme="minorHAnsi"/>
                <w:sz w:val="20"/>
                <w:szCs w:val="20"/>
              </w:rPr>
              <w:t>%</w:t>
            </w:r>
          </w:p>
        </w:tc>
        <w:tc>
          <w:tcPr>
            <w:tcW w:w="2126" w:type="dxa"/>
            <w:shd w:val="clear" w:color="auto" w:fill="F3F9FA"/>
            <w:vAlign w:val="center"/>
          </w:tcPr>
          <w:p w14:paraId="4F00EA4C" w14:textId="77777777" w:rsidR="00956639" w:rsidRPr="00B71D96" w:rsidRDefault="00956639" w:rsidP="009638AE">
            <w:pPr>
              <w:spacing w:before="0" w:after="0"/>
              <w:jc w:val="center"/>
              <w:rPr>
                <w:rFonts w:asciiTheme="minorHAnsi" w:hAnsiTheme="minorHAnsi" w:cstheme="minorHAnsi"/>
                <w:sz w:val="20"/>
                <w:szCs w:val="20"/>
              </w:rPr>
            </w:pPr>
          </w:p>
          <w:p w14:paraId="71294657" w14:textId="0C29F496"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rPr>
              <w:t>46.2 ±3.5</w:t>
            </w:r>
            <w:r w:rsidR="007C215D">
              <w:rPr>
                <w:rFonts w:asciiTheme="minorHAnsi" w:hAnsiTheme="minorHAnsi" w:cstheme="minorHAnsi"/>
                <w:sz w:val="20"/>
                <w:szCs w:val="20"/>
              </w:rPr>
              <w:t>%</w:t>
            </w:r>
          </w:p>
          <w:p w14:paraId="577C648D" w14:textId="044CCF37"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rPr>
              <w:t>28.4 ±4.7</w:t>
            </w:r>
            <w:r w:rsidR="007C215D">
              <w:rPr>
                <w:rFonts w:asciiTheme="minorHAnsi" w:hAnsiTheme="minorHAnsi" w:cstheme="minorHAnsi"/>
                <w:sz w:val="20"/>
                <w:szCs w:val="20"/>
              </w:rPr>
              <w:t>%</w:t>
            </w:r>
          </w:p>
          <w:p w14:paraId="5A2A5342" w14:textId="4EA3332A"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rPr>
              <w:t>46.7 ±4.7</w:t>
            </w:r>
            <w:r w:rsidR="007C215D">
              <w:rPr>
                <w:rFonts w:asciiTheme="minorHAnsi" w:hAnsiTheme="minorHAnsi" w:cstheme="minorHAnsi"/>
                <w:sz w:val="20"/>
                <w:szCs w:val="20"/>
              </w:rPr>
              <w:t>%</w:t>
            </w:r>
          </w:p>
          <w:p w14:paraId="24C8E33E" w14:textId="2DF54000" w:rsidR="00956639" w:rsidRPr="00B71D96" w:rsidRDefault="00956639" w:rsidP="009638AE">
            <w:pPr>
              <w:spacing w:before="0" w:after="0"/>
              <w:jc w:val="center"/>
              <w:rPr>
                <w:rFonts w:asciiTheme="minorHAnsi" w:hAnsiTheme="minorHAnsi" w:cstheme="minorHAnsi"/>
                <w:sz w:val="20"/>
                <w:szCs w:val="20"/>
              </w:rPr>
            </w:pPr>
            <w:r w:rsidRPr="00B71D96">
              <w:rPr>
                <w:rFonts w:asciiTheme="minorHAnsi" w:hAnsiTheme="minorHAnsi" w:cstheme="minorHAnsi"/>
                <w:sz w:val="20"/>
                <w:szCs w:val="20"/>
              </w:rPr>
              <w:t>4.5 ±2.7</w:t>
            </w:r>
            <w:r w:rsidR="007C215D">
              <w:rPr>
                <w:rFonts w:asciiTheme="minorHAnsi" w:hAnsiTheme="minorHAnsi" w:cstheme="minorHAnsi"/>
                <w:sz w:val="20"/>
                <w:szCs w:val="20"/>
              </w:rPr>
              <w:t>%</w:t>
            </w:r>
          </w:p>
          <w:p w14:paraId="7317F913" w14:textId="62C8C752" w:rsidR="00956639" w:rsidRPr="00173CCC" w:rsidRDefault="00956639" w:rsidP="007C215D">
            <w:pPr>
              <w:spacing w:before="0" w:after="0"/>
              <w:jc w:val="center"/>
              <w:rPr>
                <w:rFonts w:asciiTheme="minorHAnsi" w:hAnsiTheme="minorHAnsi" w:cstheme="minorHAnsi"/>
                <w:sz w:val="20"/>
                <w:szCs w:val="20"/>
              </w:rPr>
            </w:pPr>
            <w:r w:rsidRPr="00B71D96">
              <w:rPr>
                <w:rFonts w:asciiTheme="minorHAnsi" w:hAnsiTheme="minorHAnsi" w:cstheme="minorHAnsi"/>
                <w:sz w:val="20"/>
                <w:szCs w:val="20"/>
              </w:rPr>
              <w:t>10.2 ±1.0</w:t>
            </w:r>
            <w:r w:rsidR="007C215D">
              <w:rPr>
                <w:rFonts w:asciiTheme="minorHAnsi" w:hAnsiTheme="minorHAnsi" w:cstheme="minorHAnsi"/>
                <w:sz w:val="20"/>
                <w:szCs w:val="20"/>
              </w:rPr>
              <w:t>%</w:t>
            </w:r>
          </w:p>
        </w:tc>
      </w:tr>
    </w:tbl>
    <w:p w14:paraId="042C42E0" w14:textId="77777777" w:rsidR="00956639" w:rsidRPr="00C26B18" w:rsidRDefault="00956639" w:rsidP="00C41DCE">
      <w:pPr>
        <w:autoSpaceDE w:val="0"/>
        <w:autoSpaceDN w:val="0"/>
        <w:adjustRightInd w:val="0"/>
        <w:rPr>
          <w:rFonts w:cs="Arial"/>
          <w:color w:val="000000" w:themeColor="text1"/>
          <w:szCs w:val="22"/>
        </w:rPr>
      </w:pPr>
    </w:p>
    <w:p w14:paraId="28A28FD1" w14:textId="4FB881B6" w:rsidR="001A19DE" w:rsidRDefault="00C41DCE" w:rsidP="00C41DCE">
      <w:pPr>
        <w:autoSpaceDE w:val="0"/>
        <w:autoSpaceDN w:val="0"/>
        <w:adjustRightInd w:val="0"/>
        <w:rPr>
          <w:rFonts w:cs="Arial"/>
          <w:color w:val="000000" w:themeColor="text1"/>
          <w:szCs w:val="22"/>
        </w:rPr>
      </w:pPr>
      <w:r w:rsidRPr="00C26B18">
        <w:rPr>
          <w:rFonts w:cs="Arial"/>
          <w:color w:val="000000" w:themeColor="text1"/>
          <w:szCs w:val="22"/>
        </w:rPr>
        <w:t xml:space="preserve">Climatic and environmental pressures </w:t>
      </w:r>
      <w:r w:rsidR="00A838CF" w:rsidRPr="00C26B18">
        <w:rPr>
          <w:rFonts w:cs="Arial"/>
          <w:color w:val="000000" w:themeColor="text1"/>
          <w:szCs w:val="22"/>
        </w:rPr>
        <w:t>may have affected</w:t>
      </w:r>
      <w:r w:rsidRPr="00C26B18">
        <w:rPr>
          <w:rFonts w:cs="Arial"/>
          <w:color w:val="000000" w:themeColor="text1"/>
          <w:szCs w:val="22"/>
        </w:rPr>
        <w:t xml:space="preserve"> seagrass by reducing daily incident light </w:t>
      </w:r>
      <w:r w:rsidR="0032196F" w:rsidRPr="00C26B18">
        <w:rPr>
          <w:rFonts w:cs="Arial"/>
          <w:color w:val="000000" w:themeColor="text1"/>
          <w:szCs w:val="22"/>
        </w:rPr>
        <w:t>reaching the seagrass canopy in some regions and habitats. Light levels</w:t>
      </w:r>
      <w:r w:rsidR="00D64642">
        <w:rPr>
          <w:rFonts w:cs="Arial"/>
          <w:color w:val="000000" w:themeColor="text1"/>
          <w:szCs w:val="22"/>
        </w:rPr>
        <w:t xml:space="preserve">, which are measured at the location level, </w:t>
      </w:r>
      <w:r w:rsidR="0032196F" w:rsidRPr="00C26B18">
        <w:rPr>
          <w:rFonts w:cs="Arial"/>
          <w:color w:val="000000" w:themeColor="text1"/>
          <w:szCs w:val="22"/>
        </w:rPr>
        <w:t>were lower than</w:t>
      </w:r>
      <w:r w:rsidR="00AA2198" w:rsidRPr="00C26B18">
        <w:rPr>
          <w:rFonts w:cs="Arial"/>
          <w:color w:val="000000" w:themeColor="text1"/>
          <w:szCs w:val="22"/>
        </w:rPr>
        <w:t xml:space="preserve"> estimated</w:t>
      </w:r>
      <w:r w:rsidR="0032196F" w:rsidRPr="00C26B18">
        <w:rPr>
          <w:rFonts w:cs="Arial"/>
          <w:color w:val="000000" w:themeColor="text1"/>
          <w:szCs w:val="22"/>
        </w:rPr>
        <w:t xml:space="preserve"> annual light requirements </w:t>
      </w:r>
      <w:r w:rsidR="006B3C24" w:rsidRPr="00C26B18">
        <w:rPr>
          <w:rFonts w:cs="Arial"/>
          <w:color w:val="000000" w:themeColor="text1"/>
          <w:szCs w:val="22"/>
        </w:rPr>
        <w:t>(10 mol m</w:t>
      </w:r>
      <w:r w:rsidR="006B3C24" w:rsidRPr="00C26B18">
        <w:rPr>
          <w:rFonts w:cs="Arial"/>
          <w:color w:val="000000" w:themeColor="text1"/>
          <w:szCs w:val="22"/>
          <w:vertAlign w:val="superscript"/>
        </w:rPr>
        <w:t>-2</w:t>
      </w:r>
      <w:r w:rsidR="006B3C24" w:rsidRPr="00C26B18">
        <w:rPr>
          <w:rFonts w:cs="Arial"/>
          <w:color w:val="000000" w:themeColor="text1"/>
          <w:szCs w:val="22"/>
        </w:rPr>
        <w:t xml:space="preserve"> d</w:t>
      </w:r>
      <w:r w:rsidR="006B3C24" w:rsidRPr="00C26B18">
        <w:rPr>
          <w:rFonts w:cs="Arial"/>
          <w:color w:val="000000" w:themeColor="text1"/>
          <w:szCs w:val="22"/>
          <w:vertAlign w:val="superscript"/>
        </w:rPr>
        <w:t>-1</w:t>
      </w:r>
      <w:r w:rsidR="006B3C24" w:rsidRPr="00C26B18">
        <w:rPr>
          <w:rFonts w:cs="Arial"/>
          <w:color w:val="000000" w:themeColor="text1"/>
          <w:szCs w:val="22"/>
        </w:rPr>
        <w:t xml:space="preserve">) </w:t>
      </w:r>
      <w:r w:rsidR="0032196F" w:rsidRPr="00C26B18">
        <w:rPr>
          <w:rFonts w:cs="Arial"/>
          <w:color w:val="000000" w:themeColor="text1"/>
          <w:szCs w:val="22"/>
        </w:rPr>
        <w:t xml:space="preserve">at </w:t>
      </w:r>
      <w:r w:rsidR="00AA2198" w:rsidRPr="00C26B18">
        <w:rPr>
          <w:rFonts w:cs="Arial"/>
          <w:color w:val="000000" w:themeColor="text1"/>
          <w:szCs w:val="22"/>
        </w:rPr>
        <w:t>6</w:t>
      </w:r>
      <w:r w:rsidR="0032196F" w:rsidRPr="00C26B18">
        <w:rPr>
          <w:rFonts w:cs="Arial"/>
          <w:color w:val="000000" w:themeColor="text1"/>
          <w:szCs w:val="22"/>
        </w:rPr>
        <w:t xml:space="preserve"> locations</w:t>
      </w:r>
      <w:r w:rsidRPr="00C26B18">
        <w:rPr>
          <w:rFonts w:cs="Arial"/>
          <w:color w:val="000000" w:themeColor="text1"/>
          <w:szCs w:val="22"/>
        </w:rPr>
        <w:t xml:space="preserve">. </w:t>
      </w:r>
      <w:r w:rsidR="006B3C24" w:rsidRPr="00C26B18">
        <w:rPr>
          <w:rFonts w:cs="Arial"/>
          <w:color w:val="000000" w:themeColor="text1"/>
          <w:szCs w:val="22"/>
        </w:rPr>
        <w:t xml:space="preserve">The greatest </w:t>
      </w:r>
      <w:r w:rsidR="006B3C24" w:rsidRPr="00C26B18">
        <w:rPr>
          <w:rFonts w:cs="Arial"/>
          <w:szCs w:val="22"/>
          <w:lang w:val="en-GB"/>
        </w:rPr>
        <w:t xml:space="preserve">deviation in benthic light </w:t>
      </w:r>
      <w:r w:rsidR="006B3C24" w:rsidRPr="00C26B18">
        <w:rPr>
          <w:rFonts w:cs="Arial"/>
          <w:color w:val="000000" w:themeColor="text1"/>
          <w:szCs w:val="22"/>
        </w:rPr>
        <w:t xml:space="preserve">from the long-term was in </w:t>
      </w:r>
      <w:r w:rsidR="00AA2198" w:rsidRPr="00C26B18">
        <w:rPr>
          <w:rFonts w:cs="Arial"/>
          <w:color w:val="000000" w:themeColor="text1"/>
          <w:szCs w:val="22"/>
        </w:rPr>
        <w:t xml:space="preserve">Cape York and in the </w:t>
      </w:r>
      <w:r w:rsidR="006B3C24" w:rsidRPr="00C26B18">
        <w:rPr>
          <w:rFonts w:cs="Arial"/>
          <w:szCs w:val="22"/>
          <w:lang w:val="en-GB"/>
        </w:rPr>
        <w:t>southern Wet Tropics</w:t>
      </w:r>
      <w:r w:rsidR="00A838CF" w:rsidRPr="00C26B18">
        <w:rPr>
          <w:rFonts w:cs="Arial"/>
          <w:szCs w:val="22"/>
          <w:lang w:val="en-GB"/>
        </w:rPr>
        <w:t xml:space="preserve"> (</w:t>
      </w:r>
      <w:r w:rsidR="00A838CF" w:rsidRPr="00C26B18">
        <w:rPr>
          <w:rFonts w:cs="Arial"/>
          <w:szCs w:val="22"/>
          <w:lang w:val="en-GB"/>
        </w:rPr>
        <w:fldChar w:fldCharType="begin"/>
      </w:r>
      <w:r w:rsidR="00A838CF" w:rsidRPr="00C26B18">
        <w:rPr>
          <w:rFonts w:cs="Arial"/>
          <w:szCs w:val="22"/>
          <w:lang w:val="en-GB"/>
        </w:rPr>
        <w:instrText xml:space="preserve"> REF _Ref442465513 \h </w:instrText>
      </w:r>
      <w:r w:rsidR="00CB093C" w:rsidRPr="00C26B18">
        <w:rPr>
          <w:rFonts w:cs="Arial"/>
          <w:szCs w:val="22"/>
          <w:lang w:val="en-GB"/>
        </w:rPr>
        <w:instrText xml:space="preserve"> \* MERGEFORMAT </w:instrText>
      </w:r>
      <w:r w:rsidR="00A838CF" w:rsidRPr="00C26B18">
        <w:rPr>
          <w:rFonts w:cs="Arial"/>
          <w:szCs w:val="22"/>
          <w:lang w:val="en-GB"/>
        </w:rPr>
      </w:r>
      <w:r w:rsidR="00A838CF" w:rsidRPr="00C26B18">
        <w:rPr>
          <w:rFonts w:cs="Arial"/>
          <w:szCs w:val="22"/>
          <w:lang w:val="en-GB"/>
        </w:rPr>
        <w:fldChar w:fldCharType="separate"/>
      </w:r>
      <w:r w:rsidR="0067675D" w:rsidRPr="00C26B18">
        <w:rPr>
          <w:rFonts w:cs="Arial"/>
          <w:szCs w:val="22"/>
        </w:rPr>
        <w:t xml:space="preserve">Figure </w:t>
      </w:r>
      <w:r w:rsidR="0067675D">
        <w:rPr>
          <w:rFonts w:cs="Arial"/>
          <w:noProof/>
          <w:szCs w:val="22"/>
        </w:rPr>
        <w:t>8</w:t>
      </w:r>
      <w:r w:rsidR="00A838CF" w:rsidRPr="00C26B18">
        <w:rPr>
          <w:rFonts w:cs="Arial"/>
          <w:szCs w:val="22"/>
          <w:lang w:val="en-GB"/>
        </w:rPr>
        <w:fldChar w:fldCharType="end"/>
      </w:r>
      <w:r w:rsidR="00A838CF" w:rsidRPr="00C26B18">
        <w:rPr>
          <w:rFonts w:cs="Arial"/>
          <w:szCs w:val="22"/>
          <w:lang w:val="en-GB"/>
        </w:rPr>
        <w:t>)</w:t>
      </w:r>
      <w:r w:rsidR="006B3C24" w:rsidRPr="00C26B18">
        <w:rPr>
          <w:rFonts w:cs="Arial"/>
          <w:szCs w:val="22"/>
          <w:lang w:val="en-GB"/>
        </w:rPr>
        <w:t>.</w:t>
      </w:r>
      <w:r w:rsidRPr="00C26B18">
        <w:rPr>
          <w:rFonts w:cs="Arial"/>
          <w:color w:val="000000" w:themeColor="text1"/>
          <w:szCs w:val="22"/>
        </w:rPr>
        <w:t xml:space="preserve">The </w:t>
      </w:r>
      <w:r w:rsidR="00AA2198" w:rsidRPr="00C26B18">
        <w:rPr>
          <w:rFonts w:cs="Arial"/>
          <w:color w:val="000000" w:themeColor="text1"/>
          <w:szCs w:val="22"/>
        </w:rPr>
        <w:t>Burdekin</w:t>
      </w:r>
      <w:r w:rsidRPr="00C26B18">
        <w:rPr>
          <w:rFonts w:cs="Arial"/>
          <w:color w:val="000000" w:themeColor="text1"/>
          <w:szCs w:val="22"/>
        </w:rPr>
        <w:t xml:space="preserve"> region was the only region with above-average light </w:t>
      </w:r>
      <w:r w:rsidR="00207B22" w:rsidRPr="00C26B18">
        <w:rPr>
          <w:rFonts w:cs="Arial"/>
          <w:color w:val="000000" w:themeColor="text1"/>
          <w:szCs w:val="22"/>
        </w:rPr>
        <w:t xml:space="preserve">levels </w:t>
      </w:r>
      <w:r w:rsidRPr="00C26B18">
        <w:rPr>
          <w:rFonts w:cs="Arial"/>
          <w:color w:val="000000" w:themeColor="text1"/>
          <w:szCs w:val="22"/>
        </w:rPr>
        <w:t xml:space="preserve">in </w:t>
      </w:r>
      <w:r w:rsidR="00956639" w:rsidRPr="00C26B18">
        <w:rPr>
          <w:rFonts w:cs="Arial"/>
          <w:color w:val="000000" w:themeColor="text1"/>
          <w:szCs w:val="22"/>
        </w:rPr>
        <w:t>2018–19</w:t>
      </w:r>
      <w:r w:rsidR="00AA2198" w:rsidRPr="00C26B18">
        <w:rPr>
          <w:rFonts w:cs="Arial"/>
          <w:color w:val="000000" w:themeColor="text1"/>
          <w:szCs w:val="22"/>
        </w:rPr>
        <w:t>, but this is largely attributed to high levels prior to the wet season, and some missing data</w:t>
      </w:r>
      <w:r w:rsidR="00A76569">
        <w:rPr>
          <w:rFonts w:cs="Arial"/>
          <w:color w:val="000000" w:themeColor="text1"/>
          <w:szCs w:val="22"/>
        </w:rPr>
        <w:t xml:space="preserve"> (a consequence of logger losses)</w:t>
      </w:r>
      <w:r w:rsidR="00AA2198" w:rsidRPr="00C26B18">
        <w:rPr>
          <w:rFonts w:cs="Arial"/>
          <w:color w:val="000000" w:themeColor="text1"/>
          <w:szCs w:val="22"/>
        </w:rPr>
        <w:t xml:space="preserve"> from the wet season when rivers </w:t>
      </w:r>
      <w:r w:rsidR="00A76569">
        <w:rPr>
          <w:rFonts w:cs="Arial"/>
          <w:color w:val="000000" w:themeColor="text1"/>
          <w:szCs w:val="22"/>
        </w:rPr>
        <w:t xml:space="preserve">across the region </w:t>
      </w:r>
      <w:r w:rsidR="00AA2198" w:rsidRPr="00C26B18">
        <w:rPr>
          <w:rFonts w:cs="Arial"/>
          <w:color w:val="000000" w:themeColor="text1"/>
          <w:szCs w:val="22"/>
        </w:rPr>
        <w:t>were in flood</w:t>
      </w:r>
      <w:r w:rsidRPr="00C26B18">
        <w:rPr>
          <w:rFonts w:cs="Arial"/>
          <w:color w:val="000000" w:themeColor="text1"/>
          <w:szCs w:val="22"/>
        </w:rPr>
        <w:t xml:space="preserve">. </w:t>
      </w:r>
    </w:p>
    <w:p w14:paraId="27201508" w14:textId="47AC8C57" w:rsidR="00C41DCE" w:rsidRDefault="001C5502" w:rsidP="00C41DCE">
      <w:pPr>
        <w:autoSpaceDE w:val="0"/>
        <w:autoSpaceDN w:val="0"/>
        <w:adjustRightInd w:val="0"/>
        <w:rPr>
          <w:rFonts w:cs="Arial"/>
          <w:szCs w:val="22"/>
        </w:rPr>
      </w:pPr>
      <w:r w:rsidRPr="00C26B18">
        <w:rPr>
          <w:rFonts w:cs="Arial"/>
          <w:color w:val="000000" w:themeColor="text1"/>
          <w:szCs w:val="22"/>
        </w:rPr>
        <w:t>W</w:t>
      </w:r>
      <w:r w:rsidR="00F37B7F" w:rsidRPr="00C26B18">
        <w:rPr>
          <w:rFonts w:cs="Arial"/>
          <w:color w:val="000000" w:themeColor="text1"/>
          <w:szCs w:val="22"/>
        </w:rPr>
        <w:t xml:space="preserve">ithin canopy temperatures in </w:t>
      </w:r>
      <w:r w:rsidR="00956639" w:rsidRPr="00C26B18">
        <w:rPr>
          <w:rFonts w:cs="Arial"/>
          <w:color w:val="000000" w:themeColor="text1"/>
          <w:szCs w:val="22"/>
        </w:rPr>
        <w:t>2018–19</w:t>
      </w:r>
      <w:r w:rsidR="00F37B7F" w:rsidRPr="00C26B18">
        <w:rPr>
          <w:rFonts w:cs="Arial"/>
          <w:color w:val="000000" w:themeColor="text1"/>
          <w:szCs w:val="22"/>
        </w:rPr>
        <w:t xml:space="preserve"> were </w:t>
      </w:r>
      <w:r w:rsidR="00F37B7F" w:rsidRPr="00C26B18">
        <w:rPr>
          <w:rFonts w:cs="Arial"/>
          <w:szCs w:val="22"/>
          <w:lang w:val="en-GB"/>
        </w:rPr>
        <w:t xml:space="preserve">cooler than the previous </w:t>
      </w:r>
      <w:r w:rsidRPr="00C26B18">
        <w:rPr>
          <w:rFonts w:cs="Arial"/>
          <w:szCs w:val="22"/>
          <w:lang w:val="en-GB"/>
        </w:rPr>
        <w:t>five</w:t>
      </w:r>
      <w:r w:rsidR="00F37B7F" w:rsidRPr="00C26B18">
        <w:rPr>
          <w:rFonts w:cs="Arial"/>
          <w:szCs w:val="22"/>
          <w:lang w:val="en-GB"/>
        </w:rPr>
        <w:t xml:space="preserve"> reporting years</w:t>
      </w:r>
      <w:r w:rsidR="00353117" w:rsidRPr="00C26B18">
        <w:rPr>
          <w:rFonts w:cs="Arial"/>
          <w:color w:val="000000" w:themeColor="text1"/>
          <w:szCs w:val="22"/>
        </w:rPr>
        <w:t xml:space="preserve"> in all regions, on average, except for the Fitzroy where they were slightly higher than average</w:t>
      </w:r>
      <w:r w:rsidRPr="00C26B18">
        <w:rPr>
          <w:rFonts w:cs="Arial"/>
          <w:color w:val="000000" w:themeColor="text1"/>
          <w:szCs w:val="22"/>
        </w:rPr>
        <w:t xml:space="preserve"> </w:t>
      </w:r>
      <w:r w:rsidR="0065321D" w:rsidRPr="00C26B18">
        <w:rPr>
          <w:rFonts w:cs="Arial"/>
          <w:color w:val="000000" w:themeColor="text1"/>
          <w:szCs w:val="22"/>
        </w:rPr>
        <w:t>(</w:t>
      </w:r>
      <w:r w:rsidR="0065321D" w:rsidRPr="00C26B18">
        <w:rPr>
          <w:rFonts w:cs="Arial"/>
          <w:color w:val="000000" w:themeColor="text1"/>
          <w:szCs w:val="22"/>
        </w:rPr>
        <w:fldChar w:fldCharType="begin"/>
      </w:r>
      <w:r w:rsidR="0065321D" w:rsidRPr="00C26B18">
        <w:rPr>
          <w:rFonts w:cs="Arial"/>
          <w:color w:val="000000" w:themeColor="text1"/>
          <w:szCs w:val="22"/>
        </w:rPr>
        <w:instrText xml:space="preserve"> REF _Ref442465513 \h </w:instrText>
      </w:r>
      <w:r w:rsidR="00CB093C" w:rsidRPr="00C26B18">
        <w:rPr>
          <w:rFonts w:cs="Arial"/>
          <w:color w:val="000000" w:themeColor="text1"/>
          <w:szCs w:val="22"/>
        </w:rPr>
        <w:instrText xml:space="preserve"> \* MERGEFORMAT </w:instrText>
      </w:r>
      <w:r w:rsidR="0065321D" w:rsidRPr="00C26B18">
        <w:rPr>
          <w:rFonts w:cs="Arial"/>
          <w:color w:val="000000" w:themeColor="text1"/>
          <w:szCs w:val="22"/>
        </w:rPr>
      </w:r>
      <w:r w:rsidR="0065321D"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8</w:t>
      </w:r>
      <w:r w:rsidR="0065321D" w:rsidRPr="00C26B18">
        <w:rPr>
          <w:rFonts w:cs="Arial"/>
          <w:color w:val="000000" w:themeColor="text1"/>
          <w:szCs w:val="22"/>
        </w:rPr>
        <w:fldChar w:fldCharType="end"/>
      </w:r>
      <w:r w:rsidR="0065321D" w:rsidRPr="00C26B18">
        <w:rPr>
          <w:rFonts w:cs="Arial"/>
          <w:color w:val="000000" w:themeColor="text1"/>
          <w:szCs w:val="22"/>
        </w:rPr>
        <w:t>)</w:t>
      </w:r>
      <w:r w:rsidR="00C41DCE" w:rsidRPr="00C26B18">
        <w:rPr>
          <w:rFonts w:cs="Arial"/>
          <w:color w:val="000000" w:themeColor="text1"/>
          <w:szCs w:val="22"/>
        </w:rPr>
        <w:t>.</w:t>
      </w:r>
      <w:r w:rsidR="00F37B7F" w:rsidRPr="00C26B18">
        <w:rPr>
          <w:rFonts w:cs="Arial"/>
          <w:color w:val="000000" w:themeColor="text1"/>
          <w:szCs w:val="22"/>
        </w:rPr>
        <w:t xml:space="preserve"> T</w:t>
      </w:r>
      <w:r w:rsidR="00E145D7" w:rsidRPr="00C26B18">
        <w:rPr>
          <w:rFonts w:cs="Arial"/>
          <w:color w:val="000000" w:themeColor="text1"/>
          <w:szCs w:val="22"/>
        </w:rPr>
        <w:t>he number of extreme heat days</w:t>
      </w:r>
      <w:r w:rsidR="00F37B7F" w:rsidRPr="00C26B18">
        <w:rPr>
          <w:rFonts w:cs="Arial"/>
          <w:color w:val="000000" w:themeColor="text1"/>
          <w:szCs w:val="22"/>
        </w:rPr>
        <w:t>,</w:t>
      </w:r>
      <w:r w:rsidR="00E145D7" w:rsidRPr="00C26B18">
        <w:rPr>
          <w:rFonts w:cs="Arial"/>
          <w:color w:val="000000" w:themeColor="text1"/>
          <w:szCs w:val="22"/>
        </w:rPr>
        <w:t xml:space="preserve"> </w:t>
      </w:r>
      <w:r w:rsidR="00353117" w:rsidRPr="00C26B18">
        <w:rPr>
          <w:rFonts w:cs="Arial"/>
          <w:color w:val="000000" w:themeColor="text1"/>
          <w:szCs w:val="22"/>
        </w:rPr>
        <w:t xml:space="preserve">were also lower than the previous five years, except </w:t>
      </w:r>
      <w:r w:rsidR="001A19DE">
        <w:rPr>
          <w:rFonts w:cs="Arial"/>
          <w:color w:val="000000" w:themeColor="text1"/>
          <w:szCs w:val="22"/>
        </w:rPr>
        <w:t>in</w:t>
      </w:r>
      <w:r w:rsidR="001A19DE" w:rsidRPr="00C26B18">
        <w:rPr>
          <w:rFonts w:cs="Arial"/>
          <w:color w:val="000000" w:themeColor="text1"/>
          <w:szCs w:val="22"/>
        </w:rPr>
        <w:t xml:space="preserve"> </w:t>
      </w:r>
      <w:r w:rsidR="003A03FE" w:rsidRPr="00C26B18">
        <w:rPr>
          <w:rFonts w:cs="Arial"/>
          <w:color w:val="000000" w:themeColor="text1"/>
          <w:szCs w:val="22"/>
        </w:rPr>
        <w:t>the</w:t>
      </w:r>
      <w:r w:rsidR="00353117" w:rsidRPr="00C26B18">
        <w:rPr>
          <w:rFonts w:cs="Arial"/>
          <w:color w:val="000000" w:themeColor="text1"/>
          <w:szCs w:val="22"/>
        </w:rPr>
        <w:t xml:space="preserve"> Wet Tropics, where it was the second highest number of extreme days on record</w:t>
      </w:r>
      <w:r w:rsidR="00E145D7" w:rsidRPr="00C26B18">
        <w:rPr>
          <w:rFonts w:cs="Arial"/>
          <w:color w:val="000000" w:themeColor="text1"/>
          <w:szCs w:val="22"/>
        </w:rPr>
        <w:t xml:space="preserve"> (</w:t>
      </w:r>
      <w:r w:rsidR="00E145D7" w:rsidRPr="00C26B18">
        <w:rPr>
          <w:rFonts w:cs="Arial"/>
          <w:color w:val="000000" w:themeColor="text1"/>
          <w:szCs w:val="22"/>
        </w:rPr>
        <w:fldChar w:fldCharType="begin"/>
      </w:r>
      <w:r w:rsidR="00E145D7" w:rsidRPr="00C26B18">
        <w:rPr>
          <w:rFonts w:cs="Arial"/>
          <w:color w:val="000000" w:themeColor="text1"/>
          <w:szCs w:val="22"/>
        </w:rPr>
        <w:instrText xml:space="preserve"> REF _Ref442454861 \h </w:instrText>
      </w:r>
      <w:r w:rsidR="00CB093C" w:rsidRPr="00C26B18">
        <w:rPr>
          <w:rFonts w:cs="Arial"/>
          <w:color w:val="000000" w:themeColor="text1"/>
          <w:szCs w:val="22"/>
        </w:rPr>
        <w:instrText xml:space="preserve"> \* MERGEFORMAT </w:instrText>
      </w:r>
      <w:r w:rsidR="00E145D7" w:rsidRPr="00C26B18">
        <w:rPr>
          <w:rFonts w:cs="Arial"/>
          <w:color w:val="000000" w:themeColor="text1"/>
          <w:szCs w:val="22"/>
        </w:rPr>
      </w:r>
      <w:r w:rsidR="00E145D7"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11</w:t>
      </w:r>
      <w:r w:rsidR="00E145D7" w:rsidRPr="00C26B18">
        <w:rPr>
          <w:rFonts w:cs="Arial"/>
          <w:color w:val="000000" w:themeColor="text1"/>
          <w:szCs w:val="22"/>
        </w:rPr>
        <w:fldChar w:fldCharType="end"/>
      </w:r>
      <w:r w:rsidR="00E145D7" w:rsidRPr="00C26B18">
        <w:rPr>
          <w:rFonts w:cs="Arial"/>
          <w:color w:val="000000" w:themeColor="text1"/>
          <w:szCs w:val="22"/>
        </w:rPr>
        <w:t>)</w:t>
      </w:r>
      <w:r w:rsidR="00C41DCE" w:rsidRPr="00C26B18">
        <w:rPr>
          <w:rFonts w:cs="Arial"/>
          <w:szCs w:val="22"/>
        </w:rPr>
        <w:t>.</w:t>
      </w:r>
    </w:p>
    <w:p w14:paraId="55D3516B" w14:textId="097A7AC5" w:rsidR="00FD2E1F" w:rsidRPr="00C26B18" w:rsidRDefault="00A76301" w:rsidP="00D2585E">
      <w:pPr>
        <w:rPr>
          <w:rFonts w:cs="Arial"/>
          <w:noProof/>
          <w:szCs w:val="22"/>
          <w:lang w:eastAsia="en-AU"/>
        </w:rPr>
      </w:pPr>
      <w:r w:rsidRPr="00A76301">
        <w:rPr>
          <w:rFonts w:cs="Arial"/>
          <w:szCs w:val="22"/>
        </w:rPr>
        <w:t xml:space="preserve">There were three </w:t>
      </w:r>
      <w:r w:rsidR="00237830">
        <w:rPr>
          <w:rFonts w:cs="Arial"/>
          <w:szCs w:val="22"/>
        </w:rPr>
        <w:t xml:space="preserve">tropical </w:t>
      </w:r>
      <w:r w:rsidRPr="00A76301">
        <w:rPr>
          <w:rFonts w:cs="Arial"/>
          <w:szCs w:val="22"/>
        </w:rPr>
        <w:t>cyclones that entered the Reef in 2018</w:t>
      </w:r>
      <w:r w:rsidR="00D42685" w:rsidRPr="00C26B18">
        <w:rPr>
          <w:rFonts w:cs="Arial"/>
          <w:color w:val="000000" w:themeColor="text1"/>
          <w:szCs w:val="22"/>
        </w:rPr>
        <w:t>–</w:t>
      </w:r>
      <w:r w:rsidRPr="00A76301">
        <w:rPr>
          <w:rFonts w:cs="Arial"/>
          <w:szCs w:val="22"/>
        </w:rPr>
        <w:t xml:space="preserve">19, including </w:t>
      </w:r>
      <w:r w:rsidR="00406639">
        <w:rPr>
          <w:rFonts w:cs="Arial"/>
          <w:szCs w:val="22"/>
        </w:rPr>
        <w:t>tropical cyclones</w:t>
      </w:r>
      <w:r w:rsidRPr="00A76301">
        <w:rPr>
          <w:rFonts w:cs="Arial"/>
          <w:szCs w:val="22"/>
        </w:rPr>
        <w:t xml:space="preserve"> Owen, Penny and Trevor</w:t>
      </w:r>
      <w:r w:rsidR="00C74FFE">
        <w:rPr>
          <w:rFonts w:cs="Arial"/>
          <w:szCs w:val="22"/>
        </w:rPr>
        <w:t xml:space="preserve"> (see Gr</w:t>
      </w:r>
      <w:r w:rsidR="00DF78B4">
        <w:rPr>
          <w:rFonts w:cs="Arial"/>
          <w:szCs w:val="22"/>
        </w:rPr>
        <w:t>u</w:t>
      </w:r>
      <w:r w:rsidR="00C74FFE">
        <w:rPr>
          <w:rFonts w:cs="Arial"/>
          <w:szCs w:val="22"/>
        </w:rPr>
        <w:t>ber et al 2020)</w:t>
      </w:r>
      <w:r>
        <w:rPr>
          <w:rFonts w:cs="Arial"/>
          <w:szCs w:val="22"/>
        </w:rPr>
        <w:t xml:space="preserve">. </w:t>
      </w:r>
      <w:r w:rsidR="00406639">
        <w:rPr>
          <w:rFonts w:cs="Arial"/>
          <w:szCs w:val="22"/>
        </w:rPr>
        <w:t>Cyclone</w:t>
      </w:r>
      <w:r w:rsidR="00B37CE2">
        <w:rPr>
          <w:rFonts w:cs="Arial"/>
          <w:szCs w:val="22"/>
        </w:rPr>
        <w:t xml:space="preserve"> Trevor </w:t>
      </w:r>
      <w:r w:rsidR="00D42685">
        <w:rPr>
          <w:rFonts w:cs="Arial"/>
          <w:szCs w:val="22"/>
        </w:rPr>
        <w:t>was likely to have had the greatest impact, as</w:t>
      </w:r>
      <w:r w:rsidR="00B37CE2">
        <w:rPr>
          <w:rFonts w:cs="Arial"/>
          <w:szCs w:val="22"/>
        </w:rPr>
        <w:t xml:space="preserve"> a category 4 that crossed the </w:t>
      </w:r>
      <w:r w:rsidR="00D42685">
        <w:rPr>
          <w:rFonts w:cs="Arial"/>
          <w:szCs w:val="22"/>
        </w:rPr>
        <w:t xml:space="preserve">Cape York </w:t>
      </w:r>
      <w:r w:rsidR="00B37CE2">
        <w:rPr>
          <w:rFonts w:cs="Arial"/>
          <w:szCs w:val="22"/>
        </w:rPr>
        <w:t xml:space="preserve">coast </w:t>
      </w:r>
      <w:r w:rsidR="00D42685">
        <w:rPr>
          <w:rFonts w:cs="Arial"/>
          <w:szCs w:val="22"/>
        </w:rPr>
        <w:t xml:space="preserve">near Lockhardt River </w:t>
      </w:r>
      <w:r w:rsidR="00B37CE2">
        <w:rPr>
          <w:rFonts w:cs="Arial"/>
          <w:szCs w:val="22"/>
        </w:rPr>
        <w:t xml:space="preserve">in March 2019. </w:t>
      </w:r>
      <w:r w:rsidR="00D42685">
        <w:rPr>
          <w:rFonts w:cs="Arial"/>
          <w:szCs w:val="22"/>
        </w:rPr>
        <w:t xml:space="preserve">It may have directly impacted Piper Reef (FR1 and FR2), but surveys </w:t>
      </w:r>
      <w:r w:rsidR="00406639">
        <w:rPr>
          <w:rFonts w:cs="Arial"/>
          <w:szCs w:val="22"/>
        </w:rPr>
        <w:t xml:space="preserve">in this reporting period </w:t>
      </w:r>
      <w:r w:rsidR="00D42685">
        <w:rPr>
          <w:rFonts w:cs="Arial"/>
          <w:szCs w:val="22"/>
        </w:rPr>
        <w:t xml:space="preserve">at these sites occurred before the cyclone reached the region so </w:t>
      </w:r>
      <w:r w:rsidR="00AB3FD5">
        <w:rPr>
          <w:rFonts w:cs="Arial"/>
          <w:szCs w:val="22"/>
        </w:rPr>
        <w:t>the</w:t>
      </w:r>
      <w:r w:rsidR="00D42685">
        <w:rPr>
          <w:rFonts w:cs="Arial"/>
          <w:szCs w:val="22"/>
        </w:rPr>
        <w:t xml:space="preserve"> </w:t>
      </w:r>
      <w:r w:rsidR="00AB3FD5">
        <w:rPr>
          <w:rFonts w:cs="Arial"/>
          <w:szCs w:val="22"/>
        </w:rPr>
        <w:t xml:space="preserve">effects, if any, will be observed in </w:t>
      </w:r>
      <w:r w:rsidR="00D42685">
        <w:rPr>
          <w:rFonts w:cs="Arial"/>
          <w:szCs w:val="22"/>
        </w:rPr>
        <w:t>2019</w:t>
      </w:r>
      <w:r w:rsidR="00D42685" w:rsidRPr="00C26B18">
        <w:rPr>
          <w:rFonts w:cs="Arial"/>
          <w:color w:val="000000" w:themeColor="text1"/>
          <w:szCs w:val="22"/>
        </w:rPr>
        <w:t>–</w:t>
      </w:r>
      <w:r w:rsidR="00D42685">
        <w:rPr>
          <w:rFonts w:cs="Arial"/>
          <w:szCs w:val="22"/>
        </w:rPr>
        <w:t xml:space="preserve">20 reporting. </w:t>
      </w:r>
      <w:r w:rsidR="00EE2B38">
        <w:rPr>
          <w:rFonts w:cs="Arial"/>
          <w:szCs w:val="22"/>
        </w:rPr>
        <w:t xml:space="preserve">In addition to these, there </w:t>
      </w:r>
      <w:r w:rsidR="00EE2B38">
        <w:rPr>
          <w:rFonts w:cs="Arial"/>
          <w:szCs w:val="22"/>
        </w:rPr>
        <w:lastRenderedPageBreak/>
        <w:t>was a</w:t>
      </w:r>
      <w:r w:rsidR="00EE2B38">
        <w:t>n i</w:t>
      </w:r>
      <w:r w:rsidR="00EE2B38" w:rsidRPr="000F0618">
        <w:t xml:space="preserve">ntense tropical low </w:t>
      </w:r>
      <w:r w:rsidR="00EE2B38">
        <w:t>leading to</w:t>
      </w:r>
      <w:r w:rsidR="00EE2B38" w:rsidRPr="000F0618">
        <w:t xml:space="preserve"> major flooding in the Herbert, Black-Ross and Haughton basins including severe flooding in and around Townsville</w:t>
      </w:r>
      <w:r w:rsidR="00EE2B38">
        <w:t xml:space="preserve"> in February 2019. </w:t>
      </w:r>
    </w:p>
    <w:p w14:paraId="415A7E5D" w14:textId="77777777" w:rsidR="00CB15D6" w:rsidRPr="00A37E15" w:rsidRDefault="00CB15D6" w:rsidP="000150D8">
      <w:pPr>
        <w:pStyle w:val="Heading2"/>
      </w:pPr>
      <w:bookmarkStart w:id="173" w:name="_Toc37775051"/>
      <w:bookmarkStart w:id="174" w:name="_Toc43987026"/>
      <w:r w:rsidRPr="00A37E15">
        <w:t>Rainfall</w:t>
      </w:r>
      <w:bookmarkEnd w:id="173"/>
      <w:bookmarkEnd w:id="174"/>
    </w:p>
    <w:p w14:paraId="47AE8E5A" w14:textId="6424CDE3" w:rsidR="00CB15D6" w:rsidRPr="00C26B18" w:rsidRDefault="00591D4C" w:rsidP="00CB15D6">
      <w:pPr>
        <w:rPr>
          <w:rFonts w:cs="Arial"/>
          <w:szCs w:val="22"/>
        </w:rPr>
      </w:pPr>
      <w:r w:rsidRPr="00C26B18">
        <w:rPr>
          <w:rFonts w:cs="Arial"/>
          <w:szCs w:val="22"/>
        </w:rPr>
        <w:t>Rainfall</w:t>
      </w:r>
      <w:r w:rsidR="00CB15D6" w:rsidRPr="00C26B18">
        <w:rPr>
          <w:rFonts w:cs="Arial"/>
          <w:szCs w:val="22"/>
        </w:rPr>
        <w:t xml:space="preserve"> was above the long-term average </w:t>
      </w:r>
      <w:r w:rsidR="00D378DE" w:rsidRPr="00C26B18">
        <w:rPr>
          <w:rFonts w:cs="Arial"/>
          <w:szCs w:val="22"/>
        </w:rPr>
        <w:t>throughout most of the central and northern GBR</w:t>
      </w:r>
      <w:r w:rsidR="00704752" w:rsidRPr="00C26B18">
        <w:rPr>
          <w:rFonts w:cs="Arial"/>
          <w:szCs w:val="22"/>
        </w:rPr>
        <w:t xml:space="preserve"> </w:t>
      </w:r>
      <w:r w:rsidR="00D378DE" w:rsidRPr="00C26B18">
        <w:rPr>
          <w:rFonts w:cs="Arial"/>
          <w:szCs w:val="22"/>
        </w:rPr>
        <w:t xml:space="preserve">from the Plane basin north to the Jacky Jacky </w:t>
      </w:r>
      <w:r w:rsidR="00CB15D6" w:rsidRPr="00C26B18">
        <w:rPr>
          <w:rFonts w:cs="Arial"/>
          <w:szCs w:val="22"/>
        </w:rPr>
        <w:t>(</w:t>
      </w:r>
      <w:r w:rsidR="00CB15D6" w:rsidRPr="00C26B18">
        <w:rPr>
          <w:rFonts w:cs="Arial"/>
          <w:szCs w:val="22"/>
        </w:rPr>
        <w:fldChar w:fldCharType="begin"/>
      </w:r>
      <w:r w:rsidR="00CB15D6" w:rsidRPr="00C26B18">
        <w:rPr>
          <w:rFonts w:cs="Arial"/>
          <w:szCs w:val="22"/>
        </w:rPr>
        <w:instrText xml:space="preserve"> REF _Ref507510845 \h </w:instrText>
      </w:r>
      <w:r w:rsidR="00CB093C" w:rsidRPr="00C26B18">
        <w:rPr>
          <w:rFonts w:cs="Arial"/>
          <w:szCs w:val="22"/>
        </w:rPr>
        <w:instrText xml:space="preserve"> \* MERGEFORMAT </w:instrText>
      </w:r>
      <w:r w:rsidR="00CB15D6" w:rsidRPr="00C26B18">
        <w:rPr>
          <w:rFonts w:cs="Arial"/>
          <w:szCs w:val="22"/>
        </w:rPr>
      </w:r>
      <w:r w:rsidR="00CB15D6" w:rsidRPr="00C26B18">
        <w:rPr>
          <w:rFonts w:cs="Arial"/>
          <w:szCs w:val="22"/>
        </w:rPr>
        <w:fldChar w:fldCharType="separate"/>
      </w:r>
      <w:r w:rsidR="0067675D" w:rsidRPr="00867E8C">
        <w:rPr>
          <w:rFonts w:cs="Arial"/>
          <w:szCs w:val="22"/>
        </w:rPr>
        <w:t xml:space="preserve">Figure </w:t>
      </w:r>
      <w:r w:rsidR="0067675D">
        <w:rPr>
          <w:rFonts w:cs="Arial"/>
          <w:noProof/>
          <w:szCs w:val="22"/>
        </w:rPr>
        <w:t>6</w:t>
      </w:r>
      <w:r w:rsidR="00CB15D6" w:rsidRPr="00C26B18">
        <w:rPr>
          <w:rFonts w:cs="Arial"/>
          <w:szCs w:val="22"/>
        </w:rPr>
        <w:fldChar w:fldCharType="end"/>
      </w:r>
      <w:r w:rsidR="00CB15D6" w:rsidRPr="00C26B18">
        <w:rPr>
          <w:rFonts w:cs="Arial"/>
          <w:szCs w:val="22"/>
        </w:rPr>
        <w:t>) (</w:t>
      </w:r>
      <w:r w:rsidR="00CB15D6" w:rsidRPr="00C26B18">
        <w:rPr>
          <w:rFonts w:cs="Arial"/>
          <w:szCs w:val="22"/>
        </w:rPr>
        <w:fldChar w:fldCharType="begin"/>
      </w:r>
      <w:r w:rsidR="00CB15D6" w:rsidRPr="00C26B18">
        <w:rPr>
          <w:rFonts w:cs="Arial"/>
          <w:szCs w:val="22"/>
        </w:rPr>
        <w:instrText xml:space="preserve"> REF _Ref534191398 \h </w:instrText>
      </w:r>
      <w:r w:rsidR="00CB093C" w:rsidRPr="00C26B18">
        <w:rPr>
          <w:rFonts w:cs="Arial"/>
          <w:szCs w:val="22"/>
        </w:rPr>
        <w:instrText xml:space="preserve"> \* MERGEFORMAT </w:instrText>
      </w:r>
      <w:r w:rsidR="00CB15D6" w:rsidRPr="00C26B18">
        <w:rPr>
          <w:rFonts w:cs="Arial"/>
          <w:szCs w:val="22"/>
        </w:rPr>
      </w:r>
      <w:r w:rsidR="00CB15D6" w:rsidRPr="00C26B18">
        <w:rPr>
          <w:rFonts w:cs="Arial"/>
          <w:szCs w:val="22"/>
        </w:rPr>
        <w:fldChar w:fldCharType="separate"/>
      </w:r>
      <w:r w:rsidR="0067675D" w:rsidRPr="00C26B18">
        <w:rPr>
          <w:rFonts w:cs="Arial"/>
          <w:szCs w:val="22"/>
        </w:rPr>
        <w:t xml:space="preserve">Figure </w:t>
      </w:r>
      <w:r w:rsidR="0067675D">
        <w:rPr>
          <w:rFonts w:cs="Arial"/>
          <w:noProof/>
          <w:szCs w:val="22"/>
        </w:rPr>
        <w:t>7</w:t>
      </w:r>
      <w:r w:rsidR="00CB15D6" w:rsidRPr="00C26B18">
        <w:rPr>
          <w:rFonts w:cs="Arial"/>
          <w:szCs w:val="22"/>
        </w:rPr>
        <w:fldChar w:fldCharType="end"/>
      </w:r>
      <w:r w:rsidR="00CB15D6" w:rsidRPr="00C26B18">
        <w:rPr>
          <w:rFonts w:cs="Arial"/>
          <w:szCs w:val="22"/>
        </w:rPr>
        <w:t xml:space="preserve">). </w:t>
      </w:r>
      <w:r w:rsidR="00704752" w:rsidRPr="00C26B18">
        <w:rPr>
          <w:rFonts w:cs="Arial"/>
          <w:szCs w:val="22"/>
        </w:rPr>
        <w:t xml:space="preserve">The largest </w:t>
      </w:r>
      <w:r w:rsidR="007D4A56" w:rsidRPr="00C26B18">
        <w:rPr>
          <w:rFonts w:cs="Arial"/>
          <w:szCs w:val="22"/>
        </w:rPr>
        <w:t xml:space="preserve">positive </w:t>
      </w:r>
      <w:r w:rsidR="00704752" w:rsidRPr="00C26B18">
        <w:rPr>
          <w:rFonts w:cs="Arial"/>
          <w:szCs w:val="22"/>
        </w:rPr>
        <w:t xml:space="preserve">deviations from the long-term averages occurred in the </w:t>
      </w:r>
      <w:r w:rsidR="007D4A56" w:rsidRPr="00C26B18">
        <w:rPr>
          <w:rFonts w:cs="Arial"/>
          <w:szCs w:val="22"/>
        </w:rPr>
        <w:t>southern Cape York and northern Wet Tropics regions and in the smaller basins within the Burdekin region</w:t>
      </w:r>
      <w:r w:rsidR="00704752" w:rsidRPr="00C26B18">
        <w:rPr>
          <w:rFonts w:cs="Arial"/>
          <w:szCs w:val="22"/>
        </w:rPr>
        <w:t>.</w:t>
      </w:r>
      <w:r w:rsidR="007D4A56" w:rsidRPr="00C26B18">
        <w:rPr>
          <w:rFonts w:cs="Arial"/>
          <w:szCs w:val="22"/>
        </w:rPr>
        <w:t xml:space="preserve"> It was slightly drier than the long-term average in the southern GBR basins. </w:t>
      </w:r>
      <w:r w:rsidR="00704752" w:rsidRPr="00C26B18">
        <w:rPr>
          <w:rFonts w:cs="Arial"/>
          <w:szCs w:val="22"/>
        </w:rPr>
        <w:t xml:space="preserve"> </w:t>
      </w:r>
    </w:p>
    <w:p w14:paraId="1ED163AE" w14:textId="77777777" w:rsidR="00CB15D6" w:rsidRPr="00C26B18" w:rsidRDefault="00CB15D6" w:rsidP="00D2585E">
      <w:pPr>
        <w:rPr>
          <w:rFonts w:cs="Arial"/>
          <w:noProof/>
          <w:szCs w:val="22"/>
          <w:lang w:eastAsia="en-AU"/>
        </w:rPr>
      </w:pPr>
    </w:p>
    <w:p w14:paraId="1E3EA33D" w14:textId="5757152D" w:rsidR="00771FD9" w:rsidRPr="00867E8C" w:rsidRDefault="00771FD9" w:rsidP="00686718">
      <w:pPr>
        <w:keepNext/>
        <w:widowControl w:val="0"/>
        <w:jc w:val="center"/>
        <w:rPr>
          <w:rFonts w:cs="Arial"/>
          <w:noProof/>
          <w:color w:val="000000"/>
          <w:szCs w:val="22"/>
          <w:lang w:eastAsia="en-AU"/>
        </w:rPr>
      </w:pPr>
      <w:r w:rsidRPr="00867E8C">
        <w:rPr>
          <w:rFonts w:cs="Arial"/>
          <w:noProof/>
          <w:color w:val="000000"/>
          <w:szCs w:val="22"/>
          <w:lang w:eastAsia="en-AU"/>
        </w:rPr>
        <w:drawing>
          <wp:inline distT="0" distB="0" distL="0" distR="0" wp14:anchorId="3080BA1A" wp14:editId="17C53DEA">
            <wp:extent cx="4280402" cy="2803911"/>
            <wp:effectExtent l="0" t="0" r="6350" b="0"/>
            <wp:docPr id="100" name="Picture 100" descr="Barchart showing annual average wet season rainfall (December 2018–April 2019) compared to the long-term wet season rainfall average (1961–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rainfall_2017_diff_v2.jpg"/>
                    <pic:cNvPicPr/>
                  </pic:nvPicPr>
                  <pic:blipFill>
                    <a:blip r:embed="rId60"/>
                    <a:stretch>
                      <a:fillRect/>
                    </a:stretch>
                  </pic:blipFill>
                  <pic:spPr>
                    <a:xfrm>
                      <a:off x="0" y="0"/>
                      <a:ext cx="4280402" cy="2803911"/>
                    </a:xfrm>
                    <a:prstGeom prst="rect">
                      <a:avLst/>
                    </a:prstGeom>
                  </pic:spPr>
                </pic:pic>
              </a:graphicData>
            </a:graphic>
          </wp:inline>
        </w:drawing>
      </w:r>
    </w:p>
    <w:p w14:paraId="1AEEAE7F" w14:textId="7CDB5B71" w:rsidR="00264FE9" w:rsidRPr="00867E8C" w:rsidRDefault="00771FD9" w:rsidP="00264FE9">
      <w:pPr>
        <w:rPr>
          <w:rFonts w:cs="Arial"/>
          <w:i/>
          <w:vanish/>
          <w:szCs w:val="22"/>
          <w:specVanish/>
        </w:rPr>
      </w:pPr>
      <w:bookmarkStart w:id="175" w:name="_Ref507510845"/>
      <w:bookmarkStart w:id="176" w:name="_Ref507510817"/>
      <w:bookmarkStart w:id="177" w:name="_Toc38634110"/>
      <w:r w:rsidRPr="00867E8C">
        <w:rPr>
          <w:rFonts w:cs="Arial"/>
          <w:szCs w:val="22"/>
        </w:rPr>
        <w:t xml:space="preserve">Figure </w:t>
      </w:r>
      <w:r w:rsidRPr="00867E8C">
        <w:rPr>
          <w:rFonts w:cs="Arial"/>
          <w:szCs w:val="22"/>
        </w:rPr>
        <w:fldChar w:fldCharType="begin"/>
      </w:r>
      <w:r w:rsidRPr="00867E8C">
        <w:rPr>
          <w:rFonts w:cs="Arial"/>
          <w:szCs w:val="22"/>
        </w:rPr>
        <w:instrText xml:space="preserve"> SEQ Figure \* ARABIC </w:instrText>
      </w:r>
      <w:r w:rsidRPr="00867E8C">
        <w:rPr>
          <w:rFonts w:cs="Arial"/>
          <w:szCs w:val="22"/>
        </w:rPr>
        <w:fldChar w:fldCharType="separate"/>
      </w:r>
      <w:r w:rsidR="0067675D">
        <w:rPr>
          <w:rFonts w:cs="Arial"/>
          <w:noProof/>
          <w:szCs w:val="22"/>
        </w:rPr>
        <w:t>6</w:t>
      </w:r>
      <w:r w:rsidRPr="00867E8C">
        <w:rPr>
          <w:rFonts w:cs="Arial"/>
          <w:szCs w:val="22"/>
        </w:rPr>
        <w:fldChar w:fldCharType="end"/>
      </w:r>
      <w:bookmarkEnd w:id="175"/>
      <w:r w:rsidRPr="00867E8C">
        <w:rPr>
          <w:rFonts w:cs="Arial"/>
          <w:szCs w:val="22"/>
        </w:rPr>
        <w:t xml:space="preserve">. </w:t>
      </w:r>
      <w:r w:rsidR="005F2B68" w:rsidRPr="00867E8C">
        <w:rPr>
          <w:rFonts w:cs="Arial"/>
          <w:szCs w:val="22"/>
        </w:rPr>
        <w:t xml:space="preserve">Difference between </w:t>
      </w:r>
      <w:r w:rsidR="005F2B68" w:rsidRPr="00867E8C">
        <w:rPr>
          <w:rFonts w:cs="Arial"/>
          <w:i/>
          <w:szCs w:val="22"/>
        </w:rPr>
        <w:t>a</w:t>
      </w:r>
      <w:r w:rsidR="00264FE9" w:rsidRPr="00867E8C">
        <w:rPr>
          <w:rFonts w:cs="Arial"/>
          <w:i/>
          <w:szCs w:val="22"/>
        </w:rPr>
        <w:t xml:space="preserve">nnual average </w:t>
      </w:r>
      <w:r w:rsidR="005F2B68" w:rsidRPr="00867E8C">
        <w:rPr>
          <w:rFonts w:cs="Arial"/>
          <w:i/>
          <w:szCs w:val="22"/>
        </w:rPr>
        <w:t xml:space="preserve">daily </w:t>
      </w:r>
      <w:r w:rsidR="00264FE9" w:rsidRPr="00867E8C">
        <w:rPr>
          <w:rFonts w:cs="Arial"/>
          <w:i/>
          <w:szCs w:val="22"/>
        </w:rPr>
        <w:t>wet season rainfall (December 201</w:t>
      </w:r>
      <w:r w:rsidR="002F044F" w:rsidRPr="00867E8C">
        <w:rPr>
          <w:rFonts w:cs="Arial"/>
          <w:i/>
          <w:szCs w:val="22"/>
        </w:rPr>
        <w:t>7</w:t>
      </w:r>
      <w:r w:rsidR="00264FE9" w:rsidRPr="00867E8C">
        <w:rPr>
          <w:rFonts w:cs="Arial"/>
          <w:i/>
          <w:szCs w:val="22"/>
        </w:rPr>
        <w:t>–April 201</w:t>
      </w:r>
      <w:r w:rsidR="00561548" w:rsidRPr="00867E8C">
        <w:rPr>
          <w:rFonts w:cs="Arial"/>
          <w:i/>
          <w:szCs w:val="22"/>
        </w:rPr>
        <w:t>9</w:t>
      </w:r>
      <w:r w:rsidR="00264FE9" w:rsidRPr="00867E8C">
        <w:rPr>
          <w:rFonts w:cs="Arial"/>
          <w:i/>
          <w:szCs w:val="22"/>
        </w:rPr>
        <w:t xml:space="preserve">) </w:t>
      </w:r>
      <w:r w:rsidR="005F2B68" w:rsidRPr="00867E8C">
        <w:rPr>
          <w:rFonts w:cs="Arial"/>
          <w:i/>
          <w:szCs w:val="22"/>
        </w:rPr>
        <w:t>and</w:t>
      </w:r>
      <w:r w:rsidR="00264FE9" w:rsidRPr="00867E8C">
        <w:rPr>
          <w:rFonts w:cs="Arial"/>
          <w:i/>
          <w:szCs w:val="22"/>
        </w:rPr>
        <w:t xml:space="preserve"> the long-term average (1961–1990).</w:t>
      </w:r>
      <w:bookmarkEnd w:id="176"/>
      <w:bookmarkEnd w:id="177"/>
    </w:p>
    <w:p w14:paraId="64090E09" w14:textId="53997D54" w:rsidR="00771FD9" w:rsidRPr="00867E8C" w:rsidRDefault="00264FE9" w:rsidP="00264FE9">
      <w:pPr>
        <w:rPr>
          <w:rFonts w:cs="Arial"/>
          <w:i/>
          <w:szCs w:val="22"/>
          <w:lang w:val="en-US"/>
        </w:rPr>
      </w:pPr>
      <w:r w:rsidRPr="00867E8C">
        <w:rPr>
          <w:rFonts w:eastAsiaTheme="majorEastAsia" w:cs="Arial"/>
          <w:i/>
          <w:szCs w:val="22"/>
        </w:rPr>
        <w:t xml:space="preserve"> Red and blue bars denote </w:t>
      </w:r>
      <w:r w:rsidR="006E13BB" w:rsidRPr="00867E8C">
        <w:rPr>
          <w:rFonts w:eastAsiaTheme="majorEastAsia" w:cs="Arial"/>
          <w:i/>
          <w:szCs w:val="22"/>
        </w:rPr>
        <w:t>basins</w:t>
      </w:r>
      <w:r w:rsidRPr="00867E8C">
        <w:rPr>
          <w:rFonts w:eastAsiaTheme="majorEastAsia" w:cs="Arial"/>
          <w:i/>
          <w:szCs w:val="22"/>
        </w:rPr>
        <w:t xml:space="preserve"> with rainfall below and above the long-term average, respectively. Note that the </w:t>
      </w:r>
      <w:r w:rsidR="006E13BB" w:rsidRPr="00867E8C">
        <w:rPr>
          <w:rFonts w:eastAsiaTheme="majorEastAsia" w:cs="Arial"/>
          <w:i/>
          <w:szCs w:val="22"/>
        </w:rPr>
        <w:t>basins</w:t>
      </w:r>
      <w:r w:rsidRPr="00867E8C">
        <w:rPr>
          <w:rFonts w:eastAsiaTheme="majorEastAsia" w:cs="Arial"/>
          <w:i/>
          <w:szCs w:val="22"/>
        </w:rPr>
        <w:t xml:space="preserve"> are ordered from north to south (left to right).</w:t>
      </w:r>
      <w:r w:rsidR="007D4BE7" w:rsidRPr="00867E8C">
        <w:rPr>
          <w:rFonts w:eastAsiaTheme="majorEastAsia" w:cs="Arial"/>
          <w:i/>
          <w:szCs w:val="22"/>
        </w:rPr>
        <w:t xml:space="preserve"> </w:t>
      </w:r>
      <w:r w:rsidR="00E66F63" w:rsidRPr="00A76569">
        <w:rPr>
          <w:rFonts w:cs="Arial"/>
          <w:i/>
          <w:szCs w:val="22"/>
        </w:rPr>
        <w:t>Compiled by</w:t>
      </w:r>
      <w:r w:rsidR="003B40D3" w:rsidRPr="00A76569">
        <w:rPr>
          <w:rFonts w:cs="Arial"/>
          <w:i/>
          <w:szCs w:val="22"/>
        </w:rPr>
        <w:t xml:space="preserve"> </w:t>
      </w:r>
      <w:hyperlink w:anchor="_ENREF_69" w:tooltip="Gruber, 2020 #12283" w:history="1">
        <w:r w:rsidR="009A7AB4" w:rsidRPr="00A76569">
          <w:rPr>
            <w:rFonts w:cs="Arial"/>
            <w:i/>
            <w:szCs w:val="22"/>
          </w:rPr>
          <w:fldChar w:fldCharType="begin"/>
        </w:r>
        <w:r w:rsidR="009A7AB4" w:rsidRPr="00A76569">
          <w:rPr>
            <w:rFonts w:cs="Arial"/>
            <w:i/>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sidRPr="00A76569">
          <w:rPr>
            <w:rFonts w:cs="Arial"/>
            <w:i/>
            <w:szCs w:val="22"/>
          </w:rPr>
          <w:fldChar w:fldCharType="separate"/>
        </w:r>
        <w:r w:rsidR="009A7AB4" w:rsidRPr="00A76569">
          <w:rPr>
            <w:rFonts w:cs="Arial"/>
            <w:i/>
            <w:noProof/>
            <w:szCs w:val="22"/>
          </w:rPr>
          <w:t>Gruber et al. 2020</w:t>
        </w:r>
        <w:r w:rsidR="009A7AB4" w:rsidRPr="00A76569">
          <w:rPr>
            <w:rFonts w:cs="Arial"/>
            <w:i/>
            <w:szCs w:val="22"/>
          </w:rPr>
          <w:fldChar w:fldCharType="end"/>
        </w:r>
      </w:hyperlink>
      <w:r w:rsidR="00E66F63" w:rsidRPr="00867E8C">
        <w:rPr>
          <w:rFonts w:cs="Arial"/>
          <w:i/>
          <w:szCs w:val="22"/>
        </w:rPr>
        <w:t>.</w:t>
      </w:r>
    </w:p>
    <w:p w14:paraId="594ACEF4" w14:textId="58020395" w:rsidR="00686718" w:rsidRPr="00CB093C" w:rsidRDefault="00686718" w:rsidP="00686718">
      <w:pPr>
        <w:keepNext/>
        <w:widowControl w:val="0"/>
        <w:jc w:val="center"/>
        <w:rPr>
          <w:rFonts w:cs="Arial"/>
          <w:noProof/>
          <w:color w:val="000000"/>
          <w:szCs w:val="22"/>
          <w:lang w:eastAsia="en-AU"/>
        </w:rPr>
      </w:pPr>
      <w:r w:rsidRPr="00CB093C">
        <w:rPr>
          <w:rFonts w:cs="Arial"/>
          <w:noProof/>
          <w:color w:val="000000"/>
          <w:szCs w:val="22"/>
          <w:lang w:eastAsia="en-AU"/>
        </w:rPr>
        <w:lastRenderedPageBreak/>
        <w:drawing>
          <wp:inline distT="0" distB="0" distL="0" distR="0" wp14:anchorId="60505EF7" wp14:editId="560255AC">
            <wp:extent cx="5727700" cy="4262126"/>
            <wp:effectExtent l="0" t="0" r="6350" b="5080"/>
            <wp:docPr id="5" name="Picture 5" descr="Map triptage from Gruber et al. 2020, showing daily average wet season rainfall in the Reef catchment, with the left map showing long-term annual average (1961–1990), centre showing 2017–18 and and right showing the difference between the long-term annual average and 2018–19 rainfall patter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ainfall_2018_panel_v2.jpg"/>
                    <pic:cNvPicPr/>
                  </pic:nvPicPr>
                  <pic:blipFill>
                    <a:blip r:embed="rId61"/>
                    <a:stretch>
                      <a:fillRect/>
                    </a:stretch>
                  </pic:blipFill>
                  <pic:spPr>
                    <a:xfrm>
                      <a:off x="0" y="0"/>
                      <a:ext cx="5727700" cy="4262126"/>
                    </a:xfrm>
                    <a:prstGeom prst="rect">
                      <a:avLst/>
                    </a:prstGeom>
                  </pic:spPr>
                </pic:pic>
              </a:graphicData>
            </a:graphic>
          </wp:inline>
        </w:drawing>
      </w:r>
    </w:p>
    <w:p w14:paraId="531A35BD" w14:textId="5CA853B4" w:rsidR="00807368" w:rsidRPr="00867E8C" w:rsidRDefault="00686718" w:rsidP="00807368">
      <w:pPr>
        <w:rPr>
          <w:rFonts w:cs="Arial"/>
          <w:i/>
          <w:vanish/>
          <w:szCs w:val="22"/>
          <w:specVanish/>
        </w:rPr>
      </w:pPr>
      <w:bookmarkStart w:id="178" w:name="_Ref534191398"/>
      <w:bookmarkStart w:id="179" w:name="_Toc38634111"/>
      <w:r w:rsidRPr="00C26B18">
        <w:rPr>
          <w:rFonts w:cs="Arial"/>
          <w:szCs w:val="22"/>
        </w:rPr>
        <w:t xml:space="preserve">Figure </w:t>
      </w:r>
      <w:r w:rsidRPr="00C26B18">
        <w:rPr>
          <w:rFonts w:cs="Arial"/>
          <w:szCs w:val="22"/>
        </w:rPr>
        <w:fldChar w:fldCharType="begin"/>
      </w:r>
      <w:r w:rsidRPr="00C26B18">
        <w:rPr>
          <w:rFonts w:cs="Arial"/>
          <w:szCs w:val="22"/>
        </w:rPr>
        <w:instrText xml:space="preserve"> SEQ Figure \* ARABIC </w:instrText>
      </w:r>
      <w:r w:rsidRPr="00C26B18">
        <w:rPr>
          <w:rFonts w:cs="Arial"/>
          <w:szCs w:val="22"/>
        </w:rPr>
        <w:fldChar w:fldCharType="separate"/>
      </w:r>
      <w:r w:rsidR="0067675D">
        <w:rPr>
          <w:rFonts w:cs="Arial"/>
          <w:noProof/>
          <w:szCs w:val="22"/>
        </w:rPr>
        <w:t>7</w:t>
      </w:r>
      <w:r w:rsidRPr="00C26B18">
        <w:rPr>
          <w:rFonts w:cs="Arial"/>
          <w:szCs w:val="22"/>
        </w:rPr>
        <w:fldChar w:fldCharType="end"/>
      </w:r>
      <w:bookmarkEnd w:id="178"/>
      <w:r w:rsidRPr="00C26B18">
        <w:rPr>
          <w:rFonts w:cs="Arial"/>
          <w:szCs w:val="22"/>
        </w:rPr>
        <w:t xml:space="preserve">. </w:t>
      </w:r>
      <w:r w:rsidRPr="00C26B18">
        <w:rPr>
          <w:rFonts w:cs="Arial"/>
          <w:i/>
          <w:szCs w:val="22"/>
        </w:rPr>
        <w:t xml:space="preserve">Average daily rainfall (mm/day) in the </w:t>
      </w:r>
      <w:r w:rsidR="00F206BF" w:rsidRPr="00C26B18">
        <w:rPr>
          <w:rFonts w:cs="Arial"/>
          <w:i/>
          <w:szCs w:val="22"/>
        </w:rPr>
        <w:t>Reef</w:t>
      </w:r>
      <w:r w:rsidRPr="00C26B18">
        <w:rPr>
          <w:rFonts w:cs="Arial"/>
          <w:i/>
          <w:szCs w:val="22"/>
        </w:rPr>
        <w:t xml:space="preserve"> catchment</w:t>
      </w:r>
      <w:bookmarkEnd w:id="179"/>
    </w:p>
    <w:p w14:paraId="1A2E939F" w14:textId="4269F00F" w:rsidR="00686718" w:rsidRPr="00C26B18" w:rsidRDefault="00686718" w:rsidP="00807368">
      <w:pPr>
        <w:rPr>
          <w:rFonts w:cs="Arial"/>
          <w:i/>
          <w:szCs w:val="22"/>
        </w:rPr>
      </w:pPr>
      <w:r w:rsidRPr="00C26B18">
        <w:rPr>
          <w:rFonts w:cs="Arial"/>
          <w:i/>
          <w:szCs w:val="22"/>
        </w:rPr>
        <w:t>: (left) long-term annual average (1961–1990; time period produced by BOM), (centre) 201</w:t>
      </w:r>
      <w:r w:rsidR="00561548" w:rsidRPr="00C26B18">
        <w:rPr>
          <w:rFonts w:cs="Arial"/>
          <w:i/>
          <w:szCs w:val="22"/>
        </w:rPr>
        <w:t>8</w:t>
      </w:r>
      <w:r w:rsidRPr="00C26B18">
        <w:rPr>
          <w:rFonts w:cs="Arial"/>
          <w:i/>
          <w:szCs w:val="22"/>
        </w:rPr>
        <w:t>–1</w:t>
      </w:r>
      <w:r w:rsidR="00561548" w:rsidRPr="00C26B18">
        <w:rPr>
          <w:rFonts w:cs="Arial"/>
          <w:i/>
          <w:szCs w:val="22"/>
        </w:rPr>
        <w:t>9</w:t>
      </w:r>
      <w:r w:rsidRPr="00C26B18">
        <w:rPr>
          <w:rFonts w:cs="Arial"/>
          <w:i/>
          <w:szCs w:val="22"/>
        </w:rPr>
        <w:t xml:space="preserve"> and (right) the difference between the long-term annual average and </w:t>
      </w:r>
      <w:r w:rsidR="00956639" w:rsidRPr="00C26B18">
        <w:rPr>
          <w:rFonts w:cs="Arial"/>
          <w:i/>
          <w:szCs w:val="22"/>
        </w:rPr>
        <w:t>2018–19</w:t>
      </w:r>
      <w:r w:rsidRPr="00C26B18">
        <w:rPr>
          <w:rFonts w:cs="Arial"/>
          <w:i/>
          <w:szCs w:val="22"/>
        </w:rPr>
        <w:t xml:space="preserve"> rainfall patterns. From </w:t>
      </w:r>
      <w:hyperlink w:anchor="_ENREF_69" w:tooltip="Gruber, 2020 #12283" w:history="1">
        <w:r w:rsidR="009A7AB4">
          <w:rPr>
            <w:rFonts w:cs="Arial"/>
            <w:i/>
            <w:szCs w:val="22"/>
          </w:rPr>
          <w:fldChar w:fldCharType="begin"/>
        </w:r>
        <w:r w:rsidR="009A7AB4">
          <w:rPr>
            <w:rFonts w:cs="Arial"/>
            <w:i/>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Pr>
            <w:rFonts w:cs="Arial"/>
            <w:i/>
            <w:szCs w:val="22"/>
          </w:rPr>
          <w:fldChar w:fldCharType="separate"/>
        </w:r>
        <w:r w:rsidR="009A7AB4">
          <w:rPr>
            <w:rFonts w:cs="Arial"/>
            <w:i/>
            <w:noProof/>
            <w:szCs w:val="22"/>
          </w:rPr>
          <w:t>Gruber et al. 2020</w:t>
        </w:r>
        <w:r w:rsidR="009A7AB4">
          <w:rPr>
            <w:rFonts w:cs="Arial"/>
            <w:i/>
            <w:szCs w:val="22"/>
          </w:rPr>
          <w:fldChar w:fldCharType="end"/>
        </w:r>
      </w:hyperlink>
      <w:r w:rsidR="00A76569">
        <w:rPr>
          <w:rFonts w:cs="Arial"/>
          <w:i/>
          <w:szCs w:val="22"/>
        </w:rPr>
        <w:t>.</w:t>
      </w:r>
    </w:p>
    <w:p w14:paraId="06232535" w14:textId="77777777" w:rsidR="00F039CC" w:rsidRPr="00C26B18" w:rsidRDefault="00F039CC">
      <w:pPr>
        <w:rPr>
          <w:rFonts w:cs="Arial"/>
          <w:szCs w:val="22"/>
          <w:lang w:val="en-US"/>
        </w:rPr>
      </w:pPr>
    </w:p>
    <w:p w14:paraId="4717158C" w14:textId="77777777" w:rsidR="00F039CC" w:rsidRPr="00A37E15" w:rsidRDefault="00F039CC" w:rsidP="000150D8">
      <w:pPr>
        <w:pStyle w:val="Heading2"/>
      </w:pPr>
      <w:bookmarkStart w:id="180" w:name="_Toc37775052"/>
      <w:bookmarkStart w:id="181" w:name="_Toc43987027"/>
      <w:r w:rsidRPr="00A37E15">
        <w:t>River discharge</w:t>
      </w:r>
      <w:bookmarkEnd w:id="180"/>
      <w:bookmarkEnd w:id="181"/>
    </w:p>
    <w:p w14:paraId="6128B368" w14:textId="19399A18" w:rsidR="00F039CC" w:rsidRPr="00C26B18" w:rsidRDefault="00DB7D3D">
      <w:pPr>
        <w:rPr>
          <w:rFonts w:cs="Arial"/>
          <w:szCs w:val="22"/>
          <w:lang w:val="en-US"/>
        </w:rPr>
      </w:pPr>
      <w:r>
        <w:rPr>
          <w:rFonts w:cs="Arial"/>
          <w:szCs w:val="22"/>
          <w:lang w:val="en-US"/>
        </w:rPr>
        <w:t>Annual r</w:t>
      </w:r>
      <w:r w:rsidRPr="00C26B18">
        <w:rPr>
          <w:rFonts w:cs="Arial"/>
          <w:szCs w:val="22"/>
          <w:lang w:val="en-US"/>
        </w:rPr>
        <w:t xml:space="preserve">iver discharge for the entire GBR was above the long-term average </w:t>
      </w:r>
      <w:r>
        <w:rPr>
          <w:rFonts w:cs="Arial"/>
          <w:szCs w:val="22"/>
          <w:lang w:val="en-US"/>
        </w:rPr>
        <w:t xml:space="preserve">in 2018-19 </w:t>
      </w:r>
      <w:r w:rsidRPr="00C26B18">
        <w:rPr>
          <w:rFonts w:cs="Arial"/>
          <w:szCs w:val="22"/>
          <w:lang w:val="en-US"/>
        </w:rPr>
        <w:t>(</w:t>
      </w:r>
      <w:r w:rsidRPr="00C26B18">
        <w:rPr>
          <w:rFonts w:cs="Arial"/>
          <w:szCs w:val="22"/>
          <w:lang w:val="en-US"/>
        </w:rPr>
        <w:fldChar w:fldCharType="begin"/>
      </w:r>
      <w:r w:rsidRPr="00C26B18">
        <w:rPr>
          <w:rFonts w:cs="Arial"/>
          <w:szCs w:val="22"/>
          <w:lang w:val="en-US"/>
        </w:rPr>
        <w:instrText xml:space="preserve"> REF _Ref441775247 \h  \* MERGEFORMAT </w:instrText>
      </w:r>
      <w:r w:rsidRPr="00C26B18">
        <w:rPr>
          <w:rFonts w:cs="Arial"/>
          <w:szCs w:val="22"/>
          <w:lang w:val="en-US"/>
        </w:rPr>
      </w:r>
      <w:r w:rsidRPr="00C26B18">
        <w:rPr>
          <w:rFonts w:cs="Arial"/>
          <w:szCs w:val="22"/>
          <w:lang w:val="en-US"/>
        </w:rPr>
        <w:fldChar w:fldCharType="separate"/>
      </w:r>
      <w:r w:rsidR="0067675D" w:rsidRPr="00C26B18">
        <w:rPr>
          <w:rFonts w:cs="Arial"/>
          <w:szCs w:val="22"/>
        </w:rPr>
        <w:t xml:space="preserve">Table </w:t>
      </w:r>
      <w:r w:rsidR="0067675D">
        <w:rPr>
          <w:rFonts w:cs="Arial"/>
          <w:noProof/>
          <w:szCs w:val="22"/>
        </w:rPr>
        <w:t>8</w:t>
      </w:r>
      <w:r w:rsidRPr="00C26B18">
        <w:rPr>
          <w:rFonts w:cs="Arial"/>
          <w:szCs w:val="22"/>
          <w:lang w:val="en-US"/>
        </w:rPr>
        <w:fldChar w:fldCharType="end"/>
      </w:r>
      <w:r w:rsidRPr="00C26B18">
        <w:rPr>
          <w:rFonts w:cs="Arial"/>
          <w:szCs w:val="22"/>
          <w:lang w:val="en-US"/>
        </w:rPr>
        <w:t xml:space="preserve">). </w:t>
      </w:r>
      <w:r w:rsidR="00E0529F" w:rsidRPr="00C26B18">
        <w:rPr>
          <w:rFonts w:cs="Arial"/>
          <w:szCs w:val="22"/>
          <w:lang w:val="en-US"/>
        </w:rPr>
        <w:t xml:space="preserve">River discharge </w:t>
      </w:r>
      <w:r w:rsidR="007D4A56" w:rsidRPr="00C26B18">
        <w:rPr>
          <w:rFonts w:cs="Arial"/>
          <w:szCs w:val="22"/>
          <w:lang w:val="en-US"/>
        </w:rPr>
        <w:t>was more than 1.5 times the long-term median from most rivers in the central and northern GBR</w:t>
      </w:r>
      <w:r w:rsidR="003E1C2E">
        <w:rPr>
          <w:rFonts w:cs="Arial"/>
          <w:szCs w:val="22"/>
          <w:lang w:val="en-US"/>
        </w:rPr>
        <w:t>. In particular discharge from catchments in the Cape York region w</w:t>
      </w:r>
      <w:r w:rsidR="00EE2B38">
        <w:rPr>
          <w:rFonts w:cs="Arial"/>
          <w:szCs w:val="22"/>
          <w:lang w:val="en-US"/>
        </w:rPr>
        <w:t>as</w:t>
      </w:r>
      <w:r w:rsidR="003E1C2E">
        <w:rPr>
          <w:rFonts w:cs="Arial"/>
          <w:szCs w:val="22"/>
          <w:lang w:val="en-US"/>
        </w:rPr>
        <w:t xml:space="preserve"> the highest on record (since 2002</w:t>
      </w:r>
      <w:r w:rsidR="003E1C2E">
        <w:t>–</w:t>
      </w:r>
      <w:r w:rsidR="003E1C2E">
        <w:rPr>
          <w:rFonts w:cs="Arial"/>
          <w:szCs w:val="22"/>
          <w:lang w:val="en-US"/>
        </w:rPr>
        <w:t xml:space="preserve">03), and discharge </w:t>
      </w:r>
      <w:r w:rsidR="00EE2B38">
        <w:rPr>
          <w:rFonts w:cs="Arial"/>
          <w:szCs w:val="22"/>
          <w:lang w:val="en-US"/>
        </w:rPr>
        <w:t>in</w:t>
      </w:r>
      <w:r w:rsidR="003E1C2E">
        <w:rPr>
          <w:rFonts w:cs="Arial"/>
          <w:szCs w:val="22"/>
          <w:lang w:val="en-US"/>
        </w:rPr>
        <w:t xml:space="preserve"> the Burdekin region was more than three </w:t>
      </w:r>
      <w:r w:rsidR="003E1C2E">
        <w:rPr>
          <w:rFonts w:cs="Arial"/>
          <w:szCs w:val="22"/>
          <w:lang w:val="en-US"/>
        </w:rPr>
        <w:lastRenderedPageBreak/>
        <w:t xml:space="preserve">times the long-term median </w:t>
      </w:r>
      <w:r w:rsidRPr="00DB7D3D">
        <w:rPr>
          <w:rFonts w:cs="Arial"/>
          <w:szCs w:val="22"/>
          <w:lang w:val="en-US"/>
        </w:rPr>
        <w:t>(</w:t>
      </w:r>
      <w:r w:rsidRPr="00DB7D3D">
        <w:rPr>
          <w:rFonts w:cs="Arial"/>
          <w:szCs w:val="22"/>
          <w:lang w:val="en-US"/>
        </w:rPr>
        <w:fldChar w:fldCharType="begin"/>
      </w:r>
      <w:r w:rsidRPr="00DB7D3D">
        <w:rPr>
          <w:rFonts w:cs="Arial"/>
          <w:szCs w:val="22"/>
          <w:lang w:val="en-US"/>
        </w:rPr>
        <w:instrText xml:space="preserve"> REF _Ref442465342 \h  \* MERGEFORMAT </w:instrText>
      </w:r>
      <w:r w:rsidRPr="00DB7D3D">
        <w:rPr>
          <w:rFonts w:cs="Arial"/>
          <w:szCs w:val="22"/>
          <w:lang w:val="en-US"/>
        </w:rPr>
      </w:r>
      <w:r w:rsidRPr="00DB7D3D">
        <w:rPr>
          <w:rFonts w:cs="Arial"/>
          <w:szCs w:val="22"/>
          <w:lang w:val="en-US"/>
        </w:rPr>
        <w:fldChar w:fldCharType="separate"/>
      </w:r>
      <w:r w:rsidR="0067675D" w:rsidRPr="0067675D">
        <w:rPr>
          <w:rFonts w:cs="Arial"/>
          <w:szCs w:val="22"/>
        </w:rPr>
        <w:t xml:space="preserve">Table </w:t>
      </w:r>
      <w:r w:rsidR="0067675D" w:rsidRPr="0067675D">
        <w:rPr>
          <w:rFonts w:cs="Arial"/>
          <w:noProof/>
          <w:szCs w:val="22"/>
        </w:rPr>
        <w:t>9</w:t>
      </w:r>
      <w:r w:rsidRPr="00DB7D3D">
        <w:rPr>
          <w:rFonts w:cs="Arial"/>
          <w:szCs w:val="22"/>
          <w:lang w:val="en-US"/>
        </w:rPr>
        <w:fldChar w:fldCharType="end"/>
      </w:r>
      <w:r w:rsidRPr="00DB7D3D">
        <w:rPr>
          <w:rFonts w:cs="Arial"/>
          <w:szCs w:val="22"/>
          <w:lang w:val="en-US"/>
        </w:rPr>
        <w:t>)</w:t>
      </w:r>
      <w:r w:rsidR="00D567D3" w:rsidRPr="00DB7D3D">
        <w:rPr>
          <w:rFonts w:cs="Arial"/>
          <w:szCs w:val="22"/>
          <w:lang w:val="en-US"/>
        </w:rPr>
        <w:t xml:space="preserve">. </w:t>
      </w:r>
      <w:r w:rsidR="007D4A56" w:rsidRPr="00DB7D3D">
        <w:rPr>
          <w:rFonts w:cs="Arial"/>
          <w:szCs w:val="22"/>
          <w:lang w:val="en-US"/>
        </w:rPr>
        <w:t>By contrast, discharge was</w:t>
      </w:r>
      <w:r w:rsidR="007D4A56" w:rsidRPr="00C26B18">
        <w:rPr>
          <w:rFonts w:cs="Arial"/>
          <w:szCs w:val="22"/>
          <w:lang w:val="en-US"/>
        </w:rPr>
        <w:t xml:space="preserve"> below average in most rivers within the southern GBR in the Fitzroy in </w:t>
      </w:r>
      <w:r w:rsidR="00B72AC4">
        <w:rPr>
          <w:rFonts w:cs="Arial"/>
          <w:szCs w:val="22"/>
          <w:lang w:val="en-US"/>
        </w:rPr>
        <w:t>Burnett–Mary</w:t>
      </w:r>
      <w:r w:rsidR="007D4A56" w:rsidRPr="00C26B18">
        <w:rPr>
          <w:rFonts w:cs="Arial"/>
          <w:szCs w:val="22"/>
          <w:lang w:val="en-US"/>
        </w:rPr>
        <w:t xml:space="preserve"> </w:t>
      </w:r>
      <w:r w:rsidR="007D4A56" w:rsidRPr="00DB7D3D">
        <w:rPr>
          <w:rFonts w:cs="Arial"/>
          <w:szCs w:val="22"/>
          <w:lang w:val="en-US"/>
        </w:rPr>
        <w:t>regions</w:t>
      </w:r>
      <w:r w:rsidR="00363116" w:rsidRPr="00DB7D3D">
        <w:rPr>
          <w:rFonts w:cs="Arial"/>
          <w:szCs w:val="22"/>
          <w:lang w:val="en-US"/>
        </w:rPr>
        <w:t xml:space="preserve"> (</w:t>
      </w:r>
      <w:r w:rsidR="00363116" w:rsidRPr="00DB7D3D">
        <w:rPr>
          <w:rFonts w:cs="Arial"/>
          <w:szCs w:val="22"/>
          <w:lang w:val="en-US"/>
        </w:rPr>
        <w:fldChar w:fldCharType="begin"/>
      </w:r>
      <w:r w:rsidR="00363116" w:rsidRPr="00DB7D3D">
        <w:rPr>
          <w:rFonts w:cs="Arial"/>
          <w:szCs w:val="22"/>
          <w:lang w:val="en-US"/>
        </w:rPr>
        <w:instrText xml:space="preserve"> REF _Ref442465342 \h </w:instrText>
      </w:r>
      <w:r w:rsidR="00C26B18" w:rsidRPr="00DB7D3D">
        <w:rPr>
          <w:rFonts w:cs="Arial"/>
          <w:szCs w:val="22"/>
          <w:lang w:val="en-US"/>
        </w:rPr>
        <w:instrText xml:space="preserve"> \* MERGEFORMAT </w:instrText>
      </w:r>
      <w:r w:rsidR="00363116" w:rsidRPr="00DB7D3D">
        <w:rPr>
          <w:rFonts w:cs="Arial"/>
          <w:szCs w:val="22"/>
          <w:lang w:val="en-US"/>
        </w:rPr>
      </w:r>
      <w:r w:rsidR="00363116" w:rsidRPr="00DB7D3D">
        <w:rPr>
          <w:rFonts w:cs="Arial"/>
          <w:szCs w:val="22"/>
          <w:lang w:val="en-US"/>
        </w:rPr>
        <w:fldChar w:fldCharType="separate"/>
      </w:r>
      <w:r w:rsidR="0067675D" w:rsidRPr="0067675D">
        <w:rPr>
          <w:rFonts w:cs="Arial"/>
          <w:szCs w:val="22"/>
        </w:rPr>
        <w:t xml:space="preserve">Table </w:t>
      </w:r>
      <w:r w:rsidR="0067675D" w:rsidRPr="0067675D">
        <w:rPr>
          <w:rFonts w:cs="Arial"/>
          <w:noProof/>
          <w:szCs w:val="22"/>
        </w:rPr>
        <w:t>9</w:t>
      </w:r>
      <w:r w:rsidR="00363116" w:rsidRPr="00DB7D3D">
        <w:rPr>
          <w:rFonts w:cs="Arial"/>
          <w:szCs w:val="22"/>
          <w:lang w:val="en-US"/>
        </w:rPr>
        <w:fldChar w:fldCharType="end"/>
      </w:r>
      <w:r w:rsidR="00363116" w:rsidRPr="00DB7D3D">
        <w:rPr>
          <w:rFonts w:cs="Arial"/>
          <w:szCs w:val="22"/>
          <w:lang w:val="en-US"/>
        </w:rPr>
        <w:t>)</w:t>
      </w:r>
      <w:r w:rsidR="00F3133F">
        <w:rPr>
          <w:rFonts w:cs="Arial"/>
          <w:szCs w:val="22"/>
          <w:lang w:val="en-US"/>
        </w:rPr>
        <w:t>.</w:t>
      </w:r>
    </w:p>
    <w:p w14:paraId="303355E7" w14:textId="5BA26390" w:rsidR="00C97A63" w:rsidRPr="00CB093C" w:rsidRDefault="00C97A63">
      <w:pPr>
        <w:rPr>
          <w:rFonts w:cs="Arial"/>
          <w:szCs w:val="22"/>
          <w:lang w:val="en-US"/>
        </w:rPr>
      </w:pPr>
      <w:r w:rsidRPr="00CB093C">
        <w:rPr>
          <w:rFonts w:cs="Arial"/>
          <w:szCs w:val="22"/>
          <w:lang w:val="en-US"/>
        </w:rPr>
        <w:br w:type="page"/>
      </w:r>
    </w:p>
    <w:p w14:paraId="4DF13848" w14:textId="4EF13FAC" w:rsidR="007440F6" w:rsidRPr="00C26B18" w:rsidRDefault="00272652" w:rsidP="007440F6">
      <w:pPr>
        <w:rPr>
          <w:rFonts w:cs="Arial"/>
          <w:i/>
          <w:vanish/>
          <w:szCs w:val="22"/>
          <w:specVanish/>
        </w:rPr>
      </w:pPr>
      <w:bookmarkStart w:id="182" w:name="_Ref442465342"/>
      <w:bookmarkStart w:id="183" w:name="_Ref509323229"/>
      <w:bookmarkStart w:id="184" w:name="_Toc37787061"/>
      <w:bookmarkStart w:id="185" w:name="_Toc47600683"/>
      <w:r w:rsidRPr="00C26B18">
        <w:rPr>
          <w:rFonts w:cs="Arial"/>
          <w:i/>
          <w:szCs w:val="22"/>
        </w:rPr>
        <w:lastRenderedPageBreak/>
        <w:t>T</w:t>
      </w:r>
      <w:r w:rsidR="00771FD9" w:rsidRPr="00C26B18">
        <w:rPr>
          <w:rFonts w:cs="Arial"/>
          <w:i/>
          <w:szCs w:val="22"/>
        </w:rPr>
        <w:t xml:space="preserve">able </w:t>
      </w:r>
      <w:r w:rsidR="00771FD9" w:rsidRPr="00C26B18">
        <w:rPr>
          <w:rFonts w:cs="Arial"/>
          <w:i/>
          <w:szCs w:val="22"/>
        </w:rPr>
        <w:fldChar w:fldCharType="begin"/>
      </w:r>
      <w:r w:rsidR="00771FD9" w:rsidRPr="00C26B18">
        <w:rPr>
          <w:rFonts w:cs="Arial"/>
          <w:i/>
          <w:szCs w:val="22"/>
        </w:rPr>
        <w:instrText xml:space="preserve"> SEQ Table \* ARABIC </w:instrText>
      </w:r>
      <w:r w:rsidR="00771FD9" w:rsidRPr="00C26B18">
        <w:rPr>
          <w:rFonts w:cs="Arial"/>
          <w:i/>
          <w:szCs w:val="22"/>
        </w:rPr>
        <w:fldChar w:fldCharType="separate"/>
      </w:r>
      <w:r w:rsidR="0067675D">
        <w:rPr>
          <w:rFonts w:cs="Arial"/>
          <w:i/>
          <w:noProof/>
          <w:szCs w:val="22"/>
        </w:rPr>
        <w:t>9</w:t>
      </w:r>
      <w:r w:rsidR="00771FD9" w:rsidRPr="00C26B18">
        <w:rPr>
          <w:rFonts w:cs="Arial"/>
          <w:i/>
          <w:szCs w:val="22"/>
        </w:rPr>
        <w:fldChar w:fldCharType="end"/>
      </w:r>
      <w:bookmarkEnd w:id="182"/>
      <w:r w:rsidR="00771FD9" w:rsidRPr="00C26B18">
        <w:rPr>
          <w:rFonts w:cs="Arial"/>
          <w:i/>
          <w:szCs w:val="22"/>
        </w:rPr>
        <w:t>.</w:t>
      </w:r>
      <w:r w:rsidR="00771FD9" w:rsidRPr="00C26B18">
        <w:rPr>
          <w:rFonts w:cs="Arial"/>
          <w:szCs w:val="22"/>
        </w:rPr>
        <w:t xml:space="preserve"> </w:t>
      </w:r>
      <w:bookmarkStart w:id="186" w:name="_Toc531274941"/>
      <w:bookmarkStart w:id="187" w:name="_Toc434607185"/>
      <w:bookmarkEnd w:id="183"/>
      <w:r w:rsidR="007440F6" w:rsidRPr="00C26B18">
        <w:rPr>
          <w:rFonts w:cs="Arial"/>
          <w:i/>
          <w:szCs w:val="22"/>
        </w:rPr>
        <w:t xml:space="preserve">Annual water year discharge (ML) of the main GBR rivers (1 October 2017 to 30 September 2018, inclusive) compared to the previous seven wet seasons and long-term (LT) median discharge (1986–87 to </w:t>
      </w:r>
      <w:r w:rsidR="00956639" w:rsidRPr="00C26B18">
        <w:rPr>
          <w:rFonts w:cs="Arial"/>
          <w:i/>
          <w:szCs w:val="22"/>
        </w:rPr>
        <w:t>2018–19</w:t>
      </w:r>
      <w:r w:rsidR="007440F6" w:rsidRPr="00C26B18">
        <w:rPr>
          <w:rFonts w:cs="Arial"/>
          <w:i/>
          <w:szCs w:val="22"/>
        </w:rPr>
        <w:t>).</w:t>
      </w:r>
      <w:bookmarkEnd w:id="184"/>
      <w:bookmarkEnd w:id="185"/>
      <w:bookmarkEnd w:id="186"/>
      <w:r w:rsidR="00DB7D3D">
        <w:rPr>
          <w:rFonts w:cs="Arial"/>
          <w:i/>
          <w:szCs w:val="22"/>
        </w:rPr>
        <w:t xml:space="preserve"> </w:t>
      </w:r>
    </w:p>
    <w:p w14:paraId="4D0C4465" w14:textId="1BEF37EF" w:rsidR="00771FD9" w:rsidRPr="00C26B18" w:rsidRDefault="007440F6" w:rsidP="007440F6">
      <w:pPr>
        <w:jc w:val="center"/>
        <w:rPr>
          <w:rFonts w:cs="Arial"/>
          <w:i/>
          <w:szCs w:val="22"/>
        </w:rPr>
      </w:pPr>
      <w:r w:rsidRPr="00C26B18">
        <w:rPr>
          <w:rFonts w:eastAsiaTheme="majorEastAsia" w:cs="Arial"/>
          <w:i/>
          <w:szCs w:val="22"/>
        </w:rPr>
        <w:t xml:space="preserve">Colours indicate levels above the long-term median: yellow </w:t>
      </w:r>
      <w:r w:rsidR="00DB7D3D">
        <w:rPr>
          <w:rFonts w:eastAsiaTheme="majorEastAsia" w:cs="Arial"/>
          <w:i/>
          <w:szCs w:val="22"/>
        </w:rPr>
        <w:t>=</w:t>
      </w:r>
      <w:r w:rsidRPr="00C26B18">
        <w:rPr>
          <w:rFonts w:eastAsiaTheme="majorEastAsia" w:cs="Arial"/>
          <w:i/>
          <w:szCs w:val="22"/>
        </w:rPr>
        <w:t xml:space="preserve"> 1.5 to 2 times, orange </w:t>
      </w:r>
      <w:r w:rsidR="00DB7D3D">
        <w:rPr>
          <w:rFonts w:eastAsiaTheme="majorEastAsia" w:cs="Arial"/>
          <w:i/>
          <w:szCs w:val="22"/>
        </w:rPr>
        <w:t>=</w:t>
      </w:r>
      <w:r w:rsidRPr="00C26B18">
        <w:rPr>
          <w:rFonts w:eastAsiaTheme="majorEastAsia" w:cs="Arial"/>
          <w:i/>
          <w:szCs w:val="22"/>
        </w:rPr>
        <w:t xml:space="preserve"> 2 to 3 times and red </w:t>
      </w:r>
      <w:r w:rsidR="00DB7D3D">
        <w:rPr>
          <w:rFonts w:eastAsiaTheme="majorEastAsia" w:cs="Arial"/>
          <w:i/>
          <w:szCs w:val="22"/>
        </w:rPr>
        <w:t xml:space="preserve">= </w:t>
      </w:r>
      <w:r w:rsidRPr="00C26B18">
        <w:rPr>
          <w:rFonts w:eastAsiaTheme="majorEastAsia" w:cs="Arial"/>
          <w:i/>
          <w:szCs w:val="22"/>
        </w:rPr>
        <w:t xml:space="preserve">greater than 3 times. </w:t>
      </w:r>
      <w:bookmarkEnd w:id="187"/>
      <w:r w:rsidR="00771FD9" w:rsidRPr="003B40D3">
        <w:rPr>
          <w:rFonts w:cs="Arial"/>
          <w:i/>
          <w:szCs w:val="22"/>
        </w:rPr>
        <w:t>Compiled by</w:t>
      </w:r>
      <w:r w:rsidR="003B40D3" w:rsidRPr="003B40D3">
        <w:rPr>
          <w:rFonts w:cs="Arial"/>
          <w:i/>
          <w:szCs w:val="22"/>
        </w:rPr>
        <w:t xml:space="preserve"> </w:t>
      </w:r>
      <w:hyperlink w:anchor="_ENREF_69" w:tooltip="Gruber, 2020 #12283" w:history="1">
        <w:r w:rsidR="009A7AB4" w:rsidRPr="003B40D3">
          <w:rPr>
            <w:rFonts w:cs="Arial"/>
            <w:i/>
            <w:szCs w:val="22"/>
          </w:rPr>
          <w:fldChar w:fldCharType="begin"/>
        </w:r>
        <w:r w:rsidR="009A7AB4" w:rsidRPr="003B40D3">
          <w:rPr>
            <w:rFonts w:cs="Arial"/>
            <w:i/>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sidRPr="003B40D3">
          <w:rPr>
            <w:rFonts w:cs="Arial"/>
            <w:i/>
            <w:szCs w:val="22"/>
          </w:rPr>
          <w:fldChar w:fldCharType="separate"/>
        </w:r>
        <w:r w:rsidR="009A7AB4" w:rsidRPr="003B40D3">
          <w:rPr>
            <w:rFonts w:cs="Arial"/>
            <w:i/>
            <w:noProof/>
            <w:szCs w:val="22"/>
          </w:rPr>
          <w:t>Gruber et al. 2020</w:t>
        </w:r>
        <w:r w:rsidR="009A7AB4" w:rsidRPr="003B40D3">
          <w:rPr>
            <w:rFonts w:cs="Arial"/>
            <w:i/>
            <w:szCs w:val="22"/>
          </w:rPr>
          <w:fldChar w:fldCharType="end"/>
        </w:r>
      </w:hyperlink>
      <w:r w:rsidR="00771FD9" w:rsidRPr="003B40D3">
        <w:rPr>
          <w:rFonts w:cs="Arial"/>
          <w:i/>
          <w:szCs w:val="22"/>
        </w:rPr>
        <w:t>.</w:t>
      </w:r>
    </w:p>
    <w:tbl>
      <w:tblPr>
        <w:tblW w:w="8319" w:type="dxa"/>
        <w:tblLayout w:type="fixed"/>
        <w:tblLook w:val="04A0" w:firstRow="1" w:lastRow="0" w:firstColumn="1" w:lastColumn="0" w:noHBand="0" w:noVBand="1"/>
      </w:tblPr>
      <w:tblGrid>
        <w:gridCol w:w="2127"/>
        <w:gridCol w:w="1417"/>
        <w:gridCol w:w="1193"/>
        <w:gridCol w:w="1194"/>
        <w:gridCol w:w="1194"/>
        <w:gridCol w:w="1194"/>
      </w:tblGrid>
      <w:tr w:rsidR="00561548" w:rsidRPr="00561548" w14:paraId="17A8BFE1" w14:textId="77777777" w:rsidTr="00DB7D3D">
        <w:trPr>
          <w:trHeight w:val="450"/>
        </w:trPr>
        <w:tc>
          <w:tcPr>
            <w:tcW w:w="2127" w:type="dxa"/>
            <w:tcBorders>
              <w:top w:val="single" w:sz="4" w:space="0" w:color="auto"/>
              <w:left w:val="nil"/>
              <w:bottom w:val="double" w:sz="6" w:space="0" w:color="auto"/>
              <w:right w:val="nil"/>
            </w:tcBorders>
            <w:shd w:val="clear" w:color="auto" w:fill="auto"/>
            <w:noWrap/>
            <w:vAlign w:val="center"/>
            <w:hideMark/>
          </w:tcPr>
          <w:p w14:paraId="4369D955" w14:textId="77777777" w:rsidR="00561548" w:rsidRPr="00561548" w:rsidRDefault="00561548" w:rsidP="00250A8A">
            <w:pPr>
              <w:spacing w:before="0" w:after="0"/>
              <w:jc w:val="center"/>
              <w:rPr>
                <w:rFonts w:cs="Arial"/>
                <w:b/>
                <w:bCs/>
                <w:sz w:val="18"/>
                <w:szCs w:val="18"/>
              </w:rPr>
            </w:pPr>
            <w:r w:rsidRPr="00561548">
              <w:rPr>
                <w:rFonts w:cs="Arial"/>
                <w:b/>
                <w:bCs/>
                <w:sz w:val="18"/>
                <w:szCs w:val="18"/>
              </w:rPr>
              <w:t>Basin</w:t>
            </w:r>
          </w:p>
        </w:tc>
        <w:tc>
          <w:tcPr>
            <w:tcW w:w="1417" w:type="dxa"/>
            <w:tcBorders>
              <w:top w:val="single" w:sz="4" w:space="0" w:color="auto"/>
              <w:left w:val="nil"/>
              <w:bottom w:val="double" w:sz="6" w:space="0" w:color="auto"/>
              <w:right w:val="nil"/>
            </w:tcBorders>
            <w:shd w:val="clear" w:color="auto" w:fill="auto"/>
            <w:noWrap/>
            <w:vAlign w:val="center"/>
            <w:hideMark/>
          </w:tcPr>
          <w:p w14:paraId="4EC369B2" w14:textId="77777777" w:rsidR="00561548" w:rsidRPr="00561548" w:rsidRDefault="00561548" w:rsidP="00250A8A">
            <w:pPr>
              <w:spacing w:before="0" w:after="0"/>
              <w:jc w:val="center"/>
              <w:rPr>
                <w:rFonts w:cs="Arial"/>
                <w:b/>
                <w:bCs/>
                <w:sz w:val="18"/>
                <w:szCs w:val="18"/>
              </w:rPr>
            </w:pPr>
            <w:r w:rsidRPr="00561548">
              <w:rPr>
                <w:rFonts w:cs="Arial"/>
                <w:b/>
                <w:bCs/>
                <w:sz w:val="18"/>
                <w:szCs w:val="18"/>
              </w:rPr>
              <w:t>LT median</w:t>
            </w:r>
          </w:p>
        </w:tc>
        <w:tc>
          <w:tcPr>
            <w:tcW w:w="1193" w:type="dxa"/>
            <w:tcBorders>
              <w:top w:val="single" w:sz="4" w:space="0" w:color="auto"/>
              <w:left w:val="nil"/>
              <w:bottom w:val="double" w:sz="6" w:space="0" w:color="auto"/>
              <w:right w:val="nil"/>
            </w:tcBorders>
            <w:shd w:val="clear" w:color="auto" w:fill="auto"/>
            <w:noWrap/>
            <w:vAlign w:val="center"/>
            <w:hideMark/>
          </w:tcPr>
          <w:p w14:paraId="39BAA702" w14:textId="77777777" w:rsidR="00561548" w:rsidRPr="00561548" w:rsidRDefault="00561548" w:rsidP="00250A8A">
            <w:pPr>
              <w:spacing w:before="0" w:after="0"/>
              <w:jc w:val="center"/>
              <w:rPr>
                <w:rFonts w:cs="Arial"/>
                <w:b/>
                <w:bCs/>
                <w:sz w:val="18"/>
                <w:szCs w:val="18"/>
              </w:rPr>
            </w:pPr>
            <w:r w:rsidRPr="00561548">
              <w:rPr>
                <w:rFonts w:cs="Arial"/>
                <w:b/>
                <w:bCs/>
                <w:sz w:val="18"/>
                <w:szCs w:val="18"/>
              </w:rPr>
              <w:t>2015 - 2016</w:t>
            </w:r>
          </w:p>
        </w:tc>
        <w:tc>
          <w:tcPr>
            <w:tcW w:w="1194" w:type="dxa"/>
            <w:tcBorders>
              <w:top w:val="single" w:sz="4" w:space="0" w:color="auto"/>
              <w:left w:val="nil"/>
              <w:bottom w:val="double" w:sz="6" w:space="0" w:color="auto"/>
              <w:right w:val="nil"/>
            </w:tcBorders>
            <w:shd w:val="clear" w:color="auto" w:fill="auto"/>
            <w:noWrap/>
            <w:vAlign w:val="center"/>
            <w:hideMark/>
          </w:tcPr>
          <w:p w14:paraId="48A5CD4B" w14:textId="77777777" w:rsidR="00561548" w:rsidRPr="00561548" w:rsidRDefault="00561548" w:rsidP="00250A8A">
            <w:pPr>
              <w:spacing w:before="0" w:after="0"/>
              <w:jc w:val="center"/>
              <w:rPr>
                <w:rFonts w:cs="Arial"/>
                <w:b/>
                <w:bCs/>
                <w:sz w:val="18"/>
                <w:szCs w:val="18"/>
              </w:rPr>
            </w:pPr>
            <w:r w:rsidRPr="00561548">
              <w:rPr>
                <w:rFonts w:cs="Arial"/>
                <w:b/>
                <w:bCs/>
                <w:sz w:val="18"/>
                <w:szCs w:val="18"/>
              </w:rPr>
              <w:t>2016 - 2017</w:t>
            </w:r>
          </w:p>
        </w:tc>
        <w:tc>
          <w:tcPr>
            <w:tcW w:w="1194" w:type="dxa"/>
            <w:tcBorders>
              <w:top w:val="single" w:sz="4" w:space="0" w:color="auto"/>
              <w:left w:val="nil"/>
              <w:bottom w:val="double" w:sz="6" w:space="0" w:color="auto"/>
              <w:right w:val="nil"/>
            </w:tcBorders>
            <w:shd w:val="clear" w:color="auto" w:fill="auto"/>
            <w:noWrap/>
            <w:vAlign w:val="center"/>
            <w:hideMark/>
          </w:tcPr>
          <w:p w14:paraId="1BC1A0B9" w14:textId="77777777" w:rsidR="00561548" w:rsidRPr="00561548" w:rsidRDefault="00561548" w:rsidP="00250A8A">
            <w:pPr>
              <w:spacing w:before="0" w:after="0"/>
              <w:jc w:val="center"/>
              <w:rPr>
                <w:rFonts w:cs="Arial"/>
                <w:b/>
                <w:bCs/>
                <w:sz w:val="18"/>
                <w:szCs w:val="18"/>
              </w:rPr>
            </w:pPr>
            <w:r w:rsidRPr="00561548">
              <w:rPr>
                <w:rFonts w:cs="Arial"/>
                <w:b/>
                <w:bCs/>
                <w:sz w:val="18"/>
                <w:szCs w:val="18"/>
              </w:rPr>
              <w:t>2017 - 2018</w:t>
            </w:r>
          </w:p>
        </w:tc>
        <w:tc>
          <w:tcPr>
            <w:tcW w:w="1194" w:type="dxa"/>
            <w:tcBorders>
              <w:top w:val="single" w:sz="4" w:space="0" w:color="auto"/>
              <w:left w:val="nil"/>
              <w:bottom w:val="double" w:sz="6" w:space="0" w:color="auto"/>
              <w:right w:val="nil"/>
            </w:tcBorders>
            <w:shd w:val="clear" w:color="auto" w:fill="auto"/>
            <w:noWrap/>
            <w:vAlign w:val="center"/>
            <w:hideMark/>
          </w:tcPr>
          <w:p w14:paraId="6E3F90F4" w14:textId="77777777" w:rsidR="00561548" w:rsidRPr="00561548" w:rsidRDefault="00561548" w:rsidP="00250A8A">
            <w:pPr>
              <w:spacing w:before="0" w:after="0"/>
              <w:jc w:val="center"/>
              <w:rPr>
                <w:rFonts w:cs="Arial"/>
                <w:b/>
                <w:bCs/>
                <w:sz w:val="18"/>
                <w:szCs w:val="18"/>
              </w:rPr>
            </w:pPr>
            <w:r w:rsidRPr="00561548">
              <w:rPr>
                <w:rFonts w:cs="Arial"/>
                <w:b/>
                <w:bCs/>
                <w:sz w:val="18"/>
                <w:szCs w:val="18"/>
              </w:rPr>
              <w:t>2018 - 2019</w:t>
            </w:r>
          </w:p>
        </w:tc>
      </w:tr>
      <w:tr w:rsidR="00561548" w:rsidRPr="00561548" w14:paraId="6450D11D" w14:textId="77777777" w:rsidTr="00DB7D3D">
        <w:trPr>
          <w:trHeight w:val="280"/>
        </w:trPr>
        <w:tc>
          <w:tcPr>
            <w:tcW w:w="2127" w:type="dxa"/>
            <w:tcBorders>
              <w:top w:val="nil"/>
              <w:left w:val="nil"/>
              <w:bottom w:val="nil"/>
              <w:right w:val="nil"/>
            </w:tcBorders>
            <w:shd w:val="clear" w:color="auto" w:fill="auto"/>
            <w:noWrap/>
            <w:vAlign w:val="center"/>
            <w:hideMark/>
          </w:tcPr>
          <w:p w14:paraId="3FD5C91F" w14:textId="77777777" w:rsidR="00561548" w:rsidRPr="00561548" w:rsidRDefault="00561548" w:rsidP="00250A8A">
            <w:pPr>
              <w:spacing w:before="0" w:after="0"/>
              <w:jc w:val="center"/>
              <w:rPr>
                <w:rFonts w:cs="Arial"/>
                <w:sz w:val="18"/>
                <w:szCs w:val="18"/>
              </w:rPr>
            </w:pPr>
            <w:r w:rsidRPr="00561548">
              <w:rPr>
                <w:rFonts w:cs="Arial"/>
                <w:sz w:val="18"/>
                <w:szCs w:val="18"/>
              </w:rPr>
              <w:t>Jacky Jacky Creek</w:t>
            </w:r>
          </w:p>
        </w:tc>
        <w:tc>
          <w:tcPr>
            <w:tcW w:w="1417" w:type="dxa"/>
            <w:tcBorders>
              <w:top w:val="nil"/>
              <w:left w:val="nil"/>
              <w:bottom w:val="nil"/>
              <w:right w:val="nil"/>
            </w:tcBorders>
            <w:shd w:val="clear" w:color="auto" w:fill="auto"/>
            <w:noWrap/>
            <w:vAlign w:val="center"/>
            <w:hideMark/>
          </w:tcPr>
          <w:p w14:paraId="07916E73" w14:textId="77777777" w:rsidR="00561548" w:rsidRPr="00561548" w:rsidRDefault="00561548" w:rsidP="00250A8A">
            <w:pPr>
              <w:spacing w:before="0" w:after="0"/>
              <w:jc w:val="center"/>
              <w:rPr>
                <w:rFonts w:cs="Arial"/>
                <w:sz w:val="18"/>
                <w:szCs w:val="18"/>
              </w:rPr>
            </w:pPr>
            <w:r w:rsidRPr="00561548">
              <w:rPr>
                <w:rFonts w:cs="Arial"/>
                <w:sz w:val="18"/>
                <w:szCs w:val="18"/>
              </w:rPr>
              <w:t>2,047,129</w:t>
            </w:r>
          </w:p>
        </w:tc>
        <w:tc>
          <w:tcPr>
            <w:tcW w:w="1193" w:type="dxa"/>
            <w:tcBorders>
              <w:top w:val="nil"/>
              <w:left w:val="nil"/>
              <w:bottom w:val="nil"/>
              <w:right w:val="nil"/>
            </w:tcBorders>
            <w:shd w:val="clear" w:color="auto" w:fill="auto"/>
            <w:noWrap/>
            <w:vAlign w:val="center"/>
            <w:hideMark/>
          </w:tcPr>
          <w:p w14:paraId="7146F07D" w14:textId="77777777" w:rsidR="00561548" w:rsidRPr="00561548" w:rsidRDefault="00561548" w:rsidP="00250A8A">
            <w:pPr>
              <w:spacing w:before="0" w:after="0"/>
              <w:jc w:val="center"/>
              <w:rPr>
                <w:rFonts w:cs="Arial"/>
                <w:sz w:val="18"/>
                <w:szCs w:val="18"/>
              </w:rPr>
            </w:pPr>
            <w:r w:rsidRPr="00561548">
              <w:rPr>
                <w:rFonts w:cs="Arial"/>
                <w:sz w:val="18"/>
                <w:szCs w:val="18"/>
              </w:rPr>
              <w:t>913,417</w:t>
            </w:r>
          </w:p>
        </w:tc>
        <w:tc>
          <w:tcPr>
            <w:tcW w:w="1194" w:type="dxa"/>
            <w:tcBorders>
              <w:top w:val="nil"/>
              <w:left w:val="nil"/>
              <w:bottom w:val="nil"/>
              <w:right w:val="nil"/>
            </w:tcBorders>
            <w:shd w:val="clear" w:color="auto" w:fill="auto"/>
            <w:noWrap/>
            <w:vAlign w:val="bottom"/>
            <w:hideMark/>
          </w:tcPr>
          <w:p w14:paraId="4984ECE3" w14:textId="77777777" w:rsidR="00561548" w:rsidRPr="00561548" w:rsidRDefault="00561548" w:rsidP="00250A8A">
            <w:pPr>
              <w:spacing w:before="0" w:after="0"/>
              <w:jc w:val="center"/>
              <w:rPr>
                <w:rFonts w:cs="Arial"/>
                <w:sz w:val="18"/>
                <w:szCs w:val="18"/>
              </w:rPr>
            </w:pPr>
            <w:r w:rsidRPr="00561548">
              <w:rPr>
                <w:rFonts w:cs="Arial"/>
                <w:sz w:val="18"/>
                <w:szCs w:val="18"/>
              </w:rPr>
              <w:t>1,701,199</w:t>
            </w:r>
          </w:p>
        </w:tc>
        <w:tc>
          <w:tcPr>
            <w:tcW w:w="1194" w:type="dxa"/>
            <w:tcBorders>
              <w:top w:val="nil"/>
              <w:left w:val="nil"/>
              <w:bottom w:val="nil"/>
              <w:right w:val="nil"/>
            </w:tcBorders>
            <w:shd w:val="clear" w:color="auto" w:fill="auto"/>
            <w:noWrap/>
            <w:vAlign w:val="bottom"/>
            <w:hideMark/>
          </w:tcPr>
          <w:p w14:paraId="0B809583" w14:textId="77777777" w:rsidR="00561548" w:rsidRPr="00561548" w:rsidRDefault="00561548" w:rsidP="00250A8A">
            <w:pPr>
              <w:spacing w:before="0" w:after="0"/>
              <w:jc w:val="center"/>
              <w:rPr>
                <w:rFonts w:cs="Arial"/>
                <w:sz w:val="18"/>
                <w:szCs w:val="18"/>
              </w:rPr>
            </w:pPr>
            <w:r w:rsidRPr="00561548">
              <w:rPr>
                <w:rFonts w:cs="Arial"/>
                <w:sz w:val="18"/>
                <w:szCs w:val="18"/>
              </w:rPr>
              <w:t>2,689,450</w:t>
            </w:r>
          </w:p>
        </w:tc>
        <w:tc>
          <w:tcPr>
            <w:tcW w:w="1194" w:type="dxa"/>
            <w:tcBorders>
              <w:top w:val="nil"/>
              <w:left w:val="nil"/>
              <w:bottom w:val="nil"/>
              <w:right w:val="nil"/>
            </w:tcBorders>
            <w:shd w:val="clear" w:color="000000" w:fill="FFFF00"/>
            <w:noWrap/>
            <w:vAlign w:val="bottom"/>
            <w:hideMark/>
          </w:tcPr>
          <w:p w14:paraId="5EF47C48" w14:textId="77777777" w:rsidR="00561548" w:rsidRPr="00561548" w:rsidRDefault="00561548" w:rsidP="00250A8A">
            <w:pPr>
              <w:spacing w:before="0" w:after="0"/>
              <w:jc w:val="center"/>
              <w:rPr>
                <w:rFonts w:cs="Arial"/>
                <w:sz w:val="18"/>
                <w:szCs w:val="18"/>
              </w:rPr>
            </w:pPr>
            <w:r w:rsidRPr="00561548">
              <w:rPr>
                <w:rFonts w:cs="Arial"/>
                <w:sz w:val="18"/>
                <w:szCs w:val="18"/>
              </w:rPr>
              <w:t>3,124,009</w:t>
            </w:r>
          </w:p>
        </w:tc>
      </w:tr>
      <w:tr w:rsidR="00561548" w:rsidRPr="00561548" w14:paraId="6A6EDE55" w14:textId="77777777" w:rsidTr="00DB7D3D">
        <w:trPr>
          <w:trHeight w:val="260"/>
        </w:trPr>
        <w:tc>
          <w:tcPr>
            <w:tcW w:w="2127" w:type="dxa"/>
            <w:tcBorders>
              <w:top w:val="nil"/>
              <w:left w:val="nil"/>
              <w:bottom w:val="nil"/>
              <w:right w:val="nil"/>
            </w:tcBorders>
            <w:shd w:val="clear" w:color="auto" w:fill="auto"/>
            <w:noWrap/>
            <w:vAlign w:val="center"/>
            <w:hideMark/>
          </w:tcPr>
          <w:p w14:paraId="0B732226" w14:textId="77777777" w:rsidR="00561548" w:rsidRPr="00561548" w:rsidRDefault="00561548" w:rsidP="00250A8A">
            <w:pPr>
              <w:spacing w:before="0" w:after="0"/>
              <w:jc w:val="center"/>
              <w:rPr>
                <w:rFonts w:cs="Arial"/>
                <w:sz w:val="18"/>
                <w:szCs w:val="18"/>
              </w:rPr>
            </w:pPr>
            <w:r w:rsidRPr="00561548">
              <w:rPr>
                <w:rFonts w:cs="Arial"/>
                <w:sz w:val="18"/>
                <w:szCs w:val="18"/>
              </w:rPr>
              <w:t>Olive Pascoe River</w:t>
            </w:r>
          </w:p>
        </w:tc>
        <w:tc>
          <w:tcPr>
            <w:tcW w:w="1417" w:type="dxa"/>
            <w:tcBorders>
              <w:top w:val="nil"/>
              <w:left w:val="nil"/>
              <w:bottom w:val="nil"/>
              <w:right w:val="nil"/>
            </w:tcBorders>
            <w:shd w:val="clear" w:color="auto" w:fill="auto"/>
            <w:noWrap/>
            <w:vAlign w:val="center"/>
            <w:hideMark/>
          </w:tcPr>
          <w:p w14:paraId="5AF1D2C3" w14:textId="77777777" w:rsidR="00561548" w:rsidRPr="00561548" w:rsidRDefault="00561548" w:rsidP="00250A8A">
            <w:pPr>
              <w:spacing w:before="0" w:after="0"/>
              <w:jc w:val="center"/>
              <w:rPr>
                <w:rFonts w:cs="Arial"/>
                <w:sz w:val="18"/>
                <w:szCs w:val="18"/>
              </w:rPr>
            </w:pPr>
            <w:r w:rsidRPr="00561548">
              <w:rPr>
                <w:rFonts w:cs="Arial"/>
                <w:sz w:val="18"/>
                <w:szCs w:val="18"/>
              </w:rPr>
              <w:t>2,580,727</w:t>
            </w:r>
          </w:p>
        </w:tc>
        <w:tc>
          <w:tcPr>
            <w:tcW w:w="1193" w:type="dxa"/>
            <w:tcBorders>
              <w:top w:val="nil"/>
              <w:left w:val="nil"/>
              <w:bottom w:val="nil"/>
              <w:right w:val="nil"/>
            </w:tcBorders>
            <w:shd w:val="clear" w:color="auto" w:fill="auto"/>
            <w:noWrap/>
            <w:vAlign w:val="center"/>
            <w:hideMark/>
          </w:tcPr>
          <w:p w14:paraId="0A2F5D35" w14:textId="77777777" w:rsidR="00561548" w:rsidRPr="00561548" w:rsidRDefault="00561548" w:rsidP="00250A8A">
            <w:pPr>
              <w:spacing w:before="0" w:after="0"/>
              <w:jc w:val="center"/>
              <w:rPr>
                <w:rFonts w:cs="Arial"/>
                <w:sz w:val="18"/>
                <w:szCs w:val="18"/>
              </w:rPr>
            </w:pPr>
            <w:r w:rsidRPr="00561548">
              <w:rPr>
                <w:rFonts w:cs="Arial"/>
                <w:sz w:val="18"/>
                <w:szCs w:val="18"/>
              </w:rPr>
              <w:t>788,484</w:t>
            </w:r>
          </w:p>
        </w:tc>
        <w:tc>
          <w:tcPr>
            <w:tcW w:w="1194" w:type="dxa"/>
            <w:tcBorders>
              <w:top w:val="nil"/>
              <w:left w:val="nil"/>
              <w:bottom w:val="nil"/>
              <w:right w:val="nil"/>
            </w:tcBorders>
            <w:shd w:val="clear" w:color="auto" w:fill="auto"/>
            <w:noWrap/>
            <w:vAlign w:val="bottom"/>
            <w:hideMark/>
          </w:tcPr>
          <w:p w14:paraId="56176FFA" w14:textId="77777777" w:rsidR="00561548" w:rsidRPr="00561548" w:rsidRDefault="00561548" w:rsidP="00250A8A">
            <w:pPr>
              <w:spacing w:before="0" w:after="0"/>
              <w:jc w:val="center"/>
              <w:rPr>
                <w:rFonts w:cs="Arial"/>
                <w:sz w:val="18"/>
                <w:szCs w:val="18"/>
              </w:rPr>
            </w:pPr>
            <w:r w:rsidRPr="00561548">
              <w:rPr>
                <w:rFonts w:cs="Arial"/>
                <w:sz w:val="18"/>
                <w:szCs w:val="18"/>
              </w:rPr>
              <w:t>2,978,821</w:t>
            </w:r>
          </w:p>
        </w:tc>
        <w:tc>
          <w:tcPr>
            <w:tcW w:w="1194" w:type="dxa"/>
            <w:tcBorders>
              <w:top w:val="nil"/>
              <w:left w:val="nil"/>
              <w:bottom w:val="nil"/>
              <w:right w:val="nil"/>
            </w:tcBorders>
            <w:shd w:val="clear" w:color="auto" w:fill="auto"/>
            <w:noWrap/>
            <w:vAlign w:val="bottom"/>
            <w:hideMark/>
          </w:tcPr>
          <w:p w14:paraId="5C2FACB9" w14:textId="77777777" w:rsidR="00561548" w:rsidRPr="00561548" w:rsidRDefault="00561548" w:rsidP="00250A8A">
            <w:pPr>
              <w:spacing w:before="0" w:after="0"/>
              <w:jc w:val="center"/>
              <w:rPr>
                <w:rFonts w:cs="Arial"/>
                <w:sz w:val="18"/>
                <w:szCs w:val="18"/>
              </w:rPr>
            </w:pPr>
            <w:r w:rsidRPr="00561548">
              <w:rPr>
                <w:rFonts w:cs="Arial"/>
                <w:sz w:val="18"/>
                <w:szCs w:val="18"/>
              </w:rPr>
              <w:t>3,424,596</w:t>
            </w:r>
          </w:p>
        </w:tc>
        <w:tc>
          <w:tcPr>
            <w:tcW w:w="1194" w:type="dxa"/>
            <w:tcBorders>
              <w:top w:val="nil"/>
              <w:left w:val="nil"/>
              <w:bottom w:val="nil"/>
              <w:right w:val="nil"/>
            </w:tcBorders>
            <w:shd w:val="clear" w:color="000000" w:fill="FF9900"/>
            <w:noWrap/>
            <w:vAlign w:val="bottom"/>
            <w:hideMark/>
          </w:tcPr>
          <w:p w14:paraId="2C022C6B" w14:textId="77777777" w:rsidR="00561548" w:rsidRPr="00561548" w:rsidRDefault="00561548" w:rsidP="00250A8A">
            <w:pPr>
              <w:spacing w:before="0" w:after="0"/>
              <w:jc w:val="center"/>
              <w:rPr>
                <w:rFonts w:cs="Arial"/>
                <w:sz w:val="18"/>
                <w:szCs w:val="18"/>
              </w:rPr>
            </w:pPr>
            <w:r w:rsidRPr="00561548">
              <w:rPr>
                <w:rFonts w:cs="Arial"/>
                <w:sz w:val="18"/>
                <w:szCs w:val="18"/>
              </w:rPr>
              <w:t>6,992,798</w:t>
            </w:r>
          </w:p>
        </w:tc>
      </w:tr>
      <w:tr w:rsidR="00561548" w:rsidRPr="00561548" w14:paraId="55743BB8" w14:textId="77777777" w:rsidTr="00DB7D3D">
        <w:trPr>
          <w:trHeight w:val="260"/>
        </w:trPr>
        <w:tc>
          <w:tcPr>
            <w:tcW w:w="2127" w:type="dxa"/>
            <w:tcBorders>
              <w:top w:val="nil"/>
              <w:left w:val="nil"/>
              <w:bottom w:val="nil"/>
              <w:right w:val="nil"/>
            </w:tcBorders>
            <w:shd w:val="clear" w:color="auto" w:fill="auto"/>
            <w:noWrap/>
            <w:vAlign w:val="center"/>
            <w:hideMark/>
          </w:tcPr>
          <w:p w14:paraId="3A545E70" w14:textId="77777777" w:rsidR="00561548" w:rsidRPr="00561548" w:rsidRDefault="00561548" w:rsidP="00250A8A">
            <w:pPr>
              <w:spacing w:before="0" w:after="0"/>
              <w:jc w:val="center"/>
              <w:rPr>
                <w:rFonts w:cs="Arial"/>
                <w:sz w:val="18"/>
                <w:szCs w:val="18"/>
              </w:rPr>
            </w:pPr>
            <w:r w:rsidRPr="00561548">
              <w:rPr>
                <w:rFonts w:cs="Arial"/>
                <w:sz w:val="18"/>
                <w:szCs w:val="18"/>
              </w:rPr>
              <w:t>Lockhart River</w:t>
            </w:r>
          </w:p>
        </w:tc>
        <w:tc>
          <w:tcPr>
            <w:tcW w:w="1417" w:type="dxa"/>
            <w:tcBorders>
              <w:top w:val="nil"/>
              <w:left w:val="nil"/>
              <w:bottom w:val="nil"/>
              <w:right w:val="nil"/>
            </w:tcBorders>
            <w:shd w:val="clear" w:color="auto" w:fill="auto"/>
            <w:noWrap/>
            <w:vAlign w:val="center"/>
            <w:hideMark/>
          </w:tcPr>
          <w:p w14:paraId="51B7B651" w14:textId="77777777" w:rsidR="00561548" w:rsidRPr="00561548" w:rsidRDefault="00561548" w:rsidP="00250A8A">
            <w:pPr>
              <w:spacing w:before="0" w:after="0"/>
              <w:jc w:val="center"/>
              <w:rPr>
                <w:rFonts w:cs="Arial"/>
                <w:sz w:val="18"/>
                <w:szCs w:val="18"/>
              </w:rPr>
            </w:pPr>
            <w:r w:rsidRPr="00561548">
              <w:rPr>
                <w:rFonts w:cs="Arial"/>
                <w:sz w:val="18"/>
                <w:szCs w:val="18"/>
              </w:rPr>
              <w:t>1,634,460</w:t>
            </w:r>
          </w:p>
        </w:tc>
        <w:tc>
          <w:tcPr>
            <w:tcW w:w="1193" w:type="dxa"/>
            <w:tcBorders>
              <w:top w:val="nil"/>
              <w:left w:val="nil"/>
              <w:bottom w:val="nil"/>
              <w:right w:val="nil"/>
            </w:tcBorders>
            <w:shd w:val="clear" w:color="auto" w:fill="auto"/>
            <w:noWrap/>
            <w:vAlign w:val="center"/>
            <w:hideMark/>
          </w:tcPr>
          <w:p w14:paraId="0FDA3425" w14:textId="77777777" w:rsidR="00561548" w:rsidRPr="00561548" w:rsidRDefault="00561548" w:rsidP="00250A8A">
            <w:pPr>
              <w:spacing w:before="0" w:after="0"/>
              <w:jc w:val="center"/>
              <w:rPr>
                <w:rFonts w:cs="Arial"/>
                <w:sz w:val="18"/>
                <w:szCs w:val="18"/>
              </w:rPr>
            </w:pPr>
            <w:r w:rsidRPr="00561548">
              <w:rPr>
                <w:rFonts w:cs="Arial"/>
                <w:sz w:val="18"/>
                <w:szCs w:val="18"/>
              </w:rPr>
              <w:t>499,373</w:t>
            </w:r>
          </w:p>
        </w:tc>
        <w:tc>
          <w:tcPr>
            <w:tcW w:w="1194" w:type="dxa"/>
            <w:tcBorders>
              <w:top w:val="nil"/>
              <w:left w:val="nil"/>
              <w:bottom w:val="nil"/>
              <w:right w:val="nil"/>
            </w:tcBorders>
            <w:shd w:val="clear" w:color="auto" w:fill="auto"/>
            <w:noWrap/>
            <w:vAlign w:val="bottom"/>
            <w:hideMark/>
          </w:tcPr>
          <w:p w14:paraId="410F2670" w14:textId="77777777" w:rsidR="00561548" w:rsidRPr="00561548" w:rsidRDefault="00561548" w:rsidP="00250A8A">
            <w:pPr>
              <w:spacing w:before="0" w:after="0"/>
              <w:jc w:val="center"/>
              <w:rPr>
                <w:rFonts w:cs="Arial"/>
                <w:sz w:val="18"/>
                <w:szCs w:val="18"/>
              </w:rPr>
            </w:pPr>
            <w:r w:rsidRPr="00561548">
              <w:rPr>
                <w:rFonts w:cs="Arial"/>
                <w:sz w:val="18"/>
                <w:szCs w:val="18"/>
              </w:rPr>
              <w:t>1,886,587</w:t>
            </w:r>
          </w:p>
        </w:tc>
        <w:tc>
          <w:tcPr>
            <w:tcW w:w="1194" w:type="dxa"/>
            <w:tcBorders>
              <w:top w:val="nil"/>
              <w:left w:val="nil"/>
              <w:bottom w:val="nil"/>
              <w:right w:val="nil"/>
            </w:tcBorders>
            <w:shd w:val="clear" w:color="auto" w:fill="auto"/>
            <w:noWrap/>
            <w:vAlign w:val="bottom"/>
            <w:hideMark/>
          </w:tcPr>
          <w:p w14:paraId="7D427CF6" w14:textId="77777777" w:rsidR="00561548" w:rsidRPr="00561548" w:rsidRDefault="00561548" w:rsidP="00250A8A">
            <w:pPr>
              <w:spacing w:before="0" w:after="0"/>
              <w:jc w:val="center"/>
              <w:rPr>
                <w:rFonts w:cs="Arial"/>
                <w:sz w:val="18"/>
                <w:szCs w:val="18"/>
              </w:rPr>
            </w:pPr>
            <w:r w:rsidRPr="00561548">
              <w:rPr>
                <w:rFonts w:cs="Arial"/>
                <w:sz w:val="18"/>
                <w:szCs w:val="18"/>
              </w:rPr>
              <w:t>2,168,911</w:t>
            </w:r>
          </w:p>
        </w:tc>
        <w:tc>
          <w:tcPr>
            <w:tcW w:w="1194" w:type="dxa"/>
            <w:tcBorders>
              <w:top w:val="nil"/>
              <w:left w:val="nil"/>
              <w:bottom w:val="nil"/>
              <w:right w:val="nil"/>
            </w:tcBorders>
            <w:shd w:val="clear" w:color="000000" w:fill="FF9900"/>
            <w:noWrap/>
            <w:vAlign w:val="bottom"/>
            <w:hideMark/>
          </w:tcPr>
          <w:p w14:paraId="7AC0E73E" w14:textId="77777777" w:rsidR="00561548" w:rsidRPr="00561548" w:rsidRDefault="00561548" w:rsidP="00250A8A">
            <w:pPr>
              <w:spacing w:before="0" w:after="0"/>
              <w:jc w:val="center"/>
              <w:rPr>
                <w:rFonts w:cs="Arial"/>
                <w:sz w:val="18"/>
                <w:szCs w:val="18"/>
              </w:rPr>
            </w:pPr>
            <w:r w:rsidRPr="00561548">
              <w:rPr>
                <w:rFonts w:cs="Arial"/>
                <w:sz w:val="18"/>
                <w:szCs w:val="18"/>
              </w:rPr>
              <w:t>4,428,772</w:t>
            </w:r>
          </w:p>
        </w:tc>
      </w:tr>
      <w:tr w:rsidR="00561548" w:rsidRPr="00561548" w14:paraId="5007C5AA" w14:textId="77777777" w:rsidTr="00DB7D3D">
        <w:trPr>
          <w:trHeight w:val="260"/>
        </w:trPr>
        <w:tc>
          <w:tcPr>
            <w:tcW w:w="2127" w:type="dxa"/>
            <w:tcBorders>
              <w:top w:val="nil"/>
              <w:left w:val="nil"/>
              <w:bottom w:val="nil"/>
              <w:right w:val="nil"/>
            </w:tcBorders>
            <w:shd w:val="clear" w:color="auto" w:fill="auto"/>
            <w:noWrap/>
            <w:vAlign w:val="center"/>
            <w:hideMark/>
          </w:tcPr>
          <w:p w14:paraId="6723E7F8" w14:textId="77777777" w:rsidR="00561548" w:rsidRPr="00561548" w:rsidRDefault="00561548" w:rsidP="00250A8A">
            <w:pPr>
              <w:spacing w:before="0" w:after="0"/>
              <w:jc w:val="center"/>
              <w:rPr>
                <w:rFonts w:cs="Arial"/>
                <w:sz w:val="18"/>
                <w:szCs w:val="18"/>
              </w:rPr>
            </w:pPr>
            <w:r w:rsidRPr="00561548">
              <w:rPr>
                <w:rFonts w:cs="Arial"/>
                <w:sz w:val="18"/>
                <w:szCs w:val="18"/>
              </w:rPr>
              <w:t>Stewart River</w:t>
            </w:r>
          </w:p>
        </w:tc>
        <w:tc>
          <w:tcPr>
            <w:tcW w:w="1417" w:type="dxa"/>
            <w:tcBorders>
              <w:top w:val="nil"/>
              <w:left w:val="nil"/>
              <w:bottom w:val="nil"/>
              <w:right w:val="nil"/>
            </w:tcBorders>
            <w:shd w:val="clear" w:color="auto" w:fill="auto"/>
            <w:noWrap/>
            <w:vAlign w:val="center"/>
            <w:hideMark/>
          </w:tcPr>
          <w:p w14:paraId="67870509" w14:textId="77777777" w:rsidR="00561548" w:rsidRPr="00561548" w:rsidRDefault="00561548" w:rsidP="00250A8A">
            <w:pPr>
              <w:spacing w:before="0" w:after="0"/>
              <w:jc w:val="center"/>
              <w:rPr>
                <w:rFonts w:cs="Arial"/>
                <w:sz w:val="18"/>
                <w:szCs w:val="18"/>
              </w:rPr>
            </w:pPr>
            <w:r w:rsidRPr="00561548">
              <w:rPr>
                <w:rFonts w:cs="Arial"/>
                <w:sz w:val="18"/>
                <w:szCs w:val="18"/>
              </w:rPr>
              <w:t>674,618</w:t>
            </w:r>
          </w:p>
        </w:tc>
        <w:tc>
          <w:tcPr>
            <w:tcW w:w="1193" w:type="dxa"/>
            <w:tcBorders>
              <w:top w:val="nil"/>
              <w:left w:val="nil"/>
              <w:bottom w:val="nil"/>
              <w:right w:val="nil"/>
            </w:tcBorders>
            <w:shd w:val="clear" w:color="auto" w:fill="auto"/>
            <w:noWrap/>
            <w:vAlign w:val="center"/>
            <w:hideMark/>
          </w:tcPr>
          <w:p w14:paraId="41D91258" w14:textId="77777777" w:rsidR="00561548" w:rsidRPr="00561548" w:rsidRDefault="00561548" w:rsidP="00250A8A">
            <w:pPr>
              <w:spacing w:before="0" w:after="0"/>
              <w:jc w:val="center"/>
              <w:rPr>
                <w:rFonts w:cs="Arial"/>
                <w:sz w:val="18"/>
                <w:szCs w:val="18"/>
              </w:rPr>
            </w:pPr>
            <w:r w:rsidRPr="00561548">
              <w:rPr>
                <w:rFonts w:cs="Arial"/>
                <w:sz w:val="18"/>
                <w:szCs w:val="18"/>
              </w:rPr>
              <w:t>311,901</w:t>
            </w:r>
          </w:p>
        </w:tc>
        <w:tc>
          <w:tcPr>
            <w:tcW w:w="1194" w:type="dxa"/>
            <w:tcBorders>
              <w:top w:val="nil"/>
              <w:left w:val="nil"/>
              <w:bottom w:val="nil"/>
              <w:right w:val="nil"/>
            </w:tcBorders>
            <w:shd w:val="clear" w:color="auto" w:fill="auto"/>
            <w:noWrap/>
            <w:vAlign w:val="bottom"/>
            <w:hideMark/>
          </w:tcPr>
          <w:p w14:paraId="3FA19F46" w14:textId="77777777" w:rsidR="00561548" w:rsidRPr="00561548" w:rsidRDefault="00561548" w:rsidP="00250A8A">
            <w:pPr>
              <w:spacing w:before="0" w:after="0"/>
              <w:jc w:val="center"/>
              <w:rPr>
                <w:rFonts w:cs="Arial"/>
                <w:sz w:val="18"/>
                <w:szCs w:val="18"/>
              </w:rPr>
            </w:pPr>
            <w:r w:rsidRPr="00561548">
              <w:rPr>
                <w:rFonts w:cs="Arial"/>
                <w:sz w:val="18"/>
                <w:szCs w:val="18"/>
              </w:rPr>
              <w:t>685,263</w:t>
            </w:r>
          </w:p>
        </w:tc>
        <w:tc>
          <w:tcPr>
            <w:tcW w:w="1194" w:type="dxa"/>
            <w:tcBorders>
              <w:top w:val="nil"/>
              <w:left w:val="nil"/>
              <w:bottom w:val="nil"/>
              <w:right w:val="nil"/>
            </w:tcBorders>
            <w:shd w:val="clear" w:color="auto" w:fill="auto"/>
            <w:noWrap/>
            <w:vAlign w:val="bottom"/>
            <w:hideMark/>
          </w:tcPr>
          <w:p w14:paraId="36680A16" w14:textId="77777777" w:rsidR="00561548" w:rsidRPr="00561548" w:rsidRDefault="00561548" w:rsidP="00250A8A">
            <w:pPr>
              <w:spacing w:before="0" w:after="0"/>
              <w:jc w:val="center"/>
              <w:rPr>
                <w:rFonts w:cs="Arial"/>
                <w:sz w:val="18"/>
                <w:szCs w:val="18"/>
              </w:rPr>
            </w:pPr>
            <w:r w:rsidRPr="00561548">
              <w:rPr>
                <w:rFonts w:cs="Arial"/>
                <w:sz w:val="18"/>
                <w:szCs w:val="18"/>
              </w:rPr>
              <w:t>826,499</w:t>
            </w:r>
          </w:p>
        </w:tc>
        <w:tc>
          <w:tcPr>
            <w:tcW w:w="1194" w:type="dxa"/>
            <w:tcBorders>
              <w:top w:val="nil"/>
              <w:left w:val="nil"/>
              <w:bottom w:val="nil"/>
              <w:right w:val="nil"/>
            </w:tcBorders>
            <w:shd w:val="clear" w:color="000000" w:fill="FF0000"/>
            <w:noWrap/>
            <w:vAlign w:val="bottom"/>
            <w:hideMark/>
          </w:tcPr>
          <w:p w14:paraId="5057B6AC" w14:textId="77777777" w:rsidR="00561548" w:rsidRPr="00561548" w:rsidRDefault="00561548" w:rsidP="00250A8A">
            <w:pPr>
              <w:spacing w:before="0" w:after="0"/>
              <w:jc w:val="center"/>
              <w:rPr>
                <w:rFonts w:cs="Arial"/>
                <w:sz w:val="18"/>
                <w:szCs w:val="18"/>
              </w:rPr>
            </w:pPr>
            <w:r w:rsidRPr="00561548">
              <w:rPr>
                <w:rFonts w:cs="Arial"/>
                <w:sz w:val="18"/>
                <w:szCs w:val="18"/>
              </w:rPr>
              <w:t>3,109,052</w:t>
            </w:r>
          </w:p>
        </w:tc>
      </w:tr>
      <w:tr w:rsidR="00561548" w:rsidRPr="00561548" w14:paraId="6D150391" w14:textId="77777777" w:rsidTr="00DB7D3D">
        <w:trPr>
          <w:trHeight w:val="260"/>
        </w:trPr>
        <w:tc>
          <w:tcPr>
            <w:tcW w:w="2127" w:type="dxa"/>
            <w:tcBorders>
              <w:top w:val="nil"/>
              <w:left w:val="nil"/>
              <w:bottom w:val="nil"/>
              <w:right w:val="nil"/>
            </w:tcBorders>
            <w:shd w:val="clear" w:color="auto" w:fill="auto"/>
            <w:noWrap/>
            <w:vAlign w:val="center"/>
            <w:hideMark/>
          </w:tcPr>
          <w:p w14:paraId="5536FB26" w14:textId="77777777" w:rsidR="00561548" w:rsidRPr="00561548" w:rsidRDefault="00561548" w:rsidP="00250A8A">
            <w:pPr>
              <w:spacing w:before="0" w:after="0"/>
              <w:jc w:val="center"/>
              <w:rPr>
                <w:rFonts w:cs="Arial"/>
                <w:sz w:val="18"/>
                <w:szCs w:val="18"/>
              </w:rPr>
            </w:pPr>
            <w:r w:rsidRPr="00561548">
              <w:rPr>
                <w:rFonts w:cs="Arial"/>
                <w:sz w:val="18"/>
                <w:szCs w:val="18"/>
              </w:rPr>
              <w:t>Normanby River</w:t>
            </w:r>
          </w:p>
        </w:tc>
        <w:tc>
          <w:tcPr>
            <w:tcW w:w="1417" w:type="dxa"/>
            <w:tcBorders>
              <w:top w:val="nil"/>
              <w:left w:val="nil"/>
              <w:bottom w:val="nil"/>
              <w:right w:val="nil"/>
            </w:tcBorders>
            <w:shd w:val="clear" w:color="auto" w:fill="auto"/>
            <w:noWrap/>
            <w:vAlign w:val="center"/>
            <w:hideMark/>
          </w:tcPr>
          <w:p w14:paraId="394DCC54" w14:textId="77777777" w:rsidR="00561548" w:rsidRPr="00561548" w:rsidRDefault="00561548" w:rsidP="00250A8A">
            <w:pPr>
              <w:spacing w:before="0" w:after="0"/>
              <w:jc w:val="center"/>
              <w:rPr>
                <w:rFonts w:cs="Arial"/>
                <w:sz w:val="18"/>
                <w:szCs w:val="18"/>
              </w:rPr>
            </w:pPr>
            <w:r w:rsidRPr="00561548">
              <w:rPr>
                <w:rFonts w:cs="Arial"/>
                <w:sz w:val="18"/>
                <w:szCs w:val="18"/>
              </w:rPr>
              <w:t>4,159,062</w:t>
            </w:r>
          </w:p>
        </w:tc>
        <w:tc>
          <w:tcPr>
            <w:tcW w:w="1193" w:type="dxa"/>
            <w:tcBorders>
              <w:top w:val="nil"/>
              <w:left w:val="nil"/>
              <w:bottom w:val="nil"/>
              <w:right w:val="nil"/>
            </w:tcBorders>
            <w:shd w:val="clear" w:color="auto" w:fill="auto"/>
            <w:noWrap/>
            <w:vAlign w:val="center"/>
            <w:hideMark/>
          </w:tcPr>
          <w:p w14:paraId="78A47F17" w14:textId="77777777" w:rsidR="00561548" w:rsidRPr="00561548" w:rsidRDefault="00561548" w:rsidP="00250A8A">
            <w:pPr>
              <w:spacing w:before="0" w:after="0"/>
              <w:jc w:val="center"/>
              <w:rPr>
                <w:rFonts w:cs="Arial"/>
                <w:sz w:val="18"/>
                <w:szCs w:val="18"/>
              </w:rPr>
            </w:pPr>
            <w:r w:rsidRPr="00561548">
              <w:rPr>
                <w:rFonts w:cs="Arial"/>
                <w:sz w:val="18"/>
                <w:szCs w:val="18"/>
              </w:rPr>
              <w:t>3,407,359</w:t>
            </w:r>
          </w:p>
        </w:tc>
        <w:tc>
          <w:tcPr>
            <w:tcW w:w="1194" w:type="dxa"/>
            <w:tcBorders>
              <w:top w:val="nil"/>
              <w:left w:val="nil"/>
              <w:bottom w:val="nil"/>
              <w:right w:val="nil"/>
            </w:tcBorders>
            <w:shd w:val="clear" w:color="auto" w:fill="auto"/>
            <w:noWrap/>
            <w:vAlign w:val="bottom"/>
            <w:hideMark/>
          </w:tcPr>
          <w:p w14:paraId="59AC879F" w14:textId="77777777" w:rsidR="00561548" w:rsidRPr="00561548" w:rsidRDefault="00561548" w:rsidP="00250A8A">
            <w:pPr>
              <w:spacing w:before="0" w:after="0"/>
              <w:jc w:val="center"/>
              <w:rPr>
                <w:rFonts w:cs="Arial"/>
                <w:sz w:val="18"/>
                <w:szCs w:val="18"/>
              </w:rPr>
            </w:pPr>
            <w:r w:rsidRPr="00561548">
              <w:rPr>
                <w:rFonts w:cs="Arial"/>
                <w:sz w:val="18"/>
                <w:szCs w:val="18"/>
              </w:rPr>
              <w:t>3,780,651</w:t>
            </w:r>
          </w:p>
        </w:tc>
        <w:tc>
          <w:tcPr>
            <w:tcW w:w="1194" w:type="dxa"/>
            <w:tcBorders>
              <w:top w:val="nil"/>
              <w:left w:val="nil"/>
              <w:bottom w:val="nil"/>
              <w:right w:val="nil"/>
            </w:tcBorders>
            <w:shd w:val="clear" w:color="auto" w:fill="auto"/>
            <w:noWrap/>
            <w:vAlign w:val="bottom"/>
            <w:hideMark/>
          </w:tcPr>
          <w:p w14:paraId="4ADBB8C0" w14:textId="77777777" w:rsidR="00561548" w:rsidRPr="00561548" w:rsidRDefault="00561548" w:rsidP="00250A8A">
            <w:pPr>
              <w:spacing w:before="0" w:after="0"/>
              <w:jc w:val="center"/>
              <w:rPr>
                <w:rFonts w:cs="Arial"/>
                <w:sz w:val="18"/>
                <w:szCs w:val="18"/>
              </w:rPr>
            </w:pPr>
            <w:r w:rsidRPr="00561548">
              <w:rPr>
                <w:rFonts w:cs="Arial"/>
                <w:sz w:val="18"/>
                <w:szCs w:val="18"/>
              </w:rPr>
              <w:t>4,333,023</w:t>
            </w:r>
          </w:p>
        </w:tc>
        <w:tc>
          <w:tcPr>
            <w:tcW w:w="1194" w:type="dxa"/>
            <w:tcBorders>
              <w:top w:val="nil"/>
              <w:left w:val="nil"/>
              <w:bottom w:val="nil"/>
              <w:right w:val="nil"/>
            </w:tcBorders>
            <w:shd w:val="clear" w:color="000000" w:fill="FF9900"/>
            <w:noWrap/>
            <w:vAlign w:val="bottom"/>
            <w:hideMark/>
          </w:tcPr>
          <w:p w14:paraId="6A4B7D5B" w14:textId="77777777" w:rsidR="00561548" w:rsidRPr="00561548" w:rsidRDefault="00561548" w:rsidP="00250A8A">
            <w:pPr>
              <w:spacing w:before="0" w:after="0"/>
              <w:jc w:val="center"/>
              <w:rPr>
                <w:rFonts w:cs="Arial"/>
                <w:sz w:val="18"/>
                <w:szCs w:val="18"/>
              </w:rPr>
            </w:pPr>
            <w:r w:rsidRPr="00561548">
              <w:rPr>
                <w:rFonts w:cs="Arial"/>
                <w:sz w:val="18"/>
                <w:szCs w:val="18"/>
              </w:rPr>
              <w:t>12,102,053</w:t>
            </w:r>
          </w:p>
        </w:tc>
      </w:tr>
      <w:tr w:rsidR="00561548" w:rsidRPr="00561548" w14:paraId="7418E2F0" w14:textId="77777777" w:rsidTr="00DB7D3D">
        <w:trPr>
          <w:trHeight w:val="260"/>
        </w:trPr>
        <w:tc>
          <w:tcPr>
            <w:tcW w:w="2127" w:type="dxa"/>
            <w:tcBorders>
              <w:top w:val="nil"/>
              <w:left w:val="nil"/>
              <w:bottom w:val="nil"/>
              <w:right w:val="nil"/>
            </w:tcBorders>
            <w:shd w:val="clear" w:color="auto" w:fill="auto"/>
            <w:noWrap/>
            <w:vAlign w:val="center"/>
            <w:hideMark/>
          </w:tcPr>
          <w:p w14:paraId="5A36C703" w14:textId="77777777" w:rsidR="00561548" w:rsidRPr="00561548" w:rsidRDefault="00561548" w:rsidP="00250A8A">
            <w:pPr>
              <w:spacing w:before="0" w:after="0"/>
              <w:jc w:val="center"/>
              <w:rPr>
                <w:rFonts w:cs="Arial"/>
                <w:sz w:val="18"/>
                <w:szCs w:val="18"/>
              </w:rPr>
            </w:pPr>
            <w:r w:rsidRPr="00561548">
              <w:rPr>
                <w:rFonts w:cs="Arial"/>
                <w:sz w:val="18"/>
                <w:szCs w:val="18"/>
              </w:rPr>
              <w:t>Jeannie River</w:t>
            </w:r>
          </w:p>
        </w:tc>
        <w:tc>
          <w:tcPr>
            <w:tcW w:w="1417" w:type="dxa"/>
            <w:tcBorders>
              <w:top w:val="nil"/>
              <w:left w:val="nil"/>
              <w:bottom w:val="nil"/>
              <w:right w:val="nil"/>
            </w:tcBorders>
            <w:shd w:val="clear" w:color="auto" w:fill="auto"/>
            <w:noWrap/>
            <w:vAlign w:val="center"/>
            <w:hideMark/>
          </w:tcPr>
          <w:p w14:paraId="027DA951" w14:textId="77777777" w:rsidR="00561548" w:rsidRPr="00561548" w:rsidRDefault="00561548" w:rsidP="00250A8A">
            <w:pPr>
              <w:spacing w:before="0" w:after="0"/>
              <w:jc w:val="center"/>
              <w:rPr>
                <w:rFonts w:cs="Arial"/>
                <w:sz w:val="18"/>
                <w:szCs w:val="18"/>
              </w:rPr>
            </w:pPr>
            <w:r w:rsidRPr="00561548">
              <w:rPr>
                <w:rFonts w:cs="Arial"/>
                <w:sz w:val="18"/>
                <w:szCs w:val="18"/>
              </w:rPr>
              <w:t>1,263,328</w:t>
            </w:r>
          </w:p>
        </w:tc>
        <w:tc>
          <w:tcPr>
            <w:tcW w:w="1193" w:type="dxa"/>
            <w:tcBorders>
              <w:top w:val="nil"/>
              <w:left w:val="nil"/>
              <w:bottom w:val="nil"/>
              <w:right w:val="nil"/>
            </w:tcBorders>
            <w:shd w:val="clear" w:color="auto" w:fill="auto"/>
            <w:noWrap/>
            <w:vAlign w:val="center"/>
            <w:hideMark/>
          </w:tcPr>
          <w:p w14:paraId="29D53921" w14:textId="77777777" w:rsidR="00561548" w:rsidRPr="00561548" w:rsidRDefault="00561548" w:rsidP="00250A8A">
            <w:pPr>
              <w:spacing w:before="0" w:after="0"/>
              <w:jc w:val="center"/>
              <w:rPr>
                <w:rFonts w:cs="Arial"/>
                <w:sz w:val="18"/>
                <w:szCs w:val="18"/>
              </w:rPr>
            </w:pPr>
            <w:r w:rsidRPr="00561548">
              <w:rPr>
                <w:rFonts w:cs="Arial"/>
                <w:sz w:val="18"/>
                <w:szCs w:val="18"/>
              </w:rPr>
              <w:t>1,581,015</w:t>
            </w:r>
          </w:p>
        </w:tc>
        <w:tc>
          <w:tcPr>
            <w:tcW w:w="1194" w:type="dxa"/>
            <w:tcBorders>
              <w:top w:val="nil"/>
              <w:left w:val="nil"/>
              <w:bottom w:val="nil"/>
              <w:right w:val="nil"/>
            </w:tcBorders>
            <w:shd w:val="clear" w:color="auto" w:fill="auto"/>
            <w:noWrap/>
            <w:vAlign w:val="bottom"/>
            <w:hideMark/>
          </w:tcPr>
          <w:p w14:paraId="73FD8360" w14:textId="77777777" w:rsidR="00561548" w:rsidRPr="00561548" w:rsidRDefault="00561548" w:rsidP="00250A8A">
            <w:pPr>
              <w:spacing w:before="0" w:after="0"/>
              <w:jc w:val="center"/>
              <w:rPr>
                <w:rFonts w:cs="Arial"/>
                <w:sz w:val="18"/>
                <w:szCs w:val="18"/>
              </w:rPr>
            </w:pPr>
            <w:r w:rsidRPr="00561548">
              <w:rPr>
                <w:rFonts w:cs="Arial"/>
                <w:sz w:val="18"/>
                <w:szCs w:val="18"/>
              </w:rPr>
              <w:t>1,746,929</w:t>
            </w:r>
          </w:p>
        </w:tc>
        <w:tc>
          <w:tcPr>
            <w:tcW w:w="1194" w:type="dxa"/>
            <w:tcBorders>
              <w:top w:val="nil"/>
              <w:left w:val="nil"/>
              <w:bottom w:val="nil"/>
              <w:right w:val="nil"/>
            </w:tcBorders>
            <w:shd w:val="clear" w:color="auto" w:fill="auto"/>
            <w:noWrap/>
            <w:vAlign w:val="bottom"/>
            <w:hideMark/>
          </w:tcPr>
          <w:p w14:paraId="5FA5E94B" w14:textId="77777777" w:rsidR="00561548" w:rsidRPr="00561548" w:rsidRDefault="00561548" w:rsidP="00250A8A">
            <w:pPr>
              <w:spacing w:before="0" w:after="0"/>
              <w:jc w:val="center"/>
              <w:rPr>
                <w:rFonts w:cs="Arial"/>
                <w:sz w:val="18"/>
                <w:szCs w:val="18"/>
              </w:rPr>
            </w:pPr>
            <w:r w:rsidRPr="00561548">
              <w:rPr>
                <w:rFonts w:cs="Arial"/>
                <w:sz w:val="18"/>
                <w:szCs w:val="18"/>
              </w:rPr>
              <w:t>1,721,175</w:t>
            </w:r>
          </w:p>
        </w:tc>
        <w:tc>
          <w:tcPr>
            <w:tcW w:w="1194" w:type="dxa"/>
            <w:tcBorders>
              <w:top w:val="nil"/>
              <w:left w:val="nil"/>
              <w:bottom w:val="nil"/>
              <w:right w:val="nil"/>
            </w:tcBorders>
            <w:shd w:val="clear" w:color="000000" w:fill="FF9900"/>
            <w:noWrap/>
            <w:vAlign w:val="bottom"/>
            <w:hideMark/>
          </w:tcPr>
          <w:p w14:paraId="7AF3BFFA" w14:textId="77777777" w:rsidR="00561548" w:rsidRPr="00561548" w:rsidRDefault="00561548" w:rsidP="00250A8A">
            <w:pPr>
              <w:spacing w:before="0" w:after="0"/>
              <w:jc w:val="center"/>
              <w:rPr>
                <w:rFonts w:cs="Arial"/>
                <w:sz w:val="18"/>
                <w:szCs w:val="18"/>
              </w:rPr>
            </w:pPr>
            <w:r w:rsidRPr="00561548">
              <w:rPr>
                <w:rFonts w:cs="Arial"/>
                <w:sz w:val="18"/>
                <w:szCs w:val="18"/>
              </w:rPr>
              <w:t>3,350,682</w:t>
            </w:r>
          </w:p>
        </w:tc>
      </w:tr>
      <w:tr w:rsidR="00561548" w:rsidRPr="00561548" w14:paraId="2DBBE655" w14:textId="77777777" w:rsidTr="00DB7D3D">
        <w:trPr>
          <w:trHeight w:val="260"/>
        </w:trPr>
        <w:tc>
          <w:tcPr>
            <w:tcW w:w="2127" w:type="dxa"/>
            <w:tcBorders>
              <w:top w:val="nil"/>
              <w:left w:val="nil"/>
              <w:bottom w:val="nil"/>
              <w:right w:val="nil"/>
            </w:tcBorders>
            <w:shd w:val="clear" w:color="auto" w:fill="auto"/>
            <w:noWrap/>
            <w:vAlign w:val="center"/>
            <w:hideMark/>
          </w:tcPr>
          <w:p w14:paraId="79C6FA9C" w14:textId="77777777" w:rsidR="00561548" w:rsidRPr="00561548" w:rsidRDefault="00561548" w:rsidP="00250A8A">
            <w:pPr>
              <w:spacing w:before="0" w:after="0"/>
              <w:jc w:val="center"/>
              <w:rPr>
                <w:rFonts w:cs="Arial"/>
                <w:sz w:val="18"/>
                <w:szCs w:val="18"/>
              </w:rPr>
            </w:pPr>
            <w:r w:rsidRPr="00561548">
              <w:rPr>
                <w:rFonts w:cs="Arial"/>
                <w:sz w:val="18"/>
                <w:szCs w:val="18"/>
              </w:rPr>
              <w:t>Endeavour River</w:t>
            </w:r>
          </w:p>
        </w:tc>
        <w:tc>
          <w:tcPr>
            <w:tcW w:w="1417" w:type="dxa"/>
            <w:tcBorders>
              <w:top w:val="nil"/>
              <w:left w:val="nil"/>
              <w:bottom w:val="nil"/>
              <w:right w:val="nil"/>
            </w:tcBorders>
            <w:shd w:val="clear" w:color="auto" w:fill="auto"/>
            <w:noWrap/>
            <w:vAlign w:val="center"/>
            <w:hideMark/>
          </w:tcPr>
          <w:p w14:paraId="61892263" w14:textId="77777777" w:rsidR="00561548" w:rsidRPr="00561548" w:rsidRDefault="00561548" w:rsidP="00250A8A">
            <w:pPr>
              <w:spacing w:before="0" w:after="0"/>
              <w:jc w:val="center"/>
              <w:rPr>
                <w:rFonts w:cs="Arial"/>
                <w:sz w:val="18"/>
                <w:szCs w:val="18"/>
              </w:rPr>
            </w:pPr>
            <w:r w:rsidRPr="00561548">
              <w:rPr>
                <w:rFonts w:cs="Arial"/>
                <w:sz w:val="18"/>
                <w:szCs w:val="18"/>
              </w:rPr>
              <w:t>1,393,744</w:t>
            </w:r>
          </w:p>
        </w:tc>
        <w:tc>
          <w:tcPr>
            <w:tcW w:w="1193" w:type="dxa"/>
            <w:tcBorders>
              <w:top w:val="nil"/>
              <w:left w:val="nil"/>
              <w:bottom w:val="nil"/>
              <w:right w:val="nil"/>
            </w:tcBorders>
            <w:shd w:val="clear" w:color="auto" w:fill="auto"/>
            <w:noWrap/>
            <w:vAlign w:val="center"/>
            <w:hideMark/>
          </w:tcPr>
          <w:p w14:paraId="64F92992" w14:textId="77777777" w:rsidR="00561548" w:rsidRPr="00561548" w:rsidRDefault="00561548" w:rsidP="00250A8A">
            <w:pPr>
              <w:spacing w:before="0" w:after="0"/>
              <w:jc w:val="center"/>
              <w:rPr>
                <w:rFonts w:cs="Arial"/>
                <w:sz w:val="18"/>
                <w:szCs w:val="18"/>
              </w:rPr>
            </w:pPr>
            <w:r w:rsidRPr="00561548">
              <w:rPr>
                <w:rFonts w:cs="Arial"/>
                <w:sz w:val="18"/>
                <w:szCs w:val="18"/>
              </w:rPr>
              <w:t>1,407,701</w:t>
            </w:r>
          </w:p>
        </w:tc>
        <w:tc>
          <w:tcPr>
            <w:tcW w:w="1194" w:type="dxa"/>
            <w:tcBorders>
              <w:top w:val="nil"/>
              <w:left w:val="nil"/>
              <w:bottom w:val="nil"/>
              <w:right w:val="nil"/>
            </w:tcBorders>
            <w:shd w:val="clear" w:color="auto" w:fill="auto"/>
            <w:noWrap/>
            <w:vAlign w:val="bottom"/>
            <w:hideMark/>
          </w:tcPr>
          <w:p w14:paraId="45BCBEAC" w14:textId="77777777" w:rsidR="00561548" w:rsidRPr="00561548" w:rsidRDefault="00561548" w:rsidP="00250A8A">
            <w:pPr>
              <w:spacing w:before="0" w:after="0"/>
              <w:jc w:val="center"/>
              <w:rPr>
                <w:rFonts w:cs="Arial"/>
                <w:sz w:val="18"/>
                <w:szCs w:val="18"/>
              </w:rPr>
            </w:pPr>
            <w:r w:rsidRPr="00561548">
              <w:rPr>
                <w:rFonts w:cs="Arial"/>
                <w:sz w:val="18"/>
                <w:szCs w:val="18"/>
              </w:rPr>
              <w:t>1,665,116</w:t>
            </w:r>
          </w:p>
        </w:tc>
        <w:tc>
          <w:tcPr>
            <w:tcW w:w="1194" w:type="dxa"/>
            <w:tcBorders>
              <w:top w:val="nil"/>
              <w:left w:val="nil"/>
              <w:bottom w:val="nil"/>
              <w:right w:val="nil"/>
            </w:tcBorders>
            <w:shd w:val="clear" w:color="auto" w:fill="auto"/>
            <w:noWrap/>
            <w:vAlign w:val="bottom"/>
            <w:hideMark/>
          </w:tcPr>
          <w:p w14:paraId="74EBB741" w14:textId="77777777" w:rsidR="00561548" w:rsidRPr="00561548" w:rsidRDefault="00561548" w:rsidP="00250A8A">
            <w:pPr>
              <w:spacing w:before="0" w:after="0"/>
              <w:jc w:val="center"/>
              <w:rPr>
                <w:rFonts w:cs="Arial"/>
                <w:sz w:val="18"/>
                <w:szCs w:val="18"/>
              </w:rPr>
            </w:pPr>
            <w:r w:rsidRPr="00561548">
              <w:rPr>
                <w:rFonts w:cs="Arial"/>
                <w:sz w:val="18"/>
                <w:szCs w:val="18"/>
              </w:rPr>
              <w:t>1,796,913</w:t>
            </w:r>
          </w:p>
        </w:tc>
        <w:tc>
          <w:tcPr>
            <w:tcW w:w="1194" w:type="dxa"/>
            <w:tcBorders>
              <w:top w:val="nil"/>
              <w:left w:val="nil"/>
              <w:bottom w:val="nil"/>
              <w:right w:val="nil"/>
            </w:tcBorders>
            <w:shd w:val="clear" w:color="000000" w:fill="FF9900"/>
            <w:noWrap/>
            <w:vAlign w:val="bottom"/>
            <w:hideMark/>
          </w:tcPr>
          <w:p w14:paraId="11E2329A" w14:textId="77777777" w:rsidR="00561548" w:rsidRPr="00561548" w:rsidRDefault="00561548" w:rsidP="00250A8A">
            <w:pPr>
              <w:spacing w:before="0" w:after="0"/>
              <w:jc w:val="center"/>
              <w:rPr>
                <w:rFonts w:cs="Arial"/>
                <w:sz w:val="18"/>
                <w:szCs w:val="18"/>
              </w:rPr>
            </w:pPr>
            <w:r w:rsidRPr="00561548">
              <w:rPr>
                <w:rFonts w:cs="Arial"/>
                <w:sz w:val="18"/>
                <w:szCs w:val="18"/>
              </w:rPr>
              <w:t>3,847,478</w:t>
            </w:r>
          </w:p>
        </w:tc>
      </w:tr>
      <w:tr w:rsidR="00561548" w:rsidRPr="00561548" w14:paraId="36CB56A6" w14:textId="77777777" w:rsidTr="00DB7D3D">
        <w:trPr>
          <w:trHeight w:val="260"/>
        </w:trPr>
        <w:tc>
          <w:tcPr>
            <w:tcW w:w="2127" w:type="dxa"/>
            <w:tcBorders>
              <w:top w:val="nil"/>
              <w:left w:val="nil"/>
              <w:bottom w:val="nil"/>
              <w:right w:val="nil"/>
            </w:tcBorders>
            <w:shd w:val="clear" w:color="auto" w:fill="auto"/>
            <w:noWrap/>
            <w:vAlign w:val="center"/>
            <w:hideMark/>
          </w:tcPr>
          <w:p w14:paraId="1C80210D" w14:textId="77777777" w:rsidR="00561548" w:rsidRPr="00561548" w:rsidRDefault="00561548" w:rsidP="00250A8A">
            <w:pPr>
              <w:spacing w:before="0" w:after="0"/>
              <w:jc w:val="center"/>
              <w:rPr>
                <w:rFonts w:cs="Arial"/>
                <w:sz w:val="18"/>
                <w:szCs w:val="18"/>
              </w:rPr>
            </w:pPr>
            <w:r w:rsidRPr="00561548">
              <w:rPr>
                <w:rFonts w:cs="Arial"/>
                <w:sz w:val="18"/>
                <w:szCs w:val="18"/>
              </w:rPr>
              <w:t>Daintree River</w:t>
            </w:r>
          </w:p>
        </w:tc>
        <w:tc>
          <w:tcPr>
            <w:tcW w:w="1417" w:type="dxa"/>
            <w:tcBorders>
              <w:top w:val="nil"/>
              <w:left w:val="nil"/>
              <w:bottom w:val="nil"/>
              <w:right w:val="nil"/>
            </w:tcBorders>
            <w:shd w:val="clear" w:color="auto" w:fill="auto"/>
            <w:noWrap/>
            <w:vAlign w:val="center"/>
            <w:hideMark/>
          </w:tcPr>
          <w:p w14:paraId="7A809ED9" w14:textId="77777777" w:rsidR="00561548" w:rsidRPr="00561548" w:rsidRDefault="00561548" w:rsidP="00250A8A">
            <w:pPr>
              <w:spacing w:before="0" w:after="0"/>
              <w:jc w:val="center"/>
              <w:rPr>
                <w:rFonts w:cs="Arial"/>
                <w:sz w:val="18"/>
                <w:szCs w:val="18"/>
              </w:rPr>
            </w:pPr>
            <w:r w:rsidRPr="00561548">
              <w:rPr>
                <w:rFonts w:cs="Arial"/>
                <w:sz w:val="18"/>
                <w:szCs w:val="18"/>
              </w:rPr>
              <w:t>1,512,054</w:t>
            </w:r>
          </w:p>
        </w:tc>
        <w:tc>
          <w:tcPr>
            <w:tcW w:w="1193" w:type="dxa"/>
            <w:tcBorders>
              <w:top w:val="nil"/>
              <w:left w:val="nil"/>
              <w:bottom w:val="nil"/>
              <w:right w:val="nil"/>
            </w:tcBorders>
            <w:shd w:val="clear" w:color="auto" w:fill="auto"/>
            <w:noWrap/>
            <w:vAlign w:val="center"/>
            <w:hideMark/>
          </w:tcPr>
          <w:p w14:paraId="335AF4B4" w14:textId="77777777" w:rsidR="00561548" w:rsidRPr="00561548" w:rsidRDefault="00561548" w:rsidP="00250A8A">
            <w:pPr>
              <w:spacing w:before="0" w:after="0"/>
              <w:jc w:val="center"/>
              <w:rPr>
                <w:rFonts w:cs="Arial"/>
                <w:sz w:val="18"/>
                <w:szCs w:val="18"/>
              </w:rPr>
            </w:pPr>
            <w:r w:rsidRPr="00561548">
              <w:rPr>
                <w:rFonts w:cs="Arial"/>
                <w:sz w:val="18"/>
                <w:szCs w:val="18"/>
              </w:rPr>
              <w:t>1,433,059</w:t>
            </w:r>
          </w:p>
        </w:tc>
        <w:tc>
          <w:tcPr>
            <w:tcW w:w="1194" w:type="dxa"/>
            <w:tcBorders>
              <w:top w:val="nil"/>
              <w:left w:val="nil"/>
              <w:bottom w:val="nil"/>
              <w:right w:val="nil"/>
            </w:tcBorders>
            <w:shd w:val="clear" w:color="auto" w:fill="auto"/>
            <w:noWrap/>
            <w:vAlign w:val="bottom"/>
            <w:hideMark/>
          </w:tcPr>
          <w:p w14:paraId="436A5942" w14:textId="77777777" w:rsidR="00561548" w:rsidRPr="00561548" w:rsidRDefault="00561548" w:rsidP="00250A8A">
            <w:pPr>
              <w:spacing w:before="0" w:after="0"/>
              <w:jc w:val="center"/>
              <w:rPr>
                <w:rFonts w:cs="Arial"/>
                <w:sz w:val="18"/>
                <w:szCs w:val="18"/>
              </w:rPr>
            </w:pPr>
            <w:r w:rsidRPr="00561548">
              <w:rPr>
                <w:rFonts w:cs="Arial"/>
                <w:sz w:val="18"/>
                <w:szCs w:val="18"/>
              </w:rPr>
              <w:t>1,590,225</w:t>
            </w:r>
          </w:p>
        </w:tc>
        <w:tc>
          <w:tcPr>
            <w:tcW w:w="1194" w:type="dxa"/>
            <w:tcBorders>
              <w:top w:val="nil"/>
              <w:left w:val="nil"/>
              <w:bottom w:val="nil"/>
              <w:right w:val="nil"/>
            </w:tcBorders>
            <w:shd w:val="clear" w:color="auto" w:fill="auto"/>
            <w:noWrap/>
            <w:vAlign w:val="bottom"/>
            <w:hideMark/>
          </w:tcPr>
          <w:p w14:paraId="61EF17D6" w14:textId="77777777" w:rsidR="00561548" w:rsidRPr="00561548" w:rsidRDefault="00561548" w:rsidP="00250A8A">
            <w:pPr>
              <w:spacing w:before="0" w:after="0"/>
              <w:jc w:val="center"/>
              <w:rPr>
                <w:rFonts w:cs="Arial"/>
                <w:sz w:val="18"/>
                <w:szCs w:val="18"/>
              </w:rPr>
            </w:pPr>
            <w:r w:rsidRPr="00561548">
              <w:rPr>
                <w:rFonts w:cs="Arial"/>
                <w:sz w:val="18"/>
                <w:szCs w:val="18"/>
              </w:rPr>
              <w:t>1,439,220</w:t>
            </w:r>
          </w:p>
        </w:tc>
        <w:tc>
          <w:tcPr>
            <w:tcW w:w="1194" w:type="dxa"/>
            <w:tcBorders>
              <w:top w:val="nil"/>
              <w:left w:val="nil"/>
              <w:bottom w:val="nil"/>
              <w:right w:val="nil"/>
            </w:tcBorders>
            <w:shd w:val="clear" w:color="000000" w:fill="FF0000"/>
            <w:noWrap/>
            <w:vAlign w:val="bottom"/>
            <w:hideMark/>
          </w:tcPr>
          <w:p w14:paraId="2C7244EF" w14:textId="77777777" w:rsidR="00561548" w:rsidRPr="00561548" w:rsidRDefault="00561548" w:rsidP="00250A8A">
            <w:pPr>
              <w:spacing w:before="0" w:after="0"/>
              <w:jc w:val="center"/>
              <w:rPr>
                <w:rFonts w:cs="Arial"/>
                <w:sz w:val="18"/>
                <w:szCs w:val="18"/>
              </w:rPr>
            </w:pPr>
            <w:r w:rsidRPr="00561548">
              <w:rPr>
                <w:rFonts w:cs="Arial"/>
                <w:sz w:val="18"/>
                <w:szCs w:val="18"/>
              </w:rPr>
              <w:t>4,752,327</w:t>
            </w:r>
          </w:p>
        </w:tc>
      </w:tr>
      <w:tr w:rsidR="00561548" w:rsidRPr="00561548" w14:paraId="4A482094" w14:textId="77777777" w:rsidTr="00DB7D3D">
        <w:trPr>
          <w:trHeight w:val="260"/>
        </w:trPr>
        <w:tc>
          <w:tcPr>
            <w:tcW w:w="2127" w:type="dxa"/>
            <w:tcBorders>
              <w:top w:val="nil"/>
              <w:left w:val="nil"/>
              <w:bottom w:val="nil"/>
              <w:right w:val="nil"/>
            </w:tcBorders>
            <w:shd w:val="clear" w:color="auto" w:fill="auto"/>
            <w:noWrap/>
            <w:vAlign w:val="center"/>
            <w:hideMark/>
          </w:tcPr>
          <w:p w14:paraId="31C7DF45" w14:textId="77777777" w:rsidR="00561548" w:rsidRPr="00561548" w:rsidRDefault="00561548" w:rsidP="00250A8A">
            <w:pPr>
              <w:spacing w:before="0" w:after="0"/>
              <w:jc w:val="center"/>
              <w:rPr>
                <w:rFonts w:cs="Arial"/>
                <w:sz w:val="18"/>
                <w:szCs w:val="18"/>
              </w:rPr>
            </w:pPr>
            <w:r w:rsidRPr="00561548">
              <w:rPr>
                <w:rFonts w:cs="Arial"/>
                <w:sz w:val="18"/>
                <w:szCs w:val="18"/>
              </w:rPr>
              <w:t>Mossman River</w:t>
            </w:r>
          </w:p>
        </w:tc>
        <w:tc>
          <w:tcPr>
            <w:tcW w:w="1417" w:type="dxa"/>
            <w:tcBorders>
              <w:top w:val="nil"/>
              <w:left w:val="nil"/>
              <w:bottom w:val="nil"/>
              <w:right w:val="nil"/>
            </w:tcBorders>
            <w:shd w:val="clear" w:color="auto" w:fill="auto"/>
            <w:noWrap/>
            <w:vAlign w:val="center"/>
            <w:hideMark/>
          </w:tcPr>
          <w:p w14:paraId="5BCD200C" w14:textId="77777777" w:rsidR="00561548" w:rsidRPr="00561548" w:rsidRDefault="00561548" w:rsidP="00250A8A">
            <w:pPr>
              <w:spacing w:before="0" w:after="0"/>
              <w:jc w:val="center"/>
              <w:rPr>
                <w:rFonts w:cs="Arial"/>
                <w:sz w:val="18"/>
                <w:szCs w:val="18"/>
              </w:rPr>
            </w:pPr>
            <w:r w:rsidRPr="00561548">
              <w:rPr>
                <w:rFonts w:cs="Arial"/>
                <w:sz w:val="18"/>
                <w:szCs w:val="18"/>
              </w:rPr>
              <w:t>858,320</w:t>
            </w:r>
          </w:p>
        </w:tc>
        <w:tc>
          <w:tcPr>
            <w:tcW w:w="1193" w:type="dxa"/>
            <w:tcBorders>
              <w:top w:val="nil"/>
              <w:left w:val="nil"/>
              <w:bottom w:val="nil"/>
              <w:right w:val="nil"/>
            </w:tcBorders>
            <w:shd w:val="clear" w:color="auto" w:fill="auto"/>
            <w:noWrap/>
            <w:vAlign w:val="center"/>
            <w:hideMark/>
          </w:tcPr>
          <w:p w14:paraId="67535F39" w14:textId="77777777" w:rsidR="00561548" w:rsidRPr="00561548" w:rsidRDefault="00561548" w:rsidP="00250A8A">
            <w:pPr>
              <w:spacing w:before="0" w:after="0"/>
              <w:jc w:val="center"/>
              <w:rPr>
                <w:rFonts w:cs="Arial"/>
                <w:sz w:val="18"/>
                <w:szCs w:val="18"/>
              </w:rPr>
            </w:pPr>
            <w:r w:rsidRPr="00561548">
              <w:rPr>
                <w:rFonts w:cs="Arial"/>
                <w:sz w:val="18"/>
                <w:szCs w:val="18"/>
              </w:rPr>
              <w:t>885,529</w:t>
            </w:r>
          </w:p>
        </w:tc>
        <w:tc>
          <w:tcPr>
            <w:tcW w:w="1194" w:type="dxa"/>
            <w:tcBorders>
              <w:top w:val="nil"/>
              <w:left w:val="nil"/>
              <w:bottom w:val="nil"/>
              <w:right w:val="nil"/>
            </w:tcBorders>
            <w:shd w:val="clear" w:color="auto" w:fill="auto"/>
            <w:noWrap/>
            <w:vAlign w:val="bottom"/>
            <w:hideMark/>
          </w:tcPr>
          <w:p w14:paraId="0478F902" w14:textId="77777777" w:rsidR="00561548" w:rsidRPr="00561548" w:rsidRDefault="00561548" w:rsidP="00250A8A">
            <w:pPr>
              <w:spacing w:before="0" w:after="0"/>
              <w:jc w:val="center"/>
              <w:rPr>
                <w:rFonts w:cs="Arial"/>
                <w:sz w:val="18"/>
                <w:szCs w:val="18"/>
              </w:rPr>
            </w:pPr>
            <w:r w:rsidRPr="00561548">
              <w:rPr>
                <w:rFonts w:cs="Arial"/>
                <w:sz w:val="18"/>
                <w:szCs w:val="18"/>
              </w:rPr>
              <w:t>812,585</w:t>
            </w:r>
          </w:p>
        </w:tc>
        <w:tc>
          <w:tcPr>
            <w:tcW w:w="1194" w:type="dxa"/>
            <w:tcBorders>
              <w:top w:val="nil"/>
              <w:left w:val="nil"/>
              <w:bottom w:val="nil"/>
              <w:right w:val="nil"/>
            </w:tcBorders>
            <w:shd w:val="clear" w:color="auto" w:fill="auto"/>
            <w:noWrap/>
            <w:vAlign w:val="bottom"/>
            <w:hideMark/>
          </w:tcPr>
          <w:p w14:paraId="2FF57966" w14:textId="77777777" w:rsidR="00561548" w:rsidRPr="00561548" w:rsidRDefault="00561548" w:rsidP="00250A8A">
            <w:pPr>
              <w:spacing w:before="0" w:after="0"/>
              <w:jc w:val="center"/>
              <w:rPr>
                <w:rFonts w:cs="Arial"/>
                <w:sz w:val="18"/>
                <w:szCs w:val="18"/>
              </w:rPr>
            </w:pPr>
            <w:r w:rsidRPr="00561548">
              <w:rPr>
                <w:rFonts w:cs="Arial"/>
                <w:sz w:val="18"/>
                <w:szCs w:val="18"/>
              </w:rPr>
              <w:t>1,069,336</w:t>
            </w:r>
          </w:p>
        </w:tc>
        <w:tc>
          <w:tcPr>
            <w:tcW w:w="1194" w:type="dxa"/>
            <w:tcBorders>
              <w:top w:val="nil"/>
              <w:left w:val="nil"/>
              <w:bottom w:val="nil"/>
              <w:right w:val="nil"/>
            </w:tcBorders>
            <w:shd w:val="clear" w:color="000000" w:fill="FF9900"/>
            <w:noWrap/>
            <w:vAlign w:val="bottom"/>
            <w:hideMark/>
          </w:tcPr>
          <w:p w14:paraId="773F1651" w14:textId="77777777" w:rsidR="00561548" w:rsidRPr="00561548" w:rsidRDefault="00561548" w:rsidP="00250A8A">
            <w:pPr>
              <w:spacing w:before="0" w:after="0"/>
              <w:jc w:val="center"/>
              <w:rPr>
                <w:rFonts w:cs="Arial"/>
                <w:sz w:val="18"/>
                <w:szCs w:val="18"/>
              </w:rPr>
            </w:pPr>
            <w:r w:rsidRPr="00561548">
              <w:rPr>
                <w:rFonts w:cs="Arial"/>
                <w:sz w:val="18"/>
                <w:szCs w:val="18"/>
              </w:rPr>
              <w:t>1,885,921</w:t>
            </w:r>
          </w:p>
        </w:tc>
      </w:tr>
      <w:tr w:rsidR="00561548" w:rsidRPr="00561548" w14:paraId="2DF4E9D8" w14:textId="77777777" w:rsidTr="00DB7D3D">
        <w:trPr>
          <w:trHeight w:val="260"/>
        </w:trPr>
        <w:tc>
          <w:tcPr>
            <w:tcW w:w="2127" w:type="dxa"/>
            <w:tcBorders>
              <w:top w:val="nil"/>
              <w:left w:val="nil"/>
              <w:bottom w:val="nil"/>
              <w:right w:val="nil"/>
            </w:tcBorders>
            <w:shd w:val="clear" w:color="auto" w:fill="auto"/>
            <w:noWrap/>
            <w:vAlign w:val="center"/>
            <w:hideMark/>
          </w:tcPr>
          <w:p w14:paraId="4C16B10C" w14:textId="77777777" w:rsidR="00561548" w:rsidRPr="00561548" w:rsidRDefault="00561548" w:rsidP="00250A8A">
            <w:pPr>
              <w:spacing w:before="0" w:after="0"/>
              <w:jc w:val="center"/>
              <w:rPr>
                <w:rFonts w:cs="Arial"/>
                <w:sz w:val="18"/>
                <w:szCs w:val="18"/>
              </w:rPr>
            </w:pPr>
            <w:r w:rsidRPr="00561548">
              <w:rPr>
                <w:rFonts w:cs="Arial"/>
                <w:sz w:val="18"/>
                <w:szCs w:val="18"/>
              </w:rPr>
              <w:t>Barron River</w:t>
            </w:r>
          </w:p>
        </w:tc>
        <w:tc>
          <w:tcPr>
            <w:tcW w:w="1417" w:type="dxa"/>
            <w:tcBorders>
              <w:top w:val="nil"/>
              <w:left w:val="nil"/>
              <w:bottom w:val="nil"/>
              <w:right w:val="nil"/>
            </w:tcBorders>
            <w:shd w:val="clear" w:color="auto" w:fill="auto"/>
            <w:noWrap/>
            <w:vAlign w:val="center"/>
            <w:hideMark/>
          </w:tcPr>
          <w:p w14:paraId="1D92E6B0" w14:textId="77777777" w:rsidR="00561548" w:rsidRPr="00561548" w:rsidRDefault="00561548" w:rsidP="00250A8A">
            <w:pPr>
              <w:spacing w:before="0" w:after="0"/>
              <w:jc w:val="center"/>
              <w:rPr>
                <w:rFonts w:cs="Arial"/>
                <w:sz w:val="18"/>
                <w:szCs w:val="18"/>
              </w:rPr>
            </w:pPr>
            <w:r w:rsidRPr="00561548">
              <w:rPr>
                <w:rFonts w:cs="Arial"/>
                <w:sz w:val="18"/>
                <w:szCs w:val="18"/>
              </w:rPr>
              <w:t>574,567</w:t>
            </w:r>
          </w:p>
        </w:tc>
        <w:tc>
          <w:tcPr>
            <w:tcW w:w="1193" w:type="dxa"/>
            <w:tcBorders>
              <w:top w:val="nil"/>
              <w:left w:val="nil"/>
              <w:bottom w:val="nil"/>
              <w:right w:val="nil"/>
            </w:tcBorders>
            <w:shd w:val="clear" w:color="auto" w:fill="auto"/>
            <w:noWrap/>
            <w:vAlign w:val="center"/>
            <w:hideMark/>
          </w:tcPr>
          <w:p w14:paraId="27A8B2CC" w14:textId="77777777" w:rsidR="00561548" w:rsidRPr="00561548" w:rsidRDefault="00561548" w:rsidP="00250A8A">
            <w:pPr>
              <w:spacing w:before="0" w:after="0"/>
              <w:jc w:val="center"/>
              <w:rPr>
                <w:rFonts w:cs="Arial"/>
                <w:sz w:val="18"/>
                <w:szCs w:val="18"/>
              </w:rPr>
            </w:pPr>
            <w:r w:rsidRPr="00561548">
              <w:rPr>
                <w:rFonts w:cs="Arial"/>
                <w:sz w:val="18"/>
                <w:szCs w:val="18"/>
              </w:rPr>
              <w:t>199,635</w:t>
            </w:r>
          </w:p>
        </w:tc>
        <w:tc>
          <w:tcPr>
            <w:tcW w:w="1194" w:type="dxa"/>
            <w:tcBorders>
              <w:top w:val="nil"/>
              <w:left w:val="nil"/>
              <w:bottom w:val="nil"/>
              <w:right w:val="nil"/>
            </w:tcBorders>
            <w:shd w:val="clear" w:color="auto" w:fill="auto"/>
            <w:noWrap/>
            <w:vAlign w:val="bottom"/>
            <w:hideMark/>
          </w:tcPr>
          <w:p w14:paraId="0DE0132E" w14:textId="77777777" w:rsidR="00561548" w:rsidRPr="00561548" w:rsidRDefault="00561548" w:rsidP="00250A8A">
            <w:pPr>
              <w:spacing w:before="0" w:after="0"/>
              <w:jc w:val="center"/>
              <w:rPr>
                <w:rFonts w:cs="Arial"/>
                <w:sz w:val="18"/>
                <w:szCs w:val="18"/>
              </w:rPr>
            </w:pPr>
            <w:r w:rsidRPr="00561548">
              <w:rPr>
                <w:rFonts w:cs="Arial"/>
                <w:sz w:val="18"/>
                <w:szCs w:val="18"/>
              </w:rPr>
              <w:t>313,952</w:t>
            </w:r>
          </w:p>
        </w:tc>
        <w:tc>
          <w:tcPr>
            <w:tcW w:w="1194" w:type="dxa"/>
            <w:tcBorders>
              <w:top w:val="nil"/>
              <w:left w:val="nil"/>
              <w:bottom w:val="nil"/>
              <w:right w:val="nil"/>
            </w:tcBorders>
            <w:shd w:val="clear" w:color="000000" w:fill="FFFF00"/>
            <w:noWrap/>
            <w:vAlign w:val="bottom"/>
            <w:hideMark/>
          </w:tcPr>
          <w:p w14:paraId="684C81BB" w14:textId="77777777" w:rsidR="00561548" w:rsidRPr="00561548" w:rsidRDefault="00561548" w:rsidP="00250A8A">
            <w:pPr>
              <w:spacing w:before="0" w:after="0"/>
              <w:jc w:val="center"/>
              <w:rPr>
                <w:rFonts w:cs="Arial"/>
                <w:sz w:val="18"/>
                <w:szCs w:val="18"/>
              </w:rPr>
            </w:pPr>
            <w:r w:rsidRPr="00561548">
              <w:rPr>
                <w:rFonts w:cs="Arial"/>
                <w:sz w:val="18"/>
                <w:szCs w:val="18"/>
              </w:rPr>
              <w:t>946,635</w:t>
            </w:r>
          </w:p>
        </w:tc>
        <w:tc>
          <w:tcPr>
            <w:tcW w:w="1194" w:type="dxa"/>
            <w:tcBorders>
              <w:top w:val="nil"/>
              <w:left w:val="nil"/>
              <w:bottom w:val="nil"/>
              <w:right w:val="nil"/>
            </w:tcBorders>
            <w:shd w:val="clear" w:color="000000" w:fill="FF9900"/>
            <w:noWrap/>
            <w:vAlign w:val="bottom"/>
            <w:hideMark/>
          </w:tcPr>
          <w:p w14:paraId="5A19E1B6" w14:textId="77777777" w:rsidR="00561548" w:rsidRPr="00561548" w:rsidRDefault="00561548" w:rsidP="00250A8A">
            <w:pPr>
              <w:spacing w:before="0" w:after="0"/>
              <w:jc w:val="center"/>
              <w:rPr>
                <w:rFonts w:cs="Arial"/>
                <w:sz w:val="18"/>
                <w:szCs w:val="18"/>
              </w:rPr>
            </w:pPr>
            <w:r w:rsidRPr="00561548">
              <w:rPr>
                <w:rFonts w:cs="Arial"/>
                <w:sz w:val="18"/>
                <w:szCs w:val="18"/>
              </w:rPr>
              <w:t>1,535,892</w:t>
            </w:r>
          </w:p>
        </w:tc>
      </w:tr>
      <w:tr w:rsidR="00561548" w:rsidRPr="00561548" w14:paraId="553E1747" w14:textId="77777777" w:rsidTr="00DB7D3D">
        <w:trPr>
          <w:trHeight w:val="260"/>
        </w:trPr>
        <w:tc>
          <w:tcPr>
            <w:tcW w:w="2127" w:type="dxa"/>
            <w:tcBorders>
              <w:top w:val="nil"/>
              <w:left w:val="nil"/>
              <w:bottom w:val="nil"/>
              <w:right w:val="nil"/>
            </w:tcBorders>
            <w:shd w:val="clear" w:color="auto" w:fill="auto"/>
            <w:noWrap/>
            <w:vAlign w:val="center"/>
            <w:hideMark/>
          </w:tcPr>
          <w:p w14:paraId="27BBDE6F" w14:textId="77777777" w:rsidR="00561548" w:rsidRPr="00561548" w:rsidRDefault="00561548" w:rsidP="00250A8A">
            <w:pPr>
              <w:spacing w:before="0" w:after="0"/>
              <w:jc w:val="center"/>
              <w:rPr>
                <w:rFonts w:cs="Arial"/>
                <w:sz w:val="18"/>
                <w:szCs w:val="18"/>
              </w:rPr>
            </w:pPr>
            <w:r w:rsidRPr="00561548">
              <w:rPr>
                <w:rFonts w:cs="Arial"/>
                <w:sz w:val="18"/>
                <w:szCs w:val="18"/>
              </w:rPr>
              <w:t>Mulgrave-Russell River</w:t>
            </w:r>
          </w:p>
        </w:tc>
        <w:tc>
          <w:tcPr>
            <w:tcW w:w="1417" w:type="dxa"/>
            <w:tcBorders>
              <w:top w:val="nil"/>
              <w:left w:val="nil"/>
              <w:bottom w:val="nil"/>
              <w:right w:val="nil"/>
            </w:tcBorders>
            <w:shd w:val="clear" w:color="auto" w:fill="auto"/>
            <w:noWrap/>
            <w:vAlign w:val="center"/>
            <w:hideMark/>
          </w:tcPr>
          <w:p w14:paraId="6D510F6E" w14:textId="77777777" w:rsidR="00561548" w:rsidRPr="00561548" w:rsidRDefault="00561548" w:rsidP="00250A8A">
            <w:pPr>
              <w:spacing w:before="0" w:after="0"/>
              <w:jc w:val="center"/>
              <w:rPr>
                <w:rFonts w:cs="Arial"/>
                <w:sz w:val="18"/>
                <w:szCs w:val="18"/>
              </w:rPr>
            </w:pPr>
            <w:r w:rsidRPr="00561548">
              <w:rPr>
                <w:rFonts w:cs="Arial"/>
                <w:sz w:val="18"/>
                <w:szCs w:val="18"/>
              </w:rPr>
              <w:t>2,600,465</w:t>
            </w:r>
          </w:p>
        </w:tc>
        <w:tc>
          <w:tcPr>
            <w:tcW w:w="1193" w:type="dxa"/>
            <w:tcBorders>
              <w:top w:val="nil"/>
              <w:left w:val="nil"/>
              <w:bottom w:val="nil"/>
              <w:right w:val="nil"/>
            </w:tcBorders>
            <w:shd w:val="clear" w:color="auto" w:fill="auto"/>
            <w:noWrap/>
            <w:vAlign w:val="center"/>
            <w:hideMark/>
          </w:tcPr>
          <w:p w14:paraId="59C9D743" w14:textId="77777777" w:rsidR="00561548" w:rsidRPr="00561548" w:rsidRDefault="00561548" w:rsidP="00250A8A">
            <w:pPr>
              <w:spacing w:before="0" w:after="0"/>
              <w:jc w:val="center"/>
              <w:rPr>
                <w:rFonts w:cs="Arial"/>
                <w:sz w:val="18"/>
                <w:szCs w:val="18"/>
              </w:rPr>
            </w:pPr>
            <w:r w:rsidRPr="00561548">
              <w:rPr>
                <w:rFonts w:cs="Arial"/>
                <w:sz w:val="18"/>
                <w:szCs w:val="18"/>
              </w:rPr>
              <w:t>1,898,065</w:t>
            </w:r>
          </w:p>
        </w:tc>
        <w:tc>
          <w:tcPr>
            <w:tcW w:w="1194" w:type="dxa"/>
            <w:tcBorders>
              <w:top w:val="nil"/>
              <w:left w:val="nil"/>
              <w:bottom w:val="nil"/>
              <w:right w:val="nil"/>
            </w:tcBorders>
            <w:shd w:val="clear" w:color="auto" w:fill="auto"/>
            <w:noWrap/>
            <w:vAlign w:val="bottom"/>
            <w:hideMark/>
          </w:tcPr>
          <w:p w14:paraId="2F53F930" w14:textId="77777777" w:rsidR="00561548" w:rsidRPr="00561548" w:rsidRDefault="00561548" w:rsidP="00250A8A">
            <w:pPr>
              <w:spacing w:before="0" w:after="0"/>
              <w:jc w:val="center"/>
              <w:rPr>
                <w:rFonts w:cs="Arial"/>
                <w:sz w:val="18"/>
                <w:szCs w:val="18"/>
              </w:rPr>
            </w:pPr>
            <w:r w:rsidRPr="00561548">
              <w:rPr>
                <w:rFonts w:cs="Arial"/>
                <w:sz w:val="18"/>
                <w:szCs w:val="18"/>
              </w:rPr>
              <w:t>1,759,178</w:t>
            </w:r>
          </w:p>
        </w:tc>
        <w:tc>
          <w:tcPr>
            <w:tcW w:w="1194" w:type="dxa"/>
            <w:tcBorders>
              <w:top w:val="nil"/>
              <w:left w:val="nil"/>
              <w:bottom w:val="nil"/>
              <w:right w:val="nil"/>
            </w:tcBorders>
            <w:shd w:val="clear" w:color="auto" w:fill="auto"/>
            <w:noWrap/>
            <w:vAlign w:val="bottom"/>
            <w:hideMark/>
          </w:tcPr>
          <w:p w14:paraId="438B63BB" w14:textId="77777777" w:rsidR="00561548" w:rsidRPr="00561548" w:rsidRDefault="00561548" w:rsidP="00250A8A">
            <w:pPr>
              <w:spacing w:before="0" w:after="0"/>
              <w:jc w:val="center"/>
              <w:rPr>
                <w:rFonts w:cs="Arial"/>
                <w:sz w:val="18"/>
                <w:szCs w:val="18"/>
              </w:rPr>
            </w:pPr>
            <w:r w:rsidRPr="00561548">
              <w:rPr>
                <w:rFonts w:cs="Arial"/>
                <w:sz w:val="18"/>
                <w:szCs w:val="18"/>
              </w:rPr>
              <w:t>3,359,834</w:t>
            </w:r>
          </w:p>
        </w:tc>
        <w:tc>
          <w:tcPr>
            <w:tcW w:w="1194" w:type="dxa"/>
            <w:tcBorders>
              <w:top w:val="nil"/>
              <w:left w:val="nil"/>
              <w:bottom w:val="nil"/>
              <w:right w:val="nil"/>
            </w:tcBorders>
            <w:shd w:val="clear" w:color="auto" w:fill="auto"/>
            <w:noWrap/>
            <w:vAlign w:val="bottom"/>
            <w:hideMark/>
          </w:tcPr>
          <w:p w14:paraId="557DC6BD" w14:textId="77777777" w:rsidR="00561548" w:rsidRPr="00561548" w:rsidRDefault="00561548" w:rsidP="00250A8A">
            <w:pPr>
              <w:spacing w:before="0" w:after="0"/>
              <w:jc w:val="center"/>
              <w:rPr>
                <w:rFonts w:cs="Arial"/>
                <w:sz w:val="18"/>
                <w:szCs w:val="18"/>
              </w:rPr>
            </w:pPr>
            <w:r w:rsidRPr="00561548">
              <w:rPr>
                <w:rFonts w:cs="Arial"/>
                <w:sz w:val="18"/>
                <w:szCs w:val="18"/>
              </w:rPr>
              <w:t>3,550,093</w:t>
            </w:r>
          </w:p>
        </w:tc>
      </w:tr>
      <w:tr w:rsidR="00561548" w:rsidRPr="00561548" w14:paraId="2693CE37" w14:textId="77777777" w:rsidTr="00DB7D3D">
        <w:trPr>
          <w:trHeight w:val="260"/>
        </w:trPr>
        <w:tc>
          <w:tcPr>
            <w:tcW w:w="2127" w:type="dxa"/>
            <w:tcBorders>
              <w:top w:val="nil"/>
              <w:left w:val="nil"/>
              <w:bottom w:val="nil"/>
              <w:right w:val="nil"/>
            </w:tcBorders>
            <w:shd w:val="clear" w:color="auto" w:fill="auto"/>
            <w:noWrap/>
            <w:vAlign w:val="center"/>
            <w:hideMark/>
          </w:tcPr>
          <w:p w14:paraId="4A0FD7BC" w14:textId="77777777" w:rsidR="00561548" w:rsidRPr="00561548" w:rsidRDefault="00561548" w:rsidP="00250A8A">
            <w:pPr>
              <w:spacing w:before="0" w:after="0"/>
              <w:jc w:val="center"/>
              <w:rPr>
                <w:rFonts w:cs="Arial"/>
                <w:sz w:val="18"/>
                <w:szCs w:val="18"/>
              </w:rPr>
            </w:pPr>
            <w:r w:rsidRPr="00561548">
              <w:rPr>
                <w:rFonts w:cs="Arial"/>
                <w:sz w:val="18"/>
                <w:szCs w:val="18"/>
              </w:rPr>
              <w:t>Johnstone River</w:t>
            </w:r>
          </w:p>
        </w:tc>
        <w:tc>
          <w:tcPr>
            <w:tcW w:w="1417" w:type="dxa"/>
            <w:tcBorders>
              <w:top w:val="nil"/>
              <w:left w:val="nil"/>
              <w:bottom w:val="nil"/>
              <w:right w:val="nil"/>
            </w:tcBorders>
            <w:shd w:val="clear" w:color="auto" w:fill="auto"/>
            <w:noWrap/>
            <w:vAlign w:val="center"/>
            <w:hideMark/>
          </w:tcPr>
          <w:p w14:paraId="5CD41213" w14:textId="77777777" w:rsidR="00561548" w:rsidRPr="00561548" w:rsidRDefault="00561548" w:rsidP="00250A8A">
            <w:pPr>
              <w:spacing w:before="0" w:after="0"/>
              <w:jc w:val="center"/>
              <w:rPr>
                <w:rFonts w:cs="Arial"/>
                <w:sz w:val="18"/>
                <w:szCs w:val="18"/>
              </w:rPr>
            </w:pPr>
            <w:r w:rsidRPr="00561548">
              <w:rPr>
                <w:rFonts w:cs="Arial"/>
                <w:sz w:val="18"/>
                <w:szCs w:val="18"/>
              </w:rPr>
              <w:t>3,953,262</w:t>
            </w:r>
          </w:p>
        </w:tc>
        <w:tc>
          <w:tcPr>
            <w:tcW w:w="1193" w:type="dxa"/>
            <w:tcBorders>
              <w:top w:val="nil"/>
              <w:left w:val="nil"/>
              <w:bottom w:val="nil"/>
              <w:right w:val="nil"/>
            </w:tcBorders>
            <w:shd w:val="clear" w:color="auto" w:fill="auto"/>
            <w:noWrap/>
            <w:vAlign w:val="center"/>
            <w:hideMark/>
          </w:tcPr>
          <w:p w14:paraId="4EC64761" w14:textId="77777777" w:rsidR="00561548" w:rsidRPr="00561548" w:rsidRDefault="00561548" w:rsidP="00250A8A">
            <w:pPr>
              <w:spacing w:before="0" w:after="0"/>
              <w:jc w:val="center"/>
              <w:rPr>
                <w:rFonts w:cs="Arial"/>
                <w:sz w:val="18"/>
                <w:szCs w:val="18"/>
              </w:rPr>
            </w:pPr>
            <w:r w:rsidRPr="00561548">
              <w:rPr>
                <w:rFonts w:cs="Arial"/>
                <w:sz w:val="18"/>
                <w:szCs w:val="18"/>
              </w:rPr>
              <w:t>2,846,943</w:t>
            </w:r>
          </w:p>
        </w:tc>
        <w:tc>
          <w:tcPr>
            <w:tcW w:w="1194" w:type="dxa"/>
            <w:tcBorders>
              <w:top w:val="nil"/>
              <w:left w:val="nil"/>
              <w:bottom w:val="nil"/>
              <w:right w:val="nil"/>
            </w:tcBorders>
            <w:shd w:val="clear" w:color="auto" w:fill="auto"/>
            <w:noWrap/>
            <w:vAlign w:val="bottom"/>
            <w:hideMark/>
          </w:tcPr>
          <w:p w14:paraId="27AD4455" w14:textId="77777777" w:rsidR="00561548" w:rsidRPr="00561548" w:rsidRDefault="00561548" w:rsidP="00250A8A">
            <w:pPr>
              <w:spacing w:before="0" w:after="0"/>
              <w:jc w:val="center"/>
              <w:rPr>
                <w:rFonts w:cs="Arial"/>
                <w:sz w:val="18"/>
                <w:szCs w:val="18"/>
              </w:rPr>
            </w:pPr>
            <w:r w:rsidRPr="00561548">
              <w:rPr>
                <w:rFonts w:cs="Arial"/>
                <w:sz w:val="18"/>
                <w:szCs w:val="18"/>
              </w:rPr>
              <w:t>3,348,014</w:t>
            </w:r>
          </w:p>
        </w:tc>
        <w:tc>
          <w:tcPr>
            <w:tcW w:w="1194" w:type="dxa"/>
            <w:tcBorders>
              <w:top w:val="nil"/>
              <w:left w:val="nil"/>
              <w:bottom w:val="nil"/>
              <w:right w:val="nil"/>
            </w:tcBorders>
            <w:shd w:val="clear" w:color="auto" w:fill="auto"/>
            <w:noWrap/>
            <w:vAlign w:val="bottom"/>
            <w:hideMark/>
          </w:tcPr>
          <w:p w14:paraId="3D234087" w14:textId="77777777" w:rsidR="00561548" w:rsidRPr="00561548" w:rsidRDefault="00561548" w:rsidP="00250A8A">
            <w:pPr>
              <w:spacing w:before="0" w:after="0"/>
              <w:jc w:val="center"/>
              <w:rPr>
                <w:rFonts w:cs="Arial"/>
                <w:sz w:val="18"/>
                <w:szCs w:val="18"/>
              </w:rPr>
            </w:pPr>
            <w:r w:rsidRPr="00561548">
              <w:rPr>
                <w:rFonts w:cs="Arial"/>
                <w:sz w:val="18"/>
                <w:szCs w:val="18"/>
              </w:rPr>
              <w:t>4,950,329</w:t>
            </w:r>
          </w:p>
        </w:tc>
        <w:tc>
          <w:tcPr>
            <w:tcW w:w="1194" w:type="dxa"/>
            <w:tcBorders>
              <w:top w:val="nil"/>
              <w:left w:val="nil"/>
              <w:bottom w:val="nil"/>
              <w:right w:val="nil"/>
            </w:tcBorders>
            <w:shd w:val="clear" w:color="auto" w:fill="auto"/>
            <w:noWrap/>
            <w:vAlign w:val="bottom"/>
            <w:hideMark/>
          </w:tcPr>
          <w:p w14:paraId="0C6F581B" w14:textId="77777777" w:rsidR="00561548" w:rsidRPr="00561548" w:rsidRDefault="00561548" w:rsidP="00250A8A">
            <w:pPr>
              <w:spacing w:before="0" w:after="0"/>
              <w:jc w:val="center"/>
              <w:rPr>
                <w:rFonts w:cs="Arial"/>
                <w:sz w:val="18"/>
                <w:szCs w:val="18"/>
              </w:rPr>
            </w:pPr>
            <w:r w:rsidRPr="00561548">
              <w:rPr>
                <w:rFonts w:cs="Arial"/>
                <w:sz w:val="18"/>
                <w:szCs w:val="18"/>
              </w:rPr>
              <w:t>4,774,747</w:t>
            </w:r>
          </w:p>
        </w:tc>
      </w:tr>
      <w:tr w:rsidR="00561548" w:rsidRPr="00561548" w14:paraId="1620D9C2" w14:textId="77777777" w:rsidTr="00DB7D3D">
        <w:trPr>
          <w:trHeight w:val="260"/>
        </w:trPr>
        <w:tc>
          <w:tcPr>
            <w:tcW w:w="2127" w:type="dxa"/>
            <w:tcBorders>
              <w:top w:val="nil"/>
              <w:left w:val="nil"/>
              <w:bottom w:val="nil"/>
              <w:right w:val="nil"/>
            </w:tcBorders>
            <w:shd w:val="clear" w:color="auto" w:fill="auto"/>
            <w:noWrap/>
            <w:vAlign w:val="center"/>
            <w:hideMark/>
          </w:tcPr>
          <w:p w14:paraId="0F5AD59F" w14:textId="77777777" w:rsidR="00561548" w:rsidRPr="00561548" w:rsidRDefault="00561548" w:rsidP="00250A8A">
            <w:pPr>
              <w:spacing w:before="0" w:after="0"/>
              <w:jc w:val="center"/>
              <w:rPr>
                <w:rFonts w:cs="Arial"/>
                <w:sz w:val="18"/>
                <w:szCs w:val="18"/>
              </w:rPr>
            </w:pPr>
            <w:r w:rsidRPr="00561548">
              <w:rPr>
                <w:rFonts w:cs="Arial"/>
                <w:sz w:val="18"/>
                <w:szCs w:val="18"/>
              </w:rPr>
              <w:t>Tully River</w:t>
            </w:r>
          </w:p>
        </w:tc>
        <w:tc>
          <w:tcPr>
            <w:tcW w:w="1417" w:type="dxa"/>
            <w:tcBorders>
              <w:top w:val="nil"/>
              <w:left w:val="nil"/>
              <w:bottom w:val="nil"/>
              <w:right w:val="nil"/>
            </w:tcBorders>
            <w:shd w:val="clear" w:color="auto" w:fill="auto"/>
            <w:noWrap/>
            <w:vAlign w:val="center"/>
            <w:hideMark/>
          </w:tcPr>
          <w:p w14:paraId="2AC1ECBC" w14:textId="77777777" w:rsidR="00561548" w:rsidRPr="00561548" w:rsidRDefault="00561548" w:rsidP="00250A8A">
            <w:pPr>
              <w:spacing w:before="0" w:after="0"/>
              <w:jc w:val="center"/>
              <w:rPr>
                <w:rFonts w:cs="Arial"/>
                <w:sz w:val="18"/>
                <w:szCs w:val="18"/>
              </w:rPr>
            </w:pPr>
            <w:r w:rsidRPr="00561548">
              <w:rPr>
                <w:rFonts w:cs="Arial"/>
                <w:sz w:val="18"/>
                <w:szCs w:val="18"/>
              </w:rPr>
              <w:t>3,241,383</w:t>
            </w:r>
          </w:p>
        </w:tc>
        <w:tc>
          <w:tcPr>
            <w:tcW w:w="1193" w:type="dxa"/>
            <w:tcBorders>
              <w:top w:val="nil"/>
              <w:left w:val="nil"/>
              <w:bottom w:val="nil"/>
              <w:right w:val="nil"/>
            </w:tcBorders>
            <w:shd w:val="clear" w:color="auto" w:fill="auto"/>
            <w:noWrap/>
            <w:vAlign w:val="center"/>
            <w:hideMark/>
          </w:tcPr>
          <w:p w14:paraId="6CA3B612" w14:textId="77777777" w:rsidR="00561548" w:rsidRPr="00561548" w:rsidRDefault="00561548" w:rsidP="00250A8A">
            <w:pPr>
              <w:spacing w:before="0" w:after="0"/>
              <w:jc w:val="center"/>
              <w:rPr>
                <w:rFonts w:cs="Arial"/>
                <w:sz w:val="18"/>
                <w:szCs w:val="18"/>
              </w:rPr>
            </w:pPr>
            <w:r w:rsidRPr="00561548">
              <w:rPr>
                <w:rFonts w:cs="Arial"/>
                <w:sz w:val="18"/>
                <w:szCs w:val="18"/>
              </w:rPr>
              <w:t>2,697,539</w:t>
            </w:r>
          </w:p>
        </w:tc>
        <w:tc>
          <w:tcPr>
            <w:tcW w:w="1194" w:type="dxa"/>
            <w:tcBorders>
              <w:top w:val="nil"/>
              <w:left w:val="nil"/>
              <w:bottom w:val="nil"/>
              <w:right w:val="nil"/>
            </w:tcBorders>
            <w:shd w:val="clear" w:color="auto" w:fill="auto"/>
            <w:noWrap/>
            <w:vAlign w:val="bottom"/>
            <w:hideMark/>
          </w:tcPr>
          <w:p w14:paraId="5F8CBF35" w14:textId="77777777" w:rsidR="00561548" w:rsidRPr="00561548" w:rsidRDefault="00561548" w:rsidP="00250A8A">
            <w:pPr>
              <w:spacing w:before="0" w:after="0"/>
              <w:jc w:val="center"/>
              <w:rPr>
                <w:rFonts w:cs="Arial"/>
                <w:sz w:val="18"/>
                <w:szCs w:val="18"/>
              </w:rPr>
            </w:pPr>
            <w:r w:rsidRPr="00561548">
              <w:rPr>
                <w:rFonts w:cs="Arial"/>
                <w:sz w:val="18"/>
                <w:szCs w:val="18"/>
              </w:rPr>
              <w:t>2,840,476</w:t>
            </w:r>
          </w:p>
        </w:tc>
        <w:tc>
          <w:tcPr>
            <w:tcW w:w="1194" w:type="dxa"/>
            <w:tcBorders>
              <w:top w:val="nil"/>
              <w:left w:val="nil"/>
              <w:bottom w:val="nil"/>
              <w:right w:val="nil"/>
            </w:tcBorders>
            <w:shd w:val="clear" w:color="auto" w:fill="auto"/>
            <w:noWrap/>
            <w:vAlign w:val="bottom"/>
            <w:hideMark/>
          </w:tcPr>
          <w:p w14:paraId="35903909" w14:textId="77777777" w:rsidR="00561548" w:rsidRPr="00561548" w:rsidRDefault="00561548" w:rsidP="00250A8A">
            <w:pPr>
              <w:spacing w:before="0" w:after="0"/>
              <w:jc w:val="center"/>
              <w:rPr>
                <w:rFonts w:cs="Arial"/>
                <w:sz w:val="18"/>
                <w:szCs w:val="18"/>
              </w:rPr>
            </w:pPr>
            <w:r w:rsidRPr="00561548">
              <w:rPr>
                <w:rFonts w:cs="Arial"/>
                <w:sz w:val="18"/>
                <w:szCs w:val="18"/>
              </w:rPr>
              <w:t>3,883,954</w:t>
            </w:r>
          </w:p>
        </w:tc>
        <w:tc>
          <w:tcPr>
            <w:tcW w:w="1194" w:type="dxa"/>
            <w:tcBorders>
              <w:top w:val="nil"/>
              <w:left w:val="nil"/>
              <w:bottom w:val="nil"/>
              <w:right w:val="nil"/>
            </w:tcBorders>
            <w:shd w:val="clear" w:color="auto" w:fill="auto"/>
            <w:noWrap/>
            <w:vAlign w:val="bottom"/>
            <w:hideMark/>
          </w:tcPr>
          <w:p w14:paraId="78E8CD82" w14:textId="77777777" w:rsidR="00561548" w:rsidRPr="00561548" w:rsidRDefault="00561548" w:rsidP="00250A8A">
            <w:pPr>
              <w:spacing w:before="0" w:after="0"/>
              <w:jc w:val="center"/>
              <w:rPr>
                <w:rFonts w:cs="Arial"/>
                <w:sz w:val="18"/>
                <w:szCs w:val="18"/>
              </w:rPr>
            </w:pPr>
            <w:r w:rsidRPr="00561548">
              <w:rPr>
                <w:rFonts w:cs="Arial"/>
                <w:sz w:val="18"/>
                <w:szCs w:val="18"/>
              </w:rPr>
              <w:t>4,020,452</w:t>
            </w:r>
          </w:p>
        </w:tc>
      </w:tr>
      <w:tr w:rsidR="00561548" w:rsidRPr="00561548" w14:paraId="445A741C" w14:textId="77777777" w:rsidTr="00DB7D3D">
        <w:trPr>
          <w:trHeight w:val="260"/>
        </w:trPr>
        <w:tc>
          <w:tcPr>
            <w:tcW w:w="2127" w:type="dxa"/>
            <w:tcBorders>
              <w:top w:val="nil"/>
              <w:left w:val="nil"/>
              <w:bottom w:val="nil"/>
              <w:right w:val="nil"/>
            </w:tcBorders>
            <w:shd w:val="clear" w:color="auto" w:fill="auto"/>
            <w:noWrap/>
            <w:vAlign w:val="center"/>
            <w:hideMark/>
          </w:tcPr>
          <w:p w14:paraId="054E9FC0" w14:textId="77777777" w:rsidR="00561548" w:rsidRPr="00561548" w:rsidRDefault="00561548" w:rsidP="00250A8A">
            <w:pPr>
              <w:spacing w:before="0" w:after="0"/>
              <w:jc w:val="center"/>
              <w:rPr>
                <w:rFonts w:cs="Arial"/>
                <w:sz w:val="18"/>
                <w:szCs w:val="18"/>
              </w:rPr>
            </w:pPr>
            <w:r w:rsidRPr="00561548">
              <w:rPr>
                <w:rFonts w:cs="Arial"/>
                <w:sz w:val="18"/>
                <w:szCs w:val="18"/>
              </w:rPr>
              <w:t>Murray River</w:t>
            </w:r>
          </w:p>
        </w:tc>
        <w:tc>
          <w:tcPr>
            <w:tcW w:w="1417" w:type="dxa"/>
            <w:tcBorders>
              <w:top w:val="nil"/>
              <w:left w:val="nil"/>
              <w:bottom w:val="nil"/>
              <w:right w:val="nil"/>
            </w:tcBorders>
            <w:shd w:val="clear" w:color="auto" w:fill="auto"/>
            <w:noWrap/>
            <w:vAlign w:val="center"/>
            <w:hideMark/>
          </w:tcPr>
          <w:p w14:paraId="34534C09" w14:textId="77777777" w:rsidR="00561548" w:rsidRPr="00561548" w:rsidRDefault="00561548" w:rsidP="00250A8A">
            <w:pPr>
              <w:spacing w:before="0" w:after="0"/>
              <w:jc w:val="center"/>
              <w:rPr>
                <w:rFonts w:cs="Arial"/>
                <w:sz w:val="18"/>
                <w:szCs w:val="18"/>
              </w:rPr>
            </w:pPr>
            <w:r w:rsidRPr="00561548">
              <w:rPr>
                <w:rFonts w:cs="Arial"/>
                <w:sz w:val="18"/>
                <w:szCs w:val="18"/>
              </w:rPr>
              <w:t>380,472</w:t>
            </w:r>
          </w:p>
        </w:tc>
        <w:tc>
          <w:tcPr>
            <w:tcW w:w="1193" w:type="dxa"/>
            <w:tcBorders>
              <w:top w:val="nil"/>
              <w:left w:val="nil"/>
              <w:bottom w:val="nil"/>
              <w:right w:val="nil"/>
            </w:tcBorders>
            <w:shd w:val="clear" w:color="auto" w:fill="auto"/>
            <w:noWrap/>
            <w:vAlign w:val="center"/>
            <w:hideMark/>
          </w:tcPr>
          <w:p w14:paraId="7A98D373" w14:textId="77777777" w:rsidR="00561548" w:rsidRPr="00561548" w:rsidRDefault="00561548" w:rsidP="00250A8A">
            <w:pPr>
              <w:spacing w:before="0" w:after="0"/>
              <w:jc w:val="center"/>
              <w:rPr>
                <w:rFonts w:cs="Arial"/>
                <w:sz w:val="18"/>
                <w:szCs w:val="18"/>
              </w:rPr>
            </w:pPr>
            <w:r w:rsidRPr="00561548">
              <w:rPr>
                <w:rFonts w:cs="Arial"/>
                <w:sz w:val="18"/>
                <w:szCs w:val="18"/>
              </w:rPr>
              <w:t>301,879</w:t>
            </w:r>
          </w:p>
        </w:tc>
        <w:tc>
          <w:tcPr>
            <w:tcW w:w="1194" w:type="dxa"/>
            <w:tcBorders>
              <w:top w:val="nil"/>
              <w:left w:val="nil"/>
              <w:bottom w:val="nil"/>
              <w:right w:val="nil"/>
            </w:tcBorders>
            <w:shd w:val="clear" w:color="auto" w:fill="auto"/>
            <w:noWrap/>
            <w:vAlign w:val="bottom"/>
            <w:hideMark/>
          </w:tcPr>
          <w:p w14:paraId="53F4EF58" w14:textId="77777777" w:rsidR="00561548" w:rsidRPr="00561548" w:rsidRDefault="00561548" w:rsidP="00250A8A">
            <w:pPr>
              <w:spacing w:before="0" w:after="0"/>
              <w:jc w:val="center"/>
              <w:rPr>
                <w:rFonts w:cs="Arial"/>
                <w:sz w:val="18"/>
                <w:szCs w:val="18"/>
              </w:rPr>
            </w:pPr>
            <w:r w:rsidRPr="00561548">
              <w:rPr>
                <w:rFonts w:cs="Arial"/>
                <w:sz w:val="18"/>
                <w:szCs w:val="18"/>
              </w:rPr>
              <w:t>293,742</w:t>
            </w:r>
          </w:p>
        </w:tc>
        <w:tc>
          <w:tcPr>
            <w:tcW w:w="1194" w:type="dxa"/>
            <w:tcBorders>
              <w:top w:val="nil"/>
              <w:left w:val="nil"/>
              <w:bottom w:val="nil"/>
              <w:right w:val="nil"/>
            </w:tcBorders>
            <w:shd w:val="clear" w:color="auto" w:fill="auto"/>
            <w:noWrap/>
            <w:vAlign w:val="bottom"/>
            <w:hideMark/>
          </w:tcPr>
          <w:p w14:paraId="768ED383" w14:textId="77777777" w:rsidR="00561548" w:rsidRPr="00561548" w:rsidRDefault="00561548" w:rsidP="00250A8A">
            <w:pPr>
              <w:spacing w:before="0" w:after="0"/>
              <w:jc w:val="center"/>
              <w:rPr>
                <w:rFonts w:cs="Arial"/>
                <w:sz w:val="18"/>
                <w:szCs w:val="18"/>
              </w:rPr>
            </w:pPr>
            <w:r w:rsidRPr="00561548">
              <w:rPr>
                <w:rFonts w:cs="Arial"/>
                <w:sz w:val="18"/>
                <w:szCs w:val="18"/>
              </w:rPr>
              <w:t>521,465</w:t>
            </w:r>
          </w:p>
        </w:tc>
        <w:tc>
          <w:tcPr>
            <w:tcW w:w="1194" w:type="dxa"/>
            <w:tcBorders>
              <w:top w:val="nil"/>
              <w:left w:val="nil"/>
              <w:bottom w:val="nil"/>
              <w:right w:val="nil"/>
            </w:tcBorders>
            <w:shd w:val="clear" w:color="auto" w:fill="auto"/>
            <w:noWrap/>
            <w:vAlign w:val="bottom"/>
            <w:hideMark/>
          </w:tcPr>
          <w:p w14:paraId="605552E8" w14:textId="77777777" w:rsidR="00561548" w:rsidRPr="00561548" w:rsidRDefault="00561548" w:rsidP="00250A8A">
            <w:pPr>
              <w:spacing w:before="0" w:after="0"/>
              <w:jc w:val="center"/>
              <w:rPr>
                <w:rFonts w:cs="Arial"/>
                <w:sz w:val="18"/>
                <w:szCs w:val="18"/>
              </w:rPr>
            </w:pPr>
            <w:r w:rsidRPr="00561548">
              <w:rPr>
                <w:rFonts w:cs="Arial"/>
                <w:sz w:val="18"/>
                <w:szCs w:val="18"/>
              </w:rPr>
              <w:t>519,739</w:t>
            </w:r>
          </w:p>
        </w:tc>
      </w:tr>
      <w:tr w:rsidR="00561548" w:rsidRPr="00561548" w14:paraId="4BCE1C76" w14:textId="77777777" w:rsidTr="00DB7D3D">
        <w:trPr>
          <w:trHeight w:val="260"/>
        </w:trPr>
        <w:tc>
          <w:tcPr>
            <w:tcW w:w="2127" w:type="dxa"/>
            <w:tcBorders>
              <w:top w:val="nil"/>
              <w:left w:val="nil"/>
              <w:bottom w:val="nil"/>
              <w:right w:val="nil"/>
            </w:tcBorders>
            <w:shd w:val="clear" w:color="auto" w:fill="auto"/>
            <w:noWrap/>
            <w:vAlign w:val="center"/>
            <w:hideMark/>
          </w:tcPr>
          <w:p w14:paraId="5D252A3D" w14:textId="77777777" w:rsidR="00561548" w:rsidRPr="00561548" w:rsidRDefault="00561548" w:rsidP="00250A8A">
            <w:pPr>
              <w:spacing w:before="0" w:after="0"/>
              <w:jc w:val="center"/>
              <w:rPr>
                <w:rFonts w:cs="Arial"/>
                <w:sz w:val="18"/>
                <w:szCs w:val="18"/>
              </w:rPr>
            </w:pPr>
            <w:r w:rsidRPr="00561548">
              <w:rPr>
                <w:rFonts w:cs="Arial"/>
                <w:sz w:val="18"/>
                <w:szCs w:val="18"/>
              </w:rPr>
              <w:t>Herbert River</w:t>
            </w:r>
          </w:p>
        </w:tc>
        <w:tc>
          <w:tcPr>
            <w:tcW w:w="1417" w:type="dxa"/>
            <w:tcBorders>
              <w:top w:val="nil"/>
              <w:left w:val="nil"/>
              <w:bottom w:val="nil"/>
              <w:right w:val="nil"/>
            </w:tcBorders>
            <w:shd w:val="clear" w:color="auto" w:fill="auto"/>
            <w:noWrap/>
            <w:vAlign w:val="center"/>
            <w:hideMark/>
          </w:tcPr>
          <w:p w14:paraId="75D25EB8" w14:textId="77777777" w:rsidR="00561548" w:rsidRPr="00561548" w:rsidRDefault="00561548" w:rsidP="00250A8A">
            <w:pPr>
              <w:spacing w:before="0" w:after="0"/>
              <w:jc w:val="center"/>
              <w:rPr>
                <w:rFonts w:cs="Arial"/>
                <w:sz w:val="18"/>
                <w:szCs w:val="18"/>
              </w:rPr>
            </w:pPr>
            <w:r w:rsidRPr="00561548">
              <w:rPr>
                <w:rFonts w:cs="Arial"/>
                <w:sz w:val="18"/>
                <w:szCs w:val="18"/>
              </w:rPr>
              <w:t>3,556,376</w:t>
            </w:r>
          </w:p>
        </w:tc>
        <w:tc>
          <w:tcPr>
            <w:tcW w:w="1193" w:type="dxa"/>
            <w:tcBorders>
              <w:top w:val="nil"/>
              <w:left w:val="nil"/>
              <w:bottom w:val="nil"/>
              <w:right w:val="nil"/>
            </w:tcBorders>
            <w:shd w:val="clear" w:color="auto" w:fill="auto"/>
            <w:noWrap/>
            <w:vAlign w:val="center"/>
            <w:hideMark/>
          </w:tcPr>
          <w:p w14:paraId="22889CA6" w14:textId="77777777" w:rsidR="00561548" w:rsidRPr="00561548" w:rsidRDefault="00561548" w:rsidP="00250A8A">
            <w:pPr>
              <w:spacing w:before="0" w:after="0"/>
              <w:jc w:val="center"/>
              <w:rPr>
                <w:rFonts w:cs="Arial"/>
                <w:sz w:val="18"/>
                <w:szCs w:val="18"/>
              </w:rPr>
            </w:pPr>
            <w:r w:rsidRPr="00561548">
              <w:rPr>
                <w:rFonts w:cs="Arial"/>
                <w:sz w:val="18"/>
                <w:szCs w:val="18"/>
              </w:rPr>
              <w:t>1,895,526</w:t>
            </w:r>
          </w:p>
        </w:tc>
        <w:tc>
          <w:tcPr>
            <w:tcW w:w="1194" w:type="dxa"/>
            <w:tcBorders>
              <w:top w:val="nil"/>
              <w:left w:val="nil"/>
              <w:bottom w:val="nil"/>
              <w:right w:val="nil"/>
            </w:tcBorders>
            <w:shd w:val="clear" w:color="auto" w:fill="auto"/>
            <w:noWrap/>
            <w:vAlign w:val="bottom"/>
            <w:hideMark/>
          </w:tcPr>
          <w:p w14:paraId="6DEE640B" w14:textId="77777777" w:rsidR="00561548" w:rsidRPr="00561548" w:rsidRDefault="00561548" w:rsidP="00250A8A">
            <w:pPr>
              <w:spacing w:before="0" w:after="0"/>
              <w:jc w:val="center"/>
              <w:rPr>
                <w:rFonts w:cs="Arial"/>
                <w:sz w:val="18"/>
                <w:szCs w:val="18"/>
              </w:rPr>
            </w:pPr>
            <w:r w:rsidRPr="00561548">
              <w:rPr>
                <w:rFonts w:cs="Arial"/>
                <w:sz w:val="18"/>
                <w:szCs w:val="18"/>
              </w:rPr>
              <w:t>2,248,436</w:t>
            </w:r>
          </w:p>
        </w:tc>
        <w:tc>
          <w:tcPr>
            <w:tcW w:w="1194" w:type="dxa"/>
            <w:tcBorders>
              <w:top w:val="nil"/>
              <w:left w:val="nil"/>
              <w:bottom w:val="nil"/>
              <w:right w:val="nil"/>
            </w:tcBorders>
            <w:shd w:val="clear" w:color="000000" w:fill="FFFF00"/>
            <w:noWrap/>
            <w:vAlign w:val="bottom"/>
            <w:hideMark/>
          </w:tcPr>
          <w:p w14:paraId="6D80EEBB" w14:textId="77777777" w:rsidR="00561548" w:rsidRPr="00561548" w:rsidRDefault="00561548" w:rsidP="00250A8A">
            <w:pPr>
              <w:spacing w:before="0" w:after="0"/>
              <w:jc w:val="center"/>
              <w:rPr>
                <w:rFonts w:cs="Arial"/>
                <w:sz w:val="18"/>
                <w:szCs w:val="18"/>
              </w:rPr>
            </w:pPr>
            <w:r w:rsidRPr="00561548">
              <w:rPr>
                <w:rFonts w:cs="Arial"/>
                <w:sz w:val="18"/>
                <w:szCs w:val="18"/>
              </w:rPr>
              <w:t>6,385,655</w:t>
            </w:r>
          </w:p>
        </w:tc>
        <w:tc>
          <w:tcPr>
            <w:tcW w:w="1194" w:type="dxa"/>
            <w:tcBorders>
              <w:top w:val="nil"/>
              <w:left w:val="nil"/>
              <w:bottom w:val="nil"/>
              <w:right w:val="nil"/>
            </w:tcBorders>
            <w:shd w:val="clear" w:color="000000" w:fill="FFFF00"/>
            <w:noWrap/>
            <w:vAlign w:val="bottom"/>
            <w:hideMark/>
          </w:tcPr>
          <w:p w14:paraId="06537C24" w14:textId="77777777" w:rsidR="00561548" w:rsidRPr="00561548" w:rsidRDefault="00561548" w:rsidP="00250A8A">
            <w:pPr>
              <w:spacing w:before="0" w:after="0"/>
              <w:jc w:val="center"/>
              <w:rPr>
                <w:rFonts w:cs="Arial"/>
                <w:sz w:val="18"/>
                <w:szCs w:val="18"/>
              </w:rPr>
            </w:pPr>
            <w:r w:rsidRPr="00561548">
              <w:rPr>
                <w:rFonts w:cs="Arial"/>
                <w:sz w:val="18"/>
                <w:szCs w:val="18"/>
              </w:rPr>
              <w:t>5,707,209</w:t>
            </w:r>
          </w:p>
        </w:tc>
      </w:tr>
      <w:tr w:rsidR="00561548" w:rsidRPr="00561548" w14:paraId="09840B5D" w14:textId="77777777" w:rsidTr="00DB7D3D">
        <w:trPr>
          <w:trHeight w:val="260"/>
        </w:trPr>
        <w:tc>
          <w:tcPr>
            <w:tcW w:w="2127" w:type="dxa"/>
            <w:tcBorders>
              <w:top w:val="nil"/>
              <w:left w:val="nil"/>
              <w:bottom w:val="nil"/>
              <w:right w:val="nil"/>
            </w:tcBorders>
            <w:shd w:val="clear" w:color="auto" w:fill="auto"/>
            <w:noWrap/>
            <w:vAlign w:val="center"/>
            <w:hideMark/>
          </w:tcPr>
          <w:p w14:paraId="3D26BB3A" w14:textId="77777777" w:rsidR="00561548" w:rsidRPr="00561548" w:rsidRDefault="00561548" w:rsidP="00250A8A">
            <w:pPr>
              <w:spacing w:before="0" w:after="0"/>
              <w:jc w:val="center"/>
              <w:rPr>
                <w:rFonts w:cs="Arial"/>
                <w:sz w:val="18"/>
                <w:szCs w:val="18"/>
              </w:rPr>
            </w:pPr>
            <w:r w:rsidRPr="00561548">
              <w:rPr>
                <w:rFonts w:cs="Arial"/>
                <w:sz w:val="18"/>
                <w:szCs w:val="18"/>
              </w:rPr>
              <w:t>Black River</w:t>
            </w:r>
          </w:p>
        </w:tc>
        <w:tc>
          <w:tcPr>
            <w:tcW w:w="1417" w:type="dxa"/>
            <w:tcBorders>
              <w:top w:val="nil"/>
              <w:left w:val="nil"/>
              <w:bottom w:val="nil"/>
              <w:right w:val="nil"/>
            </w:tcBorders>
            <w:shd w:val="clear" w:color="auto" w:fill="auto"/>
            <w:noWrap/>
            <w:vAlign w:val="center"/>
            <w:hideMark/>
          </w:tcPr>
          <w:p w14:paraId="11E96A2D" w14:textId="77777777" w:rsidR="00561548" w:rsidRPr="00561548" w:rsidRDefault="00561548" w:rsidP="00250A8A">
            <w:pPr>
              <w:spacing w:before="0" w:after="0"/>
              <w:jc w:val="center"/>
              <w:rPr>
                <w:rFonts w:cs="Arial"/>
                <w:sz w:val="18"/>
                <w:szCs w:val="18"/>
              </w:rPr>
            </w:pPr>
            <w:r w:rsidRPr="00561548">
              <w:rPr>
                <w:rFonts w:cs="Arial"/>
                <w:sz w:val="18"/>
                <w:szCs w:val="18"/>
              </w:rPr>
              <w:t>208,308</w:t>
            </w:r>
          </w:p>
        </w:tc>
        <w:tc>
          <w:tcPr>
            <w:tcW w:w="1193" w:type="dxa"/>
            <w:tcBorders>
              <w:top w:val="nil"/>
              <w:left w:val="nil"/>
              <w:bottom w:val="nil"/>
              <w:right w:val="nil"/>
            </w:tcBorders>
            <w:shd w:val="clear" w:color="auto" w:fill="auto"/>
            <w:noWrap/>
            <w:vAlign w:val="center"/>
            <w:hideMark/>
          </w:tcPr>
          <w:p w14:paraId="429B0C7A" w14:textId="77777777" w:rsidR="00561548" w:rsidRPr="00561548" w:rsidRDefault="00561548" w:rsidP="00250A8A">
            <w:pPr>
              <w:spacing w:before="0" w:after="0"/>
              <w:jc w:val="center"/>
              <w:rPr>
                <w:rFonts w:cs="Arial"/>
                <w:sz w:val="18"/>
                <w:szCs w:val="18"/>
              </w:rPr>
            </w:pPr>
            <w:r w:rsidRPr="00561548">
              <w:rPr>
                <w:rFonts w:cs="Arial"/>
                <w:sz w:val="18"/>
                <w:szCs w:val="18"/>
              </w:rPr>
              <w:t>109,784</w:t>
            </w:r>
          </w:p>
        </w:tc>
        <w:tc>
          <w:tcPr>
            <w:tcW w:w="1194" w:type="dxa"/>
            <w:tcBorders>
              <w:top w:val="nil"/>
              <w:left w:val="nil"/>
              <w:bottom w:val="nil"/>
              <w:right w:val="nil"/>
            </w:tcBorders>
            <w:shd w:val="clear" w:color="auto" w:fill="auto"/>
            <w:noWrap/>
            <w:vAlign w:val="bottom"/>
            <w:hideMark/>
          </w:tcPr>
          <w:p w14:paraId="513A6CC6" w14:textId="77777777" w:rsidR="00561548" w:rsidRPr="00561548" w:rsidRDefault="00561548" w:rsidP="00250A8A">
            <w:pPr>
              <w:spacing w:before="0" w:after="0"/>
              <w:jc w:val="center"/>
              <w:rPr>
                <w:rFonts w:cs="Arial"/>
                <w:sz w:val="18"/>
                <w:szCs w:val="18"/>
              </w:rPr>
            </w:pPr>
            <w:r w:rsidRPr="00561548">
              <w:rPr>
                <w:rFonts w:cs="Arial"/>
                <w:sz w:val="18"/>
                <w:szCs w:val="18"/>
              </w:rPr>
              <w:t>64,449</w:t>
            </w:r>
          </w:p>
        </w:tc>
        <w:tc>
          <w:tcPr>
            <w:tcW w:w="1194" w:type="dxa"/>
            <w:tcBorders>
              <w:top w:val="nil"/>
              <w:left w:val="nil"/>
              <w:bottom w:val="nil"/>
              <w:right w:val="nil"/>
            </w:tcBorders>
            <w:shd w:val="clear" w:color="000000" w:fill="FFFF00"/>
            <w:noWrap/>
            <w:vAlign w:val="bottom"/>
            <w:hideMark/>
          </w:tcPr>
          <w:p w14:paraId="496BDA92" w14:textId="77777777" w:rsidR="00561548" w:rsidRPr="00561548" w:rsidRDefault="00561548" w:rsidP="00250A8A">
            <w:pPr>
              <w:spacing w:before="0" w:after="0"/>
              <w:jc w:val="center"/>
              <w:rPr>
                <w:rFonts w:cs="Arial"/>
                <w:sz w:val="18"/>
                <w:szCs w:val="18"/>
              </w:rPr>
            </w:pPr>
            <w:r w:rsidRPr="00561548">
              <w:rPr>
                <w:rFonts w:cs="Arial"/>
                <w:sz w:val="18"/>
                <w:szCs w:val="18"/>
              </w:rPr>
              <w:t>386,030</w:t>
            </w:r>
          </w:p>
        </w:tc>
        <w:tc>
          <w:tcPr>
            <w:tcW w:w="1194" w:type="dxa"/>
            <w:tcBorders>
              <w:top w:val="nil"/>
              <w:left w:val="nil"/>
              <w:bottom w:val="nil"/>
              <w:right w:val="nil"/>
            </w:tcBorders>
            <w:shd w:val="clear" w:color="000000" w:fill="FF0000"/>
            <w:noWrap/>
            <w:vAlign w:val="bottom"/>
            <w:hideMark/>
          </w:tcPr>
          <w:p w14:paraId="49ACE96E" w14:textId="77777777" w:rsidR="00561548" w:rsidRPr="00561548" w:rsidRDefault="00561548" w:rsidP="00250A8A">
            <w:pPr>
              <w:spacing w:before="0" w:after="0"/>
              <w:jc w:val="center"/>
              <w:rPr>
                <w:rFonts w:cs="Arial"/>
                <w:sz w:val="18"/>
                <w:szCs w:val="18"/>
              </w:rPr>
            </w:pPr>
            <w:r w:rsidRPr="00561548">
              <w:rPr>
                <w:rFonts w:cs="Arial"/>
                <w:sz w:val="18"/>
                <w:szCs w:val="18"/>
              </w:rPr>
              <w:t>965,544</w:t>
            </w:r>
          </w:p>
        </w:tc>
      </w:tr>
      <w:tr w:rsidR="00561548" w:rsidRPr="00561548" w14:paraId="64314B3A" w14:textId="77777777" w:rsidTr="00DB7D3D">
        <w:trPr>
          <w:trHeight w:val="300"/>
        </w:trPr>
        <w:tc>
          <w:tcPr>
            <w:tcW w:w="2127" w:type="dxa"/>
            <w:tcBorders>
              <w:top w:val="nil"/>
              <w:left w:val="nil"/>
              <w:bottom w:val="nil"/>
              <w:right w:val="nil"/>
            </w:tcBorders>
            <w:shd w:val="clear" w:color="auto" w:fill="auto"/>
            <w:noWrap/>
            <w:vAlign w:val="center"/>
            <w:hideMark/>
          </w:tcPr>
          <w:p w14:paraId="29B49F91" w14:textId="77777777" w:rsidR="00561548" w:rsidRPr="00561548" w:rsidRDefault="00561548" w:rsidP="00250A8A">
            <w:pPr>
              <w:spacing w:before="0" w:after="0"/>
              <w:jc w:val="center"/>
              <w:rPr>
                <w:rFonts w:cs="Arial"/>
                <w:sz w:val="18"/>
                <w:szCs w:val="18"/>
              </w:rPr>
            </w:pPr>
            <w:r w:rsidRPr="00561548">
              <w:rPr>
                <w:rFonts w:cs="Arial"/>
                <w:sz w:val="18"/>
                <w:szCs w:val="18"/>
              </w:rPr>
              <w:t>Ross River</w:t>
            </w:r>
          </w:p>
        </w:tc>
        <w:tc>
          <w:tcPr>
            <w:tcW w:w="1417" w:type="dxa"/>
            <w:tcBorders>
              <w:top w:val="nil"/>
              <w:left w:val="nil"/>
              <w:bottom w:val="nil"/>
              <w:right w:val="nil"/>
            </w:tcBorders>
            <w:shd w:val="clear" w:color="auto" w:fill="auto"/>
            <w:noWrap/>
            <w:vAlign w:val="center"/>
            <w:hideMark/>
          </w:tcPr>
          <w:p w14:paraId="115A3AAC" w14:textId="77777777" w:rsidR="00561548" w:rsidRPr="00561548" w:rsidRDefault="00561548" w:rsidP="00250A8A">
            <w:pPr>
              <w:spacing w:before="0" w:after="0"/>
              <w:jc w:val="center"/>
              <w:rPr>
                <w:rFonts w:cs="Arial"/>
                <w:sz w:val="18"/>
                <w:szCs w:val="18"/>
              </w:rPr>
            </w:pPr>
            <w:r w:rsidRPr="00561548">
              <w:rPr>
                <w:rFonts w:cs="Arial"/>
                <w:sz w:val="18"/>
                <w:szCs w:val="18"/>
              </w:rPr>
              <w:t>377,011</w:t>
            </w:r>
          </w:p>
        </w:tc>
        <w:tc>
          <w:tcPr>
            <w:tcW w:w="1193" w:type="dxa"/>
            <w:tcBorders>
              <w:top w:val="nil"/>
              <w:left w:val="nil"/>
              <w:bottom w:val="nil"/>
              <w:right w:val="nil"/>
            </w:tcBorders>
            <w:shd w:val="clear" w:color="auto" w:fill="auto"/>
            <w:noWrap/>
            <w:vAlign w:val="bottom"/>
            <w:hideMark/>
          </w:tcPr>
          <w:p w14:paraId="4D89866A" w14:textId="77777777" w:rsidR="00561548" w:rsidRPr="00561548" w:rsidRDefault="00561548" w:rsidP="00250A8A">
            <w:pPr>
              <w:spacing w:before="0" w:after="0"/>
              <w:jc w:val="center"/>
              <w:rPr>
                <w:rFonts w:cs="Arial"/>
                <w:color w:val="000000"/>
                <w:sz w:val="18"/>
                <w:szCs w:val="18"/>
              </w:rPr>
            </w:pPr>
            <w:r w:rsidRPr="00561548">
              <w:rPr>
                <w:rFonts w:cs="Arial"/>
                <w:color w:val="000000"/>
                <w:sz w:val="18"/>
                <w:szCs w:val="18"/>
              </w:rPr>
              <w:t>32,399</w:t>
            </w:r>
          </w:p>
        </w:tc>
        <w:tc>
          <w:tcPr>
            <w:tcW w:w="1194" w:type="dxa"/>
            <w:tcBorders>
              <w:top w:val="nil"/>
              <w:left w:val="nil"/>
              <w:bottom w:val="nil"/>
              <w:right w:val="nil"/>
            </w:tcBorders>
            <w:shd w:val="clear" w:color="auto" w:fill="auto"/>
            <w:noWrap/>
            <w:vAlign w:val="bottom"/>
            <w:hideMark/>
          </w:tcPr>
          <w:p w14:paraId="2FF6779C" w14:textId="77777777" w:rsidR="00561548" w:rsidRPr="00561548" w:rsidRDefault="00561548" w:rsidP="00250A8A">
            <w:pPr>
              <w:spacing w:before="0" w:after="0"/>
              <w:jc w:val="center"/>
              <w:rPr>
                <w:rFonts w:cs="Arial"/>
                <w:sz w:val="18"/>
                <w:szCs w:val="18"/>
              </w:rPr>
            </w:pPr>
            <w:r w:rsidRPr="00561548">
              <w:rPr>
                <w:rFonts w:cs="Arial"/>
                <w:sz w:val="18"/>
                <w:szCs w:val="18"/>
              </w:rPr>
              <w:t>41,177</w:t>
            </w:r>
          </w:p>
        </w:tc>
        <w:tc>
          <w:tcPr>
            <w:tcW w:w="1194" w:type="dxa"/>
            <w:tcBorders>
              <w:top w:val="nil"/>
              <w:left w:val="nil"/>
              <w:bottom w:val="nil"/>
              <w:right w:val="nil"/>
            </w:tcBorders>
            <w:shd w:val="clear" w:color="auto" w:fill="auto"/>
            <w:noWrap/>
            <w:vAlign w:val="bottom"/>
            <w:hideMark/>
          </w:tcPr>
          <w:p w14:paraId="1D57731E" w14:textId="77777777" w:rsidR="00561548" w:rsidRPr="00561548" w:rsidRDefault="00561548" w:rsidP="00250A8A">
            <w:pPr>
              <w:spacing w:before="0" w:after="0"/>
              <w:jc w:val="center"/>
              <w:rPr>
                <w:rFonts w:cs="Arial"/>
                <w:sz w:val="18"/>
                <w:szCs w:val="18"/>
              </w:rPr>
            </w:pPr>
            <w:r w:rsidRPr="00561548">
              <w:rPr>
                <w:rFonts w:cs="Arial"/>
                <w:sz w:val="18"/>
                <w:szCs w:val="18"/>
              </w:rPr>
              <w:t>83,113</w:t>
            </w:r>
          </w:p>
        </w:tc>
        <w:tc>
          <w:tcPr>
            <w:tcW w:w="1194" w:type="dxa"/>
            <w:tcBorders>
              <w:top w:val="nil"/>
              <w:left w:val="nil"/>
              <w:bottom w:val="nil"/>
              <w:right w:val="nil"/>
            </w:tcBorders>
            <w:shd w:val="clear" w:color="000000" w:fill="FF0000"/>
            <w:noWrap/>
            <w:vAlign w:val="bottom"/>
            <w:hideMark/>
          </w:tcPr>
          <w:p w14:paraId="3EE7F867" w14:textId="77777777" w:rsidR="00561548" w:rsidRPr="00561548" w:rsidRDefault="00561548" w:rsidP="00250A8A">
            <w:pPr>
              <w:spacing w:before="0" w:after="0"/>
              <w:jc w:val="center"/>
              <w:rPr>
                <w:rFonts w:cs="Arial"/>
                <w:sz w:val="18"/>
                <w:szCs w:val="18"/>
              </w:rPr>
            </w:pPr>
            <w:r w:rsidRPr="00561548">
              <w:rPr>
                <w:rFonts w:cs="Arial"/>
                <w:sz w:val="18"/>
                <w:szCs w:val="18"/>
              </w:rPr>
              <w:t>2,371,556</w:t>
            </w:r>
          </w:p>
        </w:tc>
      </w:tr>
      <w:tr w:rsidR="00561548" w:rsidRPr="00561548" w14:paraId="4DFFEE6D" w14:textId="77777777" w:rsidTr="00DB7D3D">
        <w:trPr>
          <w:trHeight w:val="260"/>
        </w:trPr>
        <w:tc>
          <w:tcPr>
            <w:tcW w:w="2127" w:type="dxa"/>
            <w:tcBorders>
              <w:top w:val="nil"/>
              <w:left w:val="nil"/>
              <w:bottom w:val="nil"/>
              <w:right w:val="nil"/>
            </w:tcBorders>
            <w:shd w:val="clear" w:color="auto" w:fill="auto"/>
            <w:noWrap/>
            <w:vAlign w:val="center"/>
            <w:hideMark/>
          </w:tcPr>
          <w:p w14:paraId="521FD8AB" w14:textId="77777777" w:rsidR="00561548" w:rsidRPr="00561548" w:rsidRDefault="00561548" w:rsidP="00250A8A">
            <w:pPr>
              <w:spacing w:before="0" w:after="0"/>
              <w:jc w:val="center"/>
              <w:rPr>
                <w:rFonts w:cs="Arial"/>
                <w:sz w:val="18"/>
                <w:szCs w:val="18"/>
              </w:rPr>
            </w:pPr>
            <w:r w:rsidRPr="00561548">
              <w:rPr>
                <w:rFonts w:cs="Arial"/>
                <w:sz w:val="18"/>
                <w:szCs w:val="18"/>
              </w:rPr>
              <w:t>Haughton River</w:t>
            </w:r>
          </w:p>
        </w:tc>
        <w:tc>
          <w:tcPr>
            <w:tcW w:w="1417" w:type="dxa"/>
            <w:tcBorders>
              <w:top w:val="nil"/>
              <w:left w:val="nil"/>
              <w:bottom w:val="nil"/>
              <w:right w:val="nil"/>
            </w:tcBorders>
            <w:shd w:val="clear" w:color="auto" w:fill="auto"/>
            <w:noWrap/>
            <w:vAlign w:val="center"/>
            <w:hideMark/>
          </w:tcPr>
          <w:p w14:paraId="2AC807D7" w14:textId="77777777" w:rsidR="00561548" w:rsidRPr="00561548" w:rsidRDefault="00561548" w:rsidP="00250A8A">
            <w:pPr>
              <w:spacing w:before="0" w:after="0"/>
              <w:jc w:val="center"/>
              <w:rPr>
                <w:rFonts w:cs="Arial"/>
                <w:sz w:val="18"/>
                <w:szCs w:val="18"/>
              </w:rPr>
            </w:pPr>
            <w:r w:rsidRPr="00561548">
              <w:rPr>
                <w:rFonts w:cs="Arial"/>
                <w:sz w:val="18"/>
                <w:szCs w:val="18"/>
              </w:rPr>
              <w:t>419,051</w:t>
            </w:r>
          </w:p>
        </w:tc>
        <w:tc>
          <w:tcPr>
            <w:tcW w:w="1193" w:type="dxa"/>
            <w:tcBorders>
              <w:top w:val="nil"/>
              <w:left w:val="nil"/>
              <w:bottom w:val="nil"/>
              <w:right w:val="nil"/>
            </w:tcBorders>
            <w:shd w:val="clear" w:color="auto" w:fill="auto"/>
            <w:noWrap/>
            <w:vAlign w:val="center"/>
            <w:hideMark/>
          </w:tcPr>
          <w:p w14:paraId="56E19646" w14:textId="77777777" w:rsidR="00561548" w:rsidRPr="00561548" w:rsidRDefault="00561548" w:rsidP="00250A8A">
            <w:pPr>
              <w:spacing w:before="0" w:after="0"/>
              <w:jc w:val="center"/>
              <w:rPr>
                <w:rFonts w:cs="Arial"/>
                <w:sz w:val="18"/>
                <w:szCs w:val="18"/>
              </w:rPr>
            </w:pPr>
            <w:r w:rsidRPr="00561548">
              <w:rPr>
                <w:rFonts w:cs="Arial"/>
                <w:sz w:val="18"/>
                <w:szCs w:val="18"/>
              </w:rPr>
              <w:t>189,006</w:t>
            </w:r>
          </w:p>
        </w:tc>
        <w:tc>
          <w:tcPr>
            <w:tcW w:w="1194" w:type="dxa"/>
            <w:tcBorders>
              <w:top w:val="nil"/>
              <w:left w:val="nil"/>
              <w:bottom w:val="nil"/>
              <w:right w:val="nil"/>
            </w:tcBorders>
            <w:shd w:val="clear" w:color="auto" w:fill="auto"/>
            <w:noWrap/>
            <w:vAlign w:val="bottom"/>
            <w:hideMark/>
          </w:tcPr>
          <w:p w14:paraId="274EED19" w14:textId="77777777" w:rsidR="00561548" w:rsidRPr="00561548" w:rsidRDefault="00561548" w:rsidP="00250A8A">
            <w:pPr>
              <w:spacing w:before="0" w:after="0"/>
              <w:jc w:val="center"/>
              <w:rPr>
                <w:rFonts w:cs="Arial"/>
                <w:sz w:val="18"/>
                <w:szCs w:val="18"/>
              </w:rPr>
            </w:pPr>
            <w:r w:rsidRPr="00561548">
              <w:rPr>
                <w:rFonts w:cs="Arial"/>
                <w:sz w:val="18"/>
                <w:szCs w:val="18"/>
              </w:rPr>
              <w:t>283,551</w:t>
            </w:r>
          </w:p>
        </w:tc>
        <w:tc>
          <w:tcPr>
            <w:tcW w:w="1194" w:type="dxa"/>
            <w:tcBorders>
              <w:top w:val="nil"/>
              <w:left w:val="nil"/>
              <w:bottom w:val="nil"/>
              <w:right w:val="nil"/>
            </w:tcBorders>
            <w:shd w:val="clear" w:color="auto" w:fill="auto"/>
            <w:noWrap/>
            <w:vAlign w:val="bottom"/>
            <w:hideMark/>
          </w:tcPr>
          <w:p w14:paraId="19EAA09E" w14:textId="77777777" w:rsidR="00561548" w:rsidRPr="00561548" w:rsidRDefault="00561548" w:rsidP="00250A8A">
            <w:pPr>
              <w:spacing w:before="0" w:after="0"/>
              <w:jc w:val="center"/>
              <w:rPr>
                <w:rFonts w:cs="Arial"/>
                <w:sz w:val="18"/>
                <w:szCs w:val="18"/>
              </w:rPr>
            </w:pPr>
            <w:r w:rsidRPr="00561548">
              <w:rPr>
                <w:rFonts w:cs="Arial"/>
                <w:sz w:val="18"/>
                <w:szCs w:val="18"/>
              </w:rPr>
              <w:t>598,668</w:t>
            </w:r>
          </w:p>
        </w:tc>
        <w:tc>
          <w:tcPr>
            <w:tcW w:w="1194" w:type="dxa"/>
            <w:tcBorders>
              <w:top w:val="nil"/>
              <w:left w:val="nil"/>
              <w:bottom w:val="nil"/>
              <w:right w:val="nil"/>
            </w:tcBorders>
            <w:shd w:val="clear" w:color="000000" w:fill="FF0000"/>
            <w:noWrap/>
            <w:vAlign w:val="bottom"/>
            <w:hideMark/>
          </w:tcPr>
          <w:p w14:paraId="59207A47" w14:textId="77777777" w:rsidR="00561548" w:rsidRPr="00561548" w:rsidRDefault="00561548" w:rsidP="00250A8A">
            <w:pPr>
              <w:spacing w:before="0" w:after="0"/>
              <w:jc w:val="center"/>
              <w:rPr>
                <w:rFonts w:cs="Arial"/>
                <w:sz w:val="18"/>
                <w:szCs w:val="18"/>
              </w:rPr>
            </w:pPr>
            <w:r w:rsidRPr="00561548">
              <w:rPr>
                <w:rFonts w:cs="Arial"/>
                <w:sz w:val="18"/>
                <w:szCs w:val="18"/>
              </w:rPr>
              <w:t>2,363,209</w:t>
            </w:r>
          </w:p>
        </w:tc>
      </w:tr>
      <w:tr w:rsidR="00561548" w:rsidRPr="00561548" w14:paraId="7629D316" w14:textId="77777777" w:rsidTr="00DB7D3D">
        <w:trPr>
          <w:trHeight w:val="260"/>
        </w:trPr>
        <w:tc>
          <w:tcPr>
            <w:tcW w:w="2127" w:type="dxa"/>
            <w:tcBorders>
              <w:top w:val="nil"/>
              <w:left w:val="nil"/>
              <w:bottom w:val="nil"/>
              <w:right w:val="nil"/>
            </w:tcBorders>
            <w:shd w:val="clear" w:color="auto" w:fill="auto"/>
            <w:noWrap/>
            <w:vAlign w:val="center"/>
            <w:hideMark/>
          </w:tcPr>
          <w:p w14:paraId="6E6AB65E" w14:textId="77777777" w:rsidR="00561548" w:rsidRPr="00561548" w:rsidRDefault="00561548" w:rsidP="00250A8A">
            <w:pPr>
              <w:spacing w:before="0" w:after="0"/>
              <w:jc w:val="center"/>
              <w:rPr>
                <w:rFonts w:cs="Arial"/>
                <w:sz w:val="18"/>
                <w:szCs w:val="18"/>
              </w:rPr>
            </w:pPr>
            <w:r w:rsidRPr="00561548">
              <w:rPr>
                <w:rFonts w:cs="Arial"/>
                <w:sz w:val="18"/>
                <w:szCs w:val="18"/>
              </w:rPr>
              <w:t>Burdekin River</w:t>
            </w:r>
          </w:p>
        </w:tc>
        <w:tc>
          <w:tcPr>
            <w:tcW w:w="1417" w:type="dxa"/>
            <w:tcBorders>
              <w:top w:val="nil"/>
              <w:left w:val="nil"/>
              <w:bottom w:val="nil"/>
              <w:right w:val="nil"/>
            </w:tcBorders>
            <w:shd w:val="clear" w:color="auto" w:fill="auto"/>
            <w:noWrap/>
            <w:vAlign w:val="center"/>
            <w:hideMark/>
          </w:tcPr>
          <w:p w14:paraId="0EE32E23" w14:textId="77777777" w:rsidR="00561548" w:rsidRPr="00561548" w:rsidRDefault="00561548" w:rsidP="00250A8A">
            <w:pPr>
              <w:spacing w:before="0" w:after="0"/>
              <w:jc w:val="center"/>
              <w:rPr>
                <w:rFonts w:cs="Arial"/>
                <w:sz w:val="18"/>
                <w:szCs w:val="18"/>
              </w:rPr>
            </w:pPr>
            <w:r w:rsidRPr="00561548">
              <w:rPr>
                <w:rFonts w:cs="Arial"/>
                <w:sz w:val="18"/>
                <w:szCs w:val="18"/>
              </w:rPr>
              <w:t>4,406,780</w:t>
            </w:r>
          </w:p>
        </w:tc>
        <w:tc>
          <w:tcPr>
            <w:tcW w:w="1193" w:type="dxa"/>
            <w:tcBorders>
              <w:top w:val="nil"/>
              <w:left w:val="nil"/>
              <w:bottom w:val="nil"/>
              <w:right w:val="nil"/>
            </w:tcBorders>
            <w:shd w:val="clear" w:color="auto" w:fill="auto"/>
            <w:noWrap/>
            <w:vAlign w:val="center"/>
            <w:hideMark/>
          </w:tcPr>
          <w:p w14:paraId="3C6D9D1A" w14:textId="77777777" w:rsidR="00561548" w:rsidRPr="00561548" w:rsidRDefault="00561548" w:rsidP="00250A8A">
            <w:pPr>
              <w:spacing w:before="0" w:after="0"/>
              <w:jc w:val="center"/>
              <w:rPr>
                <w:rFonts w:cs="Arial"/>
                <w:sz w:val="18"/>
                <w:szCs w:val="18"/>
              </w:rPr>
            </w:pPr>
            <w:r w:rsidRPr="00561548">
              <w:rPr>
                <w:rFonts w:cs="Arial"/>
                <w:sz w:val="18"/>
                <w:szCs w:val="18"/>
              </w:rPr>
              <w:t>1,807,104</w:t>
            </w:r>
          </w:p>
        </w:tc>
        <w:tc>
          <w:tcPr>
            <w:tcW w:w="1194" w:type="dxa"/>
            <w:tcBorders>
              <w:top w:val="nil"/>
              <w:left w:val="nil"/>
              <w:bottom w:val="nil"/>
              <w:right w:val="nil"/>
            </w:tcBorders>
            <w:shd w:val="clear" w:color="auto" w:fill="auto"/>
            <w:noWrap/>
            <w:vAlign w:val="bottom"/>
            <w:hideMark/>
          </w:tcPr>
          <w:p w14:paraId="5430C49D" w14:textId="77777777" w:rsidR="00561548" w:rsidRPr="00561548" w:rsidRDefault="00561548" w:rsidP="00250A8A">
            <w:pPr>
              <w:spacing w:before="0" w:after="0"/>
              <w:jc w:val="center"/>
              <w:rPr>
                <w:rFonts w:cs="Arial"/>
                <w:sz w:val="18"/>
                <w:szCs w:val="18"/>
              </w:rPr>
            </w:pPr>
            <w:r w:rsidRPr="00561548">
              <w:rPr>
                <w:rFonts w:cs="Arial"/>
                <w:sz w:val="18"/>
                <w:szCs w:val="18"/>
              </w:rPr>
              <w:t>4,165,129</w:t>
            </w:r>
          </w:p>
        </w:tc>
        <w:tc>
          <w:tcPr>
            <w:tcW w:w="1194" w:type="dxa"/>
            <w:tcBorders>
              <w:top w:val="nil"/>
              <w:left w:val="nil"/>
              <w:bottom w:val="nil"/>
              <w:right w:val="nil"/>
            </w:tcBorders>
            <w:shd w:val="clear" w:color="auto" w:fill="auto"/>
            <w:noWrap/>
            <w:vAlign w:val="bottom"/>
            <w:hideMark/>
          </w:tcPr>
          <w:p w14:paraId="6DF39087" w14:textId="77777777" w:rsidR="00561548" w:rsidRPr="00561548" w:rsidRDefault="00561548" w:rsidP="00250A8A">
            <w:pPr>
              <w:spacing w:before="0" w:after="0"/>
              <w:jc w:val="center"/>
              <w:rPr>
                <w:rFonts w:cs="Arial"/>
                <w:sz w:val="18"/>
                <w:szCs w:val="18"/>
              </w:rPr>
            </w:pPr>
            <w:r w:rsidRPr="00561548">
              <w:rPr>
                <w:rFonts w:cs="Arial"/>
                <w:sz w:val="18"/>
                <w:szCs w:val="18"/>
              </w:rPr>
              <w:t>5,542,306</w:t>
            </w:r>
          </w:p>
        </w:tc>
        <w:tc>
          <w:tcPr>
            <w:tcW w:w="1194" w:type="dxa"/>
            <w:tcBorders>
              <w:top w:val="nil"/>
              <w:left w:val="nil"/>
              <w:bottom w:val="nil"/>
              <w:right w:val="nil"/>
            </w:tcBorders>
            <w:shd w:val="clear" w:color="000000" w:fill="FF0000"/>
            <w:noWrap/>
            <w:vAlign w:val="bottom"/>
            <w:hideMark/>
          </w:tcPr>
          <w:p w14:paraId="33FC6E8C" w14:textId="77777777" w:rsidR="00561548" w:rsidRPr="00561548" w:rsidRDefault="00561548" w:rsidP="00250A8A">
            <w:pPr>
              <w:spacing w:before="0" w:after="0"/>
              <w:jc w:val="center"/>
              <w:rPr>
                <w:rFonts w:cs="Arial"/>
                <w:sz w:val="18"/>
                <w:szCs w:val="18"/>
              </w:rPr>
            </w:pPr>
            <w:r w:rsidRPr="00561548">
              <w:rPr>
                <w:rFonts w:cs="Arial"/>
                <w:sz w:val="18"/>
                <w:szCs w:val="18"/>
              </w:rPr>
              <w:t>17,451,417</w:t>
            </w:r>
          </w:p>
        </w:tc>
      </w:tr>
      <w:tr w:rsidR="00561548" w:rsidRPr="00561548" w14:paraId="63ABD8B2" w14:textId="77777777" w:rsidTr="00DB7D3D">
        <w:trPr>
          <w:trHeight w:val="260"/>
        </w:trPr>
        <w:tc>
          <w:tcPr>
            <w:tcW w:w="2127" w:type="dxa"/>
            <w:tcBorders>
              <w:top w:val="nil"/>
              <w:left w:val="nil"/>
              <w:bottom w:val="nil"/>
              <w:right w:val="nil"/>
            </w:tcBorders>
            <w:shd w:val="clear" w:color="auto" w:fill="auto"/>
            <w:noWrap/>
            <w:vAlign w:val="center"/>
            <w:hideMark/>
          </w:tcPr>
          <w:p w14:paraId="3D93F837" w14:textId="77777777" w:rsidR="00561548" w:rsidRPr="00561548" w:rsidRDefault="00561548" w:rsidP="00250A8A">
            <w:pPr>
              <w:spacing w:before="0" w:after="0"/>
              <w:jc w:val="center"/>
              <w:rPr>
                <w:rFonts w:cs="Arial"/>
                <w:sz w:val="18"/>
                <w:szCs w:val="18"/>
              </w:rPr>
            </w:pPr>
            <w:r w:rsidRPr="00561548">
              <w:rPr>
                <w:rFonts w:cs="Arial"/>
                <w:sz w:val="18"/>
                <w:szCs w:val="18"/>
              </w:rPr>
              <w:t>Don River</w:t>
            </w:r>
          </w:p>
        </w:tc>
        <w:tc>
          <w:tcPr>
            <w:tcW w:w="1417" w:type="dxa"/>
            <w:tcBorders>
              <w:top w:val="nil"/>
              <w:left w:val="nil"/>
              <w:bottom w:val="nil"/>
              <w:right w:val="nil"/>
            </w:tcBorders>
            <w:shd w:val="clear" w:color="auto" w:fill="auto"/>
            <w:noWrap/>
            <w:vAlign w:val="center"/>
            <w:hideMark/>
          </w:tcPr>
          <w:p w14:paraId="70A62E51" w14:textId="77777777" w:rsidR="00561548" w:rsidRPr="00561548" w:rsidRDefault="00561548" w:rsidP="00250A8A">
            <w:pPr>
              <w:spacing w:before="0" w:after="0"/>
              <w:jc w:val="center"/>
              <w:rPr>
                <w:rFonts w:cs="Arial"/>
                <w:sz w:val="18"/>
                <w:szCs w:val="18"/>
              </w:rPr>
            </w:pPr>
            <w:r w:rsidRPr="00561548">
              <w:rPr>
                <w:rFonts w:cs="Arial"/>
                <w:sz w:val="18"/>
                <w:szCs w:val="18"/>
              </w:rPr>
              <w:t>508,117</w:t>
            </w:r>
          </w:p>
        </w:tc>
        <w:tc>
          <w:tcPr>
            <w:tcW w:w="1193" w:type="dxa"/>
            <w:tcBorders>
              <w:top w:val="nil"/>
              <w:left w:val="nil"/>
              <w:bottom w:val="nil"/>
              <w:right w:val="nil"/>
            </w:tcBorders>
            <w:shd w:val="clear" w:color="auto" w:fill="auto"/>
            <w:noWrap/>
            <w:vAlign w:val="center"/>
            <w:hideMark/>
          </w:tcPr>
          <w:p w14:paraId="324BDF8C" w14:textId="77777777" w:rsidR="00561548" w:rsidRPr="00561548" w:rsidRDefault="00561548" w:rsidP="00250A8A">
            <w:pPr>
              <w:spacing w:before="0" w:after="0"/>
              <w:jc w:val="center"/>
              <w:rPr>
                <w:rFonts w:cs="Arial"/>
                <w:sz w:val="18"/>
                <w:szCs w:val="18"/>
              </w:rPr>
            </w:pPr>
            <w:r w:rsidRPr="00561548">
              <w:rPr>
                <w:rFonts w:cs="Arial"/>
                <w:sz w:val="18"/>
                <w:szCs w:val="18"/>
              </w:rPr>
              <w:t>173,549</w:t>
            </w:r>
          </w:p>
        </w:tc>
        <w:tc>
          <w:tcPr>
            <w:tcW w:w="1194" w:type="dxa"/>
            <w:tcBorders>
              <w:top w:val="nil"/>
              <w:left w:val="nil"/>
              <w:bottom w:val="nil"/>
              <w:right w:val="nil"/>
            </w:tcBorders>
            <w:shd w:val="clear" w:color="000000" w:fill="FF9900"/>
            <w:noWrap/>
            <w:vAlign w:val="bottom"/>
            <w:hideMark/>
          </w:tcPr>
          <w:p w14:paraId="23CBDD18" w14:textId="77777777" w:rsidR="00561548" w:rsidRPr="00561548" w:rsidRDefault="00561548" w:rsidP="00250A8A">
            <w:pPr>
              <w:spacing w:before="0" w:after="0"/>
              <w:jc w:val="center"/>
              <w:rPr>
                <w:rFonts w:cs="Arial"/>
                <w:sz w:val="18"/>
                <w:szCs w:val="18"/>
              </w:rPr>
            </w:pPr>
            <w:r w:rsidRPr="00561548">
              <w:rPr>
                <w:rFonts w:cs="Arial"/>
                <w:sz w:val="18"/>
                <w:szCs w:val="18"/>
              </w:rPr>
              <w:t>1,081,946</w:t>
            </w:r>
          </w:p>
        </w:tc>
        <w:tc>
          <w:tcPr>
            <w:tcW w:w="1194" w:type="dxa"/>
            <w:tcBorders>
              <w:top w:val="nil"/>
              <w:left w:val="nil"/>
              <w:bottom w:val="nil"/>
              <w:right w:val="nil"/>
            </w:tcBorders>
            <w:shd w:val="clear" w:color="auto" w:fill="auto"/>
            <w:noWrap/>
            <w:vAlign w:val="bottom"/>
            <w:hideMark/>
          </w:tcPr>
          <w:p w14:paraId="5EEDB663" w14:textId="77777777" w:rsidR="00561548" w:rsidRPr="00561548" w:rsidRDefault="00561548" w:rsidP="00250A8A">
            <w:pPr>
              <w:spacing w:before="0" w:after="0"/>
              <w:jc w:val="center"/>
              <w:rPr>
                <w:rFonts w:cs="Arial"/>
                <w:sz w:val="18"/>
                <w:szCs w:val="18"/>
              </w:rPr>
            </w:pPr>
            <w:r w:rsidRPr="00561548">
              <w:rPr>
                <w:rFonts w:cs="Arial"/>
                <w:sz w:val="18"/>
                <w:szCs w:val="18"/>
              </w:rPr>
              <w:t>321,875</w:t>
            </w:r>
          </w:p>
        </w:tc>
        <w:tc>
          <w:tcPr>
            <w:tcW w:w="1194" w:type="dxa"/>
            <w:tcBorders>
              <w:top w:val="nil"/>
              <w:left w:val="nil"/>
              <w:bottom w:val="nil"/>
              <w:right w:val="nil"/>
            </w:tcBorders>
            <w:shd w:val="clear" w:color="000000" w:fill="FF9900"/>
            <w:noWrap/>
            <w:vAlign w:val="bottom"/>
            <w:hideMark/>
          </w:tcPr>
          <w:p w14:paraId="607AD78B" w14:textId="77777777" w:rsidR="00561548" w:rsidRPr="00561548" w:rsidRDefault="00561548" w:rsidP="00250A8A">
            <w:pPr>
              <w:spacing w:before="0" w:after="0"/>
              <w:jc w:val="center"/>
              <w:rPr>
                <w:rFonts w:cs="Arial"/>
                <w:sz w:val="18"/>
                <w:szCs w:val="18"/>
              </w:rPr>
            </w:pPr>
            <w:r w:rsidRPr="00561548">
              <w:rPr>
                <w:rFonts w:cs="Arial"/>
                <w:sz w:val="18"/>
                <w:szCs w:val="18"/>
              </w:rPr>
              <w:t>1,356,004</w:t>
            </w:r>
          </w:p>
        </w:tc>
      </w:tr>
      <w:tr w:rsidR="00561548" w:rsidRPr="00561548" w14:paraId="16B6B4D9" w14:textId="77777777" w:rsidTr="00DB7D3D">
        <w:trPr>
          <w:trHeight w:val="260"/>
        </w:trPr>
        <w:tc>
          <w:tcPr>
            <w:tcW w:w="2127" w:type="dxa"/>
            <w:tcBorders>
              <w:top w:val="nil"/>
              <w:left w:val="nil"/>
              <w:bottom w:val="nil"/>
              <w:right w:val="nil"/>
            </w:tcBorders>
            <w:shd w:val="clear" w:color="auto" w:fill="auto"/>
            <w:noWrap/>
            <w:vAlign w:val="center"/>
            <w:hideMark/>
          </w:tcPr>
          <w:p w14:paraId="52A4FF67" w14:textId="77777777" w:rsidR="00561548" w:rsidRPr="00561548" w:rsidRDefault="00561548" w:rsidP="00250A8A">
            <w:pPr>
              <w:spacing w:before="0" w:after="0"/>
              <w:jc w:val="center"/>
              <w:rPr>
                <w:rFonts w:cs="Arial"/>
                <w:sz w:val="18"/>
                <w:szCs w:val="18"/>
              </w:rPr>
            </w:pPr>
            <w:r w:rsidRPr="00561548">
              <w:rPr>
                <w:rFonts w:cs="Arial"/>
                <w:sz w:val="18"/>
                <w:szCs w:val="18"/>
              </w:rPr>
              <w:t>Proserpine River</w:t>
            </w:r>
          </w:p>
        </w:tc>
        <w:tc>
          <w:tcPr>
            <w:tcW w:w="1417" w:type="dxa"/>
            <w:tcBorders>
              <w:top w:val="nil"/>
              <w:left w:val="nil"/>
              <w:bottom w:val="nil"/>
              <w:right w:val="nil"/>
            </w:tcBorders>
            <w:shd w:val="clear" w:color="auto" w:fill="auto"/>
            <w:noWrap/>
            <w:vAlign w:val="center"/>
            <w:hideMark/>
          </w:tcPr>
          <w:p w14:paraId="1EE6EAFC" w14:textId="77777777" w:rsidR="00561548" w:rsidRPr="00561548" w:rsidRDefault="00561548" w:rsidP="00250A8A">
            <w:pPr>
              <w:spacing w:before="0" w:after="0"/>
              <w:jc w:val="center"/>
              <w:rPr>
                <w:rFonts w:cs="Arial"/>
                <w:sz w:val="18"/>
                <w:szCs w:val="18"/>
              </w:rPr>
            </w:pPr>
            <w:r w:rsidRPr="00561548">
              <w:rPr>
                <w:rFonts w:cs="Arial"/>
                <w:sz w:val="18"/>
                <w:szCs w:val="18"/>
              </w:rPr>
              <w:t>284,542</w:t>
            </w:r>
          </w:p>
        </w:tc>
        <w:tc>
          <w:tcPr>
            <w:tcW w:w="1193" w:type="dxa"/>
            <w:tcBorders>
              <w:top w:val="nil"/>
              <w:left w:val="nil"/>
              <w:bottom w:val="nil"/>
              <w:right w:val="nil"/>
            </w:tcBorders>
            <w:shd w:val="clear" w:color="auto" w:fill="auto"/>
            <w:noWrap/>
            <w:vAlign w:val="center"/>
            <w:hideMark/>
          </w:tcPr>
          <w:p w14:paraId="1BD193D9" w14:textId="77777777" w:rsidR="00561548" w:rsidRPr="00561548" w:rsidRDefault="00561548" w:rsidP="00250A8A">
            <w:pPr>
              <w:spacing w:before="0" w:after="0"/>
              <w:jc w:val="center"/>
              <w:rPr>
                <w:rFonts w:cs="Arial"/>
                <w:sz w:val="18"/>
                <w:szCs w:val="18"/>
              </w:rPr>
            </w:pPr>
            <w:r w:rsidRPr="00561548">
              <w:rPr>
                <w:rFonts w:cs="Arial"/>
                <w:sz w:val="18"/>
                <w:szCs w:val="18"/>
              </w:rPr>
              <w:t>101,490</w:t>
            </w:r>
          </w:p>
        </w:tc>
        <w:tc>
          <w:tcPr>
            <w:tcW w:w="1194" w:type="dxa"/>
            <w:tcBorders>
              <w:top w:val="nil"/>
              <w:left w:val="nil"/>
              <w:bottom w:val="nil"/>
              <w:right w:val="nil"/>
            </w:tcBorders>
            <w:shd w:val="clear" w:color="000000" w:fill="FFFF00"/>
            <w:noWrap/>
            <w:vAlign w:val="bottom"/>
            <w:hideMark/>
          </w:tcPr>
          <w:p w14:paraId="5221BE8D" w14:textId="77777777" w:rsidR="00561548" w:rsidRPr="00561548" w:rsidRDefault="00561548" w:rsidP="00250A8A">
            <w:pPr>
              <w:spacing w:before="0" w:after="0"/>
              <w:jc w:val="center"/>
              <w:rPr>
                <w:rFonts w:cs="Arial"/>
                <w:sz w:val="18"/>
                <w:szCs w:val="18"/>
              </w:rPr>
            </w:pPr>
            <w:r w:rsidRPr="00561548">
              <w:rPr>
                <w:rFonts w:cs="Arial"/>
                <w:sz w:val="18"/>
                <w:szCs w:val="18"/>
              </w:rPr>
              <w:t>539,710</w:t>
            </w:r>
          </w:p>
        </w:tc>
        <w:tc>
          <w:tcPr>
            <w:tcW w:w="1194" w:type="dxa"/>
            <w:tcBorders>
              <w:top w:val="nil"/>
              <w:left w:val="nil"/>
              <w:bottom w:val="nil"/>
              <w:right w:val="nil"/>
            </w:tcBorders>
            <w:shd w:val="clear" w:color="auto" w:fill="auto"/>
            <w:noWrap/>
            <w:vAlign w:val="bottom"/>
            <w:hideMark/>
          </w:tcPr>
          <w:p w14:paraId="73981570" w14:textId="77777777" w:rsidR="00561548" w:rsidRPr="00561548" w:rsidRDefault="00561548" w:rsidP="00250A8A">
            <w:pPr>
              <w:spacing w:before="0" w:after="0"/>
              <w:jc w:val="center"/>
              <w:rPr>
                <w:rFonts w:cs="Arial"/>
                <w:sz w:val="18"/>
                <w:szCs w:val="18"/>
              </w:rPr>
            </w:pPr>
            <w:r w:rsidRPr="00561548">
              <w:rPr>
                <w:rFonts w:cs="Arial"/>
                <w:sz w:val="18"/>
                <w:szCs w:val="18"/>
              </w:rPr>
              <w:t>174,183</w:t>
            </w:r>
          </w:p>
        </w:tc>
        <w:tc>
          <w:tcPr>
            <w:tcW w:w="1194" w:type="dxa"/>
            <w:tcBorders>
              <w:top w:val="nil"/>
              <w:left w:val="nil"/>
              <w:bottom w:val="nil"/>
              <w:right w:val="nil"/>
            </w:tcBorders>
            <w:shd w:val="clear" w:color="000000" w:fill="FF9900"/>
            <w:noWrap/>
            <w:vAlign w:val="bottom"/>
            <w:hideMark/>
          </w:tcPr>
          <w:p w14:paraId="2C7B714F" w14:textId="77777777" w:rsidR="00561548" w:rsidRPr="00561548" w:rsidRDefault="00561548" w:rsidP="00250A8A">
            <w:pPr>
              <w:spacing w:before="0" w:after="0"/>
              <w:jc w:val="center"/>
              <w:rPr>
                <w:rFonts w:cs="Arial"/>
                <w:sz w:val="18"/>
                <w:szCs w:val="18"/>
              </w:rPr>
            </w:pPr>
            <w:r w:rsidRPr="00561548">
              <w:rPr>
                <w:rFonts w:cs="Arial"/>
                <w:sz w:val="18"/>
                <w:szCs w:val="18"/>
              </w:rPr>
              <w:t>837,962</w:t>
            </w:r>
          </w:p>
        </w:tc>
      </w:tr>
      <w:tr w:rsidR="00561548" w:rsidRPr="00561548" w14:paraId="7DF1CC03" w14:textId="77777777" w:rsidTr="00DB7D3D">
        <w:trPr>
          <w:trHeight w:val="260"/>
        </w:trPr>
        <w:tc>
          <w:tcPr>
            <w:tcW w:w="2127" w:type="dxa"/>
            <w:tcBorders>
              <w:top w:val="nil"/>
              <w:left w:val="nil"/>
              <w:bottom w:val="nil"/>
              <w:right w:val="nil"/>
            </w:tcBorders>
            <w:shd w:val="clear" w:color="auto" w:fill="auto"/>
            <w:noWrap/>
            <w:vAlign w:val="center"/>
            <w:hideMark/>
          </w:tcPr>
          <w:p w14:paraId="7A44B7CE" w14:textId="77777777" w:rsidR="00561548" w:rsidRPr="00561548" w:rsidRDefault="00561548" w:rsidP="00250A8A">
            <w:pPr>
              <w:spacing w:before="0" w:after="0"/>
              <w:jc w:val="center"/>
              <w:rPr>
                <w:rFonts w:cs="Arial"/>
                <w:sz w:val="18"/>
                <w:szCs w:val="18"/>
              </w:rPr>
            </w:pPr>
            <w:r w:rsidRPr="00561548">
              <w:rPr>
                <w:rFonts w:cs="Arial"/>
                <w:sz w:val="18"/>
                <w:szCs w:val="18"/>
              </w:rPr>
              <w:t>O'Connell River</w:t>
            </w:r>
          </w:p>
        </w:tc>
        <w:tc>
          <w:tcPr>
            <w:tcW w:w="1417" w:type="dxa"/>
            <w:tcBorders>
              <w:top w:val="nil"/>
              <w:left w:val="nil"/>
              <w:bottom w:val="nil"/>
              <w:right w:val="nil"/>
            </w:tcBorders>
            <w:shd w:val="clear" w:color="auto" w:fill="auto"/>
            <w:noWrap/>
            <w:vAlign w:val="center"/>
            <w:hideMark/>
          </w:tcPr>
          <w:p w14:paraId="394C44E9" w14:textId="77777777" w:rsidR="00561548" w:rsidRPr="00561548" w:rsidRDefault="00561548" w:rsidP="00250A8A">
            <w:pPr>
              <w:spacing w:before="0" w:after="0"/>
              <w:jc w:val="center"/>
              <w:rPr>
                <w:rFonts w:cs="Arial"/>
                <w:sz w:val="18"/>
                <w:szCs w:val="18"/>
              </w:rPr>
            </w:pPr>
            <w:r w:rsidRPr="00561548">
              <w:rPr>
                <w:rFonts w:cs="Arial"/>
                <w:sz w:val="18"/>
                <w:szCs w:val="18"/>
              </w:rPr>
              <w:t>478,097</w:t>
            </w:r>
          </w:p>
        </w:tc>
        <w:tc>
          <w:tcPr>
            <w:tcW w:w="1193" w:type="dxa"/>
            <w:tcBorders>
              <w:top w:val="nil"/>
              <w:left w:val="nil"/>
              <w:bottom w:val="nil"/>
              <w:right w:val="nil"/>
            </w:tcBorders>
            <w:shd w:val="clear" w:color="auto" w:fill="auto"/>
            <w:noWrap/>
            <w:vAlign w:val="center"/>
            <w:hideMark/>
          </w:tcPr>
          <w:p w14:paraId="3DFC67DA" w14:textId="77777777" w:rsidR="00561548" w:rsidRPr="00561548" w:rsidRDefault="00561548" w:rsidP="00250A8A">
            <w:pPr>
              <w:spacing w:before="0" w:after="0"/>
              <w:jc w:val="center"/>
              <w:rPr>
                <w:rFonts w:cs="Arial"/>
                <w:sz w:val="18"/>
                <w:szCs w:val="18"/>
              </w:rPr>
            </w:pPr>
            <w:r w:rsidRPr="00561548">
              <w:rPr>
                <w:rFonts w:cs="Arial"/>
                <w:sz w:val="18"/>
                <w:szCs w:val="18"/>
              </w:rPr>
              <w:t>273,420</w:t>
            </w:r>
          </w:p>
        </w:tc>
        <w:tc>
          <w:tcPr>
            <w:tcW w:w="1194" w:type="dxa"/>
            <w:tcBorders>
              <w:top w:val="nil"/>
              <w:left w:val="nil"/>
              <w:bottom w:val="nil"/>
              <w:right w:val="nil"/>
            </w:tcBorders>
            <w:shd w:val="clear" w:color="000000" w:fill="FFFF00"/>
            <w:noWrap/>
            <w:vAlign w:val="bottom"/>
            <w:hideMark/>
          </w:tcPr>
          <w:p w14:paraId="1728DB6F" w14:textId="77777777" w:rsidR="00561548" w:rsidRPr="00561548" w:rsidRDefault="00561548" w:rsidP="00250A8A">
            <w:pPr>
              <w:spacing w:before="0" w:after="0"/>
              <w:jc w:val="center"/>
              <w:rPr>
                <w:rFonts w:cs="Arial"/>
                <w:sz w:val="18"/>
                <w:szCs w:val="18"/>
              </w:rPr>
            </w:pPr>
            <w:r w:rsidRPr="00561548">
              <w:rPr>
                <w:rFonts w:cs="Arial"/>
                <w:sz w:val="18"/>
                <w:szCs w:val="18"/>
              </w:rPr>
              <w:t>894,975</w:t>
            </w:r>
          </w:p>
        </w:tc>
        <w:tc>
          <w:tcPr>
            <w:tcW w:w="1194" w:type="dxa"/>
            <w:tcBorders>
              <w:top w:val="nil"/>
              <w:left w:val="nil"/>
              <w:bottom w:val="nil"/>
              <w:right w:val="nil"/>
            </w:tcBorders>
            <w:shd w:val="clear" w:color="auto" w:fill="auto"/>
            <w:noWrap/>
            <w:vAlign w:val="bottom"/>
            <w:hideMark/>
          </w:tcPr>
          <w:p w14:paraId="1576DE82" w14:textId="77777777" w:rsidR="00561548" w:rsidRPr="00561548" w:rsidRDefault="00561548" w:rsidP="00250A8A">
            <w:pPr>
              <w:spacing w:before="0" w:after="0"/>
              <w:jc w:val="center"/>
              <w:rPr>
                <w:rFonts w:cs="Arial"/>
                <w:sz w:val="18"/>
                <w:szCs w:val="18"/>
              </w:rPr>
            </w:pPr>
            <w:r w:rsidRPr="00561548">
              <w:rPr>
                <w:rFonts w:cs="Arial"/>
                <w:sz w:val="18"/>
                <w:szCs w:val="18"/>
              </w:rPr>
              <w:t>260,937</w:t>
            </w:r>
          </w:p>
        </w:tc>
        <w:tc>
          <w:tcPr>
            <w:tcW w:w="1194" w:type="dxa"/>
            <w:tcBorders>
              <w:top w:val="nil"/>
              <w:left w:val="nil"/>
              <w:bottom w:val="nil"/>
              <w:right w:val="nil"/>
            </w:tcBorders>
            <w:shd w:val="clear" w:color="000000" w:fill="FF9900"/>
            <w:noWrap/>
            <w:vAlign w:val="bottom"/>
            <w:hideMark/>
          </w:tcPr>
          <w:p w14:paraId="0C42E903" w14:textId="77777777" w:rsidR="00561548" w:rsidRPr="00561548" w:rsidRDefault="00561548" w:rsidP="00250A8A">
            <w:pPr>
              <w:spacing w:before="0" w:after="0"/>
              <w:jc w:val="center"/>
              <w:rPr>
                <w:rFonts w:cs="Arial"/>
                <w:sz w:val="18"/>
                <w:szCs w:val="18"/>
              </w:rPr>
            </w:pPr>
            <w:r w:rsidRPr="00561548">
              <w:rPr>
                <w:rFonts w:cs="Arial"/>
                <w:sz w:val="18"/>
                <w:szCs w:val="18"/>
              </w:rPr>
              <w:t>1,223,297</w:t>
            </w:r>
          </w:p>
        </w:tc>
      </w:tr>
      <w:tr w:rsidR="00561548" w:rsidRPr="00561548" w14:paraId="1075ACD8" w14:textId="77777777" w:rsidTr="00DB7D3D">
        <w:trPr>
          <w:trHeight w:val="260"/>
        </w:trPr>
        <w:tc>
          <w:tcPr>
            <w:tcW w:w="2127" w:type="dxa"/>
            <w:tcBorders>
              <w:top w:val="nil"/>
              <w:left w:val="nil"/>
              <w:bottom w:val="nil"/>
              <w:right w:val="nil"/>
            </w:tcBorders>
            <w:shd w:val="clear" w:color="auto" w:fill="auto"/>
            <w:noWrap/>
            <w:vAlign w:val="center"/>
            <w:hideMark/>
          </w:tcPr>
          <w:p w14:paraId="402C8A92" w14:textId="77777777" w:rsidR="00561548" w:rsidRPr="00561548" w:rsidRDefault="00561548" w:rsidP="00250A8A">
            <w:pPr>
              <w:spacing w:before="0" w:after="0"/>
              <w:jc w:val="center"/>
              <w:rPr>
                <w:rFonts w:cs="Arial"/>
                <w:sz w:val="18"/>
                <w:szCs w:val="18"/>
              </w:rPr>
            </w:pPr>
            <w:r w:rsidRPr="00561548">
              <w:rPr>
                <w:rFonts w:cs="Arial"/>
                <w:sz w:val="18"/>
                <w:szCs w:val="18"/>
              </w:rPr>
              <w:t>Pioneer River</w:t>
            </w:r>
          </w:p>
        </w:tc>
        <w:tc>
          <w:tcPr>
            <w:tcW w:w="1417" w:type="dxa"/>
            <w:tcBorders>
              <w:top w:val="nil"/>
              <w:left w:val="nil"/>
              <w:bottom w:val="nil"/>
              <w:right w:val="nil"/>
            </w:tcBorders>
            <w:shd w:val="clear" w:color="auto" w:fill="auto"/>
            <w:noWrap/>
            <w:vAlign w:val="center"/>
            <w:hideMark/>
          </w:tcPr>
          <w:p w14:paraId="07CCEA12" w14:textId="77777777" w:rsidR="00561548" w:rsidRPr="00561548" w:rsidRDefault="00561548" w:rsidP="00250A8A">
            <w:pPr>
              <w:spacing w:before="0" w:after="0"/>
              <w:jc w:val="center"/>
              <w:rPr>
                <w:rFonts w:cs="Arial"/>
                <w:sz w:val="18"/>
                <w:szCs w:val="18"/>
              </w:rPr>
            </w:pPr>
            <w:r w:rsidRPr="00561548">
              <w:rPr>
                <w:rFonts w:cs="Arial"/>
                <w:sz w:val="18"/>
                <w:szCs w:val="18"/>
              </w:rPr>
              <w:t>692,342</w:t>
            </w:r>
          </w:p>
        </w:tc>
        <w:tc>
          <w:tcPr>
            <w:tcW w:w="1193" w:type="dxa"/>
            <w:tcBorders>
              <w:top w:val="nil"/>
              <w:left w:val="nil"/>
              <w:bottom w:val="nil"/>
              <w:right w:val="nil"/>
            </w:tcBorders>
            <w:shd w:val="clear" w:color="auto" w:fill="auto"/>
            <w:noWrap/>
            <w:vAlign w:val="center"/>
            <w:hideMark/>
          </w:tcPr>
          <w:p w14:paraId="5B3C5EA6" w14:textId="77777777" w:rsidR="00561548" w:rsidRPr="00561548" w:rsidRDefault="00561548" w:rsidP="00250A8A">
            <w:pPr>
              <w:spacing w:before="0" w:after="0"/>
              <w:jc w:val="center"/>
              <w:rPr>
                <w:rFonts w:cs="Arial"/>
                <w:sz w:val="18"/>
                <w:szCs w:val="18"/>
              </w:rPr>
            </w:pPr>
            <w:r w:rsidRPr="00561548">
              <w:rPr>
                <w:rFonts w:cs="Arial"/>
                <w:sz w:val="18"/>
                <w:szCs w:val="18"/>
              </w:rPr>
              <w:t>597,117</w:t>
            </w:r>
          </w:p>
        </w:tc>
        <w:tc>
          <w:tcPr>
            <w:tcW w:w="1194" w:type="dxa"/>
            <w:tcBorders>
              <w:top w:val="nil"/>
              <w:left w:val="nil"/>
              <w:bottom w:val="nil"/>
              <w:right w:val="nil"/>
            </w:tcBorders>
            <w:shd w:val="clear" w:color="000000" w:fill="FF9900"/>
            <w:noWrap/>
            <w:vAlign w:val="bottom"/>
            <w:hideMark/>
          </w:tcPr>
          <w:p w14:paraId="3607E34B" w14:textId="77777777" w:rsidR="00561548" w:rsidRPr="00561548" w:rsidRDefault="00561548" w:rsidP="00250A8A">
            <w:pPr>
              <w:spacing w:before="0" w:after="0"/>
              <w:jc w:val="center"/>
              <w:rPr>
                <w:rFonts w:cs="Arial"/>
                <w:sz w:val="18"/>
                <w:szCs w:val="18"/>
              </w:rPr>
            </w:pPr>
            <w:r w:rsidRPr="00561548">
              <w:rPr>
                <w:rFonts w:cs="Arial"/>
                <w:sz w:val="18"/>
                <w:szCs w:val="18"/>
              </w:rPr>
              <w:t>1,388,687</w:t>
            </w:r>
          </w:p>
        </w:tc>
        <w:tc>
          <w:tcPr>
            <w:tcW w:w="1194" w:type="dxa"/>
            <w:tcBorders>
              <w:top w:val="nil"/>
              <w:left w:val="nil"/>
              <w:bottom w:val="nil"/>
              <w:right w:val="nil"/>
            </w:tcBorders>
            <w:shd w:val="clear" w:color="auto" w:fill="auto"/>
            <w:noWrap/>
            <w:vAlign w:val="bottom"/>
            <w:hideMark/>
          </w:tcPr>
          <w:p w14:paraId="67A777AE" w14:textId="77777777" w:rsidR="00561548" w:rsidRPr="00561548" w:rsidRDefault="00561548" w:rsidP="00250A8A">
            <w:pPr>
              <w:spacing w:before="0" w:after="0"/>
              <w:jc w:val="center"/>
              <w:rPr>
                <w:rFonts w:cs="Arial"/>
                <w:sz w:val="18"/>
                <w:szCs w:val="18"/>
              </w:rPr>
            </w:pPr>
            <w:r w:rsidRPr="00561548">
              <w:rPr>
                <w:rFonts w:cs="Arial"/>
                <w:sz w:val="18"/>
                <w:szCs w:val="18"/>
              </w:rPr>
              <w:t>249,530</w:t>
            </w:r>
          </w:p>
        </w:tc>
        <w:tc>
          <w:tcPr>
            <w:tcW w:w="1194" w:type="dxa"/>
            <w:tcBorders>
              <w:top w:val="nil"/>
              <w:left w:val="nil"/>
              <w:bottom w:val="nil"/>
              <w:right w:val="nil"/>
            </w:tcBorders>
            <w:shd w:val="clear" w:color="000000" w:fill="FFFF00"/>
            <w:noWrap/>
            <w:vAlign w:val="bottom"/>
            <w:hideMark/>
          </w:tcPr>
          <w:p w14:paraId="1EA73A56" w14:textId="77777777" w:rsidR="00561548" w:rsidRPr="00561548" w:rsidRDefault="00561548" w:rsidP="00250A8A">
            <w:pPr>
              <w:spacing w:before="0" w:after="0"/>
              <w:jc w:val="center"/>
              <w:rPr>
                <w:rFonts w:cs="Arial"/>
                <w:sz w:val="18"/>
                <w:szCs w:val="18"/>
              </w:rPr>
            </w:pPr>
            <w:r w:rsidRPr="00561548">
              <w:rPr>
                <w:rFonts w:cs="Arial"/>
                <w:sz w:val="18"/>
                <w:szCs w:val="18"/>
              </w:rPr>
              <w:t>1,158,768</w:t>
            </w:r>
          </w:p>
        </w:tc>
      </w:tr>
      <w:tr w:rsidR="00561548" w:rsidRPr="00561548" w14:paraId="5392C733" w14:textId="77777777" w:rsidTr="00DB7D3D">
        <w:trPr>
          <w:trHeight w:val="260"/>
        </w:trPr>
        <w:tc>
          <w:tcPr>
            <w:tcW w:w="2127" w:type="dxa"/>
            <w:tcBorders>
              <w:top w:val="nil"/>
              <w:left w:val="nil"/>
              <w:bottom w:val="nil"/>
              <w:right w:val="nil"/>
            </w:tcBorders>
            <w:shd w:val="clear" w:color="auto" w:fill="auto"/>
            <w:noWrap/>
            <w:vAlign w:val="center"/>
            <w:hideMark/>
          </w:tcPr>
          <w:p w14:paraId="0D748568" w14:textId="77777777" w:rsidR="00561548" w:rsidRPr="00561548" w:rsidRDefault="00561548" w:rsidP="00250A8A">
            <w:pPr>
              <w:spacing w:before="0" w:after="0"/>
              <w:jc w:val="center"/>
              <w:rPr>
                <w:rFonts w:cs="Arial"/>
                <w:sz w:val="18"/>
                <w:szCs w:val="18"/>
              </w:rPr>
            </w:pPr>
            <w:r w:rsidRPr="00561548">
              <w:rPr>
                <w:rFonts w:cs="Arial"/>
                <w:sz w:val="18"/>
                <w:szCs w:val="18"/>
              </w:rPr>
              <w:t>Plane Creek</w:t>
            </w:r>
          </w:p>
        </w:tc>
        <w:tc>
          <w:tcPr>
            <w:tcW w:w="1417" w:type="dxa"/>
            <w:tcBorders>
              <w:top w:val="nil"/>
              <w:left w:val="nil"/>
              <w:bottom w:val="nil"/>
              <w:right w:val="nil"/>
            </w:tcBorders>
            <w:shd w:val="clear" w:color="auto" w:fill="auto"/>
            <w:noWrap/>
            <w:vAlign w:val="center"/>
            <w:hideMark/>
          </w:tcPr>
          <w:p w14:paraId="4A2E9D54" w14:textId="77777777" w:rsidR="00561548" w:rsidRPr="00561548" w:rsidRDefault="00561548" w:rsidP="00250A8A">
            <w:pPr>
              <w:spacing w:before="0" w:after="0"/>
              <w:jc w:val="center"/>
              <w:rPr>
                <w:rFonts w:cs="Arial"/>
                <w:sz w:val="18"/>
                <w:szCs w:val="18"/>
              </w:rPr>
            </w:pPr>
            <w:r w:rsidRPr="00561548">
              <w:rPr>
                <w:rFonts w:cs="Arial"/>
                <w:sz w:val="18"/>
                <w:szCs w:val="18"/>
              </w:rPr>
              <w:t>309,931</w:t>
            </w:r>
          </w:p>
        </w:tc>
        <w:tc>
          <w:tcPr>
            <w:tcW w:w="1193" w:type="dxa"/>
            <w:tcBorders>
              <w:top w:val="nil"/>
              <w:left w:val="nil"/>
              <w:bottom w:val="nil"/>
              <w:right w:val="nil"/>
            </w:tcBorders>
            <w:shd w:val="clear" w:color="auto" w:fill="auto"/>
            <w:noWrap/>
            <w:vAlign w:val="center"/>
            <w:hideMark/>
          </w:tcPr>
          <w:p w14:paraId="79568258" w14:textId="77777777" w:rsidR="00561548" w:rsidRPr="00561548" w:rsidRDefault="00561548" w:rsidP="00250A8A">
            <w:pPr>
              <w:spacing w:before="0" w:after="0"/>
              <w:jc w:val="center"/>
              <w:rPr>
                <w:rFonts w:cs="Arial"/>
                <w:sz w:val="18"/>
                <w:szCs w:val="18"/>
              </w:rPr>
            </w:pPr>
            <w:r w:rsidRPr="00561548">
              <w:rPr>
                <w:rFonts w:cs="Arial"/>
                <w:sz w:val="18"/>
                <w:szCs w:val="18"/>
              </w:rPr>
              <w:t>246,274</w:t>
            </w:r>
          </w:p>
        </w:tc>
        <w:tc>
          <w:tcPr>
            <w:tcW w:w="1194" w:type="dxa"/>
            <w:tcBorders>
              <w:top w:val="nil"/>
              <w:left w:val="nil"/>
              <w:bottom w:val="nil"/>
              <w:right w:val="nil"/>
            </w:tcBorders>
            <w:shd w:val="clear" w:color="000000" w:fill="FF9900"/>
            <w:noWrap/>
            <w:vAlign w:val="bottom"/>
            <w:hideMark/>
          </w:tcPr>
          <w:p w14:paraId="06D35A37" w14:textId="77777777" w:rsidR="00561548" w:rsidRPr="00561548" w:rsidRDefault="00561548" w:rsidP="00250A8A">
            <w:pPr>
              <w:spacing w:before="0" w:after="0"/>
              <w:jc w:val="center"/>
              <w:rPr>
                <w:rFonts w:cs="Arial"/>
                <w:sz w:val="18"/>
                <w:szCs w:val="18"/>
              </w:rPr>
            </w:pPr>
            <w:r w:rsidRPr="00561548">
              <w:rPr>
                <w:rFonts w:cs="Arial"/>
                <w:sz w:val="18"/>
                <w:szCs w:val="18"/>
              </w:rPr>
              <w:t>761,503</w:t>
            </w:r>
          </w:p>
        </w:tc>
        <w:tc>
          <w:tcPr>
            <w:tcW w:w="1194" w:type="dxa"/>
            <w:tcBorders>
              <w:top w:val="nil"/>
              <w:left w:val="nil"/>
              <w:bottom w:val="nil"/>
              <w:right w:val="nil"/>
            </w:tcBorders>
            <w:shd w:val="clear" w:color="auto" w:fill="auto"/>
            <w:noWrap/>
            <w:vAlign w:val="bottom"/>
            <w:hideMark/>
          </w:tcPr>
          <w:p w14:paraId="7538A759" w14:textId="77777777" w:rsidR="00561548" w:rsidRPr="00561548" w:rsidRDefault="00561548" w:rsidP="00250A8A">
            <w:pPr>
              <w:spacing w:before="0" w:after="0"/>
              <w:jc w:val="center"/>
              <w:rPr>
                <w:rFonts w:cs="Arial"/>
                <w:sz w:val="18"/>
                <w:szCs w:val="18"/>
              </w:rPr>
            </w:pPr>
            <w:r w:rsidRPr="00561548">
              <w:rPr>
                <w:rFonts w:cs="Arial"/>
                <w:sz w:val="18"/>
                <w:szCs w:val="18"/>
              </w:rPr>
              <w:t>75,052</w:t>
            </w:r>
          </w:p>
        </w:tc>
        <w:tc>
          <w:tcPr>
            <w:tcW w:w="1194" w:type="dxa"/>
            <w:tcBorders>
              <w:top w:val="nil"/>
              <w:left w:val="nil"/>
              <w:bottom w:val="nil"/>
              <w:right w:val="nil"/>
            </w:tcBorders>
            <w:shd w:val="clear" w:color="auto" w:fill="auto"/>
            <w:noWrap/>
            <w:vAlign w:val="bottom"/>
            <w:hideMark/>
          </w:tcPr>
          <w:p w14:paraId="19790A74" w14:textId="77777777" w:rsidR="00561548" w:rsidRPr="00561548" w:rsidRDefault="00561548" w:rsidP="00250A8A">
            <w:pPr>
              <w:spacing w:before="0" w:after="0"/>
              <w:jc w:val="center"/>
              <w:rPr>
                <w:rFonts w:cs="Arial"/>
                <w:sz w:val="18"/>
                <w:szCs w:val="18"/>
              </w:rPr>
            </w:pPr>
            <w:r w:rsidRPr="00561548">
              <w:rPr>
                <w:rFonts w:cs="Arial"/>
                <w:sz w:val="18"/>
                <w:szCs w:val="18"/>
              </w:rPr>
              <w:t>351,879</w:t>
            </w:r>
          </w:p>
        </w:tc>
      </w:tr>
      <w:tr w:rsidR="00561548" w:rsidRPr="00561548" w14:paraId="155F7F60" w14:textId="77777777" w:rsidTr="00DB7D3D">
        <w:trPr>
          <w:trHeight w:val="260"/>
        </w:trPr>
        <w:tc>
          <w:tcPr>
            <w:tcW w:w="2127" w:type="dxa"/>
            <w:tcBorders>
              <w:top w:val="nil"/>
              <w:left w:val="nil"/>
              <w:bottom w:val="nil"/>
              <w:right w:val="nil"/>
            </w:tcBorders>
            <w:shd w:val="clear" w:color="auto" w:fill="auto"/>
            <w:noWrap/>
            <w:vAlign w:val="center"/>
            <w:hideMark/>
          </w:tcPr>
          <w:p w14:paraId="40F0DF2C" w14:textId="77777777" w:rsidR="00561548" w:rsidRPr="00561548" w:rsidRDefault="00561548" w:rsidP="00250A8A">
            <w:pPr>
              <w:spacing w:before="0" w:after="0"/>
              <w:jc w:val="center"/>
              <w:rPr>
                <w:rFonts w:cs="Arial"/>
                <w:sz w:val="18"/>
                <w:szCs w:val="18"/>
              </w:rPr>
            </w:pPr>
            <w:r w:rsidRPr="00561548">
              <w:rPr>
                <w:rFonts w:cs="Arial"/>
                <w:sz w:val="18"/>
                <w:szCs w:val="18"/>
              </w:rPr>
              <w:t>Styx River</w:t>
            </w:r>
          </w:p>
        </w:tc>
        <w:tc>
          <w:tcPr>
            <w:tcW w:w="1417" w:type="dxa"/>
            <w:tcBorders>
              <w:top w:val="nil"/>
              <w:left w:val="nil"/>
              <w:bottom w:val="nil"/>
              <w:right w:val="nil"/>
            </w:tcBorders>
            <w:shd w:val="clear" w:color="auto" w:fill="auto"/>
            <w:noWrap/>
            <w:vAlign w:val="center"/>
            <w:hideMark/>
          </w:tcPr>
          <w:p w14:paraId="73AE672F" w14:textId="77777777" w:rsidR="00561548" w:rsidRPr="00561548" w:rsidRDefault="00561548" w:rsidP="00250A8A">
            <w:pPr>
              <w:spacing w:before="0" w:after="0"/>
              <w:jc w:val="center"/>
              <w:rPr>
                <w:rFonts w:cs="Arial"/>
                <w:sz w:val="18"/>
                <w:szCs w:val="18"/>
              </w:rPr>
            </w:pPr>
            <w:r w:rsidRPr="00561548">
              <w:rPr>
                <w:rFonts w:cs="Arial"/>
                <w:sz w:val="18"/>
                <w:szCs w:val="18"/>
              </w:rPr>
              <w:t>155,384</w:t>
            </w:r>
          </w:p>
        </w:tc>
        <w:tc>
          <w:tcPr>
            <w:tcW w:w="1193" w:type="dxa"/>
            <w:tcBorders>
              <w:top w:val="nil"/>
              <w:left w:val="nil"/>
              <w:bottom w:val="nil"/>
              <w:right w:val="nil"/>
            </w:tcBorders>
            <w:shd w:val="clear" w:color="000000" w:fill="FFFF00"/>
            <w:noWrap/>
            <w:vAlign w:val="center"/>
            <w:hideMark/>
          </w:tcPr>
          <w:p w14:paraId="04B96BDE" w14:textId="77777777" w:rsidR="00561548" w:rsidRPr="00561548" w:rsidRDefault="00561548" w:rsidP="00250A8A">
            <w:pPr>
              <w:spacing w:before="0" w:after="0"/>
              <w:jc w:val="center"/>
              <w:rPr>
                <w:rFonts w:cs="Arial"/>
                <w:sz w:val="18"/>
                <w:szCs w:val="18"/>
              </w:rPr>
            </w:pPr>
            <w:r w:rsidRPr="00561548">
              <w:rPr>
                <w:rFonts w:cs="Arial"/>
                <w:sz w:val="18"/>
                <w:szCs w:val="18"/>
              </w:rPr>
              <w:t>284,587</w:t>
            </w:r>
          </w:p>
        </w:tc>
        <w:tc>
          <w:tcPr>
            <w:tcW w:w="1194" w:type="dxa"/>
            <w:tcBorders>
              <w:top w:val="nil"/>
              <w:left w:val="nil"/>
              <w:bottom w:val="nil"/>
              <w:right w:val="nil"/>
            </w:tcBorders>
            <w:shd w:val="clear" w:color="000000" w:fill="FF9900"/>
            <w:noWrap/>
            <w:vAlign w:val="bottom"/>
            <w:hideMark/>
          </w:tcPr>
          <w:p w14:paraId="586BC571" w14:textId="77777777" w:rsidR="00561548" w:rsidRPr="00561548" w:rsidRDefault="00561548" w:rsidP="00250A8A">
            <w:pPr>
              <w:spacing w:before="0" w:after="0"/>
              <w:jc w:val="center"/>
              <w:rPr>
                <w:rFonts w:cs="Arial"/>
                <w:sz w:val="18"/>
                <w:szCs w:val="18"/>
              </w:rPr>
            </w:pPr>
            <w:r w:rsidRPr="00561548">
              <w:rPr>
                <w:rFonts w:cs="Arial"/>
                <w:sz w:val="18"/>
                <w:szCs w:val="18"/>
              </w:rPr>
              <w:t>420,353</w:t>
            </w:r>
          </w:p>
        </w:tc>
        <w:tc>
          <w:tcPr>
            <w:tcW w:w="1194" w:type="dxa"/>
            <w:tcBorders>
              <w:top w:val="nil"/>
              <w:left w:val="nil"/>
              <w:bottom w:val="nil"/>
              <w:right w:val="nil"/>
            </w:tcBorders>
            <w:shd w:val="clear" w:color="auto" w:fill="auto"/>
            <w:noWrap/>
            <w:vAlign w:val="bottom"/>
            <w:hideMark/>
          </w:tcPr>
          <w:p w14:paraId="398256D2" w14:textId="77777777" w:rsidR="00561548" w:rsidRPr="00561548" w:rsidRDefault="00561548" w:rsidP="00250A8A">
            <w:pPr>
              <w:spacing w:before="0" w:after="0"/>
              <w:jc w:val="center"/>
              <w:rPr>
                <w:rFonts w:cs="Arial"/>
                <w:sz w:val="18"/>
                <w:szCs w:val="18"/>
              </w:rPr>
            </w:pPr>
            <w:r w:rsidRPr="00561548">
              <w:rPr>
                <w:rFonts w:cs="Arial"/>
                <w:sz w:val="18"/>
                <w:szCs w:val="18"/>
              </w:rPr>
              <w:t>218,115</w:t>
            </w:r>
          </w:p>
        </w:tc>
        <w:tc>
          <w:tcPr>
            <w:tcW w:w="1194" w:type="dxa"/>
            <w:tcBorders>
              <w:top w:val="nil"/>
              <w:left w:val="nil"/>
              <w:bottom w:val="nil"/>
              <w:right w:val="nil"/>
            </w:tcBorders>
            <w:shd w:val="clear" w:color="auto" w:fill="auto"/>
            <w:noWrap/>
            <w:vAlign w:val="bottom"/>
            <w:hideMark/>
          </w:tcPr>
          <w:p w14:paraId="584976CD" w14:textId="77777777" w:rsidR="00561548" w:rsidRPr="00561548" w:rsidRDefault="00561548" w:rsidP="00250A8A">
            <w:pPr>
              <w:spacing w:before="0" w:after="0"/>
              <w:jc w:val="center"/>
              <w:rPr>
                <w:rFonts w:cs="Arial"/>
                <w:sz w:val="18"/>
                <w:szCs w:val="18"/>
              </w:rPr>
            </w:pPr>
            <w:r w:rsidRPr="00561548">
              <w:rPr>
                <w:rFonts w:cs="Arial"/>
                <w:sz w:val="18"/>
                <w:szCs w:val="18"/>
              </w:rPr>
              <w:t>109,376</w:t>
            </w:r>
          </w:p>
        </w:tc>
      </w:tr>
      <w:tr w:rsidR="00561548" w:rsidRPr="00561548" w14:paraId="75BBD982" w14:textId="77777777" w:rsidTr="00DB7D3D">
        <w:trPr>
          <w:trHeight w:val="260"/>
        </w:trPr>
        <w:tc>
          <w:tcPr>
            <w:tcW w:w="2127" w:type="dxa"/>
            <w:tcBorders>
              <w:top w:val="nil"/>
              <w:left w:val="nil"/>
              <w:bottom w:val="nil"/>
              <w:right w:val="nil"/>
            </w:tcBorders>
            <w:shd w:val="clear" w:color="auto" w:fill="auto"/>
            <w:noWrap/>
            <w:vAlign w:val="center"/>
            <w:hideMark/>
          </w:tcPr>
          <w:p w14:paraId="0BA644BE" w14:textId="77777777" w:rsidR="00561548" w:rsidRPr="00561548" w:rsidRDefault="00561548" w:rsidP="00250A8A">
            <w:pPr>
              <w:spacing w:before="0" w:after="0"/>
              <w:jc w:val="center"/>
              <w:rPr>
                <w:rFonts w:cs="Arial"/>
                <w:sz w:val="18"/>
                <w:szCs w:val="18"/>
              </w:rPr>
            </w:pPr>
            <w:r w:rsidRPr="00561548">
              <w:rPr>
                <w:rFonts w:cs="Arial"/>
                <w:sz w:val="18"/>
                <w:szCs w:val="18"/>
              </w:rPr>
              <w:t>Shoalwater Creek</w:t>
            </w:r>
          </w:p>
        </w:tc>
        <w:tc>
          <w:tcPr>
            <w:tcW w:w="1417" w:type="dxa"/>
            <w:tcBorders>
              <w:top w:val="nil"/>
              <w:left w:val="nil"/>
              <w:bottom w:val="nil"/>
              <w:right w:val="nil"/>
            </w:tcBorders>
            <w:shd w:val="clear" w:color="auto" w:fill="auto"/>
            <w:noWrap/>
            <w:vAlign w:val="center"/>
            <w:hideMark/>
          </w:tcPr>
          <w:p w14:paraId="04A7EFB7" w14:textId="77777777" w:rsidR="00561548" w:rsidRPr="00561548" w:rsidRDefault="00561548" w:rsidP="00250A8A">
            <w:pPr>
              <w:spacing w:before="0" w:after="0"/>
              <w:jc w:val="center"/>
              <w:rPr>
                <w:rFonts w:cs="Arial"/>
                <w:sz w:val="18"/>
                <w:szCs w:val="18"/>
              </w:rPr>
            </w:pPr>
            <w:r w:rsidRPr="00561548">
              <w:rPr>
                <w:rFonts w:cs="Arial"/>
                <w:sz w:val="18"/>
                <w:szCs w:val="18"/>
              </w:rPr>
              <w:t>129,487</w:t>
            </w:r>
          </w:p>
        </w:tc>
        <w:tc>
          <w:tcPr>
            <w:tcW w:w="1193" w:type="dxa"/>
            <w:tcBorders>
              <w:top w:val="nil"/>
              <w:left w:val="nil"/>
              <w:bottom w:val="nil"/>
              <w:right w:val="nil"/>
            </w:tcBorders>
            <w:shd w:val="clear" w:color="000000" w:fill="FFFF00"/>
            <w:noWrap/>
            <w:vAlign w:val="center"/>
            <w:hideMark/>
          </w:tcPr>
          <w:p w14:paraId="39A3E5EB" w14:textId="77777777" w:rsidR="00561548" w:rsidRPr="00561548" w:rsidRDefault="00561548" w:rsidP="00250A8A">
            <w:pPr>
              <w:spacing w:before="0" w:after="0"/>
              <w:jc w:val="center"/>
              <w:rPr>
                <w:rFonts w:cs="Arial"/>
                <w:sz w:val="18"/>
                <w:szCs w:val="18"/>
              </w:rPr>
            </w:pPr>
            <w:r w:rsidRPr="00561548">
              <w:rPr>
                <w:rFonts w:cs="Arial"/>
                <w:sz w:val="18"/>
                <w:szCs w:val="18"/>
              </w:rPr>
              <w:t>237,156</w:t>
            </w:r>
          </w:p>
        </w:tc>
        <w:tc>
          <w:tcPr>
            <w:tcW w:w="1194" w:type="dxa"/>
            <w:tcBorders>
              <w:top w:val="nil"/>
              <w:left w:val="nil"/>
              <w:bottom w:val="nil"/>
              <w:right w:val="nil"/>
            </w:tcBorders>
            <w:shd w:val="clear" w:color="000000" w:fill="FF9900"/>
            <w:noWrap/>
            <w:vAlign w:val="bottom"/>
            <w:hideMark/>
          </w:tcPr>
          <w:p w14:paraId="5FB8492D" w14:textId="77777777" w:rsidR="00561548" w:rsidRPr="00561548" w:rsidRDefault="00561548" w:rsidP="00250A8A">
            <w:pPr>
              <w:spacing w:before="0" w:after="0"/>
              <w:jc w:val="center"/>
              <w:rPr>
                <w:rFonts w:cs="Arial"/>
                <w:sz w:val="18"/>
                <w:szCs w:val="18"/>
              </w:rPr>
            </w:pPr>
            <w:r w:rsidRPr="00561548">
              <w:rPr>
                <w:rFonts w:cs="Arial"/>
                <w:sz w:val="18"/>
                <w:szCs w:val="18"/>
              </w:rPr>
              <w:t>350,294</w:t>
            </w:r>
          </w:p>
        </w:tc>
        <w:tc>
          <w:tcPr>
            <w:tcW w:w="1194" w:type="dxa"/>
            <w:tcBorders>
              <w:top w:val="nil"/>
              <w:left w:val="nil"/>
              <w:bottom w:val="nil"/>
              <w:right w:val="nil"/>
            </w:tcBorders>
            <w:shd w:val="clear" w:color="auto" w:fill="auto"/>
            <w:noWrap/>
            <w:vAlign w:val="bottom"/>
            <w:hideMark/>
          </w:tcPr>
          <w:p w14:paraId="3BDC3743" w14:textId="77777777" w:rsidR="00561548" w:rsidRPr="00561548" w:rsidRDefault="00561548" w:rsidP="00250A8A">
            <w:pPr>
              <w:spacing w:before="0" w:after="0"/>
              <w:jc w:val="center"/>
              <w:rPr>
                <w:rFonts w:cs="Arial"/>
                <w:sz w:val="18"/>
                <w:szCs w:val="18"/>
              </w:rPr>
            </w:pPr>
            <w:r w:rsidRPr="00561548">
              <w:rPr>
                <w:rFonts w:cs="Arial"/>
                <w:sz w:val="18"/>
                <w:szCs w:val="18"/>
              </w:rPr>
              <w:t>181,763</w:t>
            </w:r>
          </w:p>
        </w:tc>
        <w:tc>
          <w:tcPr>
            <w:tcW w:w="1194" w:type="dxa"/>
            <w:tcBorders>
              <w:top w:val="nil"/>
              <w:left w:val="nil"/>
              <w:bottom w:val="nil"/>
              <w:right w:val="nil"/>
            </w:tcBorders>
            <w:shd w:val="clear" w:color="auto" w:fill="auto"/>
            <w:noWrap/>
            <w:vAlign w:val="bottom"/>
            <w:hideMark/>
          </w:tcPr>
          <w:p w14:paraId="0A40DF1C" w14:textId="77777777" w:rsidR="00561548" w:rsidRPr="00561548" w:rsidRDefault="00561548" w:rsidP="00250A8A">
            <w:pPr>
              <w:spacing w:before="0" w:after="0"/>
              <w:jc w:val="center"/>
              <w:rPr>
                <w:rFonts w:cs="Arial"/>
                <w:sz w:val="18"/>
                <w:szCs w:val="18"/>
              </w:rPr>
            </w:pPr>
            <w:r w:rsidRPr="00561548">
              <w:rPr>
                <w:rFonts w:cs="Arial"/>
                <w:sz w:val="18"/>
                <w:szCs w:val="18"/>
              </w:rPr>
              <w:t>91,147</w:t>
            </w:r>
          </w:p>
        </w:tc>
      </w:tr>
      <w:tr w:rsidR="00561548" w:rsidRPr="00561548" w14:paraId="2DC70A8F" w14:textId="77777777" w:rsidTr="00DB7D3D">
        <w:trPr>
          <w:trHeight w:val="260"/>
        </w:trPr>
        <w:tc>
          <w:tcPr>
            <w:tcW w:w="2127" w:type="dxa"/>
            <w:tcBorders>
              <w:top w:val="nil"/>
              <w:left w:val="nil"/>
              <w:bottom w:val="nil"/>
              <w:right w:val="nil"/>
            </w:tcBorders>
            <w:shd w:val="clear" w:color="auto" w:fill="auto"/>
            <w:noWrap/>
            <w:vAlign w:val="center"/>
            <w:hideMark/>
          </w:tcPr>
          <w:p w14:paraId="4294541A" w14:textId="77777777" w:rsidR="00561548" w:rsidRPr="00561548" w:rsidRDefault="00561548" w:rsidP="00250A8A">
            <w:pPr>
              <w:spacing w:before="0" w:after="0"/>
              <w:jc w:val="center"/>
              <w:rPr>
                <w:rFonts w:cs="Arial"/>
                <w:sz w:val="18"/>
                <w:szCs w:val="18"/>
              </w:rPr>
            </w:pPr>
            <w:r w:rsidRPr="00561548">
              <w:rPr>
                <w:rFonts w:cs="Arial"/>
                <w:sz w:val="18"/>
                <w:szCs w:val="18"/>
              </w:rPr>
              <w:t>Water Park Creek</w:t>
            </w:r>
          </w:p>
        </w:tc>
        <w:tc>
          <w:tcPr>
            <w:tcW w:w="1417" w:type="dxa"/>
            <w:tcBorders>
              <w:top w:val="nil"/>
              <w:left w:val="nil"/>
              <w:bottom w:val="nil"/>
              <w:right w:val="nil"/>
            </w:tcBorders>
            <w:shd w:val="clear" w:color="auto" w:fill="auto"/>
            <w:noWrap/>
            <w:vAlign w:val="center"/>
            <w:hideMark/>
          </w:tcPr>
          <w:p w14:paraId="4F6B374C" w14:textId="77777777" w:rsidR="00561548" w:rsidRPr="00561548" w:rsidRDefault="00561548" w:rsidP="00250A8A">
            <w:pPr>
              <w:spacing w:before="0" w:after="0"/>
              <w:jc w:val="center"/>
              <w:rPr>
                <w:rFonts w:cs="Arial"/>
                <w:sz w:val="18"/>
                <w:szCs w:val="18"/>
              </w:rPr>
            </w:pPr>
            <w:r w:rsidRPr="00561548">
              <w:rPr>
                <w:rFonts w:cs="Arial"/>
                <w:sz w:val="18"/>
                <w:szCs w:val="18"/>
              </w:rPr>
              <w:t>97,115</w:t>
            </w:r>
          </w:p>
        </w:tc>
        <w:tc>
          <w:tcPr>
            <w:tcW w:w="1193" w:type="dxa"/>
            <w:tcBorders>
              <w:top w:val="nil"/>
              <w:left w:val="nil"/>
              <w:bottom w:val="nil"/>
              <w:right w:val="nil"/>
            </w:tcBorders>
            <w:shd w:val="clear" w:color="000000" w:fill="FFFF00"/>
            <w:noWrap/>
            <w:vAlign w:val="center"/>
            <w:hideMark/>
          </w:tcPr>
          <w:p w14:paraId="5F352DE2" w14:textId="77777777" w:rsidR="00561548" w:rsidRPr="00561548" w:rsidRDefault="00561548" w:rsidP="00250A8A">
            <w:pPr>
              <w:spacing w:before="0" w:after="0"/>
              <w:jc w:val="center"/>
              <w:rPr>
                <w:rFonts w:cs="Arial"/>
                <w:sz w:val="18"/>
                <w:szCs w:val="18"/>
              </w:rPr>
            </w:pPr>
            <w:r w:rsidRPr="00561548">
              <w:rPr>
                <w:rFonts w:cs="Arial"/>
                <w:sz w:val="18"/>
                <w:szCs w:val="18"/>
              </w:rPr>
              <w:t>177,867</w:t>
            </w:r>
          </w:p>
        </w:tc>
        <w:tc>
          <w:tcPr>
            <w:tcW w:w="1194" w:type="dxa"/>
            <w:tcBorders>
              <w:top w:val="nil"/>
              <w:left w:val="nil"/>
              <w:bottom w:val="nil"/>
              <w:right w:val="nil"/>
            </w:tcBorders>
            <w:shd w:val="clear" w:color="000000" w:fill="FF9900"/>
            <w:noWrap/>
            <w:vAlign w:val="bottom"/>
            <w:hideMark/>
          </w:tcPr>
          <w:p w14:paraId="162E17B0" w14:textId="77777777" w:rsidR="00561548" w:rsidRPr="00561548" w:rsidRDefault="00561548" w:rsidP="00250A8A">
            <w:pPr>
              <w:spacing w:before="0" w:after="0"/>
              <w:jc w:val="center"/>
              <w:rPr>
                <w:rFonts w:cs="Arial"/>
                <w:sz w:val="18"/>
                <w:szCs w:val="18"/>
              </w:rPr>
            </w:pPr>
            <w:r w:rsidRPr="00561548">
              <w:rPr>
                <w:rFonts w:cs="Arial"/>
                <w:sz w:val="18"/>
                <w:szCs w:val="18"/>
              </w:rPr>
              <w:t>262,721</w:t>
            </w:r>
          </w:p>
        </w:tc>
        <w:tc>
          <w:tcPr>
            <w:tcW w:w="1194" w:type="dxa"/>
            <w:tcBorders>
              <w:top w:val="nil"/>
              <w:left w:val="nil"/>
              <w:bottom w:val="nil"/>
              <w:right w:val="nil"/>
            </w:tcBorders>
            <w:shd w:val="clear" w:color="auto" w:fill="auto"/>
            <w:noWrap/>
            <w:vAlign w:val="bottom"/>
            <w:hideMark/>
          </w:tcPr>
          <w:p w14:paraId="014F7396" w14:textId="77777777" w:rsidR="00561548" w:rsidRPr="00561548" w:rsidRDefault="00561548" w:rsidP="00250A8A">
            <w:pPr>
              <w:spacing w:before="0" w:after="0"/>
              <w:jc w:val="center"/>
              <w:rPr>
                <w:rFonts w:cs="Arial"/>
                <w:sz w:val="18"/>
                <w:szCs w:val="18"/>
              </w:rPr>
            </w:pPr>
            <w:r w:rsidRPr="00561548">
              <w:rPr>
                <w:rFonts w:cs="Arial"/>
                <w:sz w:val="18"/>
                <w:szCs w:val="18"/>
              </w:rPr>
              <w:t>136,322</w:t>
            </w:r>
          </w:p>
        </w:tc>
        <w:tc>
          <w:tcPr>
            <w:tcW w:w="1194" w:type="dxa"/>
            <w:tcBorders>
              <w:top w:val="nil"/>
              <w:left w:val="nil"/>
              <w:bottom w:val="nil"/>
              <w:right w:val="nil"/>
            </w:tcBorders>
            <w:shd w:val="clear" w:color="auto" w:fill="auto"/>
            <w:noWrap/>
            <w:vAlign w:val="bottom"/>
            <w:hideMark/>
          </w:tcPr>
          <w:p w14:paraId="60120141" w14:textId="77777777" w:rsidR="00561548" w:rsidRPr="00561548" w:rsidRDefault="00561548" w:rsidP="00250A8A">
            <w:pPr>
              <w:spacing w:before="0" w:after="0"/>
              <w:jc w:val="center"/>
              <w:rPr>
                <w:rFonts w:cs="Arial"/>
                <w:sz w:val="18"/>
                <w:szCs w:val="18"/>
              </w:rPr>
            </w:pPr>
            <w:r w:rsidRPr="00561548">
              <w:rPr>
                <w:rFonts w:cs="Arial"/>
                <w:sz w:val="18"/>
                <w:szCs w:val="18"/>
              </w:rPr>
              <w:t>68,360</w:t>
            </w:r>
          </w:p>
        </w:tc>
      </w:tr>
      <w:tr w:rsidR="00561548" w:rsidRPr="00561548" w14:paraId="5D2922DE" w14:textId="77777777" w:rsidTr="00DB7D3D">
        <w:trPr>
          <w:trHeight w:val="260"/>
        </w:trPr>
        <w:tc>
          <w:tcPr>
            <w:tcW w:w="2127" w:type="dxa"/>
            <w:tcBorders>
              <w:top w:val="nil"/>
              <w:left w:val="nil"/>
              <w:bottom w:val="nil"/>
              <w:right w:val="nil"/>
            </w:tcBorders>
            <w:shd w:val="clear" w:color="auto" w:fill="auto"/>
            <w:noWrap/>
            <w:vAlign w:val="center"/>
            <w:hideMark/>
          </w:tcPr>
          <w:p w14:paraId="47ECDD20" w14:textId="77777777" w:rsidR="00561548" w:rsidRPr="00561548" w:rsidRDefault="00561548" w:rsidP="00250A8A">
            <w:pPr>
              <w:spacing w:before="0" w:after="0"/>
              <w:jc w:val="center"/>
              <w:rPr>
                <w:rFonts w:cs="Arial"/>
                <w:sz w:val="18"/>
                <w:szCs w:val="18"/>
              </w:rPr>
            </w:pPr>
            <w:r w:rsidRPr="00561548">
              <w:rPr>
                <w:rFonts w:cs="Arial"/>
                <w:sz w:val="18"/>
                <w:szCs w:val="18"/>
              </w:rPr>
              <w:t>Fitzroy River</w:t>
            </w:r>
          </w:p>
        </w:tc>
        <w:tc>
          <w:tcPr>
            <w:tcW w:w="1417" w:type="dxa"/>
            <w:tcBorders>
              <w:top w:val="nil"/>
              <w:left w:val="nil"/>
              <w:bottom w:val="nil"/>
              <w:right w:val="nil"/>
            </w:tcBorders>
            <w:shd w:val="clear" w:color="auto" w:fill="auto"/>
            <w:noWrap/>
            <w:vAlign w:val="center"/>
            <w:hideMark/>
          </w:tcPr>
          <w:p w14:paraId="64EBF1E9" w14:textId="77777777" w:rsidR="00561548" w:rsidRPr="00561548" w:rsidRDefault="00561548" w:rsidP="00250A8A">
            <w:pPr>
              <w:spacing w:before="0" w:after="0"/>
              <w:jc w:val="center"/>
              <w:rPr>
                <w:rFonts w:cs="Arial"/>
                <w:sz w:val="18"/>
                <w:szCs w:val="18"/>
              </w:rPr>
            </w:pPr>
            <w:r w:rsidRPr="00561548">
              <w:rPr>
                <w:rFonts w:cs="Arial"/>
                <w:sz w:val="18"/>
                <w:szCs w:val="18"/>
              </w:rPr>
              <w:t>2,852,307</w:t>
            </w:r>
          </w:p>
        </w:tc>
        <w:tc>
          <w:tcPr>
            <w:tcW w:w="1193" w:type="dxa"/>
            <w:tcBorders>
              <w:top w:val="nil"/>
              <w:left w:val="nil"/>
              <w:bottom w:val="nil"/>
              <w:right w:val="nil"/>
            </w:tcBorders>
            <w:shd w:val="clear" w:color="auto" w:fill="auto"/>
            <w:noWrap/>
            <w:vAlign w:val="center"/>
            <w:hideMark/>
          </w:tcPr>
          <w:p w14:paraId="4AAC56F4" w14:textId="77777777" w:rsidR="00561548" w:rsidRPr="00561548" w:rsidRDefault="00561548" w:rsidP="00250A8A">
            <w:pPr>
              <w:spacing w:before="0" w:after="0"/>
              <w:jc w:val="center"/>
              <w:rPr>
                <w:rFonts w:cs="Arial"/>
                <w:sz w:val="18"/>
                <w:szCs w:val="18"/>
              </w:rPr>
            </w:pPr>
            <w:r w:rsidRPr="00561548">
              <w:rPr>
                <w:rFonts w:cs="Arial"/>
                <w:sz w:val="18"/>
                <w:szCs w:val="18"/>
              </w:rPr>
              <w:t>3,589,342</w:t>
            </w:r>
          </w:p>
        </w:tc>
        <w:tc>
          <w:tcPr>
            <w:tcW w:w="1194" w:type="dxa"/>
            <w:tcBorders>
              <w:top w:val="nil"/>
              <w:left w:val="nil"/>
              <w:bottom w:val="nil"/>
              <w:right w:val="nil"/>
            </w:tcBorders>
            <w:shd w:val="clear" w:color="000000" w:fill="FF9900"/>
            <w:noWrap/>
            <w:vAlign w:val="bottom"/>
            <w:hideMark/>
          </w:tcPr>
          <w:p w14:paraId="5090AA47" w14:textId="77777777" w:rsidR="00561548" w:rsidRPr="00561548" w:rsidRDefault="00561548" w:rsidP="00250A8A">
            <w:pPr>
              <w:spacing w:before="0" w:after="0"/>
              <w:jc w:val="center"/>
              <w:rPr>
                <w:rFonts w:cs="Arial"/>
                <w:sz w:val="18"/>
                <w:szCs w:val="18"/>
              </w:rPr>
            </w:pPr>
            <w:r w:rsidRPr="00561548">
              <w:rPr>
                <w:rFonts w:cs="Arial"/>
                <w:sz w:val="18"/>
                <w:szCs w:val="18"/>
              </w:rPr>
              <w:t>6,170,044</w:t>
            </w:r>
          </w:p>
        </w:tc>
        <w:tc>
          <w:tcPr>
            <w:tcW w:w="1194" w:type="dxa"/>
            <w:tcBorders>
              <w:top w:val="nil"/>
              <w:left w:val="nil"/>
              <w:bottom w:val="nil"/>
              <w:right w:val="nil"/>
            </w:tcBorders>
            <w:shd w:val="clear" w:color="auto" w:fill="auto"/>
            <w:noWrap/>
            <w:vAlign w:val="bottom"/>
            <w:hideMark/>
          </w:tcPr>
          <w:p w14:paraId="58E14540" w14:textId="77777777" w:rsidR="00561548" w:rsidRPr="00561548" w:rsidRDefault="00561548" w:rsidP="00250A8A">
            <w:pPr>
              <w:spacing w:before="0" w:after="0"/>
              <w:jc w:val="center"/>
              <w:rPr>
                <w:rFonts w:cs="Arial"/>
                <w:sz w:val="18"/>
                <w:szCs w:val="18"/>
              </w:rPr>
            </w:pPr>
            <w:r w:rsidRPr="00561548">
              <w:rPr>
                <w:rFonts w:cs="Arial"/>
                <w:sz w:val="18"/>
                <w:szCs w:val="18"/>
              </w:rPr>
              <w:t>954,533</w:t>
            </w:r>
          </w:p>
        </w:tc>
        <w:tc>
          <w:tcPr>
            <w:tcW w:w="1194" w:type="dxa"/>
            <w:tcBorders>
              <w:top w:val="nil"/>
              <w:left w:val="nil"/>
              <w:bottom w:val="nil"/>
              <w:right w:val="nil"/>
            </w:tcBorders>
            <w:shd w:val="clear" w:color="auto" w:fill="auto"/>
            <w:noWrap/>
            <w:vAlign w:val="bottom"/>
            <w:hideMark/>
          </w:tcPr>
          <w:p w14:paraId="552A91D3" w14:textId="77777777" w:rsidR="00561548" w:rsidRPr="00561548" w:rsidRDefault="00561548" w:rsidP="00250A8A">
            <w:pPr>
              <w:spacing w:before="0" w:after="0"/>
              <w:jc w:val="center"/>
              <w:rPr>
                <w:rFonts w:cs="Arial"/>
                <w:sz w:val="18"/>
                <w:szCs w:val="18"/>
              </w:rPr>
            </w:pPr>
            <w:r w:rsidRPr="00561548">
              <w:rPr>
                <w:rFonts w:cs="Arial"/>
                <w:sz w:val="18"/>
                <w:szCs w:val="18"/>
              </w:rPr>
              <w:t>1,339,964</w:t>
            </w:r>
          </w:p>
        </w:tc>
      </w:tr>
      <w:tr w:rsidR="00561548" w:rsidRPr="00561548" w14:paraId="5ABD7E6F" w14:textId="77777777" w:rsidTr="00DB7D3D">
        <w:trPr>
          <w:trHeight w:val="260"/>
        </w:trPr>
        <w:tc>
          <w:tcPr>
            <w:tcW w:w="2127" w:type="dxa"/>
            <w:tcBorders>
              <w:top w:val="nil"/>
              <w:left w:val="nil"/>
              <w:bottom w:val="nil"/>
              <w:right w:val="nil"/>
            </w:tcBorders>
            <w:shd w:val="clear" w:color="auto" w:fill="auto"/>
            <w:noWrap/>
            <w:vAlign w:val="center"/>
            <w:hideMark/>
          </w:tcPr>
          <w:p w14:paraId="0E2B88FA" w14:textId="77777777" w:rsidR="00561548" w:rsidRPr="00561548" w:rsidRDefault="00561548" w:rsidP="00250A8A">
            <w:pPr>
              <w:spacing w:before="0" w:after="0"/>
              <w:jc w:val="center"/>
              <w:rPr>
                <w:rFonts w:cs="Arial"/>
                <w:sz w:val="18"/>
                <w:szCs w:val="18"/>
              </w:rPr>
            </w:pPr>
            <w:r w:rsidRPr="00561548">
              <w:rPr>
                <w:rFonts w:cs="Arial"/>
                <w:sz w:val="18"/>
                <w:szCs w:val="18"/>
              </w:rPr>
              <w:t>Calliope River</w:t>
            </w:r>
          </w:p>
        </w:tc>
        <w:tc>
          <w:tcPr>
            <w:tcW w:w="1417" w:type="dxa"/>
            <w:tcBorders>
              <w:top w:val="nil"/>
              <w:left w:val="nil"/>
              <w:bottom w:val="nil"/>
              <w:right w:val="nil"/>
            </w:tcBorders>
            <w:shd w:val="clear" w:color="auto" w:fill="auto"/>
            <w:noWrap/>
            <w:vAlign w:val="center"/>
            <w:hideMark/>
          </w:tcPr>
          <w:p w14:paraId="373288A2" w14:textId="77777777" w:rsidR="00561548" w:rsidRPr="00561548" w:rsidRDefault="00561548" w:rsidP="00250A8A">
            <w:pPr>
              <w:spacing w:before="0" w:after="0"/>
              <w:jc w:val="center"/>
              <w:rPr>
                <w:rFonts w:cs="Arial"/>
                <w:sz w:val="18"/>
                <w:szCs w:val="18"/>
              </w:rPr>
            </w:pPr>
            <w:r w:rsidRPr="00561548">
              <w:rPr>
                <w:rFonts w:cs="Arial"/>
                <w:sz w:val="18"/>
                <w:szCs w:val="18"/>
              </w:rPr>
              <w:t>152,965</w:t>
            </w:r>
          </w:p>
        </w:tc>
        <w:tc>
          <w:tcPr>
            <w:tcW w:w="1193" w:type="dxa"/>
            <w:tcBorders>
              <w:top w:val="nil"/>
              <w:left w:val="nil"/>
              <w:bottom w:val="nil"/>
              <w:right w:val="nil"/>
            </w:tcBorders>
            <w:shd w:val="clear" w:color="auto" w:fill="auto"/>
            <w:noWrap/>
            <w:vAlign w:val="center"/>
            <w:hideMark/>
          </w:tcPr>
          <w:p w14:paraId="28B06FF7" w14:textId="77777777" w:rsidR="00561548" w:rsidRPr="00561548" w:rsidRDefault="00561548" w:rsidP="00250A8A">
            <w:pPr>
              <w:spacing w:before="0" w:after="0"/>
              <w:jc w:val="center"/>
              <w:rPr>
                <w:rFonts w:cs="Arial"/>
                <w:sz w:val="18"/>
                <w:szCs w:val="18"/>
              </w:rPr>
            </w:pPr>
            <w:r w:rsidRPr="00561548">
              <w:rPr>
                <w:rFonts w:cs="Arial"/>
                <w:sz w:val="18"/>
                <w:szCs w:val="18"/>
              </w:rPr>
              <w:t>148,547</w:t>
            </w:r>
          </w:p>
        </w:tc>
        <w:tc>
          <w:tcPr>
            <w:tcW w:w="1194" w:type="dxa"/>
            <w:tcBorders>
              <w:top w:val="nil"/>
              <w:left w:val="nil"/>
              <w:bottom w:val="nil"/>
              <w:right w:val="nil"/>
            </w:tcBorders>
            <w:shd w:val="clear" w:color="000000" w:fill="FF9900"/>
            <w:noWrap/>
            <w:vAlign w:val="bottom"/>
            <w:hideMark/>
          </w:tcPr>
          <w:p w14:paraId="13C42AA7" w14:textId="77777777" w:rsidR="00561548" w:rsidRPr="00561548" w:rsidRDefault="00561548" w:rsidP="00250A8A">
            <w:pPr>
              <w:spacing w:before="0" w:after="0"/>
              <w:jc w:val="center"/>
              <w:rPr>
                <w:rFonts w:cs="Arial"/>
                <w:sz w:val="18"/>
                <w:szCs w:val="18"/>
              </w:rPr>
            </w:pPr>
            <w:r w:rsidRPr="00561548">
              <w:rPr>
                <w:rFonts w:cs="Arial"/>
                <w:sz w:val="18"/>
                <w:szCs w:val="18"/>
              </w:rPr>
              <w:t>406,321</w:t>
            </w:r>
          </w:p>
        </w:tc>
        <w:tc>
          <w:tcPr>
            <w:tcW w:w="1194" w:type="dxa"/>
            <w:tcBorders>
              <w:top w:val="nil"/>
              <w:left w:val="nil"/>
              <w:bottom w:val="nil"/>
              <w:right w:val="nil"/>
            </w:tcBorders>
            <w:shd w:val="clear" w:color="auto" w:fill="auto"/>
            <w:noWrap/>
            <w:vAlign w:val="bottom"/>
            <w:hideMark/>
          </w:tcPr>
          <w:p w14:paraId="67A50CED" w14:textId="77777777" w:rsidR="00561548" w:rsidRPr="00561548" w:rsidRDefault="00561548" w:rsidP="00250A8A">
            <w:pPr>
              <w:spacing w:before="0" w:after="0"/>
              <w:jc w:val="center"/>
              <w:rPr>
                <w:rFonts w:cs="Arial"/>
                <w:sz w:val="18"/>
                <w:szCs w:val="18"/>
              </w:rPr>
            </w:pPr>
            <w:r w:rsidRPr="00561548">
              <w:rPr>
                <w:rFonts w:cs="Arial"/>
                <w:sz w:val="18"/>
                <w:szCs w:val="18"/>
              </w:rPr>
              <w:t>141,438</w:t>
            </w:r>
          </w:p>
        </w:tc>
        <w:tc>
          <w:tcPr>
            <w:tcW w:w="1194" w:type="dxa"/>
            <w:tcBorders>
              <w:top w:val="nil"/>
              <w:left w:val="nil"/>
              <w:bottom w:val="nil"/>
              <w:right w:val="nil"/>
            </w:tcBorders>
            <w:shd w:val="clear" w:color="auto" w:fill="auto"/>
            <w:noWrap/>
            <w:vAlign w:val="bottom"/>
            <w:hideMark/>
          </w:tcPr>
          <w:p w14:paraId="41EDCC25" w14:textId="77777777" w:rsidR="00561548" w:rsidRPr="00561548" w:rsidRDefault="00561548" w:rsidP="00250A8A">
            <w:pPr>
              <w:spacing w:before="0" w:after="0"/>
              <w:jc w:val="center"/>
              <w:rPr>
                <w:rFonts w:cs="Arial"/>
                <w:sz w:val="18"/>
                <w:szCs w:val="18"/>
              </w:rPr>
            </w:pPr>
            <w:r w:rsidRPr="00561548">
              <w:rPr>
                <w:rFonts w:cs="Arial"/>
                <w:sz w:val="18"/>
                <w:szCs w:val="18"/>
              </w:rPr>
              <w:t>2,682</w:t>
            </w:r>
          </w:p>
        </w:tc>
      </w:tr>
      <w:tr w:rsidR="00561548" w:rsidRPr="00561548" w14:paraId="54A5F5B7" w14:textId="77777777" w:rsidTr="00DB7D3D">
        <w:trPr>
          <w:trHeight w:val="260"/>
        </w:trPr>
        <w:tc>
          <w:tcPr>
            <w:tcW w:w="2127" w:type="dxa"/>
            <w:tcBorders>
              <w:top w:val="nil"/>
              <w:left w:val="nil"/>
              <w:bottom w:val="nil"/>
              <w:right w:val="nil"/>
            </w:tcBorders>
            <w:shd w:val="clear" w:color="auto" w:fill="auto"/>
            <w:noWrap/>
            <w:vAlign w:val="center"/>
            <w:hideMark/>
          </w:tcPr>
          <w:p w14:paraId="32A83DBE" w14:textId="77777777" w:rsidR="00561548" w:rsidRPr="00561548" w:rsidRDefault="00561548" w:rsidP="00250A8A">
            <w:pPr>
              <w:spacing w:before="0" w:after="0"/>
              <w:jc w:val="center"/>
              <w:rPr>
                <w:rFonts w:cs="Arial"/>
                <w:sz w:val="18"/>
                <w:szCs w:val="18"/>
              </w:rPr>
            </w:pPr>
            <w:r w:rsidRPr="00561548">
              <w:rPr>
                <w:rFonts w:cs="Arial"/>
                <w:sz w:val="18"/>
                <w:szCs w:val="18"/>
              </w:rPr>
              <w:t>Boyne River</w:t>
            </w:r>
          </w:p>
        </w:tc>
        <w:tc>
          <w:tcPr>
            <w:tcW w:w="1417" w:type="dxa"/>
            <w:tcBorders>
              <w:top w:val="nil"/>
              <w:left w:val="nil"/>
              <w:bottom w:val="nil"/>
              <w:right w:val="nil"/>
            </w:tcBorders>
            <w:shd w:val="clear" w:color="auto" w:fill="auto"/>
            <w:noWrap/>
            <w:vAlign w:val="center"/>
            <w:hideMark/>
          </w:tcPr>
          <w:p w14:paraId="7B557E8E" w14:textId="77777777" w:rsidR="00561548" w:rsidRPr="00561548" w:rsidRDefault="00561548" w:rsidP="00250A8A">
            <w:pPr>
              <w:spacing w:before="0" w:after="0"/>
              <w:jc w:val="center"/>
              <w:rPr>
                <w:rFonts w:cs="Arial"/>
                <w:sz w:val="18"/>
                <w:szCs w:val="18"/>
              </w:rPr>
            </w:pPr>
            <w:r w:rsidRPr="00561548">
              <w:rPr>
                <w:rFonts w:cs="Arial"/>
                <w:sz w:val="18"/>
                <w:szCs w:val="18"/>
              </w:rPr>
              <w:t>38,691</w:t>
            </w:r>
          </w:p>
        </w:tc>
        <w:tc>
          <w:tcPr>
            <w:tcW w:w="1193" w:type="dxa"/>
            <w:tcBorders>
              <w:top w:val="nil"/>
              <w:left w:val="nil"/>
              <w:bottom w:val="nil"/>
              <w:right w:val="nil"/>
            </w:tcBorders>
            <w:shd w:val="clear" w:color="auto" w:fill="auto"/>
            <w:noWrap/>
            <w:vAlign w:val="center"/>
            <w:hideMark/>
          </w:tcPr>
          <w:p w14:paraId="19E51A4E" w14:textId="77777777" w:rsidR="00561548" w:rsidRPr="00561548" w:rsidRDefault="00561548" w:rsidP="00250A8A">
            <w:pPr>
              <w:spacing w:before="0" w:after="0"/>
              <w:jc w:val="center"/>
              <w:rPr>
                <w:rFonts w:cs="Arial"/>
                <w:sz w:val="18"/>
                <w:szCs w:val="18"/>
              </w:rPr>
            </w:pPr>
            <w:r w:rsidRPr="00561548">
              <w:rPr>
                <w:rFonts w:cs="Arial"/>
                <w:sz w:val="18"/>
                <w:szCs w:val="18"/>
              </w:rPr>
              <w:t>37,574</w:t>
            </w:r>
          </w:p>
        </w:tc>
        <w:tc>
          <w:tcPr>
            <w:tcW w:w="1194" w:type="dxa"/>
            <w:tcBorders>
              <w:top w:val="nil"/>
              <w:left w:val="nil"/>
              <w:bottom w:val="nil"/>
              <w:right w:val="nil"/>
            </w:tcBorders>
            <w:shd w:val="clear" w:color="000000" w:fill="FF9900"/>
            <w:noWrap/>
            <w:vAlign w:val="bottom"/>
            <w:hideMark/>
          </w:tcPr>
          <w:p w14:paraId="052EDA9C" w14:textId="77777777" w:rsidR="00561548" w:rsidRPr="00561548" w:rsidRDefault="00561548" w:rsidP="00250A8A">
            <w:pPr>
              <w:spacing w:before="0" w:after="0"/>
              <w:jc w:val="center"/>
              <w:rPr>
                <w:rFonts w:cs="Arial"/>
                <w:sz w:val="18"/>
                <w:szCs w:val="18"/>
              </w:rPr>
            </w:pPr>
            <w:r w:rsidRPr="00561548">
              <w:rPr>
                <w:rFonts w:cs="Arial"/>
                <w:sz w:val="18"/>
                <w:szCs w:val="18"/>
              </w:rPr>
              <w:t>102,775</w:t>
            </w:r>
          </w:p>
        </w:tc>
        <w:tc>
          <w:tcPr>
            <w:tcW w:w="1194" w:type="dxa"/>
            <w:tcBorders>
              <w:top w:val="nil"/>
              <w:left w:val="nil"/>
              <w:bottom w:val="nil"/>
              <w:right w:val="nil"/>
            </w:tcBorders>
            <w:shd w:val="clear" w:color="auto" w:fill="auto"/>
            <w:noWrap/>
            <w:vAlign w:val="bottom"/>
            <w:hideMark/>
          </w:tcPr>
          <w:p w14:paraId="718555F4" w14:textId="77777777" w:rsidR="00561548" w:rsidRPr="00561548" w:rsidRDefault="00561548" w:rsidP="00250A8A">
            <w:pPr>
              <w:spacing w:before="0" w:after="0"/>
              <w:jc w:val="center"/>
              <w:rPr>
                <w:rFonts w:cs="Arial"/>
                <w:sz w:val="18"/>
                <w:szCs w:val="18"/>
              </w:rPr>
            </w:pPr>
            <w:r w:rsidRPr="00561548">
              <w:rPr>
                <w:rFonts w:cs="Arial"/>
                <w:sz w:val="18"/>
                <w:szCs w:val="18"/>
              </w:rPr>
              <w:t>35,775</w:t>
            </w:r>
          </w:p>
        </w:tc>
        <w:tc>
          <w:tcPr>
            <w:tcW w:w="1194" w:type="dxa"/>
            <w:tcBorders>
              <w:top w:val="nil"/>
              <w:left w:val="nil"/>
              <w:bottom w:val="nil"/>
              <w:right w:val="nil"/>
            </w:tcBorders>
            <w:shd w:val="clear" w:color="auto" w:fill="auto"/>
            <w:noWrap/>
            <w:vAlign w:val="bottom"/>
            <w:hideMark/>
          </w:tcPr>
          <w:p w14:paraId="233F7631" w14:textId="77777777" w:rsidR="00561548" w:rsidRPr="00561548" w:rsidRDefault="00561548" w:rsidP="00250A8A">
            <w:pPr>
              <w:spacing w:before="0" w:after="0"/>
              <w:jc w:val="center"/>
              <w:rPr>
                <w:rFonts w:cs="Arial"/>
                <w:sz w:val="18"/>
                <w:szCs w:val="18"/>
              </w:rPr>
            </w:pPr>
            <w:r w:rsidRPr="00561548">
              <w:rPr>
                <w:rFonts w:cs="Arial"/>
                <w:sz w:val="18"/>
                <w:szCs w:val="18"/>
              </w:rPr>
              <w:t>678</w:t>
            </w:r>
          </w:p>
        </w:tc>
      </w:tr>
      <w:tr w:rsidR="00561548" w:rsidRPr="00561548" w14:paraId="33D431D6" w14:textId="77777777" w:rsidTr="00DB7D3D">
        <w:trPr>
          <w:trHeight w:val="260"/>
        </w:trPr>
        <w:tc>
          <w:tcPr>
            <w:tcW w:w="2127" w:type="dxa"/>
            <w:tcBorders>
              <w:top w:val="nil"/>
              <w:left w:val="nil"/>
              <w:bottom w:val="nil"/>
              <w:right w:val="nil"/>
            </w:tcBorders>
            <w:shd w:val="clear" w:color="auto" w:fill="auto"/>
            <w:noWrap/>
            <w:vAlign w:val="center"/>
            <w:hideMark/>
          </w:tcPr>
          <w:p w14:paraId="7DD044FE" w14:textId="77777777" w:rsidR="00561548" w:rsidRPr="00561548" w:rsidRDefault="00561548" w:rsidP="00250A8A">
            <w:pPr>
              <w:spacing w:before="0" w:after="0"/>
              <w:jc w:val="center"/>
              <w:rPr>
                <w:rFonts w:cs="Arial"/>
                <w:sz w:val="18"/>
                <w:szCs w:val="18"/>
              </w:rPr>
            </w:pPr>
            <w:r w:rsidRPr="00561548">
              <w:rPr>
                <w:rFonts w:cs="Arial"/>
                <w:sz w:val="18"/>
                <w:szCs w:val="18"/>
              </w:rPr>
              <w:t>Baffle Creek</w:t>
            </w:r>
          </w:p>
        </w:tc>
        <w:tc>
          <w:tcPr>
            <w:tcW w:w="1417" w:type="dxa"/>
            <w:tcBorders>
              <w:top w:val="nil"/>
              <w:left w:val="nil"/>
              <w:bottom w:val="nil"/>
              <w:right w:val="nil"/>
            </w:tcBorders>
            <w:shd w:val="clear" w:color="auto" w:fill="auto"/>
            <w:noWrap/>
            <w:vAlign w:val="center"/>
            <w:hideMark/>
          </w:tcPr>
          <w:p w14:paraId="39F3CA79" w14:textId="77777777" w:rsidR="00561548" w:rsidRPr="00561548" w:rsidRDefault="00561548" w:rsidP="00250A8A">
            <w:pPr>
              <w:spacing w:before="0" w:after="0"/>
              <w:jc w:val="center"/>
              <w:rPr>
                <w:rFonts w:cs="Arial"/>
                <w:sz w:val="18"/>
                <w:szCs w:val="18"/>
              </w:rPr>
            </w:pPr>
            <w:r w:rsidRPr="00561548">
              <w:rPr>
                <w:rFonts w:cs="Arial"/>
                <w:sz w:val="18"/>
                <w:szCs w:val="18"/>
              </w:rPr>
              <w:t>215,446</w:t>
            </w:r>
          </w:p>
        </w:tc>
        <w:tc>
          <w:tcPr>
            <w:tcW w:w="1193" w:type="dxa"/>
            <w:tcBorders>
              <w:top w:val="nil"/>
              <w:left w:val="nil"/>
              <w:bottom w:val="nil"/>
              <w:right w:val="nil"/>
            </w:tcBorders>
            <w:shd w:val="clear" w:color="auto" w:fill="auto"/>
            <w:noWrap/>
            <w:vAlign w:val="center"/>
            <w:hideMark/>
          </w:tcPr>
          <w:p w14:paraId="58AB43B8" w14:textId="77777777" w:rsidR="00561548" w:rsidRPr="00561548" w:rsidRDefault="00561548" w:rsidP="00250A8A">
            <w:pPr>
              <w:spacing w:before="0" w:after="0"/>
              <w:jc w:val="center"/>
              <w:rPr>
                <w:rFonts w:cs="Arial"/>
                <w:sz w:val="18"/>
                <w:szCs w:val="18"/>
              </w:rPr>
            </w:pPr>
            <w:r w:rsidRPr="00561548">
              <w:rPr>
                <w:rFonts w:cs="Arial"/>
                <w:sz w:val="18"/>
                <w:szCs w:val="18"/>
              </w:rPr>
              <w:t>150,710</w:t>
            </w:r>
          </w:p>
        </w:tc>
        <w:tc>
          <w:tcPr>
            <w:tcW w:w="1194" w:type="dxa"/>
            <w:tcBorders>
              <w:top w:val="nil"/>
              <w:left w:val="nil"/>
              <w:bottom w:val="nil"/>
              <w:right w:val="nil"/>
            </w:tcBorders>
            <w:shd w:val="clear" w:color="000000" w:fill="FF9900"/>
            <w:noWrap/>
            <w:vAlign w:val="bottom"/>
            <w:hideMark/>
          </w:tcPr>
          <w:p w14:paraId="3D51D9C9" w14:textId="77777777" w:rsidR="00561548" w:rsidRPr="00561548" w:rsidRDefault="00561548" w:rsidP="00250A8A">
            <w:pPr>
              <w:spacing w:before="0" w:after="0"/>
              <w:jc w:val="center"/>
              <w:rPr>
                <w:rFonts w:cs="Arial"/>
                <w:sz w:val="18"/>
                <w:szCs w:val="18"/>
              </w:rPr>
            </w:pPr>
            <w:r w:rsidRPr="00561548">
              <w:rPr>
                <w:rFonts w:cs="Arial"/>
                <w:sz w:val="18"/>
                <w:szCs w:val="18"/>
              </w:rPr>
              <w:t>486,235</w:t>
            </w:r>
          </w:p>
        </w:tc>
        <w:tc>
          <w:tcPr>
            <w:tcW w:w="1194" w:type="dxa"/>
            <w:tcBorders>
              <w:top w:val="nil"/>
              <w:left w:val="nil"/>
              <w:bottom w:val="nil"/>
              <w:right w:val="nil"/>
            </w:tcBorders>
            <w:shd w:val="clear" w:color="000000" w:fill="FF0000"/>
            <w:noWrap/>
            <w:vAlign w:val="bottom"/>
            <w:hideMark/>
          </w:tcPr>
          <w:p w14:paraId="081CDC19" w14:textId="77777777" w:rsidR="00561548" w:rsidRPr="00561548" w:rsidRDefault="00561548" w:rsidP="00250A8A">
            <w:pPr>
              <w:spacing w:before="0" w:after="0"/>
              <w:jc w:val="center"/>
              <w:rPr>
                <w:rFonts w:cs="Arial"/>
                <w:sz w:val="18"/>
                <w:szCs w:val="18"/>
              </w:rPr>
            </w:pPr>
            <w:r w:rsidRPr="00561548">
              <w:rPr>
                <w:rFonts w:cs="Arial"/>
                <w:sz w:val="18"/>
                <w:szCs w:val="18"/>
              </w:rPr>
              <w:t>1,081,646</w:t>
            </w:r>
          </w:p>
        </w:tc>
        <w:tc>
          <w:tcPr>
            <w:tcW w:w="1194" w:type="dxa"/>
            <w:tcBorders>
              <w:top w:val="nil"/>
              <w:left w:val="nil"/>
              <w:bottom w:val="nil"/>
              <w:right w:val="nil"/>
            </w:tcBorders>
            <w:shd w:val="clear" w:color="auto" w:fill="auto"/>
            <w:noWrap/>
            <w:vAlign w:val="bottom"/>
            <w:hideMark/>
          </w:tcPr>
          <w:p w14:paraId="56346A05" w14:textId="77777777" w:rsidR="00561548" w:rsidRPr="00561548" w:rsidRDefault="00561548" w:rsidP="00250A8A">
            <w:pPr>
              <w:spacing w:before="0" w:after="0"/>
              <w:jc w:val="center"/>
              <w:rPr>
                <w:rFonts w:cs="Arial"/>
                <w:sz w:val="18"/>
                <w:szCs w:val="18"/>
              </w:rPr>
            </w:pPr>
            <w:r w:rsidRPr="00561548">
              <w:rPr>
                <w:rFonts w:cs="Arial"/>
                <w:sz w:val="18"/>
                <w:szCs w:val="18"/>
              </w:rPr>
              <w:t>930</w:t>
            </w:r>
          </w:p>
        </w:tc>
      </w:tr>
      <w:tr w:rsidR="00561548" w:rsidRPr="00561548" w14:paraId="1BA2F2AB" w14:textId="77777777" w:rsidTr="00DB7D3D">
        <w:trPr>
          <w:trHeight w:val="260"/>
        </w:trPr>
        <w:tc>
          <w:tcPr>
            <w:tcW w:w="2127" w:type="dxa"/>
            <w:tcBorders>
              <w:top w:val="nil"/>
              <w:left w:val="nil"/>
              <w:bottom w:val="nil"/>
              <w:right w:val="nil"/>
            </w:tcBorders>
            <w:shd w:val="clear" w:color="auto" w:fill="auto"/>
            <w:noWrap/>
            <w:vAlign w:val="center"/>
            <w:hideMark/>
          </w:tcPr>
          <w:p w14:paraId="6E88A76C" w14:textId="77777777" w:rsidR="00561548" w:rsidRPr="00561548" w:rsidRDefault="00561548" w:rsidP="00250A8A">
            <w:pPr>
              <w:spacing w:before="0" w:after="0"/>
              <w:jc w:val="center"/>
              <w:rPr>
                <w:rFonts w:cs="Arial"/>
                <w:sz w:val="18"/>
                <w:szCs w:val="18"/>
              </w:rPr>
            </w:pPr>
            <w:r w:rsidRPr="00561548">
              <w:rPr>
                <w:rFonts w:cs="Arial"/>
                <w:sz w:val="18"/>
                <w:szCs w:val="18"/>
              </w:rPr>
              <w:t>Kolan River</w:t>
            </w:r>
          </w:p>
        </w:tc>
        <w:tc>
          <w:tcPr>
            <w:tcW w:w="1417" w:type="dxa"/>
            <w:tcBorders>
              <w:top w:val="nil"/>
              <w:left w:val="nil"/>
              <w:bottom w:val="nil"/>
              <w:right w:val="nil"/>
            </w:tcBorders>
            <w:shd w:val="clear" w:color="auto" w:fill="auto"/>
            <w:noWrap/>
            <w:vAlign w:val="center"/>
            <w:hideMark/>
          </w:tcPr>
          <w:p w14:paraId="0B8BBB6B" w14:textId="77777777" w:rsidR="00561548" w:rsidRPr="00561548" w:rsidRDefault="00561548" w:rsidP="00250A8A">
            <w:pPr>
              <w:spacing w:before="0" w:after="0"/>
              <w:jc w:val="center"/>
              <w:rPr>
                <w:rFonts w:cs="Arial"/>
                <w:sz w:val="18"/>
                <w:szCs w:val="18"/>
              </w:rPr>
            </w:pPr>
            <w:r w:rsidRPr="00561548">
              <w:rPr>
                <w:rFonts w:cs="Arial"/>
                <w:sz w:val="18"/>
                <w:szCs w:val="18"/>
              </w:rPr>
              <w:t>52,455</w:t>
            </w:r>
          </w:p>
        </w:tc>
        <w:tc>
          <w:tcPr>
            <w:tcW w:w="1193" w:type="dxa"/>
            <w:tcBorders>
              <w:top w:val="nil"/>
              <w:left w:val="nil"/>
              <w:bottom w:val="nil"/>
              <w:right w:val="nil"/>
            </w:tcBorders>
            <w:shd w:val="clear" w:color="000000" w:fill="FF9900"/>
            <w:noWrap/>
            <w:vAlign w:val="center"/>
            <w:hideMark/>
          </w:tcPr>
          <w:p w14:paraId="0AA1C1FB" w14:textId="77777777" w:rsidR="00561548" w:rsidRPr="00561548" w:rsidRDefault="00561548" w:rsidP="00250A8A">
            <w:pPr>
              <w:spacing w:before="0" w:after="0"/>
              <w:jc w:val="center"/>
              <w:rPr>
                <w:rFonts w:cs="Arial"/>
                <w:sz w:val="18"/>
                <w:szCs w:val="18"/>
              </w:rPr>
            </w:pPr>
            <w:r w:rsidRPr="00561548">
              <w:rPr>
                <w:rFonts w:cs="Arial"/>
                <w:sz w:val="18"/>
                <w:szCs w:val="18"/>
              </w:rPr>
              <w:t>120,977</w:t>
            </w:r>
          </w:p>
        </w:tc>
        <w:tc>
          <w:tcPr>
            <w:tcW w:w="1194" w:type="dxa"/>
            <w:tcBorders>
              <w:top w:val="nil"/>
              <w:left w:val="nil"/>
              <w:bottom w:val="nil"/>
              <w:right w:val="nil"/>
            </w:tcBorders>
            <w:shd w:val="clear" w:color="000000" w:fill="FF0000"/>
            <w:noWrap/>
            <w:vAlign w:val="bottom"/>
            <w:hideMark/>
          </w:tcPr>
          <w:p w14:paraId="7A9B5FF2" w14:textId="77777777" w:rsidR="00561548" w:rsidRPr="00561548" w:rsidRDefault="00561548" w:rsidP="00250A8A">
            <w:pPr>
              <w:spacing w:before="0" w:after="0"/>
              <w:jc w:val="center"/>
              <w:rPr>
                <w:rFonts w:cs="Arial"/>
                <w:sz w:val="18"/>
                <w:szCs w:val="18"/>
              </w:rPr>
            </w:pPr>
            <w:r w:rsidRPr="00561548">
              <w:rPr>
                <w:rFonts w:cs="Arial"/>
                <w:sz w:val="18"/>
                <w:szCs w:val="18"/>
              </w:rPr>
              <w:t>190,476</w:t>
            </w:r>
          </w:p>
        </w:tc>
        <w:tc>
          <w:tcPr>
            <w:tcW w:w="1194" w:type="dxa"/>
            <w:tcBorders>
              <w:top w:val="nil"/>
              <w:left w:val="nil"/>
              <w:bottom w:val="nil"/>
              <w:right w:val="nil"/>
            </w:tcBorders>
            <w:shd w:val="clear" w:color="000000" w:fill="FF0000"/>
            <w:noWrap/>
            <w:vAlign w:val="bottom"/>
            <w:hideMark/>
          </w:tcPr>
          <w:p w14:paraId="35BCB5BC" w14:textId="77777777" w:rsidR="00561548" w:rsidRPr="00561548" w:rsidRDefault="00561548" w:rsidP="00250A8A">
            <w:pPr>
              <w:spacing w:before="0" w:after="0"/>
              <w:jc w:val="center"/>
              <w:rPr>
                <w:rFonts w:cs="Arial"/>
                <w:sz w:val="18"/>
                <w:szCs w:val="18"/>
              </w:rPr>
            </w:pPr>
            <w:r w:rsidRPr="00561548">
              <w:rPr>
                <w:rFonts w:cs="Arial"/>
                <w:sz w:val="18"/>
                <w:szCs w:val="18"/>
              </w:rPr>
              <w:t>325,578</w:t>
            </w:r>
          </w:p>
        </w:tc>
        <w:tc>
          <w:tcPr>
            <w:tcW w:w="1194" w:type="dxa"/>
            <w:tcBorders>
              <w:top w:val="nil"/>
              <w:left w:val="nil"/>
              <w:bottom w:val="nil"/>
              <w:right w:val="nil"/>
            </w:tcBorders>
            <w:shd w:val="clear" w:color="auto" w:fill="auto"/>
            <w:noWrap/>
            <w:vAlign w:val="bottom"/>
            <w:hideMark/>
          </w:tcPr>
          <w:p w14:paraId="2394B9A7" w14:textId="77777777" w:rsidR="00561548" w:rsidRPr="00561548" w:rsidRDefault="00561548" w:rsidP="00250A8A">
            <w:pPr>
              <w:spacing w:before="0" w:after="0"/>
              <w:jc w:val="center"/>
              <w:rPr>
                <w:rFonts w:cs="Arial"/>
                <w:sz w:val="18"/>
                <w:szCs w:val="18"/>
              </w:rPr>
            </w:pPr>
            <w:r w:rsidRPr="00561548">
              <w:rPr>
                <w:rFonts w:cs="Arial"/>
                <w:sz w:val="18"/>
                <w:szCs w:val="18"/>
              </w:rPr>
              <w:t>4,958</w:t>
            </w:r>
          </w:p>
        </w:tc>
      </w:tr>
      <w:tr w:rsidR="00561548" w:rsidRPr="00561548" w14:paraId="2D7AF5D4" w14:textId="77777777" w:rsidTr="00DB7D3D">
        <w:trPr>
          <w:trHeight w:val="260"/>
        </w:trPr>
        <w:tc>
          <w:tcPr>
            <w:tcW w:w="2127" w:type="dxa"/>
            <w:tcBorders>
              <w:top w:val="nil"/>
              <w:left w:val="nil"/>
              <w:bottom w:val="nil"/>
              <w:right w:val="nil"/>
            </w:tcBorders>
            <w:shd w:val="clear" w:color="auto" w:fill="auto"/>
            <w:noWrap/>
            <w:vAlign w:val="center"/>
            <w:hideMark/>
          </w:tcPr>
          <w:p w14:paraId="55444A09" w14:textId="77777777" w:rsidR="00561548" w:rsidRPr="00561548" w:rsidRDefault="00561548" w:rsidP="00250A8A">
            <w:pPr>
              <w:spacing w:before="0" w:after="0"/>
              <w:jc w:val="center"/>
              <w:rPr>
                <w:rFonts w:cs="Arial"/>
                <w:sz w:val="18"/>
                <w:szCs w:val="18"/>
              </w:rPr>
            </w:pPr>
            <w:r w:rsidRPr="00561548">
              <w:rPr>
                <w:rFonts w:cs="Arial"/>
                <w:sz w:val="18"/>
                <w:szCs w:val="18"/>
              </w:rPr>
              <w:t>Burnett River</w:t>
            </w:r>
          </w:p>
        </w:tc>
        <w:tc>
          <w:tcPr>
            <w:tcW w:w="1417" w:type="dxa"/>
            <w:tcBorders>
              <w:top w:val="nil"/>
              <w:left w:val="nil"/>
              <w:bottom w:val="nil"/>
              <w:right w:val="nil"/>
            </w:tcBorders>
            <w:shd w:val="clear" w:color="auto" w:fill="auto"/>
            <w:noWrap/>
            <w:vAlign w:val="center"/>
            <w:hideMark/>
          </w:tcPr>
          <w:p w14:paraId="37D912C9" w14:textId="77777777" w:rsidR="00561548" w:rsidRPr="00561548" w:rsidRDefault="00561548" w:rsidP="00250A8A">
            <w:pPr>
              <w:spacing w:before="0" w:after="0"/>
              <w:jc w:val="center"/>
              <w:rPr>
                <w:rFonts w:cs="Arial"/>
                <w:sz w:val="18"/>
                <w:szCs w:val="18"/>
              </w:rPr>
            </w:pPr>
            <w:r w:rsidRPr="00561548">
              <w:rPr>
                <w:rFonts w:cs="Arial"/>
                <w:sz w:val="18"/>
                <w:szCs w:val="18"/>
              </w:rPr>
              <w:t>230,755</w:t>
            </w:r>
          </w:p>
        </w:tc>
        <w:tc>
          <w:tcPr>
            <w:tcW w:w="1193" w:type="dxa"/>
            <w:tcBorders>
              <w:top w:val="nil"/>
              <w:left w:val="nil"/>
              <w:bottom w:val="nil"/>
              <w:right w:val="nil"/>
            </w:tcBorders>
            <w:shd w:val="clear" w:color="000000" w:fill="FFFF00"/>
            <w:noWrap/>
            <w:vAlign w:val="center"/>
            <w:hideMark/>
          </w:tcPr>
          <w:p w14:paraId="1DB288DB" w14:textId="77777777" w:rsidR="00561548" w:rsidRPr="00561548" w:rsidRDefault="00561548" w:rsidP="00250A8A">
            <w:pPr>
              <w:spacing w:before="0" w:after="0"/>
              <w:jc w:val="center"/>
              <w:rPr>
                <w:rFonts w:cs="Arial"/>
                <w:sz w:val="18"/>
                <w:szCs w:val="18"/>
              </w:rPr>
            </w:pPr>
            <w:r w:rsidRPr="00561548">
              <w:rPr>
                <w:rFonts w:cs="Arial"/>
                <w:sz w:val="18"/>
                <w:szCs w:val="18"/>
              </w:rPr>
              <w:t>381,054</w:t>
            </w:r>
          </w:p>
        </w:tc>
        <w:tc>
          <w:tcPr>
            <w:tcW w:w="1194" w:type="dxa"/>
            <w:tcBorders>
              <w:top w:val="nil"/>
              <w:left w:val="nil"/>
              <w:bottom w:val="nil"/>
              <w:right w:val="nil"/>
            </w:tcBorders>
            <w:shd w:val="clear" w:color="000000" w:fill="FF9900"/>
            <w:noWrap/>
            <w:vAlign w:val="bottom"/>
            <w:hideMark/>
          </w:tcPr>
          <w:p w14:paraId="6538F93F" w14:textId="77777777" w:rsidR="00561548" w:rsidRPr="00561548" w:rsidRDefault="00561548" w:rsidP="00250A8A">
            <w:pPr>
              <w:spacing w:before="0" w:after="0"/>
              <w:jc w:val="center"/>
              <w:rPr>
                <w:rFonts w:cs="Arial"/>
                <w:sz w:val="18"/>
                <w:szCs w:val="18"/>
              </w:rPr>
            </w:pPr>
            <w:r w:rsidRPr="00561548">
              <w:rPr>
                <w:rFonts w:cs="Arial"/>
                <w:sz w:val="18"/>
                <w:szCs w:val="18"/>
              </w:rPr>
              <w:t>536,242</w:t>
            </w:r>
          </w:p>
        </w:tc>
        <w:tc>
          <w:tcPr>
            <w:tcW w:w="1194" w:type="dxa"/>
            <w:tcBorders>
              <w:top w:val="nil"/>
              <w:left w:val="nil"/>
              <w:bottom w:val="nil"/>
              <w:right w:val="nil"/>
            </w:tcBorders>
            <w:shd w:val="clear" w:color="000000" w:fill="FF0000"/>
            <w:noWrap/>
            <w:vAlign w:val="bottom"/>
            <w:hideMark/>
          </w:tcPr>
          <w:p w14:paraId="55BECEDC" w14:textId="77777777" w:rsidR="00561548" w:rsidRPr="00561548" w:rsidRDefault="00561548" w:rsidP="00250A8A">
            <w:pPr>
              <w:spacing w:before="0" w:after="0"/>
              <w:jc w:val="center"/>
              <w:rPr>
                <w:rFonts w:cs="Arial"/>
                <w:sz w:val="18"/>
                <w:szCs w:val="18"/>
              </w:rPr>
            </w:pPr>
            <w:r w:rsidRPr="00561548">
              <w:rPr>
                <w:rFonts w:cs="Arial"/>
                <w:sz w:val="18"/>
                <w:szCs w:val="18"/>
              </w:rPr>
              <w:t>849,051</w:t>
            </w:r>
          </w:p>
        </w:tc>
        <w:tc>
          <w:tcPr>
            <w:tcW w:w="1194" w:type="dxa"/>
            <w:tcBorders>
              <w:top w:val="nil"/>
              <w:left w:val="nil"/>
              <w:bottom w:val="nil"/>
              <w:right w:val="nil"/>
            </w:tcBorders>
            <w:shd w:val="clear" w:color="auto" w:fill="auto"/>
            <w:noWrap/>
            <w:vAlign w:val="bottom"/>
            <w:hideMark/>
          </w:tcPr>
          <w:p w14:paraId="1412BA1F" w14:textId="77777777" w:rsidR="00561548" w:rsidRPr="00561548" w:rsidRDefault="00561548" w:rsidP="00250A8A">
            <w:pPr>
              <w:spacing w:before="0" w:after="0"/>
              <w:jc w:val="center"/>
              <w:rPr>
                <w:rFonts w:cs="Arial"/>
                <w:sz w:val="18"/>
                <w:szCs w:val="18"/>
              </w:rPr>
            </w:pPr>
            <w:r w:rsidRPr="00561548">
              <w:rPr>
                <w:rFonts w:cs="Arial"/>
                <w:sz w:val="18"/>
                <w:szCs w:val="18"/>
              </w:rPr>
              <w:t>202,436</w:t>
            </w:r>
          </w:p>
        </w:tc>
      </w:tr>
      <w:tr w:rsidR="00561548" w:rsidRPr="00561548" w14:paraId="7A4F044A" w14:textId="77777777" w:rsidTr="00DB7D3D">
        <w:trPr>
          <w:trHeight w:val="260"/>
        </w:trPr>
        <w:tc>
          <w:tcPr>
            <w:tcW w:w="2127" w:type="dxa"/>
            <w:tcBorders>
              <w:top w:val="nil"/>
              <w:left w:val="nil"/>
              <w:bottom w:val="nil"/>
              <w:right w:val="nil"/>
            </w:tcBorders>
            <w:shd w:val="clear" w:color="auto" w:fill="auto"/>
            <w:noWrap/>
            <w:vAlign w:val="center"/>
            <w:hideMark/>
          </w:tcPr>
          <w:p w14:paraId="61359331" w14:textId="77777777" w:rsidR="00561548" w:rsidRPr="00561548" w:rsidRDefault="00561548" w:rsidP="00250A8A">
            <w:pPr>
              <w:spacing w:before="0" w:after="0"/>
              <w:jc w:val="center"/>
              <w:rPr>
                <w:rFonts w:cs="Arial"/>
                <w:sz w:val="18"/>
                <w:szCs w:val="18"/>
              </w:rPr>
            </w:pPr>
            <w:r w:rsidRPr="00561548">
              <w:rPr>
                <w:rFonts w:cs="Arial"/>
                <w:sz w:val="18"/>
                <w:szCs w:val="18"/>
              </w:rPr>
              <w:t>Burrum River</w:t>
            </w:r>
          </w:p>
        </w:tc>
        <w:tc>
          <w:tcPr>
            <w:tcW w:w="1417" w:type="dxa"/>
            <w:tcBorders>
              <w:top w:val="nil"/>
              <w:left w:val="nil"/>
              <w:bottom w:val="nil"/>
              <w:right w:val="nil"/>
            </w:tcBorders>
            <w:shd w:val="clear" w:color="auto" w:fill="auto"/>
            <w:noWrap/>
            <w:vAlign w:val="center"/>
            <w:hideMark/>
          </w:tcPr>
          <w:p w14:paraId="5F5C9C16" w14:textId="77777777" w:rsidR="00561548" w:rsidRPr="00561548" w:rsidRDefault="00561548" w:rsidP="00250A8A">
            <w:pPr>
              <w:spacing w:before="0" w:after="0"/>
              <w:jc w:val="center"/>
              <w:rPr>
                <w:rFonts w:cs="Arial"/>
                <w:sz w:val="18"/>
                <w:szCs w:val="18"/>
              </w:rPr>
            </w:pPr>
            <w:r w:rsidRPr="00561548">
              <w:rPr>
                <w:rFonts w:cs="Arial"/>
                <w:sz w:val="18"/>
                <w:szCs w:val="18"/>
              </w:rPr>
              <w:t>79,112</w:t>
            </w:r>
          </w:p>
        </w:tc>
        <w:tc>
          <w:tcPr>
            <w:tcW w:w="1193" w:type="dxa"/>
            <w:tcBorders>
              <w:top w:val="nil"/>
              <w:left w:val="nil"/>
              <w:bottom w:val="nil"/>
              <w:right w:val="nil"/>
            </w:tcBorders>
            <w:shd w:val="clear" w:color="000000" w:fill="FF0000"/>
            <w:noWrap/>
            <w:vAlign w:val="center"/>
            <w:hideMark/>
          </w:tcPr>
          <w:p w14:paraId="7EDCD74C" w14:textId="77777777" w:rsidR="00561548" w:rsidRPr="00561548" w:rsidRDefault="00561548" w:rsidP="00250A8A">
            <w:pPr>
              <w:spacing w:before="0" w:after="0"/>
              <w:jc w:val="center"/>
              <w:rPr>
                <w:rFonts w:cs="Arial"/>
                <w:sz w:val="18"/>
                <w:szCs w:val="18"/>
              </w:rPr>
            </w:pPr>
            <w:r w:rsidRPr="00561548">
              <w:rPr>
                <w:rFonts w:cs="Arial"/>
                <w:sz w:val="18"/>
                <w:szCs w:val="18"/>
              </w:rPr>
              <w:t>289,364</w:t>
            </w:r>
          </w:p>
        </w:tc>
        <w:tc>
          <w:tcPr>
            <w:tcW w:w="1194" w:type="dxa"/>
            <w:tcBorders>
              <w:top w:val="nil"/>
              <w:left w:val="nil"/>
              <w:bottom w:val="nil"/>
              <w:right w:val="nil"/>
            </w:tcBorders>
            <w:shd w:val="clear" w:color="000000" w:fill="FF0000"/>
            <w:noWrap/>
            <w:vAlign w:val="bottom"/>
            <w:hideMark/>
          </w:tcPr>
          <w:p w14:paraId="793C809B" w14:textId="77777777" w:rsidR="00561548" w:rsidRPr="00561548" w:rsidRDefault="00561548" w:rsidP="00250A8A">
            <w:pPr>
              <w:spacing w:before="0" w:after="0"/>
              <w:jc w:val="center"/>
              <w:rPr>
                <w:rFonts w:cs="Arial"/>
                <w:sz w:val="18"/>
                <w:szCs w:val="18"/>
              </w:rPr>
            </w:pPr>
            <w:r w:rsidRPr="00561548">
              <w:rPr>
                <w:rFonts w:cs="Arial"/>
                <w:sz w:val="18"/>
                <w:szCs w:val="18"/>
              </w:rPr>
              <w:t>387,027</w:t>
            </w:r>
          </w:p>
        </w:tc>
        <w:tc>
          <w:tcPr>
            <w:tcW w:w="1194" w:type="dxa"/>
            <w:tcBorders>
              <w:top w:val="nil"/>
              <w:left w:val="nil"/>
              <w:bottom w:val="nil"/>
              <w:right w:val="nil"/>
            </w:tcBorders>
            <w:shd w:val="clear" w:color="000000" w:fill="FF0000"/>
            <w:noWrap/>
            <w:vAlign w:val="bottom"/>
            <w:hideMark/>
          </w:tcPr>
          <w:p w14:paraId="211EC035" w14:textId="77777777" w:rsidR="00561548" w:rsidRPr="00561548" w:rsidRDefault="00561548" w:rsidP="00250A8A">
            <w:pPr>
              <w:spacing w:before="0" w:after="0"/>
              <w:jc w:val="center"/>
              <w:rPr>
                <w:rFonts w:cs="Arial"/>
                <w:sz w:val="18"/>
                <w:szCs w:val="18"/>
              </w:rPr>
            </w:pPr>
            <w:r w:rsidRPr="00561548">
              <w:rPr>
                <w:rFonts w:cs="Arial"/>
                <w:sz w:val="18"/>
                <w:szCs w:val="18"/>
              </w:rPr>
              <w:t>715,449</w:t>
            </w:r>
          </w:p>
        </w:tc>
        <w:tc>
          <w:tcPr>
            <w:tcW w:w="1194" w:type="dxa"/>
            <w:tcBorders>
              <w:top w:val="nil"/>
              <w:left w:val="nil"/>
              <w:bottom w:val="nil"/>
              <w:right w:val="nil"/>
            </w:tcBorders>
            <w:shd w:val="clear" w:color="auto" w:fill="auto"/>
            <w:noWrap/>
            <w:vAlign w:val="bottom"/>
            <w:hideMark/>
          </w:tcPr>
          <w:p w14:paraId="33C07B82" w14:textId="77777777" w:rsidR="00561548" w:rsidRPr="00561548" w:rsidRDefault="00561548" w:rsidP="00250A8A">
            <w:pPr>
              <w:spacing w:before="0" w:after="0"/>
              <w:jc w:val="center"/>
              <w:rPr>
                <w:rFonts w:cs="Arial"/>
                <w:sz w:val="18"/>
                <w:szCs w:val="18"/>
              </w:rPr>
            </w:pPr>
            <w:r w:rsidRPr="00561548">
              <w:rPr>
                <w:rFonts w:cs="Arial"/>
                <w:sz w:val="18"/>
                <w:szCs w:val="18"/>
              </w:rPr>
              <w:t>63,972</w:t>
            </w:r>
          </w:p>
        </w:tc>
      </w:tr>
      <w:tr w:rsidR="00561548" w:rsidRPr="00561548" w14:paraId="2FC20B7A" w14:textId="77777777" w:rsidTr="00DB7D3D">
        <w:trPr>
          <w:trHeight w:val="280"/>
        </w:trPr>
        <w:tc>
          <w:tcPr>
            <w:tcW w:w="2127" w:type="dxa"/>
            <w:tcBorders>
              <w:top w:val="nil"/>
              <w:left w:val="nil"/>
              <w:bottom w:val="single" w:sz="8" w:space="0" w:color="auto"/>
              <w:right w:val="nil"/>
            </w:tcBorders>
            <w:shd w:val="clear" w:color="auto" w:fill="auto"/>
            <w:noWrap/>
            <w:vAlign w:val="center"/>
            <w:hideMark/>
          </w:tcPr>
          <w:p w14:paraId="44647176" w14:textId="77777777" w:rsidR="00561548" w:rsidRPr="00561548" w:rsidRDefault="00561548" w:rsidP="00250A8A">
            <w:pPr>
              <w:spacing w:before="0" w:after="0"/>
              <w:jc w:val="center"/>
              <w:rPr>
                <w:rFonts w:cs="Arial"/>
                <w:sz w:val="18"/>
                <w:szCs w:val="18"/>
              </w:rPr>
            </w:pPr>
            <w:r w:rsidRPr="00561548">
              <w:rPr>
                <w:rFonts w:cs="Arial"/>
                <w:sz w:val="18"/>
                <w:szCs w:val="18"/>
              </w:rPr>
              <w:t>Mary  River</w:t>
            </w:r>
          </w:p>
        </w:tc>
        <w:tc>
          <w:tcPr>
            <w:tcW w:w="1417" w:type="dxa"/>
            <w:tcBorders>
              <w:top w:val="nil"/>
              <w:left w:val="nil"/>
              <w:bottom w:val="single" w:sz="8" w:space="0" w:color="auto"/>
              <w:right w:val="nil"/>
            </w:tcBorders>
            <w:shd w:val="clear" w:color="auto" w:fill="auto"/>
            <w:noWrap/>
            <w:vAlign w:val="center"/>
            <w:hideMark/>
          </w:tcPr>
          <w:p w14:paraId="5C6188F8" w14:textId="77777777" w:rsidR="00561548" w:rsidRPr="00561548" w:rsidRDefault="00561548" w:rsidP="00250A8A">
            <w:pPr>
              <w:spacing w:before="0" w:after="0"/>
              <w:jc w:val="center"/>
              <w:rPr>
                <w:rFonts w:cs="Arial"/>
                <w:sz w:val="18"/>
                <w:szCs w:val="18"/>
              </w:rPr>
            </w:pPr>
            <w:r w:rsidRPr="00561548">
              <w:rPr>
                <w:rFonts w:cs="Arial"/>
                <w:sz w:val="18"/>
                <w:szCs w:val="18"/>
              </w:rPr>
              <w:t>981,183</w:t>
            </w:r>
          </w:p>
        </w:tc>
        <w:tc>
          <w:tcPr>
            <w:tcW w:w="1193" w:type="dxa"/>
            <w:tcBorders>
              <w:top w:val="nil"/>
              <w:left w:val="nil"/>
              <w:bottom w:val="single" w:sz="8" w:space="0" w:color="auto"/>
              <w:right w:val="nil"/>
            </w:tcBorders>
            <w:shd w:val="clear" w:color="auto" w:fill="auto"/>
            <w:noWrap/>
            <w:vAlign w:val="center"/>
            <w:hideMark/>
          </w:tcPr>
          <w:p w14:paraId="24D0686A" w14:textId="77777777" w:rsidR="00561548" w:rsidRPr="00561548" w:rsidRDefault="00561548" w:rsidP="00250A8A">
            <w:pPr>
              <w:spacing w:before="0" w:after="0"/>
              <w:jc w:val="center"/>
              <w:rPr>
                <w:rFonts w:cs="Arial"/>
                <w:sz w:val="18"/>
                <w:szCs w:val="18"/>
              </w:rPr>
            </w:pPr>
            <w:r w:rsidRPr="00561548">
              <w:rPr>
                <w:rFonts w:cs="Arial"/>
                <w:sz w:val="18"/>
                <w:szCs w:val="18"/>
              </w:rPr>
              <w:t>412,160</w:t>
            </w:r>
          </w:p>
        </w:tc>
        <w:tc>
          <w:tcPr>
            <w:tcW w:w="1194" w:type="dxa"/>
            <w:tcBorders>
              <w:top w:val="nil"/>
              <w:left w:val="nil"/>
              <w:bottom w:val="single" w:sz="8" w:space="0" w:color="auto"/>
              <w:right w:val="nil"/>
            </w:tcBorders>
            <w:shd w:val="clear" w:color="auto" w:fill="auto"/>
            <w:noWrap/>
            <w:vAlign w:val="bottom"/>
            <w:hideMark/>
          </w:tcPr>
          <w:p w14:paraId="6A426792" w14:textId="77777777" w:rsidR="00561548" w:rsidRPr="00561548" w:rsidRDefault="00561548" w:rsidP="00250A8A">
            <w:pPr>
              <w:spacing w:before="0" w:after="0"/>
              <w:jc w:val="center"/>
              <w:rPr>
                <w:rFonts w:cs="Arial"/>
                <w:sz w:val="18"/>
                <w:szCs w:val="18"/>
              </w:rPr>
            </w:pPr>
            <w:r w:rsidRPr="00561548">
              <w:rPr>
                <w:rFonts w:cs="Arial"/>
                <w:sz w:val="18"/>
                <w:szCs w:val="18"/>
              </w:rPr>
              <w:t>499,295</w:t>
            </w:r>
          </w:p>
        </w:tc>
        <w:tc>
          <w:tcPr>
            <w:tcW w:w="1194" w:type="dxa"/>
            <w:tcBorders>
              <w:top w:val="nil"/>
              <w:left w:val="nil"/>
              <w:bottom w:val="single" w:sz="8" w:space="0" w:color="auto"/>
              <w:right w:val="nil"/>
            </w:tcBorders>
            <w:shd w:val="clear" w:color="000000" w:fill="FFFF00"/>
            <w:noWrap/>
            <w:vAlign w:val="bottom"/>
            <w:hideMark/>
          </w:tcPr>
          <w:p w14:paraId="108C4DAB" w14:textId="77777777" w:rsidR="00561548" w:rsidRPr="00561548" w:rsidRDefault="00561548" w:rsidP="00250A8A">
            <w:pPr>
              <w:spacing w:before="0" w:after="0"/>
              <w:jc w:val="center"/>
              <w:rPr>
                <w:rFonts w:cs="Arial"/>
                <w:sz w:val="18"/>
                <w:szCs w:val="18"/>
              </w:rPr>
            </w:pPr>
            <w:r w:rsidRPr="00561548">
              <w:rPr>
                <w:rFonts w:cs="Arial"/>
                <w:sz w:val="18"/>
                <w:szCs w:val="18"/>
              </w:rPr>
              <w:t>1,630,741</w:t>
            </w:r>
          </w:p>
        </w:tc>
        <w:tc>
          <w:tcPr>
            <w:tcW w:w="1194" w:type="dxa"/>
            <w:tcBorders>
              <w:top w:val="nil"/>
              <w:left w:val="nil"/>
              <w:bottom w:val="single" w:sz="8" w:space="0" w:color="auto"/>
              <w:right w:val="nil"/>
            </w:tcBorders>
            <w:shd w:val="clear" w:color="auto" w:fill="auto"/>
            <w:noWrap/>
            <w:vAlign w:val="bottom"/>
            <w:hideMark/>
          </w:tcPr>
          <w:p w14:paraId="718C55BC" w14:textId="77777777" w:rsidR="00561548" w:rsidRPr="00561548" w:rsidRDefault="00561548" w:rsidP="00250A8A">
            <w:pPr>
              <w:spacing w:before="0" w:after="0"/>
              <w:jc w:val="center"/>
              <w:rPr>
                <w:rFonts w:cs="Arial"/>
                <w:sz w:val="18"/>
                <w:szCs w:val="18"/>
              </w:rPr>
            </w:pPr>
            <w:r w:rsidRPr="00561548">
              <w:rPr>
                <w:rFonts w:cs="Arial"/>
                <w:sz w:val="18"/>
                <w:szCs w:val="18"/>
              </w:rPr>
              <w:t>658,014</w:t>
            </w:r>
          </w:p>
        </w:tc>
      </w:tr>
    </w:tbl>
    <w:p w14:paraId="1AF37708" w14:textId="4F2B5B31" w:rsidR="007953F6" w:rsidRPr="00C26B18" w:rsidRDefault="007953F6" w:rsidP="005E7B88">
      <w:pPr>
        <w:rPr>
          <w:rFonts w:cs="Arial"/>
          <w:szCs w:val="22"/>
          <w:lang w:val="en-GB"/>
        </w:rPr>
      </w:pPr>
    </w:p>
    <w:p w14:paraId="4D56528C" w14:textId="5C1FBEB5" w:rsidR="007953F6" w:rsidRPr="00A37E15" w:rsidRDefault="007953F6" w:rsidP="000150D8">
      <w:pPr>
        <w:pStyle w:val="Heading2"/>
      </w:pPr>
      <w:r w:rsidRPr="00C26B18">
        <w:rPr>
          <w:lang w:val="en-GB"/>
        </w:rPr>
        <w:br w:type="column"/>
      </w:r>
      <w:bookmarkStart w:id="188" w:name="_Toc37775053"/>
      <w:bookmarkStart w:id="189" w:name="_Toc43987028"/>
      <w:r w:rsidR="001A0665" w:rsidRPr="00A37E15">
        <w:lastRenderedPageBreak/>
        <w:t>Turbid water exposure and flood plume extent</w:t>
      </w:r>
      <w:bookmarkEnd w:id="188"/>
      <w:bookmarkEnd w:id="189"/>
    </w:p>
    <w:p w14:paraId="61FA01FE" w14:textId="168A6351" w:rsidR="005E7B88" w:rsidRPr="00C26B18" w:rsidRDefault="004F5574" w:rsidP="005E7B88">
      <w:pPr>
        <w:rPr>
          <w:rFonts w:cs="Arial"/>
          <w:szCs w:val="22"/>
          <w:lang w:val="en-GB"/>
        </w:rPr>
      </w:pPr>
      <w:r w:rsidRPr="00C26B18">
        <w:rPr>
          <w:rFonts w:cs="Arial"/>
          <w:szCs w:val="22"/>
          <w:lang w:val="en-GB"/>
        </w:rPr>
        <w:t xml:space="preserve">The frequency of exposure to turbid water (colour classes 1–5), plume extent, and the within-canopy environmental pressures daily light and water temperature are summarised in </w:t>
      </w:r>
      <w:r w:rsidRPr="00C26B18">
        <w:rPr>
          <w:rFonts w:cs="Arial"/>
          <w:szCs w:val="22"/>
          <w:lang w:val="en-GB"/>
        </w:rPr>
        <w:fldChar w:fldCharType="begin"/>
      </w:r>
      <w:r w:rsidRPr="00C26B18">
        <w:rPr>
          <w:rFonts w:cs="Arial"/>
          <w:szCs w:val="22"/>
          <w:lang w:val="en-GB"/>
        </w:rPr>
        <w:instrText xml:space="preserve"> REF _Ref442465513 \h </w:instrText>
      </w:r>
      <w:r w:rsidR="00CB093C" w:rsidRPr="00C26B18">
        <w:rPr>
          <w:rFonts w:cs="Arial"/>
          <w:szCs w:val="22"/>
          <w:lang w:val="en-GB"/>
        </w:rPr>
        <w:instrText xml:space="preserve"> \* MERGEFORMAT </w:instrText>
      </w:r>
      <w:r w:rsidRPr="00C26B18">
        <w:rPr>
          <w:rFonts w:cs="Arial"/>
          <w:szCs w:val="22"/>
          <w:lang w:val="en-GB"/>
        </w:rPr>
      </w:r>
      <w:r w:rsidRPr="00C26B18">
        <w:rPr>
          <w:rFonts w:cs="Arial"/>
          <w:szCs w:val="22"/>
          <w:lang w:val="en-GB"/>
        </w:rPr>
        <w:fldChar w:fldCharType="separate"/>
      </w:r>
      <w:r w:rsidR="0067675D" w:rsidRPr="00C26B18">
        <w:rPr>
          <w:rFonts w:cs="Arial"/>
          <w:szCs w:val="22"/>
        </w:rPr>
        <w:t xml:space="preserve">Figure </w:t>
      </w:r>
      <w:r w:rsidR="0067675D">
        <w:rPr>
          <w:rFonts w:cs="Arial"/>
          <w:noProof/>
          <w:szCs w:val="22"/>
        </w:rPr>
        <w:t>8</w:t>
      </w:r>
      <w:r w:rsidRPr="00C26B18">
        <w:rPr>
          <w:rFonts w:cs="Arial"/>
          <w:szCs w:val="22"/>
          <w:lang w:val="en-GB"/>
        </w:rPr>
        <w:fldChar w:fldCharType="end"/>
      </w:r>
      <w:r w:rsidRPr="00C26B18">
        <w:rPr>
          <w:rFonts w:cs="Arial"/>
          <w:szCs w:val="22"/>
          <w:lang w:val="en-GB"/>
        </w:rPr>
        <w:t>.</w:t>
      </w:r>
      <w:r w:rsidR="00701C35" w:rsidRPr="00C26B18">
        <w:rPr>
          <w:rFonts w:cs="Arial"/>
          <w:szCs w:val="22"/>
          <w:lang w:val="en-GB"/>
        </w:rPr>
        <w:t xml:space="preserve"> </w:t>
      </w:r>
    </w:p>
    <w:p w14:paraId="72FC09BA" w14:textId="6A13BE2C" w:rsidR="00771FD9" w:rsidRPr="00C26B18" w:rsidRDefault="00771FD9" w:rsidP="00EB6142">
      <w:pPr>
        <w:keepNext/>
        <w:widowControl w:val="0"/>
        <w:autoSpaceDE w:val="0"/>
        <w:autoSpaceDN w:val="0"/>
        <w:adjustRightInd w:val="0"/>
        <w:jc w:val="center"/>
        <w:rPr>
          <w:rFonts w:cs="Arial"/>
          <w:szCs w:val="22"/>
          <w:lang w:val="en-US"/>
        </w:rPr>
      </w:pPr>
      <w:r w:rsidRPr="00C26B18">
        <w:rPr>
          <w:rFonts w:cs="Arial"/>
          <w:noProof/>
          <w:szCs w:val="22"/>
          <w:lang w:eastAsia="en-AU"/>
        </w:rPr>
        <w:lastRenderedPageBreak/>
        <w:drawing>
          <wp:inline distT="0" distB="0" distL="0" distR="0" wp14:anchorId="51439C60" wp14:editId="2948600B">
            <wp:extent cx="6143625" cy="6923040"/>
            <wp:effectExtent l="0" t="0" r="0" b="0"/>
            <wp:docPr id="12" name="Picture 12" descr="Figure of three panels illustrating environmental pressures in the Reef during 2018-2019 and relative to the long-term. Left panel shows frequency of turbid water exposure from December 2018 to April 2019 and plume extent (10% boundary) in 2018–2019 relative to the long-term average, illustrating where plumes extended further in some areas and not as far in others in 2018–2019. Centre panel shows within-canopy daily light for all sites, and the deviation in daily light relative to the long-term average. Right panel shows within-canopy water temperature, and deviation water temperature from the long-term aver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BR frequency w legend.png"/>
                    <pic:cNvPicPr/>
                  </pic:nvPicPr>
                  <pic:blipFill>
                    <a:blip r:embed="rId62"/>
                    <a:stretch>
                      <a:fillRect/>
                    </a:stretch>
                  </pic:blipFill>
                  <pic:spPr bwMode="auto">
                    <a:xfrm>
                      <a:off x="0" y="0"/>
                      <a:ext cx="6146723" cy="6926531"/>
                    </a:xfrm>
                    <a:prstGeom prst="rect">
                      <a:avLst/>
                    </a:prstGeom>
                    <a:ln>
                      <a:noFill/>
                    </a:ln>
                    <a:extLst>
                      <a:ext uri="{53640926-AAD7-44D8-BBD7-CCE9431645EC}">
                        <a14:shadowObscured xmlns:a14="http://schemas.microsoft.com/office/drawing/2010/main"/>
                      </a:ext>
                    </a:extLst>
                  </pic:spPr>
                </pic:pic>
              </a:graphicData>
            </a:graphic>
          </wp:inline>
        </w:drawing>
      </w:r>
    </w:p>
    <w:p w14:paraId="639AB5C7" w14:textId="4D6F9199" w:rsidR="00807368" w:rsidRPr="00C26B18" w:rsidRDefault="00771FD9" w:rsidP="00807368">
      <w:pPr>
        <w:spacing w:before="0"/>
        <w:rPr>
          <w:rFonts w:cs="Arial"/>
          <w:i/>
          <w:vanish/>
          <w:color w:val="000000" w:themeColor="text1"/>
          <w:szCs w:val="22"/>
          <w:specVanish/>
        </w:rPr>
      </w:pPr>
      <w:bookmarkStart w:id="190" w:name="_Ref442465513"/>
      <w:bookmarkStart w:id="191" w:name="_Toc38634112"/>
      <w:bookmarkStart w:id="192" w:name="_Ref533006584"/>
      <w:r w:rsidRPr="00C26B18">
        <w:rPr>
          <w:rFonts w:cs="Arial"/>
          <w:szCs w:val="22"/>
        </w:rPr>
        <w:t xml:space="preserve">Figure </w:t>
      </w:r>
      <w:r w:rsidRPr="00C26B18">
        <w:rPr>
          <w:rFonts w:cs="Arial"/>
          <w:szCs w:val="22"/>
        </w:rPr>
        <w:fldChar w:fldCharType="begin"/>
      </w:r>
      <w:r w:rsidRPr="00C26B18">
        <w:rPr>
          <w:rFonts w:cs="Arial"/>
          <w:szCs w:val="22"/>
        </w:rPr>
        <w:instrText xml:space="preserve"> SEQ Figure \* ARABIC </w:instrText>
      </w:r>
      <w:r w:rsidRPr="00C26B18">
        <w:rPr>
          <w:rFonts w:cs="Arial"/>
          <w:szCs w:val="22"/>
        </w:rPr>
        <w:fldChar w:fldCharType="separate"/>
      </w:r>
      <w:r w:rsidR="0067675D">
        <w:rPr>
          <w:rFonts w:cs="Arial"/>
          <w:noProof/>
          <w:szCs w:val="22"/>
        </w:rPr>
        <w:t>8</w:t>
      </w:r>
      <w:r w:rsidRPr="00C26B18">
        <w:rPr>
          <w:rFonts w:cs="Arial"/>
          <w:szCs w:val="22"/>
        </w:rPr>
        <w:fldChar w:fldCharType="end"/>
      </w:r>
      <w:bookmarkEnd w:id="190"/>
      <w:r w:rsidRPr="00C26B18">
        <w:rPr>
          <w:rFonts w:cs="Arial"/>
          <w:szCs w:val="22"/>
        </w:rPr>
        <w:t xml:space="preserve">. </w:t>
      </w:r>
      <w:r w:rsidR="00B3497B" w:rsidRPr="00C26B18">
        <w:rPr>
          <w:rFonts w:cs="Arial"/>
          <w:i/>
          <w:szCs w:val="22"/>
        </w:rPr>
        <w:t xml:space="preserve">Environmental pressures </w:t>
      </w:r>
      <w:r w:rsidR="00056F8D" w:rsidRPr="00C26B18">
        <w:rPr>
          <w:rFonts w:cs="Arial"/>
          <w:i/>
          <w:szCs w:val="22"/>
        </w:rPr>
        <w:t xml:space="preserve">in the Reef </w:t>
      </w:r>
      <w:r w:rsidR="00B3497B" w:rsidRPr="00C26B18">
        <w:rPr>
          <w:rFonts w:cs="Arial"/>
          <w:i/>
          <w:szCs w:val="22"/>
        </w:rPr>
        <w:t xml:space="preserve">during </w:t>
      </w:r>
      <w:r w:rsidR="008C0E45" w:rsidRPr="00C26B18">
        <w:rPr>
          <w:rFonts w:cs="Arial"/>
          <w:i/>
          <w:szCs w:val="22"/>
        </w:rPr>
        <w:t>201</w:t>
      </w:r>
      <w:r w:rsidR="00A359BD" w:rsidRPr="00C26B18">
        <w:rPr>
          <w:rFonts w:cs="Arial"/>
          <w:i/>
          <w:szCs w:val="22"/>
        </w:rPr>
        <w:t>8</w:t>
      </w:r>
      <w:r w:rsidR="008C0E45" w:rsidRPr="00C26B18">
        <w:rPr>
          <w:rFonts w:cs="Arial"/>
          <w:i/>
          <w:szCs w:val="22"/>
        </w:rPr>
        <w:t>–1</w:t>
      </w:r>
      <w:r w:rsidR="00A359BD" w:rsidRPr="00C26B18">
        <w:rPr>
          <w:rFonts w:cs="Arial"/>
          <w:i/>
          <w:szCs w:val="22"/>
        </w:rPr>
        <w:t>9</w:t>
      </w:r>
      <w:r w:rsidR="00B3497B" w:rsidRPr="00C26B18">
        <w:rPr>
          <w:rFonts w:cs="Arial"/>
          <w:i/>
          <w:szCs w:val="22"/>
        </w:rPr>
        <w:t xml:space="preserve"> and relative to long-term</w:t>
      </w:r>
      <w:bookmarkEnd w:id="191"/>
    </w:p>
    <w:p w14:paraId="1CD923EA" w14:textId="1F02B158" w:rsidR="00E824B2" w:rsidRPr="00C26B18" w:rsidRDefault="00B3497B" w:rsidP="00EB6142">
      <w:pPr>
        <w:spacing w:before="0"/>
        <w:rPr>
          <w:rFonts w:cs="Arial"/>
          <w:i/>
          <w:szCs w:val="22"/>
        </w:rPr>
      </w:pPr>
      <w:r w:rsidRPr="00C26B18">
        <w:rPr>
          <w:rFonts w:cs="Arial"/>
          <w:i/>
          <w:szCs w:val="22"/>
        </w:rPr>
        <w:t xml:space="preserve">: </w:t>
      </w:r>
      <w:r w:rsidR="00236BA7" w:rsidRPr="00C26B18">
        <w:rPr>
          <w:rFonts w:cs="Arial"/>
          <w:i/>
          <w:szCs w:val="22"/>
        </w:rPr>
        <w:t>a.</w:t>
      </w:r>
      <w:r w:rsidR="00236BA7" w:rsidRPr="00C26B18">
        <w:rPr>
          <w:rFonts w:cs="Arial"/>
          <w:szCs w:val="22"/>
        </w:rPr>
        <w:t xml:space="preserve"> </w:t>
      </w:r>
      <w:r w:rsidR="00D75762" w:rsidRPr="00C26B18">
        <w:rPr>
          <w:rFonts w:cs="Arial"/>
          <w:i/>
          <w:szCs w:val="22"/>
        </w:rPr>
        <w:t>Frequency of</w:t>
      </w:r>
      <w:r w:rsidR="00D75762" w:rsidRPr="00C26B18">
        <w:rPr>
          <w:rFonts w:cs="Arial"/>
          <w:szCs w:val="22"/>
        </w:rPr>
        <w:t xml:space="preserve"> t</w:t>
      </w:r>
      <w:r w:rsidR="00771FD9" w:rsidRPr="00C26B18">
        <w:rPr>
          <w:rFonts w:cs="Arial"/>
          <w:i/>
          <w:szCs w:val="22"/>
        </w:rPr>
        <w:t xml:space="preserve">urbid water </w:t>
      </w:r>
      <w:r w:rsidR="00F63FDB" w:rsidRPr="00C26B18">
        <w:rPr>
          <w:rFonts w:cs="Arial"/>
          <w:i/>
          <w:szCs w:val="22"/>
        </w:rPr>
        <w:t>(colour classes 1–5, primary and sec</w:t>
      </w:r>
      <w:r w:rsidR="00F63FDB" w:rsidRPr="00C26B18">
        <w:rPr>
          <w:rFonts w:cs="Arial"/>
          <w:i/>
          <w:szCs w:val="22"/>
        </w:rPr>
        <w:lastRenderedPageBreak/>
        <w:t xml:space="preserve">ondary water) </w:t>
      </w:r>
      <w:r w:rsidR="00771FD9" w:rsidRPr="00C26B18">
        <w:rPr>
          <w:rFonts w:cs="Arial"/>
          <w:i/>
          <w:szCs w:val="22"/>
        </w:rPr>
        <w:t>exposure</w:t>
      </w:r>
      <w:r w:rsidR="00D75762" w:rsidRPr="00C26B18">
        <w:rPr>
          <w:rFonts w:cs="Arial"/>
          <w:i/>
          <w:szCs w:val="22"/>
        </w:rPr>
        <w:t xml:space="preserve"> shown in the</w:t>
      </w:r>
      <w:r w:rsidR="00236BA7" w:rsidRPr="00C26B18">
        <w:rPr>
          <w:rFonts w:cs="Arial"/>
          <w:i/>
          <w:szCs w:val="22"/>
        </w:rPr>
        <w:t xml:space="preserve"> left-hand panel</w:t>
      </w:r>
      <w:r w:rsidR="00771FD9" w:rsidRPr="00C26B18">
        <w:rPr>
          <w:rFonts w:cs="Arial"/>
          <w:i/>
          <w:szCs w:val="22"/>
        </w:rPr>
        <w:t xml:space="preserve"> in the </w:t>
      </w:r>
      <w:r w:rsidR="00F206BF" w:rsidRPr="00C26B18">
        <w:rPr>
          <w:rFonts w:cs="Arial"/>
          <w:i/>
          <w:szCs w:val="22"/>
        </w:rPr>
        <w:t>Reef</w:t>
      </w:r>
      <w:r w:rsidR="00771FD9" w:rsidRPr="00C26B18">
        <w:rPr>
          <w:rFonts w:cs="Arial"/>
          <w:i/>
          <w:szCs w:val="22"/>
        </w:rPr>
        <w:t xml:space="preserve"> from </w:t>
      </w:r>
      <w:r w:rsidR="00771FD9" w:rsidRPr="00C26B18">
        <w:rPr>
          <w:rFonts w:cs="Arial"/>
          <w:i/>
          <w:color w:val="000000" w:themeColor="text1"/>
          <w:szCs w:val="22"/>
        </w:rPr>
        <w:t xml:space="preserve">December </w:t>
      </w:r>
      <w:r w:rsidR="005F2E04" w:rsidRPr="00C26B18">
        <w:rPr>
          <w:rFonts w:cs="Arial"/>
          <w:i/>
          <w:color w:val="000000" w:themeColor="text1"/>
          <w:szCs w:val="22"/>
        </w:rPr>
        <w:t>201</w:t>
      </w:r>
      <w:r w:rsidR="00A359BD" w:rsidRPr="00C26B18">
        <w:rPr>
          <w:rFonts w:cs="Arial"/>
          <w:i/>
          <w:color w:val="000000" w:themeColor="text1"/>
          <w:szCs w:val="22"/>
        </w:rPr>
        <w:t>8</w:t>
      </w:r>
      <w:r w:rsidR="005F2E04" w:rsidRPr="00C26B18">
        <w:rPr>
          <w:rFonts w:cs="Arial"/>
          <w:i/>
          <w:color w:val="000000" w:themeColor="text1"/>
          <w:szCs w:val="22"/>
        </w:rPr>
        <w:t xml:space="preserve"> </w:t>
      </w:r>
      <w:r w:rsidR="00771FD9" w:rsidRPr="00C26B18">
        <w:rPr>
          <w:rFonts w:cs="Arial"/>
          <w:i/>
          <w:color w:val="000000" w:themeColor="text1"/>
          <w:szCs w:val="22"/>
        </w:rPr>
        <w:t>to April 201</w:t>
      </w:r>
      <w:bookmarkEnd w:id="192"/>
      <w:r w:rsidR="00A359BD" w:rsidRPr="00C26B18">
        <w:rPr>
          <w:rFonts w:cs="Arial"/>
          <w:i/>
          <w:color w:val="000000" w:themeColor="text1"/>
          <w:szCs w:val="22"/>
        </w:rPr>
        <w:t>9</w:t>
      </w:r>
      <w:r w:rsidR="00A76569">
        <w:rPr>
          <w:rFonts w:cs="Arial"/>
          <w:i/>
          <w:color w:val="000000" w:themeColor="text1"/>
          <w:szCs w:val="22"/>
        </w:rPr>
        <w:t xml:space="preserve"> </w:t>
      </w:r>
      <w:r w:rsidR="00771FD9" w:rsidRPr="00C26B18">
        <w:rPr>
          <w:rFonts w:cs="Arial"/>
          <w:i/>
          <w:szCs w:val="22"/>
        </w:rPr>
        <w:t>ranging from frequency of 1 (</w:t>
      </w:r>
      <w:r w:rsidR="005F2E04" w:rsidRPr="00C26B18">
        <w:rPr>
          <w:rFonts w:cs="Arial"/>
          <w:i/>
          <w:szCs w:val="22"/>
        </w:rPr>
        <w:t>orange</w:t>
      </w:r>
      <w:r w:rsidR="00771FD9" w:rsidRPr="00C26B18">
        <w:rPr>
          <w:rFonts w:cs="Arial"/>
          <w:i/>
          <w:szCs w:val="22"/>
        </w:rPr>
        <w:t>, always exposed) to 0 (</w:t>
      </w:r>
      <w:r w:rsidR="00B52DB6" w:rsidRPr="00C26B18">
        <w:rPr>
          <w:rFonts w:cs="Arial"/>
          <w:i/>
          <w:szCs w:val="22"/>
        </w:rPr>
        <w:t>pale</w:t>
      </w:r>
      <w:r w:rsidR="005F2E04" w:rsidRPr="00C26B18">
        <w:rPr>
          <w:rFonts w:cs="Arial"/>
          <w:i/>
          <w:szCs w:val="22"/>
        </w:rPr>
        <w:t xml:space="preserve"> </w:t>
      </w:r>
      <w:r w:rsidR="00771FD9" w:rsidRPr="00C26B18">
        <w:rPr>
          <w:rFonts w:cs="Arial"/>
          <w:i/>
          <w:szCs w:val="22"/>
        </w:rPr>
        <w:t>blue, never exposed)</w:t>
      </w:r>
      <w:r w:rsidR="008D1166" w:rsidRPr="00C26B18">
        <w:rPr>
          <w:rFonts w:cs="Arial"/>
          <w:i/>
          <w:szCs w:val="22"/>
        </w:rPr>
        <w:t xml:space="preserve">, and </w:t>
      </w:r>
      <w:r w:rsidR="00236BA7" w:rsidRPr="00C26B18">
        <w:rPr>
          <w:rFonts w:cs="Arial"/>
          <w:i/>
          <w:szCs w:val="22"/>
        </w:rPr>
        <w:t>right</w:t>
      </w:r>
      <w:r w:rsidR="00F63FDB" w:rsidRPr="00C26B18">
        <w:rPr>
          <w:rFonts w:cs="Arial"/>
          <w:i/>
          <w:szCs w:val="22"/>
        </w:rPr>
        <w:t xml:space="preserve">-hand </w:t>
      </w:r>
      <w:r w:rsidR="00236BA7" w:rsidRPr="00C26B18">
        <w:rPr>
          <w:rFonts w:cs="Arial"/>
          <w:i/>
          <w:szCs w:val="22"/>
        </w:rPr>
        <w:t xml:space="preserve">panel </w:t>
      </w:r>
      <w:r w:rsidR="008D1166" w:rsidRPr="00C26B18">
        <w:rPr>
          <w:rFonts w:cs="Arial"/>
          <w:i/>
          <w:szCs w:val="22"/>
        </w:rPr>
        <w:t>the plume extent (10</w:t>
      </w:r>
      <w:r w:rsidR="003C311A">
        <w:rPr>
          <w:rFonts w:cs="Arial"/>
          <w:i/>
          <w:szCs w:val="22"/>
        </w:rPr>
        <w:t xml:space="preserve">% </w:t>
      </w:r>
      <w:r w:rsidR="008D1166" w:rsidRPr="00C26B18">
        <w:rPr>
          <w:rFonts w:cs="Arial"/>
          <w:i/>
          <w:szCs w:val="22"/>
        </w:rPr>
        <w:t xml:space="preserve">boundary) in </w:t>
      </w:r>
      <w:r w:rsidR="003654C6" w:rsidRPr="00C26B18">
        <w:rPr>
          <w:rFonts w:cs="Arial"/>
          <w:i/>
          <w:szCs w:val="22"/>
        </w:rPr>
        <w:t>201</w:t>
      </w:r>
      <w:r w:rsidR="00A359BD" w:rsidRPr="00C26B18">
        <w:rPr>
          <w:rFonts w:cs="Arial"/>
          <w:i/>
          <w:szCs w:val="22"/>
        </w:rPr>
        <w:t>8</w:t>
      </w:r>
      <w:r w:rsidR="003654C6" w:rsidRPr="00C26B18">
        <w:rPr>
          <w:rFonts w:cs="Arial"/>
          <w:i/>
          <w:szCs w:val="22"/>
        </w:rPr>
        <w:t>–1</w:t>
      </w:r>
      <w:r w:rsidR="00A359BD" w:rsidRPr="00C26B18">
        <w:rPr>
          <w:rFonts w:cs="Arial"/>
          <w:i/>
          <w:szCs w:val="22"/>
        </w:rPr>
        <w:t>9</w:t>
      </w:r>
      <w:r w:rsidR="008D1166" w:rsidRPr="00C26B18">
        <w:rPr>
          <w:rFonts w:cs="Arial"/>
          <w:i/>
          <w:szCs w:val="22"/>
        </w:rPr>
        <w:t xml:space="preserve"> relative to the long-term average, with red showing that plumes extended further in </w:t>
      </w:r>
      <w:r w:rsidR="003654C6" w:rsidRPr="00C26B18">
        <w:rPr>
          <w:rFonts w:cs="Arial"/>
          <w:i/>
          <w:szCs w:val="22"/>
        </w:rPr>
        <w:t>201</w:t>
      </w:r>
      <w:r w:rsidR="00A359BD" w:rsidRPr="00C26B18">
        <w:rPr>
          <w:rFonts w:cs="Arial"/>
          <w:i/>
          <w:szCs w:val="22"/>
        </w:rPr>
        <w:t>8</w:t>
      </w:r>
      <w:r w:rsidR="003654C6" w:rsidRPr="00C26B18">
        <w:rPr>
          <w:rFonts w:cs="Arial"/>
          <w:i/>
          <w:szCs w:val="22"/>
        </w:rPr>
        <w:t>–1</w:t>
      </w:r>
      <w:r w:rsidR="00A359BD" w:rsidRPr="00C26B18">
        <w:rPr>
          <w:rFonts w:cs="Arial"/>
          <w:i/>
          <w:szCs w:val="22"/>
        </w:rPr>
        <w:t>9</w:t>
      </w:r>
      <w:r w:rsidR="008D1166" w:rsidRPr="00C26B18">
        <w:rPr>
          <w:rFonts w:cs="Arial"/>
          <w:i/>
          <w:szCs w:val="22"/>
        </w:rPr>
        <w:t xml:space="preserve"> and </w:t>
      </w:r>
      <w:r w:rsidR="001A19DE">
        <w:rPr>
          <w:rFonts w:cs="Arial"/>
          <w:i/>
          <w:szCs w:val="22"/>
        </w:rPr>
        <w:t>green</w:t>
      </w:r>
      <w:r w:rsidR="001A19DE" w:rsidRPr="00C26B18">
        <w:rPr>
          <w:rFonts w:cs="Arial"/>
          <w:i/>
          <w:szCs w:val="22"/>
        </w:rPr>
        <w:t xml:space="preserve"> </w:t>
      </w:r>
      <w:r w:rsidR="008D1166" w:rsidRPr="00C26B18">
        <w:rPr>
          <w:rFonts w:cs="Arial"/>
          <w:i/>
          <w:szCs w:val="22"/>
        </w:rPr>
        <w:t>showing they did not extend as far</w:t>
      </w:r>
      <w:r w:rsidRPr="00C26B18">
        <w:rPr>
          <w:rFonts w:cs="Arial"/>
          <w:i/>
          <w:szCs w:val="22"/>
        </w:rPr>
        <w:t>;</w:t>
      </w:r>
      <w:r w:rsidR="008D1166" w:rsidRPr="00C26B18">
        <w:rPr>
          <w:rFonts w:cs="Arial"/>
          <w:i/>
          <w:szCs w:val="22"/>
        </w:rPr>
        <w:t xml:space="preserve"> b. within canopy daily light for all sites, and the deviation in daily light relative to the long-term average</w:t>
      </w:r>
      <w:r w:rsidRPr="00C26B18">
        <w:rPr>
          <w:rFonts w:cs="Arial"/>
          <w:i/>
          <w:szCs w:val="22"/>
        </w:rPr>
        <w:t>;</w:t>
      </w:r>
      <w:r w:rsidR="008D1166" w:rsidRPr="00C26B18">
        <w:rPr>
          <w:rFonts w:cs="Arial"/>
          <w:i/>
          <w:szCs w:val="22"/>
        </w:rPr>
        <w:t xml:space="preserve"> and c. within canopy water temperature, and deviation water temperature from the long-term average. </w:t>
      </w:r>
    </w:p>
    <w:p w14:paraId="3390CC00" w14:textId="77777777" w:rsidR="00676391" w:rsidRDefault="00676391" w:rsidP="00E742E9">
      <w:pPr>
        <w:rPr>
          <w:rFonts w:cs="Arial"/>
          <w:color w:val="000000" w:themeColor="text1"/>
          <w:szCs w:val="22"/>
          <w:lang w:val="en-GB"/>
        </w:rPr>
      </w:pPr>
    </w:p>
    <w:p w14:paraId="29573443" w14:textId="7E4D0738" w:rsidR="00676391" w:rsidRDefault="00676391" w:rsidP="00676391">
      <w:pPr>
        <w:rPr>
          <w:rFonts w:cs="Arial"/>
          <w:color w:val="000000" w:themeColor="text1"/>
          <w:szCs w:val="22"/>
          <w:lang w:val="en-GB"/>
        </w:rPr>
      </w:pPr>
      <w:r w:rsidRPr="00C26B18">
        <w:rPr>
          <w:rFonts w:cs="Arial"/>
          <w:szCs w:val="22"/>
          <w:lang w:val="en-GB"/>
        </w:rPr>
        <w:t>River plumes</w:t>
      </w:r>
      <w:r>
        <w:rPr>
          <w:rFonts w:cs="Arial"/>
          <w:szCs w:val="22"/>
          <w:lang w:val="en-GB"/>
        </w:rPr>
        <w:t xml:space="preserve"> reached all seagrass locations in 2018</w:t>
      </w:r>
      <w:r w:rsidRPr="00C26B18">
        <w:rPr>
          <w:rFonts w:cs="Arial"/>
          <w:szCs w:val="22"/>
          <w:lang w:val="en-GB"/>
        </w:rPr>
        <w:t>–</w:t>
      </w:r>
      <w:r>
        <w:rPr>
          <w:rFonts w:cs="Arial"/>
          <w:szCs w:val="22"/>
          <w:lang w:val="en-GB"/>
        </w:rPr>
        <w:t>19 as is characteristic of inshore conditions over the long-term (2003</w:t>
      </w:r>
      <w:r w:rsidRPr="00C26B18">
        <w:rPr>
          <w:rFonts w:cs="Arial"/>
          <w:szCs w:val="22"/>
          <w:lang w:val="en-GB"/>
        </w:rPr>
        <w:t>–</w:t>
      </w:r>
      <w:r>
        <w:rPr>
          <w:rFonts w:cs="Arial"/>
          <w:szCs w:val="22"/>
          <w:lang w:val="en-GB"/>
        </w:rPr>
        <w:t xml:space="preserve">18, </w:t>
      </w:r>
      <w:r>
        <w:rPr>
          <w:rFonts w:cs="Arial"/>
          <w:szCs w:val="22"/>
          <w:lang w:val="en-GB"/>
        </w:rPr>
        <w:fldChar w:fldCharType="begin"/>
      </w:r>
      <w:r>
        <w:rPr>
          <w:rFonts w:cs="Arial"/>
          <w:szCs w:val="22"/>
          <w:lang w:val="en-GB"/>
        </w:rPr>
        <w:instrText xml:space="preserve"> REF _Ref442465513 \h </w:instrText>
      </w:r>
      <w:r>
        <w:rPr>
          <w:rFonts w:cs="Arial"/>
          <w:szCs w:val="22"/>
          <w:lang w:val="en-GB"/>
        </w:rPr>
      </w:r>
      <w:r>
        <w:rPr>
          <w:rFonts w:cs="Arial"/>
          <w:szCs w:val="22"/>
          <w:lang w:val="en-GB"/>
        </w:rPr>
        <w:fldChar w:fldCharType="separate"/>
      </w:r>
      <w:r w:rsidR="0067675D" w:rsidRPr="00C26B18">
        <w:rPr>
          <w:rFonts w:cs="Arial"/>
          <w:szCs w:val="22"/>
        </w:rPr>
        <w:t xml:space="preserve">Figure </w:t>
      </w:r>
      <w:r w:rsidR="0067675D">
        <w:rPr>
          <w:rFonts w:cs="Arial"/>
          <w:noProof/>
          <w:szCs w:val="22"/>
        </w:rPr>
        <w:t>8</w:t>
      </w:r>
      <w:r>
        <w:rPr>
          <w:rFonts w:cs="Arial"/>
          <w:szCs w:val="22"/>
          <w:lang w:val="en-GB"/>
        </w:rPr>
        <w:fldChar w:fldCharType="end"/>
      </w:r>
      <w:r>
        <w:rPr>
          <w:rFonts w:cs="Arial"/>
          <w:szCs w:val="22"/>
          <w:lang w:val="en-GB"/>
        </w:rPr>
        <w:t>). However, river plumes</w:t>
      </w:r>
      <w:r w:rsidRPr="00C26B18">
        <w:rPr>
          <w:rFonts w:cs="Arial"/>
          <w:szCs w:val="22"/>
          <w:lang w:val="en-GB"/>
        </w:rPr>
        <w:t xml:space="preserve"> extended further </w:t>
      </w:r>
      <w:r w:rsidR="00EE26DD">
        <w:rPr>
          <w:rFonts w:cs="Arial"/>
          <w:szCs w:val="22"/>
          <w:lang w:val="en-GB"/>
        </w:rPr>
        <w:t>seaward</w:t>
      </w:r>
      <w:r w:rsidR="00EE26DD" w:rsidRPr="00C26B18">
        <w:rPr>
          <w:rFonts w:cs="Arial"/>
          <w:szCs w:val="22"/>
          <w:lang w:val="en-GB"/>
        </w:rPr>
        <w:t xml:space="preserve"> </w:t>
      </w:r>
      <w:r w:rsidRPr="00C26B18">
        <w:rPr>
          <w:rFonts w:cs="Arial"/>
          <w:szCs w:val="22"/>
          <w:lang w:val="en-GB"/>
        </w:rPr>
        <w:t>(shown in red) than the long-term average</w:t>
      </w:r>
      <w:r>
        <w:rPr>
          <w:rFonts w:cs="Arial"/>
          <w:szCs w:val="22"/>
          <w:lang w:val="en-GB"/>
        </w:rPr>
        <w:t xml:space="preserve"> and well beyond most seagrass monitoring locations </w:t>
      </w:r>
      <w:r w:rsidRPr="00C26B18">
        <w:rPr>
          <w:rFonts w:cs="Arial"/>
          <w:szCs w:val="22"/>
          <w:lang w:val="en-GB"/>
        </w:rPr>
        <w:t>throughout the northern and central GBR</w:t>
      </w:r>
      <w:r>
        <w:rPr>
          <w:rFonts w:cs="Arial"/>
          <w:szCs w:val="22"/>
          <w:lang w:val="en-GB"/>
        </w:rPr>
        <w:t>. This also indicates increased influence of river plumes at seagrass monitoring locations in this reporting period (</w:t>
      </w:r>
      <w:r>
        <w:rPr>
          <w:rFonts w:cs="Arial"/>
          <w:szCs w:val="22"/>
          <w:lang w:val="en-GB"/>
        </w:rPr>
        <w:fldChar w:fldCharType="begin"/>
      </w:r>
      <w:r>
        <w:rPr>
          <w:rFonts w:cs="Arial"/>
          <w:szCs w:val="22"/>
          <w:lang w:val="en-GB"/>
        </w:rPr>
        <w:instrText xml:space="preserve"> REF _Ref442465513 \h </w:instrText>
      </w:r>
      <w:r>
        <w:rPr>
          <w:rFonts w:cs="Arial"/>
          <w:szCs w:val="22"/>
          <w:lang w:val="en-GB"/>
        </w:rPr>
      </w:r>
      <w:r>
        <w:rPr>
          <w:rFonts w:cs="Arial"/>
          <w:szCs w:val="22"/>
          <w:lang w:val="en-GB"/>
        </w:rPr>
        <w:fldChar w:fldCharType="separate"/>
      </w:r>
      <w:r w:rsidR="0067675D" w:rsidRPr="00C26B18">
        <w:rPr>
          <w:rFonts w:cs="Arial"/>
          <w:szCs w:val="22"/>
        </w:rPr>
        <w:t xml:space="preserve">Figure </w:t>
      </w:r>
      <w:r w:rsidR="0067675D">
        <w:rPr>
          <w:rFonts w:cs="Arial"/>
          <w:noProof/>
          <w:szCs w:val="22"/>
        </w:rPr>
        <w:t>8</w:t>
      </w:r>
      <w:r>
        <w:rPr>
          <w:rFonts w:cs="Arial"/>
          <w:szCs w:val="22"/>
          <w:lang w:val="en-GB"/>
        </w:rPr>
        <w:fldChar w:fldCharType="end"/>
      </w:r>
      <w:r>
        <w:rPr>
          <w:rFonts w:cs="Arial"/>
          <w:szCs w:val="22"/>
          <w:lang w:val="en-GB"/>
        </w:rPr>
        <w:t xml:space="preserve">). River plumes </w:t>
      </w:r>
      <w:r w:rsidRPr="00C26B18">
        <w:rPr>
          <w:rFonts w:cs="Arial"/>
          <w:szCs w:val="22"/>
          <w:lang w:val="en-GB"/>
        </w:rPr>
        <w:t xml:space="preserve">extended less </w:t>
      </w:r>
      <w:r w:rsidR="00111C0B">
        <w:rPr>
          <w:rFonts w:cs="Arial"/>
          <w:szCs w:val="22"/>
          <w:lang w:val="en-GB"/>
        </w:rPr>
        <w:t>far seaward</w:t>
      </w:r>
      <w:r w:rsidRPr="00C26B18">
        <w:rPr>
          <w:rFonts w:cs="Arial"/>
          <w:szCs w:val="22"/>
          <w:lang w:val="en-GB"/>
        </w:rPr>
        <w:t xml:space="preserve"> in the southern GBR (shown in green)</w:t>
      </w:r>
      <w:r>
        <w:rPr>
          <w:rFonts w:cs="Arial"/>
          <w:szCs w:val="22"/>
          <w:lang w:val="en-GB"/>
        </w:rPr>
        <w:t>, which is indicative of lower influence of river plumes</w:t>
      </w:r>
      <w:r w:rsidRPr="00C26B18">
        <w:rPr>
          <w:rFonts w:cs="Arial"/>
          <w:szCs w:val="22"/>
          <w:lang w:val="en-GB"/>
        </w:rPr>
        <w:t xml:space="preserve"> (</w:t>
      </w:r>
      <w:r w:rsidRPr="00C26B18">
        <w:rPr>
          <w:rFonts w:cs="Arial"/>
          <w:szCs w:val="22"/>
          <w:lang w:val="en-GB"/>
        </w:rPr>
        <w:fldChar w:fldCharType="begin"/>
      </w:r>
      <w:r w:rsidRPr="00C26B18">
        <w:rPr>
          <w:rFonts w:cs="Arial"/>
          <w:szCs w:val="22"/>
          <w:lang w:val="en-GB"/>
        </w:rPr>
        <w:instrText xml:space="preserve"> REF _Ref442465513 \h  \* MERGEFORMAT </w:instrText>
      </w:r>
      <w:r w:rsidRPr="00C26B18">
        <w:rPr>
          <w:rFonts w:cs="Arial"/>
          <w:szCs w:val="22"/>
          <w:lang w:val="en-GB"/>
        </w:rPr>
      </w:r>
      <w:r w:rsidRPr="00C26B18">
        <w:rPr>
          <w:rFonts w:cs="Arial"/>
          <w:szCs w:val="22"/>
          <w:lang w:val="en-GB"/>
        </w:rPr>
        <w:fldChar w:fldCharType="separate"/>
      </w:r>
      <w:r w:rsidR="0067675D" w:rsidRPr="00C26B18">
        <w:rPr>
          <w:rFonts w:cs="Arial"/>
          <w:szCs w:val="22"/>
        </w:rPr>
        <w:t xml:space="preserve">Figure </w:t>
      </w:r>
      <w:r w:rsidR="0067675D">
        <w:rPr>
          <w:rFonts w:cs="Arial"/>
          <w:noProof/>
          <w:szCs w:val="22"/>
        </w:rPr>
        <w:t>8</w:t>
      </w:r>
      <w:r w:rsidRPr="00C26B18">
        <w:rPr>
          <w:rFonts w:cs="Arial"/>
          <w:szCs w:val="22"/>
          <w:lang w:val="en-GB"/>
        </w:rPr>
        <w:fldChar w:fldCharType="end"/>
      </w:r>
      <w:r w:rsidRPr="00C26B18">
        <w:rPr>
          <w:rFonts w:cs="Arial"/>
          <w:szCs w:val="22"/>
          <w:lang w:val="en-GB"/>
        </w:rPr>
        <w:t>, panel 2).</w:t>
      </w:r>
    </w:p>
    <w:p w14:paraId="2FC0FA4A" w14:textId="4CA5682F" w:rsidR="00283D91" w:rsidRPr="00C26B18" w:rsidRDefault="002D2818" w:rsidP="00E742E9">
      <w:pPr>
        <w:rPr>
          <w:rFonts w:cs="Arial"/>
          <w:color w:val="000000" w:themeColor="text1"/>
          <w:szCs w:val="22"/>
          <w:lang w:val="en-GB"/>
        </w:rPr>
      </w:pPr>
      <w:r w:rsidRPr="00C26B18">
        <w:rPr>
          <w:rFonts w:cs="Arial"/>
          <w:color w:val="000000" w:themeColor="text1"/>
          <w:szCs w:val="22"/>
          <w:lang w:val="en-GB"/>
        </w:rPr>
        <w:t xml:space="preserve">The frequency of exposure to colour classes 1 to 4 (‘brown’ turbid water) during the wet season weeks </w:t>
      </w:r>
      <w:r w:rsidR="00BC3AAD" w:rsidRPr="00C26B18">
        <w:rPr>
          <w:rFonts w:cs="Arial"/>
          <w:color w:val="000000" w:themeColor="text1"/>
          <w:szCs w:val="22"/>
          <w:lang w:val="en-GB"/>
        </w:rPr>
        <w:t>(December 201</w:t>
      </w:r>
      <w:r w:rsidR="00DB7D3D">
        <w:rPr>
          <w:rFonts w:cs="Arial"/>
          <w:color w:val="000000" w:themeColor="text1"/>
          <w:szCs w:val="22"/>
          <w:lang w:val="en-GB"/>
        </w:rPr>
        <w:t>8</w:t>
      </w:r>
      <w:r w:rsidR="00534511" w:rsidRPr="00C26B18">
        <w:rPr>
          <w:rFonts w:cs="Arial"/>
          <w:i/>
          <w:szCs w:val="22"/>
        </w:rPr>
        <w:t>–</w:t>
      </w:r>
      <w:r w:rsidR="00BC3AAD" w:rsidRPr="00C26B18">
        <w:rPr>
          <w:rFonts w:cs="Arial"/>
          <w:color w:val="000000" w:themeColor="text1"/>
          <w:szCs w:val="22"/>
          <w:lang w:val="en-GB"/>
        </w:rPr>
        <w:t>April 201</w:t>
      </w:r>
      <w:r w:rsidR="00DB7D3D">
        <w:rPr>
          <w:rFonts w:cs="Arial"/>
          <w:color w:val="000000" w:themeColor="text1"/>
          <w:szCs w:val="22"/>
          <w:lang w:val="en-GB"/>
        </w:rPr>
        <w:t>9</w:t>
      </w:r>
      <w:r w:rsidR="00BC3AAD" w:rsidRPr="00C26B18">
        <w:rPr>
          <w:rFonts w:cs="Arial"/>
          <w:color w:val="000000" w:themeColor="text1"/>
          <w:szCs w:val="22"/>
          <w:lang w:val="en-GB"/>
        </w:rPr>
        <w:t xml:space="preserve">) </w:t>
      </w:r>
      <w:r w:rsidR="00534511">
        <w:rPr>
          <w:rFonts w:cs="Arial"/>
          <w:color w:val="000000" w:themeColor="text1"/>
          <w:szCs w:val="22"/>
          <w:lang w:val="en-GB"/>
        </w:rPr>
        <w:t xml:space="preserve">is typically very high in the inshore regions of the Reef, but </w:t>
      </w:r>
      <w:r w:rsidRPr="00C26B18">
        <w:rPr>
          <w:rFonts w:cs="Arial"/>
          <w:color w:val="000000" w:themeColor="text1"/>
          <w:szCs w:val="22"/>
          <w:lang w:val="en-GB"/>
        </w:rPr>
        <w:t xml:space="preserve">was </w:t>
      </w:r>
      <w:r w:rsidR="005B1F00">
        <w:rPr>
          <w:rFonts w:cs="Arial"/>
          <w:color w:val="000000" w:themeColor="text1"/>
          <w:szCs w:val="22"/>
          <w:lang w:val="en-GB"/>
        </w:rPr>
        <w:t>marginally</w:t>
      </w:r>
      <w:r w:rsidR="00CF223A">
        <w:rPr>
          <w:rFonts w:cs="Arial"/>
          <w:color w:val="000000" w:themeColor="text1"/>
          <w:szCs w:val="22"/>
          <w:lang w:val="en-GB"/>
        </w:rPr>
        <w:t xml:space="preserve"> </w:t>
      </w:r>
      <w:r w:rsidR="00F22676" w:rsidRPr="00C26B18">
        <w:rPr>
          <w:rFonts w:cs="Arial"/>
          <w:color w:val="000000" w:themeColor="text1"/>
          <w:szCs w:val="22"/>
          <w:lang w:val="en-GB"/>
        </w:rPr>
        <w:t>above</w:t>
      </w:r>
      <w:r w:rsidRPr="00C26B18">
        <w:rPr>
          <w:rFonts w:cs="Arial"/>
          <w:color w:val="000000" w:themeColor="text1"/>
          <w:szCs w:val="22"/>
          <w:lang w:val="en-GB"/>
        </w:rPr>
        <w:t xml:space="preserve"> multiannual conditions in all </w:t>
      </w:r>
      <w:r w:rsidR="001A0665" w:rsidRPr="00C26B18">
        <w:rPr>
          <w:rFonts w:cs="Arial"/>
          <w:color w:val="000000" w:themeColor="text1"/>
          <w:szCs w:val="22"/>
          <w:lang w:val="en-GB"/>
        </w:rPr>
        <w:t>regions</w:t>
      </w:r>
      <w:r w:rsidRPr="00C26B18">
        <w:rPr>
          <w:rFonts w:cs="Arial"/>
          <w:color w:val="000000" w:themeColor="text1"/>
          <w:szCs w:val="22"/>
          <w:lang w:val="en-GB"/>
        </w:rPr>
        <w:t xml:space="preserve"> except the </w:t>
      </w:r>
      <w:r w:rsidR="00F22676" w:rsidRPr="00C26B18">
        <w:rPr>
          <w:rFonts w:cs="Arial"/>
          <w:color w:val="000000" w:themeColor="text1"/>
          <w:szCs w:val="22"/>
          <w:lang w:val="en-GB"/>
        </w:rPr>
        <w:t xml:space="preserve">Fitzroy and </w:t>
      </w:r>
      <w:r w:rsidR="00B72AC4">
        <w:rPr>
          <w:rFonts w:cs="Arial"/>
          <w:color w:val="000000" w:themeColor="text1"/>
          <w:szCs w:val="22"/>
          <w:lang w:val="en-GB"/>
        </w:rPr>
        <w:t>Burnett–Mary</w:t>
      </w:r>
      <w:r w:rsidR="00F22676" w:rsidRPr="00C26B18">
        <w:rPr>
          <w:rFonts w:cs="Arial"/>
          <w:color w:val="000000" w:themeColor="text1"/>
          <w:szCs w:val="22"/>
          <w:lang w:val="en-GB"/>
        </w:rPr>
        <w:t xml:space="preserve"> regions</w:t>
      </w:r>
      <w:r w:rsidR="00283D91" w:rsidRPr="00C26B18">
        <w:rPr>
          <w:rFonts w:cs="Arial"/>
          <w:color w:val="000000" w:themeColor="text1"/>
          <w:szCs w:val="22"/>
          <w:lang w:val="en-GB"/>
        </w:rPr>
        <w:t xml:space="preserve"> (</w:t>
      </w:r>
      <w:r w:rsidR="00283D91" w:rsidRPr="00C26B18">
        <w:rPr>
          <w:rFonts w:cs="Arial"/>
          <w:color w:val="000000" w:themeColor="text1"/>
          <w:szCs w:val="22"/>
          <w:lang w:val="en-GB"/>
        </w:rPr>
        <w:fldChar w:fldCharType="begin"/>
      </w:r>
      <w:r w:rsidR="00283D91" w:rsidRPr="00C26B18">
        <w:rPr>
          <w:rFonts w:cs="Arial"/>
          <w:color w:val="000000" w:themeColor="text1"/>
          <w:szCs w:val="22"/>
          <w:lang w:val="en-GB"/>
        </w:rPr>
        <w:instrText xml:space="preserve"> REF _Ref507596879 \h </w:instrText>
      </w:r>
      <w:r w:rsidR="00580DDA" w:rsidRPr="00C26B18">
        <w:rPr>
          <w:rFonts w:cs="Arial"/>
          <w:color w:val="000000" w:themeColor="text1"/>
          <w:szCs w:val="22"/>
          <w:lang w:val="en-GB"/>
        </w:rPr>
        <w:instrText xml:space="preserve"> \* MERGEFORMAT </w:instrText>
      </w:r>
      <w:r w:rsidR="00283D91" w:rsidRPr="00C26B18">
        <w:rPr>
          <w:rFonts w:cs="Arial"/>
          <w:color w:val="000000" w:themeColor="text1"/>
          <w:szCs w:val="22"/>
          <w:lang w:val="en-GB"/>
        </w:rPr>
      </w:r>
      <w:r w:rsidR="00283D91" w:rsidRPr="00C26B18">
        <w:rPr>
          <w:rFonts w:cs="Arial"/>
          <w:color w:val="000000" w:themeColor="text1"/>
          <w:szCs w:val="22"/>
          <w:lang w:val="en-GB"/>
        </w:rPr>
        <w:fldChar w:fldCharType="separate"/>
      </w:r>
      <w:r w:rsidR="0067675D" w:rsidRPr="0067675D">
        <w:rPr>
          <w:rFonts w:cs="Arial"/>
          <w:color w:val="000000" w:themeColor="text1"/>
          <w:szCs w:val="22"/>
        </w:rPr>
        <w:t xml:space="preserve">Figure </w:t>
      </w:r>
      <w:r w:rsidR="0067675D" w:rsidRPr="0067675D">
        <w:rPr>
          <w:rFonts w:cs="Arial"/>
          <w:noProof/>
          <w:color w:val="000000" w:themeColor="text1"/>
          <w:szCs w:val="22"/>
        </w:rPr>
        <w:t>9</w:t>
      </w:r>
      <w:r w:rsidR="00283D91" w:rsidRPr="00C26B18">
        <w:rPr>
          <w:rFonts w:cs="Arial"/>
          <w:color w:val="000000" w:themeColor="text1"/>
          <w:szCs w:val="22"/>
          <w:lang w:val="en-GB"/>
        </w:rPr>
        <w:fldChar w:fldCharType="end"/>
      </w:r>
      <w:r w:rsidR="00283D91" w:rsidRPr="00C26B18">
        <w:rPr>
          <w:rFonts w:cs="Arial"/>
          <w:color w:val="000000" w:themeColor="text1"/>
          <w:szCs w:val="22"/>
          <w:lang w:val="en-GB"/>
        </w:rPr>
        <w:t>)</w:t>
      </w:r>
      <w:r w:rsidRPr="00C26B18">
        <w:rPr>
          <w:rFonts w:cs="Arial"/>
          <w:color w:val="000000" w:themeColor="text1"/>
          <w:szCs w:val="22"/>
          <w:lang w:val="en-GB"/>
        </w:rPr>
        <w:t xml:space="preserve">. </w:t>
      </w:r>
      <w:r w:rsidR="00AD6AFB" w:rsidRPr="00C26B18">
        <w:rPr>
          <w:rFonts w:cs="Arial"/>
          <w:color w:val="000000" w:themeColor="text1"/>
          <w:szCs w:val="22"/>
          <w:lang w:val="en-GB"/>
        </w:rPr>
        <w:t>T</w:t>
      </w:r>
      <w:r w:rsidRPr="00C26B18">
        <w:rPr>
          <w:rFonts w:cs="Arial"/>
          <w:color w:val="000000" w:themeColor="text1"/>
          <w:szCs w:val="22"/>
          <w:lang w:val="en-GB"/>
        </w:rPr>
        <w:t xml:space="preserve">he frequency of exposure </w:t>
      </w:r>
      <w:r w:rsidR="00AD6AFB" w:rsidRPr="00C26B18">
        <w:rPr>
          <w:rFonts w:cs="Arial"/>
          <w:color w:val="000000" w:themeColor="text1"/>
          <w:szCs w:val="22"/>
          <w:lang w:val="en-GB"/>
        </w:rPr>
        <w:t>to</w:t>
      </w:r>
      <w:r w:rsidRPr="00C26B18">
        <w:rPr>
          <w:rFonts w:cs="Arial"/>
          <w:color w:val="000000" w:themeColor="text1"/>
          <w:szCs w:val="22"/>
          <w:lang w:val="en-GB"/>
        </w:rPr>
        <w:t xml:space="preserve"> colour class</w:t>
      </w:r>
      <w:r w:rsidR="00283D91" w:rsidRPr="00C26B18">
        <w:rPr>
          <w:rFonts w:cs="Arial"/>
          <w:color w:val="000000" w:themeColor="text1"/>
          <w:szCs w:val="22"/>
          <w:lang w:val="en-GB"/>
        </w:rPr>
        <w:t>es</w:t>
      </w:r>
      <w:r w:rsidRPr="00C26B18">
        <w:rPr>
          <w:rFonts w:cs="Arial"/>
          <w:color w:val="000000" w:themeColor="text1"/>
          <w:szCs w:val="22"/>
          <w:lang w:val="en-GB"/>
        </w:rPr>
        <w:t xml:space="preserve"> </w:t>
      </w:r>
      <w:r w:rsidR="00AD6AFB" w:rsidRPr="00C26B18">
        <w:rPr>
          <w:rFonts w:cs="Arial"/>
          <w:color w:val="000000" w:themeColor="text1"/>
          <w:szCs w:val="22"/>
          <w:lang w:val="en-GB"/>
        </w:rPr>
        <w:t xml:space="preserve">1 to </w:t>
      </w:r>
      <w:r w:rsidRPr="00C26B18">
        <w:rPr>
          <w:rFonts w:cs="Arial"/>
          <w:color w:val="000000" w:themeColor="text1"/>
          <w:szCs w:val="22"/>
          <w:lang w:val="en-GB"/>
        </w:rPr>
        <w:t xml:space="preserve">5 </w:t>
      </w:r>
      <w:r w:rsidR="00474831" w:rsidRPr="00C26B18">
        <w:rPr>
          <w:rFonts w:cs="Arial"/>
          <w:color w:val="000000" w:themeColor="text1"/>
          <w:szCs w:val="22"/>
          <w:lang w:val="en-GB"/>
        </w:rPr>
        <w:t>(</w:t>
      </w:r>
      <w:r w:rsidR="00AD6AFB" w:rsidRPr="00C26B18">
        <w:rPr>
          <w:rFonts w:cs="Arial"/>
          <w:color w:val="000000" w:themeColor="text1"/>
          <w:szCs w:val="22"/>
          <w:lang w:val="en-GB"/>
        </w:rPr>
        <w:t xml:space="preserve">including </w:t>
      </w:r>
      <w:r w:rsidRPr="00C26B18">
        <w:rPr>
          <w:rFonts w:cs="Arial"/>
          <w:color w:val="000000" w:themeColor="text1"/>
          <w:szCs w:val="22"/>
          <w:lang w:val="en-GB"/>
        </w:rPr>
        <w:t>‘green’ turbid</w:t>
      </w:r>
      <w:r w:rsidR="00AD6AFB" w:rsidRPr="00C26B18">
        <w:rPr>
          <w:rFonts w:cs="Arial"/>
          <w:color w:val="000000" w:themeColor="text1"/>
          <w:szCs w:val="22"/>
          <w:lang w:val="en-GB"/>
        </w:rPr>
        <w:t xml:space="preserve"> water</w:t>
      </w:r>
      <w:r w:rsidR="00474831" w:rsidRPr="00C26B18">
        <w:rPr>
          <w:rFonts w:cs="Arial"/>
          <w:color w:val="000000" w:themeColor="text1"/>
          <w:szCs w:val="22"/>
          <w:lang w:val="en-GB"/>
        </w:rPr>
        <w:t>)</w:t>
      </w:r>
      <w:r w:rsidR="00283D91" w:rsidRPr="00C26B18">
        <w:rPr>
          <w:rFonts w:cs="Arial"/>
          <w:color w:val="000000" w:themeColor="text1"/>
          <w:szCs w:val="22"/>
          <w:lang w:val="en-GB"/>
        </w:rPr>
        <w:t>,</w:t>
      </w:r>
      <w:r w:rsidR="001A0665" w:rsidRPr="00C26B18">
        <w:rPr>
          <w:rFonts w:cs="Arial"/>
          <w:color w:val="000000" w:themeColor="text1"/>
          <w:szCs w:val="22"/>
          <w:lang w:val="en-GB"/>
        </w:rPr>
        <w:t xml:space="preserve"> shows that </w:t>
      </w:r>
      <w:r w:rsidR="00F22676" w:rsidRPr="00C26B18">
        <w:rPr>
          <w:rFonts w:cs="Arial"/>
          <w:color w:val="000000" w:themeColor="text1"/>
          <w:szCs w:val="22"/>
          <w:lang w:val="en-GB"/>
        </w:rPr>
        <w:t>all regions were at</w:t>
      </w:r>
      <w:r w:rsidR="0064210A">
        <w:rPr>
          <w:rFonts w:cs="Arial"/>
          <w:color w:val="000000" w:themeColor="text1"/>
          <w:szCs w:val="22"/>
          <w:lang w:val="en-GB"/>
        </w:rPr>
        <w:t>,</w:t>
      </w:r>
      <w:r w:rsidR="00F22676" w:rsidRPr="00C26B18">
        <w:rPr>
          <w:rFonts w:cs="Arial"/>
          <w:color w:val="000000" w:themeColor="text1"/>
          <w:szCs w:val="22"/>
          <w:lang w:val="en-GB"/>
        </w:rPr>
        <w:t xml:space="preserve"> or </w:t>
      </w:r>
      <w:r w:rsidR="00EE26DD">
        <w:rPr>
          <w:rFonts w:cs="Arial"/>
          <w:color w:val="000000" w:themeColor="text1"/>
          <w:szCs w:val="22"/>
          <w:lang w:val="en-GB"/>
        </w:rPr>
        <w:t>marginally</w:t>
      </w:r>
      <w:r w:rsidR="00CF223A">
        <w:rPr>
          <w:rFonts w:cs="Arial"/>
          <w:color w:val="000000" w:themeColor="text1"/>
          <w:szCs w:val="22"/>
          <w:lang w:val="en-GB"/>
        </w:rPr>
        <w:t xml:space="preserve"> </w:t>
      </w:r>
      <w:r w:rsidR="00F22676" w:rsidRPr="00C26B18">
        <w:rPr>
          <w:rFonts w:cs="Arial"/>
          <w:color w:val="000000" w:themeColor="text1"/>
          <w:szCs w:val="22"/>
          <w:lang w:val="en-GB"/>
        </w:rPr>
        <w:t>above</w:t>
      </w:r>
      <w:r w:rsidR="0064210A">
        <w:rPr>
          <w:rFonts w:cs="Arial"/>
          <w:color w:val="000000" w:themeColor="text1"/>
          <w:szCs w:val="22"/>
          <w:lang w:val="en-GB"/>
        </w:rPr>
        <w:t>,</w:t>
      </w:r>
      <w:r w:rsidR="00F22676" w:rsidRPr="00C26B18">
        <w:rPr>
          <w:rFonts w:cs="Arial"/>
          <w:color w:val="000000" w:themeColor="text1"/>
          <w:szCs w:val="22"/>
          <w:lang w:val="en-GB"/>
        </w:rPr>
        <w:t xml:space="preserve"> the multiannual level of exposure. In the Burdekin region, the exposure to classes 1-5 was similar to the long-term average, despite an increase in the exposure to the brown classes (1-4) </w:t>
      </w:r>
      <w:r w:rsidR="00443206" w:rsidRPr="00C26B18">
        <w:rPr>
          <w:rFonts w:cs="Arial"/>
          <w:szCs w:val="22"/>
        </w:rPr>
        <w:t>(</w:t>
      </w:r>
      <w:r w:rsidR="00443206" w:rsidRPr="00C26B18">
        <w:rPr>
          <w:rFonts w:cs="Arial"/>
          <w:szCs w:val="22"/>
        </w:rPr>
        <w:fldChar w:fldCharType="begin"/>
      </w:r>
      <w:r w:rsidR="00443206" w:rsidRPr="00C26B18">
        <w:rPr>
          <w:rFonts w:cs="Arial"/>
          <w:szCs w:val="22"/>
        </w:rPr>
        <w:instrText xml:space="preserve"> REF _Ref442465513 \h </w:instrText>
      </w:r>
      <w:r w:rsidR="00CB093C" w:rsidRPr="00C26B18">
        <w:rPr>
          <w:rFonts w:cs="Arial"/>
          <w:szCs w:val="22"/>
        </w:rPr>
        <w:instrText xml:space="preserve"> \* MERGEFORMAT </w:instrText>
      </w:r>
      <w:r w:rsidR="00443206" w:rsidRPr="00C26B18">
        <w:rPr>
          <w:rFonts w:cs="Arial"/>
          <w:szCs w:val="22"/>
        </w:rPr>
      </w:r>
      <w:r w:rsidR="00443206" w:rsidRPr="00C26B18">
        <w:rPr>
          <w:rFonts w:cs="Arial"/>
          <w:szCs w:val="22"/>
        </w:rPr>
        <w:fldChar w:fldCharType="separate"/>
      </w:r>
      <w:r w:rsidR="0067675D" w:rsidRPr="00C26B18">
        <w:rPr>
          <w:rFonts w:cs="Arial"/>
          <w:szCs w:val="22"/>
        </w:rPr>
        <w:t xml:space="preserve">Figure </w:t>
      </w:r>
      <w:r w:rsidR="0067675D">
        <w:rPr>
          <w:rFonts w:cs="Arial"/>
          <w:noProof/>
          <w:szCs w:val="22"/>
        </w:rPr>
        <w:t>8</w:t>
      </w:r>
      <w:r w:rsidR="00443206" w:rsidRPr="00C26B18">
        <w:rPr>
          <w:rFonts w:cs="Arial"/>
          <w:szCs w:val="22"/>
        </w:rPr>
        <w:fldChar w:fldCharType="end"/>
      </w:r>
      <w:r w:rsidR="00443206" w:rsidRPr="00C26B18">
        <w:rPr>
          <w:rFonts w:cs="Arial"/>
          <w:szCs w:val="22"/>
        </w:rPr>
        <w:t xml:space="preserve">). </w:t>
      </w:r>
    </w:p>
    <w:p w14:paraId="62C2431C" w14:textId="5974A7F6" w:rsidR="00771FD9" w:rsidRPr="00C26B18" w:rsidRDefault="002D2818" w:rsidP="00E742E9">
      <w:pPr>
        <w:jc w:val="center"/>
        <w:rPr>
          <w:rFonts w:cs="Arial"/>
          <w:szCs w:val="22"/>
        </w:rPr>
      </w:pPr>
      <w:r w:rsidRPr="00C26B18">
        <w:rPr>
          <w:rFonts w:cs="Arial"/>
          <w:noProof/>
          <w:szCs w:val="22"/>
          <w:lang w:eastAsia="en-AU"/>
        </w:rPr>
        <w:lastRenderedPageBreak/>
        <w:drawing>
          <wp:inline distT="0" distB="0" distL="0" distR="0" wp14:anchorId="24E27596" wp14:editId="665AD5B4">
            <wp:extent cx="5040000" cy="1827480"/>
            <wp:effectExtent l="0" t="0" r="0" b="0"/>
            <wp:docPr id="101" name="Picture 101" descr="Panel of 2 bar charts showing difference in the frequency of exposure to water colour classes at seagrass monitoring sites during the wet season (December 2018 – April 2019) compared to the long-term multiannual exposure (2003-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exposure deviation 2017-Multi.png"/>
                    <pic:cNvPicPr/>
                  </pic:nvPicPr>
                  <pic:blipFill>
                    <a:blip r:embed="rId63"/>
                    <a:stretch>
                      <a:fillRect/>
                    </a:stretch>
                  </pic:blipFill>
                  <pic:spPr>
                    <a:xfrm>
                      <a:off x="0" y="0"/>
                      <a:ext cx="5040000" cy="1827480"/>
                    </a:xfrm>
                    <a:prstGeom prst="rect">
                      <a:avLst/>
                    </a:prstGeom>
                  </pic:spPr>
                </pic:pic>
              </a:graphicData>
            </a:graphic>
          </wp:inline>
        </w:drawing>
      </w:r>
    </w:p>
    <w:p w14:paraId="6DE9DA65" w14:textId="0FA81412" w:rsidR="00E824B2" w:rsidRPr="00C26B18" w:rsidRDefault="00E824B2" w:rsidP="00297244">
      <w:pPr>
        <w:rPr>
          <w:rFonts w:cs="Arial"/>
          <w:i/>
          <w:szCs w:val="22"/>
        </w:rPr>
      </w:pPr>
      <w:bookmarkStart w:id="193" w:name="_Ref507596879"/>
      <w:bookmarkStart w:id="194" w:name="_Ref3971835"/>
      <w:bookmarkStart w:id="195" w:name="_Toc38634113"/>
      <w:r w:rsidRPr="00C26B18">
        <w:rPr>
          <w:rFonts w:cs="Arial"/>
          <w:szCs w:val="22"/>
        </w:rPr>
        <w:t xml:space="preserve">Figure </w:t>
      </w:r>
      <w:r w:rsidRPr="00C26B18">
        <w:rPr>
          <w:rFonts w:cs="Arial"/>
          <w:szCs w:val="22"/>
        </w:rPr>
        <w:fldChar w:fldCharType="begin"/>
      </w:r>
      <w:r w:rsidRPr="00C26B18">
        <w:rPr>
          <w:rFonts w:cs="Arial"/>
          <w:szCs w:val="22"/>
        </w:rPr>
        <w:instrText xml:space="preserve"> SEQ Figure \* ARABIC </w:instrText>
      </w:r>
      <w:r w:rsidRPr="00C26B18">
        <w:rPr>
          <w:rFonts w:cs="Arial"/>
          <w:szCs w:val="22"/>
        </w:rPr>
        <w:fldChar w:fldCharType="separate"/>
      </w:r>
      <w:r w:rsidR="0067675D">
        <w:rPr>
          <w:rFonts w:cs="Arial"/>
          <w:noProof/>
          <w:szCs w:val="22"/>
        </w:rPr>
        <w:t>9</w:t>
      </w:r>
      <w:r w:rsidRPr="00C26B18">
        <w:rPr>
          <w:rFonts w:cs="Arial"/>
          <w:szCs w:val="22"/>
        </w:rPr>
        <w:fldChar w:fldCharType="end"/>
      </w:r>
      <w:bookmarkEnd w:id="193"/>
      <w:r w:rsidRPr="00C26B18">
        <w:rPr>
          <w:rFonts w:cs="Arial"/>
          <w:szCs w:val="22"/>
        </w:rPr>
        <w:t xml:space="preserve">. </w:t>
      </w:r>
      <w:r w:rsidR="00283D91" w:rsidRPr="00C26B18">
        <w:rPr>
          <w:rFonts w:cs="Arial"/>
          <w:i/>
          <w:szCs w:val="22"/>
        </w:rPr>
        <w:t>Difference in the f</w:t>
      </w:r>
      <w:r w:rsidRPr="00C26B18">
        <w:rPr>
          <w:rFonts w:cs="Arial"/>
          <w:i/>
          <w:szCs w:val="22"/>
        </w:rPr>
        <w:t>requency of exposure to water colour classes</w:t>
      </w:r>
      <w:r w:rsidR="0025552C" w:rsidRPr="00C26B18">
        <w:rPr>
          <w:rFonts w:cs="Arial"/>
          <w:i/>
          <w:szCs w:val="22"/>
        </w:rPr>
        <w:t xml:space="preserve"> </w:t>
      </w:r>
      <w:r w:rsidRPr="00C26B18">
        <w:rPr>
          <w:rFonts w:cs="Arial"/>
          <w:i/>
          <w:szCs w:val="22"/>
        </w:rPr>
        <w:t>1 to 4 (left) and 1 to 5 (right)</w:t>
      </w:r>
      <w:r w:rsidR="002D2818" w:rsidRPr="00C26B18">
        <w:rPr>
          <w:rFonts w:cs="Arial"/>
          <w:i/>
          <w:szCs w:val="22"/>
        </w:rPr>
        <w:t xml:space="preserve"> at seagrass </w:t>
      </w:r>
      <w:r w:rsidR="0025552C" w:rsidRPr="00C26B18">
        <w:rPr>
          <w:rFonts w:cs="Arial"/>
          <w:i/>
          <w:szCs w:val="22"/>
        </w:rPr>
        <w:t xml:space="preserve">monitoring </w:t>
      </w:r>
      <w:r w:rsidR="002D2818" w:rsidRPr="00C26B18">
        <w:rPr>
          <w:rFonts w:cs="Arial"/>
          <w:i/>
          <w:szCs w:val="22"/>
        </w:rPr>
        <w:t>sites during the wet season (</w:t>
      </w:r>
      <w:r w:rsidR="009F7BEA" w:rsidRPr="00C26B18">
        <w:rPr>
          <w:rFonts w:cs="Arial"/>
          <w:i/>
          <w:szCs w:val="22"/>
        </w:rPr>
        <w:t>December</w:t>
      </w:r>
      <w:r w:rsidR="002D2818" w:rsidRPr="00C26B18">
        <w:rPr>
          <w:rFonts w:cs="Arial"/>
          <w:i/>
          <w:szCs w:val="22"/>
        </w:rPr>
        <w:t xml:space="preserve"> 201</w:t>
      </w:r>
      <w:r w:rsidR="00DB7D3D">
        <w:rPr>
          <w:rFonts w:cs="Arial"/>
          <w:i/>
          <w:szCs w:val="22"/>
        </w:rPr>
        <w:t>8</w:t>
      </w:r>
      <w:r w:rsidR="00FD625B" w:rsidRPr="00C26B18">
        <w:rPr>
          <w:rFonts w:cs="Arial"/>
          <w:i/>
          <w:szCs w:val="22"/>
        </w:rPr>
        <w:t>–</w:t>
      </w:r>
      <w:r w:rsidR="002D2818" w:rsidRPr="00C26B18">
        <w:rPr>
          <w:rFonts w:cs="Arial"/>
          <w:i/>
          <w:szCs w:val="22"/>
        </w:rPr>
        <w:t>April 201</w:t>
      </w:r>
      <w:r w:rsidR="00DB7D3D">
        <w:rPr>
          <w:rFonts w:cs="Arial"/>
          <w:i/>
          <w:szCs w:val="22"/>
        </w:rPr>
        <w:t>9</w:t>
      </w:r>
      <w:r w:rsidR="002D2818" w:rsidRPr="00C26B18">
        <w:rPr>
          <w:rFonts w:cs="Arial"/>
          <w:i/>
          <w:szCs w:val="22"/>
        </w:rPr>
        <w:t>)</w:t>
      </w:r>
      <w:r w:rsidR="00283D91" w:rsidRPr="00C26B18">
        <w:rPr>
          <w:rFonts w:cs="Arial"/>
          <w:i/>
          <w:szCs w:val="22"/>
        </w:rPr>
        <w:t xml:space="preserve"> </w:t>
      </w:r>
      <w:r w:rsidR="002D2818" w:rsidRPr="00C26B18">
        <w:rPr>
          <w:rFonts w:cs="Arial"/>
          <w:i/>
          <w:szCs w:val="22"/>
        </w:rPr>
        <w:t>compared to the long-term multiannual exposure (2003</w:t>
      </w:r>
      <w:r w:rsidR="00FD625B" w:rsidRPr="00C26B18">
        <w:rPr>
          <w:rFonts w:cs="Arial"/>
          <w:i/>
          <w:szCs w:val="22"/>
        </w:rPr>
        <w:t>–</w:t>
      </w:r>
      <w:r w:rsidR="002D2818" w:rsidRPr="00C26B18">
        <w:rPr>
          <w:rFonts w:cs="Arial"/>
          <w:i/>
          <w:szCs w:val="22"/>
        </w:rPr>
        <w:t>201</w:t>
      </w:r>
      <w:r w:rsidR="00A76569">
        <w:rPr>
          <w:rFonts w:cs="Arial"/>
          <w:i/>
          <w:szCs w:val="22"/>
        </w:rPr>
        <w:t>8</w:t>
      </w:r>
      <w:r w:rsidR="002D2818" w:rsidRPr="00C26B18">
        <w:rPr>
          <w:rFonts w:cs="Arial"/>
          <w:i/>
          <w:szCs w:val="22"/>
        </w:rPr>
        <w:t>).</w:t>
      </w:r>
      <w:bookmarkEnd w:id="194"/>
      <w:bookmarkEnd w:id="195"/>
    </w:p>
    <w:p w14:paraId="798FE73E" w14:textId="77777777" w:rsidR="004C777E" w:rsidRPr="00C26B18" w:rsidRDefault="004C777E" w:rsidP="00D2585E">
      <w:pPr>
        <w:rPr>
          <w:rFonts w:cs="Arial"/>
          <w:szCs w:val="22"/>
        </w:rPr>
      </w:pPr>
    </w:p>
    <w:p w14:paraId="10D42AF2" w14:textId="77777777" w:rsidR="00D77005" w:rsidRPr="00A37E15" w:rsidRDefault="00D77005" w:rsidP="000150D8">
      <w:pPr>
        <w:pStyle w:val="Heading2"/>
      </w:pPr>
      <w:bookmarkStart w:id="196" w:name="_Toc37775054"/>
      <w:bookmarkStart w:id="197" w:name="_Toc43987029"/>
      <w:r w:rsidRPr="00A37E15">
        <w:t>Daily incident light</w:t>
      </w:r>
      <w:bookmarkEnd w:id="196"/>
      <w:bookmarkEnd w:id="197"/>
      <w:r w:rsidRPr="00A37E15">
        <w:t xml:space="preserve"> </w:t>
      </w:r>
    </w:p>
    <w:p w14:paraId="2633FAED" w14:textId="1E689FD6" w:rsidR="00B96FEB" w:rsidRPr="00C26B18" w:rsidRDefault="00B96FEB" w:rsidP="00B96FEB">
      <w:pPr>
        <w:rPr>
          <w:rFonts w:cs="Arial"/>
          <w:color w:val="000000" w:themeColor="text1"/>
          <w:szCs w:val="22"/>
        </w:rPr>
      </w:pPr>
      <w:r w:rsidRPr="00C26B18">
        <w:rPr>
          <w:rFonts w:cs="Arial"/>
          <w:color w:val="000000" w:themeColor="text1"/>
          <w:szCs w:val="22"/>
        </w:rPr>
        <w:t>Daily light in shallow habitats can be affected by water quality</w:t>
      </w:r>
      <w:r w:rsidR="00451371" w:rsidRPr="00C26B18">
        <w:rPr>
          <w:rFonts w:cs="Arial"/>
          <w:color w:val="000000" w:themeColor="text1"/>
          <w:szCs w:val="22"/>
        </w:rPr>
        <w:t xml:space="preserve">, depth of the site and </w:t>
      </w:r>
      <w:r w:rsidRPr="00C26B18">
        <w:rPr>
          <w:rFonts w:cs="Arial"/>
          <w:color w:val="000000" w:themeColor="text1"/>
          <w:szCs w:val="22"/>
        </w:rPr>
        <w:t>cloudiness, which affects the frequency and duration of exposure to full sunlight at low tide (</w:t>
      </w:r>
      <w:r w:rsidRPr="00C26B18">
        <w:rPr>
          <w:rFonts w:cs="Arial"/>
          <w:color w:val="000000" w:themeColor="text1"/>
          <w:szCs w:val="22"/>
        </w:rPr>
        <w:fldChar w:fldCharType="begin"/>
      </w:r>
      <w:r w:rsidRPr="00C26B18">
        <w:rPr>
          <w:rFonts w:cs="Arial"/>
          <w:color w:val="000000" w:themeColor="text1"/>
          <w:szCs w:val="22"/>
        </w:rPr>
        <w:instrText xml:space="preserve"> ADDIN EN.CITE &lt;EndNote&gt;&lt;Cite&gt;&lt;Author&gt;Anthony&lt;/Author&gt;&lt;Year&gt;2004&lt;/Year&gt;&lt;RecNum&gt;7409&lt;/RecNum&gt;&lt;DisplayText&gt;Anthony&lt;style face="italic"&gt; et al.&lt;/style&gt; 2004; Fabricius&lt;style face="italic"&gt; et al.&lt;/style&gt; 2012&lt;/DisplayText&gt;&lt;record&gt;&lt;rec-number&gt;7409&lt;/rec-number&gt;&lt;foreign-keys&gt;&lt;key app="EN" db-id="0eve55x9y5vfd6e9dacxtew4eatve2dzds9a" timestamp="0"&gt;7409&lt;/key&gt;&lt;/foreign-keys&gt;&lt;ref-type name="Journal Article"&gt;17&lt;/ref-type&gt;&lt;contributors&gt;&lt;authors&gt;&lt;author&gt;Anthony, Kenneth R N&lt;/author&gt;&lt;author&gt;Ridd, Peter V&lt;/author&gt;&lt;author&gt;Orpin, Alan R.&lt;/author&gt;&lt;author&gt;Larcombe, Piers&lt;/author&gt;&lt;author&gt;Lough, Janice&lt;/author&gt;&lt;/authors&gt;&lt;/contributors&gt;&lt;titles&gt;&lt;title&gt;Temporal variation in light availability in coastal benthic habitats: Effects of clouds, turbidity, and tides&lt;/title&gt;&lt;secondary-title&gt;Limnology and Oceanography&lt;/secondary-title&gt;&lt;/titles&gt;&lt;periodical&gt;&lt;full-title&gt;Limnology and Oceanography&lt;/full-title&gt;&lt;/periodical&gt;&lt;pages&gt;2201-2211&lt;/pages&gt;&lt;volume&gt;49&lt;/volume&gt;&lt;number&gt;6&lt;/number&gt;&lt;dates&gt;&lt;year&gt;2004&lt;/year&gt;&lt;/dates&gt;&lt;urls&gt;&lt;/urls&gt;&lt;/record&gt;&lt;/Cite&gt;&lt;Cite&gt;&lt;Author&gt;Fabricius&lt;/Author&gt;&lt;Year&gt;2012&lt;/Year&gt;&lt;RecNum&gt;9294&lt;/RecNum&gt;&lt;record&gt;&lt;rec-number&gt;9294&lt;/rec-number&gt;&lt;foreign-keys&gt;&lt;key app="EN" db-id="0eve55x9y5vfd6e9dacxtew4eatve2dzds9a" timestamp="1375005082"&gt;9294&lt;/key&gt;&lt;/foreign-keys&gt;&lt;ref-type name="Journal Article"&gt;17&lt;/ref-type&gt;&lt;contributors&gt;&lt;authors&gt;&lt;author&gt;Fabricius, K.&lt;/author&gt;&lt;author&gt;De&amp;apos;Ath, G&lt;/author&gt;&lt;author&gt;Humphrey, C.&lt;/author&gt;&lt;author&gt;Zagorskis, I.&lt;/author&gt;&lt;author&gt;Schaffelke, B.&lt;/author&gt;&lt;/authors&gt;&lt;/contributors&gt;&lt;titles&gt;&lt;title&gt;Intr-annual variation in turbidity in response to terrestrial runoff on near-shore coral reefs of the Great Barrier Reef&lt;/title&gt;&lt;secondary-title&gt;Estuarine, Coastal and Shelf Science&lt;/secondary-title&gt;&lt;/titles&gt;&lt;periodical&gt;&lt;full-title&gt;Estuarine, Coastal and Shelf Science&lt;/full-title&gt;&lt;/periodical&gt;&lt;pages&gt;458-470&lt;/pages&gt;&lt;volume&gt;3&lt;/volume&gt;&lt;dates&gt;&lt;year&gt;2012&lt;/year&gt;&lt;/dates&gt;&lt;urls&gt;&lt;/urls&gt;&lt;/record&gt;&lt;/Cite&gt;&lt;/EndNote&gt;</w:instrText>
      </w:r>
      <w:r w:rsidRPr="00C26B18">
        <w:rPr>
          <w:rFonts w:cs="Arial"/>
          <w:color w:val="000000" w:themeColor="text1"/>
          <w:szCs w:val="22"/>
        </w:rPr>
        <w:fldChar w:fldCharType="separate"/>
      </w:r>
      <w:hyperlink w:anchor="_ENREF_3" w:tooltip="Anthony, 2004 #7409" w:history="1">
        <w:r w:rsidR="009A7AB4" w:rsidRPr="00C26B18">
          <w:rPr>
            <w:rFonts w:cs="Arial"/>
            <w:noProof/>
            <w:color w:val="000000" w:themeColor="text1"/>
            <w:szCs w:val="22"/>
          </w:rPr>
          <w:t>Anthony</w:t>
        </w:r>
        <w:r w:rsidR="009A7AB4" w:rsidRPr="00C26B18">
          <w:rPr>
            <w:rFonts w:cs="Arial"/>
            <w:i/>
            <w:noProof/>
            <w:color w:val="000000" w:themeColor="text1"/>
            <w:szCs w:val="22"/>
          </w:rPr>
          <w:t xml:space="preserve"> et al.</w:t>
        </w:r>
        <w:r w:rsidR="009A7AB4" w:rsidRPr="00C26B18">
          <w:rPr>
            <w:rFonts w:cs="Arial"/>
            <w:noProof/>
            <w:color w:val="000000" w:themeColor="text1"/>
            <w:szCs w:val="22"/>
          </w:rPr>
          <w:t xml:space="preserve"> 2004</w:t>
        </w:r>
      </w:hyperlink>
      <w:r w:rsidRPr="00C26B18">
        <w:rPr>
          <w:rFonts w:cs="Arial"/>
          <w:noProof/>
          <w:color w:val="000000" w:themeColor="text1"/>
          <w:szCs w:val="22"/>
        </w:rPr>
        <w:t xml:space="preserve">; </w:t>
      </w:r>
      <w:hyperlink w:anchor="_ENREF_58" w:tooltip="Fabricius, 2012 #9294" w:history="1">
        <w:r w:rsidR="009A7AB4" w:rsidRPr="00C26B18">
          <w:rPr>
            <w:rFonts w:cs="Arial"/>
            <w:noProof/>
            <w:color w:val="000000" w:themeColor="text1"/>
            <w:szCs w:val="22"/>
          </w:rPr>
          <w:t>Fabricius</w:t>
        </w:r>
        <w:r w:rsidR="009A7AB4" w:rsidRPr="00C26B18">
          <w:rPr>
            <w:rFonts w:cs="Arial"/>
            <w:i/>
            <w:noProof/>
            <w:color w:val="000000" w:themeColor="text1"/>
            <w:szCs w:val="22"/>
          </w:rPr>
          <w:t xml:space="preserve"> et al.</w:t>
        </w:r>
        <w:r w:rsidR="009A7AB4" w:rsidRPr="00C26B18">
          <w:rPr>
            <w:rFonts w:cs="Arial"/>
            <w:noProof/>
            <w:color w:val="000000" w:themeColor="text1"/>
            <w:szCs w:val="22"/>
          </w:rPr>
          <w:t xml:space="preserve"> 2012</w:t>
        </w:r>
      </w:hyperlink>
      <w:r w:rsidRPr="00C26B18">
        <w:rPr>
          <w:rFonts w:cs="Arial"/>
          <w:color w:val="000000" w:themeColor="text1"/>
          <w:szCs w:val="22"/>
        </w:rPr>
        <w:fldChar w:fldCharType="end"/>
      </w:r>
      <w:r w:rsidRPr="00C26B18">
        <w:rPr>
          <w:rFonts w:cs="Arial"/>
          <w:color w:val="000000" w:themeColor="text1"/>
          <w:szCs w:val="22"/>
        </w:rPr>
        <w:t>). Differences in I</w:t>
      </w:r>
      <w:r w:rsidRPr="00C26B18">
        <w:rPr>
          <w:rFonts w:cs="Arial"/>
          <w:color w:val="000000" w:themeColor="text1"/>
          <w:szCs w:val="22"/>
          <w:vertAlign w:val="subscript"/>
        </w:rPr>
        <w:t>d</w:t>
      </w:r>
      <w:r w:rsidRPr="00C26B18">
        <w:rPr>
          <w:rFonts w:cs="Arial"/>
          <w:color w:val="000000" w:themeColor="text1"/>
          <w:szCs w:val="22"/>
        </w:rPr>
        <w:t xml:space="preserve"> among seagrass meadows reported here is largely a reflection of site-specific differences in water quality</w:t>
      </w:r>
      <w:r w:rsidR="003E0A19" w:rsidRPr="00C26B18">
        <w:rPr>
          <w:rFonts w:cs="Arial"/>
          <w:color w:val="000000" w:themeColor="text1"/>
          <w:szCs w:val="22"/>
        </w:rPr>
        <w:t xml:space="preserve">, except for in </w:t>
      </w:r>
      <w:r w:rsidR="00256E2F" w:rsidRPr="00C26B18">
        <w:rPr>
          <w:rFonts w:cs="Arial"/>
          <w:color w:val="000000" w:themeColor="text1"/>
          <w:szCs w:val="22"/>
        </w:rPr>
        <w:t xml:space="preserve">reef </w:t>
      </w:r>
      <w:r w:rsidR="003E0A19" w:rsidRPr="00C26B18">
        <w:rPr>
          <w:rFonts w:cs="Arial"/>
          <w:color w:val="000000" w:themeColor="text1"/>
          <w:szCs w:val="22"/>
        </w:rPr>
        <w:t>subtidal communities where depth results in lower benthic light</w:t>
      </w:r>
      <w:r w:rsidR="00256E2F" w:rsidRPr="00C26B18">
        <w:rPr>
          <w:rFonts w:cs="Arial"/>
          <w:color w:val="000000" w:themeColor="text1"/>
          <w:szCs w:val="22"/>
        </w:rPr>
        <w:t xml:space="preserve"> compared to adjacent reef intertidal communities</w:t>
      </w:r>
      <w:r w:rsidRPr="00C26B18">
        <w:rPr>
          <w:rFonts w:cs="Arial"/>
          <w:color w:val="000000" w:themeColor="text1"/>
          <w:szCs w:val="22"/>
        </w:rPr>
        <w:t>.</w:t>
      </w:r>
    </w:p>
    <w:p w14:paraId="42B199CD" w14:textId="24558B3B" w:rsidR="003945AB" w:rsidRPr="00C26B18" w:rsidRDefault="003E039B" w:rsidP="00E742E9">
      <w:pPr>
        <w:rPr>
          <w:rFonts w:cs="Arial"/>
          <w:color w:val="000000" w:themeColor="text1"/>
          <w:szCs w:val="22"/>
        </w:rPr>
      </w:pPr>
      <w:r w:rsidRPr="00C26B18">
        <w:rPr>
          <w:rFonts w:cs="Arial"/>
          <w:color w:val="000000" w:themeColor="text1"/>
          <w:szCs w:val="22"/>
        </w:rPr>
        <w:t xml:space="preserve">Daily light reaching the top of the seagrass canopy in the </w:t>
      </w:r>
      <w:r w:rsidR="00F206BF" w:rsidRPr="00C26B18">
        <w:rPr>
          <w:rFonts w:cs="Arial"/>
          <w:color w:val="000000" w:themeColor="text1"/>
          <w:szCs w:val="22"/>
        </w:rPr>
        <w:t>Reef</w:t>
      </w:r>
      <w:r w:rsidRPr="00C26B18">
        <w:rPr>
          <w:rFonts w:cs="Arial"/>
          <w:color w:val="000000" w:themeColor="text1"/>
          <w:szCs w:val="22"/>
        </w:rPr>
        <w:t xml:space="preserve"> in </w:t>
      </w:r>
      <w:r w:rsidR="00956639" w:rsidRPr="00C26B18">
        <w:rPr>
          <w:rFonts w:cs="Arial"/>
          <w:color w:val="000000" w:themeColor="text1"/>
          <w:szCs w:val="22"/>
        </w:rPr>
        <w:t>2018–19</w:t>
      </w:r>
      <w:r w:rsidRPr="00C26B18">
        <w:rPr>
          <w:rFonts w:cs="Arial"/>
          <w:color w:val="000000" w:themeColor="text1"/>
          <w:szCs w:val="22"/>
        </w:rPr>
        <w:t xml:space="preserve"> </w:t>
      </w:r>
      <w:r w:rsidR="007F2A6A" w:rsidRPr="00C26B18">
        <w:rPr>
          <w:rFonts w:cs="Arial"/>
          <w:color w:val="000000" w:themeColor="text1"/>
          <w:szCs w:val="22"/>
        </w:rPr>
        <w:t xml:space="preserve">was </w:t>
      </w:r>
      <w:r w:rsidR="00F30801" w:rsidRPr="00C26B18">
        <w:rPr>
          <w:rFonts w:cs="Arial"/>
          <w:color w:val="000000" w:themeColor="text1"/>
          <w:szCs w:val="22"/>
        </w:rPr>
        <w:t>12.0</w:t>
      </w:r>
      <w:r w:rsidRPr="00C26B18">
        <w:rPr>
          <w:rFonts w:cs="Arial"/>
          <w:color w:val="000000" w:themeColor="text1"/>
          <w:szCs w:val="22"/>
        </w:rPr>
        <w:t xml:space="preserve">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 xml:space="preserve">-1  </w:t>
      </w:r>
      <w:r w:rsidR="007F2A6A" w:rsidRPr="00C26B18">
        <w:rPr>
          <w:rFonts w:cs="Arial"/>
          <w:color w:val="000000" w:themeColor="text1"/>
          <w:szCs w:val="22"/>
        </w:rPr>
        <w:t>when averaged for all sites</w:t>
      </w:r>
      <w:r w:rsidRPr="00C26B18">
        <w:rPr>
          <w:rFonts w:cs="Arial"/>
          <w:color w:val="000000" w:themeColor="text1"/>
          <w:szCs w:val="22"/>
        </w:rPr>
        <w:t xml:space="preserve"> (</w:t>
      </w:r>
      <w:r w:rsidR="00505C13" w:rsidRPr="00C26B18">
        <w:rPr>
          <w:rFonts w:cs="Arial"/>
          <w:color w:val="000000" w:themeColor="text1"/>
          <w:szCs w:val="22"/>
        </w:rPr>
        <w:fldChar w:fldCharType="begin"/>
      </w:r>
      <w:r w:rsidR="00505C13" w:rsidRPr="00C26B18">
        <w:rPr>
          <w:rFonts w:cs="Arial"/>
          <w:color w:val="000000" w:themeColor="text1"/>
          <w:szCs w:val="22"/>
        </w:rPr>
        <w:instrText xml:space="preserve"> REF _Ref441775247 \h </w:instrText>
      </w:r>
      <w:r w:rsidR="00CB093C" w:rsidRPr="00C26B18">
        <w:rPr>
          <w:rFonts w:cs="Arial"/>
          <w:color w:val="000000" w:themeColor="text1"/>
          <w:szCs w:val="22"/>
        </w:rPr>
        <w:instrText xml:space="preserve"> \* MERGEFORMAT </w:instrText>
      </w:r>
      <w:r w:rsidR="00505C13" w:rsidRPr="00C26B18">
        <w:rPr>
          <w:rFonts w:cs="Arial"/>
          <w:color w:val="000000" w:themeColor="text1"/>
          <w:szCs w:val="22"/>
        </w:rPr>
      </w:r>
      <w:r w:rsidR="00505C13" w:rsidRPr="00C26B18">
        <w:rPr>
          <w:rFonts w:cs="Arial"/>
          <w:color w:val="000000" w:themeColor="text1"/>
          <w:szCs w:val="22"/>
        </w:rPr>
        <w:fldChar w:fldCharType="separate"/>
      </w:r>
      <w:r w:rsidR="0067675D" w:rsidRPr="00C26B18">
        <w:rPr>
          <w:rFonts w:cs="Arial"/>
          <w:szCs w:val="22"/>
        </w:rPr>
        <w:t xml:space="preserve">Table </w:t>
      </w:r>
      <w:r w:rsidR="0067675D">
        <w:rPr>
          <w:rFonts w:cs="Arial"/>
          <w:noProof/>
          <w:szCs w:val="22"/>
        </w:rPr>
        <w:t>8</w:t>
      </w:r>
      <w:r w:rsidR="00505C13" w:rsidRPr="00C26B18">
        <w:rPr>
          <w:rFonts w:cs="Arial"/>
          <w:color w:val="000000" w:themeColor="text1"/>
          <w:szCs w:val="22"/>
        </w:rPr>
        <w:fldChar w:fldCharType="end"/>
      </w:r>
      <w:r w:rsidR="007F2A6A" w:rsidRPr="00C26B18">
        <w:rPr>
          <w:rFonts w:cs="Arial"/>
          <w:color w:val="000000" w:themeColor="text1"/>
          <w:szCs w:val="22"/>
        </w:rPr>
        <w:t xml:space="preserve">), </w:t>
      </w:r>
      <w:r w:rsidR="00F30801" w:rsidRPr="00C26B18">
        <w:rPr>
          <w:rFonts w:cs="Arial"/>
          <w:color w:val="000000" w:themeColor="text1"/>
          <w:szCs w:val="22"/>
        </w:rPr>
        <w:t>compared to a long-term average of 12.4 mol m</w:t>
      </w:r>
      <w:r w:rsidR="00F30801" w:rsidRPr="00C26B18">
        <w:rPr>
          <w:rFonts w:cs="Arial"/>
          <w:color w:val="000000" w:themeColor="text1"/>
          <w:szCs w:val="22"/>
          <w:vertAlign w:val="superscript"/>
        </w:rPr>
        <w:t>-2</w:t>
      </w:r>
      <w:r w:rsidR="00F30801" w:rsidRPr="00C26B18">
        <w:rPr>
          <w:rFonts w:cs="Arial"/>
          <w:color w:val="000000" w:themeColor="text1"/>
          <w:szCs w:val="22"/>
        </w:rPr>
        <w:t xml:space="preserve"> d</w:t>
      </w:r>
      <w:r w:rsidR="00F30801" w:rsidRPr="00C26B18">
        <w:rPr>
          <w:rFonts w:cs="Arial"/>
          <w:color w:val="000000" w:themeColor="text1"/>
          <w:szCs w:val="22"/>
          <w:vertAlign w:val="superscript"/>
        </w:rPr>
        <w:t>-1</w:t>
      </w:r>
      <w:r w:rsidR="00F30801" w:rsidRPr="00C26B18">
        <w:rPr>
          <w:rFonts w:cs="Arial"/>
          <w:color w:val="000000" w:themeColor="text1"/>
          <w:szCs w:val="22"/>
        </w:rPr>
        <w:t>. T</w:t>
      </w:r>
      <w:r w:rsidR="007F2A6A" w:rsidRPr="00C26B18">
        <w:rPr>
          <w:rFonts w:cs="Arial"/>
          <w:color w:val="000000" w:themeColor="text1"/>
          <w:szCs w:val="22"/>
        </w:rPr>
        <w:t>here are regional</w:t>
      </w:r>
      <w:r w:rsidR="00A008A8" w:rsidRPr="00C26B18">
        <w:rPr>
          <w:rFonts w:cs="Arial"/>
          <w:color w:val="000000" w:themeColor="text1"/>
          <w:szCs w:val="22"/>
        </w:rPr>
        <w:t>, habitat</w:t>
      </w:r>
      <w:r w:rsidR="007F2A6A" w:rsidRPr="00C26B18">
        <w:rPr>
          <w:rFonts w:cs="Arial"/>
          <w:color w:val="000000" w:themeColor="text1"/>
          <w:szCs w:val="22"/>
        </w:rPr>
        <w:t xml:space="preserve"> and </w:t>
      </w:r>
      <w:r w:rsidR="00134587" w:rsidRPr="00C26B18">
        <w:rPr>
          <w:rFonts w:cs="Arial"/>
          <w:color w:val="000000" w:themeColor="text1"/>
          <w:szCs w:val="22"/>
        </w:rPr>
        <w:t>location</w:t>
      </w:r>
      <w:r w:rsidR="007F2A6A" w:rsidRPr="00C26B18">
        <w:rPr>
          <w:rFonts w:cs="Arial"/>
          <w:color w:val="000000" w:themeColor="text1"/>
          <w:szCs w:val="22"/>
        </w:rPr>
        <w:t xml:space="preserve"> levels differences.</w:t>
      </w:r>
    </w:p>
    <w:p w14:paraId="359D8520" w14:textId="285E8E9D" w:rsidR="00236BA7" w:rsidRPr="00C26B18" w:rsidRDefault="007F2A6A" w:rsidP="00E742E9">
      <w:pPr>
        <w:rPr>
          <w:rFonts w:cs="Arial"/>
          <w:color w:val="000000" w:themeColor="text1"/>
          <w:szCs w:val="22"/>
        </w:rPr>
      </w:pPr>
      <w:r w:rsidRPr="00C26B18">
        <w:rPr>
          <w:rFonts w:cs="Arial"/>
          <w:color w:val="000000" w:themeColor="text1"/>
          <w:szCs w:val="22"/>
        </w:rPr>
        <w:t xml:space="preserve">Daily light in the regions </w:t>
      </w:r>
      <w:r w:rsidR="00A008A8" w:rsidRPr="00C26B18">
        <w:rPr>
          <w:rFonts w:cs="Arial"/>
          <w:color w:val="000000" w:themeColor="text1"/>
          <w:szCs w:val="22"/>
        </w:rPr>
        <w:t xml:space="preserve">in </w:t>
      </w:r>
      <w:r w:rsidR="00956639" w:rsidRPr="00C26B18">
        <w:rPr>
          <w:rFonts w:cs="Arial"/>
          <w:color w:val="000000" w:themeColor="text1"/>
          <w:szCs w:val="22"/>
        </w:rPr>
        <w:t>2018–19</w:t>
      </w:r>
      <w:r w:rsidR="00A008A8" w:rsidRPr="00C26B18">
        <w:rPr>
          <w:rFonts w:cs="Arial"/>
          <w:color w:val="000000" w:themeColor="text1"/>
          <w:szCs w:val="22"/>
        </w:rPr>
        <w:t xml:space="preserve"> </w:t>
      </w:r>
      <w:r w:rsidRPr="00C26B18">
        <w:rPr>
          <w:rFonts w:cs="Arial"/>
          <w:color w:val="000000" w:themeColor="text1"/>
          <w:szCs w:val="22"/>
        </w:rPr>
        <w:t xml:space="preserve">from </w:t>
      </w:r>
      <w:r w:rsidR="00B671B8">
        <w:rPr>
          <w:rFonts w:cs="Arial"/>
          <w:color w:val="000000" w:themeColor="text1"/>
          <w:szCs w:val="22"/>
        </w:rPr>
        <w:t>north to south</w:t>
      </w:r>
      <w:r w:rsidRPr="00C26B18">
        <w:rPr>
          <w:rFonts w:cs="Arial"/>
          <w:color w:val="000000" w:themeColor="text1"/>
          <w:szCs w:val="22"/>
        </w:rPr>
        <w:t xml:space="preserve"> were</w:t>
      </w:r>
      <w:r w:rsidR="00236BA7" w:rsidRPr="00C26B18">
        <w:rPr>
          <w:rFonts w:cs="Arial"/>
          <w:color w:val="000000" w:themeColor="text1"/>
          <w:szCs w:val="22"/>
        </w:rPr>
        <w:t>:</w:t>
      </w:r>
    </w:p>
    <w:p w14:paraId="5940CC5A" w14:textId="77777777" w:rsidR="00B671B8" w:rsidRPr="00C26B18" w:rsidRDefault="00B671B8" w:rsidP="003F4D32">
      <w:pPr>
        <w:numPr>
          <w:ilvl w:val="0"/>
          <w:numId w:val="22"/>
        </w:numPr>
        <w:spacing w:before="0" w:after="0"/>
        <w:rPr>
          <w:rFonts w:cs="Arial"/>
          <w:color w:val="000000" w:themeColor="text1"/>
          <w:szCs w:val="22"/>
        </w:rPr>
      </w:pPr>
      <w:r w:rsidRPr="00C26B18">
        <w:rPr>
          <w:rFonts w:cs="Arial"/>
          <w:color w:val="000000" w:themeColor="text1"/>
          <w:szCs w:val="22"/>
        </w:rPr>
        <w:t>Cape York (13.7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6736E6B2" w14:textId="77777777" w:rsidR="00B671B8" w:rsidRPr="00C26B18" w:rsidRDefault="00B671B8" w:rsidP="003F4D32">
      <w:pPr>
        <w:numPr>
          <w:ilvl w:val="0"/>
          <w:numId w:val="22"/>
        </w:numPr>
        <w:spacing w:before="0" w:after="0"/>
        <w:rPr>
          <w:rFonts w:cs="Arial"/>
          <w:color w:val="000000" w:themeColor="text1"/>
          <w:szCs w:val="22"/>
        </w:rPr>
      </w:pPr>
      <w:r w:rsidRPr="00C26B18">
        <w:rPr>
          <w:rFonts w:cs="Arial"/>
          <w:color w:val="000000" w:themeColor="text1"/>
          <w:szCs w:val="22"/>
        </w:rPr>
        <w:t>northern Wet Tropics (12.3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5FFCB50C" w14:textId="484338CF" w:rsidR="00B671B8" w:rsidRPr="00C26B18" w:rsidRDefault="00B671B8" w:rsidP="003F4D32">
      <w:pPr>
        <w:numPr>
          <w:ilvl w:val="0"/>
          <w:numId w:val="22"/>
        </w:numPr>
        <w:spacing w:before="0" w:after="0"/>
        <w:rPr>
          <w:rFonts w:cs="Arial"/>
          <w:color w:val="000000" w:themeColor="text1"/>
          <w:szCs w:val="22"/>
        </w:rPr>
      </w:pPr>
      <w:r w:rsidRPr="00C26B18">
        <w:rPr>
          <w:rFonts w:cs="Arial"/>
          <w:color w:val="000000" w:themeColor="text1"/>
          <w:szCs w:val="22"/>
        </w:rPr>
        <w:t>southern Wet Tropics (9.3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2D5B72FC" w14:textId="77777777" w:rsidR="00B671B8" w:rsidRPr="00C26B18" w:rsidRDefault="00B671B8" w:rsidP="003F4D32">
      <w:pPr>
        <w:numPr>
          <w:ilvl w:val="0"/>
          <w:numId w:val="22"/>
        </w:numPr>
        <w:spacing w:before="0" w:after="0"/>
        <w:rPr>
          <w:rFonts w:cs="Arial"/>
          <w:color w:val="000000" w:themeColor="text1"/>
          <w:szCs w:val="22"/>
        </w:rPr>
      </w:pPr>
      <w:r w:rsidRPr="00C26B18">
        <w:rPr>
          <w:rFonts w:cs="Arial"/>
          <w:color w:val="000000" w:themeColor="text1"/>
          <w:szCs w:val="22"/>
        </w:rPr>
        <w:t>Burdekin (11.5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1894EA26" w14:textId="3F660784" w:rsidR="00B671B8" w:rsidRPr="00C26B18" w:rsidRDefault="00B72AC4" w:rsidP="003F4D32">
      <w:pPr>
        <w:numPr>
          <w:ilvl w:val="0"/>
          <w:numId w:val="22"/>
        </w:numPr>
        <w:spacing w:before="0" w:after="0"/>
        <w:rPr>
          <w:rFonts w:cs="Arial"/>
          <w:color w:val="000000" w:themeColor="text1"/>
          <w:szCs w:val="22"/>
        </w:rPr>
      </w:pPr>
      <w:r>
        <w:rPr>
          <w:rFonts w:cs="Arial"/>
          <w:color w:val="000000" w:themeColor="text1"/>
          <w:szCs w:val="22"/>
        </w:rPr>
        <w:lastRenderedPageBreak/>
        <w:t>Mackay–Whitsunday</w:t>
      </w:r>
      <w:r w:rsidR="00B671B8" w:rsidRPr="00C26B18">
        <w:rPr>
          <w:rFonts w:cs="Arial"/>
          <w:color w:val="000000" w:themeColor="text1"/>
          <w:szCs w:val="22"/>
        </w:rPr>
        <w:t xml:space="preserve"> (11.5 mol m</w:t>
      </w:r>
      <w:r w:rsidR="00B671B8" w:rsidRPr="00C26B18">
        <w:rPr>
          <w:rFonts w:cs="Arial"/>
          <w:color w:val="000000" w:themeColor="text1"/>
          <w:szCs w:val="22"/>
          <w:vertAlign w:val="superscript"/>
        </w:rPr>
        <w:t>-2</w:t>
      </w:r>
      <w:r w:rsidR="00B671B8" w:rsidRPr="00C26B18">
        <w:rPr>
          <w:rFonts w:cs="Arial"/>
          <w:color w:val="000000" w:themeColor="text1"/>
          <w:szCs w:val="22"/>
        </w:rPr>
        <w:t xml:space="preserve"> d</w:t>
      </w:r>
      <w:r w:rsidR="00B671B8" w:rsidRPr="00C26B18">
        <w:rPr>
          <w:rFonts w:cs="Arial"/>
          <w:color w:val="000000" w:themeColor="text1"/>
          <w:szCs w:val="22"/>
          <w:vertAlign w:val="superscript"/>
        </w:rPr>
        <w:t>-1</w:t>
      </w:r>
      <w:r w:rsidR="00B671B8" w:rsidRPr="00C26B18">
        <w:rPr>
          <w:rFonts w:cs="Arial"/>
          <w:color w:val="000000" w:themeColor="text1"/>
          <w:szCs w:val="22"/>
        </w:rPr>
        <w:t>)</w:t>
      </w:r>
    </w:p>
    <w:p w14:paraId="407D4B94" w14:textId="5DD19F80" w:rsidR="007A4A5F" w:rsidRPr="00C26B18" w:rsidRDefault="00DC4706" w:rsidP="003F4D32">
      <w:pPr>
        <w:numPr>
          <w:ilvl w:val="0"/>
          <w:numId w:val="22"/>
        </w:numPr>
        <w:spacing w:before="0" w:after="0"/>
        <w:rPr>
          <w:rFonts w:cs="Arial"/>
          <w:color w:val="000000" w:themeColor="text1"/>
          <w:szCs w:val="22"/>
        </w:rPr>
      </w:pPr>
      <w:r w:rsidRPr="00C26B18">
        <w:rPr>
          <w:rFonts w:cs="Arial"/>
          <w:color w:val="000000" w:themeColor="text1"/>
          <w:szCs w:val="22"/>
        </w:rPr>
        <w:t>Fitzroy</w:t>
      </w:r>
      <w:r w:rsidR="003E039B" w:rsidRPr="00C26B18">
        <w:rPr>
          <w:rFonts w:cs="Arial"/>
          <w:color w:val="000000" w:themeColor="text1"/>
          <w:szCs w:val="22"/>
        </w:rPr>
        <w:t xml:space="preserve"> (</w:t>
      </w:r>
      <w:r w:rsidR="00886E22" w:rsidRPr="00C26B18">
        <w:rPr>
          <w:rFonts w:cs="Arial"/>
          <w:color w:val="000000" w:themeColor="text1"/>
          <w:szCs w:val="22"/>
        </w:rPr>
        <w:t>14.3</w:t>
      </w:r>
      <w:r w:rsidR="003E039B" w:rsidRPr="00C26B18">
        <w:rPr>
          <w:rFonts w:cs="Arial"/>
          <w:color w:val="000000" w:themeColor="text1"/>
          <w:szCs w:val="22"/>
        </w:rPr>
        <w:t xml:space="preserve"> mol m</w:t>
      </w:r>
      <w:r w:rsidR="003E039B" w:rsidRPr="00C26B18">
        <w:rPr>
          <w:rFonts w:cs="Arial"/>
          <w:color w:val="000000" w:themeColor="text1"/>
          <w:szCs w:val="22"/>
          <w:vertAlign w:val="superscript"/>
        </w:rPr>
        <w:t>-2</w:t>
      </w:r>
      <w:r w:rsidR="003E039B" w:rsidRPr="00C26B18">
        <w:rPr>
          <w:rFonts w:cs="Arial"/>
          <w:color w:val="000000" w:themeColor="text1"/>
          <w:szCs w:val="22"/>
        </w:rPr>
        <w:t xml:space="preserve"> d</w:t>
      </w:r>
      <w:r w:rsidR="003E039B" w:rsidRPr="00C26B18">
        <w:rPr>
          <w:rFonts w:cs="Arial"/>
          <w:color w:val="000000" w:themeColor="text1"/>
          <w:szCs w:val="22"/>
          <w:vertAlign w:val="superscript"/>
        </w:rPr>
        <w:t>-1</w:t>
      </w:r>
      <w:r w:rsidR="003E039B" w:rsidRPr="00C26B18">
        <w:rPr>
          <w:rFonts w:cs="Arial"/>
          <w:color w:val="000000" w:themeColor="text1"/>
          <w:szCs w:val="22"/>
        </w:rPr>
        <w:t>)</w:t>
      </w:r>
    </w:p>
    <w:p w14:paraId="1901ABA9" w14:textId="0CF220E3" w:rsidR="007A4A5F" w:rsidRPr="00C26B18" w:rsidRDefault="00B72AC4" w:rsidP="003F4D32">
      <w:pPr>
        <w:numPr>
          <w:ilvl w:val="0"/>
          <w:numId w:val="22"/>
        </w:numPr>
        <w:spacing w:before="0" w:after="0"/>
        <w:rPr>
          <w:rFonts w:cs="Arial"/>
          <w:color w:val="000000" w:themeColor="text1"/>
          <w:szCs w:val="22"/>
        </w:rPr>
      </w:pPr>
      <w:r>
        <w:rPr>
          <w:rFonts w:cs="Arial"/>
          <w:color w:val="000000" w:themeColor="text1"/>
          <w:szCs w:val="22"/>
        </w:rPr>
        <w:t>Burnett–Mary</w:t>
      </w:r>
      <w:r w:rsidR="003E039B" w:rsidRPr="00C26B18">
        <w:rPr>
          <w:rFonts w:cs="Arial"/>
          <w:color w:val="000000" w:themeColor="text1"/>
          <w:szCs w:val="22"/>
        </w:rPr>
        <w:t xml:space="preserve"> (</w:t>
      </w:r>
      <w:r w:rsidR="00886E22" w:rsidRPr="00C26B18">
        <w:rPr>
          <w:rFonts w:cs="Arial"/>
          <w:color w:val="000000" w:themeColor="text1"/>
          <w:szCs w:val="22"/>
        </w:rPr>
        <w:t>11.2</w:t>
      </w:r>
      <w:r w:rsidR="003E039B" w:rsidRPr="00C26B18">
        <w:rPr>
          <w:rFonts w:cs="Arial"/>
          <w:color w:val="000000" w:themeColor="text1"/>
          <w:szCs w:val="22"/>
        </w:rPr>
        <w:t xml:space="preserve"> mol m</w:t>
      </w:r>
      <w:r w:rsidR="003E039B" w:rsidRPr="00C26B18">
        <w:rPr>
          <w:rFonts w:cs="Arial"/>
          <w:color w:val="000000" w:themeColor="text1"/>
          <w:szCs w:val="22"/>
          <w:vertAlign w:val="superscript"/>
        </w:rPr>
        <w:t>-2</w:t>
      </w:r>
      <w:r w:rsidR="003E039B" w:rsidRPr="00C26B18">
        <w:rPr>
          <w:rFonts w:cs="Arial"/>
          <w:color w:val="000000" w:themeColor="text1"/>
          <w:szCs w:val="22"/>
        </w:rPr>
        <w:t xml:space="preserve"> d</w:t>
      </w:r>
      <w:r w:rsidR="003E039B" w:rsidRPr="00C26B18">
        <w:rPr>
          <w:rFonts w:cs="Arial"/>
          <w:color w:val="000000" w:themeColor="text1"/>
          <w:szCs w:val="22"/>
          <w:vertAlign w:val="superscript"/>
        </w:rPr>
        <w:t>-1</w:t>
      </w:r>
      <w:r w:rsidR="003E039B" w:rsidRPr="00C26B18">
        <w:rPr>
          <w:rFonts w:cs="Arial"/>
          <w:color w:val="000000" w:themeColor="text1"/>
          <w:szCs w:val="22"/>
        </w:rPr>
        <w:t>)</w:t>
      </w:r>
    </w:p>
    <w:p w14:paraId="117762B8" w14:textId="77777777" w:rsidR="001E7100" w:rsidRDefault="001E7100" w:rsidP="00A008A8">
      <w:pPr>
        <w:rPr>
          <w:rFonts w:cs="Arial"/>
          <w:color w:val="000000" w:themeColor="text1"/>
          <w:szCs w:val="22"/>
        </w:rPr>
      </w:pPr>
    </w:p>
    <w:p w14:paraId="53C171B9" w14:textId="551B401C" w:rsidR="00A008A8" w:rsidRPr="00C26B18" w:rsidRDefault="00A008A8" w:rsidP="00A008A8">
      <w:pPr>
        <w:rPr>
          <w:rFonts w:cs="Arial"/>
          <w:color w:val="000000" w:themeColor="text1"/>
          <w:szCs w:val="22"/>
        </w:rPr>
      </w:pPr>
      <w:r w:rsidRPr="00C26B18">
        <w:rPr>
          <w:rFonts w:cs="Arial"/>
          <w:color w:val="000000" w:themeColor="text1"/>
          <w:szCs w:val="22"/>
        </w:rPr>
        <w:t xml:space="preserve">Daily light in the habitats in </w:t>
      </w:r>
      <w:r w:rsidR="00956639" w:rsidRPr="00C26B18">
        <w:rPr>
          <w:rFonts w:cs="Arial"/>
          <w:color w:val="000000" w:themeColor="text1"/>
          <w:szCs w:val="22"/>
        </w:rPr>
        <w:t>2018–19</w:t>
      </w:r>
      <w:r w:rsidRPr="00C26B18">
        <w:rPr>
          <w:rFonts w:cs="Arial"/>
          <w:color w:val="000000" w:themeColor="text1"/>
          <w:szCs w:val="22"/>
        </w:rPr>
        <w:t xml:space="preserve"> from highest to lowest were:</w:t>
      </w:r>
    </w:p>
    <w:p w14:paraId="39940CDB" w14:textId="76D99ABC" w:rsidR="00F30801" w:rsidRPr="00C26B18" w:rsidRDefault="00F30801" w:rsidP="003F4D32">
      <w:pPr>
        <w:numPr>
          <w:ilvl w:val="0"/>
          <w:numId w:val="23"/>
        </w:numPr>
        <w:rPr>
          <w:rFonts w:cs="Arial"/>
          <w:color w:val="000000" w:themeColor="text1"/>
          <w:szCs w:val="22"/>
        </w:rPr>
      </w:pPr>
      <w:r w:rsidRPr="00C26B18">
        <w:rPr>
          <w:rFonts w:cs="Arial"/>
          <w:color w:val="000000" w:themeColor="text1"/>
          <w:szCs w:val="22"/>
        </w:rPr>
        <w:t>reef intertidal habitat</w:t>
      </w:r>
      <w:r w:rsidR="005059A3">
        <w:rPr>
          <w:rFonts w:cs="Arial"/>
          <w:color w:val="000000" w:themeColor="text1"/>
          <w:szCs w:val="22"/>
        </w:rPr>
        <w:t xml:space="preserve">, n = 9 </w:t>
      </w:r>
      <w:r w:rsidRPr="00C26B18">
        <w:rPr>
          <w:rFonts w:cs="Arial"/>
          <w:color w:val="000000" w:themeColor="text1"/>
          <w:szCs w:val="22"/>
        </w:rPr>
        <w:t>(14.6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69E0B640" w14:textId="48B9D2DA" w:rsidR="00A008A8" w:rsidRPr="00C26B18" w:rsidRDefault="00772D50" w:rsidP="003F4D32">
      <w:pPr>
        <w:numPr>
          <w:ilvl w:val="0"/>
          <w:numId w:val="23"/>
        </w:numPr>
        <w:rPr>
          <w:rFonts w:cs="Arial"/>
          <w:color w:val="000000" w:themeColor="text1"/>
          <w:szCs w:val="22"/>
        </w:rPr>
      </w:pPr>
      <w:r w:rsidRPr="00C26B18">
        <w:rPr>
          <w:rFonts w:cs="Arial"/>
          <w:color w:val="000000" w:themeColor="text1"/>
          <w:szCs w:val="22"/>
        </w:rPr>
        <w:t xml:space="preserve">coastal intertidal </w:t>
      </w:r>
      <w:r w:rsidR="005059A3">
        <w:rPr>
          <w:rFonts w:cs="Arial"/>
          <w:color w:val="000000" w:themeColor="text1"/>
          <w:szCs w:val="22"/>
        </w:rPr>
        <w:t>locations, n = 10</w:t>
      </w:r>
      <w:r w:rsidRPr="00C26B18">
        <w:rPr>
          <w:rFonts w:cs="Arial"/>
          <w:color w:val="000000" w:themeColor="text1"/>
          <w:szCs w:val="22"/>
        </w:rPr>
        <w:t xml:space="preserve"> (13.</w:t>
      </w:r>
      <w:r w:rsidR="00F30801" w:rsidRPr="00C26B18">
        <w:rPr>
          <w:rFonts w:cs="Arial"/>
          <w:color w:val="000000" w:themeColor="text1"/>
          <w:szCs w:val="22"/>
        </w:rPr>
        <w:t>9</w:t>
      </w:r>
      <w:r w:rsidRPr="00C26B18">
        <w:rPr>
          <w:rFonts w:cs="Arial"/>
          <w:color w:val="000000" w:themeColor="text1"/>
          <w:szCs w:val="22"/>
        </w:rPr>
        <w:t xml:space="preserve">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w:t>
      </w:r>
    </w:p>
    <w:p w14:paraId="1A32D606" w14:textId="62029F09" w:rsidR="00A008A8" w:rsidRPr="00C26B18" w:rsidRDefault="003E039B" w:rsidP="003F4D32">
      <w:pPr>
        <w:numPr>
          <w:ilvl w:val="0"/>
          <w:numId w:val="23"/>
        </w:numPr>
        <w:rPr>
          <w:rFonts w:cs="Arial"/>
          <w:color w:val="000000" w:themeColor="text1"/>
          <w:szCs w:val="22"/>
        </w:rPr>
      </w:pPr>
      <w:r w:rsidRPr="00C26B18">
        <w:rPr>
          <w:rFonts w:cs="Arial"/>
          <w:color w:val="000000" w:themeColor="text1"/>
          <w:szCs w:val="22"/>
        </w:rPr>
        <w:t>estuarine sites</w:t>
      </w:r>
      <w:r w:rsidR="005059A3">
        <w:rPr>
          <w:rFonts w:cs="Arial"/>
          <w:color w:val="000000" w:themeColor="text1"/>
          <w:szCs w:val="22"/>
        </w:rPr>
        <w:t>, n = 3</w:t>
      </w:r>
      <w:r w:rsidRPr="00C26B18">
        <w:rPr>
          <w:rFonts w:cs="Arial"/>
          <w:color w:val="000000" w:themeColor="text1"/>
          <w:szCs w:val="22"/>
        </w:rPr>
        <w:t xml:space="preserve"> (</w:t>
      </w:r>
      <w:r w:rsidR="00772D50" w:rsidRPr="00C26B18">
        <w:rPr>
          <w:rFonts w:cs="Arial"/>
          <w:color w:val="000000" w:themeColor="text1"/>
          <w:szCs w:val="22"/>
        </w:rPr>
        <w:t>11.</w:t>
      </w:r>
      <w:r w:rsidR="00F30801" w:rsidRPr="00C26B18">
        <w:rPr>
          <w:rFonts w:cs="Arial"/>
          <w:color w:val="000000" w:themeColor="text1"/>
          <w:szCs w:val="22"/>
        </w:rPr>
        <w:t>6</w:t>
      </w:r>
      <w:r w:rsidRPr="00C26B18">
        <w:rPr>
          <w:rFonts w:cs="Arial"/>
          <w:color w:val="000000" w:themeColor="text1"/>
          <w:szCs w:val="22"/>
        </w:rPr>
        <w:t xml:space="preserve">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 xml:space="preserve">) </w:t>
      </w:r>
    </w:p>
    <w:p w14:paraId="3766FD32" w14:textId="49060B34" w:rsidR="00A008A8" w:rsidRPr="00C26B18" w:rsidRDefault="003E039B" w:rsidP="003F4D32">
      <w:pPr>
        <w:numPr>
          <w:ilvl w:val="0"/>
          <w:numId w:val="23"/>
        </w:numPr>
        <w:rPr>
          <w:rFonts w:cs="Arial"/>
          <w:color w:val="000000" w:themeColor="text1"/>
          <w:szCs w:val="22"/>
        </w:rPr>
      </w:pPr>
      <w:r w:rsidRPr="00C26B18">
        <w:rPr>
          <w:rFonts w:cs="Arial"/>
          <w:color w:val="000000" w:themeColor="text1"/>
          <w:szCs w:val="22"/>
        </w:rPr>
        <w:t>reef subtidal sites</w:t>
      </w:r>
      <w:r w:rsidR="00FC3DC0">
        <w:rPr>
          <w:rFonts w:cs="Arial"/>
          <w:color w:val="000000" w:themeColor="text1"/>
          <w:szCs w:val="22"/>
        </w:rPr>
        <w:t>, n = 5</w:t>
      </w:r>
      <w:r w:rsidRPr="00C26B18">
        <w:rPr>
          <w:rFonts w:cs="Arial"/>
          <w:color w:val="000000" w:themeColor="text1"/>
          <w:szCs w:val="22"/>
        </w:rPr>
        <w:t xml:space="preserve"> (</w:t>
      </w:r>
      <w:r w:rsidR="00F30801" w:rsidRPr="00C26B18">
        <w:rPr>
          <w:rFonts w:cs="Arial"/>
          <w:color w:val="000000" w:themeColor="text1"/>
          <w:szCs w:val="22"/>
        </w:rPr>
        <w:t>5.8</w:t>
      </w:r>
      <w:r w:rsidRPr="00C26B18">
        <w:rPr>
          <w:rFonts w:cs="Arial"/>
          <w:color w:val="000000" w:themeColor="text1"/>
          <w:szCs w:val="22"/>
        </w:rPr>
        <w:t xml:space="preserve"> mol m</w:t>
      </w:r>
      <w:r w:rsidRPr="00C26B18">
        <w:rPr>
          <w:rFonts w:cs="Arial"/>
          <w:color w:val="000000" w:themeColor="text1"/>
          <w:szCs w:val="22"/>
          <w:vertAlign w:val="superscript"/>
        </w:rPr>
        <w:t>-2</w:t>
      </w:r>
      <w:r w:rsidRPr="00C26B18">
        <w:rPr>
          <w:rFonts w:cs="Arial"/>
          <w:color w:val="000000" w:themeColor="text1"/>
          <w:szCs w:val="22"/>
        </w:rPr>
        <w:t xml:space="preserve"> d</w:t>
      </w:r>
      <w:r w:rsidRPr="00C26B18">
        <w:rPr>
          <w:rFonts w:cs="Arial"/>
          <w:color w:val="000000" w:themeColor="text1"/>
          <w:szCs w:val="22"/>
          <w:vertAlign w:val="superscript"/>
        </w:rPr>
        <w:t>-1</w:t>
      </w:r>
      <w:r w:rsidRPr="00C26B18">
        <w:rPr>
          <w:rFonts w:cs="Arial"/>
          <w:color w:val="000000" w:themeColor="text1"/>
          <w:szCs w:val="22"/>
        </w:rPr>
        <w:t xml:space="preserve">). </w:t>
      </w:r>
    </w:p>
    <w:p w14:paraId="353C2D32" w14:textId="1C754C8C" w:rsidR="00A008A8" w:rsidRPr="00C26B18" w:rsidRDefault="003E039B" w:rsidP="00E742E9">
      <w:pPr>
        <w:rPr>
          <w:rFonts w:cs="Arial"/>
          <w:color w:val="000000" w:themeColor="text1"/>
          <w:szCs w:val="22"/>
        </w:rPr>
      </w:pPr>
      <w:r w:rsidRPr="00C26B18">
        <w:rPr>
          <w:rFonts w:cs="Arial"/>
          <w:color w:val="000000" w:themeColor="text1"/>
          <w:szCs w:val="22"/>
        </w:rPr>
        <w:t xml:space="preserve">Daily light </w:t>
      </w:r>
      <w:r w:rsidR="00A008A8" w:rsidRPr="00C26B18">
        <w:rPr>
          <w:rFonts w:cs="Arial"/>
          <w:color w:val="000000" w:themeColor="text1"/>
          <w:szCs w:val="22"/>
        </w:rPr>
        <w:t xml:space="preserve">for each of the sites is presented in </w:t>
      </w:r>
      <w:r w:rsidR="00A008A8" w:rsidRPr="00C26B18">
        <w:rPr>
          <w:rFonts w:cs="Arial"/>
          <w:color w:val="000000" w:themeColor="text1"/>
          <w:szCs w:val="22"/>
        </w:rPr>
        <w:fldChar w:fldCharType="begin"/>
      </w:r>
      <w:r w:rsidR="00A008A8" w:rsidRPr="00C26B18">
        <w:rPr>
          <w:rFonts w:cs="Arial"/>
          <w:color w:val="000000" w:themeColor="text1"/>
          <w:szCs w:val="22"/>
        </w:rPr>
        <w:instrText xml:space="preserve"> REF _Ref442465513 \h </w:instrText>
      </w:r>
      <w:r w:rsidR="00CB093C" w:rsidRPr="00C26B18">
        <w:rPr>
          <w:rFonts w:cs="Arial"/>
          <w:color w:val="000000" w:themeColor="text1"/>
          <w:szCs w:val="22"/>
        </w:rPr>
        <w:instrText xml:space="preserve"> \* MERGEFORMAT </w:instrText>
      </w:r>
      <w:r w:rsidR="00A008A8" w:rsidRPr="00C26B18">
        <w:rPr>
          <w:rFonts w:cs="Arial"/>
          <w:color w:val="000000" w:themeColor="text1"/>
          <w:szCs w:val="22"/>
        </w:rPr>
      </w:r>
      <w:r w:rsidR="00A008A8"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8</w:t>
      </w:r>
      <w:r w:rsidR="00A008A8" w:rsidRPr="00C26B18">
        <w:rPr>
          <w:rFonts w:cs="Arial"/>
          <w:color w:val="000000" w:themeColor="text1"/>
          <w:szCs w:val="22"/>
        </w:rPr>
        <w:fldChar w:fldCharType="end"/>
      </w:r>
      <w:r w:rsidR="00A008A8" w:rsidRPr="00C26B18">
        <w:rPr>
          <w:rFonts w:cs="Arial"/>
          <w:color w:val="000000" w:themeColor="text1"/>
          <w:szCs w:val="22"/>
        </w:rPr>
        <w:t xml:space="preserve">. </w:t>
      </w:r>
      <w:r w:rsidR="00134587" w:rsidRPr="00C26B18">
        <w:rPr>
          <w:rFonts w:cs="Arial"/>
          <w:color w:val="000000" w:themeColor="text1"/>
          <w:szCs w:val="22"/>
        </w:rPr>
        <w:t xml:space="preserve">There were </w:t>
      </w:r>
      <w:r w:rsidR="005B1F00">
        <w:rPr>
          <w:rFonts w:cs="Arial"/>
          <w:color w:val="000000" w:themeColor="text1"/>
          <w:szCs w:val="22"/>
        </w:rPr>
        <w:t>6</w:t>
      </w:r>
      <w:r w:rsidR="00134587" w:rsidRPr="00C26B18">
        <w:rPr>
          <w:rFonts w:cs="Arial"/>
          <w:color w:val="000000" w:themeColor="text1"/>
          <w:szCs w:val="22"/>
        </w:rPr>
        <w:t xml:space="preserve"> locations in which the annual daily light level was lower than 10 mol m</w:t>
      </w:r>
      <w:r w:rsidR="00134587" w:rsidRPr="00C26B18">
        <w:rPr>
          <w:rFonts w:cs="Arial"/>
          <w:color w:val="000000" w:themeColor="text1"/>
          <w:szCs w:val="22"/>
          <w:vertAlign w:val="superscript"/>
        </w:rPr>
        <w:t>-2</w:t>
      </w:r>
      <w:r w:rsidR="00134587" w:rsidRPr="00C26B18">
        <w:rPr>
          <w:rFonts w:cs="Arial"/>
          <w:color w:val="000000" w:themeColor="text1"/>
          <w:szCs w:val="22"/>
        </w:rPr>
        <w:t xml:space="preserve"> d</w:t>
      </w:r>
      <w:r w:rsidR="00134587" w:rsidRPr="00C26B18">
        <w:rPr>
          <w:rFonts w:cs="Arial"/>
          <w:color w:val="000000" w:themeColor="text1"/>
          <w:szCs w:val="22"/>
          <w:vertAlign w:val="superscript"/>
        </w:rPr>
        <w:t>-1</w:t>
      </w:r>
      <w:r w:rsidR="00134587" w:rsidRPr="00C26B18">
        <w:rPr>
          <w:rFonts w:cs="Arial"/>
          <w:color w:val="000000" w:themeColor="text1"/>
          <w:szCs w:val="22"/>
        </w:rPr>
        <w:t>, a light threshold that is likely to support long-term growth requirements of the species in these habitats</w:t>
      </w:r>
      <w:r w:rsidR="007D2687" w:rsidRPr="00C26B18">
        <w:rPr>
          <w:rFonts w:cs="Arial"/>
          <w:color w:val="000000" w:themeColor="text1"/>
          <w:szCs w:val="22"/>
        </w:rPr>
        <w:t xml:space="preserve"> (Collier et al 2016)</w:t>
      </w:r>
      <w:r w:rsidR="00134587" w:rsidRPr="00C26B18">
        <w:rPr>
          <w:rFonts w:cs="Arial"/>
          <w:color w:val="000000" w:themeColor="text1"/>
          <w:szCs w:val="22"/>
        </w:rPr>
        <w:t xml:space="preserve">. </w:t>
      </w:r>
      <w:r w:rsidR="00E30F53">
        <w:rPr>
          <w:rFonts w:cs="Arial"/>
          <w:color w:val="000000" w:themeColor="text1"/>
          <w:szCs w:val="22"/>
        </w:rPr>
        <w:t xml:space="preserve">Five of these were </w:t>
      </w:r>
      <w:r w:rsidR="00C33CB5">
        <w:rPr>
          <w:rFonts w:cs="Arial"/>
          <w:color w:val="000000" w:themeColor="text1"/>
          <w:szCs w:val="22"/>
        </w:rPr>
        <w:t xml:space="preserve">the </w:t>
      </w:r>
      <w:r w:rsidR="00E30F53">
        <w:rPr>
          <w:rFonts w:cs="Arial"/>
          <w:color w:val="000000" w:themeColor="text1"/>
          <w:szCs w:val="22"/>
        </w:rPr>
        <w:t>subtidal sites, and</w:t>
      </w:r>
      <w:r w:rsidR="00C33CB5">
        <w:rPr>
          <w:rFonts w:cs="Arial"/>
          <w:color w:val="000000" w:themeColor="text1"/>
          <w:szCs w:val="22"/>
        </w:rPr>
        <w:t xml:space="preserve"> the sixth site below 10 </w:t>
      </w:r>
      <w:r w:rsidR="00C33CB5" w:rsidRPr="00C26B18">
        <w:rPr>
          <w:rFonts w:cs="Arial"/>
          <w:color w:val="000000" w:themeColor="text1"/>
          <w:szCs w:val="22"/>
        </w:rPr>
        <w:t>mol m</w:t>
      </w:r>
      <w:r w:rsidR="00C33CB5" w:rsidRPr="00C26B18">
        <w:rPr>
          <w:rFonts w:cs="Arial"/>
          <w:color w:val="000000" w:themeColor="text1"/>
          <w:szCs w:val="22"/>
          <w:vertAlign w:val="superscript"/>
        </w:rPr>
        <w:t>-2</w:t>
      </w:r>
      <w:r w:rsidR="00C33CB5" w:rsidRPr="00C26B18">
        <w:rPr>
          <w:rFonts w:cs="Arial"/>
          <w:color w:val="000000" w:themeColor="text1"/>
          <w:szCs w:val="22"/>
        </w:rPr>
        <w:t xml:space="preserve"> d</w:t>
      </w:r>
      <w:r w:rsidR="00C33CB5" w:rsidRPr="00C26B18">
        <w:rPr>
          <w:rFonts w:cs="Arial"/>
          <w:color w:val="000000" w:themeColor="text1"/>
          <w:szCs w:val="22"/>
          <w:vertAlign w:val="superscript"/>
        </w:rPr>
        <w:t>-1</w:t>
      </w:r>
      <w:r w:rsidR="00C33CB5">
        <w:rPr>
          <w:rFonts w:cs="Arial"/>
          <w:color w:val="000000" w:themeColor="text1"/>
          <w:szCs w:val="22"/>
          <w:vertAlign w:val="superscript"/>
        </w:rPr>
        <w:t xml:space="preserve"> </w:t>
      </w:r>
      <w:r w:rsidR="00C33CB5">
        <w:rPr>
          <w:rFonts w:cs="Arial"/>
          <w:color w:val="000000" w:themeColor="text1"/>
          <w:szCs w:val="22"/>
        </w:rPr>
        <w:t xml:space="preserve">was </w:t>
      </w:r>
      <w:r w:rsidR="00D26B4B">
        <w:rPr>
          <w:rFonts w:cs="Arial"/>
          <w:color w:val="000000" w:themeColor="text1"/>
          <w:szCs w:val="22"/>
        </w:rPr>
        <w:t xml:space="preserve">an intertidal site </w:t>
      </w:r>
      <w:r w:rsidR="00C33CB5">
        <w:rPr>
          <w:rFonts w:cs="Arial"/>
          <w:color w:val="000000" w:themeColor="text1"/>
          <w:szCs w:val="22"/>
        </w:rPr>
        <w:t xml:space="preserve">at Rodds Bay in the </w:t>
      </w:r>
      <w:r w:rsidR="00B72AC4">
        <w:rPr>
          <w:rFonts w:cs="Arial"/>
          <w:color w:val="000000" w:themeColor="text1"/>
          <w:szCs w:val="22"/>
        </w:rPr>
        <w:t>Burnett–Mary</w:t>
      </w:r>
      <w:r w:rsidR="00D26B4B">
        <w:rPr>
          <w:rFonts w:cs="Arial"/>
          <w:color w:val="000000" w:themeColor="text1"/>
          <w:szCs w:val="22"/>
        </w:rPr>
        <w:t xml:space="preserve"> (RD3)</w:t>
      </w:r>
      <w:r w:rsidR="00C33CB5">
        <w:rPr>
          <w:rFonts w:cs="Arial"/>
          <w:color w:val="000000" w:themeColor="text1"/>
          <w:szCs w:val="22"/>
        </w:rPr>
        <w:t xml:space="preserve">. </w:t>
      </w:r>
      <w:r w:rsidR="003327FF" w:rsidRPr="00C26B18">
        <w:rPr>
          <w:rFonts w:cs="Arial"/>
          <w:color w:val="000000" w:themeColor="text1"/>
          <w:szCs w:val="22"/>
        </w:rPr>
        <w:t>There were 1</w:t>
      </w:r>
      <w:r w:rsidR="00B671B8">
        <w:rPr>
          <w:rFonts w:cs="Arial"/>
          <w:color w:val="000000" w:themeColor="text1"/>
          <w:szCs w:val="22"/>
        </w:rPr>
        <w:t>3</w:t>
      </w:r>
      <w:r w:rsidR="003327FF" w:rsidRPr="00C26B18">
        <w:rPr>
          <w:rFonts w:cs="Arial"/>
          <w:color w:val="000000" w:themeColor="text1"/>
          <w:szCs w:val="22"/>
        </w:rPr>
        <w:t xml:space="preserve"> locations in which daily light was lower than the long-term average</w:t>
      </w:r>
      <w:r w:rsidR="00C33CB5">
        <w:rPr>
          <w:rFonts w:cs="Arial"/>
          <w:color w:val="000000" w:themeColor="text1"/>
          <w:szCs w:val="22"/>
        </w:rPr>
        <w:t xml:space="preserve">, with </w:t>
      </w:r>
      <w:r w:rsidR="00D26B4B">
        <w:rPr>
          <w:rFonts w:cs="Arial"/>
          <w:color w:val="000000" w:themeColor="text1"/>
          <w:szCs w:val="22"/>
        </w:rPr>
        <w:t>many</w:t>
      </w:r>
      <w:r w:rsidR="00C33CB5">
        <w:rPr>
          <w:rFonts w:cs="Arial"/>
          <w:color w:val="000000" w:themeColor="text1"/>
          <w:szCs w:val="22"/>
        </w:rPr>
        <w:t xml:space="preserve"> </w:t>
      </w:r>
      <w:r w:rsidR="005601FA">
        <w:rPr>
          <w:rFonts w:cs="Arial"/>
          <w:color w:val="000000" w:themeColor="text1"/>
          <w:szCs w:val="22"/>
        </w:rPr>
        <w:t>of</w:t>
      </w:r>
      <w:r w:rsidR="00C33CB5">
        <w:rPr>
          <w:rFonts w:cs="Arial"/>
          <w:color w:val="000000" w:themeColor="text1"/>
          <w:szCs w:val="22"/>
        </w:rPr>
        <w:t xml:space="preserve"> these in the wet tropics</w:t>
      </w:r>
      <w:r w:rsidR="003327FF" w:rsidRPr="00C26B18">
        <w:rPr>
          <w:rFonts w:cs="Arial"/>
          <w:color w:val="000000" w:themeColor="text1"/>
          <w:szCs w:val="22"/>
        </w:rPr>
        <w:t xml:space="preserve"> (</w:t>
      </w:r>
      <w:r w:rsidR="003327FF" w:rsidRPr="00C26B18">
        <w:rPr>
          <w:rFonts w:cs="Arial"/>
          <w:color w:val="000000" w:themeColor="text1"/>
          <w:szCs w:val="22"/>
        </w:rPr>
        <w:fldChar w:fldCharType="begin"/>
      </w:r>
      <w:r w:rsidR="003327FF" w:rsidRPr="00C26B18">
        <w:rPr>
          <w:rFonts w:cs="Arial"/>
          <w:color w:val="000000" w:themeColor="text1"/>
          <w:szCs w:val="22"/>
        </w:rPr>
        <w:instrText xml:space="preserve"> REF _Ref442465513 \h </w:instrText>
      </w:r>
      <w:r w:rsidR="00CB093C" w:rsidRPr="00C26B18">
        <w:rPr>
          <w:rFonts w:cs="Arial"/>
          <w:color w:val="000000" w:themeColor="text1"/>
          <w:szCs w:val="22"/>
        </w:rPr>
        <w:instrText xml:space="preserve"> \* MERGEFORMAT </w:instrText>
      </w:r>
      <w:r w:rsidR="003327FF" w:rsidRPr="00C26B18">
        <w:rPr>
          <w:rFonts w:cs="Arial"/>
          <w:color w:val="000000" w:themeColor="text1"/>
          <w:szCs w:val="22"/>
        </w:rPr>
      </w:r>
      <w:r w:rsidR="003327FF"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8</w:t>
      </w:r>
      <w:r w:rsidR="003327FF" w:rsidRPr="00C26B18">
        <w:rPr>
          <w:rFonts w:cs="Arial"/>
          <w:color w:val="000000" w:themeColor="text1"/>
          <w:szCs w:val="22"/>
        </w:rPr>
        <w:fldChar w:fldCharType="end"/>
      </w:r>
      <w:r w:rsidR="003327FF" w:rsidRPr="00C26B18">
        <w:rPr>
          <w:rFonts w:cs="Arial"/>
          <w:color w:val="000000" w:themeColor="text1"/>
          <w:szCs w:val="22"/>
        </w:rPr>
        <w:t xml:space="preserve">). </w:t>
      </w:r>
    </w:p>
    <w:p w14:paraId="1050F530" w14:textId="1F3AC55C" w:rsidR="003E039B" w:rsidRPr="00C26B18" w:rsidRDefault="003E039B" w:rsidP="00E742E9">
      <w:pPr>
        <w:rPr>
          <w:rFonts w:cs="Arial"/>
          <w:szCs w:val="22"/>
        </w:rPr>
      </w:pPr>
      <w:r w:rsidRPr="00C26B18">
        <w:rPr>
          <w:rFonts w:cs="Arial"/>
          <w:color w:val="000000" w:themeColor="text1"/>
          <w:szCs w:val="22"/>
        </w:rPr>
        <w:t xml:space="preserve">Long-term trends </w:t>
      </w:r>
      <w:r w:rsidR="00B96FEB" w:rsidRPr="00C26B18">
        <w:rPr>
          <w:rFonts w:cs="Arial"/>
          <w:color w:val="000000" w:themeColor="text1"/>
          <w:szCs w:val="22"/>
        </w:rPr>
        <w:t>show a</w:t>
      </w:r>
      <w:r w:rsidRPr="00C26B18">
        <w:rPr>
          <w:rFonts w:cs="Arial"/>
          <w:color w:val="000000" w:themeColor="text1"/>
          <w:szCs w:val="22"/>
        </w:rPr>
        <w:t xml:space="preserve"> peak in </w:t>
      </w:r>
      <w:r w:rsidR="00B671B8">
        <w:rPr>
          <w:rFonts w:cs="Arial"/>
          <w:color w:val="000000" w:themeColor="text1"/>
          <w:szCs w:val="22"/>
        </w:rPr>
        <w:t xml:space="preserve">within </w:t>
      </w:r>
      <w:r w:rsidRPr="00C26B18">
        <w:rPr>
          <w:rFonts w:cs="Arial"/>
          <w:color w:val="000000" w:themeColor="text1"/>
          <w:szCs w:val="22"/>
        </w:rPr>
        <w:t xml:space="preserve">canopy </w:t>
      </w:r>
      <w:r w:rsidR="00B671B8">
        <w:rPr>
          <w:rFonts w:cs="Arial"/>
          <w:color w:val="000000" w:themeColor="text1"/>
          <w:szCs w:val="22"/>
        </w:rPr>
        <w:t xml:space="preserve">daily </w:t>
      </w:r>
      <w:r w:rsidRPr="00C26B18">
        <w:rPr>
          <w:rFonts w:cs="Arial"/>
          <w:color w:val="000000" w:themeColor="text1"/>
          <w:szCs w:val="22"/>
        </w:rPr>
        <w:t>light occurs in September to December as incident solar irradiation reaches its maximum and prior to wet season conditions (</w:t>
      </w:r>
      <w:r w:rsidR="000838A4" w:rsidRPr="00C26B18">
        <w:rPr>
          <w:rFonts w:cs="Arial"/>
          <w:color w:val="000000" w:themeColor="text1"/>
          <w:szCs w:val="22"/>
        </w:rPr>
        <w:fldChar w:fldCharType="begin"/>
      </w:r>
      <w:r w:rsidR="000838A4" w:rsidRPr="00C26B18">
        <w:rPr>
          <w:rFonts w:cs="Arial"/>
          <w:color w:val="000000" w:themeColor="text1"/>
          <w:szCs w:val="22"/>
        </w:rPr>
        <w:instrText xml:space="preserve"> REF _Ref442455578 \h  \* MERGEFORMAT </w:instrText>
      </w:r>
      <w:r w:rsidR="000838A4" w:rsidRPr="00C26B18">
        <w:rPr>
          <w:rFonts w:cs="Arial"/>
          <w:color w:val="000000" w:themeColor="text1"/>
          <w:szCs w:val="22"/>
        </w:rPr>
      </w:r>
      <w:r w:rsidR="000838A4" w:rsidRPr="00C26B18">
        <w:rPr>
          <w:rFonts w:cs="Arial"/>
          <w:color w:val="000000" w:themeColor="text1"/>
          <w:szCs w:val="22"/>
        </w:rPr>
        <w:fldChar w:fldCharType="separate"/>
      </w:r>
      <w:r w:rsidR="0067675D" w:rsidRPr="00C26B18">
        <w:rPr>
          <w:rFonts w:cs="Arial"/>
          <w:color w:val="000000"/>
          <w:szCs w:val="22"/>
        </w:rPr>
        <w:t xml:space="preserve">Figure </w:t>
      </w:r>
      <w:r w:rsidR="0067675D">
        <w:rPr>
          <w:rFonts w:cs="Arial"/>
          <w:noProof/>
          <w:color w:val="000000"/>
          <w:szCs w:val="22"/>
        </w:rPr>
        <w:t>10</w:t>
      </w:r>
      <w:r w:rsidR="000838A4" w:rsidRPr="00C26B18">
        <w:rPr>
          <w:rFonts w:cs="Arial"/>
          <w:color w:val="000000" w:themeColor="text1"/>
          <w:szCs w:val="22"/>
        </w:rPr>
        <w:fldChar w:fldCharType="end"/>
      </w:r>
      <w:r w:rsidRPr="00C26B18">
        <w:rPr>
          <w:rFonts w:cs="Arial"/>
          <w:color w:val="000000" w:themeColor="text1"/>
          <w:szCs w:val="22"/>
        </w:rPr>
        <w:t>). The lowest light levels typically occur in the wet season</w:t>
      </w:r>
      <w:r w:rsidR="00AA3D52" w:rsidRPr="00C26B18">
        <w:rPr>
          <w:rFonts w:cs="Arial"/>
          <w:color w:val="000000" w:themeColor="text1"/>
          <w:szCs w:val="22"/>
        </w:rPr>
        <w:t>,</w:t>
      </w:r>
      <w:r w:rsidRPr="00C26B18">
        <w:rPr>
          <w:rFonts w:cs="Arial"/>
          <w:color w:val="000000" w:themeColor="text1"/>
          <w:szCs w:val="22"/>
        </w:rPr>
        <w:t xml:space="preserve"> particular</w:t>
      </w:r>
      <w:r w:rsidR="00AA3D52" w:rsidRPr="00C26B18">
        <w:rPr>
          <w:rFonts w:cs="Arial"/>
          <w:color w:val="000000" w:themeColor="text1"/>
          <w:szCs w:val="22"/>
        </w:rPr>
        <w:t>ly</w:t>
      </w:r>
      <w:r w:rsidRPr="00C26B18">
        <w:rPr>
          <w:rFonts w:cs="Arial"/>
          <w:color w:val="000000" w:themeColor="text1"/>
          <w:szCs w:val="22"/>
        </w:rPr>
        <w:t xml:space="preserve"> </w:t>
      </w:r>
      <w:r w:rsidR="008821D9" w:rsidRPr="00C26B18">
        <w:rPr>
          <w:rFonts w:cs="Arial"/>
          <w:color w:val="000000" w:themeColor="text1"/>
          <w:szCs w:val="22"/>
        </w:rPr>
        <w:t xml:space="preserve">in </w:t>
      </w:r>
      <w:r w:rsidRPr="00C26B18">
        <w:rPr>
          <w:rFonts w:cs="Arial"/>
          <w:color w:val="000000" w:themeColor="text1"/>
          <w:szCs w:val="22"/>
        </w:rPr>
        <w:t>January to April</w:t>
      </w:r>
      <w:r w:rsidR="00B671B8">
        <w:rPr>
          <w:rFonts w:cs="Arial"/>
          <w:color w:val="000000" w:themeColor="text1"/>
          <w:szCs w:val="22"/>
        </w:rPr>
        <w:t>. In 2018</w:t>
      </w:r>
      <w:r w:rsidR="00B671B8" w:rsidRPr="00C26B18">
        <w:rPr>
          <w:rFonts w:cs="Arial"/>
          <w:color w:val="000000" w:themeColor="text1"/>
          <w:szCs w:val="22"/>
        </w:rPr>
        <w:t>–</w:t>
      </w:r>
      <w:r w:rsidR="00B671B8">
        <w:rPr>
          <w:rFonts w:cs="Arial"/>
          <w:color w:val="000000" w:themeColor="text1"/>
          <w:szCs w:val="22"/>
        </w:rPr>
        <w:t>19, daily light dropped rapidly from dry season maxima to wet season lows at the end of December</w:t>
      </w:r>
      <w:r w:rsidRPr="00C26B18">
        <w:rPr>
          <w:rFonts w:cs="Arial"/>
          <w:szCs w:val="22"/>
        </w:rPr>
        <w:t xml:space="preserve">. </w:t>
      </w:r>
    </w:p>
    <w:p w14:paraId="2BAE7873" w14:textId="783B91FC" w:rsidR="00116C64" w:rsidRPr="00C26B18" w:rsidRDefault="00CF22B9" w:rsidP="00E742E9">
      <w:pPr>
        <w:keepNext/>
        <w:widowControl w:val="0"/>
        <w:jc w:val="center"/>
        <w:rPr>
          <w:rFonts w:cs="Arial"/>
          <w:noProof/>
          <w:color w:val="000000"/>
          <w:szCs w:val="22"/>
          <w:lang w:eastAsia="en-AU"/>
        </w:rPr>
      </w:pPr>
      <w:r w:rsidRPr="00C26B18">
        <w:rPr>
          <w:rFonts w:cs="Arial"/>
          <w:noProof/>
          <w:color w:val="000000"/>
          <w:szCs w:val="22"/>
          <w:lang w:eastAsia="en-AU"/>
        </w:rPr>
        <w:lastRenderedPageBreak/>
        <w:drawing>
          <wp:inline distT="0" distB="0" distL="0" distR="0" wp14:anchorId="205C71CD" wp14:editId="1CE52779">
            <wp:extent cx="5809327" cy="1718734"/>
            <wp:effectExtent l="0" t="0" r="1270" b="0"/>
            <wp:docPr id="99" name="Picture 99" descr="Plot of average daily light for all sites combined  from 2008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GBR-wide_light)combined figure-01.png"/>
                    <pic:cNvPicPr/>
                  </pic:nvPicPr>
                  <pic:blipFill rotWithShape="1">
                    <a:blip r:embed="rId64"/>
                    <a:srcRect b="14696"/>
                    <a:stretch/>
                  </pic:blipFill>
                  <pic:spPr bwMode="auto">
                    <a:xfrm>
                      <a:off x="0" y="0"/>
                      <a:ext cx="5824158" cy="1723122"/>
                    </a:xfrm>
                    <a:prstGeom prst="rect">
                      <a:avLst/>
                    </a:prstGeom>
                    <a:ln>
                      <a:noFill/>
                    </a:ln>
                    <a:extLst>
                      <a:ext uri="{53640926-AAD7-44D8-BBD7-CCE9431645EC}">
                        <a14:shadowObscured xmlns:a14="http://schemas.microsoft.com/office/drawing/2010/main"/>
                      </a:ext>
                    </a:extLst>
                  </pic:spPr>
                </pic:pic>
              </a:graphicData>
            </a:graphic>
          </wp:inline>
        </w:drawing>
      </w:r>
    </w:p>
    <w:p w14:paraId="5F4FAA2B" w14:textId="0A475258" w:rsidR="00116C64" w:rsidRPr="00C26B18" w:rsidRDefault="00116C64" w:rsidP="004C6169">
      <w:pPr>
        <w:jc w:val="both"/>
        <w:rPr>
          <w:rFonts w:cs="Arial"/>
          <w:i/>
          <w:color w:val="000000" w:themeColor="text1"/>
          <w:szCs w:val="22"/>
        </w:rPr>
      </w:pPr>
      <w:bookmarkStart w:id="198" w:name="_Ref442455578"/>
      <w:bookmarkStart w:id="199" w:name="_Toc38634114"/>
      <w:r w:rsidRPr="00C26B18">
        <w:rPr>
          <w:rFonts w:cs="Arial"/>
          <w:color w:val="000000"/>
          <w:szCs w:val="22"/>
        </w:rPr>
        <w:t xml:space="preserve">Figure </w:t>
      </w:r>
      <w:r w:rsidRPr="00C26B18">
        <w:rPr>
          <w:rFonts w:cs="Arial"/>
          <w:color w:val="000000"/>
          <w:szCs w:val="22"/>
        </w:rPr>
        <w:fldChar w:fldCharType="begin"/>
      </w:r>
      <w:r w:rsidRPr="00C26B18">
        <w:rPr>
          <w:rFonts w:cs="Arial"/>
          <w:color w:val="000000"/>
          <w:szCs w:val="22"/>
        </w:rPr>
        <w:instrText xml:space="preserve"> SEQ Figure \* ARABIC </w:instrText>
      </w:r>
      <w:r w:rsidRPr="00C26B18">
        <w:rPr>
          <w:rFonts w:cs="Arial"/>
          <w:color w:val="000000"/>
          <w:szCs w:val="22"/>
        </w:rPr>
        <w:fldChar w:fldCharType="separate"/>
      </w:r>
      <w:r w:rsidR="0067675D">
        <w:rPr>
          <w:rFonts w:cs="Arial"/>
          <w:noProof/>
          <w:color w:val="000000"/>
          <w:szCs w:val="22"/>
        </w:rPr>
        <w:t>10</w:t>
      </w:r>
      <w:r w:rsidRPr="00C26B18">
        <w:rPr>
          <w:rFonts w:cs="Arial"/>
          <w:color w:val="000000"/>
          <w:szCs w:val="22"/>
        </w:rPr>
        <w:fldChar w:fldCharType="end"/>
      </w:r>
      <w:bookmarkEnd w:id="198"/>
      <w:r w:rsidRPr="00C26B18">
        <w:rPr>
          <w:rFonts w:cs="Arial"/>
          <w:color w:val="000000"/>
          <w:szCs w:val="22"/>
        </w:rPr>
        <w:t xml:space="preserve">. </w:t>
      </w:r>
      <w:r w:rsidRPr="00C26B18">
        <w:rPr>
          <w:rFonts w:cs="Arial"/>
          <w:i/>
          <w:color w:val="000000" w:themeColor="text1"/>
          <w:szCs w:val="22"/>
        </w:rPr>
        <w:t>Daily light for all sites combined</w:t>
      </w:r>
      <w:r w:rsidR="00894769" w:rsidRPr="00C26B18">
        <w:rPr>
          <w:rFonts w:cs="Arial"/>
          <w:i/>
          <w:color w:val="000000" w:themeColor="text1"/>
          <w:szCs w:val="22"/>
        </w:rPr>
        <w:t xml:space="preserve"> </w:t>
      </w:r>
      <w:r w:rsidRPr="00C26B18">
        <w:rPr>
          <w:rFonts w:cs="Arial"/>
          <w:i/>
          <w:color w:val="000000" w:themeColor="text1"/>
          <w:szCs w:val="22"/>
        </w:rPr>
        <w:t>from 2008 to 201</w:t>
      </w:r>
      <w:r w:rsidR="00956639" w:rsidRPr="00C26B18">
        <w:rPr>
          <w:rFonts w:cs="Arial"/>
          <w:i/>
          <w:color w:val="000000" w:themeColor="text1"/>
          <w:szCs w:val="22"/>
        </w:rPr>
        <w:t>9</w:t>
      </w:r>
      <w:r w:rsidRPr="00C26B18">
        <w:rPr>
          <w:rFonts w:cs="Arial"/>
          <w:i/>
          <w:color w:val="000000" w:themeColor="text1"/>
          <w:szCs w:val="22"/>
        </w:rPr>
        <w:t>.</w:t>
      </w:r>
      <w:r w:rsidR="00B96FEB" w:rsidRPr="00C26B18">
        <w:rPr>
          <w:rFonts w:cs="Arial"/>
          <w:i/>
          <w:color w:val="000000" w:themeColor="text1"/>
          <w:szCs w:val="22"/>
        </w:rPr>
        <w:t xml:space="preserve"> </w:t>
      </w:r>
      <w:r w:rsidR="00297244" w:rsidRPr="00C26B18">
        <w:rPr>
          <w:rFonts w:cs="Arial"/>
          <w:i/>
          <w:vanish/>
          <w:color w:val="000000" w:themeColor="text1"/>
          <w:szCs w:val="22"/>
          <w:specVanish/>
        </w:rPr>
        <w:t xml:space="preserve"> </w:t>
      </w:r>
      <w:r w:rsidR="00202C51" w:rsidRPr="00C26B18">
        <w:rPr>
          <w:rFonts w:cs="Arial"/>
          <w:i/>
          <w:color w:val="000000" w:themeColor="text1"/>
          <w:szCs w:val="22"/>
        </w:rPr>
        <w:t>In 2008</w:t>
      </w:r>
      <w:r w:rsidR="00B96FEB" w:rsidRPr="00C26B18">
        <w:rPr>
          <w:rFonts w:cs="Arial"/>
          <w:i/>
          <w:color w:val="000000" w:themeColor="text1"/>
          <w:szCs w:val="22"/>
        </w:rPr>
        <w:t>–</w:t>
      </w:r>
      <w:r w:rsidR="00056F8D" w:rsidRPr="00C26B18">
        <w:rPr>
          <w:rFonts w:cs="Arial"/>
          <w:i/>
          <w:color w:val="000000" w:themeColor="text1"/>
          <w:szCs w:val="22"/>
        </w:rPr>
        <w:t>20</w:t>
      </w:r>
      <w:r w:rsidR="00202C51" w:rsidRPr="00C26B18">
        <w:rPr>
          <w:rFonts w:cs="Arial"/>
          <w:i/>
          <w:color w:val="000000" w:themeColor="text1"/>
          <w:szCs w:val="22"/>
        </w:rPr>
        <w:t>09, light data is from the Burdekin and Wet Tropics regions</w:t>
      </w:r>
      <w:r w:rsidR="00DB7D3D">
        <w:rPr>
          <w:rFonts w:cs="Arial"/>
          <w:i/>
          <w:color w:val="000000" w:themeColor="text1"/>
          <w:szCs w:val="22"/>
        </w:rPr>
        <w:t xml:space="preserve"> only</w:t>
      </w:r>
      <w:r w:rsidR="00B96FEB" w:rsidRPr="00C26B18">
        <w:rPr>
          <w:rFonts w:cs="Arial"/>
          <w:i/>
          <w:color w:val="000000" w:themeColor="text1"/>
          <w:szCs w:val="22"/>
        </w:rPr>
        <w:t>.</w:t>
      </w:r>
      <w:r w:rsidR="00202C51" w:rsidRPr="00C26B18">
        <w:rPr>
          <w:rFonts w:cs="Arial"/>
          <w:i/>
          <w:color w:val="000000" w:themeColor="text1"/>
          <w:szCs w:val="22"/>
        </w:rPr>
        <w:t xml:space="preserve"> </w:t>
      </w:r>
      <w:r w:rsidR="00B96FEB" w:rsidRPr="00C26B18">
        <w:rPr>
          <w:rFonts w:cs="Arial"/>
          <w:i/>
          <w:color w:val="000000" w:themeColor="text1"/>
          <w:szCs w:val="22"/>
        </w:rPr>
        <w:t xml:space="preserve">Other </w:t>
      </w:r>
      <w:r w:rsidR="00202C51" w:rsidRPr="00C26B18">
        <w:rPr>
          <w:rFonts w:cs="Arial"/>
          <w:i/>
          <w:color w:val="000000" w:themeColor="text1"/>
          <w:szCs w:val="22"/>
        </w:rPr>
        <w:t xml:space="preserve">regions were included </w:t>
      </w:r>
      <w:r w:rsidR="00B96FEB" w:rsidRPr="00C26B18">
        <w:rPr>
          <w:rFonts w:cs="Arial"/>
          <w:i/>
          <w:color w:val="000000" w:themeColor="text1"/>
          <w:szCs w:val="22"/>
        </w:rPr>
        <w:t xml:space="preserve">from </w:t>
      </w:r>
      <w:r w:rsidR="00202C51" w:rsidRPr="00C26B18">
        <w:rPr>
          <w:rFonts w:cs="Arial"/>
          <w:i/>
          <w:color w:val="000000" w:themeColor="text1"/>
          <w:szCs w:val="22"/>
        </w:rPr>
        <w:t>2009</w:t>
      </w:r>
      <w:r w:rsidR="00FD625B" w:rsidRPr="00C26B18">
        <w:rPr>
          <w:rFonts w:cs="Arial"/>
          <w:i/>
          <w:color w:val="000000" w:themeColor="text1"/>
          <w:szCs w:val="22"/>
        </w:rPr>
        <w:t>–</w:t>
      </w:r>
      <w:r w:rsidR="00056F8D" w:rsidRPr="00C26B18">
        <w:rPr>
          <w:rFonts w:cs="Arial"/>
          <w:i/>
          <w:color w:val="000000" w:themeColor="text1"/>
          <w:szCs w:val="22"/>
        </w:rPr>
        <w:t>20</w:t>
      </w:r>
      <w:r w:rsidR="00202C51" w:rsidRPr="00C26B18">
        <w:rPr>
          <w:rFonts w:cs="Arial"/>
          <w:i/>
          <w:color w:val="000000" w:themeColor="text1"/>
          <w:szCs w:val="22"/>
        </w:rPr>
        <w:t xml:space="preserve">10, </w:t>
      </w:r>
      <w:r w:rsidR="00B96FEB" w:rsidRPr="00C26B18">
        <w:rPr>
          <w:rFonts w:cs="Arial"/>
          <w:i/>
          <w:color w:val="000000" w:themeColor="text1"/>
          <w:szCs w:val="22"/>
        </w:rPr>
        <w:t xml:space="preserve">with </w:t>
      </w:r>
      <w:r w:rsidR="00202C51" w:rsidRPr="00C26B18">
        <w:rPr>
          <w:rFonts w:cs="Arial"/>
          <w:i/>
          <w:color w:val="000000" w:themeColor="text1"/>
          <w:szCs w:val="22"/>
        </w:rPr>
        <w:t xml:space="preserve">Cape York added </w:t>
      </w:r>
      <w:r w:rsidR="00B96FEB" w:rsidRPr="00C26B18">
        <w:rPr>
          <w:rFonts w:cs="Arial"/>
          <w:i/>
          <w:color w:val="000000" w:themeColor="text1"/>
          <w:szCs w:val="22"/>
        </w:rPr>
        <w:t>post</w:t>
      </w:r>
      <w:r w:rsidR="00202C51" w:rsidRPr="00C26B18">
        <w:rPr>
          <w:rFonts w:cs="Arial"/>
          <w:i/>
          <w:color w:val="000000" w:themeColor="text1"/>
          <w:szCs w:val="22"/>
        </w:rPr>
        <w:t xml:space="preserve"> 2012</w:t>
      </w:r>
      <w:r w:rsidR="00B96FEB" w:rsidRPr="00C26B18">
        <w:rPr>
          <w:rFonts w:cs="Arial"/>
          <w:i/>
          <w:color w:val="000000" w:themeColor="text1"/>
          <w:szCs w:val="22"/>
        </w:rPr>
        <w:t>–</w:t>
      </w:r>
      <w:r w:rsidR="00056F8D" w:rsidRPr="00C26B18">
        <w:rPr>
          <w:rFonts w:cs="Arial"/>
          <w:i/>
          <w:color w:val="000000" w:themeColor="text1"/>
          <w:szCs w:val="22"/>
        </w:rPr>
        <w:t>20</w:t>
      </w:r>
      <w:r w:rsidR="00202C51" w:rsidRPr="00C26B18">
        <w:rPr>
          <w:rFonts w:cs="Arial"/>
          <w:i/>
          <w:color w:val="000000" w:themeColor="text1"/>
          <w:szCs w:val="22"/>
        </w:rPr>
        <w:t>13 reporting period.</w:t>
      </w:r>
      <w:bookmarkEnd w:id="199"/>
    </w:p>
    <w:p w14:paraId="298B53B7" w14:textId="77777777" w:rsidR="00EF4396" w:rsidRPr="00C26B18" w:rsidRDefault="00EF4396" w:rsidP="00EF4396">
      <w:pPr>
        <w:jc w:val="both"/>
        <w:rPr>
          <w:rFonts w:cs="Arial"/>
          <w:i/>
          <w:vanish/>
          <w:color w:val="000000" w:themeColor="text1"/>
          <w:szCs w:val="22"/>
        </w:rPr>
      </w:pPr>
    </w:p>
    <w:p w14:paraId="187F8D5E" w14:textId="3040126E" w:rsidR="00811ABE" w:rsidRPr="00A37E15" w:rsidRDefault="003737E9" w:rsidP="000150D8">
      <w:pPr>
        <w:pStyle w:val="Heading2"/>
      </w:pPr>
      <w:bookmarkStart w:id="200" w:name="_Toc37775055"/>
      <w:bookmarkStart w:id="201" w:name="_Toc43987030"/>
      <w:r w:rsidRPr="00A37E15">
        <w:t>Within-</w:t>
      </w:r>
      <w:r w:rsidR="00811ABE" w:rsidRPr="00A37E15">
        <w:t>canopy seawater temperature</w:t>
      </w:r>
      <w:bookmarkEnd w:id="200"/>
      <w:bookmarkEnd w:id="201"/>
    </w:p>
    <w:p w14:paraId="3AC7F27D" w14:textId="00045B1E" w:rsidR="005E0AFE" w:rsidRPr="00C26B18" w:rsidRDefault="005C1908" w:rsidP="005E0AFE">
      <w:pPr>
        <w:rPr>
          <w:rFonts w:cs="Arial"/>
          <w:color w:val="000000" w:themeColor="text1"/>
          <w:szCs w:val="22"/>
        </w:rPr>
      </w:pPr>
      <w:r w:rsidRPr="00C26B18">
        <w:rPr>
          <w:rFonts w:cs="Arial"/>
          <w:szCs w:val="22"/>
        </w:rPr>
        <w:t xml:space="preserve">Daily within-canopy seawater temperature across the Reef in 2018–19 was cooler than the previous four reporting </w:t>
      </w:r>
      <w:r w:rsidR="00DB7D3D">
        <w:rPr>
          <w:rFonts w:cs="Arial"/>
          <w:szCs w:val="22"/>
        </w:rPr>
        <w:t>periods</w:t>
      </w:r>
      <w:r w:rsidRPr="00C26B18">
        <w:rPr>
          <w:rFonts w:cs="Arial"/>
          <w:szCs w:val="22"/>
        </w:rPr>
        <w:t xml:space="preserve">, when there were a record number of temperature exceedances, and widespread bleaching throughout the Reef </w:t>
      </w:r>
      <w:r w:rsidRPr="00C26B18">
        <w:rPr>
          <w:rFonts w:cs="Arial"/>
          <w:color w:val="000000" w:themeColor="text1"/>
          <w:szCs w:val="22"/>
        </w:rPr>
        <w:t>(</w:t>
      </w:r>
      <w:r w:rsidRPr="00C26B18">
        <w:rPr>
          <w:rFonts w:cs="Arial"/>
          <w:color w:val="000000" w:themeColor="text1"/>
          <w:szCs w:val="22"/>
        </w:rPr>
        <w:fldChar w:fldCharType="begin"/>
      </w:r>
      <w:r w:rsidRPr="00C26B18">
        <w:rPr>
          <w:rFonts w:cs="Arial"/>
          <w:color w:val="000000" w:themeColor="text1"/>
          <w:szCs w:val="22"/>
        </w:rPr>
        <w:instrText xml:space="preserve"> REF _Ref442454861 \h  \* MERGEFORMAT </w:instrText>
      </w:r>
      <w:r w:rsidRPr="00C26B18">
        <w:rPr>
          <w:rFonts w:cs="Arial"/>
          <w:color w:val="000000" w:themeColor="text1"/>
          <w:szCs w:val="22"/>
        </w:rPr>
      </w:r>
      <w:r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11</w:t>
      </w:r>
      <w:r w:rsidRPr="00C26B18">
        <w:rPr>
          <w:rFonts w:cs="Arial"/>
          <w:color w:val="000000" w:themeColor="text1"/>
          <w:szCs w:val="22"/>
        </w:rPr>
        <w:fldChar w:fldCharType="end"/>
      </w:r>
      <w:r w:rsidRPr="00C26B18">
        <w:rPr>
          <w:rFonts w:cs="Arial"/>
          <w:color w:val="000000" w:themeColor="text1"/>
          <w:szCs w:val="22"/>
        </w:rPr>
        <w:t>)</w:t>
      </w:r>
      <w:r w:rsidRPr="00C26B18">
        <w:rPr>
          <w:rFonts w:cs="Arial"/>
          <w:szCs w:val="22"/>
        </w:rPr>
        <w:t xml:space="preserve">. The 2018–19 Reef temperature was on average (25.7 ±0.15°C) similar to the long-term (2003–18, 25.7°C) </w:t>
      </w:r>
      <w:r w:rsidR="005E0AFE" w:rsidRPr="00C26B18">
        <w:rPr>
          <w:rFonts w:cs="Arial"/>
          <w:color w:val="000000" w:themeColor="text1"/>
          <w:szCs w:val="22"/>
        </w:rPr>
        <w:t>(</w:t>
      </w:r>
      <w:r w:rsidR="005E0AFE" w:rsidRPr="00C26B18">
        <w:rPr>
          <w:rFonts w:cs="Arial"/>
          <w:color w:val="000000" w:themeColor="text1"/>
          <w:szCs w:val="22"/>
        </w:rPr>
        <w:fldChar w:fldCharType="begin"/>
      </w:r>
      <w:r w:rsidR="005E0AFE" w:rsidRPr="00C26B18">
        <w:rPr>
          <w:rFonts w:cs="Arial"/>
          <w:color w:val="000000" w:themeColor="text1"/>
          <w:szCs w:val="22"/>
        </w:rPr>
        <w:instrText xml:space="preserve"> REF _Ref441775247 \h  \* MERGEFORMAT </w:instrText>
      </w:r>
      <w:r w:rsidR="005E0AFE" w:rsidRPr="00C26B18">
        <w:rPr>
          <w:rFonts w:cs="Arial"/>
          <w:color w:val="000000" w:themeColor="text1"/>
          <w:szCs w:val="22"/>
        </w:rPr>
      </w:r>
      <w:r w:rsidR="005E0AFE" w:rsidRPr="00C26B18">
        <w:rPr>
          <w:rFonts w:cs="Arial"/>
          <w:color w:val="000000" w:themeColor="text1"/>
          <w:szCs w:val="22"/>
        </w:rPr>
        <w:fldChar w:fldCharType="separate"/>
      </w:r>
      <w:r w:rsidR="0067675D" w:rsidRPr="00C26B18">
        <w:rPr>
          <w:rFonts w:cs="Arial"/>
          <w:szCs w:val="22"/>
        </w:rPr>
        <w:t xml:space="preserve">Table </w:t>
      </w:r>
      <w:r w:rsidR="0067675D">
        <w:rPr>
          <w:rFonts w:cs="Arial"/>
          <w:noProof/>
          <w:szCs w:val="22"/>
        </w:rPr>
        <w:t>8</w:t>
      </w:r>
      <w:r w:rsidR="005E0AFE" w:rsidRPr="00C26B18">
        <w:rPr>
          <w:rFonts w:cs="Arial"/>
          <w:color w:val="000000" w:themeColor="text1"/>
          <w:szCs w:val="22"/>
        </w:rPr>
        <w:fldChar w:fldCharType="end"/>
      </w:r>
      <w:r w:rsidR="005E0AFE" w:rsidRPr="00C26B18">
        <w:rPr>
          <w:rFonts w:cs="Arial"/>
          <w:color w:val="000000" w:themeColor="text1"/>
          <w:szCs w:val="22"/>
        </w:rPr>
        <w:t>). However, there were regional and habitat differences relative to the long-term</w:t>
      </w:r>
      <w:r w:rsidR="00130F21" w:rsidRPr="00C26B18">
        <w:rPr>
          <w:rFonts w:cs="Arial"/>
          <w:color w:val="000000" w:themeColor="text1"/>
          <w:szCs w:val="22"/>
        </w:rPr>
        <w:t xml:space="preserve"> (</w:t>
      </w:r>
      <w:r w:rsidR="00130F21" w:rsidRPr="00C26B18">
        <w:rPr>
          <w:rFonts w:cs="Arial"/>
          <w:color w:val="000000" w:themeColor="text1"/>
          <w:szCs w:val="22"/>
        </w:rPr>
        <w:fldChar w:fldCharType="begin"/>
      </w:r>
      <w:r w:rsidR="00130F21" w:rsidRPr="00C26B18">
        <w:rPr>
          <w:rFonts w:cs="Arial"/>
          <w:color w:val="000000" w:themeColor="text1"/>
          <w:szCs w:val="22"/>
        </w:rPr>
        <w:instrText xml:space="preserve"> REF _Ref442465513 \h </w:instrText>
      </w:r>
      <w:r w:rsidR="00C26B18" w:rsidRPr="00C26B18">
        <w:rPr>
          <w:rFonts w:cs="Arial"/>
          <w:color w:val="000000" w:themeColor="text1"/>
          <w:szCs w:val="22"/>
        </w:rPr>
        <w:instrText xml:space="preserve"> \* MERGEFORMAT </w:instrText>
      </w:r>
      <w:r w:rsidR="00130F21" w:rsidRPr="00C26B18">
        <w:rPr>
          <w:rFonts w:cs="Arial"/>
          <w:color w:val="000000" w:themeColor="text1"/>
          <w:szCs w:val="22"/>
        </w:rPr>
      </w:r>
      <w:r w:rsidR="00130F21"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8</w:t>
      </w:r>
      <w:r w:rsidR="00130F21" w:rsidRPr="00C26B18">
        <w:rPr>
          <w:rFonts w:cs="Arial"/>
          <w:color w:val="000000" w:themeColor="text1"/>
          <w:szCs w:val="22"/>
        </w:rPr>
        <w:fldChar w:fldCharType="end"/>
      </w:r>
      <w:r w:rsidR="00130F21" w:rsidRPr="00C26B18">
        <w:rPr>
          <w:rFonts w:cs="Arial"/>
          <w:color w:val="000000" w:themeColor="text1"/>
          <w:szCs w:val="22"/>
        </w:rPr>
        <w:t>)</w:t>
      </w:r>
      <w:r w:rsidR="005E0AFE" w:rsidRPr="00C26B18">
        <w:rPr>
          <w:rFonts w:cs="Arial"/>
          <w:color w:val="000000" w:themeColor="text1"/>
          <w:szCs w:val="22"/>
        </w:rPr>
        <w:t>.</w:t>
      </w:r>
    </w:p>
    <w:p w14:paraId="64EE10BC" w14:textId="268164CC" w:rsidR="005E0AFE" w:rsidRPr="00C26B18" w:rsidRDefault="005C1908" w:rsidP="005E0AFE">
      <w:pPr>
        <w:rPr>
          <w:rFonts w:cs="Arial"/>
          <w:color w:val="000000" w:themeColor="text1"/>
          <w:szCs w:val="22"/>
        </w:rPr>
      </w:pPr>
      <w:r w:rsidRPr="00C26B18">
        <w:rPr>
          <w:rFonts w:cs="Arial"/>
          <w:szCs w:val="22"/>
        </w:rPr>
        <w:t xml:space="preserve">Daily within-canopy seawater temperatures </w:t>
      </w:r>
      <w:r w:rsidRPr="00C26B18">
        <w:rPr>
          <w:rFonts w:cs="Arial"/>
          <w:color w:val="000000" w:themeColor="text1"/>
          <w:szCs w:val="22"/>
        </w:rPr>
        <w:t xml:space="preserve">in the regions in 2018–19 </w:t>
      </w:r>
      <w:r w:rsidR="00E504F8">
        <w:rPr>
          <w:rFonts w:cs="Arial"/>
          <w:color w:val="000000" w:themeColor="text1"/>
          <w:szCs w:val="22"/>
        </w:rPr>
        <w:t>(including number of days above 35</w:t>
      </w:r>
      <w:r w:rsidR="00E504F8" w:rsidRPr="00C26B18">
        <w:rPr>
          <w:rFonts w:cs="Arial"/>
          <w:color w:val="000000" w:themeColor="text1"/>
          <w:szCs w:val="22"/>
        </w:rPr>
        <w:t>°C</w:t>
      </w:r>
      <w:r w:rsidR="00E504F8">
        <w:rPr>
          <w:rFonts w:cs="Arial"/>
          <w:color w:val="000000" w:themeColor="text1"/>
          <w:szCs w:val="22"/>
        </w:rPr>
        <w:t xml:space="preserve"> and 40</w:t>
      </w:r>
      <w:r w:rsidR="00E504F8" w:rsidRPr="00C26B18">
        <w:rPr>
          <w:rFonts w:cs="Arial"/>
          <w:color w:val="000000" w:themeColor="text1"/>
          <w:szCs w:val="22"/>
        </w:rPr>
        <w:t>°C</w:t>
      </w:r>
      <w:r w:rsidR="00E504F8">
        <w:rPr>
          <w:rFonts w:cs="Arial"/>
          <w:color w:val="000000" w:themeColor="text1"/>
          <w:szCs w:val="22"/>
        </w:rPr>
        <w:t xml:space="preserve">) </w:t>
      </w:r>
      <w:r w:rsidRPr="00C26B18">
        <w:rPr>
          <w:rFonts w:cs="Arial"/>
          <w:color w:val="000000" w:themeColor="text1"/>
          <w:szCs w:val="22"/>
        </w:rPr>
        <w:t xml:space="preserve">from warmest to coolest difference </w:t>
      </w:r>
      <w:r w:rsidRPr="00C26B18">
        <w:rPr>
          <w:rFonts w:cs="Arial"/>
          <w:szCs w:val="22"/>
        </w:rPr>
        <w:t>(* = greater than 0.5</w:t>
      </w:r>
      <w:r w:rsidRPr="00C26B18">
        <w:rPr>
          <w:rFonts w:cs="Arial"/>
          <w:color w:val="000000" w:themeColor="text1"/>
          <w:szCs w:val="22"/>
        </w:rPr>
        <w:t>°C</w:t>
      </w:r>
      <w:r w:rsidRPr="00C26B18">
        <w:rPr>
          <w:rFonts w:cs="Arial"/>
          <w:szCs w:val="22"/>
        </w:rPr>
        <w:t xml:space="preserve">) relative </w:t>
      </w:r>
      <w:r w:rsidRPr="00C26B18">
        <w:rPr>
          <w:rFonts w:cs="Arial"/>
          <w:color w:val="000000" w:themeColor="text1"/>
          <w:szCs w:val="22"/>
        </w:rPr>
        <w:t xml:space="preserve">to the long-term </w:t>
      </w:r>
      <w:r w:rsidRPr="00C26B18">
        <w:rPr>
          <w:rFonts w:cs="Arial"/>
          <w:szCs w:val="22"/>
        </w:rPr>
        <w:t>average</w:t>
      </w:r>
      <w:r w:rsidRPr="00C26B18">
        <w:rPr>
          <w:rFonts w:cs="Arial"/>
          <w:color w:val="000000" w:themeColor="text1"/>
          <w:szCs w:val="22"/>
        </w:rPr>
        <w:t xml:space="preserve"> (</w:t>
      </w:r>
      <w:r w:rsidRPr="00C26B18">
        <w:rPr>
          <w:rFonts w:cs="Arial"/>
          <w:szCs w:val="22"/>
          <w:vertAlign w:val="superscript"/>
        </w:rPr>
        <w:t>↑</w:t>
      </w:r>
      <w:r w:rsidRPr="00C26B18">
        <w:rPr>
          <w:rFonts w:cs="Arial"/>
          <w:szCs w:val="22"/>
        </w:rPr>
        <w:t xml:space="preserve"> = greater than, </w:t>
      </w:r>
      <w:r w:rsidRPr="00C26B18">
        <w:rPr>
          <w:rFonts w:cs="Arial"/>
          <w:szCs w:val="22"/>
          <w:vertAlign w:val="superscript"/>
        </w:rPr>
        <w:t>↨</w:t>
      </w:r>
      <w:r w:rsidRPr="00C26B18">
        <w:rPr>
          <w:rFonts w:cs="Arial"/>
          <w:szCs w:val="22"/>
        </w:rPr>
        <w:t xml:space="preserve"> = similar to long-term</w:t>
      </w:r>
      <w:r w:rsidRPr="00C26B18">
        <w:rPr>
          <w:rFonts w:cs="Arial"/>
          <w:color w:val="000000" w:themeColor="text1"/>
          <w:szCs w:val="22"/>
        </w:rPr>
        <w:t>) were</w:t>
      </w:r>
      <w:r w:rsidR="005E0AFE" w:rsidRPr="00C26B18">
        <w:rPr>
          <w:rFonts w:cs="Arial"/>
          <w:color w:val="000000" w:themeColor="text1"/>
          <w:szCs w:val="22"/>
        </w:rPr>
        <w:t>:</w:t>
      </w:r>
    </w:p>
    <w:p w14:paraId="365862DE" w14:textId="4F8C7826" w:rsidR="005C1908" w:rsidRPr="000D3A13" w:rsidRDefault="005C1908" w:rsidP="00E504F8">
      <w:pPr>
        <w:numPr>
          <w:ilvl w:val="0"/>
          <w:numId w:val="22"/>
        </w:numPr>
        <w:spacing w:before="40" w:after="0"/>
        <w:ind w:left="709" w:hanging="425"/>
        <w:rPr>
          <w:rFonts w:cs="Arial"/>
          <w:szCs w:val="22"/>
        </w:rPr>
      </w:pPr>
      <w:r w:rsidRPr="000D3A13">
        <w:rPr>
          <w:rFonts w:cs="Arial"/>
          <w:szCs w:val="22"/>
        </w:rPr>
        <w:t>Cape York (avg = 27.5</w:t>
      </w:r>
      <w:r w:rsidRPr="000D3A13">
        <w:rPr>
          <w:rFonts w:cs="Arial"/>
          <w:color w:val="000000" w:themeColor="text1"/>
          <w:szCs w:val="22"/>
        </w:rPr>
        <w:t>°C</w:t>
      </w:r>
      <w:r w:rsidRPr="000D3A13">
        <w:rPr>
          <w:rFonts w:cs="Arial"/>
          <w:szCs w:val="22"/>
        </w:rPr>
        <w:t>, max = 37.7</w:t>
      </w:r>
      <w:r w:rsidRPr="000D3A13">
        <w:rPr>
          <w:rFonts w:cs="Arial"/>
          <w:color w:val="000000" w:themeColor="text1"/>
          <w:szCs w:val="22"/>
        </w:rPr>
        <w:t>°C</w:t>
      </w:r>
      <w:r w:rsidR="00250740" w:rsidRPr="000D3A13">
        <w:rPr>
          <w:rFonts w:cs="Arial"/>
          <w:color w:val="000000" w:themeColor="text1"/>
          <w:szCs w:val="22"/>
        </w:rPr>
        <w:t>, days</w:t>
      </w:r>
      <w:r w:rsidR="00250740" w:rsidRPr="004A2EBC">
        <w:rPr>
          <w:rFonts w:ascii="Arial Narrow" w:hAnsi="Arial Narrow" w:cs="Arial"/>
          <w:color w:val="000000" w:themeColor="text1"/>
          <w:szCs w:val="22"/>
        </w:rPr>
        <w:t>&gt;35°C</w:t>
      </w:r>
      <w:r w:rsidR="00250740" w:rsidRPr="000D3A13">
        <w:rPr>
          <w:rFonts w:cs="Arial"/>
          <w:color w:val="000000" w:themeColor="text1"/>
          <w:szCs w:val="22"/>
        </w:rPr>
        <w:t xml:space="preserve"> = 33</w:t>
      </w:r>
      <w:r w:rsidRPr="000D3A13">
        <w:rPr>
          <w:rFonts w:cs="Arial"/>
          <w:szCs w:val="22"/>
        </w:rPr>
        <w:t>)</w:t>
      </w:r>
      <w:r w:rsidRPr="000D3A13">
        <w:rPr>
          <w:rFonts w:cs="Arial"/>
          <w:szCs w:val="22"/>
          <w:vertAlign w:val="superscript"/>
        </w:rPr>
        <w:t>↑</w:t>
      </w:r>
      <w:r w:rsidRPr="000D3A13">
        <w:rPr>
          <w:rFonts w:cs="Arial"/>
          <w:szCs w:val="22"/>
        </w:rPr>
        <w:t>*</w:t>
      </w:r>
    </w:p>
    <w:p w14:paraId="77D5B57D" w14:textId="7C8C6E62" w:rsidR="005C1908" w:rsidRPr="000D3A13" w:rsidRDefault="00B72AC4" w:rsidP="00E504F8">
      <w:pPr>
        <w:numPr>
          <w:ilvl w:val="0"/>
          <w:numId w:val="22"/>
        </w:numPr>
        <w:spacing w:before="40" w:after="0"/>
        <w:ind w:left="709" w:hanging="425"/>
        <w:rPr>
          <w:rFonts w:cs="Arial"/>
          <w:szCs w:val="22"/>
        </w:rPr>
      </w:pPr>
      <w:r>
        <w:rPr>
          <w:rFonts w:cs="Arial"/>
          <w:szCs w:val="22"/>
        </w:rPr>
        <w:t>Burnett–Mary</w:t>
      </w:r>
      <w:r w:rsidR="005C1908" w:rsidRPr="000D3A13">
        <w:rPr>
          <w:rFonts w:cs="Arial"/>
          <w:szCs w:val="22"/>
        </w:rPr>
        <w:t xml:space="preserve"> (avg = 23.6</w:t>
      </w:r>
      <w:r w:rsidR="005C1908" w:rsidRPr="000D3A13">
        <w:rPr>
          <w:rFonts w:cs="Arial"/>
          <w:color w:val="000000" w:themeColor="text1"/>
          <w:szCs w:val="22"/>
        </w:rPr>
        <w:t>°C</w:t>
      </w:r>
      <w:r w:rsidR="005C1908" w:rsidRPr="000D3A13">
        <w:rPr>
          <w:rFonts w:cs="Arial"/>
          <w:szCs w:val="22"/>
        </w:rPr>
        <w:t>, max = 38.3</w:t>
      </w:r>
      <w:r w:rsidR="005C1908" w:rsidRPr="000D3A13">
        <w:rPr>
          <w:rFonts w:cs="Arial"/>
          <w:color w:val="000000" w:themeColor="text1"/>
          <w:szCs w:val="22"/>
        </w:rPr>
        <w:t>°C</w:t>
      </w:r>
      <w:r w:rsidR="000D3A13" w:rsidRPr="000D3A13">
        <w:rPr>
          <w:rFonts w:cs="Arial"/>
          <w:color w:val="000000" w:themeColor="text1"/>
          <w:szCs w:val="22"/>
        </w:rPr>
        <w:t>, days</w:t>
      </w:r>
      <w:r w:rsidR="000D3A13" w:rsidRPr="004A2EBC">
        <w:rPr>
          <w:rFonts w:ascii="Arial Narrow" w:hAnsi="Arial Narrow" w:cs="Arial"/>
          <w:color w:val="000000" w:themeColor="text1"/>
          <w:szCs w:val="22"/>
        </w:rPr>
        <w:t>&gt;35°C</w:t>
      </w:r>
      <w:r w:rsidR="000D3A13" w:rsidRPr="000D3A13">
        <w:rPr>
          <w:rFonts w:cs="Arial"/>
          <w:color w:val="000000" w:themeColor="text1"/>
          <w:szCs w:val="22"/>
        </w:rPr>
        <w:t>=</w:t>
      </w:r>
      <w:r w:rsidR="00E504F8">
        <w:rPr>
          <w:rFonts w:cs="Arial"/>
          <w:color w:val="000000" w:themeColor="text1"/>
          <w:szCs w:val="22"/>
        </w:rPr>
        <w:t>9</w:t>
      </w:r>
      <w:r w:rsidR="005C1908" w:rsidRPr="000D3A13">
        <w:rPr>
          <w:rFonts w:cs="Arial"/>
          <w:szCs w:val="22"/>
        </w:rPr>
        <w:t>)</w:t>
      </w:r>
      <w:r w:rsidR="005C1908" w:rsidRPr="000D3A13">
        <w:rPr>
          <w:rFonts w:cs="Arial"/>
          <w:szCs w:val="22"/>
          <w:vertAlign w:val="superscript"/>
        </w:rPr>
        <w:t>↑</w:t>
      </w:r>
    </w:p>
    <w:p w14:paraId="5CA08142" w14:textId="5855143E" w:rsidR="005C1908" w:rsidRPr="000D3A13" w:rsidRDefault="005C1908" w:rsidP="00E504F8">
      <w:pPr>
        <w:numPr>
          <w:ilvl w:val="0"/>
          <w:numId w:val="22"/>
        </w:numPr>
        <w:spacing w:before="40" w:after="0"/>
        <w:ind w:left="709" w:hanging="425"/>
        <w:rPr>
          <w:rFonts w:cs="Arial"/>
          <w:szCs w:val="22"/>
        </w:rPr>
      </w:pPr>
      <w:r w:rsidRPr="000D3A13">
        <w:rPr>
          <w:rFonts w:cs="Arial"/>
          <w:szCs w:val="22"/>
        </w:rPr>
        <w:t>northern Wet Tropics (avg = 27.0°C, max = 41.0°C</w:t>
      </w:r>
      <w:r w:rsidR="000D3A13" w:rsidRPr="000D3A13">
        <w:rPr>
          <w:rFonts w:cs="Arial"/>
          <w:szCs w:val="22"/>
        </w:rPr>
        <w:t xml:space="preserve">, </w:t>
      </w:r>
      <w:r w:rsidR="000D3A13" w:rsidRPr="000D3A13">
        <w:rPr>
          <w:rFonts w:cs="Arial"/>
          <w:color w:val="000000" w:themeColor="text1"/>
          <w:szCs w:val="22"/>
        </w:rPr>
        <w:t>days</w:t>
      </w:r>
      <w:r w:rsidR="000D3A13" w:rsidRPr="004A2EBC">
        <w:rPr>
          <w:rFonts w:ascii="Arial Narrow" w:hAnsi="Arial Narrow" w:cs="Arial"/>
          <w:szCs w:val="22"/>
        </w:rPr>
        <w:t>&gt;35≤40°C</w:t>
      </w:r>
      <w:r w:rsidR="000D3A13">
        <w:rPr>
          <w:rFonts w:ascii="Arial Narrow" w:hAnsi="Arial Narrow" w:cs="Arial"/>
          <w:szCs w:val="22"/>
          <w:vertAlign w:val="subscript"/>
        </w:rPr>
        <w:t xml:space="preserve"> </w:t>
      </w:r>
      <w:r w:rsidR="000D3A13" w:rsidRPr="000D3A13">
        <w:rPr>
          <w:rFonts w:cs="Arial"/>
          <w:szCs w:val="22"/>
        </w:rPr>
        <w:t>=</w:t>
      </w:r>
      <w:r w:rsidR="000D3A13">
        <w:rPr>
          <w:rFonts w:cs="Arial"/>
          <w:szCs w:val="22"/>
        </w:rPr>
        <w:t xml:space="preserve"> 56</w:t>
      </w:r>
      <w:r w:rsidR="000D3A13" w:rsidRPr="000D3A13">
        <w:rPr>
          <w:rFonts w:cs="Arial"/>
          <w:szCs w:val="22"/>
        </w:rPr>
        <w:t xml:space="preserve">, </w:t>
      </w:r>
      <w:r w:rsidR="000D3A13" w:rsidRPr="000D3A13">
        <w:rPr>
          <w:rFonts w:cs="Arial"/>
          <w:color w:val="000000" w:themeColor="text1"/>
          <w:szCs w:val="22"/>
        </w:rPr>
        <w:t>days</w:t>
      </w:r>
      <w:r w:rsidR="000D3A13" w:rsidRPr="004A2EBC">
        <w:rPr>
          <w:rFonts w:ascii="Arial Narrow" w:hAnsi="Arial Narrow" w:cs="Arial"/>
          <w:szCs w:val="22"/>
        </w:rPr>
        <w:t>&gt;40°C</w:t>
      </w:r>
      <w:r w:rsidR="000D3A13">
        <w:rPr>
          <w:rFonts w:ascii="Arial Narrow" w:hAnsi="Arial Narrow" w:cs="Arial"/>
          <w:szCs w:val="22"/>
          <w:vertAlign w:val="subscript"/>
        </w:rPr>
        <w:t xml:space="preserve"> </w:t>
      </w:r>
      <w:r w:rsidR="000D3A13" w:rsidRPr="000D3A13">
        <w:rPr>
          <w:rFonts w:cs="Arial"/>
          <w:szCs w:val="22"/>
        </w:rPr>
        <w:t>=</w:t>
      </w:r>
      <w:r w:rsidR="000D3A13">
        <w:rPr>
          <w:rFonts w:cs="Arial"/>
          <w:szCs w:val="22"/>
        </w:rPr>
        <w:t xml:space="preserve"> </w:t>
      </w:r>
      <w:r w:rsidR="000D3A13" w:rsidRPr="000D3A13">
        <w:rPr>
          <w:rFonts w:cs="Arial"/>
          <w:szCs w:val="22"/>
        </w:rPr>
        <w:t>2</w:t>
      </w:r>
      <w:r w:rsidRPr="000D3A13">
        <w:rPr>
          <w:rFonts w:cs="Arial"/>
          <w:szCs w:val="22"/>
        </w:rPr>
        <w:t>)</w:t>
      </w:r>
      <w:r w:rsidRPr="000D3A13">
        <w:rPr>
          <w:rFonts w:cs="Arial"/>
          <w:szCs w:val="22"/>
          <w:vertAlign w:val="superscript"/>
        </w:rPr>
        <w:t>↨</w:t>
      </w:r>
    </w:p>
    <w:p w14:paraId="148B9CC4" w14:textId="227B5A93" w:rsidR="005C1908" w:rsidRPr="000D3A13" w:rsidRDefault="00B72AC4" w:rsidP="00E504F8">
      <w:pPr>
        <w:numPr>
          <w:ilvl w:val="0"/>
          <w:numId w:val="22"/>
        </w:numPr>
        <w:spacing w:before="40" w:after="0"/>
        <w:ind w:left="709" w:hanging="425"/>
        <w:rPr>
          <w:rFonts w:cs="Arial"/>
          <w:szCs w:val="22"/>
        </w:rPr>
      </w:pPr>
      <w:r>
        <w:rPr>
          <w:rFonts w:cs="Arial"/>
          <w:szCs w:val="22"/>
        </w:rPr>
        <w:t>Mackay–Whitsunday</w:t>
      </w:r>
      <w:r w:rsidR="005C1908" w:rsidRPr="000D3A13">
        <w:rPr>
          <w:rFonts w:cs="Arial"/>
          <w:szCs w:val="22"/>
        </w:rPr>
        <w:t xml:space="preserve"> (avg = 25.5</w:t>
      </w:r>
      <w:r w:rsidR="005C1908" w:rsidRPr="000D3A13">
        <w:rPr>
          <w:rFonts w:cs="Arial"/>
          <w:color w:val="000000" w:themeColor="text1"/>
          <w:szCs w:val="22"/>
        </w:rPr>
        <w:t>°C</w:t>
      </w:r>
      <w:r w:rsidR="005C1908" w:rsidRPr="000D3A13">
        <w:rPr>
          <w:rFonts w:cs="Arial"/>
          <w:szCs w:val="22"/>
        </w:rPr>
        <w:t>, max = 40.2</w:t>
      </w:r>
      <w:r w:rsidR="005C1908" w:rsidRPr="000D3A13">
        <w:rPr>
          <w:rFonts w:cs="Arial"/>
          <w:color w:val="000000" w:themeColor="text1"/>
          <w:szCs w:val="22"/>
        </w:rPr>
        <w:t>°C</w:t>
      </w:r>
      <w:r w:rsidR="000D3A13" w:rsidRPr="000D3A13">
        <w:rPr>
          <w:rFonts w:cs="Arial"/>
          <w:color w:val="000000" w:themeColor="text1"/>
          <w:szCs w:val="22"/>
        </w:rPr>
        <w:t>, days</w:t>
      </w:r>
      <w:r w:rsidR="000D3A13" w:rsidRPr="004A2EBC">
        <w:rPr>
          <w:rFonts w:ascii="Arial Narrow" w:hAnsi="Arial Narrow" w:cs="Arial"/>
          <w:szCs w:val="22"/>
        </w:rPr>
        <w:t>&gt;35≤40°C</w:t>
      </w:r>
      <w:r w:rsidR="000D3A13">
        <w:rPr>
          <w:rFonts w:ascii="Arial Narrow" w:hAnsi="Arial Narrow" w:cs="Arial"/>
          <w:szCs w:val="22"/>
          <w:vertAlign w:val="subscript"/>
        </w:rPr>
        <w:t xml:space="preserve"> </w:t>
      </w:r>
      <w:r w:rsidR="000D3A13" w:rsidRPr="000D3A13">
        <w:rPr>
          <w:rFonts w:cs="Arial"/>
          <w:color w:val="000000" w:themeColor="text1"/>
          <w:szCs w:val="22"/>
        </w:rPr>
        <w:t>=</w:t>
      </w:r>
      <w:r w:rsidR="000D3A13">
        <w:rPr>
          <w:rFonts w:cs="Arial"/>
          <w:color w:val="000000" w:themeColor="text1"/>
          <w:szCs w:val="22"/>
        </w:rPr>
        <w:t>64</w:t>
      </w:r>
      <w:r w:rsidR="000D3A13" w:rsidRPr="000D3A13">
        <w:rPr>
          <w:rFonts w:cs="Arial"/>
          <w:color w:val="000000" w:themeColor="text1"/>
          <w:szCs w:val="22"/>
        </w:rPr>
        <w:t>, days</w:t>
      </w:r>
      <w:r w:rsidR="000D3A13" w:rsidRPr="000D3A13">
        <w:rPr>
          <w:rFonts w:ascii="Arial Narrow" w:hAnsi="Arial Narrow" w:cs="Arial"/>
          <w:szCs w:val="22"/>
          <w:vertAlign w:val="subscript"/>
        </w:rPr>
        <w:t>&gt;40°C</w:t>
      </w:r>
      <w:r w:rsidR="000D3A13">
        <w:rPr>
          <w:rFonts w:ascii="Arial Narrow" w:hAnsi="Arial Narrow" w:cs="Arial"/>
          <w:szCs w:val="22"/>
          <w:vertAlign w:val="subscript"/>
        </w:rPr>
        <w:t xml:space="preserve"> </w:t>
      </w:r>
      <w:r w:rsidR="000D3A13" w:rsidRPr="000D3A13">
        <w:rPr>
          <w:rFonts w:cs="Arial"/>
          <w:color w:val="000000" w:themeColor="text1"/>
          <w:szCs w:val="22"/>
        </w:rPr>
        <w:t>=1</w:t>
      </w:r>
      <w:r w:rsidR="005C1908" w:rsidRPr="000D3A13">
        <w:rPr>
          <w:rFonts w:cs="Arial"/>
          <w:szCs w:val="22"/>
        </w:rPr>
        <w:t>)</w:t>
      </w:r>
      <w:r w:rsidR="005C1908" w:rsidRPr="000D3A13">
        <w:rPr>
          <w:rFonts w:cs="Arial"/>
          <w:szCs w:val="22"/>
          <w:vertAlign w:val="superscript"/>
        </w:rPr>
        <w:t>↨</w:t>
      </w:r>
    </w:p>
    <w:p w14:paraId="4B09D23C" w14:textId="10B2A094" w:rsidR="005C1908" w:rsidRPr="000D3A13" w:rsidRDefault="005C1908" w:rsidP="00E504F8">
      <w:pPr>
        <w:numPr>
          <w:ilvl w:val="0"/>
          <w:numId w:val="22"/>
        </w:numPr>
        <w:spacing w:before="40" w:after="0"/>
        <w:ind w:left="709" w:hanging="425"/>
        <w:rPr>
          <w:rFonts w:cs="Arial"/>
          <w:szCs w:val="22"/>
        </w:rPr>
      </w:pPr>
      <w:r w:rsidRPr="000D3A13">
        <w:rPr>
          <w:rFonts w:cs="Arial"/>
          <w:szCs w:val="22"/>
        </w:rPr>
        <w:t>Fitzroy (avg = 24.3</w:t>
      </w:r>
      <w:r w:rsidRPr="000D3A13">
        <w:rPr>
          <w:rFonts w:cs="Arial"/>
          <w:color w:val="000000" w:themeColor="text1"/>
          <w:szCs w:val="22"/>
        </w:rPr>
        <w:t>°C</w:t>
      </w:r>
      <w:r w:rsidRPr="000D3A13">
        <w:rPr>
          <w:rFonts w:cs="Arial"/>
          <w:szCs w:val="22"/>
        </w:rPr>
        <w:t>, max = 41.1</w:t>
      </w:r>
      <w:r w:rsidRPr="000D3A13">
        <w:rPr>
          <w:rFonts w:cs="Arial"/>
          <w:color w:val="000000" w:themeColor="text1"/>
          <w:szCs w:val="22"/>
        </w:rPr>
        <w:t>°C</w:t>
      </w:r>
      <w:r w:rsidR="000D3A13" w:rsidRPr="000D3A13">
        <w:rPr>
          <w:rFonts w:cs="Arial"/>
          <w:color w:val="000000" w:themeColor="text1"/>
          <w:szCs w:val="22"/>
        </w:rPr>
        <w:t>, days</w:t>
      </w:r>
      <w:r w:rsidR="000D3A13" w:rsidRPr="004A2EBC">
        <w:rPr>
          <w:rFonts w:ascii="Arial Narrow" w:hAnsi="Arial Narrow" w:cs="Arial"/>
          <w:szCs w:val="22"/>
        </w:rPr>
        <w:t>&gt;35≤40°C</w:t>
      </w:r>
      <w:r w:rsidR="000D3A13">
        <w:rPr>
          <w:rFonts w:ascii="Arial Narrow" w:hAnsi="Arial Narrow" w:cs="Arial"/>
          <w:szCs w:val="22"/>
          <w:vertAlign w:val="subscript"/>
        </w:rPr>
        <w:t xml:space="preserve"> </w:t>
      </w:r>
      <w:r w:rsidR="000D3A13" w:rsidRPr="000D3A13">
        <w:rPr>
          <w:rFonts w:cs="Arial"/>
          <w:color w:val="000000" w:themeColor="text1"/>
          <w:szCs w:val="22"/>
        </w:rPr>
        <w:t>=</w:t>
      </w:r>
      <w:r w:rsidR="000D3A13">
        <w:rPr>
          <w:rFonts w:cs="Arial"/>
          <w:color w:val="000000" w:themeColor="text1"/>
          <w:szCs w:val="22"/>
        </w:rPr>
        <w:t>54</w:t>
      </w:r>
      <w:r w:rsidR="000D3A13" w:rsidRPr="000D3A13">
        <w:rPr>
          <w:rFonts w:cs="Arial"/>
          <w:color w:val="000000" w:themeColor="text1"/>
          <w:szCs w:val="22"/>
        </w:rPr>
        <w:t>, days</w:t>
      </w:r>
      <w:r w:rsidR="000D3A13" w:rsidRPr="000D3A13">
        <w:rPr>
          <w:rFonts w:ascii="Arial Narrow" w:hAnsi="Arial Narrow" w:cs="Arial"/>
          <w:szCs w:val="22"/>
          <w:vertAlign w:val="subscript"/>
        </w:rPr>
        <w:t>&gt;40°C</w:t>
      </w:r>
      <w:r w:rsidR="000D3A13">
        <w:rPr>
          <w:rFonts w:ascii="Arial Narrow" w:hAnsi="Arial Narrow" w:cs="Arial"/>
          <w:szCs w:val="22"/>
          <w:vertAlign w:val="subscript"/>
        </w:rPr>
        <w:t xml:space="preserve"> </w:t>
      </w:r>
      <w:r w:rsidR="000D3A13" w:rsidRPr="000D3A13">
        <w:rPr>
          <w:rFonts w:cs="Arial"/>
          <w:color w:val="000000" w:themeColor="text1"/>
          <w:szCs w:val="22"/>
        </w:rPr>
        <w:t>=3</w:t>
      </w:r>
      <w:r w:rsidRPr="000D3A13">
        <w:rPr>
          <w:rFonts w:cs="Arial"/>
          <w:szCs w:val="22"/>
        </w:rPr>
        <w:t>)</w:t>
      </w:r>
      <w:r w:rsidRPr="000D3A13">
        <w:rPr>
          <w:rFonts w:cs="Arial"/>
          <w:szCs w:val="22"/>
          <w:vertAlign w:val="superscript"/>
        </w:rPr>
        <w:t>↨</w:t>
      </w:r>
    </w:p>
    <w:p w14:paraId="52D32921" w14:textId="280FCFC8" w:rsidR="005C1908" w:rsidRPr="000D3A13" w:rsidRDefault="005C1908" w:rsidP="00E504F8">
      <w:pPr>
        <w:numPr>
          <w:ilvl w:val="0"/>
          <w:numId w:val="22"/>
        </w:numPr>
        <w:spacing w:before="40" w:after="0"/>
        <w:ind w:left="709" w:hanging="425"/>
        <w:rPr>
          <w:rFonts w:cs="Arial"/>
          <w:szCs w:val="22"/>
        </w:rPr>
      </w:pPr>
      <w:r w:rsidRPr="000D3A13">
        <w:rPr>
          <w:rFonts w:cs="Arial"/>
          <w:szCs w:val="22"/>
        </w:rPr>
        <w:t>Burdekin (avg = 26.4</w:t>
      </w:r>
      <w:r w:rsidRPr="000D3A13">
        <w:rPr>
          <w:rFonts w:cs="Arial"/>
          <w:color w:val="000000" w:themeColor="text1"/>
          <w:szCs w:val="22"/>
        </w:rPr>
        <w:t>°C</w:t>
      </w:r>
      <w:r w:rsidRPr="000D3A13">
        <w:rPr>
          <w:rFonts w:cs="Arial"/>
          <w:szCs w:val="22"/>
        </w:rPr>
        <w:t>, max = 39.4</w:t>
      </w:r>
      <w:r w:rsidRPr="000D3A13">
        <w:rPr>
          <w:rFonts w:cs="Arial"/>
          <w:color w:val="000000" w:themeColor="text1"/>
          <w:szCs w:val="22"/>
        </w:rPr>
        <w:t>°C</w:t>
      </w:r>
      <w:r w:rsidR="000D3A13" w:rsidRPr="000D3A13">
        <w:rPr>
          <w:rFonts w:cs="Arial"/>
          <w:color w:val="000000" w:themeColor="text1"/>
          <w:szCs w:val="22"/>
        </w:rPr>
        <w:t>, days</w:t>
      </w:r>
      <w:r w:rsidR="000D3A13" w:rsidRPr="004A2EBC">
        <w:rPr>
          <w:rFonts w:ascii="Arial Narrow" w:hAnsi="Arial Narrow" w:cs="Arial"/>
          <w:color w:val="000000" w:themeColor="text1"/>
          <w:szCs w:val="22"/>
        </w:rPr>
        <w:t>&gt;35°C</w:t>
      </w:r>
      <w:r w:rsidR="000D3A13" w:rsidRPr="000D3A13">
        <w:rPr>
          <w:rFonts w:cs="Arial"/>
          <w:color w:val="000000" w:themeColor="text1"/>
          <w:szCs w:val="22"/>
        </w:rPr>
        <w:t xml:space="preserve"> =4</w:t>
      </w:r>
      <w:r w:rsidR="000D3A13">
        <w:rPr>
          <w:rFonts w:cs="Arial"/>
          <w:color w:val="000000" w:themeColor="text1"/>
          <w:szCs w:val="22"/>
        </w:rPr>
        <w:t>4</w:t>
      </w:r>
      <w:r w:rsidRPr="000D3A13">
        <w:rPr>
          <w:rFonts w:cs="Arial"/>
          <w:szCs w:val="22"/>
        </w:rPr>
        <w:t>)</w:t>
      </w:r>
      <w:r w:rsidRPr="000D3A13">
        <w:rPr>
          <w:rFonts w:cs="Arial"/>
          <w:szCs w:val="22"/>
          <w:vertAlign w:val="superscript"/>
        </w:rPr>
        <w:t>↨</w:t>
      </w:r>
    </w:p>
    <w:p w14:paraId="097B270E" w14:textId="6E8671D7" w:rsidR="005C1908" w:rsidRPr="000D3A13" w:rsidRDefault="005C1908" w:rsidP="00E504F8">
      <w:pPr>
        <w:numPr>
          <w:ilvl w:val="0"/>
          <w:numId w:val="22"/>
        </w:numPr>
        <w:spacing w:before="40" w:after="0"/>
        <w:ind w:left="709" w:hanging="425"/>
        <w:rPr>
          <w:rFonts w:cs="Arial"/>
          <w:szCs w:val="22"/>
        </w:rPr>
      </w:pPr>
      <w:r w:rsidRPr="000D3A13">
        <w:rPr>
          <w:rFonts w:cs="Arial"/>
          <w:szCs w:val="22"/>
        </w:rPr>
        <w:lastRenderedPageBreak/>
        <w:t>southern Wet Tropics (avg = 26.8°C, max = 35.1°C</w:t>
      </w:r>
      <w:r w:rsidR="000D3A13" w:rsidRPr="000D3A13">
        <w:rPr>
          <w:rFonts w:cs="Arial"/>
          <w:szCs w:val="22"/>
        </w:rPr>
        <w:t xml:space="preserve">, </w:t>
      </w:r>
      <w:r w:rsidR="000D3A13" w:rsidRPr="000D3A13">
        <w:rPr>
          <w:rFonts w:cs="Arial"/>
          <w:color w:val="000000" w:themeColor="text1"/>
          <w:szCs w:val="22"/>
        </w:rPr>
        <w:t>days</w:t>
      </w:r>
      <w:r w:rsidR="000D3A13" w:rsidRPr="004A2EBC">
        <w:rPr>
          <w:rFonts w:ascii="Arial Narrow" w:hAnsi="Arial Narrow" w:cs="Arial"/>
          <w:color w:val="000000" w:themeColor="text1"/>
          <w:szCs w:val="22"/>
        </w:rPr>
        <w:t>&gt;35°C</w:t>
      </w:r>
      <w:r w:rsidR="000D3A13" w:rsidRPr="004A2EBC">
        <w:rPr>
          <w:rFonts w:cs="Arial"/>
          <w:szCs w:val="22"/>
        </w:rPr>
        <w:t xml:space="preserve"> </w:t>
      </w:r>
      <w:r w:rsidR="000D3A13" w:rsidRPr="000D3A13">
        <w:rPr>
          <w:rFonts w:cs="Arial"/>
          <w:szCs w:val="22"/>
        </w:rPr>
        <w:t>=1</w:t>
      </w:r>
      <w:r w:rsidRPr="000D3A13">
        <w:rPr>
          <w:rFonts w:cs="Arial"/>
          <w:szCs w:val="22"/>
        </w:rPr>
        <w:t>)</w:t>
      </w:r>
      <w:r w:rsidRPr="000D3A13">
        <w:rPr>
          <w:rFonts w:cs="Arial"/>
          <w:szCs w:val="22"/>
          <w:vertAlign w:val="superscript"/>
        </w:rPr>
        <w:t>↨</w:t>
      </w:r>
      <w:r w:rsidRPr="000D3A13">
        <w:rPr>
          <w:rFonts w:cs="Arial"/>
          <w:szCs w:val="22"/>
        </w:rPr>
        <w:t>.</w:t>
      </w:r>
    </w:p>
    <w:p w14:paraId="2597CF53" w14:textId="77777777" w:rsidR="00130F21" w:rsidRPr="00C26B18" w:rsidRDefault="00130F21" w:rsidP="00130F21">
      <w:pPr>
        <w:rPr>
          <w:rFonts w:cs="Arial"/>
          <w:szCs w:val="22"/>
        </w:rPr>
      </w:pPr>
      <w:r w:rsidRPr="00C26B18">
        <w:rPr>
          <w:rFonts w:cs="Arial"/>
          <w:szCs w:val="22"/>
        </w:rPr>
        <w:t xml:space="preserve">Daily within-canopy seawater temperatures in the habitats in 2018–19 from </w:t>
      </w:r>
      <w:r w:rsidRPr="00C26B18">
        <w:rPr>
          <w:rFonts w:cs="Arial"/>
          <w:color w:val="000000" w:themeColor="text1"/>
          <w:szCs w:val="22"/>
        </w:rPr>
        <w:t xml:space="preserve">warmest to coolest </w:t>
      </w:r>
      <w:r w:rsidRPr="00C26B18">
        <w:rPr>
          <w:rFonts w:cs="Arial"/>
          <w:szCs w:val="22"/>
        </w:rPr>
        <w:t>difference (* = 0.2°C cooler) relative to the long-term were:</w:t>
      </w:r>
    </w:p>
    <w:p w14:paraId="4BF97340" w14:textId="77777777" w:rsidR="00130F21" w:rsidRPr="00C26B18" w:rsidRDefault="00130F21" w:rsidP="003F4D32">
      <w:pPr>
        <w:numPr>
          <w:ilvl w:val="0"/>
          <w:numId w:val="23"/>
        </w:numPr>
        <w:rPr>
          <w:rFonts w:cs="Arial"/>
          <w:szCs w:val="22"/>
        </w:rPr>
      </w:pPr>
      <w:r w:rsidRPr="00C26B18">
        <w:rPr>
          <w:rFonts w:cs="Arial"/>
          <w:szCs w:val="22"/>
        </w:rPr>
        <w:t>reef intertidal habitat (avg = 26.3°C, max = 40.2°C)</w:t>
      </w:r>
    </w:p>
    <w:p w14:paraId="3BC73EC2" w14:textId="77777777" w:rsidR="00130F21" w:rsidRPr="00C26B18" w:rsidRDefault="00130F21" w:rsidP="003F4D32">
      <w:pPr>
        <w:numPr>
          <w:ilvl w:val="0"/>
          <w:numId w:val="23"/>
        </w:numPr>
        <w:rPr>
          <w:rFonts w:cs="Arial"/>
          <w:szCs w:val="22"/>
        </w:rPr>
      </w:pPr>
      <w:r w:rsidRPr="00C26B18">
        <w:rPr>
          <w:rFonts w:cs="Arial"/>
          <w:szCs w:val="22"/>
        </w:rPr>
        <w:t>estuarine sites (avg = 23.9°C, max = 39.2°C)</w:t>
      </w:r>
    </w:p>
    <w:p w14:paraId="65BF7084" w14:textId="77777777" w:rsidR="00130F21" w:rsidRPr="00C26B18" w:rsidRDefault="00130F21" w:rsidP="003F4D32">
      <w:pPr>
        <w:numPr>
          <w:ilvl w:val="0"/>
          <w:numId w:val="23"/>
        </w:numPr>
        <w:rPr>
          <w:rFonts w:cs="Arial"/>
          <w:szCs w:val="22"/>
        </w:rPr>
      </w:pPr>
      <w:r w:rsidRPr="00C26B18">
        <w:rPr>
          <w:rFonts w:cs="Arial"/>
          <w:szCs w:val="22"/>
        </w:rPr>
        <w:t>coastal intertidal sites (avg = 25.9°C, max = 41.1°C)*</w:t>
      </w:r>
    </w:p>
    <w:p w14:paraId="7C4C6233" w14:textId="77777777" w:rsidR="00130F21" w:rsidRPr="00C26B18" w:rsidRDefault="00130F21" w:rsidP="003F4D32">
      <w:pPr>
        <w:numPr>
          <w:ilvl w:val="0"/>
          <w:numId w:val="23"/>
        </w:numPr>
        <w:rPr>
          <w:rFonts w:cs="Arial"/>
          <w:szCs w:val="22"/>
        </w:rPr>
      </w:pPr>
      <w:r w:rsidRPr="00C26B18">
        <w:rPr>
          <w:rFonts w:cs="Arial"/>
          <w:szCs w:val="22"/>
        </w:rPr>
        <w:t>reef subtidal sites (avg = 26.2°C, max = 33.0°C)*</w:t>
      </w:r>
    </w:p>
    <w:p w14:paraId="206DB4B0" w14:textId="160E6D44" w:rsidR="00DE2AFA" w:rsidRPr="00C26B18" w:rsidRDefault="00130F21" w:rsidP="002B1351">
      <w:pPr>
        <w:rPr>
          <w:rFonts w:cs="Arial"/>
          <w:szCs w:val="22"/>
        </w:rPr>
      </w:pPr>
      <w:r w:rsidRPr="00C26B18">
        <w:rPr>
          <w:rFonts w:cs="Arial"/>
          <w:color w:val="000000" w:themeColor="text1"/>
          <w:szCs w:val="22"/>
        </w:rPr>
        <w:t xml:space="preserve">The hottest seawater temperature recorded at inshore seagrass sites along the Reef during 2018–19 was 41.1°C in the Fitzroy region, and all regions except the Burdekin and </w:t>
      </w:r>
      <w:r w:rsidR="00B72AC4">
        <w:rPr>
          <w:rFonts w:cs="Arial"/>
          <w:color w:val="000000" w:themeColor="text1"/>
          <w:szCs w:val="22"/>
        </w:rPr>
        <w:t>Burnett–Mary</w:t>
      </w:r>
      <w:r w:rsidRPr="00C26B18">
        <w:rPr>
          <w:rFonts w:cs="Arial"/>
          <w:color w:val="000000" w:themeColor="text1"/>
          <w:szCs w:val="22"/>
        </w:rPr>
        <w:t>, had at least one day above 40°C (</w:t>
      </w:r>
      <w:r w:rsidRPr="00C26B18">
        <w:rPr>
          <w:rFonts w:cs="Arial"/>
          <w:color w:val="000000" w:themeColor="text1"/>
          <w:szCs w:val="22"/>
        </w:rPr>
        <w:fldChar w:fldCharType="begin"/>
      </w:r>
      <w:r w:rsidRPr="00C26B18">
        <w:rPr>
          <w:rFonts w:cs="Arial"/>
          <w:color w:val="000000" w:themeColor="text1"/>
          <w:szCs w:val="22"/>
        </w:rPr>
        <w:instrText xml:space="preserve"> REF _Ref442454861 \h  \* MERGEFORMAT </w:instrText>
      </w:r>
      <w:r w:rsidRPr="00C26B18">
        <w:rPr>
          <w:rFonts w:cs="Arial"/>
          <w:color w:val="000000" w:themeColor="text1"/>
          <w:szCs w:val="22"/>
        </w:rPr>
      </w:r>
      <w:r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11</w:t>
      </w:r>
      <w:r w:rsidRPr="00C26B18">
        <w:rPr>
          <w:rFonts w:cs="Arial"/>
          <w:color w:val="000000" w:themeColor="text1"/>
          <w:szCs w:val="22"/>
        </w:rPr>
        <w:fldChar w:fldCharType="end"/>
      </w:r>
      <w:r w:rsidRPr="00C26B18">
        <w:rPr>
          <w:rFonts w:cs="Arial"/>
          <w:color w:val="000000" w:themeColor="text1"/>
          <w:szCs w:val="22"/>
        </w:rPr>
        <w:t>). Extreme temperature days (&gt;40°C) can cause photoinhibition but when occurring at such low frequency, they were unlikely to cause burning or mortality. Subtidal temperatures remained below 35°C in 2018–19 (</w:t>
      </w:r>
      <w:r w:rsidRPr="00C26B18">
        <w:rPr>
          <w:rFonts w:cs="Arial"/>
          <w:color w:val="000000" w:themeColor="text1"/>
          <w:szCs w:val="22"/>
        </w:rPr>
        <w:fldChar w:fldCharType="begin"/>
      </w:r>
      <w:r w:rsidRPr="00C26B18">
        <w:rPr>
          <w:rFonts w:cs="Arial"/>
          <w:color w:val="000000" w:themeColor="text1"/>
          <w:szCs w:val="22"/>
        </w:rPr>
        <w:instrText xml:space="preserve"> REF _Ref534195340 \h  \* MERGEFORMAT </w:instrText>
      </w:r>
      <w:r w:rsidRPr="00C26B18">
        <w:rPr>
          <w:rFonts w:cs="Arial"/>
          <w:color w:val="000000" w:themeColor="text1"/>
          <w:szCs w:val="22"/>
        </w:rPr>
      </w:r>
      <w:r w:rsidRPr="00C26B18">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12</w:t>
      </w:r>
      <w:r w:rsidRPr="00C26B18">
        <w:rPr>
          <w:rFonts w:cs="Arial"/>
          <w:color w:val="000000" w:themeColor="text1"/>
          <w:szCs w:val="22"/>
        </w:rPr>
        <w:fldChar w:fldCharType="end"/>
      </w:r>
      <w:r w:rsidRPr="00C26B18">
        <w:rPr>
          <w:rFonts w:cs="Arial"/>
          <w:color w:val="000000" w:themeColor="text1"/>
          <w:szCs w:val="22"/>
        </w:rPr>
        <w:t>), however were above the long-term average in the southern Wet Tropics and Burdekin regions.</w:t>
      </w:r>
    </w:p>
    <w:p w14:paraId="099DF2A9" w14:textId="77777777" w:rsidR="00811ABE" w:rsidRPr="00C26B18" w:rsidRDefault="00E6506A" w:rsidP="00811ABE">
      <w:pPr>
        <w:keepNext/>
        <w:widowControl w:val="0"/>
        <w:jc w:val="center"/>
        <w:rPr>
          <w:rFonts w:cs="Arial"/>
          <w:noProof/>
          <w:color w:val="000000"/>
          <w:szCs w:val="22"/>
          <w:lang w:eastAsia="en-AU"/>
        </w:rPr>
      </w:pPr>
      <w:r w:rsidRPr="00C26B18">
        <w:rPr>
          <w:rFonts w:cs="Arial"/>
          <w:noProof/>
          <w:color w:val="000000"/>
          <w:szCs w:val="22"/>
          <w:lang w:eastAsia="en-AU"/>
        </w:rPr>
        <w:lastRenderedPageBreak/>
        <w:drawing>
          <wp:inline distT="0" distB="0" distL="0" distR="0" wp14:anchorId="60AADFE2" wp14:editId="1D5E7203">
            <wp:extent cx="4366415" cy="5435362"/>
            <wp:effectExtent l="0" t="0" r="0" b="0"/>
            <wp:docPr id="9" name="Picture 9" descr="Panel of six graphs showing number of days when inshore intertidal sea temperature exceeded 35°C, 38°C, 40°C and 43°C in each monitoring period in each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emperature_exceedance_NRM_29Nov16.png"/>
                    <pic:cNvPicPr/>
                  </pic:nvPicPr>
                  <pic:blipFill>
                    <a:blip r:embed="rId65">
                      <a:extLst>
                        <a:ext uri="{28A0092B-C50C-407E-A947-70E740481C1C}">
                          <a14:useLocalDpi xmlns:a14="http://schemas.microsoft.com/office/drawing/2010/main" val="0"/>
                        </a:ext>
                      </a:extLst>
                    </a:blip>
                    <a:stretch>
                      <a:fillRect/>
                    </a:stretch>
                  </pic:blipFill>
                  <pic:spPr>
                    <a:xfrm>
                      <a:off x="0" y="0"/>
                      <a:ext cx="4366415" cy="5435362"/>
                    </a:xfrm>
                    <a:prstGeom prst="rect">
                      <a:avLst/>
                    </a:prstGeom>
                  </pic:spPr>
                </pic:pic>
              </a:graphicData>
            </a:graphic>
          </wp:inline>
        </w:drawing>
      </w:r>
    </w:p>
    <w:p w14:paraId="0B72F478" w14:textId="00DB1CA1" w:rsidR="00811ABE" w:rsidRPr="00C26B18" w:rsidRDefault="00811ABE" w:rsidP="00811ABE">
      <w:pPr>
        <w:rPr>
          <w:rFonts w:cs="Arial"/>
          <w:vanish/>
          <w:szCs w:val="22"/>
          <w:specVanish/>
        </w:rPr>
      </w:pPr>
      <w:bookmarkStart w:id="202" w:name="_Ref442454861"/>
      <w:bookmarkStart w:id="203" w:name="_Ref3984386"/>
      <w:bookmarkStart w:id="204" w:name="_Toc38634115"/>
      <w:r w:rsidRPr="00C26B18">
        <w:rPr>
          <w:rFonts w:cs="Arial"/>
          <w:szCs w:val="22"/>
        </w:rPr>
        <w:t xml:space="preserve">Figure </w:t>
      </w:r>
      <w:r w:rsidR="0073595B" w:rsidRPr="00C26B18">
        <w:rPr>
          <w:rFonts w:cs="Arial"/>
          <w:szCs w:val="22"/>
        </w:rPr>
        <w:fldChar w:fldCharType="begin"/>
      </w:r>
      <w:r w:rsidR="0073595B" w:rsidRPr="00C26B18">
        <w:rPr>
          <w:rFonts w:cs="Arial"/>
          <w:szCs w:val="22"/>
        </w:rPr>
        <w:instrText xml:space="preserve"> SEQ Figure \* ARABIC </w:instrText>
      </w:r>
      <w:r w:rsidR="0073595B" w:rsidRPr="00C26B18">
        <w:rPr>
          <w:rFonts w:cs="Arial"/>
          <w:szCs w:val="22"/>
        </w:rPr>
        <w:fldChar w:fldCharType="separate"/>
      </w:r>
      <w:r w:rsidR="0067675D">
        <w:rPr>
          <w:rFonts w:cs="Arial"/>
          <w:noProof/>
          <w:szCs w:val="22"/>
        </w:rPr>
        <w:t>11</w:t>
      </w:r>
      <w:r w:rsidR="0073595B" w:rsidRPr="00C26B18">
        <w:rPr>
          <w:rFonts w:cs="Arial"/>
          <w:szCs w:val="22"/>
        </w:rPr>
        <w:fldChar w:fldCharType="end"/>
      </w:r>
      <w:bookmarkEnd w:id="202"/>
      <w:r w:rsidRPr="00C26B18">
        <w:rPr>
          <w:rFonts w:cs="Arial"/>
          <w:szCs w:val="22"/>
        </w:rPr>
        <w:t xml:space="preserve">. </w:t>
      </w:r>
      <w:r w:rsidRPr="00C26B18">
        <w:rPr>
          <w:rFonts w:cs="Arial"/>
          <w:i/>
          <w:szCs w:val="22"/>
        </w:rPr>
        <w:t>Number of days when inshore intertidal sea temperature exceeded 35°C, 38°C, 40°C and 43°C in each monitoring period in each NRM region.</w:t>
      </w:r>
      <w:bookmarkEnd w:id="203"/>
      <w:bookmarkEnd w:id="204"/>
      <w:r w:rsidRPr="00C26B18">
        <w:rPr>
          <w:rFonts w:cs="Arial"/>
          <w:i/>
          <w:szCs w:val="22"/>
        </w:rPr>
        <w:t xml:space="preserve"> </w:t>
      </w:r>
      <w:r w:rsidRPr="00C26B18">
        <w:rPr>
          <w:rFonts w:cs="Arial"/>
          <w:i/>
          <w:vanish/>
          <w:szCs w:val="22"/>
          <w:specVanish/>
        </w:rPr>
        <w:t xml:space="preserve"> </w:t>
      </w:r>
    </w:p>
    <w:p w14:paraId="5419667A" w14:textId="29A93154" w:rsidR="00811ABE" w:rsidRPr="00C26B18" w:rsidRDefault="00811ABE" w:rsidP="00811ABE">
      <w:pPr>
        <w:rPr>
          <w:rFonts w:cs="Arial"/>
          <w:szCs w:val="22"/>
        </w:rPr>
      </w:pPr>
      <w:r w:rsidRPr="00C26B18">
        <w:rPr>
          <w:rFonts w:cs="Arial"/>
          <w:i/>
          <w:vanish/>
          <w:szCs w:val="22"/>
          <w:specVanish/>
        </w:rPr>
        <w:t xml:space="preserve"> </w:t>
      </w:r>
      <w:r w:rsidRPr="00C26B18">
        <w:rPr>
          <w:rFonts w:cs="Arial"/>
          <w:i/>
          <w:szCs w:val="22"/>
        </w:rPr>
        <w:t xml:space="preserve">Thresholds adapted from </w:t>
      </w:r>
      <w:r w:rsidR="00644A84" w:rsidRPr="00C26B18">
        <w:rPr>
          <w:rFonts w:cs="Arial"/>
          <w:i/>
          <w:szCs w:val="22"/>
        </w:rPr>
        <w:fldChar w:fldCharType="begin">
          <w:fldData xml:space="preserve">PEVuZE5vdGU+PENpdGU+PEF1dGhvcj5DYW1wYmVsbDwvQXV0aG9yPjxZZWFyPjIwMDY8L1llYXI+
PFJlY051bT4yODk2PC9SZWNOdW0+PERpc3BsYXlUZXh0PkNhbXBiZWxsPHN0eWxlIGZhY2U9Iml0
YWxpYyI+IGV0IGFsLjwvc3R5bGU+IDIwMDY7IENvbGxpZXI8c3R5bGUgZmFjZT0iaXRhbGljIj4g
ZXQgYWwuPC9zdHlsZT4gMjAxMmE8L0Rpc3BsYXlUZXh0PjxyZWNvcmQ+PHJlYy1udW1iZXI+Mjg5
NjwvcmVjLW51bWJlcj48Zm9yZWlnbi1rZXlzPjxrZXkgYXBwPSJFTiIgZGItaWQ9IjBldmU1NXg5
eTV2ZmQ2ZTlkYWN4dGV3NGVhdHZlMmR6ZHM5YSIgdGltZXN0YW1wPSIwIj4yODk2PC9rZXk+PC9m
b3JlaWduLWtleXM+PHJlZi10eXBlIG5hbWU9IkpvdXJuYWwgQXJ0aWNsZSI+MTc8L3JlZi10eXBl
Pjxjb250cmlidXRvcnM+PGF1dGhvcnM+PGF1dGhvcj5DYW1wYmVsbCwgU3R1YXJ0IEouPC9hdXRo
b3I+PGF1dGhvcj5NY0tlbnppZSwgTGVuIEouPC9hdXRob3I+PGF1dGhvcj5LZXJ2aWxsZSwgU2lt
b24gUC48L2F1dGhvcj48L2F1dGhvcnM+PC9jb250cmlidXRvcnM+PHRpdGxlcz48dGl0bGU+UGhv
dG9zeW50aGV0aWMgcmVzcG9uc2VzIG9mIHNldmVuIHRyb3BpY2FsIHNlYWdyYXNzZXMgdG8gZWxl
dmF0ZWQgc2Vhd2F0ZXIgdGVtcGVyYXR1cmU8L3RpdGxlPjxzZWNvbmRhcnktdGl0bGU+Sm91cm5h
bCBvZiBFeHBlcmltZW50YWwgTWFyaW5lIEJpb2xvZ3kgYW5kIEVjb2xvZ3k8L3NlY29uZGFyeS10
aXRsZT48L3RpdGxlcz48cGVyaW9kaWNhbD48ZnVsbC10aXRsZT5Kb3VybmFsIG9mIEV4cGVyaW1l
bnRhbCBNYXJpbmUgQmlvbG9neSBhbmQgRWNvbG9neTwvZnVsbC10aXRsZT48L3BlcmlvZGljYWw+
PHBhZ2VzPjQ1NS00Njg8L3BhZ2VzPjx2b2x1bWU+MzMwPC92b2x1bWU+PGRhdGVzPjx5ZWFyPjIw
MDY8L3llYXI+PC9kYXRlcz48dXJscz48cmVsYXRlZC11cmxzPjx1cmw+aHR0cDovL3d3dy5zY2ll
bmNlZGlyZWN0LmNvbS9zY2llbmNlL2FydGljbGUvQjZUOEYtNEhNTkRKNC0xLzIvMzAwZDEzZGE0
YzkxM2I1MGI3NjQwMzhkYjZmODYzYmM8L3VybD48L3JlbGF0ZWQtdXJscz48L3VybHM+PC9yZWNv
cmQ+PC9DaXRlPjxDaXRlPjxBdXRob3I+Q29sbGllcjwvQXV0aG9yPjxZZWFyPjIwMTI8L1llYXI+
PFJlY051bT45Mjg4PC9SZWNOdW0+PHJlY29yZD48cmVjLW51bWJlcj45Mjg4PC9yZWMtbnVtYmVy
Pjxmb3JlaWduLWtleXM+PGtleSBhcHA9IkVOIiBkYi1pZD0iMGV2ZTU1eDl5NXZmZDZlOWRhY3h0
ZXc0ZWF0dmUyZHpkczlhIiB0aW1lc3RhbXA9IjEzNzUwMDUwODEiPjkyODg8L2tleT48L2ZvcmVp
Z24ta2V5cz48cmVmLXR5cGUgbmFtZT0iSm91cm5hbCBBcnRpY2xlIj4xNzwvcmVmLXR5cGU+PGNv
bnRyaWJ1dG9ycz48YXV0aG9ycz48YXV0aG9yPkNvbGxpZXIsIEMuIEouPC9hdXRob3I+PGF1dGhv
cj5XYXljb3R0LCBNLjwvYXV0aG9yPjxhdXRob3I+TWNLZW56aWUsIEwuIEouPC9hdXRob3I+PC9h
dXRob3JzPjwvY29udHJpYnV0b3JzPjx0aXRsZXM+PHRpdGxlPkxpZ2h0IHRocmVzaG9sZHMgZGVy
aXZlZCBmcm9tIHNlYWdyYXNzIGxvc3MgaW4gdGhlIGNvYXN0YWwgem9uZSBvZiB0aGUgbm9ydGhl
cm4gR3JlYXQgQmFycmllciBSZWVmLCBBdXN0cmFsaWE8L3RpdGxlPjxzZWNvbmRhcnktdGl0bGU+
RWNvbG9naWNhbCBJbmRpY2F0b3JzPC9zZWNvbmRhcnktdGl0bGU+PC90aXRsZXM+PHBlcmlvZGlj
YWw+PGZ1bGwtdGl0bGU+RWNvbG9naWNhbCBJbmRpY2F0b3JzPC9mdWxsLXRpdGxlPjwvcGVyaW9k
aWNhbD48cGFnZXM+MjExLTIxOTwvcGFnZXM+PHZvbHVtZT4yMzwvdm9sdW1lPjxudW1iZXI+MDwv
bnVtYmVyPjxrZXl3b3Jkcz48a2V5d29yZD5TZWFncmFzczwva2V5d29yZD48a2V5d29yZD5MaWdo
dCByZXF1aXJlbWVudHM8L2tleXdvcmQ+PGtleXdvcmQ+V2F0ZXIgcXVhbGl0eTwva2V5d29yZD48
a2V5d29yZD5UaHJlc2hvbGRzPC9rZXl3b3JkPjxrZXl3b3JkPkd1aWRlbGluZXM8L2tleXdvcmQ+
PGtleXdvcmQ+SGFsb2R1bGUgdW5pbmVydmlzPC9rZXl3b3JkPjwva2V5d29yZHM+PGRhdGVzPjx5
ZWFyPjIwMTI8L3llYXI+PC9kYXRlcz48aXNibj4xNDcwLTE2MFg8L2lzYm4+PHVybHM+PHJlbGF0
ZWQtdXJscz48dXJsPmh0dHA6Ly93d3cuc2NpZW5jZWRpcmVjdC5jb20vc2NpZW5jZS9hcnRpY2xl
L3BpaS9TMTQ3MDE2MFgxMjAwMTY3NzwvdXJsPjwvcmVsYXRlZC11cmxzPjwvdXJscz48ZWxlY3Ry
b25pYy1yZXNvdXJjZS1udW0+MTAuMTAxNi9qLmVjb2xpbmQuMjAxMi4wNC4wMDU8L2VsZWN0cm9u
aWMtcmVzb3VyY2UtbnVtPjwvcmVjb3JkPjwvQ2l0ZT48L0VuZE5vdGU+
</w:fldData>
        </w:fldChar>
      </w:r>
      <w:r w:rsidR="004A409C">
        <w:rPr>
          <w:rFonts w:cs="Arial"/>
          <w:i/>
          <w:szCs w:val="22"/>
        </w:rPr>
        <w:instrText xml:space="preserve"> ADDIN EN.CITE </w:instrText>
      </w:r>
      <w:r w:rsidR="004A409C">
        <w:rPr>
          <w:rFonts w:cs="Arial"/>
          <w:i/>
          <w:szCs w:val="22"/>
        </w:rPr>
        <w:fldChar w:fldCharType="begin">
          <w:fldData xml:space="preserve">PEVuZE5vdGU+PENpdGU+PEF1dGhvcj5DYW1wYmVsbDwvQXV0aG9yPjxZZWFyPjIwMDY8L1llYXI+
PFJlY051bT4yODk2PC9SZWNOdW0+PERpc3BsYXlUZXh0PkNhbXBiZWxsPHN0eWxlIGZhY2U9Iml0
YWxpYyI+IGV0IGFsLjwvc3R5bGU+IDIwMDY7IENvbGxpZXI8c3R5bGUgZmFjZT0iaXRhbGljIj4g
ZXQgYWwuPC9zdHlsZT4gMjAxMmE8L0Rpc3BsYXlUZXh0PjxyZWNvcmQ+PHJlYy1udW1iZXI+Mjg5
NjwvcmVjLW51bWJlcj48Zm9yZWlnbi1rZXlzPjxrZXkgYXBwPSJFTiIgZGItaWQ9IjBldmU1NXg5
eTV2ZmQ2ZTlkYWN4dGV3NGVhdHZlMmR6ZHM5YSIgdGltZXN0YW1wPSIwIj4yODk2PC9rZXk+PC9m
b3JlaWduLWtleXM+PHJlZi10eXBlIG5hbWU9IkpvdXJuYWwgQXJ0aWNsZSI+MTc8L3JlZi10eXBl
Pjxjb250cmlidXRvcnM+PGF1dGhvcnM+PGF1dGhvcj5DYW1wYmVsbCwgU3R1YXJ0IEouPC9hdXRo
b3I+PGF1dGhvcj5NY0tlbnppZSwgTGVuIEouPC9hdXRob3I+PGF1dGhvcj5LZXJ2aWxsZSwgU2lt
b24gUC48L2F1dGhvcj48L2F1dGhvcnM+PC9jb250cmlidXRvcnM+PHRpdGxlcz48dGl0bGU+UGhv
dG9zeW50aGV0aWMgcmVzcG9uc2VzIG9mIHNldmVuIHRyb3BpY2FsIHNlYWdyYXNzZXMgdG8gZWxl
dmF0ZWQgc2Vhd2F0ZXIgdGVtcGVyYXR1cmU8L3RpdGxlPjxzZWNvbmRhcnktdGl0bGU+Sm91cm5h
bCBvZiBFeHBlcmltZW50YWwgTWFyaW5lIEJpb2xvZ3kgYW5kIEVjb2xvZ3k8L3NlY29uZGFyeS10
aXRsZT48L3RpdGxlcz48cGVyaW9kaWNhbD48ZnVsbC10aXRsZT5Kb3VybmFsIG9mIEV4cGVyaW1l
bnRhbCBNYXJpbmUgQmlvbG9neSBhbmQgRWNvbG9neTwvZnVsbC10aXRsZT48L3BlcmlvZGljYWw+
PHBhZ2VzPjQ1NS00Njg8L3BhZ2VzPjx2b2x1bWU+MzMwPC92b2x1bWU+PGRhdGVzPjx5ZWFyPjIw
MDY8L3llYXI+PC9kYXRlcz48dXJscz48cmVsYXRlZC11cmxzPjx1cmw+aHR0cDovL3d3dy5zY2ll
bmNlZGlyZWN0LmNvbS9zY2llbmNlL2FydGljbGUvQjZUOEYtNEhNTkRKNC0xLzIvMzAwZDEzZGE0
YzkxM2I1MGI3NjQwMzhkYjZmODYzYmM8L3VybD48L3JlbGF0ZWQtdXJscz48L3VybHM+PC9yZWNv
cmQ+PC9DaXRlPjxDaXRlPjxBdXRob3I+Q29sbGllcjwvQXV0aG9yPjxZZWFyPjIwMTI8L1llYXI+
PFJlY051bT45Mjg4PC9SZWNOdW0+PHJlY29yZD48cmVjLW51bWJlcj45Mjg4PC9yZWMtbnVtYmVy
Pjxmb3JlaWduLWtleXM+PGtleSBhcHA9IkVOIiBkYi1pZD0iMGV2ZTU1eDl5NXZmZDZlOWRhY3h0
ZXc0ZWF0dmUyZHpkczlhIiB0aW1lc3RhbXA9IjEzNzUwMDUwODEiPjkyODg8L2tleT48L2ZvcmVp
Z24ta2V5cz48cmVmLXR5cGUgbmFtZT0iSm91cm5hbCBBcnRpY2xlIj4xNzwvcmVmLXR5cGU+PGNv
bnRyaWJ1dG9ycz48YXV0aG9ycz48YXV0aG9yPkNvbGxpZXIsIEMuIEouPC9hdXRob3I+PGF1dGhv
cj5XYXljb3R0LCBNLjwvYXV0aG9yPjxhdXRob3I+TWNLZW56aWUsIEwuIEouPC9hdXRob3I+PC9h
dXRob3JzPjwvY29udHJpYnV0b3JzPjx0aXRsZXM+PHRpdGxlPkxpZ2h0IHRocmVzaG9sZHMgZGVy
aXZlZCBmcm9tIHNlYWdyYXNzIGxvc3MgaW4gdGhlIGNvYXN0YWwgem9uZSBvZiB0aGUgbm9ydGhl
cm4gR3JlYXQgQmFycmllciBSZWVmLCBBdXN0cmFsaWE8L3RpdGxlPjxzZWNvbmRhcnktdGl0bGU+
RWNvbG9naWNhbCBJbmRpY2F0b3JzPC9zZWNvbmRhcnktdGl0bGU+PC90aXRsZXM+PHBlcmlvZGlj
YWw+PGZ1bGwtdGl0bGU+RWNvbG9naWNhbCBJbmRpY2F0b3JzPC9mdWxsLXRpdGxlPjwvcGVyaW9k
aWNhbD48cGFnZXM+MjExLTIxOTwvcGFnZXM+PHZvbHVtZT4yMzwvdm9sdW1lPjxudW1iZXI+MDwv
bnVtYmVyPjxrZXl3b3Jkcz48a2V5d29yZD5TZWFncmFzczwva2V5d29yZD48a2V5d29yZD5MaWdo
dCByZXF1aXJlbWVudHM8L2tleXdvcmQ+PGtleXdvcmQ+V2F0ZXIgcXVhbGl0eTwva2V5d29yZD48
a2V5d29yZD5UaHJlc2hvbGRzPC9rZXl3b3JkPjxrZXl3b3JkPkd1aWRlbGluZXM8L2tleXdvcmQ+
PGtleXdvcmQ+SGFsb2R1bGUgdW5pbmVydmlzPC9rZXl3b3JkPjwva2V5d29yZHM+PGRhdGVzPjx5
ZWFyPjIwMTI8L3llYXI+PC9kYXRlcz48aXNibj4xNDcwLTE2MFg8L2lzYm4+PHVybHM+PHJlbGF0
ZWQtdXJscz48dXJsPmh0dHA6Ly93d3cuc2NpZW5jZWRpcmVjdC5jb20vc2NpZW5jZS9hcnRpY2xl
L3BpaS9TMTQ3MDE2MFgxMjAwMTY3NzwvdXJsPjwvcmVsYXRlZC11cmxzPjwvdXJscz48ZWxlY3Ry
b25pYy1yZXNvdXJjZS1udW0+MTAuMTAxNi9qLmVjb2xpbmQuMjAxMi4wNC4wMDU8L2VsZWN0cm9u
aWMtcmVzb3VyY2UtbnVtPjwvcmVjb3JkPjwvQ2l0ZT48L0VuZE5vdGU+
</w:fldData>
        </w:fldChar>
      </w:r>
      <w:r w:rsidR="004A409C">
        <w:rPr>
          <w:rFonts w:cs="Arial"/>
          <w:i/>
          <w:szCs w:val="22"/>
        </w:rPr>
        <w:instrText xml:space="preserve"> ADDIN EN.CITE.DATA </w:instrText>
      </w:r>
      <w:r w:rsidR="004A409C">
        <w:rPr>
          <w:rFonts w:cs="Arial"/>
          <w:i/>
          <w:szCs w:val="22"/>
        </w:rPr>
      </w:r>
      <w:r w:rsidR="004A409C">
        <w:rPr>
          <w:rFonts w:cs="Arial"/>
          <w:i/>
          <w:szCs w:val="22"/>
        </w:rPr>
        <w:fldChar w:fldCharType="end"/>
      </w:r>
      <w:r w:rsidR="00644A84" w:rsidRPr="00C26B18">
        <w:rPr>
          <w:rFonts w:cs="Arial"/>
          <w:i/>
          <w:szCs w:val="22"/>
        </w:rPr>
      </w:r>
      <w:r w:rsidR="00644A84" w:rsidRPr="00C26B18">
        <w:rPr>
          <w:rFonts w:cs="Arial"/>
          <w:i/>
          <w:szCs w:val="22"/>
        </w:rPr>
        <w:fldChar w:fldCharType="separate"/>
      </w:r>
      <w:hyperlink w:anchor="_ENREF_20" w:tooltip="Campbell, 2006 #2896" w:history="1">
        <w:r w:rsidR="009A7AB4">
          <w:rPr>
            <w:rFonts w:cs="Arial"/>
            <w:i/>
            <w:noProof/>
            <w:szCs w:val="22"/>
          </w:rPr>
          <w:t>Campbell et al. 2006</w:t>
        </w:r>
      </w:hyperlink>
      <w:r w:rsidR="004A409C">
        <w:rPr>
          <w:rFonts w:cs="Arial"/>
          <w:i/>
          <w:noProof/>
          <w:szCs w:val="22"/>
        </w:rPr>
        <w:t xml:space="preserve">; </w:t>
      </w:r>
      <w:hyperlink w:anchor="_ENREF_38" w:tooltip="Collier, 2012 #9288" w:history="1">
        <w:r w:rsidR="009A7AB4">
          <w:rPr>
            <w:rFonts w:cs="Arial"/>
            <w:i/>
            <w:noProof/>
            <w:szCs w:val="22"/>
          </w:rPr>
          <w:t>Collier et al. 2012a</w:t>
        </w:r>
      </w:hyperlink>
      <w:r w:rsidR="00644A84" w:rsidRPr="00C26B18">
        <w:rPr>
          <w:rFonts w:cs="Arial"/>
          <w:i/>
          <w:szCs w:val="22"/>
        </w:rPr>
        <w:fldChar w:fldCharType="end"/>
      </w:r>
      <w:r w:rsidRPr="00C26B18">
        <w:rPr>
          <w:rFonts w:cs="Arial"/>
          <w:i/>
          <w:szCs w:val="22"/>
        </w:rPr>
        <w:t>.</w:t>
      </w:r>
    </w:p>
    <w:p w14:paraId="5891A5F3" w14:textId="77777777" w:rsidR="00EF269A" w:rsidRPr="00C26B18" w:rsidRDefault="00EF269A" w:rsidP="00EF269A">
      <w:pPr>
        <w:keepNext/>
        <w:widowControl w:val="0"/>
        <w:jc w:val="center"/>
        <w:rPr>
          <w:rFonts w:cs="Arial"/>
          <w:noProof/>
          <w:color w:val="000000"/>
          <w:szCs w:val="22"/>
          <w:lang w:eastAsia="en-AU"/>
        </w:rPr>
      </w:pPr>
      <w:r w:rsidRPr="00C26B18">
        <w:rPr>
          <w:rFonts w:cs="Arial"/>
          <w:noProof/>
          <w:color w:val="000000"/>
          <w:szCs w:val="22"/>
          <w:lang w:eastAsia="en-AU"/>
        </w:rPr>
        <w:lastRenderedPageBreak/>
        <w:drawing>
          <wp:inline distT="0" distB="0" distL="0" distR="0" wp14:anchorId="328C9A91" wp14:editId="0A74548B">
            <wp:extent cx="4870960" cy="2074754"/>
            <wp:effectExtent l="0" t="0" r="6350" b="1905"/>
            <wp:docPr id="228" name="Picture 228" descr="Graph showing number of days when inshore subtidal sea temperature exceeded 35°C, 38°C, 40°C and 43°C in each monitoring period in each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Temperature_exceedance_subtidal_NRM_Nov16.png"/>
                    <pic:cNvPicPr/>
                  </pic:nvPicPr>
                  <pic:blipFill>
                    <a:blip r:embed="rId66">
                      <a:extLst>
                        <a:ext uri="{28A0092B-C50C-407E-A947-70E740481C1C}">
                          <a14:useLocalDpi xmlns:a14="http://schemas.microsoft.com/office/drawing/2010/main" val="0"/>
                        </a:ext>
                      </a:extLst>
                    </a:blip>
                    <a:stretch>
                      <a:fillRect/>
                    </a:stretch>
                  </pic:blipFill>
                  <pic:spPr>
                    <a:xfrm>
                      <a:off x="0" y="0"/>
                      <a:ext cx="4870960" cy="2074754"/>
                    </a:xfrm>
                    <a:prstGeom prst="rect">
                      <a:avLst/>
                    </a:prstGeom>
                  </pic:spPr>
                </pic:pic>
              </a:graphicData>
            </a:graphic>
          </wp:inline>
        </w:drawing>
      </w:r>
    </w:p>
    <w:p w14:paraId="669848E5" w14:textId="478E0DE7" w:rsidR="00EF269A" w:rsidRPr="00C26B18" w:rsidRDefault="00EF269A" w:rsidP="00EF269A">
      <w:pPr>
        <w:rPr>
          <w:rFonts w:cs="Arial"/>
          <w:i/>
          <w:vanish/>
          <w:szCs w:val="22"/>
          <w:specVanish/>
        </w:rPr>
      </w:pPr>
      <w:bookmarkStart w:id="205" w:name="_Ref534195340"/>
      <w:bookmarkStart w:id="206" w:name="_Toc38634116"/>
      <w:r w:rsidRPr="00C26B18">
        <w:rPr>
          <w:rFonts w:cs="Arial"/>
          <w:szCs w:val="22"/>
        </w:rPr>
        <w:t xml:space="preserve">Figure </w:t>
      </w:r>
      <w:r w:rsidRPr="00C26B18">
        <w:rPr>
          <w:rFonts w:cs="Arial"/>
          <w:noProof/>
          <w:szCs w:val="22"/>
        </w:rPr>
        <w:fldChar w:fldCharType="begin"/>
      </w:r>
      <w:r w:rsidRPr="00C26B18">
        <w:rPr>
          <w:rFonts w:cs="Arial"/>
          <w:noProof/>
          <w:szCs w:val="22"/>
        </w:rPr>
        <w:instrText xml:space="preserve"> SEQ Figure \* ARABIC </w:instrText>
      </w:r>
      <w:r w:rsidRPr="00C26B18">
        <w:rPr>
          <w:rFonts w:cs="Arial"/>
          <w:noProof/>
          <w:szCs w:val="22"/>
        </w:rPr>
        <w:fldChar w:fldCharType="separate"/>
      </w:r>
      <w:r w:rsidR="0067675D">
        <w:rPr>
          <w:rFonts w:cs="Arial"/>
          <w:noProof/>
          <w:szCs w:val="22"/>
        </w:rPr>
        <w:t>12</w:t>
      </w:r>
      <w:r w:rsidRPr="00C26B18">
        <w:rPr>
          <w:rFonts w:cs="Arial"/>
          <w:noProof/>
          <w:szCs w:val="22"/>
        </w:rPr>
        <w:fldChar w:fldCharType="end"/>
      </w:r>
      <w:bookmarkEnd w:id="205"/>
      <w:r w:rsidRPr="00C26B18">
        <w:rPr>
          <w:rFonts w:cs="Arial"/>
          <w:szCs w:val="22"/>
        </w:rPr>
        <w:t xml:space="preserve">. </w:t>
      </w:r>
      <w:r w:rsidRPr="00C26B18">
        <w:rPr>
          <w:rFonts w:cs="Arial"/>
          <w:i/>
          <w:szCs w:val="22"/>
        </w:rPr>
        <w:t>Number of days when inshore subtidal sea temperature exceeded 35°C, 38°C, 40°C and 43°C in each monitoring period in each NRM region.</w:t>
      </w:r>
      <w:bookmarkEnd w:id="206"/>
      <w:r w:rsidRPr="00C26B18">
        <w:rPr>
          <w:rFonts w:cs="Arial"/>
          <w:i/>
          <w:vanish/>
          <w:szCs w:val="22"/>
          <w:specVanish/>
        </w:rPr>
        <w:t xml:space="preserve"> </w:t>
      </w:r>
    </w:p>
    <w:p w14:paraId="7B316F6D" w14:textId="64FA4063" w:rsidR="00EF269A" w:rsidRPr="00C26B18" w:rsidRDefault="00EF269A" w:rsidP="00EF269A">
      <w:pPr>
        <w:rPr>
          <w:rFonts w:cs="Arial"/>
          <w:szCs w:val="22"/>
        </w:rPr>
      </w:pPr>
      <w:r w:rsidRPr="00C26B18">
        <w:rPr>
          <w:rFonts w:cs="Arial"/>
          <w:i/>
          <w:szCs w:val="22"/>
        </w:rPr>
        <w:t xml:space="preserve"> Thresholds adapted from </w:t>
      </w:r>
      <w:r w:rsidRPr="00C26B18">
        <w:rPr>
          <w:rFonts w:cs="Arial"/>
          <w:i/>
          <w:szCs w:val="22"/>
        </w:rPr>
        <w:fldChar w:fldCharType="begin">
          <w:fldData xml:space="preserve">PEVuZE5vdGU+PENpdGU+PEF1dGhvcj5DYW1wYmVsbDwvQXV0aG9yPjxZZWFyPjIwMDY8L1llYXI+
PFJlY051bT4yODk2PC9SZWNOdW0+PERpc3BsYXlUZXh0PkNhbXBiZWxsPHN0eWxlIGZhY2U9Iml0
YWxpYyI+IGV0IGFsLjwvc3R5bGU+IDIwMDY7IENvbGxpZXI8c3R5bGUgZmFjZT0iaXRhbGljIj4g
ZXQgYWwuPC9zdHlsZT4gMjAxMmE8L0Rpc3BsYXlUZXh0PjxyZWNvcmQ+PHJlYy1udW1iZXI+Mjg5
NjwvcmVjLW51bWJlcj48Zm9yZWlnbi1rZXlzPjxrZXkgYXBwPSJFTiIgZGItaWQ9IjBldmU1NXg5
eTV2ZmQ2ZTlkYWN4dGV3NGVhdHZlMmR6ZHM5YSIgdGltZXN0YW1wPSIwIj4yODk2PC9rZXk+PC9m
b3JlaWduLWtleXM+PHJlZi10eXBlIG5hbWU9IkpvdXJuYWwgQXJ0aWNsZSI+MTc8L3JlZi10eXBl
Pjxjb250cmlidXRvcnM+PGF1dGhvcnM+PGF1dGhvcj5DYW1wYmVsbCwgU3R1YXJ0IEouPC9hdXRo
b3I+PGF1dGhvcj5NY0tlbnppZSwgTGVuIEouPC9hdXRob3I+PGF1dGhvcj5LZXJ2aWxsZSwgU2lt
b24gUC48L2F1dGhvcj48L2F1dGhvcnM+PC9jb250cmlidXRvcnM+PHRpdGxlcz48dGl0bGU+UGhv
dG9zeW50aGV0aWMgcmVzcG9uc2VzIG9mIHNldmVuIHRyb3BpY2FsIHNlYWdyYXNzZXMgdG8gZWxl
dmF0ZWQgc2Vhd2F0ZXIgdGVtcGVyYXR1cmU8L3RpdGxlPjxzZWNvbmRhcnktdGl0bGU+Sm91cm5h
bCBvZiBFeHBlcmltZW50YWwgTWFyaW5lIEJpb2xvZ3kgYW5kIEVjb2xvZ3k8L3NlY29uZGFyeS10
aXRsZT48L3RpdGxlcz48cGVyaW9kaWNhbD48ZnVsbC10aXRsZT5Kb3VybmFsIG9mIEV4cGVyaW1l
bnRhbCBNYXJpbmUgQmlvbG9neSBhbmQgRWNvbG9neTwvZnVsbC10aXRsZT48L3BlcmlvZGljYWw+
PHBhZ2VzPjQ1NS00Njg8L3BhZ2VzPjx2b2x1bWU+MzMwPC92b2x1bWU+PGRhdGVzPjx5ZWFyPjIw
MDY8L3llYXI+PC9kYXRlcz48dXJscz48cmVsYXRlZC11cmxzPjx1cmw+aHR0cDovL3d3dy5zY2ll
bmNlZGlyZWN0LmNvbS9zY2llbmNlL2FydGljbGUvQjZUOEYtNEhNTkRKNC0xLzIvMzAwZDEzZGE0
YzkxM2I1MGI3NjQwMzhkYjZmODYzYmM8L3VybD48L3JlbGF0ZWQtdXJscz48L3VybHM+PC9yZWNv
cmQ+PC9DaXRlPjxDaXRlPjxBdXRob3I+Q29sbGllcjwvQXV0aG9yPjxZZWFyPjIwMTI8L1llYXI+
PFJlY051bT45Mjg4PC9SZWNOdW0+PHJlY29yZD48cmVjLW51bWJlcj45Mjg4PC9yZWMtbnVtYmVy
Pjxmb3JlaWduLWtleXM+PGtleSBhcHA9IkVOIiBkYi1pZD0iMGV2ZTU1eDl5NXZmZDZlOWRhY3h0
ZXc0ZWF0dmUyZHpkczlhIiB0aW1lc3RhbXA9IjEzNzUwMDUwODEiPjkyODg8L2tleT48L2ZvcmVp
Z24ta2V5cz48cmVmLXR5cGUgbmFtZT0iSm91cm5hbCBBcnRpY2xlIj4xNzwvcmVmLXR5cGU+PGNv
bnRyaWJ1dG9ycz48YXV0aG9ycz48YXV0aG9yPkNvbGxpZXIsIEMuIEouPC9hdXRob3I+PGF1dGhv
cj5XYXljb3R0LCBNLjwvYXV0aG9yPjxhdXRob3I+TWNLZW56aWUsIEwuIEouPC9hdXRob3I+PC9h
dXRob3JzPjwvY29udHJpYnV0b3JzPjx0aXRsZXM+PHRpdGxlPkxpZ2h0IHRocmVzaG9sZHMgZGVy
aXZlZCBmcm9tIHNlYWdyYXNzIGxvc3MgaW4gdGhlIGNvYXN0YWwgem9uZSBvZiB0aGUgbm9ydGhl
cm4gR3JlYXQgQmFycmllciBSZWVmLCBBdXN0cmFsaWE8L3RpdGxlPjxzZWNvbmRhcnktdGl0bGU+
RWNvbG9naWNhbCBJbmRpY2F0b3JzPC9zZWNvbmRhcnktdGl0bGU+PC90aXRsZXM+PHBlcmlvZGlj
YWw+PGZ1bGwtdGl0bGU+RWNvbG9naWNhbCBJbmRpY2F0b3JzPC9mdWxsLXRpdGxlPjwvcGVyaW9k
aWNhbD48cGFnZXM+MjExLTIxOTwvcGFnZXM+PHZvbHVtZT4yMzwvdm9sdW1lPjxudW1iZXI+MDwv
bnVtYmVyPjxrZXl3b3Jkcz48a2V5d29yZD5TZWFncmFzczwva2V5d29yZD48a2V5d29yZD5MaWdo
dCByZXF1aXJlbWVudHM8L2tleXdvcmQ+PGtleXdvcmQ+V2F0ZXIgcXVhbGl0eTwva2V5d29yZD48
a2V5d29yZD5UaHJlc2hvbGRzPC9rZXl3b3JkPjxrZXl3b3JkPkd1aWRlbGluZXM8L2tleXdvcmQ+
PGtleXdvcmQ+SGFsb2R1bGUgdW5pbmVydmlzPC9rZXl3b3JkPjwva2V5d29yZHM+PGRhdGVzPjx5
ZWFyPjIwMTI8L3llYXI+PC9kYXRlcz48aXNibj4xNDcwLTE2MFg8L2lzYm4+PHVybHM+PHJlbGF0
ZWQtdXJscz48dXJsPmh0dHA6Ly93d3cuc2NpZW5jZWRpcmVjdC5jb20vc2NpZW5jZS9hcnRpY2xl
L3BpaS9TMTQ3MDE2MFgxMjAwMTY3NzwvdXJsPjwvcmVsYXRlZC11cmxzPjwvdXJscz48ZWxlY3Ry
b25pYy1yZXNvdXJjZS1udW0+MTAuMTAxNi9qLmVjb2xpbmQuMjAxMi4wNC4wMDU8L2VsZWN0cm9u
aWMtcmVzb3VyY2UtbnVtPjwvcmVjb3JkPjwvQ2l0ZT48L0VuZE5vdGU+
</w:fldData>
        </w:fldChar>
      </w:r>
      <w:r w:rsidR="004A409C">
        <w:rPr>
          <w:rFonts w:cs="Arial"/>
          <w:i/>
          <w:szCs w:val="22"/>
        </w:rPr>
        <w:instrText xml:space="preserve"> ADDIN EN.CITE </w:instrText>
      </w:r>
      <w:r w:rsidR="004A409C">
        <w:rPr>
          <w:rFonts w:cs="Arial"/>
          <w:i/>
          <w:szCs w:val="22"/>
        </w:rPr>
        <w:fldChar w:fldCharType="begin">
          <w:fldData xml:space="preserve">PEVuZE5vdGU+PENpdGU+PEF1dGhvcj5DYW1wYmVsbDwvQXV0aG9yPjxZZWFyPjIwMDY8L1llYXI+
PFJlY051bT4yODk2PC9SZWNOdW0+PERpc3BsYXlUZXh0PkNhbXBiZWxsPHN0eWxlIGZhY2U9Iml0
YWxpYyI+IGV0IGFsLjwvc3R5bGU+IDIwMDY7IENvbGxpZXI8c3R5bGUgZmFjZT0iaXRhbGljIj4g
ZXQgYWwuPC9zdHlsZT4gMjAxMmE8L0Rpc3BsYXlUZXh0PjxyZWNvcmQ+PHJlYy1udW1iZXI+Mjg5
NjwvcmVjLW51bWJlcj48Zm9yZWlnbi1rZXlzPjxrZXkgYXBwPSJFTiIgZGItaWQ9IjBldmU1NXg5
eTV2ZmQ2ZTlkYWN4dGV3NGVhdHZlMmR6ZHM5YSIgdGltZXN0YW1wPSIwIj4yODk2PC9rZXk+PC9m
b3JlaWduLWtleXM+PHJlZi10eXBlIG5hbWU9IkpvdXJuYWwgQXJ0aWNsZSI+MTc8L3JlZi10eXBl
Pjxjb250cmlidXRvcnM+PGF1dGhvcnM+PGF1dGhvcj5DYW1wYmVsbCwgU3R1YXJ0IEouPC9hdXRo
b3I+PGF1dGhvcj5NY0tlbnppZSwgTGVuIEouPC9hdXRob3I+PGF1dGhvcj5LZXJ2aWxsZSwgU2lt
b24gUC48L2F1dGhvcj48L2F1dGhvcnM+PC9jb250cmlidXRvcnM+PHRpdGxlcz48dGl0bGU+UGhv
dG9zeW50aGV0aWMgcmVzcG9uc2VzIG9mIHNldmVuIHRyb3BpY2FsIHNlYWdyYXNzZXMgdG8gZWxl
dmF0ZWQgc2Vhd2F0ZXIgdGVtcGVyYXR1cmU8L3RpdGxlPjxzZWNvbmRhcnktdGl0bGU+Sm91cm5h
bCBvZiBFeHBlcmltZW50YWwgTWFyaW5lIEJpb2xvZ3kgYW5kIEVjb2xvZ3k8L3NlY29uZGFyeS10
aXRsZT48L3RpdGxlcz48cGVyaW9kaWNhbD48ZnVsbC10aXRsZT5Kb3VybmFsIG9mIEV4cGVyaW1l
bnRhbCBNYXJpbmUgQmlvbG9neSBhbmQgRWNvbG9neTwvZnVsbC10aXRsZT48L3BlcmlvZGljYWw+
PHBhZ2VzPjQ1NS00Njg8L3BhZ2VzPjx2b2x1bWU+MzMwPC92b2x1bWU+PGRhdGVzPjx5ZWFyPjIw
MDY8L3llYXI+PC9kYXRlcz48dXJscz48cmVsYXRlZC11cmxzPjx1cmw+aHR0cDovL3d3dy5zY2ll
bmNlZGlyZWN0LmNvbS9zY2llbmNlL2FydGljbGUvQjZUOEYtNEhNTkRKNC0xLzIvMzAwZDEzZGE0
YzkxM2I1MGI3NjQwMzhkYjZmODYzYmM8L3VybD48L3JlbGF0ZWQtdXJscz48L3VybHM+PC9yZWNv
cmQ+PC9DaXRlPjxDaXRlPjxBdXRob3I+Q29sbGllcjwvQXV0aG9yPjxZZWFyPjIwMTI8L1llYXI+
PFJlY051bT45Mjg4PC9SZWNOdW0+PHJlY29yZD48cmVjLW51bWJlcj45Mjg4PC9yZWMtbnVtYmVy
Pjxmb3JlaWduLWtleXM+PGtleSBhcHA9IkVOIiBkYi1pZD0iMGV2ZTU1eDl5NXZmZDZlOWRhY3h0
ZXc0ZWF0dmUyZHpkczlhIiB0aW1lc3RhbXA9IjEzNzUwMDUwODEiPjkyODg8L2tleT48L2ZvcmVp
Z24ta2V5cz48cmVmLXR5cGUgbmFtZT0iSm91cm5hbCBBcnRpY2xlIj4xNzwvcmVmLXR5cGU+PGNv
bnRyaWJ1dG9ycz48YXV0aG9ycz48YXV0aG9yPkNvbGxpZXIsIEMuIEouPC9hdXRob3I+PGF1dGhv
cj5XYXljb3R0LCBNLjwvYXV0aG9yPjxhdXRob3I+TWNLZW56aWUsIEwuIEouPC9hdXRob3I+PC9h
dXRob3JzPjwvY29udHJpYnV0b3JzPjx0aXRsZXM+PHRpdGxlPkxpZ2h0IHRocmVzaG9sZHMgZGVy
aXZlZCBmcm9tIHNlYWdyYXNzIGxvc3MgaW4gdGhlIGNvYXN0YWwgem9uZSBvZiB0aGUgbm9ydGhl
cm4gR3JlYXQgQmFycmllciBSZWVmLCBBdXN0cmFsaWE8L3RpdGxlPjxzZWNvbmRhcnktdGl0bGU+
RWNvbG9naWNhbCBJbmRpY2F0b3JzPC9zZWNvbmRhcnktdGl0bGU+PC90aXRsZXM+PHBlcmlvZGlj
YWw+PGZ1bGwtdGl0bGU+RWNvbG9naWNhbCBJbmRpY2F0b3JzPC9mdWxsLXRpdGxlPjwvcGVyaW9k
aWNhbD48cGFnZXM+MjExLTIxOTwvcGFnZXM+PHZvbHVtZT4yMzwvdm9sdW1lPjxudW1iZXI+MDwv
bnVtYmVyPjxrZXl3b3Jkcz48a2V5d29yZD5TZWFncmFzczwva2V5d29yZD48a2V5d29yZD5MaWdo
dCByZXF1aXJlbWVudHM8L2tleXdvcmQ+PGtleXdvcmQ+V2F0ZXIgcXVhbGl0eTwva2V5d29yZD48
a2V5d29yZD5UaHJlc2hvbGRzPC9rZXl3b3JkPjxrZXl3b3JkPkd1aWRlbGluZXM8L2tleXdvcmQ+
PGtleXdvcmQ+SGFsb2R1bGUgdW5pbmVydmlzPC9rZXl3b3JkPjwva2V5d29yZHM+PGRhdGVzPjx5
ZWFyPjIwMTI8L3llYXI+PC9kYXRlcz48aXNibj4xNDcwLTE2MFg8L2lzYm4+PHVybHM+PHJlbGF0
ZWQtdXJscz48dXJsPmh0dHA6Ly93d3cuc2NpZW5jZWRpcmVjdC5jb20vc2NpZW5jZS9hcnRpY2xl
L3BpaS9TMTQ3MDE2MFgxMjAwMTY3NzwvdXJsPjwvcmVsYXRlZC11cmxzPjwvdXJscz48ZWxlY3Ry
b25pYy1yZXNvdXJjZS1udW0+MTAuMTAxNi9qLmVjb2xpbmQuMjAxMi4wNC4wMDU8L2VsZWN0cm9u
aWMtcmVzb3VyY2UtbnVtPjwvcmVjb3JkPjwvQ2l0ZT48L0VuZE5vdGU+
</w:fldData>
        </w:fldChar>
      </w:r>
      <w:r w:rsidR="004A409C">
        <w:rPr>
          <w:rFonts w:cs="Arial"/>
          <w:i/>
          <w:szCs w:val="22"/>
        </w:rPr>
        <w:instrText xml:space="preserve"> ADDIN EN.CITE.DATA </w:instrText>
      </w:r>
      <w:r w:rsidR="004A409C">
        <w:rPr>
          <w:rFonts w:cs="Arial"/>
          <w:i/>
          <w:szCs w:val="22"/>
        </w:rPr>
      </w:r>
      <w:r w:rsidR="004A409C">
        <w:rPr>
          <w:rFonts w:cs="Arial"/>
          <w:i/>
          <w:szCs w:val="22"/>
        </w:rPr>
        <w:fldChar w:fldCharType="end"/>
      </w:r>
      <w:r w:rsidRPr="00C26B18">
        <w:rPr>
          <w:rFonts w:cs="Arial"/>
          <w:i/>
          <w:szCs w:val="22"/>
        </w:rPr>
      </w:r>
      <w:r w:rsidRPr="00C26B18">
        <w:rPr>
          <w:rFonts w:cs="Arial"/>
          <w:i/>
          <w:szCs w:val="22"/>
        </w:rPr>
        <w:fldChar w:fldCharType="separate"/>
      </w:r>
      <w:hyperlink w:anchor="_ENREF_20" w:tooltip="Campbell, 2006 #2896" w:history="1">
        <w:r w:rsidR="009A7AB4">
          <w:rPr>
            <w:rFonts w:cs="Arial"/>
            <w:i/>
            <w:noProof/>
            <w:szCs w:val="22"/>
          </w:rPr>
          <w:t>Campbell et al. 2006</w:t>
        </w:r>
      </w:hyperlink>
      <w:r w:rsidR="004A409C">
        <w:rPr>
          <w:rFonts w:cs="Arial"/>
          <w:i/>
          <w:noProof/>
          <w:szCs w:val="22"/>
        </w:rPr>
        <w:t xml:space="preserve">; </w:t>
      </w:r>
      <w:hyperlink w:anchor="_ENREF_38" w:tooltip="Collier, 2012 #9288" w:history="1">
        <w:r w:rsidR="009A7AB4">
          <w:rPr>
            <w:rFonts w:cs="Arial"/>
            <w:i/>
            <w:noProof/>
            <w:szCs w:val="22"/>
          </w:rPr>
          <w:t>Collier et al. 2012a</w:t>
        </w:r>
      </w:hyperlink>
      <w:r w:rsidRPr="00C26B18">
        <w:rPr>
          <w:rFonts w:cs="Arial"/>
          <w:i/>
          <w:szCs w:val="22"/>
        </w:rPr>
        <w:fldChar w:fldCharType="end"/>
      </w:r>
      <w:r w:rsidRPr="00C26B18">
        <w:rPr>
          <w:rFonts w:cs="Arial"/>
          <w:szCs w:val="22"/>
        </w:rPr>
        <w:t>.</w:t>
      </w:r>
    </w:p>
    <w:p w14:paraId="75B631AF" w14:textId="77777777" w:rsidR="00811ABE" w:rsidRPr="00C26B18" w:rsidRDefault="00FA2DA3" w:rsidP="00811ABE">
      <w:pPr>
        <w:keepNext/>
        <w:widowControl w:val="0"/>
        <w:jc w:val="center"/>
        <w:rPr>
          <w:rFonts w:cs="Arial"/>
          <w:noProof/>
          <w:color w:val="000000"/>
          <w:szCs w:val="22"/>
          <w:lang w:eastAsia="en-AU"/>
        </w:rPr>
      </w:pPr>
      <w:r w:rsidRPr="00C26B18">
        <w:rPr>
          <w:rFonts w:cs="Arial"/>
          <w:noProof/>
          <w:color w:val="000000"/>
          <w:szCs w:val="22"/>
          <w:lang w:eastAsia="en-AU"/>
        </w:rPr>
        <w:drawing>
          <wp:inline distT="0" distB="0" distL="0" distR="0" wp14:anchorId="589DFB88" wp14:editId="63164D4F">
            <wp:extent cx="5782329" cy="1709063"/>
            <wp:effectExtent l="0" t="0" r="0" b="5715"/>
            <wp:docPr id="232" name="Picture 232" descr="Graph of inshore intertidal sea temperature deviations from baseline for GBR seagrass habitats 2003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GBR_temperature_deviation_2016.png"/>
                    <pic:cNvPicPr/>
                  </pic:nvPicPr>
                  <pic:blipFill>
                    <a:blip r:embed="rId67">
                      <a:extLst>
                        <a:ext uri="{28A0092B-C50C-407E-A947-70E740481C1C}">
                          <a14:useLocalDpi xmlns:a14="http://schemas.microsoft.com/office/drawing/2010/main" val="0"/>
                        </a:ext>
                      </a:extLst>
                    </a:blip>
                    <a:stretch>
                      <a:fillRect/>
                    </a:stretch>
                  </pic:blipFill>
                  <pic:spPr>
                    <a:xfrm>
                      <a:off x="0" y="0"/>
                      <a:ext cx="5782329" cy="1709063"/>
                    </a:xfrm>
                    <a:prstGeom prst="rect">
                      <a:avLst/>
                    </a:prstGeom>
                  </pic:spPr>
                </pic:pic>
              </a:graphicData>
            </a:graphic>
          </wp:inline>
        </w:drawing>
      </w:r>
    </w:p>
    <w:p w14:paraId="699D0F77" w14:textId="2CA6515F" w:rsidR="00811ABE" w:rsidRPr="00C26B18" w:rsidRDefault="00811ABE" w:rsidP="00811ABE">
      <w:pPr>
        <w:rPr>
          <w:rFonts w:cs="Arial"/>
          <w:i/>
          <w:vanish/>
          <w:szCs w:val="22"/>
          <w:specVanish/>
        </w:rPr>
      </w:pPr>
      <w:bookmarkStart w:id="207" w:name="_Ref442455092"/>
      <w:bookmarkStart w:id="208" w:name="_Toc38634117"/>
      <w:r w:rsidRPr="00C26B18">
        <w:rPr>
          <w:rFonts w:cs="Arial"/>
          <w:szCs w:val="22"/>
        </w:rPr>
        <w:t xml:space="preserve">Figure </w:t>
      </w:r>
      <w:r w:rsidR="00C506C7" w:rsidRPr="00C26B18">
        <w:rPr>
          <w:rFonts w:cs="Arial"/>
          <w:noProof/>
          <w:szCs w:val="22"/>
        </w:rPr>
        <w:fldChar w:fldCharType="begin"/>
      </w:r>
      <w:r w:rsidR="00C506C7" w:rsidRPr="00C26B18">
        <w:rPr>
          <w:rFonts w:cs="Arial"/>
          <w:noProof/>
          <w:szCs w:val="22"/>
        </w:rPr>
        <w:instrText xml:space="preserve"> SEQ Figure \* ARABIC </w:instrText>
      </w:r>
      <w:r w:rsidR="00C506C7" w:rsidRPr="00C26B18">
        <w:rPr>
          <w:rFonts w:cs="Arial"/>
          <w:noProof/>
          <w:szCs w:val="22"/>
        </w:rPr>
        <w:fldChar w:fldCharType="separate"/>
      </w:r>
      <w:r w:rsidR="0067675D">
        <w:rPr>
          <w:rFonts w:cs="Arial"/>
          <w:noProof/>
          <w:szCs w:val="22"/>
        </w:rPr>
        <w:t>13</w:t>
      </w:r>
      <w:r w:rsidR="00C506C7" w:rsidRPr="00C26B18">
        <w:rPr>
          <w:rFonts w:cs="Arial"/>
          <w:noProof/>
          <w:szCs w:val="22"/>
        </w:rPr>
        <w:fldChar w:fldCharType="end"/>
      </w:r>
      <w:bookmarkEnd w:id="207"/>
      <w:r w:rsidRPr="00C26B18">
        <w:rPr>
          <w:rFonts w:cs="Arial"/>
          <w:szCs w:val="22"/>
        </w:rPr>
        <w:t xml:space="preserve">. </w:t>
      </w:r>
      <w:r w:rsidRPr="00C26B18">
        <w:rPr>
          <w:rFonts w:cs="Arial"/>
          <w:i/>
          <w:szCs w:val="22"/>
        </w:rPr>
        <w:t xml:space="preserve">Inshore intertidal sea temperature deviations from baseline for </w:t>
      </w:r>
      <w:r w:rsidR="00F206BF" w:rsidRPr="00C26B18">
        <w:rPr>
          <w:rFonts w:cs="Arial"/>
          <w:i/>
          <w:szCs w:val="22"/>
        </w:rPr>
        <w:t>Reef</w:t>
      </w:r>
      <w:r w:rsidRPr="00C26B18">
        <w:rPr>
          <w:rFonts w:cs="Arial"/>
          <w:i/>
          <w:szCs w:val="22"/>
        </w:rPr>
        <w:t xml:space="preserve"> seagrass habitats </w:t>
      </w:r>
      <w:r w:rsidR="00FD625B" w:rsidRPr="00C26B18">
        <w:rPr>
          <w:rFonts w:cs="Arial"/>
          <w:i/>
          <w:szCs w:val="22"/>
        </w:rPr>
        <w:t xml:space="preserve">from </w:t>
      </w:r>
      <w:r w:rsidRPr="00C26B18">
        <w:rPr>
          <w:rFonts w:cs="Arial"/>
          <w:i/>
          <w:szCs w:val="22"/>
        </w:rPr>
        <w:t>2003 to 201</w:t>
      </w:r>
      <w:r w:rsidR="00895C46" w:rsidRPr="00C26B18">
        <w:rPr>
          <w:rFonts w:cs="Arial"/>
          <w:i/>
          <w:szCs w:val="22"/>
        </w:rPr>
        <w:t>9</w:t>
      </w:r>
      <w:r w:rsidRPr="00C26B18">
        <w:rPr>
          <w:rFonts w:cs="Arial"/>
          <w:i/>
          <w:szCs w:val="22"/>
        </w:rPr>
        <w:t>.</w:t>
      </w:r>
      <w:bookmarkEnd w:id="208"/>
      <w:r w:rsidRPr="00C26B18">
        <w:rPr>
          <w:rFonts w:cs="Arial"/>
          <w:i/>
          <w:szCs w:val="22"/>
        </w:rPr>
        <w:t xml:space="preserve"> </w:t>
      </w:r>
    </w:p>
    <w:p w14:paraId="4967430A" w14:textId="23ABC241" w:rsidR="00811ABE" w:rsidRPr="00C26B18" w:rsidRDefault="00811ABE" w:rsidP="00811ABE">
      <w:pPr>
        <w:rPr>
          <w:rFonts w:cs="Arial"/>
          <w:i/>
          <w:szCs w:val="22"/>
        </w:rPr>
      </w:pPr>
      <w:r w:rsidRPr="00C26B18">
        <w:rPr>
          <w:rFonts w:cs="Arial"/>
          <w:i/>
          <w:szCs w:val="22"/>
        </w:rPr>
        <w:t>Data presented are deviations from 1</w:t>
      </w:r>
      <w:r w:rsidR="00BA64B5" w:rsidRPr="00C26B18">
        <w:rPr>
          <w:rFonts w:cs="Arial"/>
          <w:i/>
          <w:szCs w:val="22"/>
        </w:rPr>
        <w:t>3</w:t>
      </w:r>
      <w:r w:rsidRPr="00C26B18">
        <w:rPr>
          <w:rFonts w:cs="Arial"/>
          <w:i/>
          <w:szCs w:val="22"/>
        </w:rPr>
        <w:t>-year mean weekly temperature records (based on records from September 2003 to June 201</w:t>
      </w:r>
      <w:r w:rsidR="00700C5D" w:rsidRPr="00C26B18">
        <w:rPr>
          <w:rFonts w:cs="Arial"/>
          <w:i/>
          <w:szCs w:val="22"/>
        </w:rPr>
        <w:t>8</w:t>
      </w:r>
      <w:r w:rsidRPr="00C26B18">
        <w:rPr>
          <w:rFonts w:cs="Arial"/>
          <w:i/>
          <w:szCs w:val="22"/>
        </w:rPr>
        <w:t xml:space="preserve">). Weeks above the long-term average are represented as red bars and the magnitude of their deviation from the mean represented by the length of the bars, </w:t>
      </w:r>
      <w:r w:rsidR="00D10F46" w:rsidRPr="00C26B18">
        <w:rPr>
          <w:rFonts w:cs="Arial"/>
          <w:i/>
          <w:szCs w:val="22"/>
        </w:rPr>
        <w:t xml:space="preserve">blue </w:t>
      </w:r>
      <w:r w:rsidRPr="00C26B18">
        <w:rPr>
          <w:rFonts w:cs="Arial"/>
          <w:i/>
          <w:szCs w:val="22"/>
        </w:rPr>
        <w:t xml:space="preserve">bars </w:t>
      </w:r>
      <w:r w:rsidR="00D10F46" w:rsidRPr="00C26B18">
        <w:rPr>
          <w:rFonts w:cs="Arial"/>
          <w:i/>
          <w:szCs w:val="22"/>
        </w:rPr>
        <w:t>represent</w:t>
      </w:r>
      <w:r w:rsidRPr="00C26B18">
        <w:rPr>
          <w:rFonts w:cs="Arial"/>
          <w:i/>
          <w:szCs w:val="22"/>
        </w:rPr>
        <w:t xml:space="preserve"> weeks with temperatures lower than the average and are </w:t>
      </w:r>
      <w:r w:rsidR="002D353D" w:rsidRPr="00C26B18">
        <w:rPr>
          <w:rFonts w:cs="Arial"/>
          <w:i/>
          <w:szCs w:val="22"/>
        </w:rPr>
        <w:t>plotted as negative deviations.</w:t>
      </w:r>
    </w:p>
    <w:p w14:paraId="118351E9" w14:textId="77777777" w:rsidR="005D6CB6" w:rsidRPr="00A37E15" w:rsidRDefault="005D6CB6" w:rsidP="000150D8">
      <w:pPr>
        <w:pStyle w:val="Heading2"/>
      </w:pPr>
      <w:bookmarkStart w:id="209" w:name="_Toc37775056"/>
      <w:bookmarkStart w:id="210" w:name="_Toc43987031"/>
      <w:r w:rsidRPr="00A37E15">
        <w:t>Seagrass meadow sediments</w:t>
      </w:r>
      <w:bookmarkEnd w:id="209"/>
      <w:bookmarkEnd w:id="210"/>
    </w:p>
    <w:p w14:paraId="75EA18D4" w14:textId="00F1CF34" w:rsidR="005D6CB6" w:rsidRPr="00C26B18" w:rsidRDefault="005D6CB6" w:rsidP="005D6CB6">
      <w:pPr>
        <w:rPr>
          <w:rFonts w:cs="Arial"/>
          <w:szCs w:val="22"/>
          <w:lang w:val="en-GB"/>
        </w:rPr>
      </w:pPr>
      <w:r w:rsidRPr="00C26B18">
        <w:rPr>
          <w:rFonts w:cs="Arial"/>
          <w:szCs w:val="22"/>
          <w:lang w:val="en-GB"/>
        </w:rPr>
        <w:t xml:space="preserve">Coastal subtidal and estuarine seagrass habitats across the </w:t>
      </w:r>
      <w:r w:rsidR="00F206BF" w:rsidRPr="00C26B18">
        <w:rPr>
          <w:rFonts w:cs="Arial"/>
          <w:szCs w:val="22"/>
          <w:lang w:val="en-GB"/>
        </w:rPr>
        <w:t>Reef</w:t>
      </w:r>
      <w:r w:rsidRPr="00C26B18">
        <w:rPr>
          <w:rFonts w:cs="Arial"/>
          <w:szCs w:val="22"/>
          <w:lang w:val="en-GB"/>
        </w:rPr>
        <w:t xml:space="preserve"> had a greater proportion of fine sediments (i.e. mud) than other habitats (</w:t>
      </w:r>
      <w:r w:rsidRPr="00C26B18">
        <w:rPr>
          <w:rFonts w:cs="Arial"/>
          <w:szCs w:val="22"/>
          <w:lang w:val="en-GB"/>
        </w:rPr>
        <w:fldChar w:fldCharType="begin"/>
      </w:r>
      <w:r w:rsidRPr="00C26B18">
        <w:rPr>
          <w:rFonts w:cs="Arial"/>
          <w:szCs w:val="22"/>
          <w:lang w:val="en-GB"/>
        </w:rPr>
        <w:instrText xml:space="preserve"> REF _Ref442530421 \h  \* MERGEFORMAT </w:instrText>
      </w:r>
      <w:r w:rsidRPr="00C26B18">
        <w:rPr>
          <w:rFonts w:cs="Arial"/>
          <w:szCs w:val="22"/>
          <w:lang w:val="en-GB"/>
        </w:rPr>
      </w:r>
      <w:r w:rsidRPr="00C26B18">
        <w:rPr>
          <w:rFonts w:cs="Arial"/>
          <w:szCs w:val="22"/>
          <w:lang w:val="en-GB"/>
        </w:rPr>
        <w:fldChar w:fldCharType="separate"/>
      </w:r>
      <w:r w:rsidR="0067675D" w:rsidRPr="00C26B18">
        <w:rPr>
          <w:rFonts w:cs="Arial"/>
          <w:szCs w:val="22"/>
        </w:rPr>
        <w:t xml:space="preserve">Table </w:t>
      </w:r>
      <w:r w:rsidR="0067675D">
        <w:rPr>
          <w:rFonts w:cs="Arial"/>
          <w:noProof/>
          <w:szCs w:val="22"/>
        </w:rPr>
        <w:t>10</w:t>
      </w:r>
      <w:r w:rsidRPr="00C26B18">
        <w:rPr>
          <w:rFonts w:cs="Arial"/>
          <w:szCs w:val="22"/>
          <w:lang w:val="en-GB"/>
        </w:rPr>
        <w:fldChar w:fldCharType="end"/>
      </w:r>
      <w:r w:rsidRPr="00C26B18">
        <w:rPr>
          <w:rFonts w:cs="Arial"/>
          <w:szCs w:val="22"/>
          <w:lang w:val="en-GB"/>
        </w:rPr>
        <w:t xml:space="preserve">). Sediments at </w:t>
      </w:r>
      <w:r w:rsidR="00FF66E8">
        <w:rPr>
          <w:rFonts w:cs="Arial"/>
          <w:szCs w:val="22"/>
          <w:lang w:val="en-GB"/>
        </w:rPr>
        <w:t xml:space="preserve">intertidal </w:t>
      </w:r>
      <w:r w:rsidRPr="00C26B18">
        <w:rPr>
          <w:rFonts w:cs="Arial"/>
          <w:szCs w:val="22"/>
          <w:lang w:val="en-GB"/>
        </w:rPr>
        <w:t xml:space="preserve">coastal habitats were predominately medium and fine </w:t>
      </w:r>
      <w:r w:rsidRPr="00C26B18">
        <w:rPr>
          <w:rFonts w:cs="Arial"/>
          <w:szCs w:val="22"/>
          <w:lang w:val="en-GB"/>
        </w:rPr>
        <w:lastRenderedPageBreak/>
        <w:t>sands, while reef habitats (intertidal and subtidal) were dominated by medium sands (</w:t>
      </w:r>
      <w:r w:rsidRPr="00C26B18">
        <w:rPr>
          <w:rFonts w:cs="Arial"/>
          <w:szCs w:val="22"/>
          <w:lang w:val="en-GB"/>
        </w:rPr>
        <w:fldChar w:fldCharType="begin"/>
      </w:r>
      <w:r w:rsidRPr="00C26B18">
        <w:rPr>
          <w:rFonts w:cs="Arial"/>
          <w:szCs w:val="22"/>
          <w:lang w:val="en-GB"/>
        </w:rPr>
        <w:instrText xml:space="preserve"> REF _Ref442530421 \h  \* MERGEFORMAT </w:instrText>
      </w:r>
      <w:r w:rsidRPr="00C26B18">
        <w:rPr>
          <w:rFonts w:cs="Arial"/>
          <w:szCs w:val="22"/>
          <w:lang w:val="en-GB"/>
        </w:rPr>
      </w:r>
      <w:r w:rsidRPr="00C26B18">
        <w:rPr>
          <w:rFonts w:cs="Arial"/>
          <w:szCs w:val="22"/>
          <w:lang w:val="en-GB"/>
        </w:rPr>
        <w:fldChar w:fldCharType="separate"/>
      </w:r>
      <w:r w:rsidR="0067675D" w:rsidRPr="00C26B18">
        <w:rPr>
          <w:rFonts w:cs="Arial"/>
          <w:szCs w:val="22"/>
        </w:rPr>
        <w:t xml:space="preserve">Table </w:t>
      </w:r>
      <w:r w:rsidR="0067675D">
        <w:rPr>
          <w:rFonts w:cs="Arial"/>
          <w:noProof/>
          <w:szCs w:val="22"/>
        </w:rPr>
        <w:t>10</w:t>
      </w:r>
      <w:r w:rsidRPr="00C26B18">
        <w:rPr>
          <w:rFonts w:cs="Arial"/>
          <w:szCs w:val="22"/>
          <w:lang w:val="en-GB"/>
        </w:rPr>
        <w:fldChar w:fldCharType="end"/>
      </w:r>
      <w:r w:rsidRPr="00C26B18">
        <w:rPr>
          <w:rFonts w:cs="Arial"/>
          <w:szCs w:val="22"/>
          <w:lang w:val="en-GB"/>
        </w:rPr>
        <w:t>).</w:t>
      </w:r>
    </w:p>
    <w:p w14:paraId="30C77E45" w14:textId="4445D6A5" w:rsidR="005D6CB6" w:rsidRPr="00C26B18" w:rsidRDefault="005D6CB6" w:rsidP="005D6CB6">
      <w:pPr>
        <w:jc w:val="center"/>
        <w:rPr>
          <w:rFonts w:cs="Arial"/>
          <w:i/>
          <w:szCs w:val="22"/>
        </w:rPr>
      </w:pPr>
      <w:bookmarkStart w:id="211" w:name="_Ref442530421"/>
      <w:bookmarkStart w:id="212" w:name="_Toc37787062"/>
      <w:bookmarkStart w:id="213" w:name="_Toc47600684"/>
      <w:r w:rsidRPr="00C26B18">
        <w:rPr>
          <w:rFonts w:cs="Arial"/>
          <w:szCs w:val="22"/>
        </w:rPr>
        <w:t xml:space="preserve">Table </w:t>
      </w:r>
      <w:r w:rsidRPr="00C26B18">
        <w:rPr>
          <w:rFonts w:cs="Arial"/>
          <w:noProof/>
          <w:szCs w:val="22"/>
        </w:rPr>
        <w:fldChar w:fldCharType="begin"/>
      </w:r>
      <w:r w:rsidRPr="00C26B18">
        <w:rPr>
          <w:rFonts w:cs="Arial"/>
          <w:noProof/>
          <w:szCs w:val="22"/>
        </w:rPr>
        <w:instrText xml:space="preserve"> SEQ Table \* ARABIC </w:instrText>
      </w:r>
      <w:r w:rsidRPr="00C26B18">
        <w:rPr>
          <w:rFonts w:cs="Arial"/>
          <w:noProof/>
          <w:szCs w:val="22"/>
        </w:rPr>
        <w:fldChar w:fldCharType="separate"/>
      </w:r>
      <w:r w:rsidR="0067675D">
        <w:rPr>
          <w:rFonts w:cs="Arial"/>
          <w:noProof/>
          <w:szCs w:val="22"/>
        </w:rPr>
        <w:t>10</w:t>
      </w:r>
      <w:r w:rsidRPr="00C26B18">
        <w:rPr>
          <w:rFonts w:cs="Arial"/>
          <w:noProof/>
          <w:szCs w:val="22"/>
        </w:rPr>
        <w:fldChar w:fldCharType="end"/>
      </w:r>
      <w:bookmarkEnd w:id="211"/>
      <w:r w:rsidRPr="00C26B18">
        <w:rPr>
          <w:rFonts w:cs="Arial"/>
          <w:szCs w:val="22"/>
        </w:rPr>
        <w:t xml:space="preserve">. </w:t>
      </w:r>
      <w:r w:rsidRPr="00C26B18">
        <w:rPr>
          <w:rFonts w:cs="Arial"/>
          <w:i/>
          <w:szCs w:val="22"/>
        </w:rPr>
        <w:t xml:space="preserve">Long-term average (±SE) sediment composition for each seagrass habitat (pooled across regions and time) monitoring within the </w:t>
      </w:r>
      <w:r w:rsidR="00F206BF" w:rsidRPr="00C26B18">
        <w:rPr>
          <w:rFonts w:cs="Arial"/>
          <w:i/>
          <w:szCs w:val="22"/>
        </w:rPr>
        <w:t>Reef</w:t>
      </w:r>
      <w:r w:rsidRPr="00C26B18">
        <w:rPr>
          <w:rFonts w:cs="Arial"/>
          <w:i/>
          <w:szCs w:val="22"/>
        </w:rPr>
        <w:t xml:space="preserve"> (1999</w:t>
      </w:r>
      <w:r w:rsidR="00FD625B" w:rsidRPr="00C26B18">
        <w:rPr>
          <w:rFonts w:cs="Arial"/>
          <w:i/>
          <w:szCs w:val="22"/>
        </w:rPr>
        <w:softHyphen/>
        <w:t>–</w:t>
      </w:r>
      <w:r w:rsidRPr="00C26B18">
        <w:rPr>
          <w:rFonts w:cs="Arial"/>
          <w:i/>
          <w:szCs w:val="22"/>
        </w:rPr>
        <w:t>2018)</w:t>
      </w:r>
      <w:bookmarkEnd w:id="212"/>
      <w:r w:rsidR="001C095F">
        <w:rPr>
          <w:rFonts w:cs="Arial"/>
          <w:i/>
          <w:szCs w:val="22"/>
        </w:rPr>
        <w:t>. *only 4 years of data.</w:t>
      </w:r>
      <w:bookmarkEnd w:id="213"/>
    </w:p>
    <w:tbl>
      <w:tblPr>
        <w:tblW w:w="8540" w:type="dxa"/>
        <w:jc w:val="center"/>
        <w:tblLook w:val="04A0" w:firstRow="1" w:lastRow="0" w:firstColumn="1" w:lastColumn="0" w:noHBand="0" w:noVBand="1"/>
      </w:tblPr>
      <w:tblGrid>
        <w:gridCol w:w="2040"/>
        <w:gridCol w:w="1300"/>
        <w:gridCol w:w="1300"/>
        <w:gridCol w:w="1300"/>
        <w:gridCol w:w="1300"/>
        <w:gridCol w:w="1300"/>
      </w:tblGrid>
      <w:tr w:rsidR="009A2B05" w:rsidRPr="00433BA0" w14:paraId="745E31EA" w14:textId="77777777" w:rsidTr="00FC3D7F">
        <w:trPr>
          <w:trHeight w:val="288"/>
          <w:jc w:val="center"/>
        </w:trPr>
        <w:tc>
          <w:tcPr>
            <w:tcW w:w="2040" w:type="dxa"/>
            <w:tcBorders>
              <w:top w:val="single" w:sz="4" w:space="0" w:color="auto"/>
              <w:bottom w:val="single" w:sz="4" w:space="0" w:color="auto"/>
            </w:tcBorders>
            <w:shd w:val="clear" w:color="auto" w:fill="BBE0E3"/>
            <w:noWrap/>
            <w:vAlign w:val="center"/>
            <w:hideMark/>
          </w:tcPr>
          <w:p w14:paraId="55E50AF1"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Habitat</w:t>
            </w:r>
          </w:p>
        </w:tc>
        <w:tc>
          <w:tcPr>
            <w:tcW w:w="1300" w:type="dxa"/>
            <w:tcBorders>
              <w:top w:val="single" w:sz="4" w:space="0" w:color="auto"/>
              <w:bottom w:val="single" w:sz="4" w:space="0" w:color="auto"/>
            </w:tcBorders>
            <w:shd w:val="clear" w:color="auto" w:fill="BBE0E3"/>
            <w:noWrap/>
            <w:vAlign w:val="center"/>
            <w:hideMark/>
          </w:tcPr>
          <w:p w14:paraId="4EE1A1EE"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Mud</w:t>
            </w:r>
          </w:p>
        </w:tc>
        <w:tc>
          <w:tcPr>
            <w:tcW w:w="1300" w:type="dxa"/>
            <w:tcBorders>
              <w:top w:val="single" w:sz="4" w:space="0" w:color="auto"/>
              <w:bottom w:val="single" w:sz="4" w:space="0" w:color="auto"/>
            </w:tcBorders>
            <w:shd w:val="clear" w:color="auto" w:fill="BBE0E3"/>
            <w:noWrap/>
            <w:vAlign w:val="center"/>
            <w:hideMark/>
          </w:tcPr>
          <w:p w14:paraId="410E1442"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Fine sand</w:t>
            </w:r>
          </w:p>
        </w:tc>
        <w:tc>
          <w:tcPr>
            <w:tcW w:w="1300" w:type="dxa"/>
            <w:tcBorders>
              <w:top w:val="single" w:sz="4" w:space="0" w:color="auto"/>
              <w:bottom w:val="single" w:sz="4" w:space="0" w:color="auto"/>
            </w:tcBorders>
            <w:shd w:val="clear" w:color="auto" w:fill="BBE0E3"/>
            <w:noWrap/>
            <w:vAlign w:val="center"/>
            <w:hideMark/>
          </w:tcPr>
          <w:p w14:paraId="542BF7ED"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Sand</w:t>
            </w:r>
          </w:p>
        </w:tc>
        <w:tc>
          <w:tcPr>
            <w:tcW w:w="1300" w:type="dxa"/>
            <w:tcBorders>
              <w:top w:val="single" w:sz="4" w:space="0" w:color="auto"/>
              <w:bottom w:val="single" w:sz="4" w:space="0" w:color="auto"/>
            </w:tcBorders>
            <w:shd w:val="clear" w:color="auto" w:fill="BBE0E3"/>
            <w:noWrap/>
            <w:vAlign w:val="center"/>
            <w:hideMark/>
          </w:tcPr>
          <w:p w14:paraId="35D311AB"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Coarse sand</w:t>
            </w:r>
          </w:p>
        </w:tc>
        <w:tc>
          <w:tcPr>
            <w:tcW w:w="1300" w:type="dxa"/>
            <w:tcBorders>
              <w:top w:val="single" w:sz="4" w:space="0" w:color="auto"/>
              <w:bottom w:val="single" w:sz="4" w:space="0" w:color="auto"/>
            </w:tcBorders>
            <w:shd w:val="clear" w:color="auto" w:fill="BBE0E3"/>
            <w:noWrap/>
            <w:vAlign w:val="center"/>
            <w:hideMark/>
          </w:tcPr>
          <w:p w14:paraId="7D59AD67" w14:textId="77777777" w:rsidR="009A2B05" w:rsidRPr="00433BA0" w:rsidRDefault="009A2B05" w:rsidP="00E6597A">
            <w:pPr>
              <w:spacing w:before="0" w:after="0" w:line="200" w:lineRule="exact"/>
              <w:jc w:val="center"/>
              <w:rPr>
                <w:rFonts w:cs="Arial"/>
                <w:b/>
                <w:szCs w:val="22"/>
                <w:lang w:eastAsia="en-AU"/>
              </w:rPr>
            </w:pPr>
            <w:r w:rsidRPr="00433BA0">
              <w:rPr>
                <w:rFonts w:cs="Arial"/>
                <w:b/>
                <w:szCs w:val="22"/>
                <w:lang w:eastAsia="en-AU"/>
              </w:rPr>
              <w:t>Gravel</w:t>
            </w:r>
          </w:p>
        </w:tc>
      </w:tr>
      <w:tr w:rsidR="009A2B05" w:rsidRPr="00433BA0" w14:paraId="356DCAA8" w14:textId="77777777" w:rsidTr="00FC3D7F">
        <w:trPr>
          <w:trHeight w:val="288"/>
          <w:jc w:val="center"/>
        </w:trPr>
        <w:tc>
          <w:tcPr>
            <w:tcW w:w="2040" w:type="dxa"/>
            <w:tcBorders>
              <w:top w:val="single" w:sz="4" w:space="0" w:color="auto"/>
            </w:tcBorders>
            <w:shd w:val="clear" w:color="auto" w:fill="E7F3F4"/>
            <w:noWrap/>
            <w:vAlign w:val="bottom"/>
            <w:hideMark/>
          </w:tcPr>
          <w:p w14:paraId="5CADD49E"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estuarine intertidal</w:t>
            </w:r>
          </w:p>
        </w:tc>
        <w:tc>
          <w:tcPr>
            <w:tcW w:w="1300" w:type="dxa"/>
            <w:tcBorders>
              <w:top w:val="single" w:sz="4" w:space="0" w:color="auto"/>
            </w:tcBorders>
            <w:shd w:val="clear" w:color="auto" w:fill="E7F3F4"/>
            <w:noWrap/>
            <w:vAlign w:val="center"/>
          </w:tcPr>
          <w:p w14:paraId="13C29FEC"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49.2 ±2.1</w:t>
            </w:r>
          </w:p>
        </w:tc>
        <w:tc>
          <w:tcPr>
            <w:tcW w:w="1300" w:type="dxa"/>
            <w:tcBorders>
              <w:top w:val="single" w:sz="4" w:space="0" w:color="auto"/>
            </w:tcBorders>
            <w:shd w:val="clear" w:color="auto" w:fill="E7F3F4"/>
            <w:noWrap/>
            <w:vAlign w:val="center"/>
          </w:tcPr>
          <w:p w14:paraId="2C7DD124"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19.7 ±2.0</w:t>
            </w:r>
          </w:p>
        </w:tc>
        <w:tc>
          <w:tcPr>
            <w:tcW w:w="1300" w:type="dxa"/>
            <w:tcBorders>
              <w:top w:val="single" w:sz="4" w:space="0" w:color="auto"/>
            </w:tcBorders>
            <w:shd w:val="clear" w:color="auto" w:fill="E7F3F4"/>
            <w:noWrap/>
            <w:vAlign w:val="center"/>
          </w:tcPr>
          <w:p w14:paraId="71CD1297"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28.4 ±1.8</w:t>
            </w:r>
          </w:p>
        </w:tc>
        <w:tc>
          <w:tcPr>
            <w:tcW w:w="1300" w:type="dxa"/>
            <w:tcBorders>
              <w:top w:val="single" w:sz="4" w:space="0" w:color="auto"/>
            </w:tcBorders>
            <w:shd w:val="clear" w:color="auto" w:fill="E7F3F4"/>
            <w:noWrap/>
            <w:vAlign w:val="center"/>
          </w:tcPr>
          <w:p w14:paraId="634F13C1"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0.2 ±0.5</w:t>
            </w:r>
          </w:p>
        </w:tc>
        <w:tc>
          <w:tcPr>
            <w:tcW w:w="1300" w:type="dxa"/>
            <w:tcBorders>
              <w:top w:val="single" w:sz="4" w:space="0" w:color="auto"/>
            </w:tcBorders>
            <w:shd w:val="clear" w:color="auto" w:fill="E7F3F4"/>
            <w:noWrap/>
            <w:vAlign w:val="center"/>
          </w:tcPr>
          <w:p w14:paraId="6BB5B857"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2.6 ±1.1</w:t>
            </w:r>
          </w:p>
        </w:tc>
      </w:tr>
      <w:tr w:rsidR="009A2B05" w:rsidRPr="00433BA0" w14:paraId="0F605B76" w14:textId="77777777" w:rsidTr="00FC3D7F">
        <w:trPr>
          <w:trHeight w:val="288"/>
          <w:jc w:val="center"/>
        </w:trPr>
        <w:tc>
          <w:tcPr>
            <w:tcW w:w="2040" w:type="dxa"/>
            <w:shd w:val="clear" w:color="auto" w:fill="F3F9FA"/>
            <w:noWrap/>
            <w:vAlign w:val="bottom"/>
            <w:hideMark/>
          </w:tcPr>
          <w:p w14:paraId="50045BFB"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coastal intertidal</w:t>
            </w:r>
          </w:p>
        </w:tc>
        <w:tc>
          <w:tcPr>
            <w:tcW w:w="1300" w:type="dxa"/>
            <w:shd w:val="clear" w:color="auto" w:fill="F3F9FA"/>
            <w:noWrap/>
            <w:vAlign w:val="center"/>
          </w:tcPr>
          <w:p w14:paraId="52499AED"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28.4 ±2.1</w:t>
            </w:r>
          </w:p>
        </w:tc>
        <w:tc>
          <w:tcPr>
            <w:tcW w:w="1300" w:type="dxa"/>
            <w:shd w:val="clear" w:color="auto" w:fill="F3F9FA"/>
            <w:noWrap/>
            <w:vAlign w:val="center"/>
          </w:tcPr>
          <w:p w14:paraId="6CC961C4"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32.3 ±2.4</w:t>
            </w:r>
          </w:p>
        </w:tc>
        <w:tc>
          <w:tcPr>
            <w:tcW w:w="1300" w:type="dxa"/>
            <w:shd w:val="clear" w:color="auto" w:fill="F3F9FA"/>
            <w:noWrap/>
            <w:vAlign w:val="center"/>
          </w:tcPr>
          <w:p w14:paraId="04B89D15"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34.3 ±2.5</w:t>
            </w:r>
          </w:p>
        </w:tc>
        <w:tc>
          <w:tcPr>
            <w:tcW w:w="1300" w:type="dxa"/>
            <w:shd w:val="clear" w:color="auto" w:fill="F3F9FA"/>
            <w:noWrap/>
            <w:vAlign w:val="center"/>
          </w:tcPr>
          <w:p w14:paraId="396EF24A"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0.3 ±0.5</w:t>
            </w:r>
          </w:p>
        </w:tc>
        <w:tc>
          <w:tcPr>
            <w:tcW w:w="1300" w:type="dxa"/>
            <w:shd w:val="clear" w:color="auto" w:fill="F3F9FA"/>
            <w:noWrap/>
            <w:vAlign w:val="center"/>
          </w:tcPr>
          <w:p w14:paraId="7051DB8B"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4.7 ±1.2</w:t>
            </w:r>
          </w:p>
        </w:tc>
      </w:tr>
      <w:tr w:rsidR="009A2B05" w:rsidRPr="00433BA0" w14:paraId="1A750AB5" w14:textId="77777777" w:rsidTr="00FC3D7F">
        <w:trPr>
          <w:trHeight w:val="288"/>
          <w:jc w:val="center"/>
        </w:trPr>
        <w:tc>
          <w:tcPr>
            <w:tcW w:w="2040" w:type="dxa"/>
            <w:shd w:val="clear" w:color="auto" w:fill="E7F3F4"/>
            <w:noWrap/>
            <w:vAlign w:val="bottom"/>
          </w:tcPr>
          <w:p w14:paraId="7EA169FF" w14:textId="6016E8B8" w:rsidR="009A2B05" w:rsidRPr="00433BA0" w:rsidRDefault="009A2B05" w:rsidP="00E6597A">
            <w:pPr>
              <w:spacing w:before="0" w:after="0" w:line="200" w:lineRule="exact"/>
              <w:rPr>
                <w:rFonts w:cs="Arial"/>
                <w:szCs w:val="22"/>
                <w:lang w:eastAsia="en-AU"/>
              </w:rPr>
            </w:pPr>
            <w:r w:rsidRPr="00433BA0">
              <w:rPr>
                <w:rFonts w:cs="Arial"/>
                <w:szCs w:val="22"/>
              </w:rPr>
              <w:t>coastal subtidal</w:t>
            </w:r>
            <w:r w:rsidR="001C095F">
              <w:rPr>
                <w:rFonts w:cs="Arial"/>
                <w:szCs w:val="22"/>
              </w:rPr>
              <w:t>*</w:t>
            </w:r>
          </w:p>
        </w:tc>
        <w:tc>
          <w:tcPr>
            <w:tcW w:w="1300" w:type="dxa"/>
            <w:shd w:val="clear" w:color="auto" w:fill="E7F3F4"/>
            <w:noWrap/>
            <w:vAlign w:val="center"/>
          </w:tcPr>
          <w:p w14:paraId="116C5B51"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50.6 ±1.8</w:t>
            </w:r>
          </w:p>
        </w:tc>
        <w:tc>
          <w:tcPr>
            <w:tcW w:w="1300" w:type="dxa"/>
            <w:shd w:val="clear" w:color="auto" w:fill="E7F3F4"/>
            <w:noWrap/>
            <w:vAlign w:val="center"/>
          </w:tcPr>
          <w:p w14:paraId="04F7F9B0"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12.7 ±0.5</w:t>
            </w:r>
          </w:p>
        </w:tc>
        <w:tc>
          <w:tcPr>
            <w:tcW w:w="1300" w:type="dxa"/>
            <w:shd w:val="clear" w:color="auto" w:fill="E7F3F4"/>
            <w:noWrap/>
            <w:vAlign w:val="center"/>
          </w:tcPr>
          <w:p w14:paraId="38327E73"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19.4 ±2.2</w:t>
            </w:r>
          </w:p>
        </w:tc>
        <w:tc>
          <w:tcPr>
            <w:tcW w:w="1300" w:type="dxa"/>
            <w:shd w:val="clear" w:color="auto" w:fill="E7F3F4"/>
            <w:noWrap/>
            <w:vAlign w:val="center"/>
          </w:tcPr>
          <w:p w14:paraId="0429CD62"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12.6 ±1.3</w:t>
            </w:r>
          </w:p>
        </w:tc>
        <w:tc>
          <w:tcPr>
            <w:tcW w:w="1300" w:type="dxa"/>
            <w:shd w:val="clear" w:color="auto" w:fill="E7F3F4"/>
            <w:noWrap/>
            <w:vAlign w:val="center"/>
          </w:tcPr>
          <w:p w14:paraId="52B8E6A4"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4.7 ±0.0</w:t>
            </w:r>
          </w:p>
        </w:tc>
      </w:tr>
      <w:tr w:rsidR="009A2B05" w:rsidRPr="00433BA0" w14:paraId="481C9E7F" w14:textId="77777777" w:rsidTr="00FC3D7F">
        <w:trPr>
          <w:trHeight w:val="288"/>
          <w:jc w:val="center"/>
        </w:trPr>
        <w:tc>
          <w:tcPr>
            <w:tcW w:w="2040" w:type="dxa"/>
            <w:shd w:val="clear" w:color="auto" w:fill="F3F9FA"/>
            <w:noWrap/>
            <w:vAlign w:val="bottom"/>
            <w:hideMark/>
          </w:tcPr>
          <w:p w14:paraId="17286F2A"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reef intertidal</w:t>
            </w:r>
          </w:p>
        </w:tc>
        <w:tc>
          <w:tcPr>
            <w:tcW w:w="1300" w:type="dxa"/>
            <w:shd w:val="clear" w:color="auto" w:fill="F3F9FA"/>
            <w:noWrap/>
            <w:vAlign w:val="center"/>
          </w:tcPr>
          <w:p w14:paraId="053D5496"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5.0 ±1.2</w:t>
            </w:r>
          </w:p>
        </w:tc>
        <w:tc>
          <w:tcPr>
            <w:tcW w:w="1300" w:type="dxa"/>
            <w:shd w:val="clear" w:color="auto" w:fill="F3F9FA"/>
            <w:noWrap/>
            <w:vAlign w:val="center"/>
          </w:tcPr>
          <w:p w14:paraId="1CE2A60F"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7.1 ±1.7</w:t>
            </w:r>
          </w:p>
        </w:tc>
        <w:tc>
          <w:tcPr>
            <w:tcW w:w="1300" w:type="dxa"/>
            <w:shd w:val="clear" w:color="auto" w:fill="F3F9FA"/>
            <w:noWrap/>
            <w:vAlign w:val="center"/>
          </w:tcPr>
          <w:p w14:paraId="3E093D54"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48.6 ±2.8</w:t>
            </w:r>
          </w:p>
        </w:tc>
        <w:tc>
          <w:tcPr>
            <w:tcW w:w="1300" w:type="dxa"/>
            <w:shd w:val="clear" w:color="auto" w:fill="F3F9FA"/>
            <w:noWrap/>
            <w:vAlign w:val="center"/>
          </w:tcPr>
          <w:p w14:paraId="03829BFB"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17.3 ±1.8</w:t>
            </w:r>
          </w:p>
        </w:tc>
        <w:tc>
          <w:tcPr>
            <w:tcW w:w="1300" w:type="dxa"/>
            <w:shd w:val="clear" w:color="auto" w:fill="F3F9FA"/>
            <w:noWrap/>
            <w:vAlign w:val="center"/>
          </w:tcPr>
          <w:p w14:paraId="44A6A534"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21.9 ±2.3</w:t>
            </w:r>
          </w:p>
        </w:tc>
      </w:tr>
      <w:tr w:rsidR="009A2B05" w:rsidRPr="00433BA0" w14:paraId="352732E6" w14:textId="77777777" w:rsidTr="00FC3D7F">
        <w:trPr>
          <w:trHeight w:val="288"/>
          <w:jc w:val="center"/>
        </w:trPr>
        <w:tc>
          <w:tcPr>
            <w:tcW w:w="2040" w:type="dxa"/>
            <w:tcBorders>
              <w:bottom w:val="single" w:sz="4" w:space="0" w:color="auto"/>
            </w:tcBorders>
            <w:shd w:val="clear" w:color="auto" w:fill="E7F3F4"/>
            <w:noWrap/>
            <w:vAlign w:val="bottom"/>
            <w:hideMark/>
          </w:tcPr>
          <w:p w14:paraId="0CF9497A"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reef subtidal</w:t>
            </w:r>
          </w:p>
        </w:tc>
        <w:tc>
          <w:tcPr>
            <w:tcW w:w="1300" w:type="dxa"/>
            <w:tcBorders>
              <w:bottom w:val="single" w:sz="4" w:space="0" w:color="auto"/>
            </w:tcBorders>
            <w:shd w:val="clear" w:color="auto" w:fill="E7F3F4"/>
            <w:noWrap/>
            <w:vAlign w:val="center"/>
          </w:tcPr>
          <w:p w14:paraId="528490E8"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7.2 ±0.4</w:t>
            </w:r>
          </w:p>
        </w:tc>
        <w:tc>
          <w:tcPr>
            <w:tcW w:w="1300" w:type="dxa"/>
            <w:tcBorders>
              <w:bottom w:val="single" w:sz="4" w:space="0" w:color="auto"/>
            </w:tcBorders>
            <w:shd w:val="clear" w:color="auto" w:fill="E7F3F4"/>
            <w:noWrap/>
            <w:vAlign w:val="center"/>
          </w:tcPr>
          <w:p w14:paraId="42B7E7FA"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12.8 ±1.1</w:t>
            </w:r>
          </w:p>
        </w:tc>
        <w:tc>
          <w:tcPr>
            <w:tcW w:w="1300" w:type="dxa"/>
            <w:tcBorders>
              <w:bottom w:val="single" w:sz="4" w:space="0" w:color="auto"/>
            </w:tcBorders>
            <w:shd w:val="clear" w:color="auto" w:fill="E7F3F4"/>
            <w:noWrap/>
            <w:vAlign w:val="center"/>
          </w:tcPr>
          <w:p w14:paraId="244B378A"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64.8 ±6.9</w:t>
            </w:r>
          </w:p>
        </w:tc>
        <w:tc>
          <w:tcPr>
            <w:tcW w:w="1300" w:type="dxa"/>
            <w:tcBorders>
              <w:bottom w:val="single" w:sz="4" w:space="0" w:color="auto"/>
            </w:tcBorders>
            <w:shd w:val="clear" w:color="auto" w:fill="E7F3F4"/>
            <w:noWrap/>
            <w:vAlign w:val="center"/>
          </w:tcPr>
          <w:p w14:paraId="749E7B2D"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1.9 ±0.7</w:t>
            </w:r>
          </w:p>
        </w:tc>
        <w:tc>
          <w:tcPr>
            <w:tcW w:w="1300" w:type="dxa"/>
            <w:tcBorders>
              <w:bottom w:val="single" w:sz="4" w:space="0" w:color="auto"/>
            </w:tcBorders>
            <w:shd w:val="clear" w:color="auto" w:fill="E7F3F4"/>
            <w:noWrap/>
            <w:vAlign w:val="center"/>
          </w:tcPr>
          <w:p w14:paraId="7EE86993" w14:textId="77777777" w:rsidR="009A2B05" w:rsidRPr="00433BA0" w:rsidRDefault="009A2B05" w:rsidP="00E6597A">
            <w:pPr>
              <w:spacing w:before="0" w:after="0" w:line="200" w:lineRule="exact"/>
              <w:rPr>
                <w:rFonts w:cs="Arial"/>
                <w:szCs w:val="22"/>
                <w:lang w:eastAsia="en-AU"/>
              </w:rPr>
            </w:pPr>
            <w:r w:rsidRPr="00433BA0">
              <w:rPr>
                <w:rFonts w:cs="Arial"/>
                <w:szCs w:val="22"/>
                <w:lang w:eastAsia="en-AU"/>
              </w:rPr>
              <w:t>13.3 ±6.9</w:t>
            </w:r>
          </w:p>
        </w:tc>
      </w:tr>
    </w:tbl>
    <w:p w14:paraId="03EBB553" w14:textId="77777777" w:rsidR="005D6CB6" w:rsidRPr="00433BA0" w:rsidRDefault="005D6CB6" w:rsidP="005D6CB6">
      <w:pPr>
        <w:rPr>
          <w:rFonts w:cs="Arial"/>
          <w:szCs w:val="22"/>
          <w:lang w:val="en-GB"/>
        </w:rPr>
      </w:pPr>
    </w:p>
    <w:p w14:paraId="0497E588" w14:textId="666E1D45" w:rsidR="005D6CB6" w:rsidRPr="00433BA0" w:rsidRDefault="005D6CB6" w:rsidP="005D6CB6">
      <w:pPr>
        <w:rPr>
          <w:rFonts w:cs="Arial"/>
          <w:szCs w:val="22"/>
          <w:lang w:val="en-GB"/>
        </w:rPr>
      </w:pPr>
      <w:r w:rsidRPr="00433BA0">
        <w:rPr>
          <w:rFonts w:cs="Arial"/>
          <w:szCs w:val="22"/>
          <w:lang w:val="en-GB"/>
        </w:rPr>
        <w:t xml:space="preserve">Since monitoring was established, the composition of sediments has fluctuated at all habitats, with the proportion of mud declining below the long-term average at estuary and coastal habitats immediately following periods of physical disturbance from storms (e.g. cyclones in 2006 and 2011). Conversely, the proportion of mud increased above the long-term average at reef (intertidal and subtidal) habitats during periods of extreme climatic events (e.g. cyclones and/or flood events). </w:t>
      </w:r>
      <w:r w:rsidR="00824E93">
        <w:rPr>
          <w:rFonts w:cs="Arial"/>
          <w:szCs w:val="22"/>
          <w:lang w:val="en-GB"/>
        </w:rPr>
        <w:t xml:space="preserve">It </w:t>
      </w:r>
      <w:r w:rsidR="004415CE">
        <w:rPr>
          <w:rFonts w:cs="Arial"/>
          <w:szCs w:val="22"/>
          <w:lang w:val="en-GB"/>
        </w:rPr>
        <w:t xml:space="preserve">should be noted that the increase in proportion of mud in reef subtidal habitats may be a sampling artefact, due primarily to the increased number of sites monitored post 2014-15. </w:t>
      </w:r>
      <w:r w:rsidR="000A76AC">
        <w:rPr>
          <w:rFonts w:cs="Arial"/>
          <w:szCs w:val="22"/>
          <w:lang w:val="en-GB"/>
        </w:rPr>
        <w:t>F</w:t>
      </w:r>
      <w:r w:rsidR="000A76AC" w:rsidRPr="000A76AC">
        <w:rPr>
          <w:rFonts w:cs="Arial"/>
          <w:szCs w:val="22"/>
          <w:lang w:val="en-GB"/>
        </w:rPr>
        <w:t xml:space="preserve">iner-textured sediments </w:t>
      </w:r>
      <w:r w:rsidR="000A76AC">
        <w:rPr>
          <w:rFonts w:cs="Arial"/>
          <w:szCs w:val="22"/>
          <w:lang w:val="en-GB"/>
        </w:rPr>
        <w:t xml:space="preserve">(i.e. mud) </w:t>
      </w:r>
      <w:r w:rsidR="000A76AC" w:rsidRPr="000A76AC">
        <w:rPr>
          <w:rFonts w:cs="Arial"/>
          <w:szCs w:val="22"/>
          <w:lang w:val="en-GB"/>
        </w:rPr>
        <w:t>tend to have higher fertility, allow</w:t>
      </w:r>
      <w:r w:rsidR="000A76AC">
        <w:rPr>
          <w:rFonts w:cs="Arial"/>
          <w:szCs w:val="22"/>
          <w:lang w:val="en-GB"/>
        </w:rPr>
        <w:t>ing</w:t>
      </w:r>
      <w:r w:rsidR="000A76AC" w:rsidRPr="000A76AC">
        <w:rPr>
          <w:rFonts w:cs="Arial"/>
          <w:szCs w:val="22"/>
          <w:lang w:val="en-GB"/>
        </w:rPr>
        <w:t xml:space="preserve"> rhizome</w:t>
      </w:r>
      <w:r w:rsidR="000A76AC">
        <w:rPr>
          <w:rFonts w:cs="Arial"/>
          <w:szCs w:val="22"/>
          <w:lang w:val="en-GB"/>
        </w:rPr>
        <w:t xml:space="preserve"> </w:t>
      </w:r>
      <w:r w:rsidR="000A76AC" w:rsidRPr="000A76AC">
        <w:rPr>
          <w:rFonts w:cs="Arial"/>
          <w:szCs w:val="22"/>
          <w:lang w:val="en-GB"/>
        </w:rPr>
        <w:t xml:space="preserve">elongation, and greater levels of anoxia. </w:t>
      </w:r>
      <w:r w:rsidR="002E034D">
        <w:rPr>
          <w:rFonts w:cs="Arial"/>
          <w:szCs w:val="22"/>
          <w:lang w:val="en-GB"/>
        </w:rPr>
        <w:t xml:space="preserve">Although </w:t>
      </w:r>
      <w:r w:rsidR="000A76AC" w:rsidRPr="000A76AC">
        <w:rPr>
          <w:rFonts w:cs="Arial"/>
          <w:szCs w:val="22"/>
          <w:lang w:val="en-GB"/>
        </w:rPr>
        <w:t>anaerobic conditions may stimulate germination in some species</w:t>
      </w:r>
      <w:r w:rsidR="002E034D">
        <w:rPr>
          <w:rFonts w:cs="Arial"/>
          <w:szCs w:val="22"/>
          <w:lang w:val="en-GB"/>
        </w:rPr>
        <w:t xml:space="preserve">, the </w:t>
      </w:r>
      <w:r w:rsidR="002E034D" w:rsidRPr="000A76AC">
        <w:rPr>
          <w:rFonts w:cs="Arial"/>
          <w:szCs w:val="22"/>
          <w:lang w:val="en-GB"/>
        </w:rPr>
        <w:t xml:space="preserve">elevated sulfide levels </w:t>
      </w:r>
      <w:r w:rsidR="002E034D">
        <w:rPr>
          <w:rFonts w:cs="Arial"/>
          <w:szCs w:val="22"/>
          <w:lang w:val="en-GB"/>
        </w:rPr>
        <w:t xml:space="preserve">generally </w:t>
      </w:r>
      <w:r w:rsidR="002E034D" w:rsidRPr="000A76AC">
        <w:rPr>
          <w:rFonts w:cs="Arial"/>
          <w:szCs w:val="22"/>
          <w:lang w:val="en-GB"/>
        </w:rPr>
        <w:t>inhibit leaf biomass</w:t>
      </w:r>
      <w:r w:rsidR="002E034D">
        <w:rPr>
          <w:rFonts w:cs="Arial"/>
          <w:szCs w:val="22"/>
          <w:lang w:val="en-GB"/>
        </w:rPr>
        <w:t xml:space="preserve"> </w:t>
      </w:r>
      <w:r w:rsidR="002E034D" w:rsidRPr="000A76AC">
        <w:rPr>
          <w:rFonts w:cs="Arial"/>
          <w:szCs w:val="22"/>
          <w:lang w:val="en-GB"/>
        </w:rPr>
        <w:t>production in more mature plants</w:t>
      </w:r>
      <w:r w:rsidR="002E034D">
        <w:rPr>
          <w:rFonts w:cs="Arial"/>
          <w:szCs w:val="22"/>
          <w:lang w:val="en-GB"/>
        </w:rPr>
        <w:t xml:space="preserve">. Only seagrass species adapted for growth in </w:t>
      </w:r>
      <w:r w:rsidR="002E034D" w:rsidRPr="000A76AC">
        <w:rPr>
          <w:rFonts w:cs="Arial"/>
          <w:szCs w:val="22"/>
          <w:lang w:val="en-GB"/>
        </w:rPr>
        <w:t>anaerobic</w:t>
      </w:r>
      <w:r w:rsidR="002E034D">
        <w:rPr>
          <w:rFonts w:cs="Arial"/>
          <w:szCs w:val="22"/>
          <w:lang w:val="en-GB"/>
        </w:rPr>
        <w:t xml:space="preserve"> mud sediments (e.g. </w:t>
      </w:r>
      <w:r w:rsidR="002E034D" w:rsidRPr="002E034D">
        <w:rPr>
          <w:rFonts w:cs="Arial"/>
          <w:i/>
          <w:szCs w:val="22"/>
          <w:lang w:val="en-GB"/>
        </w:rPr>
        <w:t>Zostera</w:t>
      </w:r>
      <w:r w:rsidR="002E034D">
        <w:rPr>
          <w:rFonts w:cs="Arial"/>
          <w:szCs w:val="22"/>
          <w:lang w:val="en-GB"/>
        </w:rPr>
        <w:t>) are able to persist if sufficient light for photosynthesis is available</w:t>
      </w:r>
      <w:r w:rsidR="000A76AC" w:rsidRPr="000A76AC">
        <w:rPr>
          <w:rFonts w:cs="Arial"/>
          <w:szCs w:val="22"/>
          <w:lang w:val="en-GB"/>
        </w:rPr>
        <w:t>.</w:t>
      </w:r>
      <w:r w:rsidR="002E034D">
        <w:rPr>
          <w:rFonts w:cs="Arial"/>
          <w:szCs w:val="22"/>
          <w:lang w:val="en-GB"/>
        </w:rPr>
        <w:t xml:space="preserve"> </w:t>
      </w:r>
      <w:r w:rsidRPr="00433BA0">
        <w:rPr>
          <w:rFonts w:cs="Arial"/>
          <w:szCs w:val="22"/>
          <w:lang w:val="en-GB"/>
        </w:rPr>
        <w:t xml:space="preserve">During the </w:t>
      </w:r>
      <w:r w:rsidR="00956639" w:rsidRPr="00433BA0">
        <w:rPr>
          <w:rFonts w:cs="Arial"/>
          <w:szCs w:val="22"/>
          <w:lang w:val="en-GB"/>
        </w:rPr>
        <w:t>2018–19</w:t>
      </w:r>
      <w:r w:rsidRPr="00433BA0">
        <w:rPr>
          <w:rFonts w:cs="Arial"/>
          <w:szCs w:val="22"/>
          <w:lang w:val="en-GB"/>
        </w:rPr>
        <w:t xml:space="preserve"> monitoring period</w:t>
      </w:r>
      <w:r w:rsidR="00CF55CE" w:rsidRPr="00433BA0">
        <w:rPr>
          <w:rFonts w:cs="Arial"/>
          <w:szCs w:val="22"/>
          <w:lang w:val="en-GB"/>
        </w:rPr>
        <w:t xml:space="preserve"> there were small fluctuations in </w:t>
      </w:r>
      <w:r w:rsidR="002E034D">
        <w:rPr>
          <w:rFonts w:cs="Arial"/>
          <w:szCs w:val="22"/>
          <w:lang w:val="en-GB"/>
        </w:rPr>
        <w:t xml:space="preserve">the contribution of mud sediments to </w:t>
      </w:r>
      <w:r w:rsidR="00CF55CE" w:rsidRPr="00433BA0">
        <w:rPr>
          <w:rFonts w:cs="Arial"/>
          <w:szCs w:val="22"/>
          <w:lang w:val="en-GB"/>
        </w:rPr>
        <w:t xml:space="preserve">sediment type </w:t>
      </w:r>
      <w:r w:rsidRPr="00433BA0">
        <w:rPr>
          <w:rFonts w:cs="Arial"/>
          <w:szCs w:val="22"/>
          <w:lang w:val="en-GB"/>
        </w:rPr>
        <w:t>relative to the previous year (</w:t>
      </w:r>
      <w:r w:rsidRPr="00433BA0">
        <w:rPr>
          <w:rFonts w:cs="Arial"/>
          <w:szCs w:val="22"/>
          <w:lang w:val="en-GB"/>
        </w:rPr>
        <w:fldChar w:fldCharType="begin"/>
      </w:r>
      <w:r w:rsidRPr="00433BA0">
        <w:rPr>
          <w:rFonts w:cs="Arial"/>
          <w:szCs w:val="22"/>
          <w:lang w:val="en-GB"/>
        </w:rPr>
        <w:instrText xml:space="preserve"> REF _Ref532366723 \h  \* MERGEFORMAT </w:instrText>
      </w:r>
      <w:r w:rsidRPr="00433BA0">
        <w:rPr>
          <w:rFonts w:cs="Arial"/>
          <w:szCs w:val="22"/>
          <w:lang w:val="en-GB"/>
        </w:rPr>
      </w:r>
      <w:r w:rsidRPr="00433BA0">
        <w:rPr>
          <w:rFonts w:cs="Arial"/>
          <w:szCs w:val="22"/>
          <w:lang w:val="en-GB"/>
        </w:rPr>
        <w:fldChar w:fldCharType="separate"/>
      </w:r>
      <w:r w:rsidR="0067675D" w:rsidRPr="00433BA0">
        <w:rPr>
          <w:rFonts w:cs="Arial"/>
          <w:szCs w:val="22"/>
        </w:rPr>
        <w:t xml:space="preserve">Figure </w:t>
      </w:r>
      <w:r w:rsidR="0067675D">
        <w:rPr>
          <w:rFonts w:cs="Arial"/>
          <w:szCs w:val="22"/>
        </w:rPr>
        <w:t>14</w:t>
      </w:r>
      <w:r w:rsidRPr="00433BA0">
        <w:rPr>
          <w:rFonts w:cs="Arial"/>
          <w:szCs w:val="22"/>
          <w:lang w:val="en-GB"/>
        </w:rPr>
        <w:fldChar w:fldCharType="end"/>
      </w:r>
      <w:r w:rsidRPr="00433BA0">
        <w:rPr>
          <w:rFonts w:cs="Arial"/>
          <w:szCs w:val="22"/>
          <w:lang w:val="en-GB"/>
        </w:rPr>
        <w:t>).</w:t>
      </w:r>
    </w:p>
    <w:p w14:paraId="524D449B" w14:textId="77777777" w:rsidR="005D6CB6" w:rsidRPr="00433BA0" w:rsidRDefault="005D6CB6" w:rsidP="005D6CB6">
      <w:pPr>
        <w:keepNext/>
        <w:widowControl w:val="0"/>
        <w:jc w:val="center"/>
        <w:rPr>
          <w:rFonts w:cs="Arial"/>
          <w:szCs w:val="22"/>
          <w:lang w:val="en-GB"/>
        </w:rPr>
      </w:pPr>
      <w:r w:rsidRPr="00433BA0">
        <w:rPr>
          <w:rFonts w:cs="Arial"/>
          <w:noProof/>
          <w:szCs w:val="22"/>
          <w:lang w:eastAsia="en-AU"/>
        </w:rPr>
        <w:lastRenderedPageBreak/>
        <w:drawing>
          <wp:inline distT="0" distB="0" distL="0" distR="0" wp14:anchorId="497CD591" wp14:editId="4B2E0CE9">
            <wp:extent cx="5142775" cy="1419085"/>
            <wp:effectExtent l="0" t="0" r="1270" b="0"/>
            <wp:docPr id="233" name="Picture 233" descr="Set of four area plots showing proportion of sediment composed of mud (grain size less than 63µm) at GBR seagrass monitoring habitats from 1999-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GBR_proportion_mud_2016.png"/>
                    <pic:cNvPicPr/>
                  </pic:nvPicPr>
                  <pic:blipFill>
                    <a:blip r:embed="rId68">
                      <a:extLst>
                        <a:ext uri="{28A0092B-C50C-407E-A947-70E740481C1C}">
                          <a14:useLocalDpi xmlns:a14="http://schemas.microsoft.com/office/drawing/2010/main" val="0"/>
                        </a:ext>
                      </a:extLst>
                    </a:blip>
                    <a:stretch>
                      <a:fillRect/>
                    </a:stretch>
                  </pic:blipFill>
                  <pic:spPr>
                    <a:xfrm>
                      <a:off x="0" y="0"/>
                      <a:ext cx="5142775" cy="1419085"/>
                    </a:xfrm>
                    <a:prstGeom prst="rect">
                      <a:avLst/>
                    </a:prstGeom>
                  </pic:spPr>
                </pic:pic>
              </a:graphicData>
            </a:graphic>
          </wp:inline>
        </w:drawing>
      </w:r>
    </w:p>
    <w:p w14:paraId="3C093D2E" w14:textId="574CFE0A" w:rsidR="005D6CB6" w:rsidRDefault="005D6CB6" w:rsidP="00173CCC">
      <w:pPr>
        <w:keepNext/>
        <w:widowControl w:val="0"/>
        <w:rPr>
          <w:rFonts w:cs="Arial"/>
          <w:i/>
          <w:szCs w:val="22"/>
        </w:rPr>
      </w:pPr>
      <w:bookmarkStart w:id="214" w:name="_Ref532366723"/>
      <w:bookmarkStart w:id="215" w:name="_Ref442530463"/>
      <w:bookmarkStart w:id="216" w:name="_Toc38634118"/>
      <w:r w:rsidRPr="00433BA0">
        <w:rPr>
          <w:rFonts w:cs="Arial"/>
          <w:szCs w:val="22"/>
        </w:rPr>
        <w:t xml:space="preserve">Figure </w:t>
      </w:r>
      <w:r w:rsidRPr="00433BA0">
        <w:rPr>
          <w:rFonts w:cs="Arial"/>
          <w:noProof/>
          <w:szCs w:val="22"/>
        </w:rPr>
        <w:fldChar w:fldCharType="begin"/>
      </w:r>
      <w:r w:rsidRPr="00433BA0">
        <w:rPr>
          <w:rFonts w:cs="Arial"/>
          <w:noProof/>
          <w:szCs w:val="22"/>
        </w:rPr>
        <w:instrText xml:space="preserve"> SEQ Figure \* ARABIC </w:instrText>
      </w:r>
      <w:r w:rsidRPr="00433BA0">
        <w:rPr>
          <w:rFonts w:cs="Arial"/>
          <w:noProof/>
          <w:szCs w:val="22"/>
        </w:rPr>
        <w:fldChar w:fldCharType="separate"/>
      </w:r>
      <w:r w:rsidR="0067675D">
        <w:rPr>
          <w:rFonts w:cs="Arial"/>
          <w:noProof/>
          <w:szCs w:val="22"/>
        </w:rPr>
        <w:t>14</w:t>
      </w:r>
      <w:r w:rsidRPr="00433BA0">
        <w:rPr>
          <w:rFonts w:cs="Arial"/>
          <w:noProof/>
          <w:szCs w:val="22"/>
        </w:rPr>
        <w:fldChar w:fldCharType="end"/>
      </w:r>
      <w:bookmarkEnd w:id="214"/>
      <w:r w:rsidRPr="00433BA0">
        <w:rPr>
          <w:rFonts w:cs="Arial"/>
          <w:szCs w:val="22"/>
        </w:rPr>
        <w:t xml:space="preserve">. </w:t>
      </w:r>
      <w:r w:rsidRPr="00433BA0">
        <w:rPr>
          <w:rFonts w:cs="Arial"/>
          <w:i/>
          <w:szCs w:val="22"/>
        </w:rPr>
        <w:t xml:space="preserve">Proportion of sediment composed of mud (grain size &lt;63µm) at </w:t>
      </w:r>
      <w:r w:rsidR="00F206BF" w:rsidRPr="00433BA0">
        <w:rPr>
          <w:rFonts w:cs="Arial"/>
          <w:i/>
          <w:szCs w:val="22"/>
        </w:rPr>
        <w:t>Reef</w:t>
      </w:r>
      <w:r w:rsidRPr="00433BA0">
        <w:rPr>
          <w:rFonts w:cs="Arial"/>
          <w:i/>
          <w:szCs w:val="22"/>
        </w:rPr>
        <w:t xml:space="preserve"> seagrass monitoring habitats from 1999</w:t>
      </w:r>
      <w:r w:rsidR="00FD625B" w:rsidRPr="00433BA0">
        <w:rPr>
          <w:rFonts w:cs="Arial"/>
          <w:i/>
          <w:szCs w:val="22"/>
        </w:rPr>
        <w:t>–</w:t>
      </w:r>
      <w:r w:rsidRPr="00433BA0">
        <w:rPr>
          <w:rFonts w:cs="Arial"/>
          <w:i/>
          <w:szCs w:val="22"/>
        </w:rPr>
        <w:t>201</w:t>
      </w:r>
      <w:r w:rsidR="00FF66E8">
        <w:rPr>
          <w:rFonts w:cs="Arial"/>
          <w:i/>
          <w:szCs w:val="22"/>
        </w:rPr>
        <w:t>9</w:t>
      </w:r>
      <w:r w:rsidRPr="00433BA0">
        <w:rPr>
          <w:rFonts w:cs="Arial"/>
          <w:i/>
          <w:szCs w:val="22"/>
        </w:rPr>
        <w:t>.</w:t>
      </w:r>
      <w:bookmarkEnd w:id="215"/>
      <w:bookmarkEnd w:id="216"/>
    </w:p>
    <w:p w14:paraId="0A59CB09" w14:textId="58F3C101" w:rsidR="003E5B3F" w:rsidRPr="003E5B3F" w:rsidRDefault="003E5B3F" w:rsidP="00A37E15">
      <w:pPr>
        <w:rPr>
          <w:rFonts w:cs="Arial"/>
          <w:color w:val="000000" w:themeColor="text1"/>
          <w:szCs w:val="22"/>
          <w:highlight w:val="yellow"/>
        </w:rPr>
      </w:pPr>
    </w:p>
    <w:p w14:paraId="5A914201" w14:textId="77777777" w:rsidR="003E5B3F" w:rsidRPr="00A37E15" w:rsidRDefault="003E5B3F" w:rsidP="00A37E15">
      <w:pPr>
        <w:rPr>
          <w:rFonts w:cs="Arial"/>
          <w:color w:val="000000" w:themeColor="text1"/>
          <w:szCs w:val="22"/>
        </w:rPr>
      </w:pPr>
    </w:p>
    <w:p w14:paraId="60DBF830" w14:textId="5E370B6B" w:rsidR="00A37E15" w:rsidRDefault="00A37E15">
      <w:pPr>
        <w:spacing w:before="0" w:after="0"/>
        <w:rPr>
          <w:rFonts w:cs="Arial"/>
          <w:color w:val="000000" w:themeColor="text1"/>
          <w:szCs w:val="22"/>
        </w:rPr>
      </w:pPr>
      <w:r>
        <w:rPr>
          <w:rFonts w:cs="Arial"/>
          <w:color w:val="000000" w:themeColor="text1"/>
          <w:szCs w:val="22"/>
        </w:rPr>
        <w:br w:type="page"/>
      </w:r>
    </w:p>
    <w:p w14:paraId="445C811D" w14:textId="5DFDCE5E" w:rsidR="00AC1C6D" w:rsidRPr="00CB093C" w:rsidRDefault="00F039CC" w:rsidP="000150D8">
      <w:pPr>
        <w:pStyle w:val="Heading1"/>
      </w:pPr>
      <w:bookmarkStart w:id="217" w:name="_Toc37775057"/>
      <w:bookmarkStart w:id="218" w:name="_Toc43987032"/>
      <w:r w:rsidRPr="00CB093C">
        <w:lastRenderedPageBreak/>
        <w:t>Seagrass condition and trend</w:t>
      </w:r>
      <w:bookmarkEnd w:id="217"/>
      <w:bookmarkEnd w:id="218"/>
    </w:p>
    <w:p w14:paraId="32FE1A8F" w14:textId="4345E289" w:rsidR="00AC1C6D" w:rsidRPr="009C55E1" w:rsidRDefault="00AC1C6D" w:rsidP="00D2585E">
      <w:pPr>
        <w:rPr>
          <w:rFonts w:cs="Arial"/>
          <w:color w:val="000000" w:themeColor="text1"/>
          <w:szCs w:val="22"/>
        </w:rPr>
      </w:pPr>
      <w:r w:rsidRPr="009C55E1">
        <w:rPr>
          <w:rFonts w:cs="Arial"/>
          <w:color w:val="000000" w:themeColor="text1"/>
          <w:szCs w:val="22"/>
        </w:rPr>
        <w:t xml:space="preserve">The following results section provides detail on the overall seagrass responses for the </w:t>
      </w:r>
      <w:r w:rsidR="00956639" w:rsidRPr="009C55E1">
        <w:rPr>
          <w:rFonts w:cs="Arial"/>
          <w:color w:val="000000" w:themeColor="text1"/>
          <w:szCs w:val="22"/>
        </w:rPr>
        <w:t>2018–19</w:t>
      </w:r>
      <w:r w:rsidR="00C81636" w:rsidRPr="009C55E1">
        <w:rPr>
          <w:rFonts w:cs="Arial"/>
          <w:color w:val="000000" w:themeColor="text1"/>
          <w:szCs w:val="22"/>
        </w:rPr>
        <w:t xml:space="preserve"> </w:t>
      </w:r>
      <w:r w:rsidRPr="009C55E1">
        <w:rPr>
          <w:rFonts w:cs="Arial"/>
          <w:color w:val="000000" w:themeColor="text1"/>
          <w:szCs w:val="22"/>
        </w:rPr>
        <w:t>monitoring period, in context of longer-term trends. It is structured as</w:t>
      </w:r>
      <w:r w:rsidR="00D1356E" w:rsidRPr="009C55E1">
        <w:rPr>
          <w:rFonts w:cs="Arial"/>
          <w:color w:val="000000" w:themeColor="text1"/>
          <w:szCs w:val="22"/>
        </w:rPr>
        <w:t xml:space="preserve"> a </w:t>
      </w:r>
      <w:r w:rsidRPr="009C55E1">
        <w:rPr>
          <w:rFonts w:cs="Arial"/>
          <w:color w:val="000000" w:themeColor="text1"/>
          <w:szCs w:val="22"/>
        </w:rPr>
        <w:t xml:space="preserve">Reef-wide summary: overall </w:t>
      </w:r>
      <w:r w:rsidR="003A03FE" w:rsidRPr="009C55E1">
        <w:rPr>
          <w:rFonts w:cs="Arial"/>
          <w:color w:val="000000" w:themeColor="text1"/>
          <w:szCs w:val="22"/>
        </w:rPr>
        <w:t>condition</w:t>
      </w:r>
      <w:r w:rsidRPr="009C55E1">
        <w:rPr>
          <w:rFonts w:cs="Arial"/>
          <w:color w:val="000000" w:themeColor="text1"/>
          <w:szCs w:val="22"/>
        </w:rPr>
        <w:t xml:space="preserve"> and trend for each habitat type </w:t>
      </w:r>
      <w:r w:rsidR="00A021F4">
        <w:rPr>
          <w:rFonts w:cs="Arial"/>
          <w:color w:val="000000" w:themeColor="text1"/>
          <w:szCs w:val="22"/>
        </w:rPr>
        <w:t xml:space="preserve">is </w:t>
      </w:r>
      <w:r w:rsidRPr="009C55E1">
        <w:rPr>
          <w:rFonts w:cs="Arial"/>
          <w:color w:val="000000" w:themeColor="text1"/>
          <w:szCs w:val="22"/>
        </w:rPr>
        <w:t>presented separately</w:t>
      </w:r>
      <w:r w:rsidR="00D1356E" w:rsidRPr="009C55E1">
        <w:rPr>
          <w:rFonts w:cs="Arial"/>
          <w:color w:val="000000" w:themeColor="text1"/>
          <w:szCs w:val="22"/>
        </w:rPr>
        <w:t>, including:</w:t>
      </w:r>
    </w:p>
    <w:p w14:paraId="3AE9C4BC" w14:textId="0AE7810C"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a summary of the key findings from the overall section including a summary of the report card score</w:t>
      </w:r>
    </w:p>
    <w:p w14:paraId="7918B986" w14:textId="73E8F2FC"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seagrass abundance and extent</w:t>
      </w:r>
    </w:p>
    <w:p w14:paraId="4492502D" w14:textId="4ABEA116"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seagrass species composition based on life history traits</w:t>
      </w:r>
    </w:p>
    <w:p w14:paraId="3C1AA9FC" w14:textId="0E36A66E"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seagrass reproductive effort and seed banks</w:t>
      </w:r>
    </w:p>
    <w:p w14:paraId="65F80801" w14:textId="619B90D7"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seagrass leaf tissue content (C:N, N:P and C:P ratios)</w:t>
      </w:r>
    </w:p>
    <w:p w14:paraId="7757F7EF" w14:textId="281081DE" w:rsidR="00AC1C6D" w:rsidRPr="009C55E1" w:rsidRDefault="00AC1C6D" w:rsidP="003F4D32">
      <w:pPr>
        <w:numPr>
          <w:ilvl w:val="0"/>
          <w:numId w:val="17"/>
        </w:numPr>
        <w:spacing w:before="60" w:after="60"/>
        <w:rPr>
          <w:rFonts w:cs="Arial"/>
          <w:color w:val="000000" w:themeColor="text1"/>
          <w:szCs w:val="22"/>
        </w:rPr>
      </w:pPr>
      <w:r w:rsidRPr="009C55E1">
        <w:rPr>
          <w:rFonts w:cs="Arial"/>
          <w:color w:val="000000" w:themeColor="text1"/>
          <w:szCs w:val="22"/>
        </w:rPr>
        <w:t>epiphyte and macroalgae abundance</w:t>
      </w:r>
    </w:p>
    <w:p w14:paraId="77490A7B" w14:textId="11AE066E" w:rsidR="006B7B9D" w:rsidRPr="009C55E1" w:rsidRDefault="00E1050E" w:rsidP="003F4D32">
      <w:pPr>
        <w:numPr>
          <w:ilvl w:val="0"/>
          <w:numId w:val="17"/>
        </w:numPr>
        <w:spacing w:before="60" w:after="60"/>
        <w:rPr>
          <w:rFonts w:cs="Arial"/>
          <w:color w:val="000000" w:themeColor="text1"/>
          <w:szCs w:val="22"/>
        </w:rPr>
      </w:pPr>
      <w:r w:rsidRPr="009C55E1">
        <w:rPr>
          <w:rFonts w:cs="Arial"/>
          <w:color w:val="000000" w:themeColor="text1"/>
          <w:szCs w:val="22"/>
        </w:rPr>
        <w:t>l</w:t>
      </w:r>
      <w:r w:rsidR="00AD0F49" w:rsidRPr="009C55E1">
        <w:rPr>
          <w:rFonts w:cs="Arial"/>
          <w:color w:val="000000" w:themeColor="text1"/>
          <w:szCs w:val="22"/>
        </w:rPr>
        <w:t xml:space="preserve">inkage back to </w:t>
      </w:r>
      <w:r w:rsidR="0041500F" w:rsidRPr="009C55E1">
        <w:rPr>
          <w:rFonts w:cs="Arial"/>
          <w:color w:val="000000" w:themeColor="text1"/>
          <w:szCs w:val="22"/>
        </w:rPr>
        <w:t xml:space="preserve">broad-scale </w:t>
      </w:r>
      <w:r w:rsidR="006B7B9D" w:rsidRPr="009C55E1">
        <w:rPr>
          <w:rFonts w:cs="Arial"/>
          <w:color w:val="000000" w:themeColor="text1"/>
          <w:szCs w:val="22"/>
        </w:rPr>
        <w:t>environmental pressures</w:t>
      </w:r>
      <w:r w:rsidR="008D1915" w:rsidRPr="009C55E1">
        <w:rPr>
          <w:rFonts w:cs="Arial"/>
          <w:color w:val="000000" w:themeColor="text1"/>
          <w:szCs w:val="22"/>
        </w:rPr>
        <w:t>.</w:t>
      </w:r>
    </w:p>
    <w:p w14:paraId="28D71EBE" w14:textId="3AC47AB5" w:rsidR="00AC1C6D" w:rsidRPr="009C55E1" w:rsidRDefault="00D1356E" w:rsidP="00AC1C6D">
      <w:pPr>
        <w:rPr>
          <w:rFonts w:cs="Arial"/>
          <w:color w:val="000000" w:themeColor="text1"/>
          <w:szCs w:val="22"/>
        </w:rPr>
      </w:pPr>
      <w:r w:rsidRPr="009C55E1">
        <w:rPr>
          <w:rFonts w:cs="Arial"/>
          <w:color w:val="000000" w:themeColor="text1"/>
          <w:szCs w:val="22"/>
        </w:rPr>
        <w:t xml:space="preserve">Detailed results for each </w:t>
      </w:r>
      <w:r w:rsidR="00C526E5" w:rsidRPr="009C55E1">
        <w:rPr>
          <w:rFonts w:cs="Arial"/>
          <w:color w:val="000000" w:themeColor="text1"/>
          <w:szCs w:val="22"/>
        </w:rPr>
        <w:t>r</w:t>
      </w:r>
      <w:r w:rsidRPr="009C55E1">
        <w:rPr>
          <w:rFonts w:cs="Arial"/>
          <w:color w:val="000000" w:themeColor="text1"/>
          <w:szCs w:val="22"/>
        </w:rPr>
        <w:t>egion are presented in the next section</w:t>
      </w:r>
      <w:r w:rsidR="000A6AD3" w:rsidRPr="009C55E1">
        <w:rPr>
          <w:rFonts w:cs="Arial"/>
          <w:color w:val="000000" w:themeColor="text1"/>
          <w:szCs w:val="22"/>
        </w:rPr>
        <w:t>.</w:t>
      </w:r>
      <w:r w:rsidRPr="009C55E1" w:rsidDel="00F039CC">
        <w:rPr>
          <w:rFonts w:cs="Arial"/>
          <w:color w:val="000000" w:themeColor="text1"/>
          <w:szCs w:val="22"/>
        </w:rPr>
        <w:t xml:space="preserve"> </w:t>
      </w:r>
      <w:r w:rsidRPr="009C55E1">
        <w:rPr>
          <w:rFonts w:cs="Arial"/>
          <w:color w:val="000000" w:themeColor="text1"/>
          <w:szCs w:val="22"/>
        </w:rPr>
        <w:t>S</w:t>
      </w:r>
      <w:r w:rsidR="00AC1C6D" w:rsidRPr="009C55E1">
        <w:rPr>
          <w:rFonts w:cs="Arial"/>
          <w:color w:val="000000" w:themeColor="text1"/>
          <w:szCs w:val="22"/>
        </w:rPr>
        <w:t xml:space="preserve">upporting data </w:t>
      </w:r>
      <w:r w:rsidRPr="009C55E1">
        <w:rPr>
          <w:rFonts w:cs="Arial"/>
          <w:color w:val="000000" w:themeColor="text1"/>
          <w:szCs w:val="22"/>
        </w:rPr>
        <w:t xml:space="preserve">identified as </w:t>
      </w:r>
      <w:r w:rsidR="00AC1C6D" w:rsidRPr="009C55E1">
        <w:rPr>
          <w:rFonts w:cs="Arial"/>
          <w:color w:val="000000" w:themeColor="text1"/>
          <w:szCs w:val="22"/>
        </w:rPr>
        <w:t xml:space="preserve">important in understanding any long-term trends is detailed within </w:t>
      </w:r>
      <w:r w:rsidR="00A021F4" w:rsidRPr="009C55E1">
        <w:rPr>
          <w:rFonts w:cs="Arial"/>
          <w:color w:val="000000" w:themeColor="text1"/>
          <w:szCs w:val="22"/>
        </w:rPr>
        <w:t>Appendi</w:t>
      </w:r>
      <w:r w:rsidR="00A021F4">
        <w:rPr>
          <w:rFonts w:cs="Arial"/>
          <w:color w:val="000000" w:themeColor="text1"/>
          <w:szCs w:val="22"/>
        </w:rPr>
        <w:t>ces</w:t>
      </w:r>
      <w:r w:rsidR="00A021F4" w:rsidRPr="009C55E1">
        <w:rPr>
          <w:rFonts w:cs="Arial"/>
          <w:color w:val="000000" w:themeColor="text1"/>
          <w:szCs w:val="22"/>
        </w:rPr>
        <w:t xml:space="preserve"> </w:t>
      </w:r>
      <w:r w:rsidR="00AC1C6D" w:rsidRPr="009C55E1">
        <w:rPr>
          <w:rFonts w:cs="Arial"/>
          <w:color w:val="000000" w:themeColor="text1"/>
          <w:szCs w:val="22"/>
        </w:rPr>
        <w:t>3 and 4</w:t>
      </w:r>
      <w:r w:rsidR="00AD0F49" w:rsidRPr="009C55E1">
        <w:rPr>
          <w:rFonts w:cs="Arial"/>
          <w:color w:val="000000" w:themeColor="text1"/>
          <w:szCs w:val="22"/>
        </w:rPr>
        <w:t>.</w:t>
      </w:r>
    </w:p>
    <w:p w14:paraId="7419E774" w14:textId="49DF43B7" w:rsidR="00AC1C6D" w:rsidRPr="00A37E15" w:rsidRDefault="00F206BF" w:rsidP="000150D8">
      <w:pPr>
        <w:pStyle w:val="Heading2"/>
      </w:pPr>
      <w:bookmarkStart w:id="219" w:name="_Toc37775058"/>
      <w:bookmarkStart w:id="220" w:name="_Toc43987033"/>
      <w:r w:rsidRPr="00A37E15">
        <w:t>Reef</w:t>
      </w:r>
      <w:r w:rsidR="00AC1C6D" w:rsidRPr="00A37E15">
        <w:t xml:space="preserve">-wide </w:t>
      </w:r>
      <w:r w:rsidR="0035787B" w:rsidRPr="00A37E15">
        <w:t>seagrass condition and trend</w:t>
      </w:r>
      <w:bookmarkEnd w:id="219"/>
      <w:bookmarkEnd w:id="220"/>
    </w:p>
    <w:p w14:paraId="41D1565F" w14:textId="4907CCBE" w:rsidR="00A97774" w:rsidRPr="009C55E1" w:rsidRDefault="00226865" w:rsidP="00D2585E">
      <w:pPr>
        <w:autoSpaceDE w:val="0"/>
        <w:autoSpaceDN w:val="0"/>
        <w:adjustRightInd w:val="0"/>
        <w:rPr>
          <w:rFonts w:cs="Arial"/>
          <w:szCs w:val="22"/>
          <w:lang w:eastAsia="x-none"/>
        </w:rPr>
      </w:pPr>
      <w:r w:rsidRPr="00B2696E">
        <w:rPr>
          <w:rFonts w:cs="Arial"/>
          <w:szCs w:val="22"/>
        </w:rPr>
        <w:t xml:space="preserve">Inshore seagrass meadows across the Great Barrier Reef </w:t>
      </w:r>
      <w:r w:rsidRPr="00B2696E">
        <w:rPr>
          <w:rFonts w:cs="Arial"/>
          <w:color w:val="000000" w:themeColor="text1"/>
          <w:szCs w:val="22"/>
        </w:rPr>
        <w:t xml:space="preserve">(the Reef) continued to </w:t>
      </w:r>
      <w:r w:rsidRPr="00B2696E">
        <w:rPr>
          <w:rFonts w:cs="Arial"/>
          <w:szCs w:val="22"/>
        </w:rPr>
        <w:t>decline in overall condition in 2018–19, further overturning some of the recovery experienced</w:t>
      </w:r>
      <w:r>
        <w:rPr>
          <w:rFonts w:cs="Arial"/>
          <w:szCs w:val="22"/>
        </w:rPr>
        <w:t xml:space="preserve"> during a period from mid 2010 to mid-2017.</w:t>
      </w:r>
      <w:r w:rsidRPr="00B2696E">
        <w:rPr>
          <w:rFonts w:cs="Arial"/>
          <w:szCs w:val="22"/>
        </w:rPr>
        <w:t xml:space="preserve"> </w:t>
      </w:r>
      <w:r>
        <w:rPr>
          <w:rFonts w:cs="Arial"/>
          <w:szCs w:val="22"/>
        </w:rPr>
        <w:t>T</w:t>
      </w:r>
      <w:r w:rsidR="0035619E">
        <w:rPr>
          <w:rFonts w:cs="Arial"/>
          <w:color w:val="000000" w:themeColor="text1"/>
          <w:szCs w:val="22"/>
        </w:rPr>
        <w:t>he condition grade</w:t>
      </w:r>
      <w:r>
        <w:rPr>
          <w:rFonts w:cs="Arial"/>
          <w:color w:val="000000" w:themeColor="text1"/>
          <w:szCs w:val="22"/>
        </w:rPr>
        <w:t xml:space="preserve"> for inshore seagrass meadows has </w:t>
      </w:r>
      <w:r w:rsidRPr="00B2696E">
        <w:rPr>
          <w:rFonts w:cs="Arial"/>
          <w:color w:val="000000" w:themeColor="text1"/>
          <w:szCs w:val="22"/>
        </w:rPr>
        <w:t>remain</w:t>
      </w:r>
      <w:r>
        <w:rPr>
          <w:rFonts w:cs="Arial"/>
          <w:color w:val="000000" w:themeColor="text1"/>
          <w:szCs w:val="22"/>
        </w:rPr>
        <w:t xml:space="preserve">ed </w:t>
      </w:r>
      <w:r w:rsidRPr="00B2696E">
        <w:rPr>
          <w:rFonts w:cs="Arial"/>
          <w:b/>
          <w:color w:val="000000" w:themeColor="text1"/>
          <w:szCs w:val="22"/>
        </w:rPr>
        <w:t>poor</w:t>
      </w:r>
      <w:r w:rsidRPr="00B2696E">
        <w:rPr>
          <w:rFonts w:cs="Arial"/>
          <w:szCs w:val="22"/>
        </w:rPr>
        <w:t xml:space="preserve"> </w:t>
      </w:r>
      <w:r w:rsidR="00A97774" w:rsidRPr="009C55E1">
        <w:rPr>
          <w:rFonts w:cs="Arial"/>
          <w:szCs w:val="22"/>
        </w:rPr>
        <w:t>(</w:t>
      </w:r>
      <w:r w:rsidR="00A97774" w:rsidRPr="009C55E1">
        <w:rPr>
          <w:rFonts w:cs="Arial"/>
          <w:szCs w:val="22"/>
        </w:rPr>
        <w:fldChar w:fldCharType="begin"/>
      </w:r>
      <w:r w:rsidR="00A97774" w:rsidRPr="009C55E1">
        <w:rPr>
          <w:rFonts w:cs="Arial"/>
          <w:szCs w:val="22"/>
        </w:rPr>
        <w:instrText xml:space="preserve"> REF _Ref536800910 \h </w:instrText>
      </w:r>
      <w:r w:rsidR="000A6AD3" w:rsidRPr="009C55E1">
        <w:rPr>
          <w:rFonts w:cs="Arial"/>
          <w:szCs w:val="22"/>
        </w:rPr>
        <w:instrText xml:space="preserve"> \* MERGEFORMAT </w:instrText>
      </w:r>
      <w:r w:rsidR="00A97774" w:rsidRPr="009C55E1">
        <w:rPr>
          <w:rFonts w:cs="Arial"/>
          <w:szCs w:val="22"/>
        </w:rPr>
      </w:r>
      <w:r w:rsidR="00A97774"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A97774" w:rsidRPr="009C55E1">
        <w:rPr>
          <w:rFonts w:cs="Arial"/>
          <w:szCs w:val="22"/>
        </w:rPr>
        <w:fldChar w:fldCharType="end"/>
      </w:r>
      <w:r w:rsidR="00A97774" w:rsidRPr="009C55E1">
        <w:rPr>
          <w:rFonts w:cs="Arial"/>
          <w:szCs w:val="22"/>
        </w:rPr>
        <w:t>)</w:t>
      </w:r>
      <w:r w:rsidR="00A97774" w:rsidRPr="009C55E1">
        <w:rPr>
          <w:rFonts w:cs="Arial"/>
          <w:szCs w:val="22"/>
          <w:lang w:eastAsia="x-none"/>
        </w:rPr>
        <w:t xml:space="preserve">. </w:t>
      </w:r>
    </w:p>
    <w:p w14:paraId="17C3D0C0" w14:textId="492498A8" w:rsidR="00837790" w:rsidRPr="009C55E1" w:rsidRDefault="00226865" w:rsidP="00D2585E">
      <w:pPr>
        <w:autoSpaceDE w:val="0"/>
        <w:autoSpaceDN w:val="0"/>
        <w:adjustRightInd w:val="0"/>
        <w:rPr>
          <w:rFonts w:cs="Arial"/>
          <w:szCs w:val="22"/>
          <w:lang w:eastAsia="x-none"/>
        </w:rPr>
      </w:pPr>
      <w:r w:rsidRPr="009C55E1">
        <w:rPr>
          <w:rFonts w:cs="Arial"/>
          <w:szCs w:val="22"/>
          <w:lang w:eastAsia="x-none"/>
        </w:rPr>
        <w:t xml:space="preserve">In summary, </w:t>
      </w:r>
      <w:r>
        <w:rPr>
          <w:rFonts w:cs="Arial"/>
          <w:szCs w:val="22"/>
          <w:lang w:eastAsia="x-none"/>
        </w:rPr>
        <w:t>the decline was primarily due to a reduction in reproductive effort as opposed to abundance (which remained unchanged) or tissue nutrients</w:t>
      </w:r>
      <w:r w:rsidR="00837790" w:rsidRPr="009C55E1">
        <w:rPr>
          <w:rFonts w:cs="Arial"/>
          <w:szCs w:val="22"/>
          <w:lang w:eastAsia="x-none"/>
        </w:rPr>
        <w:t>:</w:t>
      </w:r>
    </w:p>
    <w:p w14:paraId="0DBAC198" w14:textId="12D99BF2" w:rsidR="00837790" w:rsidRPr="009C55E1" w:rsidRDefault="00EF6C56" w:rsidP="003F4D32">
      <w:pPr>
        <w:numPr>
          <w:ilvl w:val="0"/>
          <w:numId w:val="19"/>
        </w:numPr>
        <w:rPr>
          <w:rFonts w:cs="Arial"/>
          <w:szCs w:val="22"/>
        </w:rPr>
      </w:pPr>
      <w:r w:rsidRPr="009C55E1">
        <w:rPr>
          <w:rFonts w:cs="Arial"/>
          <w:szCs w:val="22"/>
          <w:lang w:eastAsia="x-none"/>
        </w:rPr>
        <w:t xml:space="preserve">Seagrass abundance remained unchanged from 2017-18 to </w:t>
      </w:r>
      <w:r w:rsidR="00956639" w:rsidRPr="009C55E1">
        <w:rPr>
          <w:rFonts w:cs="Arial"/>
          <w:szCs w:val="22"/>
          <w:lang w:eastAsia="x-none"/>
        </w:rPr>
        <w:t>2018–19</w:t>
      </w:r>
      <w:r w:rsidRPr="009C55E1">
        <w:rPr>
          <w:rFonts w:cs="Arial"/>
          <w:szCs w:val="22"/>
          <w:lang w:eastAsia="x-none"/>
        </w:rPr>
        <w:t>, with decline</w:t>
      </w:r>
      <w:r w:rsidR="009C55E1">
        <w:rPr>
          <w:rFonts w:cs="Arial"/>
          <w:szCs w:val="22"/>
          <w:lang w:eastAsia="x-none"/>
        </w:rPr>
        <w:t>s</w:t>
      </w:r>
      <w:r w:rsidRPr="009C55E1">
        <w:rPr>
          <w:rFonts w:cs="Arial"/>
          <w:szCs w:val="22"/>
          <w:lang w:eastAsia="x-none"/>
        </w:rPr>
        <w:t xml:space="preserve"> </w:t>
      </w:r>
      <w:r w:rsidR="009C55E1">
        <w:rPr>
          <w:rFonts w:cs="Arial"/>
          <w:szCs w:val="22"/>
          <w:lang w:eastAsia="x-none"/>
        </w:rPr>
        <w:t xml:space="preserve">experienced </w:t>
      </w:r>
      <w:r w:rsidRPr="009C55E1">
        <w:rPr>
          <w:rFonts w:cs="Arial"/>
          <w:szCs w:val="22"/>
          <w:lang w:eastAsia="x-none"/>
        </w:rPr>
        <w:t>over the previous two periods abating</w:t>
      </w:r>
      <w:r w:rsidR="00837790" w:rsidRPr="009C55E1">
        <w:rPr>
          <w:rFonts w:cs="Arial"/>
          <w:szCs w:val="22"/>
          <w:lang w:eastAsia="x-none"/>
        </w:rPr>
        <w:t xml:space="preserve">. </w:t>
      </w:r>
      <w:r w:rsidR="00837790" w:rsidRPr="009C55E1">
        <w:rPr>
          <w:rFonts w:cs="Arial"/>
          <w:szCs w:val="22"/>
        </w:rPr>
        <w:t>Seagrass abundance (</w:t>
      </w:r>
      <w:r w:rsidR="007F7222">
        <w:rPr>
          <w:rFonts w:cs="Arial"/>
          <w:szCs w:val="22"/>
        </w:rPr>
        <w:t>per cent</w:t>
      </w:r>
      <w:r w:rsidR="00837790" w:rsidRPr="009C55E1">
        <w:rPr>
          <w:rFonts w:cs="Arial"/>
          <w:szCs w:val="22"/>
        </w:rPr>
        <w:t xml:space="preserve"> cover) at meadows monitored in the MMP declined from 2005</w:t>
      </w:r>
      <w:r w:rsidR="00FD625B" w:rsidRPr="009C55E1">
        <w:rPr>
          <w:rFonts w:cs="Arial"/>
          <w:szCs w:val="22"/>
        </w:rPr>
        <w:t>–</w:t>
      </w:r>
      <w:r w:rsidR="007D143C" w:rsidRPr="009C55E1">
        <w:rPr>
          <w:rFonts w:cs="Arial"/>
          <w:szCs w:val="22"/>
        </w:rPr>
        <w:t>20</w:t>
      </w:r>
      <w:r w:rsidR="00837790" w:rsidRPr="009C55E1">
        <w:rPr>
          <w:rFonts w:cs="Arial"/>
          <w:szCs w:val="22"/>
        </w:rPr>
        <w:t>06 until 2012</w:t>
      </w:r>
      <w:r w:rsidR="00FD625B" w:rsidRPr="009C55E1">
        <w:rPr>
          <w:rFonts w:cs="Arial"/>
          <w:szCs w:val="22"/>
        </w:rPr>
        <w:t>–</w:t>
      </w:r>
      <w:r w:rsidR="007D143C" w:rsidRPr="009C55E1">
        <w:rPr>
          <w:rFonts w:cs="Arial"/>
          <w:szCs w:val="22"/>
        </w:rPr>
        <w:t>20</w:t>
      </w:r>
      <w:r w:rsidR="00837790" w:rsidRPr="009C55E1">
        <w:rPr>
          <w:rFonts w:cs="Arial"/>
          <w:szCs w:val="22"/>
        </w:rPr>
        <w:t>13</w:t>
      </w:r>
      <w:r w:rsidR="00837790" w:rsidRPr="009C55E1">
        <w:rPr>
          <w:rFonts w:cs="Arial"/>
          <w:szCs w:val="22"/>
          <w:lang w:eastAsia="en-AU"/>
        </w:rPr>
        <w:t>, caused by multiple years of above-average rainfall</w:t>
      </w:r>
      <w:r w:rsidR="00A42D0C">
        <w:rPr>
          <w:rFonts w:cs="Arial"/>
          <w:szCs w:val="22"/>
          <w:lang w:eastAsia="en-AU"/>
        </w:rPr>
        <w:t>,</w:t>
      </w:r>
      <w:r w:rsidR="00837790" w:rsidRPr="009C55E1">
        <w:rPr>
          <w:rFonts w:cs="Arial"/>
          <w:szCs w:val="22"/>
          <w:lang w:eastAsia="en-AU"/>
        </w:rPr>
        <w:t xml:space="preserve"> </w:t>
      </w:r>
      <w:r w:rsidR="00A42D0C">
        <w:rPr>
          <w:rFonts w:cs="Arial"/>
          <w:szCs w:val="22"/>
          <w:lang w:eastAsia="en-AU"/>
        </w:rPr>
        <w:t xml:space="preserve">and resultant discharges of poor quality </w:t>
      </w:r>
      <w:r w:rsidR="00A42D0C">
        <w:rPr>
          <w:rFonts w:cs="Arial"/>
          <w:szCs w:val="22"/>
          <w:lang w:eastAsia="en-AU"/>
        </w:rPr>
        <w:lastRenderedPageBreak/>
        <w:t xml:space="preserve">water, </w:t>
      </w:r>
      <w:r w:rsidR="00837790" w:rsidRPr="009C55E1">
        <w:rPr>
          <w:rFonts w:cs="Arial"/>
          <w:szCs w:val="22"/>
          <w:lang w:eastAsia="en-AU"/>
        </w:rPr>
        <w:t xml:space="preserve">followed by </w:t>
      </w:r>
      <w:r w:rsidR="00837790" w:rsidRPr="009C55E1">
        <w:rPr>
          <w:rFonts w:cs="Arial"/>
          <w:szCs w:val="22"/>
        </w:rPr>
        <w:t>extreme weather events, after which abundances increased (</w:t>
      </w:r>
      <w:r w:rsidR="00837790" w:rsidRPr="009C55E1">
        <w:rPr>
          <w:rFonts w:cs="Arial"/>
          <w:szCs w:val="22"/>
        </w:rPr>
        <w:fldChar w:fldCharType="begin"/>
      </w:r>
      <w:r w:rsidR="00837790" w:rsidRPr="009C55E1">
        <w:rPr>
          <w:rFonts w:cs="Arial"/>
          <w:szCs w:val="22"/>
        </w:rPr>
        <w:instrText xml:space="preserve"> REF _Ref536800910 \h </w:instrText>
      </w:r>
      <w:r w:rsidR="00CB093C" w:rsidRPr="009C55E1">
        <w:rPr>
          <w:rFonts w:cs="Arial"/>
          <w:szCs w:val="22"/>
        </w:rPr>
        <w:instrText xml:space="preserve"> \* MERGEFORMAT </w:instrText>
      </w:r>
      <w:r w:rsidR="00837790" w:rsidRPr="009C55E1">
        <w:rPr>
          <w:rFonts w:cs="Arial"/>
          <w:szCs w:val="22"/>
        </w:rPr>
      </w:r>
      <w:r w:rsidR="00837790"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837790" w:rsidRPr="009C55E1">
        <w:rPr>
          <w:rFonts w:cs="Arial"/>
          <w:szCs w:val="22"/>
        </w:rPr>
        <w:fldChar w:fldCharType="end"/>
      </w:r>
      <w:r w:rsidR="00837790" w:rsidRPr="009C55E1">
        <w:rPr>
          <w:rFonts w:cs="Arial"/>
          <w:szCs w:val="22"/>
        </w:rPr>
        <w:t xml:space="preserve">, </w:t>
      </w:r>
      <w:r w:rsidR="00837790" w:rsidRPr="009C55E1">
        <w:rPr>
          <w:rFonts w:cs="Arial"/>
          <w:szCs w:val="22"/>
        </w:rPr>
        <w:fldChar w:fldCharType="begin"/>
      </w:r>
      <w:r w:rsidR="00837790" w:rsidRPr="009C55E1">
        <w:rPr>
          <w:rFonts w:cs="Arial"/>
          <w:szCs w:val="22"/>
        </w:rPr>
        <w:instrText xml:space="preserve"> REF _Ref442456518 \h </w:instrText>
      </w:r>
      <w:r w:rsidR="00CB093C" w:rsidRPr="009C55E1">
        <w:rPr>
          <w:rFonts w:cs="Arial"/>
          <w:szCs w:val="22"/>
        </w:rPr>
        <w:instrText xml:space="preserve"> \* MERGEFORMAT </w:instrText>
      </w:r>
      <w:r w:rsidR="00837790" w:rsidRPr="009C55E1">
        <w:rPr>
          <w:rFonts w:cs="Arial"/>
          <w:szCs w:val="22"/>
        </w:rPr>
      </w:r>
      <w:r w:rsidR="00837790" w:rsidRPr="009C55E1">
        <w:rPr>
          <w:rFonts w:cs="Arial"/>
          <w:szCs w:val="22"/>
        </w:rPr>
        <w:fldChar w:fldCharType="separate"/>
      </w:r>
      <w:r w:rsidR="0067675D" w:rsidRPr="009C55E1">
        <w:rPr>
          <w:rFonts w:cs="Arial"/>
          <w:szCs w:val="22"/>
        </w:rPr>
        <w:t xml:space="preserve">Figure </w:t>
      </w:r>
      <w:r w:rsidR="0067675D">
        <w:rPr>
          <w:rFonts w:cs="Arial"/>
          <w:noProof/>
          <w:szCs w:val="22"/>
        </w:rPr>
        <w:t>17</w:t>
      </w:r>
      <w:r w:rsidR="00837790" w:rsidRPr="009C55E1">
        <w:rPr>
          <w:rFonts w:cs="Arial"/>
          <w:szCs w:val="22"/>
        </w:rPr>
        <w:fldChar w:fldCharType="end"/>
      </w:r>
      <w:r w:rsidR="00837790" w:rsidRPr="009C55E1">
        <w:rPr>
          <w:rFonts w:cs="Arial"/>
          <w:szCs w:val="22"/>
        </w:rPr>
        <w:t xml:space="preserve">b). Based on the average score against the seagrass guidelines (determined at the site level), the abundance of inshore seagrass in the </w:t>
      </w:r>
      <w:r w:rsidR="00F206BF" w:rsidRPr="009C55E1">
        <w:rPr>
          <w:rFonts w:cs="Arial"/>
          <w:szCs w:val="22"/>
        </w:rPr>
        <w:t>Reef</w:t>
      </w:r>
      <w:r w:rsidR="00837790" w:rsidRPr="009C55E1">
        <w:rPr>
          <w:rFonts w:cs="Arial"/>
          <w:szCs w:val="22"/>
        </w:rPr>
        <w:t xml:space="preserve"> over the </w:t>
      </w:r>
      <w:r w:rsidR="00956639" w:rsidRPr="009C55E1">
        <w:rPr>
          <w:rFonts w:cs="Arial"/>
          <w:color w:val="000000" w:themeColor="text1"/>
          <w:szCs w:val="22"/>
        </w:rPr>
        <w:t>2018–19</w:t>
      </w:r>
      <w:r w:rsidR="00837790" w:rsidRPr="009C55E1">
        <w:rPr>
          <w:rFonts w:cs="Arial"/>
          <w:color w:val="000000" w:themeColor="text1"/>
          <w:szCs w:val="22"/>
        </w:rPr>
        <w:t xml:space="preserve"> period remained in a moderate grade (</w:t>
      </w:r>
      <w:r w:rsidR="00837790" w:rsidRPr="009C55E1">
        <w:rPr>
          <w:rFonts w:cs="Arial"/>
          <w:szCs w:val="22"/>
        </w:rPr>
        <w:fldChar w:fldCharType="begin"/>
      </w:r>
      <w:r w:rsidR="00837790" w:rsidRPr="009C55E1">
        <w:rPr>
          <w:rFonts w:cs="Arial"/>
          <w:szCs w:val="22"/>
        </w:rPr>
        <w:instrText xml:space="preserve"> REF _Ref536800910 \h </w:instrText>
      </w:r>
      <w:r w:rsidR="00CB093C" w:rsidRPr="009C55E1">
        <w:rPr>
          <w:rFonts w:cs="Arial"/>
          <w:szCs w:val="22"/>
        </w:rPr>
        <w:instrText xml:space="preserve"> \* MERGEFORMAT </w:instrText>
      </w:r>
      <w:r w:rsidR="00837790" w:rsidRPr="009C55E1">
        <w:rPr>
          <w:rFonts w:cs="Arial"/>
          <w:szCs w:val="22"/>
        </w:rPr>
      </w:r>
      <w:r w:rsidR="00837790"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837790" w:rsidRPr="009C55E1">
        <w:rPr>
          <w:rFonts w:cs="Arial"/>
          <w:szCs w:val="22"/>
        </w:rPr>
        <w:fldChar w:fldCharType="end"/>
      </w:r>
      <w:r w:rsidR="00595824">
        <w:rPr>
          <w:rFonts w:cs="Arial"/>
          <w:color w:val="000000" w:themeColor="text1"/>
          <w:szCs w:val="22"/>
        </w:rPr>
        <w:t>).</w:t>
      </w:r>
    </w:p>
    <w:p w14:paraId="4D7E5923" w14:textId="3F60AF6F" w:rsidR="0035787B" w:rsidRPr="009C55E1" w:rsidRDefault="00837790" w:rsidP="003F4D32">
      <w:pPr>
        <w:numPr>
          <w:ilvl w:val="0"/>
          <w:numId w:val="19"/>
        </w:numPr>
        <w:autoSpaceDE w:val="0"/>
        <w:autoSpaceDN w:val="0"/>
        <w:adjustRightInd w:val="0"/>
        <w:rPr>
          <w:rFonts w:cs="Arial"/>
          <w:szCs w:val="22"/>
          <w:lang w:eastAsia="en-AU"/>
        </w:rPr>
      </w:pPr>
      <w:r w:rsidRPr="009C55E1">
        <w:rPr>
          <w:rFonts w:cs="Arial"/>
          <w:szCs w:val="22"/>
          <w:lang w:eastAsia="x-none"/>
        </w:rPr>
        <w:t xml:space="preserve">The </w:t>
      </w:r>
      <w:r w:rsidR="00956639" w:rsidRPr="009C55E1">
        <w:rPr>
          <w:rFonts w:cs="Arial"/>
          <w:szCs w:val="22"/>
          <w:lang w:eastAsia="x-none"/>
        </w:rPr>
        <w:t>2018–19</w:t>
      </w:r>
      <w:r w:rsidRPr="009C55E1">
        <w:rPr>
          <w:rFonts w:cs="Arial"/>
          <w:szCs w:val="22"/>
          <w:lang w:eastAsia="x-none"/>
        </w:rPr>
        <w:t xml:space="preserve"> year was</w:t>
      </w:r>
      <w:r w:rsidR="00A97774" w:rsidRPr="009C55E1">
        <w:rPr>
          <w:rFonts w:cs="Arial"/>
          <w:szCs w:val="22"/>
          <w:lang w:eastAsia="x-none"/>
        </w:rPr>
        <w:t xml:space="preserve"> the </w:t>
      </w:r>
      <w:r w:rsidR="003A03FE" w:rsidRPr="009C55E1">
        <w:rPr>
          <w:rFonts w:cs="Arial"/>
          <w:szCs w:val="22"/>
          <w:lang w:eastAsia="x-none"/>
        </w:rPr>
        <w:t>fifth</w:t>
      </w:r>
      <w:r w:rsidR="00A97774" w:rsidRPr="009C55E1">
        <w:rPr>
          <w:rFonts w:cs="Arial"/>
          <w:szCs w:val="22"/>
          <w:lang w:eastAsia="x-none"/>
        </w:rPr>
        <w:t xml:space="preserve"> consecutive year of declining reproductive effort (</w:t>
      </w:r>
      <w:r w:rsidR="00A97774" w:rsidRPr="009C55E1">
        <w:rPr>
          <w:rFonts w:cs="Arial"/>
          <w:szCs w:val="22"/>
        </w:rPr>
        <w:fldChar w:fldCharType="begin"/>
      </w:r>
      <w:r w:rsidR="00A97774" w:rsidRPr="009C55E1">
        <w:rPr>
          <w:rFonts w:cs="Arial"/>
          <w:szCs w:val="22"/>
        </w:rPr>
        <w:instrText xml:space="preserve"> REF _Ref536800910 \h </w:instrText>
      </w:r>
      <w:r w:rsidR="00CB093C" w:rsidRPr="009C55E1">
        <w:rPr>
          <w:rFonts w:cs="Arial"/>
          <w:szCs w:val="22"/>
        </w:rPr>
        <w:instrText xml:space="preserve"> \* MERGEFORMAT </w:instrText>
      </w:r>
      <w:r w:rsidR="00A97774" w:rsidRPr="009C55E1">
        <w:rPr>
          <w:rFonts w:cs="Arial"/>
          <w:szCs w:val="22"/>
        </w:rPr>
      </w:r>
      <w:r w:rsidR="00A97774"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A97774" w:rsidRPr="009C55E1">
        <w:rPr>
          <w:rFonts w:cs="Arial"/>
          <w:szCs w:val="22"/>
        </w:rPr>
        <w:fldChar w:fldCharType="end"/>
      </w:r>
      <w:r w:rsidR="00A97774" w:rsidRPr="009C55E1">
        <w:rPr>
          <w:rFonts w:cs="Arial"/>
          <w:szCs w:val="22"/>
        </w:rPr>
        <w:t>)</w:t>
      </w:r>
      <w:r w:rsidR="00A97774" w:rsidRPr="009C55E1">
        <w:rPr>
          <w:rFonts w:cs="Arial"/>
          <w:szCs w:val="22"/>
          <w:lang w:eastAsia="x-none"/>
        </w:rPr>
        <w:t xml:space="preserve">. </w:t>
      </w:r>
      <w:r w:rsidR="00AC1C6D" w:rsidRPr="009C55E1">
        <w:rPr>
          <w:rFonts w:cs="Arial"/>
          <w:szCs w:val="22"/>
        </w:rPr>
        <w:t xml:space="preserve">Reef-wide reproductive effort in </w:t>
      </w:r>
      <w:r w:rsidR="00956639" w:rsidRPr="009C55E1">
        <w:rPr>
          <w:rFonts w:cs="Arial"/>
          <w:szCs w:val="22"/>
        </w:rPr>
        <w:t>2018–19</w:t>
      </w:r>
      <w:r w:rsidR="00C81636" w:rsidRPr="009C55E1">
        <w:rPr>
          <w:rFonts w:cs="Arial"/>
          <w:szCs w:val="22"/>
        </w:rPr>
        <w:t xml:space="preserve"> </w:t>
      </w:r>
      <w:r w:rsidR="00AC1C6D" w:rsidRPr="009C55E1">
        <w:rPr>
          <w:rFonts w:cs="Arial"/>
          <w:szCs w:val="22"/>
        </w:rPr>
        <w:t>remained very poor</w:t>
      </w:r>
      <w:r w:rsidR="0035787B" w:rsidRPr="009C55E1">
        <w:rPr>
          <w:rFonts w:cs="Arial"/>
          <w:szCs w:val="22"/>
        </w:rPr>
        <w:t xml:space="preserve"> (</w:t>
      </w:r>
      <w:r w:rsidR="0035787B" w:rsidRPr="009C55E1">
        <w:rPr>
          <w:rFonts w:cs="Arial"/>
          <w:szCs w:val="22"/>
        </w:rPr>
        <w:fldChar w:fldCharType="begin"/>
      </w:r>
      <w:r w:rsidR="0035787B" w:rsidRPr="009C55E1">
        <w:rPr>
          <w:rFonts w:cs="Arial"/>
          <w:szCs w:val="22"/>
        </w:rPr>
        <w:instrText xml:space="preserve"> REF _Ref536800910 \h </w:instrText>
      </w:r>
      <w:r w:rsidR="00CB093C" w:rsidRPr="009C55E1">
        <w:rPr>
          <w:rFonts w:cs="Arial"/>
          <w:szCs w:val="22"/>
        </w:rPr>
        <w:instrText xml:space="preserve"> \* MERGEFORMAT </w:instrText>
      </w:r>
      <w:r w:rsidR="0035787B" w:rsidRPr="009C55E1">
        <w:rPr>
          <w:rFonts w:cs="Arial"/>
          <w:szCs w:val="22"/>
        </w:rPr>
      </w:r>
      <w:r w:rsidR="0035787B"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35787B" w:rsidRPr="009C55E1">
        <w:rPr>
          <w:rFonts w:cs="Arial"/>
          <w:szCs w:val="22"/>
        </w:rPr>
        <w:fldChar w:fldCharType="end"/>
      </w:r>
      <w:r w:rsidR="0035787B" w:rsidRPr="009C55E1">
        <w:rPr>
          <w:rFonts w:cs="Arial"/>
          <w:szCs w:val="22"/>
        </w:rPr>
        <w:t>)</w:t>
      </w:r>
      <w:r w:rsidR="00AC1C6D" w:rsidRPr="009C55E1">
        <w:rPr>
          <w:rFonts w:cs="Arial"/>
          <w:szCs w:val="22"/>
        </w:rPr>
        <w:t xml:space="preserve">. </w:t>
      </w:r>
      <w:r w:rsidR="0035787B" w:rsidRPr="009C55E1">
        <w:rPr>
          <w:rFonts w:cs="Arial"/>
          <w:szCs w:val="22"/>
        </w:rPr>
        <w:t>Low reproductive effort will hinder replenishment of the depauperate seed banks, and seed banks are therefore likely to remain low in coming years. Most meadows can be considered vulnerable to further disturbances because of their limited capacity to recover f</w:t>
      </w:r>
      <w:r w:rsidR="00595824">
        <w:rPr>
          <w:rFonts w:cs="Arial"/>
          <w:szCs w:val="22"/>
        </w:rPr>
        <w:t>rom seed (i.e. low resilience).</w:t>
      </w:r>
    </w:p>
    <w:p w14:paraId="032E7C18" w14:textId="393411E3" w:rsidR="0035787B" w:rsidRPr="009C55E1" w:rsidRDefault="00837790" w:rsidP="003F4D32">
      <w:pPr>
        <w:numPr>
          <w:ilvl w:val="0"/>
          <w:numId w:val="19"/>
        </w:numPr>
        <w:autoSpaceDE w:val="0"/>
        <w:autoSpaceDN w:val="0"/>
        <w:adjustRightInd w:val="0"/>
        <w:rPr>
          <w:rFonts w:cs="Arial"/>
          <w:iCs/>
          <w:color w:val="000000" w:themeColor="text1"/>
          <w:szCs w:val="22"/>
        </w:rPr>
      </w:pPr>
      <w:r w:rsidRPr="009C55E1">
        <w:rPr>
          <w:rFonts w:cs="Arial"/>
          <w:szCs w:val="22"/>
          <w:lang w:eastAsia="x-none"/>
        </w:rPr>
        <w:t xml:space="preserve">The regression in tissue nutrients follows </w:t>
      </w:r>
      <w:r w:rsidR="001C4E89" w:rsidRPr="009C55E1">
        <w:rPr>
          <w:rFonts w:cs="Arial"/>
          <w:szCs w:val="22"/>
          <w:lang w:eastAsia="x-none"/>
        </w:rPr>
        <w:t>an improving trend since 2010–</w:t>
      </w:r>
      <w:r w:rsidR="00056F8D" w:rsidRPr="009C55E1">
        <w:rPr>
          <w:rFonts w:cs="Arial"/>
          <w:szCs w:val="22"/>
          <w:lang w:eastAsia="x-none"/>
        </w:rPr>
        <w:t>20</w:t>
      </w:r>
      <w:r w:rsidR="001C4E89" w:rsidRPr="009C55E1">
        <w:rPr>
          <w:rFonts w:cs="Arial"/>
          <w:szCs w:val="22"/>
          <w:lang w:eastAsia="x-none"/>
        </w:rPr>
        <w:t>11</w:t>
      </w:r>
      <w:r w:rsidR="009A783A" w:rsidRPr="009C55E1">
        <w:rPr>
          <w:rFonts w:cs="Arial"/>
          <w:szCs w:val="22"/>
          <w:lang w:eastAsia="x-none"/>
        </w:rPr>
        <w:t xml:space="preserve"> </w:t>
      </w:r>
      <w:r w:rsidRPr="009C55E1">
        <w:rPr>
          <w:rFonts w:cs="Arial"/>
          <w:szCs w:val="22"/>
          <w:lang w:eastAsia="x-none"/>
        </w:rPr>
        <w:t>(</w:t>
      </w:r>
      <w:r w:rsidRPr="009C55E1">
        <w:rPr>
          <w:rFonts w:cs="Arial"/>
          <w:szCs w:val="22"/>
        </w:rPr>
        <w:fldChar w:fldCharType="begin"/>
      </w:r>
      <w:r w:rsidRPr="009C55E1">
        <w:rPr>
          <w:rFonts w:cs="Arial"/>
          <w:szCs w:val="22"/>
        </w:rPr>
        <w:instrText xml:space="preserve"> REF _Ref536800910 \h </w:instrText>
      </w:r>
      <w:r w:rsidR="00CB093C" w:rsidRPr="009C55E1">
        <w:rPr>
          <w:rFonts w:cs="Arial"/>
          <w:szCs w:val="22"/>
        </w:rPr>
        <w:instrText xml:space="preserve"> \* MERGEFORMAT </w:instrText>
      </w:r>
      <w:r w:rsidRPr="009C55E1">
        <w:rPr>
          <w:rFonts w:cs="Arial"/>
          <w:szCs w:val="22"/>
        </w:rPr>
      </w:r>
      <w:r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Pr="009C55E1">
        <w:rPr>
          <w:rFonts w:cs="Arial"/>
          <w:szCs w:val="22"/>
        </w:rPr>
        <w:fldChar w:fldCharType="end"/>
      </w:r>
      <w:r w:rsidRPr="009C55E1">
        <w:rPr>
          <w:rFonts w:cs="Arial"/>
          <w:szCs w:val="22"/>
        </w:rPr>
        <w:t>)</w:t>
      </w:r>
      <w:r w:rsidRPr="009C55E1">
        <w:rPr>
          <w:rFonts w:cs="Arial"/>
          <w:szCs w:val="22"/>
          <w:lang w:eastAsia="x-none"/>
        </w:rPr>
        <w:t xml:space="preserve">. </w:t>
      </w:r>
      <w:r w:rsidR="0035787B" w:rsidRPr="009C55E1">
        <w:rPr>
          <w:rFonts w:cs="Arial"/>
          <w:szCs w:val="22"/>
        </w:rPr>
        <w:t>The seagrass leaf tissue nutrient indicator (C:N ratio) decrease</w:t>
      </w:r>
      <w:r w:rsidR="001C4E89" w:rsidRPr="009C55E1">
        <w:rPr>
          <w:rFonts w:cs="Arial"/>
          <w:szCs w:val="22"/>
        </w:rPr>
        <w:t>d</w:t>
      </w:r>
      <w:r w:rsidR="0035787B" w:rsidRPr="009C55E1">
        <w:rPr>
          <w:rFonts w:cs="Arial"/>
          <w:szCs w:val="22"/>
        </w:rPr>
        <w:t xml:space="preserve"> in late 2017 from the previous year, but remained </w:t>
      </w:r>
      <w:r w:rsidR="00EF6C56" w:rsidRPr="009C55E1">
        <w:rPr>
          <w:rFonts w:cs="Arial"/>
          <w:szCs w:val="22"/>
        </w:rPr>
        <w:t xml:space="preserve">unchanged in 2018-19 in a </w:t>
      </w:r>
      <w:r w:rsidR="0035787B" w:rsidRPr="009C55E1">
        <w:rPr>
          <w:rFonts w:cs="Arial"/>
          <w:szCs w:val="22"/>
        </w:rPr>
        <w:t xml:space="preserve">poor </w:t>
      </w:r>
      <w:r w:rsidR="00EF6C56" w:rsidRPr="009C55E1">
        <w:rPr>
          <w:rFonts w:cs="Arial"/>
          <w:szCs w:val="22"/>
        </w:rPr>
        <w:t xml:space="preserve">state </w:t>
      </w:r>
      <w:r w:rsidR="0035787B" w:rsidRPr="009C55E1">
        <w:rPr>
          <w:rFonts w:cs="Arial"/>
          <w:szCs w:val="22"/>
        </w:rPr>
        <w:t xml:space="preserve">for the </w:t>
      </w:r>
      <w:r w:rsidR="00EF6C56" w:rsidRPr="009C55E1">
        <w:rPr>
          <w:rFonts w:cs="Arial"/>
          <w:szCs w:val="22"/>
        </w:rPr>
        <w:t xml:space="preserve">twelfth </w:t>
      </w:r>
      <w:r w:rsidR="0035787B" w:rsidRPr="009C55E1">
        <w:rPr>
          <w:rFonts w:cs="Arial"/>
          <w:szCs w:val="22"/>
        </w:rPr>
        <w:t>consecutive year (</w:t>
      </w:r>
      <w:r w:rsidR="0035787B" w:rsidRPr="009C55E1">
        <w:rPr>
          <w:rFonts w:cs="Arial"/>
          <w:szCs w:val="22"/>
        </w:rPr>
        <w:fldChar w:fldCharType="begin"/>
      </w:r>
      <w:r w:rsidR="0035787B" w:rsidRPr="009C55E1">
        <w:rPr>
          <w:rFonts w:cs="Arial"/>
          <w:szCs w:val="22"/>
        </w:rPr>
        <w:instrText xml:space="preserve"> REF _Ref536800910 \h </w:instrText>
      </w:r>
      <w:r w:rsidR="00CB093C" w:rsidRPr="009C55E1">
        <w:rPr>
          <w:rFonts w:cs="Arial"/>
          <w:szCs w:val="22"/>
        </w:rPr>
        <w:instrText xml:space="preserve"> \* MERGEFORMAT </w:instrText>
      </w:r>
      <w:r w:rsidR="0035787B" w:rsidRPr="009C55E1">
        <w:rPr>
          <w:rFonts w:cs="Arial"/>
          <w:szCs w:val="22"/>
        </w:rPr>
      </w:r>
      <w:r w:rsidR="0035787B" w:rsidRPr="009C55E1">
        <w:rPr>
          <w:rFonts w:cs="Arial"/>
          <w:szCs w:val="22"/>
        </w:rPr>
        <w:fldChar w:fldCharType="separate"/>
      </w:r>
      <w:r w:rsidR="0067675D" w:rsidRPr="009C55E1">
        <w:rPr>
          <w:rFonts w:cs="Arial"/>
          <w:szCs w:val="22"/>
        </w:rPr>
        <w:t xml:space="preserve">Figure </w:t>
      </w:r>
      <w:r w:rsidR="0067675D">
        <w:rPr>
          <w:rFonts w:cs="Arial"/>
          <w:noProof/>
          <w:szCs w:val="22"/>
        </w:rPr>
        <w:t>15</w:t>
      </w:r>
      <w:r w:rsidR="0035787B" w:rsidRPr="009C55E1">
        <w:rPr>
          <w:rFonts w:cs="Arial"/>
          <w:szCs w:val="22"/>
        </w:rPr>
        <w:fldChar w:fldCharType="end"/>
      </w:r>
      <w:r w:rsidR="0035787B" w:rsidRPr="009C55E1">
        <w:rPr>
          <w:rFonts w:cs="Arial"/>
          <w:szCs w:val="22"/>
        </w:rPr>
        <w:t>). This indicates an elevation in the availability of nitrogen at some locations, relative to the rate at which the leaves are growing and incorporating carbon. In most locations</w:t>
      </w:r>
      <w:r w:rsidR="003713E3" w:rsidRPr="009C55E1">
        <w:rPr>
          <w:rFonts w:cs="Arial"/>
          <w:szCs w:val="22"/>
        </w:rPr>
        <w:t>,</w:t>
      </w:r>
      <w:r w:rsidR="0035787B" w:rsidRPr="009C55E1">
        <w:rPr>
          <w:rFonts w:cs="Arial"/>
          <w:szCs w:val="22"/>
        </w:rPr>
        <w:t xml:space="preserve"> </w:t>
      </w:r>
      <w:r w:rsidR="00194413" w:rsidRPr="009C55E1">
        <w:rPr>
          <w:rFonts w:cs="Arial"/>
          <w:color w:val="000000" w:themeColor="text1"/>
          <w:szCs w:val="22"/>
        </w:rPr>
        <w:t>δ</w:t>
      </w:r>
      <w:r w:rsidR="00194413" w:rsidRPr="009C55E1">
        <w:rPr>
          <w:rFonts w:cs="Arial"/>
          <w:color w:val="000000" w:themeColor="text1"/>
          <w:szCs w:val="22"/>
          <w:vertAlign w:val="superscript"/>
        </w:rPr>
        <w:t>15</w:t>
      </w:r>
      <w:r w:rsidR="00194413" w:rsidRPr="009C55E1">
        <w:rPr>
          <w:rFonts w:cs="Arial"/>
          <w:color w:val="000000" w:themeColor="text1"/>
          <w:szCs w:val="22"/>
        </w:rPr>
        <w:t>N values suggest diverse sources of nitrogen affecting nitrogen availability</w:t>
      </w:r>
      <w:r w:rsidR="0035787B" w:rsidRPr="009C55E1">
        <w:rPr>
          <w:rFonts w:cs="Arial"/>
          <w:iCs/>
          <w:color w:val="000000" w:themeColor="text1"/>
          <w:szCs w:val="22"/>
        </w:rPr>
        <w:t>.</w:t>
      </w:r>
    </w:p>
    <w:p w14:paraId="4094D5F9" w14:textId="7D1A328E" w:rsidR="00CE334D" w:rsidRPr="009C55E1" w:rsidRDefault="00CE334D" w:rsidP="00D2585E">
      <w:pPr>
        <w:autoSpaceDE w:val="0"/>
        <w:autoSpaceDN w:val="0"/>
        <w:adjustRightInd w:val="0"/>
        <w:rPr>
          <w:rFonts w:cs="Arial"/>
          <w:szCs w:val="22"/>
          <w:lang w:eastAsia="en-AU"/>
        </w:rPr>
      </w:pPr>
      <w:r w:rsidRPr="009C55E1">
        <w:rPr>
          <w:rFonts w:cs="Arial"/>
          <w:szCs w:val="22"/>
          <w:lang w:eastAsia="en-AU"/>
        </w:rPr>
        <w:t>Trends in seagrass abundance and tissue nutrients demonstrate that until 2016–</w:t>
      </w:r>
      <w:r w:rsidR="00056F8D" w:rsidRPr="009C55E1">
        <w:rPr>
          <w:rFonts w:cs="Arial"/>
          <w:szCs w:val="22"/>
          <w:lang w:eastAsia="en-AU"/>
        </w:rPr>
        <w:t>20</w:t>
      </w:r>
      <w:r w:rsidRPr="009C55E1">
        <w:rPr>
          <w:rFonts w:cs="Arial"/>
          <w:szCs w:val="22"/>
          <w:lang w:eastAsia="en-AU"/>
        </w:rPr>
        <w:t xml:space="preserve">17, the system was on a recovering trajectory. </w:t>
      </w:r>
      <w:r w:rsidR="003A03FE" w:rsidRPr="009C55E1">
        <w:rPr>
          <w:rFonts w:cs="Arial"/>
          <w:szCs w:val="22"/>
          <w:lang w:eastAsia="en-AU"/>
        </w:rPr>
        <w:t>However,</w:t>
      </w:r>
      <w:r w:rsidRPr="009C55E1">
        <w:rPr>
          <w:rFonts w:cs="Arial"/>
          <w:szCs w:val="22"/>
          <w:lang w:eastAsia="en-AU"/>
        </w:rPr>
        <w:t xml:space="preserve"> </w:t>
      </w:r>
      <w:r w:rsidR="00483325" w:rsidRPr="009C55E1">
        <w:rPr>
          <w:rFonts w:cs="Arial"/>
          <w:szCs w:val="22"/>
          <w:lang w:eastAsia="en-AU"/>
        </w:rPr>
        <w:t>since</w:t>
      </w:r>
      <w:r w:rsidRPr="009C55E1">
        <w:rPr>
          <w:rFonts w:cs="Arial"/>
          <w:szCs w:val="22"/>
          <w:lang w:eastAsia="en-AU"/>
        </w:rPr>
        <w:t xml:space="preserve"> </w:t>
      </w:r>
      <w:r w:rsidR="00956639" w:rsidRPr="009C55E1">
        <w:rPr>
          <w:rFonts w:cs="Arial"/>
          <w:szCs w:val="22"/>
          <w:lang w:eastAsia="en-AU"/>
        </w:rPr>
        <w:t>201</w:t>
      </w:r>
      <w:r w:rsidR="00483325" w:rsidRPr="009C55E1">
        <w:rPr>
          <w:rFonts w:cs="Arial"/>
          <w:szCs w:val="22"/>
          <w:lang w:eastAsia="en-AU"/>
        </w:rPr>
        <w:t>7</w:t>
      </w:r>
      <w:r w:rsidR="00956639" w:rsidRPr="009C55E1">
        <w:rPr>
          <w:rFonts w:cs="Arial"/>
          <w:szCs w:val="22"/>
          <w:lang w:eastAsia="en-AU"/>
        </w:rPr>
        <w:t>–1</w:t>
      </w:r>
      <w:r w:rsidR="00483325" w:rsidRPr="009C55E1">
        <w:rPr>
          <w:rFonts w:cs="Arial"/>
          <w:szCs w:val="22"/>
          <w:lang w:eastAsia="en-AU"/>
        </w:rPr>
        <w:t>8</w:t>
      </w:r>
      <w:r w:rsidRPr="009C55E1">
        <w:rPr>
          <w:rFonts w:cs="Arial"/>
          <w:szCs w:val="22"/>
          <w:lang w:eastAsia="en-AU"/>
        </w:rPr>
        <w:t>, declines in abundance, tissue nutrients and continued very low reproductive effort throughout most of the Reef, may signal that inshore seagrass resilience has decreased and recovery processes may be further hampered following future disturbances.</w:t>
      </w:r>
    </w:p>
    <w:p w14:paraId="3B0CB1DC" w14:textId="77777777" w:rsidR="00FF5EB0" w:rsidRPr="009C55E1" w:rsidRDefault="00FF5EB0" w:rsidP="00FF5EB0">
      <w:pPr>
        <w:tabs>
          <w:tab w:val="left" w:pos="6804"/>
        </w:tabs>
        <w:rPr>
          <w:rFonts w:cs="Arial"/>
          <w:color w:val="000000" w:themeColor="text1"/>
          <w:szCs w:val="22"/>
        </w:rPr>
      </w:pPr>
    </w:p>
    <w:p w14:paraId="711012D8" w14:textId="77777777" w:rsidR="00FF5EB0" w:rsidRPr="009C55E1" w:rsidRDefault="00FF5EB0" w:rsidP="00FF5EB0">
      <w:pPr>
        <w:jc w:val="center"/>
        <w:rPr>
          <w:rFonts w:cs="Arial"/>
          <w:color w:val="000000"/>
          <w:szCs w:val="22"/>
        </w:rPr>
      </w:pPr>
      <w:r w:rsidRPr="009C55E1">
        <w:rPr>
          <w:rFonts w:cs="Arial"/>
          <w:noProof/>
          <w:color w:val="000000"/>
          <w:szCs w:val="22"/>
          <w:lang w:eastAsia="en-AU"/>
        </w:rPr>
        <w:lastRenderedPageBreak/>
        <w:drawing>
          <wp:inline distT="0" distB="0" distL="0" distR="0" wp14:anchorId="15DC3D0B" wp14:editId="6CACD906">
            <wp:extent cx="4608947" cy="3027445"/>
            <wp:effectExtent l="0" t="0" r="1270" b="1905"/>
            <wp:docPr id="20" name="Picture 20" descr="Line plot of Reef-wide seagrass condition index (± standard error) with contributing indicator scores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NDEX_GBR_2016.png"/>
                    <pic:cNvPicPr/>
                  </pic:nvPicPr>
                  <pic:blipFill>
                    <a:blip r:embed="rId24"/>
                    <a:stretch>
                      <a:fillRect/>
                    </a:stretch>
                  </pic:blipFill>
                  <pic:spPr>
                    <a:xfrm>
                      <a:off x="0" y="0"/>
                      <a:ext cx="4608947" cy="3027445"/>
                    </a:xfrm>
                    <a:prstGeom prst="rect">
                      <a:avLst/>
                    </a:prstGeom>
                  </pic:spPr>
                </pic:pic>
              </a:graphicData>
            </a:graphic>
          </wp:inline>
        </w:drawing>
      </w:r>
    </w:p>
    <w:p w14:paraId="10AFE514" w14:textId="61BD15F6" w:rsidR="00FF5EB0" w:rsidRPr="009C55E1" w:rsidRDefault="00FF5EB0" w:rsidP="00FF5EB0">
      <w:pPr>
        <w:rPr>
          <w:rFonts w:cs="Arial"/>
          <w:i/>
          <w:vanish/>
          <w:color w:val="000000"/>
          <w:szCs w:val="22"/>
          <w:specVanish/>
        </w:rPr>
      </w:pPr>
      <w:bookmarkStart w:id="221" w:name="_Ref536800910"/>
      <w:bookmarkStart w:id="222" w:name="_Toc38634119"/>
      <w:r w:rsidRPr="009C55E1">
        <w:rPr>
          <w:rFonts w:cs="Arial"/>
          <w:szCs w:val="22"/>
        </w:rPr>
        <w:t xml:space="preserve">Figure </w:t>
      </w:r>
      <w:r w:rsidRPr="009C55E1">
        <w:rPr>
          <w:rFonts w:cs="Arial"/>
          <w:szCs w:val="22"/>
        </w:rPr>
        <w:fldChar w:fldCharType="begin"/>
      </w:r>
      <w:r w:rsidRPr="009C55E1">
        <w:rPr>
          <w:rFonts w:cs="Arial"/>
          <w:szCs w:val="22"/>
        </w:rPr>
        <w:instrText xml:space="preserve"> SEQ Figure \* ARABIC </w:instrText>
      </w:r>
      <w:r w:rsidRPr="009C55E1">
        <w:rPr>
          <w:rFonts w:cs="Arial"/>
          <w:szCs w:val="22"/>
        </w:rPr>
        <w:fldChar w:fldCharType="separate"/>
      </w:r>
      <w:r w:rsidR="0067675D">
        <w:rPr>
          <w:rFonts w:cs="Arial"/>
          <w:noProof/>
          <w:szCs w:val="22"/>
        </w:rPr>
        <w:t>15</w:t>
      </w:r>
      <w:r w:rsidRPr="009C55E1">
        <w:rPr>
          <w:rFonts w:cs="Arial"/>
          <w:szCs w:val="22"/>
        </w:rPr>
        <w:fldChar w:fldCharType="end"/>
      </w:r>
      <w:bookmarkEnd w:id="221"/>
      <w:r w:rsidRPr="009C55E1">
        <w:rPr>
          <w:rFonts w:cs="Arial"/>
          <w:szCs w:val="22"/>
        </w:rPr>
        <w:t xml:space="preserve">. </w:t>
      </w:r>
      <w:r w:rsidRPr="009C55E1">
        <w:rPr>
          <w:rFonts w:cs="Arial"/>
          <w:i/>
          <w:szCs w:val="22"/>
        </w:rPr>
        <w:t>Reef-wide seagrass condition index (±SE) with contributing indicator scores over the life of the MMP</w:t>
      </w:r>
      <w:bookmarkEnd w:id="222"/>
    </w:p>
    <w:p w14:paraId="44273DC1" w14:textId="5CEC1639" w:rsidR="004C777E" w:rsidRPr="009C55E1" w:rsidRDefault="00FF5EB0" w:rsidP="00D2585E">
      <w:pPr>
        <w:rPr>
          <w:rFonts w:cs="Arial"/>
          <w:szCs w:val="22"/>
          <w:lang w:eastAsia="en-AU"/>
        </w:rPr>
      </w:pPr>
      <w:r w:rsidRPr="009C55E1">
        <w:rPr>
          <w:rFonts w:cs="Arial"/>
          <w:i/>
          <w:szCs w:val="22"/>
        </w:rPr>
        <w:t xml:space="preserve">. The index is derived from the aggregate of metric scores for indicators of seagrass community </w:t>
      </w:r>
      <w:r w:rsidR="003A03FE" w:rsidRPr="009C55E1">
        <w:rPr>
          <w:rFonts w:cs="Arial"/>
          <w:i/>
          <w:szCs w:val="22"/>
        </w:rPr>
        <w:t>health.</w:t>
      </w:r>
      <w:r w:rsidR="003A03FE" w:rsidRPr="009C55E1">
        <w:rPr>
          <w:rFonts w:cs="Arial"/>
          <w:i/>
          <w:color w:val="000000"/>
          <w:szCs w:val="22"/>
        </w:rPr>
        <w:t xml:space="preserve"> </w:t>
      </w:r>
      <w:r w:rsidR="003A03FE" w:rsidRPr="009C55E1">
        <w:rPr>
          <w:rFonts w:cs="Arial"/>
          <w:i/>
          <w:szCs w:val="22"/>
        </w:rPr>
        <w:t>Index</w:t>
      </w:r>
      <w:r w:rsidR="00543DFF" w:rsidRPr="009C55E1">
        <w:rPr>
          <w:rFonts w:cs="Arial"/>
          <w:i/>
          <w:szCs w:val="22"/>
        </w:rPr>
        <w:t xml:space="preserve"> scores scaled from 0–100 and graded: </w:t>
      </w:r>
      <w:r w:rsidR="00543DFF" w:rsidRPr="009C55E1">
        <w:rPr>
          <w:rFonts w:cs="Arial"/>
          <w:color w:val="008000"/>
          <w:szCs w:val="22"/>
        </w:rPr>
        <w:t>●</w:t>
      </w:r>
      <w:r w:rsidR="00543DFF" w:rsidRPr="009C55E1">
        <w:rPr>
          <w:rFonts w:cs="Arial"/>
          <w:i/>
          <w:szCs w:val="22"/>
        </w:rPr>
        <w:t xml:space="preserve"> = very good (81-100), </w:t>
      </w:r>
      <w:r w:rsidR="00543DFF" w:rsidRPr="009C55E1">
        <w:rPr>
          <w:rFonts w:cs="Arial"/>
          <w:color w:val="92D050"/>
          <w:szCs w:val="22"/>
        </w:rPr>
        <w:t>●</w:t>
      </w:r>
      <w:r w:rsidR="00543DFF" w:rsidRPr="009C55E1">
        <w:rPr>
          <w:rFonts w:cs="Arial"/>
          <w:i/>
          <w:szCs w:val="22"/>
        </w:rPr>
        <w:t xml:space="preserve"> = good (61 - 80), </w:t>
      </w:r>
      <w:r w:rsidR="00543DFF" w:rsidRPr="009C55E1">
        <w:rPr>
          <w:rFonts w:cs="Arial"/>
          <w:color w:val="FFFF00"/>
          <w:szCs w:val="22"/>
        </w:rPr>
        <w:t>●</w:t>
      </w:r>
      <w:r w:rsidR="00543DFF" w:rsidRPr="009C55E1">
        <w:rPr>
          <w:rFonts w:cs="Arial"/>
          <w:i/>
          <w:szCs w:val="22"/>
        </w:rPr>
        <w:t xml:space="preserve"> = moderate (41 - 60), </w:t>
      </w:r>
      <w:r w:rsidR="00543DFF" w:rsidRPr="009C55E1">
        <w:rPr>
          <w:rFonts w:cs="Arial"/>
          <w:i/>
          <w:color w:val="FFC000"/>
          <w:szCs w:val="22"/>
        </w:rPr>
        <w:t>●</w:t>
      </w:r>
      <w:r w:rsidR="00543DFF" w:rsidRPr="009C55E1">
        <w:rPr>
          <w:rFonts w:cs="Arial"/>
          <w:i/>
          <w:szCs w:val="22"/>
        </w:rPr>
        <w:t xml:space="preserve"> = poor (21 - 40), </w:t>
      </w:r>
      <w:r w:rsidR="00543DFF" w:rsidRPr="009C55E1">
        <w:rPr>
          <w:rFonts w:cs="Arial"/>
          <w:i/>
          <w:color w:val="FF0000"/>
          <w:szCs w:val="22"/>
        </w:rPr>
        <w:t>●</w:t>
      </w:r>
      <w:r w:rsidR="00543DFF" w:rsidRPr="009C55E1">
        <w:rPr>
          <w:rFonts w:cs="Arial"/>
          <w:i/>
          <w:szCs w:val="22"/>
        </w:rPr>
        <w:t> = very poor (0 - 20).</w:t>
      </w:r>
      <w:r w:rsidR="00543DFF" w:rsidRPr="009C55E1">
        <w:rPr>
          <w:rFonts w:cs="Arial"/>
          <w:i/>
          <w:color w:val="000000"/>
          <w:szCs w:val="22"/>
        </w:rPr>
        <w:t xml:space="preserve"> NB: Scores</w:t>
      </w:r>
      <w:r w:rsidR="00543DFF" w:rsidRPr="009C55E1">
        <w:rPr>
          <w:rFonts w:cs="Arial"/>
          <w:i/>
          <w:szCs w:val="22"/>
        </w:rPr>
        <w:t xml:space="preserve"> are unitless.</w:t>
      </w:r>
    </w:p>
    <w:p w14:paraId="28937E16" w14:textId="77777777" w:rsidR="0035787B" w:rsidRPr="009C55E1" w:rsidRDefault="0035787B" w:rsidP="00D2585E">
      <w:pPr>
        <w:autoSpaceDE w:val="0"/>
        <w:autoSpaceDN w:val="0"/>
        <w:adjustRightInd w:val="0"/>
        <w:rPr>
          <w:rFonts w:cs="Arial"/>
          <w:color w:val="000000" w:themeColor="text1"/>
          <w:szCs w:val="22"/>
        </w:rPr>
      </w:pPr>
    </w:p>
    <w:p w14:paraId="044D3B6E" w14:textId="1E76FE1C" w:rsidR="007C5F6F" w:rsidRPr="00A37E15" w:rsidRDefault="007C5F6F" w:rsidP="000150D8">
      <w:pPr>
        <w:pStyle w:val="Heading2"/>
      </w:pPr>
      <w:bookmarkStart w:id="223" w:name="_Toc37775059"/>
      <w:bookmarkStart w:id="224" w:name="_Toc43987034"/>
      <w:r w:rsidRPr="00A37E15">
        <w:t>Trends in seagrass condition indicators</w:t>
      </w:r>
      <w:r w:rsidR="00AD6834" w:rsidRPr="00A37E15">
        <w:t xml:space="preserve"> between regions</w:t>
      </w:r>
      <w:bookmarkEnd w:id="223"/>
      <w:bookmarkEnd w:id="224"/>
    </w:p>
    <w:p w14:paraId="7EBABF18" w14:textId="2367D3E4" w:rsidR="00E26672" w:rsidRPr="009C55E1" w:rsidRDefault="00E26672" w:rsidP="00D2585E">
      <w:pPr>
        <w:rPr>
          <w:rFonts w:cs="Arial"/>
          <w:szCs w:val="22"/>
        </w:rPr>
      </w:pPr>
      <w:r w:rsidRPr="009C55E1">
        <w:rPr>
          <w:rFonts w:cs="Arial"/>
          <w:szCs w:val="22"/>
        </w:rPr>
        <w:t xml:space="preserve">The Reef-wide score for seagrass is derived from the average of seagrass indicator scores in each of six Regions, weighted by </w:t>
      </w:r>
      <w:r w:rsidR="00F507B9" w:rsidRPr="009C55E1">
        <w:rPr>
          <w:rFonts w:cs="Arial"/>
          <w:szCs w:val="22"/>
        </w:rPr>
        <w:t xml:space="preserve">seagrass </w:t>
      </w:r>
      <w:r w:rsidRPr="009C55E1">
        <w:rPr>
          <w:rFonts w:cs="Arial"/>
          <w:szCs w:val="22"/>
        </w:rPr>
        <w:t xml:space="preserve">area. </w:t>
      </w:r>
      <w:r w:rsidR="003E6134" w:rsidRPr="009C55E1">
        <w:rPr>
          <w:rFonts w:cs="Arial"/>
          <w:szCs w:val="22"/>
          <w:lang w:eastAsia="x-none"/>
        </w:rPr>
        <w:t xml:space="preserve">In </w:t>
      </w:r>
      <w:r w:rsidR="00956639" w:rsidRPr="009C55E1">
        <w:rPr>
          <w:rFonts w:cs="Arial"/>
          <w:szCs w:val="22"/>
          <w:lang w:eastAsia="x-none"/>
        </w:rPr>
        <w:t>2018–19</w:t>
      </w:r>
      <w:r w:rsidR="003E6134" w:rsidRPr="009C55E1">
        <w:rPr>
          <w:rFonts w:cs="Arial"/>
          <w:szCs w:val="22"/>
          <w:lang w:eastAsia="x-none"/>
        </w:rPr>
        <w:t xml:space="preserve"> all but one NRM region (Wet Tropics) declined in seagrass condition (</w:t>
      </w:r>
      <w:r w:rsidR="00FA665D" w:rsidRPr="009C55E1">
        <w:rPr>
          <w:rFonts w:cs="Arial"/>
          <w:szCs w:val="22"/>
          <w:highlight w:val="yellow"/>
        </w:rPr>
        <w:fldChar w:fldCharType="begin"/>
      </w:r>
      <w:r w:rsidR="00FA665D" w:rsidRPr="009C55E1">
        <w:rPr>
          <w:rFonts w:cs="Arial"/>
          <w:szCs w:val="22"/>
          <w:highlight w:val="yellow"/>
        </w:rPr>
        <w:instrText xml:space="preserve"> REF _Ref536860481 \h </w:instrText>
      </w:r>
      <w:r w:rsidR="00CB093C" w:rsidRPr="009C55E1">
        <w:rPr>
          <w:rFonts w:cs="Arial"/>
          <w:szCs w:val="22"/>
          <w:highlight w:val="yellow"/>
        </w:rPr>
        <w:instrText xml:space="preserve"> \* MERGEFORMAT </w:instrText>
      </w:r>
      <w:r w:rsidR="00FA665D" w:rsidRPr="009C55E1">
        <w:rPr>
          <w:rFonts w:cs="Arial"/>
          <w:szCs w:val="22"/>
          <w:highlight w:val="yellow"/>
        </w:rPr>
      </w:r>
      <w:r w:rsidR="00FA665D" w:rsidRPr="009C55E1">
        <w:rPr>
          <w:rFonts w:cs="Arial"/>
          <w:szCs w:val="22"/>
          <w:highlight w:val="yellow"/>
        </w:rPr>
        <w:fldChar w:fldCharType="separate"/>
      </w:r>
      <w:r w:rsidR="0067675D" w:rsidRPr="009C55E1">
        <w:rPr>
          <w:rFonts w:cs="Arial"/>
          <w:color w:val="000000"/>
          <w:szCs w:val="22"/>
        </w:rPr>
        <w:t xml:space="preserve">Figure </w:t>
      </w:r>
      <w:r w:rsidR="0067675D">
        <w:rPr>
          <w:rFonts w:cs="Arial"/>
          <w:noProof/>
          <w:color w:val="000000"/>
          <w:szCs w:val="22"/>
        </w:rPr>
        <w:t>16</w:t>
      </w:r>
      <w:r w:rsidR="00FA665D" w:rsidRPr="009C55E1">
        <w:rPr>
          <w:rFonts w:cs="Arial"/>
          <w:szCs w:val="22"/>
          <w:highlight w:val="yellow"/>
        </w:rPr>
        <w:fldChar w:fldCharType="end"/>
      </w:r>
      <w:r w:rsidR="003E6134" w:rsidRPr="009C55E1">
        <w:rPr>
          <w:rFonts w:cs="Arial"/>
          <w:szCs w:val="22"/>
          <w:lang w:eastAsia="x-none"/>
        </w:rPr>
        <w:t>), although t</w:t>
      </w:r>
      <w:r w:rsidRPr="009C55E1">
        <w:rPr>
          <w:rFonts w:cs="Arial"/>
          <w:szCs w:val="22"/>
        </w:rPr>
        <w:t xml:space="preserve">rends </w:t>
      </w:r>
      <w:r w:rsidR="00D1356E" w:rsidRPr="009C55E1">
        <w:rPr>
          <w:rFonts w:cs="Arial"/>
          <w:szCs w:val="22"/>
        </w:rPr>
        <w:t>in indicators between</w:t>
      </w:r>
      <w:r w:rsidRPr="009C55E1">
        <w:rPr>
          <w:rFonts w:cs="Arial"/>
          <w:szCs w:val="22"/>
        </w:rPr>
        <w:t xml:space="preserve"> the six Regions are not uniform</w:t>
      </w:r>
      <w:r w:rsidR="00F507B9" w:rsidRPr="009C55E1">
        <w:rPr>
          <w:rFonts w:cs="Arial"/>
          <w:szCs w:val="22"/>
        </w:rPr>
        <w:t>:</w:t>
      </w:r>
    </w:p>
    <w:p w14:paraId="6896A804" w14:textId="2E376B28" w:rsidR="00E26672" w:rsidRPr="009C55E1" w:rsidRDefault="00E26672" w:rsidP="003F4D32">
      <w:pPr>
        <w:numPr>
          <w:ilvl w:val="0"/>
          <w:numId w:val="20"/>
        </w:numPr>
        <w:rPr>
          <w:rFonts w:cs="Arial"/>
          <w:szCs w:val="22"/>
        </w:rPr>
      </w:pPr>
      <w:r w:rsidRPr="009C55E1">
        <w:rPr>
          <w:rFonts w:cs="Arial"/>
          <w:szCs w:val="22"/>
        </w:rPr>
        <w:t xml:space="preserve">The seagrass abundance score was poor in the </w:t>
      </w:r>
      <w:r w:rsidR="00956639" w:rsidRPr="009C55E1">
        <w:rPr>
          <w:rFonts w:cs="Arial"/>
          <w:szCs w:val="22"/>
        </w:rPr>
        <w:t>2018–19</w:t>
      </w:r>
      <w:r w:rsidRPr="009C55E1">
        <w:rPr>
          <w:rFonts w:cs="Arial"/>
          <w:szCs w:val="22"/>
        </w:rPr>
        <w:t xml:space="preserve"> monitoring period in all regions except the Burdekin, which remained </w:t>
      </w:r>
      <w:r w:rsidR="00C71B59">
        <w:rPr>
          <w:rFonts w:cs="Arial"/>
          <w:szCs w:val="22"/>
        </w:rPr>
        <w:t>moderate</w:t>
      </w:r>
      <w:r w:rsidR="00C71B59" w:rsidRPr="009C55E1">
        <w:rPr>
          <w:rFonts w:cs="Arial"/>
          <w:szCs w:val="22"/>
        </w:rPr>
        <w:t xml:space="preserve"> </w:t>
      </w:r>
      <w:r w:rsidRPr="009C55E1">
        <w:rPr>
          <w:rFonts w:cs="Arial"/>
          <w:szCs w:val="22"/>
        </w:rPr>
        <w:t>(</w:t>
      </w:r>
      <w:r w:rsidR="003E6134" w:rsidRPr="009C55E1">
        <w:rPr>
          <w:rFonts w:cs="Arial"/>
          <w:szCs w:val="22"/>
        </w:rPr>
        <w:fldChar w:fldCharType="begin"/>
      </w:r>
      <w:r w:rsidR="003E6134" w:rsidRPr="009C55E1">
        <w:rPr>
          <w:rFonts w:cs="Arial"/>
          <w:szCs w:val="22"/>
        </w:rPr>
        <w:instrText xml:space="preserve"> REF _Ref536860481 \h </w:instrText>
      </w:r>
      <w:r w:rsidR="00044C08" w:rsidRPr="009C55E1">
        <w:rPr>
          <w:rFonts w:cs="Arial"/>
          <w:szCs w:val="22"/>
        </w:rPr>
        <w:instrText xml:space="preserve"> \* MERGEFORMAT </w:instrText>
      </w:r>
      <w:r w:rsidR="003E6134" w:rsidRPr="009C55E1">
        <w:rPr>
          <w:rFonts w:cs="Arial"/>
          <w:szCs w:val="22"/>
        </w:rPr>
      </w:r>
      <w:r w:rsidR="003E6134"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3E6134" w:rsidRPr="009C55E1">
        <w:rPr>
          <w:rFonts w:cs="Arial"/>
          <w:szCs w:val="22"/>
        </w:rPr>
        <w:fldChar w:fldCharType="end"/>
      </w:r>
      <w:r w:rsidRPr="009C55E1">
        <w:rPr>
          <w:rFonts w:cs="Arial"/>
          <w:szCs w:val="22"/>
        </w:rPr>
        <w:t xml:space="preserve">). There were increases in the abundance score compared to the previous year in the Wet Tropics, Fitzroy and </w:t>
      </w:r>
      <w:r w:rsidR="00B72AC4">
        <w:rPr>
          <w:rFonts w:cs="Arial"/>
          <w:szCs w:val="22"/>
        </w:rPr>
        <w:t>Burnett–Mary</w:t>
      </w:r>
      <w:r w:rsidRPr="009C55E1">
        <w:rPr>
          <w:rFonts w:cs="Arial"/>
          <w:szCs w:val="22"/>
        </w:rPr>
        <w:t xml:space="preserve"> NRM regions, but they remained in the poor category. Furthermore, the score declined from mo</w:t>
      </w:r>
      <w:r w:rsidR="00737AC0">
        <w:rPr>
          <w:rFonts w:cs="Arial"/>
          <w:szCs w:val="22"/>
        </w:rPr>
        <w:t>derate in the Cape York region.</w:t>
      </w:r>
    </w:p>
    <w:p w14:paraId="44AFC618" w14:textId="7B470AC7" w:rsidR="00E26672" w:rsidRPr="009C55E1" w:rsidRDefault="00E26672" w:rsidP="003F4D32">
      <w:pPr>
        <w:numPr>
          <w:ilvl w:val="0"/>
          <w:numId w:val="20"/>
        </w:numPr>
        <w:spacing w:after="0"/>
        <w:rPr>
          <w:rFonts w:cs="Arial"/>
          <w:color w:val="000000" w:themeColor="text1"/>
          <w:szCs w:val="22"/>
        </w:rPr>
      </w:pPr>
      <w:r w:rsidRPr="009C55E1">
        <w:rPr>
          <w:rFonts w:cs="Arial"/>
          <w:color w:val="000000" w:themeColor="text1"/>
          <w:szCs w:val="22"/>
        </w:rPr>
        <w:lastRenderedPageBreak/>
        <w:t xml:space="preserve">Reproductive scores were </w:t>
      </w:r>
      <w:r w:rsidR="00D87C6F">
        <w:rPr>
          <w:rFonts w:cs="Arial"/>
          <w:color w:val="000000" w:themeColor="text1"/>
          <w:szCs w:val="22"/>
        </w:rPr>
        <w:t>moderate</w:t>
      </w:r>
      <w:r w:rsidRPr="009C55E1">
        <w:rPr>
          <w:rFonts w:cs="Arial"/>
          <w:color w:val="000000" w:themeColor="text1"/>
          <w:szCs w:val="22"/>
        </w:rPr>
        <w:t xml:space="preserve"> in the Wet Tropics (improving from very poor due primarily to Yule Point) in </w:t>
      </w:r>
      <w:r w:rsidR="00956639" w:rsidRPr="009C55E1">
        <w:rPr>
          <w:rFonts w:cs="Arial"/>
          <w:color w:val="000000" w:themeColor="text1"/>
          <w:szCs w:val="22"/>
        </w:rPr>
        <w:t>2018–19</w:t>
      </w:r>
      <w:r w:rsidRPr="009C55E1">
        <w:rPr>
          <w:rFonts w:cs="Arial"/>
          <w:color w:val="000000" w:themeColor="text1"/>
          <w:szCs w:val="22"/>
        </w:rPr>
        <w:t xml:space="preserve">, and very poor in the other regions </w:t>
      </w:r>
      <w:r w:rsidRPr="009C55E1">
        <w:rPr>
          <w:rFonts w:cs="Arial"/>
          <w:szCs w:val="22"/>
        </w:rPr>
        <w:t>(</w:t>
      </w:r>
      <w:r w:rsidR="00F507B9" w:rsidRPr="009C55E1">
        <w:rPr>
          <w:rFonts w:cs="Arial"/>
          <w:szCs w:val="22"/>
        </w:rPr>
        <w:fldChar w:fldCharType="begin"/>
      </w:r>
      <w:r w:rsidR="00F507B9" w:rsidRPr="009C55E1">
        <w:rPr>
          <w:rFonts w:cs="Arial"/>
          <w:szCs w:val="22"/>
        </w:rPr>
        <w:instrText xml:space="preserve"> REF _Ref536860481 \h  \* MERGEFORMAT </w:instrText>
      </w:r>
      <w:r w:rsidR="00F507B9" w:rsidRPr="009C55E1">
        <w:rPr>
          <w:rFonts w:cs="Arial"/>
          <w:szCs w:val="22"/>
        </w:rPr>
      </w:r>
      <w:r w:rsidR="00F507B9"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F507B9" w:rsidRPr="009C55E1">
        <w:rPr>
          <w:rFonts w:cs="Arial"/>
          <w:szCs w:val="22"/>
        </w:rPr>
        <w:fldChar w:fldCharType="end"/>
      </w:r>
      <w:r w:rsidRPr="009C55E1">
        <w:rPr>
          <w:rFonts w:cs="Arial"/>
          <w:szCs w:val="22"/>
        </w:rPr>
        <w:t>)</w:t>
      </w:r>
      <w:r w:rsidRPr="009C55E1">
        <w:rPr>
          <w:rFonts w:cs="Arial"/>
          <w:color w:val="000000" w:themeColor="text1"/>
          <w:szCs w:val="22"/>
        </w:rPr>
        <w:t xml:space="preserve">. Reproductive effort declined in </w:t>
      </w:r>
      <w:r w:rsidR="002F4B5E">
        <w:rPr>
          <w:rFonts w:cs="Arial"/>
          <w:color w:val="000000" w:themeColor="text1"/>
          <w:szCs w:val="22"/>
        </w:rPr>
        <w:t xml:space="preserve">the Burdekin and </w:t>
      </w:r>
      <w:r w:rsidR="00B72AC4">
        <w:rPr>
          <w:rFonts w:cs="Arial"/>
          <w:color w:val="000000" w:themeColor="text1"/>
          <w:szCs w:val="22"/>
        </w:rPr>
        <w:t>Mackay–Whitsunday</w:t>
      </w:r>
      <w:r w:rsidRPr="009C55E1">
        <w:rPr>
          <w:rFonts w:cs="Arial"/>
          <w:color w:val="000000" w:themeColor="text1"/>
          <w:szCs w:val="22"/>
        </w:rPr>
        <w:t xml:space="preserve"> and </w:t>
      </w:r>
      <w:r w:rsidR="002F4B5E">
        <w:rPr>
          <w:rFonts w:cs="Arial"/>
          <w:color w:val="000000" w:themeColor="text1"/>
          <w:szCs w:val="22"/>
        </w:rPr>
        <w:t xml:space="preserve">increased in the Wet Tropics, but </w:t>
      </w:r>
      <w:r w:rsidRPr="009C55E1">
        <w:rPr>
          <w:rFonts w:cs="Arial"/>
          <w:color w:val="000000" w:themeColor="text1"/>
          <w:szCs w:val="22"/>
        </w:rPr>
        <w:t xml:space="preserve">was relatively stable in all other </w:t>
      </w:r>
      <w:r w:rsidR="00737AC0">
        <w:rPr>
          <w:rFonts w:cs="Arial"/>
          <w:color w:val="000000" w:themeColor="text1"/>
          <w:szCs w:val="22"/>
        </w:rPr>
        <w:t>regions</w:t>
      </w:r>
      <w:r w:rsidRPr="009C55E1">
        <w:rPr>
          <w:rFonts w:cs="Arial"/>
          <w:color w:val="000000" w:themeColor="text1"/>
          <w:szCs w:val="22"/>
        </w:rPr>
        <w:t xml:space="preserve"> </w:t>
      </w:r>
      <w:r w:rsidRPr="009C55E1">
        <w:rPr>
          <w:rFonts w:cs="Arial"/>
          <w:szCs w:val="22"/>
        </w:rPr>
        <w:t>(</w:t>
      </w:r>
      <w:r w:rsidR="003E6134" w:rsidRPr="009C55E1">
        <w:rPr>
          <w:rFonts w:cs="Arial"/>
          <w:szCs w:val="22"/>
        </w:rPr>
        <w:fldChar w:fldCharType="begin"/>
      </w:r>
      <w:r w:rsidR="003E6134" w:rsidRPr="009C55E1">
        <w:rPr>
          <w:rFonts w:cs="Arial"/>
          <w:szCs w:val="22"/>
        </w:rPr>
        <w:instrText xml:space="preserve"> REF _Ref536860481 \h </w:instrText>
      </w:r>
      <w:r w:rsidR="00044C08" w:rsidRPr="009C55E1">
        <w:rPr>
          <w:rFonts w:cs="Arial"/>
          <w:szCs w:val="22"/>
        </w:rPr>
        <w:instrText xml:space="preserve"> \* MERGEFORMAT </w:instrText>
      </w:r>
      <w:r w:rsidR="003E6134" w:rsidRPr="009C55E1">
        <w:rPr>
          <w:rFonts w:cs="Arial"/>
          <w:szCs w:val="22"/>
        </w:rPr>
      </w:r>
      <w:r w:rsidR="003E6134"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3E6134" w:rsidRPr="009C55E1">
        <w:rPr>
          <w:rFonts w:cs="Arial"/>
          <w:szCs w:val="22"/>
        </w:rPr>
        <w:fldChar w:fldCharType="end"/>
      </w:r>
      <w:r w:rsidRPr="009C55E1">
        <w:rPr>
          <w:rFonts w:cs="Arial"/>
          <w:szCs w:val="22"/>
        </w:rPr>
        <w:t>)</w:t>
      </w:r>
      <w:r w:rsidRPr="009C55E1">
        <w:rPr>
          <w:rFonts w:cs="Arial"/>
          <w:color w:val="000000" w:themeColor="text1"/>
          <w:szCs w:val="22"/>
        </w:rPr>
        <w:t xml:space="preserve">. </w:t>
      </w:r>
    </w:p>
    <w:p w14:paraId="264F6548" w14:textId="2DC12BDB" w:rsidR="00E26672" w:rsidRPr="009C55E1" w:rsidRDefault="00E26672" w:rsidP="003F4D32">
      <w:pPr>
        <w:numPr>
          <w:ilvl w:val="0"/>
          <w:numId w:val="20"/>
        </w:numPr>
        <w:rPr>
          <w:rFonts w:cs="Arial"/>
          <w:szCs w:val="22"/>
        </w:rPr>
      </w:pPr>
      <w:r w:rsidRPr="009C55E1">
        <w:rPr>
          <w:rFonts w:cs="Arial"/>
          <w:szCs w:val="22"/>
        </w:rPr>
        <w:t>Seagrass nutrient status scores (using only C:N) reduced in all regions except the Wet Tropics, furthermore the score was poor in all regions except for the Burdekin which was moderate</w:t>
      </w:r>
      <w:r w:rsidR="00C71B59">
        <w:rPr>
          <w:rFonts w:cs="Arial"/>
          <w:szCs w:val="22"/>
        </w:rPr>
        <w:t>, albeit only just</w:t>
      </w:r>
      <w:r w:rsidRPr="009C55E1">
        <w:rPr>
          <w:rFonts w:cs="Arial"/>
          <w:szCs w:val="22"/>
        </w:rPr>
        <w:t xml:space="preserve"> (</w:t>
      </w:r>
      <w:r w:rsidR="003E6134" w:rsidRPr="009C55E1">
        <w:rPr>
          <w:rFonts w:cs="Arial"/>
          <w:szCs w:val="22"/>
        </w:rPr>
        <w:fldChar w:fldCharType="begin"/>
      </w:r>
      <w:r w:rsidR="003E6134" w:rsidRPr="009C55E1">
        <w:rPr>
          <w:rFonts w:cs="Arial"/>
          <w:szCs w:val="22"/>
        </w:rPr>
        <w:instrText xml:space="preserve"> REF _Ref536860481 \h </w:instrText>
      </w:r>
      <w:r w:rsidR="00044C08" w:rsidRPr="009C55E1">
        <w:rPr>
          <w:rFonts w:cs="Arial"/>
          <w:szCs w:val="22"/>
        </w:rPr>
        <w:instrText xml:space="preserve"> \* MERGEFORMAT </w:instrText>
      </w:r>
      <w:r w:rsidR="003E6134" w:rsidRPr="009C55E1">
        <w:rPr>
          <w:rFonts w:cs="Arial"/>
          <w:szCs w:val="22"/>
        </w:rPr>
      </w:r>
      <w:r w:rsidR="003E6134"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3E6134" w:rsidRPr="009C55E1">
        <w:rPr>
          <w:rFonts w:cs="Arial"/>
          <w:szCs w:val="22"/>
        </w:rPr>
        <w:fldChar w:fldCharType="end"/>
      </w:r>
      <w:r w:rsidRPr="009C55E1">
        <w:rPr>
          <w:rFonts w:cs="Arial"/>
          <w:szCs w:val="22"/>
        </w:rPr>
        <w:t xml:space="preserve">). The C:N score was the lowest since monitoring began in the Fitzroy and </w:t>
      </w:r>
      <w:r w:rsidR="00B72AC4">
        <w:rPr>
          <w:rFonts w:cs="Arial"/>
          <w:szCs w:val="22"/>
        </w:rPr>
        <w:t>Burnett–Mary</w:t>
      </w:r>
      <w:r w:rsidRPr="009C55E1">
        <w:rPr>
          <w:rFonts w:cs="Arial"/>
          <w:szCs w:val="22"/>
        </w:rPr>
        <w:t xml:space="preserve"> regions, but this has been influenced by changes in sites in both regions.</w:t>
      </w:r>
    </w:p>
    <w:p w14:paraId="52A5FBE9" w14:textId="23D3B914" w:rsidR="00CE334D" w:rsidRPr="009C55E1" w:rsidRDefault="00D1356E" w:rsidP="00CE334D">
      <w:pPr>
        <w:autoSpaceDE w:val="0"/>
        <w:autoSpaceDN w:val="0"/>
        <w:adjustRightInd w:val="0"/>
        <w:rPr>
          <w:rFonts w:cs="Arial"/>
          <w:szCs w:val="22"/>
        </w:rPr>
      </w:pPr>
      <w:r w:rsidRPr="009C55E1">
        <w:rPr>
          <w:rFonts w:cs="Arial"/>
          <w:szCs w:val="22"/>
        </w:rPr>
        <w:t xml:space="preserve">Inshore seagrass condition scores across the </w:t>
      </w:r>
      <w:r w:rsidR="00CE334D" w:rsidRPr="009C55E1">
        <w:rPr>
          <w:rFonts w:cs="Arial"/>
          <w:szCs w:val="22"/>
        </w:rPr>
        <w:t>R</w:t>
      </w:r>
      <w:r w:rsidRPr="009C55E1">
        <w:rPr>
          <w:rFonts w:cs="Arial"/>
          <w:szCs w:val="22"/>
        </w:rPr>
        <w:t>egions reflect a system that is bei</w:t>
      </w:r>
      <w:r w:rsidR="00E80206" w:rsidRPr="009C55E1">
        <w:rPr>
          <w:rFonts w:cs="Arial"/>
          <w:szCs w:val="22"/>
        </w:rPr>
        <w:t>n</w:t>
      </w:r>
      <w:r w:rsidRPr="009C55E1">
        <w:rPr>
          <w:rFonts w:cs="Arial"/>
          <w:szCs w:val="22"/>
        </w:rPr>
        <w:t xml:space="preserve">g impacted </w:t>
      </w:r>
      <w:r w:rsidRPr="009C55E1">
        <w:rPr>
          <w:rFonts w:cs="Arial"/>
          <w:szCs w:val="22"/>
          <w:lang w:eastAsia="en-AU"/>
        </w:rPr>
        <w:t>by heatwaves, cyclones, and elevated discharge from rivers.</w:t>
      </w:r>
      <w:r w:rsidR="00CE334D" w:rsidRPr="009C55E1">
        <w:rPr>
          <w:rFonts w:cs="Arial"/>
          <w:szCs w:val="22"/>
          <w:lang w:eastAsia="en-AU"/>
        </w:rPr>
        <w:t xml:space="preserve"> </w:t>
      </w:r>
      <w:r w:rsidR="00CE334D" w:rsidRPr="009C55E1">
        <w:rPr>
          <w:rFonts w:cs="Arial"/>
          <w:szCs w:val="22"/>
        </w:rPr>
        <w:t>R</w:t>
      </w:r>
      <w:r w:rsidR="00CE334D" w:rsidRPr="009C55E1">
        <w:rPr>
          <w:rFonts w:cs="Arial"/>
          <w:szCs w:val="22"/>
          <w:lang w:eastAsia="en-AU"/>
        </w:rPr>
        <w:t xml:space="preserve">egional differences in condition and indicator scores appear </w:t>
      </w:r>
      <w:r w:rsidR="00CE334D" w:rsidRPr="009C55E1">
        <w:rPr>
          <w:rFonts w:cs="Arial"/>
          <w:szCs w:val="22"/>
        </w:rPr>
        <w:t xml:space="preserve">due to the legacy of </w:t>
      </w:r>
      <w:r w:rsidR="00CE334D" w:rsidRPr="009C55E1">
        <w:rPr>
          <w:rFonts w:cs="Arial"/>
          <w:szCs w:val="22"/>
          <w:lang w:eastAsia="en-AU"/>
        </w:rPr>
        <w:t>significant environmental conditions</w:t>
      </w:r>
      <w:r w:rsidR="00CE334D" w:rsidRPr="009C55E1">
        <w:rPr>
          <w:rFonts w:cs="Arial"/>
          <w:szCs w:val="22"/>
        </w:rPr>
        <w:t xml:space="preserve"> i</w:t>
      </w:r>
      <w:r w:rsidR="00CE334D" w:rsidRPr="009C55E1">
        <w:rPr>
          <w:rFonts w:cs="Arial"/>
          <w:szCs w:val="22"/>
          <w:lang w:eastAsia="en-AU"/>
        </w:rPr>
        <w:t>n 2016–</w:t>
      </w:r>
      <w:r w:rsidR="00F507B9" w:rsidRPr="009C55E1">
        <w:rPr>
          <w:rFonts w:cs="Arial"/>
          <w:szCs w:val="22"/>
          <w:lang w:eastAsia="en-AU"/>
        </w:rPr>
        <w:t>20</w:t>
      </w:r>
      <w:r w:rsidR="00CE334D" w:rsidRPr="009C55E1">
        <w:rPr>
          <w:rFonts w:cs="Arial"/>
          <w:szCs w:val="22"/>
          <w:lang w:eastAsia="en-AU"/>
        </w:rPr>
        <w:t xml:space="preserve">17 (e.g. cyclone Debbie in </w:t>
      </w:r>
      <w:r w:rsidR="00B72AC4">
        <w:rPr>
          <w:rFonts w:cs="Arial"/>
          <w:szCs w:val="22"/>
          <w:lang w:eastAsia="en-AU"/>
        </w:rPr>
        <w:t>Mackay–Whitsunday</w:t>
      </w:r>
      <w:r w:rsidR="00CE334D" w:rsidRPr="009C55E1">
        <w:rPr>
          <w:rFonts w:cs="Arial"/>
          <w:szCs w:val="22"/>
          <w:lang w:eastAsia="en-AU"/>
        </w:rPr>
        <w:t xml:space="preserve">, </w:t>
      </w:r>
      <w:r w:rsidR="00CE334D" w:rsidRPr="009C55E1">
        <w:rPr>
          <w:rFonts w:cs="Arial"/>
          <w:szCs w:val="22"/>
        </w:rPr>
        <w:t>above-average riverine discharge throughout the southern and central Reef,</w:t>
      </w:r>
      <w:r w:rsidR="00CE334D" w:rsidRPr="009C55E1">
        <w:rPr>
          <w:rFonts w:cs="Arial"/>
          <w:szCs w:val="22"/>
          <w:lang w:eastAsia="en-AU"/>
        </w:rPr>
        <w:t xml:space="preserve"> and a</w:t>
      </w:r>
      <w:r w:rsidR="00CE334D" w:rsidRPr="009C55E1">
        <w:rPr>
          <w:rFonts w:cs="Arial"/>
          <w:szCs w:val="22"/>
        </w:rPr>
        <w:t xml:space="preserve"> marine heatwave in the northern and central Reef</w:t>
      </w:r>
      <w:r w:rsidR="00CE334D" w:rsidRPr="009C55E1">
        <w:rPr>
          <w:rFonts w:cs="Arial"/>
          <w:szCs w:val="22"/>
          <w:lang w:eastAsia="en-AU"/>
        </w:rPr>
        <w:t>) and/</w:t>
      </w:r>
      <w:r w:rsidR="00CE334D" w:rsidRPr="009C55E1">
        <w:rPr>
          <w:rFonts w:cs="Arial"/>
          <w:szCs w:val="22"/>
        </w:rPr>
        <w:t xml:space="preserve">or less favourable environmental conditions in </w:t>
      </w:r>
      <w:r w:rsidR="00956639" w:rsidRPr="009C55E1">
        <w:rPr>
          <w:rFonts w:cs="Arial"/>
          <w:szCs w:val="22"/>
        </w:rPr>
        <w:t>2018–19</w:t>
      </w:r>
      <w:r w:rsidR="006F0AD1">
        <w:rPr>
          <w:rFonts w:cs="Arial"/>
          <w:szCs w:val="22"/>
        </w:rPr>
        <w:t>.</w:t>
      </w:r>
    </w:p>
    <w:p w14:paraId="49DEBF0C" w14:textId="77777777" w:rsidR="003E6134" w:rsidRPr="009C55E1" w:rsidRDefault="003E6134" w:rsidP="003E6134">
      <w:pPr>
        <w:autoSpaceDE w:val="0"/>
        <w:autoSpaceDN w:val="0"/>
        <w:adjustRightInd w:val="0"/>
        <w:rPr>
          <w:rFonts w:cs="Arial"/>
          <w:color w:val="000000" w:themeColor="text1"/>
          <w:szCs w:val="22"/>
        </w:rPr>
      </w:pPr>
    </w:p>
    <w:p w14:paraId="01541A36" w14:textId="77777777" w:rsidR="003E6134" w:rsidRPr="009C55E1" w:rsidRDefault="003E6134" w:rsidP="003E6134">
      <w:pPr>
        <w:keepNext/>
        <w:widowControl w:val="0"/>
        <w:jc w:val="center"/>
        <w:rPr>
          <w:rFonts w:cs="Arial"/>
          <w:noProof/>
          <w:color w:val="000000"/>
          <w:szCs w:val="22"/>
          <w:lang w:eastAsia="en-AU"/>
        </w:rPr>
      </w:pPr>
      <w:r w:rsidRPr="009C55E1">
        <w:rPr>
          <w:rFonts w:cs="Arial"/>
          <w:noProof/>
          <w:color w:val="000000"/>
          <w:szCs w:val="22"/>
          <w:lang w:eastAsia="en-AU"/>
        </w:rPr>
        <w:lastRenderedPageBreak/>
        <w:drawing>
          <wp:inline distT="0" distB="0" distL="0" distR="0" wp14:anchorId="7A65AF11" wp14:editId="28B50946">
            <wp:extent cx="5851891" cy="2682117"/>
            <wp:effectExtent l="0" t="0" r="0" b="4445"/>
            <wp:docPr id="24" name="Picture 24" descr="Panel of six line graphs showing regional seagrass condition index (± standard error) with contributing indicator scores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NDEX_regional_2016.png"/>
                    <pic:cNvPicPr/>
                  </pic:nvPicPr>
                  <pic:blipFill>
                    <a:blip r:embed="rId69"/>
                    <a:stretch>
                      <a:fillRect/>
                    </a:stretch>
                  </pic:blipFill>
                  <pic:spPr>
                    <a:xfrm>
                      <a:off x="0" y="0"/>
                      <a:ext cx="5851891" cy="2682117"/>
                    </a:xfrm>
                    <a:prstGeom prst="rect">
                      <a:avLst/>
                    </a:prstGeom>
                  </pic:spPr>
                </pic:pic>
              </a:graphicData>
            </a:graphic>
          </wp:inline>
        </w:drawing>
      </w:r>
    </w:p>
    <w:p w14:paraId="127E3DD8" w14:textId="12346421" w:rsidR="003E6134" w:rsidRPr="009C55E1" w:rsidRDefault="003E6134" w:rsidP="003E6134">
      <w:pPr>
        <w:rPr>
          <w:rFonts w:cs="Arial"/>
          <w:i/>
          <w:vanish/>
          <w:color w:val="000000"/>
          <w:szCs w:val="22"/>
          <w:specVanish/>
        </w:rPr>
      </w:pPr>
      <w:bookmarkStart w:id="225" w:name="_Ref536860481"/>
      <w:bookmarkStart w:id="226" w:name="_Toc38634120"/>
      <w:r w:rsidRPr="009C55E1">
        <w:rPr>
          <w:rFonts w:cs="Arial"/>
          <w:color w:val="000000"/>
          <w:szCs w:val="22"/>
        </w:rPr>
        <w:t xml:space="preserve">Figure </w:t>
      </w:r>
      <w:r w:rsidRPr="009C55E1">
        <w:rPr>
          <w:rFonts w:cs="Arial"/>
          <w:color w:val="000000"/>
          <w:szCs w:val="22"/>
        </w:rPr>
        <w:fldChar w:fldCharType="begin"/>
      </w:r>
      <w:r w:rsidRPr="009C55E1">
        <w:rPr>
          <w:rFonts w:cs="Arial"/>
          <w:color w:val="000000"/>
          <w:szCs w:val="22"/>
        </w:rPr>
        <w:instrText xml:space="preserve"> SEQ Figure \* ARABIC </w:instrText>
      </w:r>
      <w:r w:rsidRPr="009C55E1">
        <w:rPr>
          <w:rFonts w:cs="Arial"/>
          <w:color w:val="000000"/>
          <w:szCs w:val="22"/>
        </w:rPr>
        <w:fldChar w:fldCharType="separate"/>
      </w:r>
      <w:r w:rsidR="0067675D">
        <w:rPr>
          <w:rFonts w:cs="Arial"/>
          <w:noProof/>
          <w:color w:val="000000"/>
          <w:szCs w:val="22"/>
        </w:rPr>
        <w:t>16</w:t>
      </w:r>
      <w:r w:rsidRPr="009C55E1">
        <w:rPr>
          <w:rFonts w:cs="Arial"/>
          <w:color w:val="000000"/>
          <w:szCs w:val="22"/>
        </w:rPr>
        <w:fldChar w:fldCharType="end"/>
      </w:r>
      <w:bookmarkEnd w:id="225"/>
      <w:r w:rsidRPr="009C55E1">
        <w:rPr>
          <w:rFonts w:cs="Arial"/>
          <w:color w:val="000000"/>
          <w:szCs w:val="22"/>
        </w:rPr>
        <w:t xml:space="preserve">. </w:t>
      </w:r>
      <w:r w:rsidRPr="009C55E1">
        <w:rPr>
          <w:rFonts w:cs="Arial"/>
          <w:i/>
          <w:color w:val="000000"/>
          <w:szCs w:val="22"/>
        </w:rPr>
        <w:t>S</w:t>
      </w:r>
      <w:r w:rsidRPr="009C55E1">
        <w:rPr>
          <w:rFonts w:cs="Arial"/>
          <w:i/>
          <w:szCs w:val="22"/>
        </w:rPr>
        <w:t xml:space="preserve">eagrass condition index (±SE) with contributing indicator scores </w:t>
      </w:r>
      <w:r w:rsidRPr="009C55E1">
        <w:rPr>
          <w:rFonts w:cs="Arial"/>
          <w:i/>
          <w:color w:val="000000"/>
          <w:szCs w:val="22"/>
        </w:rPr>
        <w:t xml:space="preserve">for each NRM region </w:t>
      </w:r>
      <w:r w:rsidRPr="009C55E1">
        <w:rPr>
          <w:rFonts w:cs="Arial"/>
          <w:i/>
          <w:szCs w:val="22"/>
        </w:rPr>
        <w:t>over the life of the MMP</w:t>
      </w:r>
      <w:bookmarkEnd w:id="226"/>
    </w:p>
    <w:p w14:paraId="17C2FB2F" w14:textId="25D0F778" w:rsidR="00D1356E" w:rsidRPr="00737FD3" w:rsidRDefault="003E6134" w:rsidP="003E6134">
      <w:pPr>
        <w:autoSpaceDE w:val="0"/>
        <w:autoSpaceDN w:val="0"/>
        <w:adjustRightInd w:val="0"/>
        <w:rPr>
          <w:rFonts w:cs="Arial"/>
          <w:i/>
          <w:szCs w:val="22"/>
        </w:rPr>
      </w:pPr>
      <w:r w:rsidRPr="009C55E1">
        <w:rPr>
          <w:rFonts w:cs="Arial"/>
          <w:i/>
          <w:szCs w:val="22"/>
        </w:rPr>
        <w:t xml:space="preserve">. The index is derived from the aggregate of metric scores for indicators of seagrass community </w:t>
      </w:r>
      <w:r w:rsidR="003A03FE" w:rsidRPr="009C55E1">
        <w:rPr>
          <w:rFonts w:cs="Arial"/>
          <w:i/>
          <w:szCs w:val="22"/>
        </w:rPr>
        <w:t>health. Values</w:t>
      </w:r>
      <w:r w:rsidRPr="009C55E1">
        <w:rPr>
          <w:rFonts w:cs="Arial"/>
          <w:i/>
          <w:szCs w:val="22"/>
        </w:rPr>
        <w:t xml:space="preserve"> are indexed scores scaled from </w:t>
      </w:r>
      <w:r w:rsidR="00543DFF" w:rsidRPr="009C55E1">
        <w:rPr>
          <w:rFonts w:cs="Arial"/>
          <w:i/>
          <w:szCs w:val="22"/>
        </w:rPr>
        <w:t xml:space="preserve">0–100 and graded: </w:t>
      </w:r>
      <w:r w:rsidR="00543DFF" w:rsidRPr="009C55E1">
        <w:rPr>
          <w:rFonts w:cs="Arial"/>
          <w:color w:val="008000"/>
          <w:szCs w:val="22"/>
        </w:rPr>
        <w:t>●</w:t>
      </w:r>
      <w:r w:rsidR="00543DFF" w:rsidRPr="009C55E1">
        <w:rPr>
          <w:rFonts w:cs="Arial"/>
          <w:i/>
          <w:szCs w:val="22"/>
        </w:rPr>
        <w:t xml:space="preserve"> = very good (81-100), </w:t>
      </w:r>
      <w:r w:rsidR="00543DFF" w:rsidRPr="009C55E1">
        <w:rPr>
          <w:rFonts w:cs="Arial"/>
          <w:color w:val="92D050"/>
          <w:szCs w:val="22"/>
        </w:rPr>
        <w:t>●</w:t>
      </w:r>
      <w:r w:rsidR="00543DFF" w:rsidRPr="009C55E1">
        <w:rPr>
          <w:rFonts w:cs="Arial"/>
          <w:i/>
          <w:szCs w:val="22"/>
        </w:rPr>
        <w:t xml:space="preserve"> = good (61 - 80), </w:t>
      </w:r>
      <w:r w:rsidR="00543DFF" w:rsidRPr="009C55E1">
        <w:rPr>
          <w:rFonts w:cs="Arial"/>
          <w:color w:val="FFFF00"/>
          <w:szCs w:val="22"/>
        </w:rPr>
        <w:t>●</w:t>
      </w:r>
      <w:r w:rsidR="00543DFF" w:rsidRPr="009C55E1">
        <w:rPr>
          <w:rFonts w:cs="Arial"/>
          <w:i/>
          <w:szCs w:val="22"/>
        </w:rPr>
        <w:t xml:space="preserve"> = moderate (41 - 60), </w:t>
      </w:r>
      <w:r w:rsidR="00543DFF" w:rsidRPr="009C55E1">
        <w:rPr>
          <w:rFonts w:cs="Arial"/>
          <w:i/>
          <w:color w:val="FFC000"/>
          <w:szCs w:val="22"/>
        </w:rPr>
        <w:t>●</w:t>
      </w:r>
      <w:r w:rsidR="00543DFF" w:rsidRPr="009C55E1">
        <w:rPr>
          <w:rFonts w:cs="Arial"/>
          <w:i/>
          <w:szCs w:val="22"/>
        </w:rPr>
        <w:t xml:space="preserve"> = poor (21 - 40), </w:t>
      </w:r>
      <w:r w:rsidR="00543DFF" w:rsidRPr="009C55E1">
        <w:rPr>
          <w:rFonts w:cs="Arial"/>
          <w:i/>
          <w:color w:val="FF0000"/>
          <w:szCs w:val="22"/>
        </w:rPr>
        <w:t>●</w:t>
      </w:r>
      <w:r w:rsidR="00543DFF" w:rsidRPr="009C55E1">
        <w:rPr>
          <w:rFonts w:cs="Arial"/>
          <w:i/>
          <w:szCs w:val="22"/>
        </w:rPr>
        <w:t> = very poor (0 - 20).</w:t>
      </w:r>
      <w:r w:rsidR="00543DFF" w:rsidRPr="009C55E1">
        <w:rPr>
          <w:rFonts w:cs="Arial"/>
          <w:i/>
          <w:color w:val="000000"/>
          <w:szCs w:val="22"/>
        </w:rPr>
        <w:t xml:space="preserve"> NB: Scores</w:t>
      </w:r>
      <w:r w:rsidR="00543DFF" w:rsidRPr="009C55E1">
        <w:rPr>
          <w:rFonts w:cs="Arial"/>
          <w:i/>
          <w:szCs w:val="22"/>
        </w:rPr>
        <w:t xml:space="preserve"> are unitless.</w:t>
      </w:r>
      <w:r w:rsidR="00737FD3">
        <w:rPr>
          <w:rFonts w:cs="Arial"/>
          <w:i/>
          <w:szCs w:val="22"/>
        </w:rPr>
        <w:t xml:space="preserve"> </w:t>
      </w:r>
      <w:r w:rsidR="00737FD3" w:rsidRPr="00737FD3">
        <w:rPr>
          <w:rFonts w:cs="Arial"/>
          <w:i/>
          <w:szCs w:val="22"/>
        </w:rPr>
        <w:t>Scores reflect amendments outlined in Section 2.5.5</w:t>
      </w:r>
    </w:p>
    <w:p w14:paraId="48381671" w14:textId="1DB1FCC5" w:rsidR="00CE334D" w:rsidRPr="009C55E1" w:rsidRDefault="00CE334D" w:rsidP="003E6134">
      <w:pPr>
        <w:autoSpaceDE w:val="0"/>
        <w:autoSpaceDN w:val="0"/>
        <w:adjustRightInd w:val="0"/>
        <w:rPr>
          <w:rFonts w:cs="Arial"/>
          <w:szCs w:val="22"/>
          <w:lang w:eastAsia="en-AU"/>
        </w:rPr>
      </w:pPr>
    </w:p>
    <w:p w14:paraId="503ADD8B" w14:textId="5B0D4A2F" w:rsidR="00A14E50" w:rsidRPr="009C55E1" w:rsidRDefault="00A14E50" w:rsidP="003E6134">
      <w:pPr>
        <w:autoSpaceDE w:val="0"/>
        <w:autoSpaceDN w:val="0"/>
        <w:adjustRightInd w:val="0"/>
        <w:rPr>
          <w:rFonts w:cs="Arial"/>
          <w:szCs w:val="22"/>
          <w:lang w:eastAsia="en-AU"/>
        </w:rPr>
      </w:pPr>
      <w:r w:rsidRPr="009C55E1">
        <w:rPr>
          <w:rFonts w:cs="Arial"/>
          <w:szCs w:val="22"/>
          <w:lang w:eastAsia="en-AU"/>
        </w:rPr>
        <w:t xml:space="preserve">The long-term trends in the seagrass condition index, and the raw data for each of the indicators are shown in </w:t>
      </w:r>
      <w:r w:rsidRPr="009C55E1">
        <w:rPr>
          <w:rFonts w:cs="Arial"/>
          <w:szCs w:val="22"/>
          <w:lang w:eastAsia="en-AU"/>
        </w:rPr>
        <w:fldChar w:fldCharType="begin"/>
      </w:r>
      <w:r w:rsidRPr="009C55E1">
        <w:rPr>
          <w:rFonts w:cs="Arial"/>
          <w:szCs w:val="22"/>
          <w:lang w:eastAsia="en-AU"/>
        </w:rPr>
        <w:instrText xml:space="preserve"> REF _Ref442456518 \h </w:instrText>
      </w:r>
      <w:r w:rsidR="00CB093C" w:rsidRPr="009C55E1">
        <w:rPr>
          <w:rFonts w:cs="Arial"/>
          <w:szCs w:val="22"/>
          <w:lang w:eastAsia="en-AU"/>
        </w:rPr>
        <w:instrText xml:space="preserve"> \* MERGEFORMAT </w:instrText>
      </w:r>
      <w:r w:rsidRPr="009C55E1">
        <w:rPr>
          <w:rFonts w:cs="Arial"/>
          <w:szCs w:val="22"/>
          <w:lang w:eastAsia="en-AU"/>
        </w:rPr>
      </w:r>
      <w:r w:rsidRPr="009C55E1">
        <w:rPr>
          <w:rFonts w:cs="Arial"/>
          <w:szCs w:val="22"/>
          <w:lang w:eastAsia="en-AU"/>
        </w:rPr>
        <w:fldChar w:fldCharType="separate"/>
      </w:r>
      <w:r w:rsidR="0067675D" w:rsidRPr="009C55E1">
        <w:rPr>
          <w:rFonts w:cs="Arial"/>
          <w:szCs w:val="22"/>
        </w:rPr>
        <w:t xml:space="preserve">Figure </w:t>
      </w:r>
      <w:r w:rsidR="0067675D">
        <w:rPr>
          <w:rFonts w:cs="Arial"/>
          <w:noProof/>
          <w:szCs w:val="22"/>
        </w:rPr>
        <w:t>17</w:t>
      </w:r>
      <w:r w:rsidRPr="009C55E1">
        <w:rPr>
          <w:rFonts w:cs="Arial"/>
          <w:szCs w:val="22"/>
          <w:lang w:eastAsia="en-AU"/>
        </w:rPr>
        <w:fldChar w:fldCharType="end"/>
      </w:r>
      <w:r w:rsidRPr="009C55E1">
        <w:rPr>
          <w:rFonts w:cs="Arial"/>
          <w:szCs w:val="22"/>
          <w:lang w:eastAsia="en-AU"/>
        </w:rPr>
        <w:t xml:space="preserve">. </w:t>
      </w:r>
      <w:r w:rsidR="00733F3D" w:rsidRPr="009C55E1">
        <w:rPr>
          <w:rFonts w:cs="Arial"/>
          <w:szCs w:val="22"/>
          <w:lang w:eastAsia="en-AU"/>
        </w:rPr>
        <w:t xml:space="preserve">Generalised additive models are presented for </w:t>
      </w:r>
      <w:r w:rsidR="00887319">
        <w:rPr>
          <w:rFonts w:cs="Arial"/>
          <w:szCs w:val="22"/>
          <w:lang w:eastAsia="en-AU"/>
        </w:rPr>
        <w:t xml:space="preserve">per cent </w:t>
      </w:r>
      <w:r w:rsidR="00733F3D" w:rsidRPr="009C55E1">
        <w:rPr>
          <w:rFonts w:cs="Arial"/>
          <w:szCs w:val="22"/>
          <w:lang w:eastAsia="en-AU"/>
        </w:rPr>
        <w:t>cover and tissue nutrients to show long-term trends</w:t>
      </w:r>
      <w:r w:rsidR="00201995" w:rsidRPr="009C55E1">
        <w:rPr>
          <w:rFonts w:cs="Arial"/>
          <w:szCs w:val="22"/>
          <w:lang w:eastAsia="en-AU"/>
        </w:rPr>
        <w:t xml:space="preserve"> in these indicators</w:t>
      </w:r>
      <w:r w:rsidR="00733F3D" w:rsidRPr="009C55E1">
        <w:rPr>
          <w:rFonts w:cs="Arial"/>
          <w:szCs w:val="22"/>
          <w:lang w:eastAsia="en-AU"/>
        </w:rPr>
        <w:t>. These models could not be constructed on the reproductive data due to the large number of zeroes</w:t>
      </w:r>
      <w:r w:rsidR="00B84F63" w:rsidRPr="009C55E1">
        <w:rPr>
          <w:rFonts w:cs="Arial"/>
          <w:szCs w:val="22"/>
          <w:lang w:eastAsia="en-AU"/>
        </w:rPr>
        <w:t>. I</w:t>
      </w:r>
      <w:r w:rsidR="00733F3D" w:rsidRPr="009C55E1">
        <w:rPr>
          <w:rFonts w:cs="Arial"/>
          <w:szCs w:val="22"/>
          <w:lang w:eastAsia="en-AU"/>
        </w:rPr>
        <w:t>nstead</w:t>
      </w:r>
      <w:r w:rsidR="00B84F63" w:rsidRPr="009C55E1">
        <w:rPr>
          <w:rFonts w:cs="Arial"/>
          <w:szCs w:val="22"/>
          <w:lang w:eastAsia="en-AU"/>
        </w:rPr>
        <w:t>,</w:t>
      </w:r>
      <w:r w:rsidR="00733F3D" w:rsidRPr="009C55E1">
        <w:rPr>
          <w:rFonts w:cs="Arial"/>
          <w:szCs w:val="22"/>
          <w:lang w:eastAsia="en-AU"/>
        </w:rPr>
        <w:t xml:space="preserve"> reproductive effort is displayed as mean and standard errors</w:t>
      </w:r>
      <w:r w:rsidR="00B84F63" w:rsidRPr="009C55E1">
        <w:rPr>
          <w:rFonts w:cs="Arial"/>
          <w:szCs w:val="22"/>
          <w:lang w:eastAsia="en-AU"/>
        </w:rPr>
        <w:t>, which highlights the large seasonal vari</w:t>
      </w:r>
      <w:r w:rsidR="00F507B9" w:rsidRPr="009C55E1">
        <w:rPr>
          <w:rFonts w:cs="Arial"/>
          <w:szCs w:val="22"/>
          <w:lang w:eastAsia="en-AU"/>
        </w:rPr>
        <w:t>ability in reproductive effort.</w:t>
      </w:r>
    </w:p>
    <w:p w14:paraId="2AC1B98E" w14:textId="74A637DA" w:rsidR="00CE334D" w:rsidRPr="009C55E1" w:rsidRDefault="00CE334D" w:rsidP="003E6134">
      <w:pPr>
        <w:autoSpaceDE w:val="0"/>
        <w:autoSpaceDN w:val="0"/>
        <w:adjustRightInd w:val="0"/>
        <w:rPr>
          <w:rFonts w:cs="Arial"/>
          <w:szCs w:val="22"/>
          <w:lang w:eastAsia="en-AU"/>
        </w:rPr>
      </w:pPr>
    </w:p>
    <w:p w14:paraId="24667E2D" w14:textId="77777777" w:rsidR="00E13FC5" w:rsidRPr="009C55E1" w:rsidRDefault="00E13FC5" w:rsidP="00E13FC5">
      <w:pPr>
        <w:keepNext/>
        <w:widowControl w:val="0"/>
        <w:jc w:val="center"/>
        <w:rPr>
          <w:rFonts w:cs="Arial"/>
          <w:szCs w:val="22"/>
          <w:lang w:val="en-GB"/>
        </w:rPr>
      </w:pPr>
      <w:r w:rsidRPr="009C55E1">
        <w:rPr>
          <w:rFonts w:cs="Arial"/>
          <w:noProof/>
          <w:szCs w:val="22"/>
          <w:lang w:eastAsia="en-AU"/>
        </w:rPr>
        <w:lastRenderedPageBreak/>
        <w:drawing>
          <wp:inline distT="0" distB="0" distL="0" distR="0" wp14:anchorId="03026E4E" wp14:editId="683C054B">
            <wp:extent cx="5617068" cy="5268336"/>
            <wp:effectExtent l="0" t="0" r="3175" b="8890"/>
            <wp:docPr id="237" name="Picture 237" descr="Set of four box plot graphs showing seagrass percent cover measures per quadrat from meadows monitored from June 1999 to May 2019 (sites and habitats pooled)&#10;Generalised Additive Model plot of seagrass abundance (% cover) for each habitat type across the G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GBR wide with Habitat_GAM_Dec16.png"/>
                    <pic:cNvPicPr/>
                  </pic:nvPicPr>
                  <pic:blipFill>
                    <a:blip r:embed="rId70"/>
                    <a:stretch>
                      <a:fillRect/>
                    </a:stretch>
                  </pic:blipFill>
                  <pic:spPr>
                    <a:xfrm>
                      <a:off x="0" y="0"/>
                      <a:ext cx="5617068" cy="5268336"/>
                    </a:xfrm>
                    <a:prstGeom prst="rect">
                      <a:avLst/>
                    </a:prstGeom>
                  </pic:spPr>
                </pic:pic>
              </a:graphicData>
            </a:graphic>
          </wp:inline>
        </w:drawing>
      </w:r>
    </w:p>
    <w:p w14:paraId="23BDA1EF" w14:textId="588E73A0" w:rsidR="000C5E7B" w:rsidRPr="009C55E1" w:rsidRDefault="00E13FC5" w:rsidP="000C5E7B">
      <w:pPr>
        <w:rPr>
          <w:rFonts w:cs="Arial"/>
          <w:i/>
          <w:vanish/>
          <w:szCs w:val="22"/>
          <w:specVanish/>
        </w:rPr>
      </w:pPr>
      <w:bookmarkStart w:id="227" w:name="_Ref442456518"/>
      <w:bookmarkStart w:id="228" w:name="_Toc38634121"/>
      <w:r w:rsidRPr="009C55E1">
        <w:rPr>
          <w:rFonts w:cs="Arial"/>
          <w:szCs w:val="22"/>
        </w:rPr>
        <w:t xml:space="preserve">Figure </w:t>
      </w:r>
      <w:r w:rsidRPr="009C55E1">
        <w:rPr>
          <w:rFonts w:cs="Arial"/>
          <w:noProof/>
          <w:szCs w:val="22"/>
        </w:rPr>
        <w:fldChar w:fldCharType="begin"/>
      </w:r>
      <w:r w:rsidRPr="009C55E1">
        <w:rPr>
          <w:rFonts w:cs="Arial"/>
          <w:noProof/>
          <w:szCs w:val="22"/>
        </w:rPr>
        <w:instrText xml:space="preserve"> SEQ Figure \* ARABIC </w:instrText>
      </w:r>
      <w:r w:rsidRPr="009C55E1">
        <w:rPr>
          <w:rFonts w:cs="Arial"/>
          <w:noProof/>
          <w:szCs w:val="22"/>
        </w:rPr>
        <w:fldChar w:fldCharType="separate"/>
      </w:r>
      <w:r w:rsidR="0067675D">
        <w:rPr>
          <w:rFonts w:cs="Arial"/>
          <w:noProof/>
          <w:szCs w:val="22"/>
        </w:rPr>
        <w:t>17</w:t>
      </w:r>
      <w:r w:rsidRPr="009C55E1">
        <w:rPr>
          <w:rFonts w:cs="Arial"/>
          <w:noProof/>
          <w:szCs w:val="22"/>
        </w:rPr>
        <w:fldChar w:fldCharType="end"/>
      </w:r>
      <w:bookmarkEnd w:id="227"/>
      <w:r w:rsidRPr="009C55E1">
        <w:rPr>
          <w:rFonts w:cs="Arial"/>
          <w:szCs w:val="22"/>
        </w:rPr>
        <w:t xml:space="preserve">. </w:t>
      </w:r>
      <w:r w:rsidR="00FE0557" w:rsidRPr="009C55E1">
        <w:rPr>
          <w:rFonts w:cs="Arial"/>
          <w:i/>
          <w:szCs w:val="22"/>
        </w:rPr>
        <w:t>Trend</w:t>
      </w:r>
      <w:r w:rsidR="002E28DA" w:rsidRPr="009C55E1">
        <w:rPr>
          <w:rFonts w:cs="Arial"/>
          <w:i/>
          <w:szCs w:val="22"/>
        </w:rPr>
        <w:t xml:space="preserve">s in the </w:t>
      </w:r>
      <w:r w:rsidR="000C5E7B" w:rsidRPr="009C55E1">
        <w:rPr>
          <w:rFonts w:cs="Arial"/>
          <w:i/>
          <w:szCs w:val="22"/>
        </w:rPr>
        <w:t xml:space="preserve">seagrass </w:t>
      </w:r>
      <w:r w:rsidR="007A70FE" w:rsidRPr="009C55E1">
        <w:rPr>
          <w:rFonts w:cs="Arial"/>
          <w:i/>
          <w:szCs w:val="22"/>
        </w:rPr>
        <w:t>condition</w:t>
      </w:r>
      <w:r w:rsidR="00011B59" w:rsidRPr="009C55E1">
        <w:rPr>
          <w:rFonts w:cs="Arial"/>
          <w:i/>
          <w:szCs w:val="22"/>
        </w:rPr>
        <w:t xml:space="preserve"> </w:t>
      </w:r>
      <w:r w:rsidR="002E28DA" w:rsidRPr="009C55E1">
        <w:rPr>
          <w:rFonts w:cs="Arial"/>
          <w:i/>
          <w:szCs w:val="22"/>
        </w:rPr>
        <w:t>index and indi</w:t>
      </w:r>
      <w:r w:rsidR="00FE0557" w:rsidRPr="009C55E1">
        <w:rPr>
          <w:rFonts w:cs="Arial"/>
          <w:i/>
          <w:szCs w:val="22"/>
        </w:rPr>
        <w:t>cators used to calculate the index</w:t>
      </w:r>
      <w:bookmarkEnd w:id="228"/>
      <w:r w:rsidR="000C5E7B" w:rsidRPr="009C55E1">
        <w:rPr>
          <w:rFonts w:cs="Arial"/>
          <w:i/>
          <w:vanish/>
          <w:szCs w:val="22"/>
          <w:specVanish/>
        </w:rPr>
        <w:t xml:space="preserve"> </w:t>
      </w:r>
    </w:p>
    <w:p w14:paraId="24138B85" w14:textId="63B5AAD1" w:rsidR="008F7D8B" w:rsidRPr="009C55E1" w:rsidRDefault="000C5E7B" w:rsidP="00332CF2">
      <w:pPr>
        <w:rPr>
          <w:rFonts w:cs="Arial"/>
          <w:szCs w:val="22"/>
        </w:rPr>
      </w:pPr>
      <w:r w:rsidRPr="009C55E1">
        <w:rPr>
          <w:rFonts w:cs="Arial"/>
          <w:i/>
          <w:szCs w:val="22"/>
        </w:rPr>
        <w:t xml:space="preserve"> </w:t>
      </w:r>
      <w:r w:rsidR="00FE0557" w:rsidRPr="009C55E1">
        <w:rPr>
          <w:rFonts w:cs="Arial"/>
          <w:i/>
          <w:szCs w:val="22"/>
        </w:rPr>
        <w:t>including</w:t>
      </w:r>
      <w:r w:rsidR="002E28DA" w:rsidRPr="009C55E1">
        <w:rPr>
          <w:rFonts w:cs="Arial"/>
          <w:i/>
          <w:szCs w:val="22"/>
        </w:rPr>
        <w:t>:</w:t>
      </w:r>
      <w:r w:rsidR="00FE0557" w:rsidRPr="009C55E1">
        <w:rPr>
          <w:rFonts w:cs="Arial"/>
          <w:i/>
          <w:szCs w:val="22"/>
        </w:rPr>
        <w:t xml:space="preserve"> a. </w:t>
      </w:r>
      <w:r w:rsidR="00F206BF" w:rsidRPr="009C55E1">
        <w:rPr>
          <w:rFonts w:cs="Arial"/>
          <w:i/>
          <w:szCs w:val="22"/>
        </w:rPr>
        <w:t>Reef</w:t>
      </w:r>
      <w:r w:rsidR="00FE0557" w:rsidRPr="009C55E1">
        <w:rPr>
          <w:rFonts w:cs="Arial"/>
          <w:i/>
          <w:szCs w:val="22"/>
        </w:rPr>
        <w:t>-wide s</w:t>
      </w:r>
      <w:r w:rsidR="008E04B7" w:rsidRPr="009C55E1">
        <w:rPr>
          <w:rFonts w:cs="Arial"/>
          <w:i/>
          <w:szCs w:val="22"/>
        </w:rPr>
        <w:t>eagrass index</w:t>
      </w:r>
      <w:r w:rsidR="00FE0557" w:rsidRPr="009C55E1">
        <w:rPr>
          <w:rFonts w:cs="Arial"/>
          <w:i/>
          <w:szCs w:val="22"/>
        </w:rPr>
        <w:t xml:space="preserve"> (circles) and regional trends (lines); b.</w:t>
      </w:r>
      <w:r w:rsidR="008E04B7" w:rsidRPr="009C55E1">
        <w:rPr>
          <w:rFonts w:cs="Arial"/>
          <w:i/>
          <w:szCs w:val="22"/>
        </w:rPr>
        <w:t xml:space="preserve"> </w:t>
      </w:r>
      <w:r w:rsidR="00FE0557" w:rsidRPr="009C55E1">
        <w:rPr>
          <w:rFonts w:cs="Arial"/>
          <w:i/>
          <w:szCs w:val="22"/>
        </w:rPr>
        <w:t>t</w:t>
      </w:r>
      <w:r w:rsidR="00E13FC5" w:rsidRPr="009C55E1">
        <w:rPr>
          <w:rFonts w:cs="Arial"/>
          <w:i/>
          <w:szCs w:val="22"/>
        </w:rPr>
        <w:t>rends in seagrass abundance (</w:t>
      </w:r>
      <w:r w:rsidR="007F7222">
        <w:rPr>
          <w:rFonts w:cs="Arial"/>
          <w:i/>
          <w:szCs w:val="22"/>
        </w:rPr>
        <w:t>per cent</w:t>
      </w:r>
      <w:r w:rsidR="00E13FC5" w:rsidRPr="009C55E1">
        <w:rPr>
          <w:rFonts w:cs="Arial"/>
          <w:i/>
          <w:szCs w:val="22"/>
        </w:rPr>
        <w:t xml:space="preserve"> cover) represented by a GAM plot</w:t>
      </w:r>
      <w:r w:rsidR="00FE0557" w:rsidRPr="009C55E1">
        <w:rPr>
          <w:rFonts w:cs="Arial"/>
          <w:i/>
          <w:szCs w:val="22"/>
        </w:rPr>
        <w:t xml:space="preserve"> as </w:t>
      </w:r>
      <w:r w:rsidR="00E13FC5" w:rsidRPr="009C55E1">
        <w:rPr>
          <w:rFonts w:cs="Arial"/>
          <w:i/>
          <w:szCs w:val="22"/>
        </w:rPr>
        <w:t>dark lines with shaded areas defining 95</w:t>
      </w:r>
      <w:r w:rsidR="003C311A">
        <w:rPr>
          <w:rFonts w:cs="Arial"/>
          <w:i/>
          <w:szCs w:val="22"/>
        </w:rPr>
        <w:t xml:space="preserve">% </w:t>
      </w:r>
      <w:r w:rsidR="00E13FC5" w:rsidRPr="009C55E1">
        <w:rPr>
          <w:rFonts w:cs="Arial"/>
          <w:i/>
          <w:szCs w:val="22"/>
        </w:rPr>
        <w:t>confidence intervals of those trends</w:t>
      </w:r>
      <w:r w:rsidR="00FE0557" w:rsidRPr="009C55E1">
        <w:rPr>
          <w:rFonts w:cs="Arial"/>
          <w:i/>
          <w:szCs w:val="22"/>
        </w:rPr>
        <w:t xml:space="preserve"> (</w:t>
      </w:r>
      <w:r w:rsidR="00F206BF" w:rsidRPr="009C55E1">
        <w:rPr>
          <w:rFonts w:cs="Arial"/>
          <w:i/>
          <w:szCs w:val="22"/>
        </w:rPr>
        <w:t>Reef</w:t>
      </w:r>
      <w:r w:rsidR="00FE0557" w:rsidRPr="009C55E1">
        <w:rPr>
          <w:rFonts w:cs="Arial"/>
          <w:i/>
          <w:szCs w:val="22"/>
        </w:rPr>
        <w:t>), and coloured lines representing NRM trends; c. reproductive structures (gam is not possible due to high count of zeroes); and d. tissue nutrient content represented by a GAM plot as dark lines with shaded areas defining 95</w:t>
      </w:r>
      <w:r w:rsidR="003C311A">
        <w:rPr>
          <w:rFonts w:cs="Arial"/>
          <w:i/>
          <w:szCs w:val="22"/>
        </w:rPr>
        <w:t xml:space="preserve">% </w:t>
      </w:r>
      <w:r w:rsidR="00FE0557" w:rsidRPr="009C55E1">
        <w:rPr>
          <w:rFonts w:cs="Arial"/>
          <w:i/>
          <w:szCs w:val="22"/>
        </w:rPr>
        <w:t>confidence intervals of those trends (</w:t>
      </w:r>
      <w:r w:rsidR="00F206BF" w:rsidRPr="009C55E1">
        <w:rPr>
          <w:rFonts w:cs="Arial"/>
          <w:i/>
          <w:szCs w:val="22"/>
        </w:rPr>
        <w:t>Reef</w:t>
      </w:r>
      <w:r w:rsidR="00FE0557" w:rsidRPr="009C55E1">
        <w:rPr>
          <w:rFonts w:cs="Arial"/>
          <w:i/>
          <w:szCs w:val="22"/>
        </w:rPr>
        <w:t>), and coloured lines representing NRM trends</w:t>
      </w:r>
      <w:r w:rsidR="00E13FC5" w:rsidRPr="009C55E1">
        <w:rPr>
          <w:rFonts w:cs="Arial"/>
          <w:i/>
          <w:szCs w:val="22"/>
        </w:rPr>
        <w:t>.</w:t>
      </w:r>
      <w:r w:rsidR="00E13FC5" w:rsidRPr="009C55E1">
        <w:rPr>
          <w:rFonts w:cs="Arial"/>
          <w:i/>
          <w:szCs w:val="22"/>
          <w:lang w:val="en-GB"/>
        </w:rPr>
        <w:t xml:space="preserve"> </w:t>
      </w:r>
    </w:p>
    <w:p w14:paraId="0626B337" w14:textId="77777777" w:rsidR="00422273" w:rsidRPr="009C55E1" w:rsidRDefault="00422273" w:rsidP="00332CF2">
      <w:pPr>
        <w:rPr>
          <w:rFonts w:cs="Arial"/>
          <w:szCs w:val="22"/>
        </w:rPr>
      </w:pPr>
    </w:p>
    <w:p w14:paraId="75E27D1C" w14:textId="6F7B6229" w:rsidR="007C5F6F" w:rsidRPr="00A37E15" w:rsidRDefault="007C5F6F" w:rsidP="000150D8">
      <w:pPr>
        <w:pStyle w:val="Heading2"/>
      </w:pPr>
      <w:bookmarkStart w:id="229" w:name="_Toc37775060"/>
      <w:bookmarkStart w:id="230" w:name="_Toc43987035"/>
      <w:r w:rsidRPr="00A37E15">
        <w:lastRenderedPageBreak/>
        <w:t>Trends in seagrass condition indicators by habitat type</w:t>
      </w:r>
      <w:bookmarkEnd w:id="229"/>
      <w:bookmarkEnd w:id="230"/>
    </w:p>
    <w:p w14:paraId="01ED005C" w14:textId="36DA47D7" w:rsidR="00FA665D" w:rsidRPr="00431DDA" w:rsidRDefault="00FA665D" w:rsidP="000150D8">
      <w:pPr>
        <w:pStyle w:val="Heading3"/>
      </w:pPr>
      <w:bookmarkStart w:id="231" w:name="_Toc37775061"/>
      <w:bookmarkStart w:id="232" w:name="_Toc43987036"/>
      <w:r w:rsidRPr="00431DDA">
        <w:t>Seagrass abundance, composition and extent</w:t>
      </w:r>
      <w:bookmarkEnd w:id="231"/>
      <w:bookmarkEnd w:id="232"/>
      <w:r w:rsidRPr="00431DDA">
        <w:t xml:space="preserve"> </w:t>
      </w:r>
    </w:p>
    <w:p w14:paraId="1E0EE8D3" w14:textId="77777777" w:rsidR="00130F21" w:rsidRPr="009C55E1" w:rsidRDefault="00130F21" w:rsidP="00130F21">
      <w:pPr>
        <w:rPr>
          <w:rFonts w:cs="Arial"/>
          <w:szCs w:val="22"/>
        </w:rPr>
      </w:pPr>
      <w:r w:rsidRPr="009C55E1">
        <w:rPr>
          <w:rFonts w:cs="Arial"/>
          <w:szCs w:val="22"/>
        </w:rPr>
        <w:t>Seagrass abundance scores have fluctuated since monitoring was established. An examination of long-term abundances across the Reef indicates:</w:t>
      </w:r>
    </w:p>
    <w:p w14:paraId="3D06B8B3" w14:textId="69FD6C9E" w:rsidR="00130F21" w:rsidRPr="009C55E1" w:rsidRDefault="00130F21" w:rsidP="003F4D32">
      <w:pPr>
        <w:numPr>
          <w:ilvl w:val="0"/>
          <w:numId w:val="24"/>
        </w:numPr>
        <w:rPr>
          <w:rFonts w:cs="Arial"/>
          <w:color w:val="000000" w:themeColor="text1"/>
          <w:szCs w:val="22"/>
          <w:lang w:val="en-GB"/>
        </w:rPr>
      </w:pPr>
      <w:r w:rsidRPr="009C55E1">
        <w:rPr>
          <w:rFonts w:cs="Arial"/>
          <w:color w:val="000000" w:themeColor="text1"/>
          <w:szCs w:val="22"/>
          <w:lang w:val="en-GB"/>
        </w:rPr>
        <w:t>no significant trends at 74</w:t>
      </w:r>
      <w:r w:rsidR="003C311A">
        <w:rPr>
          <w:rFonts w:cs="Arial"/>
          <w:color w:val="000000" w:themeColor="text1"/>
          <w:szCs w:val="22"/>
          <w:lang w:val="en-GB"/>
        </w:rPr>
        <w:t xml:space="preserve">% </w:t>
      </w:r>
      <w:r w:rsidRPr="009C55E1">
        <w:rPr>
          <w:rFonts w:cs="Arial"/>
          <w:color w:val="000000" w:themeColor="text1"/>
          <w:szCs w:val="22"/>
          <w:lang w:val="en-GB"/>
        </w:rPr>
        <w:t>of long-term monitoring sites, however 5</w:t>
      </w:r>
      <w:r w:rsidR="003C311A">
        <w:rPr>
          <w:rFonts w:cs="Arial"/>
          <w:color w:val="000000" w:themeColor="text1"/>
          <w:szCs w:val="22"/>
          <w:lang w:val="en-GB"/>
        </w:rPr>
        <w:t xml:space="preserve">% </w:t>
      </w:r>
      <w:r w:rsidRPr="009C55E1">
        <w:rPr>
          <w:rFonts w:cs="Arial"/>
          <w:color w:val="000000" w:themeColor="text1"/>
          <w:szCs w:val="22"/>
          <w:lang w:val="en-GB"/>
        </w:rPr>
        <w:t>of sites significantly increased in abundance and 13</w:t>
      </w:r>
      <w:r w:rsidR="003C311A">
        <w:rPr>
          <w:rFonts w:cs="Arial"/>
          <w:color w:val="000000" w:themeColor="text1"/>
          <w:szCs w:val="22"/>
          <w:lang w:val="en-GB"/>
        </w:rPr>
        <w:t xml:space="preserve">% </w:t>
      </w:r>
      <w:r w:rsidRPr="009C55E1">
        <w:rPr>
          <w:rFonts w:cs="Arial"/>
          <w:color w:val="000000" w:themeColor="text1"/>
          <w:szCs w:val="22"/>
          <w:lang w:val="en-GB"/>
        </w:rPr>
        <w:t xml:space="preserve">decreased (Appendix 4, </w:t>
      </w:r>
      <w:r w:rsidR="006F0AD1">
        <w:rPr>
          <w:rFonts w:cs="Arial"/>
          <w:color w:val="000000" w:themeColor="text1"/>
          <w:szCs w:val="22"/>
          <w:lang w:val="en-GB"/>
        </w:rPr>
        <w:fldChar w:fldCharType="begin"/>
      </w:r>
      <w:r w:rsidR="006F0AD1">
        <w:rPr>
          <w:rFonts w:cs="Arial"/>
          <w:color w:val="000000" w:themeColor="text1"/>
          <w:szCs w:val="22"/>
          <w:lang w:val="en-GB"/>
        </w:rPr>
        <w:instrText xml:space="preserve"> REF _Ref511310045 \h </w:instrText>
      </w:r>
      <w:r w:rsidR="006F0AD1">
        <w:rPr>
          <w:rFonts w:cs="Arial"/>
          <w:color w:val="000000" w:themeColor="text1"/>
          <w:szCs w:val="22"/>
          <w:lang w:val="en-GB"/>
        </w:rPr>
      </w:r>
      <w:r w:rsidR="006F0AD1">
        <w:rPr>
          <w:rFonts w:cs="Arial"/>
          <w:color w:val="000000" w:themeColor="text1"/>
          <w:szCs w:val="22"/>
          <w:lang w:val="en-GB"/>
        </w:rPr>
        <w:fldChar w:fldCharType="separate"/>
      </w:r>
      <w:r w:rsidR="0067675D" w:rsidRPr="00867E8C">
        <w:rPr>
          <w:rFonts w:cs="Arial"/>
          <w:szCs w:val="22"/>
        </w:rPr>
        <w:t xml:space="preserve">Table </w:t>
      </w:r>
      <w:r w:rsidR="0067675D">
        <w:rPr>
          <w:rFonts w:cs="Arial"/>
          <w:noProof/>
          <w:szCs w:val="22"/>
        </w:rPr>
        <w:t>20</w:t>
      </w:r>
      <w:r w:rsidR="006F0AD1">
        <w:rPr>
          <w:rFonts w:cs="Arial"/>
          <w:color w:val="000000" w:themeColor="text1"/>
          <w:szCs w:val="22"/>
          <w:lang w:val="en-GB"/>
        </w:rPr>
        <w:fldChar w:fldCharType="end"/>
      </w:r>
      <w:r w:rsidRPr="009C55E1">
        <w:rPr>
          <w:rFonts w:cs="Arial"/>
          <w:color w:val="000000" w:themeColor="text1"/>
          <w:szCs w:val="22"/>
          <w:lang w:val="en-GB"/>
        </w:rPr>
        <w:t>)</w:t>
      </w:r>
    </w:p>
    <w:p w14:paraId="45E880E5" w14:textId="58D516C1" w:rsidR="00130F21" w:rsidRPr="009C55E1" w:rsidRDefault="00130F21" w:rsidP="003F4D32">
      <w:pPr>
        <w:numPr>
          <w:ilvl w:val="0"/>
          <w:numId w:val="24"/>
        </w:numPr>
        <w:rPr>
          <w:rFonts w:cs="Arial"/>
          <w:color w:val="000000" w:themeColor="text1"/>
          <w:szCs w:val="22"/>
          <w:lang w:val="en-GB"/>
        </w:rPr>
      </w:pPr>
      <w:r w:rsidRPr="009C55E1">
        <w:rPr>
          <w:rFonts w:cs="Arial"/>
          <w:color w:val="000000" w:themeColor="text1"/>
          <w:szCs w:val="22"/>
          <w:lang w:val="en-GB"/>
        </w:rPr>
        <w:t>the rate of change in abundance was higher at sites increasing (0.9 ±0.5</w:t>
      </w:r>
      <w:r w:rsidR="00A751EF">
        <w:rPr>
          <w:rFonts w:cs="Arial"/>
          <w:color w:val="000000" w:themeColor="text1"/>
          <w:szCs w:val="22"/>
          <w:lang w:val="en-GB"/>
        </w:rPr>
        <w:t>%</w:t>
      </w:r>
      <w:r w:rsidRPr="009C55E1">
        <w:rPr>
          <w:rFonts w:cs="Arial"/>
          <w:color w:val="000000" w:themeColor="text1"/>
          <w:szCs w:val="22"/>
          <w:lang w:val="en-GB"/>
        </w:rPr>
        <w:t>, sampling event</w:t>
      </w:r>
      <w:r w:rsidRPr="006F0AD1">
        <w:rPr>
          <w:rFonts w:cs="Arial"/>
          <w:color w:val="000000" w:themeColor="text1"/>
          <w:szCs w:val="22"/>
          <w:vertAlign w:val="superscript"/>
          <w:lang w:val="en-GB"/>
        </w:rPr>
        <w:t>-1</w:t>
      </w:r>
      <w:r w:rsidRPr="009C55E1">
        <w:rPr>
          <w:rFonts w:cs="Arial"/>
          <w:color w:val="000000" w:themeColor="text1"/>
          <w:szCs w:val="22"/>
          <w:lang w:val="en-GB"/>
        </w:rPr>
        <w:t>) than decreasing (-0.3 ±0.1</w:t>
      </w:r>
      <w:r w:rsidR="003C311A">
        <w:rPr>
          <w:rFonts w:cs="Arial"/>
          <w:color w:val="000000" w:themeColor="text1"/>
          <w:szCs w:val="22"/>
          <w:lang w:val="en-GB"/>
        </w:rPr>
        <w:t xml:space="preserve">% </w:t>
      </w:r>
      <w:r w:rsidRPr="009C55E1">
        <w:rPr>
          <w:rFonts w:cs="Arial"/>
          <w:color w:val="000000" w:themeColor="text1"/>
          <w:szCs w:val="22"/>
          <w:lang w:val="en-GB"/>
        </w:rPr>
        <w:t>sampling event</w:t>
      </w:r>
      <w:r w:rsidRPr="006F0AD1">
        <w:rPr>
          <w:rFonts w:cs="Arial"/>
          <w:color w:val="000000" w:themeColor="text1"/>
          <w:szCs w:val="22"/>
          <w:vertAlign w:val="superscript"/>
          <w:lang w:val="en-GB"/>
        </w:rPr>
        <w:t>-1</w:t>
      </w:r>
      <w:r w:rsidRPr="009C55E1">
        <w:rPr>
          <w:rFonts w:cs="Arial"/>
          <w:color w:val="000000" w:themeColor="text1"/>
          <w:szCs w:val="22"/>
          <w:lang w:val="en-GB"/>
        </w:rPr>
        <w:t xml:space="preserve">) </w:t>
      </w:r>
      <w:r w:rsidR="006F0AD1" w:rsidRPr="009C55E1">
        <w:rPr>
          <w:rFonts w:cs="Arial"/>
          <w:color w:val="000000" w:themeColor="text1"/>
          <w:szCs w:val="22"/>
          <w:lang w:val="en-GB"/>
        </w:rPr>
        <w:t xml:space="preserve">(Appendix 4, </w:t>
      </w:r>
      <w:r w:rsidR="006F0AD1">
        <w:rPr>
          <w:rFonts w:cs="Arial"/>
          <w:color w:val="000000" w:themeColor="text1"/>
          <w:szCs w:val="22"/>
          <w:lang w:val="en-GB"/>
        </w:rPr>
        <w:fldChar w:fldCharType="begin"/>
      </w:r>
      <w:r w:rsidR="006F0AD1">
        <w:rPr>
          <w:rFonts w:cs="Arial"/>
          <w:color w:val="000000" w:themeColor="text1"/>
          <w:szCs w:val="22"/>
          <w:lang w:val="en-GB"/>
        </w:rPr>
        <w:instrText xml:space="preserve"> REF _Ref511310045 \h </w:instrText>
      </w:r>
      <w:r w:rsidR="006F0AD1">
        <w:rPr>
          <w:rFonts w:cs="Arial"/>
          <w:color w:val="000000" w:themeColor="text1"/>
          <w:szCs w:val="22"/>
          <w:lang w:val="en-GB"/>
        </w:rPr>
      </w:r>
      <w:r w:rsidR="006F0AD1">
        <w:rPr>
          <w:rFonts w:cs="Arial"/>
          <w:color w:val="000000" w:themeColor="text1"/>
          <w:szCs w:val="22"/>
          <w:lang w:val="en-GB"/>
        </w:rPr>
        <w:fldChar w:fldCharType="separate"/>
      </w:r>
      <w:r w:rsidR="0067675D" w:rsidRPr="00867E8C">
        <w:rPr>
          <w:rFonts w:cs="Arial"/>
          <w:szCs w:val="22"/>
        </w:rPr>
        <w:t xml:space="preserve">Table </w:t>
      </w:r>
      <w:r w:rsidR="0067675D">
        <w:rPr>
          <w:rFonts w:cs="Arial"/>
          <w:noProof/>
          <w:szCs w:val="22"/>
        </w:rPr>
        <w:t>20</w:t>
      </w:r>
      <w:r w:rsidR="006F0AD1">
        <w:rPr>
          <w:rFonts w:cs="Arial"/>
          <w:color w:val="000000" w:themeColor="text1"/>
          <w:szCs w:val="22"/>
          <w:lang w:val="en-GB"/>
        </w:rPr>
        <w:fldChar w:fldCharType="end"/>
      </w:r>
      <w:r w:rsidR="006F0AD1" w:rsidRPr="009C55E1">
        <w:rPr>
          <w:rFonts w:cs="Arial"/>
          <w:color w:val="000000" w:themeColor="text1"/>
          <w:szCs w:val="22"/>
          <w:lang w:val="en-GB"/>
        </w:rPr>
        <w:t>)</w:t>
      </w:r>
    </w:p>
    <w:p w14:paraId="36658C5E" w14:textId="63711DD1" w:rsidR="00130F21" w:rsidRPr="009C55E1" w:rsidRDefault="00130F21" w:rsidP="003F4D32">
      <w:pPr>
        <w:numPr>
          <w:ilvl w:val="0"/>
          <w:numId w:val="24"/>
        </w:numPr>
        <w:rPr>
          <w:rFonts w:cs="Arial"/>
          <w:color w:val="000000" w:themeColor="text1"/>
          <w:szCs w:val="22"/>
          <w:lang w:val="en-GB"/>
        </w:rPr>
      </w:pPr>
      <w:r w:rsidRPr="009C55E1">
        <w:rPr>
          <w:rFonts w:cs="Arial"/>
          <w:color w:val="000000" w:themeColor="text1"/>
          <w:szCs w:val="22"/>
          <w:lang w:val="en-GB"/>
        </w:rPr>
        <w:t>the most variable Reef seagrass habitat in abundance (since 2005) was intertidal estuary (CV=73.7</w:t>
      </w:r>
      <w:r w:rsidR="007C215D">
        <w:rPr>
          <w:rFonts w:cs="Arial"/>
          <w:color w:val="000000" w:themeColor="text1"/>
          <w:szCs w:val="22"/>
          <w:lang w:val="en-GB"/>
        </w:rPr>
        <w:t>%</w:t>
      </w:r>
      <w:r w:rsidRPr="009C55E1">
        <w:rPr>
          <w:rFonts w:cs="Arial"/>
          <w:color w:val="000000" w:themeColor="text1"/>
          <w:szCs w:val="22"/>
          <w:lang w:val="en-GB"/>
        </w:rPr>
        <w:t>), followed by intertidal reef (CV=52.1</w:t>
      </w:r>
      <w:r w:rsidR="007C215D">
        <w:rPr>
          <w:rFonts w:cs="Arial"/>
          <w:color w:val="000000" w:themeColor="text1"/>
          <w:szCs w:val="22"/>
          <w:lang w:val="en-GB"/>
        </w:rPr>
        <w:t>%</w:t>
      </w:r>
      <w:r w:rsidRPr="009C55E1">
        <w:rPr>
          <w:rFonts w:cs="Arial"/>
          <w:color w:val="000000" w:themeColor="text1"/>
          <w:szCs w:val="22"/>
          <w:lang w:val="en-GB"/>
        </w:rPr>
        <w:t>), intertidal coastal (CV=45.5</w:t>
      </w:r>
      <w:r w:rsidR="007C215D">
        <w:rPr>
          <w:rFonts w:cs="Arial"/>
          <w:color w:val="000000" w:themeColor="text1"/>
          <w:szCs w:val="22"/>
          <w:lang w:val="en-GB"/>
        </w:rPr>
        <w:t>%</w:t>
      </w:r>
      <w:r w:rsidRPr="009C55E1">
        <w:rPr>
          <w:rFonts w:cs="Arial"/>
          <w:color w:val="000000" w:themeColor="text1"/>
          <w:szCs w:val="22"/>
          <w:lang w:val="en-GB"/>
        </w:rPr>
        <w:t>) and lastly subtidal habitats (reef CV=44.2</w:t>
      </w:r>
      <w:r w:rsidR="003C311A">
        <w:rPr>
          <w:rFonts w:cs="Arial"/>
          <w:color w:val="000000" w:themeColor="text1"/>
          <w:szCs w:val="22"/>
          <w:lang w:val="en-GB"/>
        </w:rPr>
        <w:t xml:space="preserve">% </w:t>
      </w:r>
      <w:r w:rsidRPr="009C55E1">
        <w:rPr>
          <w:rFonts w:cs="Arial"/>
          <w:color w:val="000000" w:themeColor="text1"/>
          <w:szCs w:val="22"/>
          <w:lang w:val="en-GB"/>
        </w:rPr>
        <w:t>and coastal CV=31.2</w:t>
      </w:r>
      <w:r w:rsidR="007C215D">
        <w:rPr>
          <w:rFonts w:cs="Arial"/>
          <w:color w:val="000000" w:themeColor="text1"/>
          <w:szCs w:val="22"/>
          <w:lang w:val="en-GB"/>
        </w:rPr>
        <w:t>%</w:t>
      </w:r>
      <w:r w:rsidRPr="009C55E1">
        <w:rPr>
          <w:rFonts w:cs="Arial"/>
          <w:color w:val="000000" w:themeColor="text1"/>
          <w:szCs w:val="22"/>
          <w:lang w:val="en-GB"/>
        </w:rPr>
        <w:t>).</w:t>
      </w:r>
    </w:p>
    <w:p w14:paraId="0699A79E" w14:textId="6C544678" w:rsidR="00A00BC4" w:rsidRPr="009C55E1" w:rsidRDefault="00B518CD" w:rsidP="00332CF2">
      <w:pPr>
        <w:rPr>
          <w:rFonts w:cs="Arial"/>
          <w:color w:val="000000" w:themeColor="text1"/>
          <w:szCs w:val="22"/>
        </w:rPr>
      </w:pPr>
      <w:r w:rsidRPr="009C55E1">
        <w:rPr>
          <w:rFonts w:cs="Arial"/>
          <w:color w:val="000000" w:themeColor="text1"/>
          <w:szCs w:val="22"/>
        </w:rPr>
        <w:t>Since 1999, the</w:t>
      </w:r>
      <w:r w:rsidR="00EB0A7F" w:rsidRPr="009C55E1">
        <w:rPr>
          <w:rFonts w:cs="Arial"/>
          <w:color w:val="000000" w:themeColor="text1"/>
          <w:szCs w:val="22"/>
        </w:rPr>
        <w:t xml:space="preserve"> </w:t>
      </w:r>
      <w:r w:rsidR="00181000" w:rsidRPr="009C55E1">
        <w:rPr>
          <w:rFonts w:cs="Arial"/>
          <w:color w:val="000000" w:themeColor="text1"/>
          <w:szCs w:val="22"/>
        </w:rPr>
        <w:t>median</w:t>
      </w:r>
      <w:r w:rsidRPr="009C55E1">
        <w:rPr>
          <w:rFonts w:cs="Arial"/>
          <w:color w:val="000000" w:themeColor="text1"/>
          <w:szCs w:val="22"/>
        </w:rPr>
        <w:t xml:space="preserve"> percentage cover values for the </w:t>
      </w:r>
      <w:r w:rsidR="00F206BF" w:rsidRPr="009C55E1">
        <w:rPr>
          <w:rFonts w:cs="Arial"/>
          <w:color w:val="000000" w:themeColor="text1"/>
          <w:szCs w:val="22"/>
        </w:rPr>
        <w:t>Reef</w:t>
      </w:r>
      <w:r w:rsidRPr="009C55E1">
        <w:rPr>
          <w:rFonts w:cs="Arial"/>
          <w:color w:val="000000" w:themeColor="text1"/>
          <w:szCs w:val="22"/>
        </w:rPr>
        <w:t xml:space="preserve"> were mostly below 25</w:t>
      </w:r>
      <w:r w:rsidR="003C311A">
        <w:rPr>
          <w:rFonts w:cs="Arial"/>
          <w:color w:val="000000" w:themeColor="text1"/>
          <w:szCs w:val="22"/>
        </w:rPr>
        <w:t xml:space="preserve">% </w:t>
      </w:r>
      <w:r w:rsidRPr="009C55E1">
        <w:rPr>
          <w:rFonts w:cs="Arial"/>
          <w:color w:val="000000" w:themeColor="text1"/>
          <w:szCs w:val="22"/>
        </w:rPr>
        <w:t xml:space="preserve">cover, and depending on habitat, </w:t>
      </w:r>
      <w:r w:rsidR="00EB0A7F" w:rsidRPr="009C55E1">
        <w:rPr>
          <w:rFonts w:cs="Arial"/>
          <w:color w:val="000000" w:themeColor="text1"/>
          <w:szCs w:val="22"/>
        </w:rPr>
        <w:t>the 75</w:t>
      </w:r>
      <w:r w:rsidR="00EB0A7F" w:rsidRPr="009C55E1">
        <w:rPr>
          <w:rFonts w:cs="Arial"/>
          <w:color w:val="000000" w:themeColor="text1"/>
          <w:szCs w:val="22"/>
          <w:vertAlign w:val="superscript"/>
        </w:rPr>
        <w:t>th</w:t>
      </w:r>
      <w:r w:rsidR="00EB0A7F" w:rsidRPr="009C55E1">
        <w:rPr>
          <w:rFonts w:cs="Arial"/>
          <w:color w:val="000000" w:themeColor="text1"/>
          <w:szCs w:val="22"/>
        </w:rPr>
        <w:t xml:space="preserve"> percentile </w:t>
      </w:r>
      <w:r w:rsidRPr="009C55E1">
        <w:rPr>
          <w:rFonts w:cs="Arial"/>
          <w:color w:val="000000" w:themeColor="text1"/>
          <w:szCs w:val="22"/>
        </w:rPr>
        <w:t>occasionally extend</w:t>
      </w:r>
      <w:r w:rsidR="00EB0A7F" w:rsidRPr="009C55E1">
        <w:rPr>
          <w:rFonts w:cs="Arial"/>
          <w:color w:val="000000" w:themeColor="text1"/>
          <w:szCs w:val="22"/>
        </w:rPr>
        <w:t>ed</w:t>
      </w:r>
      <w:r w:rsidRPr="009C55E1">
        <w:rPr>
          <w:rFonts w:cs="Arial"/>
          <w:color w:val="000000" w:themeColor="text1"/>
          <w:szCs w:val="22"/>
        </w:rPr>
        <w:t xml:space="preserve"> beyond 50</w:t>
      </w:r>
      <w:r w:rsidR="003C311A">
        <w:rPr>
          <w:rFonts w:cs="Arial"/>
          <w:color w:val="000000" w:themeColor="text1"/>
          <w:szCs w:val="22"/>
        </w:rPr>
        <w:t xml:space="preserve">% </w:t>
      </w:r>
      <w:r w:rsidR="00EB0A7F" w:rsidRPr="009C55E1">
        <w:rPr>
          <w:rFonts w:cs="Arial"/>
          <w:color w:val="000000" w:themeColor="text1"/>
          <w:szCs w:val="22"/>
        </w:rPr>
        <w:t>cover</w:t>
      </w:r>
      <w:r w:rsidRPr="009C55E1">
        <w:rPr>
          <w:rFonts w:cs="Arial"/>
          <w:color w:val="000000" w:themeColor="text1"/>
          <w:szCs w:val="22"/>
        </w:rPr>
        <w:t xml:space="preserve"> (</w:t>
      </w:r>
      <w:r w:rsidR="001851D6" w:rsidRPr="009C55E1">
        <w:rPr>
          <w:rFonts w:cs="Arial"/>
          <w:color w:val="000000" w:themeColor="text1"/>
          <w:szCs w:val="22"/>
        </w:rPr>
        <w:fldChar w:fldCharType="begin"/>
      </w:r>
      <w:r w:rsidR="001851D6" w:rsidRPr="009C55E1">
        <w:rPr>
          <w:rFonts w:cs="Arial"/>
          <w:color w:val="000000" w:themeColor="text1"/>
          <w:szCs w:val="22"/>
        </w:rPr>
        <w:instrText xml:space="preserve"> REF _Ref442456293 \h </w:instrText>
      </w:r>
      <w:r w:rsidR="00580DDA" w:rsidRPr="009C55E1">
        <w:rPr>
          <w:rFonts w:cs="Arial"/>
          <w:color w:val="000000" w:themeColor="text1"/>
          <w:szCs w:val="22"/>
        </w:rPr>
        <w:instrText xml:space="preserve"> \* MERGEFORMAT </w:instrText>
      </w:r>
      <w:r w:rsidR="001851D6" w:rsidRPr="009C55E1">
        <w:rPr>
          <w:rFonts w:cs="Arial"/>
          <w:color w:val="000000" w:themeColor="text1"/>
          <w:szCs w:val="22"/>
        </w:rPr>
      </w:r>
      <w:r w:rsidR="001851D6" w:rsidRPr="009C55E1">
        <w:rPr>
          <w:rFonts w:cs="Arial"/>
          <w:color w:val="000000" w:themeColor="text1"/>
          <w:szCs w:val="22"/>
        </w:rPr>
        <w:fldChar w:fldCharType="separate"/>
      </w:r>
      <w:r w:rsidR="0067675D" w:rsidRPr="009C55E1">
        <w:rPr>
          <w:rFonts w:cs="Arial"/>
          <w:szCs w:val="22"/>
        </w:rPr>
        <w:t xml:space="preserve">Figure </w:t>
      </w:r>
      <w:r w:rsidR="0067675D">
        <w:rPr>
          <w:rFonts w:cs="Arial"/>
          <w:noProof/>
          <w:szCs w:val="22"/>
        </w:rPr>
        <w:t>18</w:t>
      </w:r>
      <w:r w:rsidR="001851D6" w:rsidRPr="009C55E1">
        <w:rPr>
          <w:rFonts w:cs="Arial"/>
          <w:color w:val="000000" w:themeColor="text1"/>
          <w:szCs w:val="22"/>
        </w:rPr>
        <w:fldChar w:fldCharType="end"/>
      </w:r>
      <w:r w:rsidRPr="009C55E1">
        <w:rPr>
          <w:rFonts w:cs="Arial"/>
          <w:color w:val="000000" w:themeColor="text1"/>
          <w:szCs w:val="22"/>
        </w:rPr>
        <w:t xml:space="preserve">). These long-term percentage cover values were similar to the </w:t>
      </w:r>
      <w:r w:rsidR="00F206BF" w:rsidRPr="009C55E1">
        <w:rPr>
          <w:rFonts w:cs="Arial"/>
          <w:color w:val="000000" w:themeColor="text1"/>
          <w:szCs w:val="22"/>
        </w:rPr>
        <w:t>Reef</w:t>
      </w:r>
      <w:r w:rsidRPr="009C55E1">
        <w:rPr>
          <w:rFonts w:cs="Arial"/>
          <w:color w:val="000000" w:themeColor="text1"/>
          <w:szCs w:val="22"/>
        </w:rPr>
        <w:t xml:space="preserve"> historical baselines, where surveys from Cape York to Hervey Bay (between November 1984 and November 1988) reported most (three-quarters) of the </w:t>
      </w:r>
      <w:r w:rsidR="007F7222">
        <w:rPr>
          <w:rFonts w:cs="Arial"/>
          <w:color w:val="000000" w:themeColor="text1"/>
          <w:szCs w:val="22"/>
        </w:rPr>
        <w:t>per cent</w:t>
      </w:r>
      <w:r w:rsidRPr="009C55E1">
        <w:rPr>
          <w:rFonts w:cs="Arial"/>
          <w:color w:val="000000" w:themeColor="text1"/>
          <w:szCs w:val="22"/>
        </w:rPr>
        <w:t xml:space="preserve"> cover values fell below 50</w:t>
      </w:r>
      <w:r w:rsidR="003C311A">
        <w:rPr>
          <w:rFonts w:cs="Arial"/>
          <w:color w:val="000000" w:themeColor="text1"/>
          <w:szCs w:val="22"/>
        </w:rPr>
        <w:t xml:space="preserve">% </w:t>
      </w:r>
      <w:r w:rsidRPr="009C55E1">
        <w:rPr>
          <w:rFonts w:cs="Arial"/>
          <w:color w:val="000000" w:themeColor="text1"/>
          <w:szCs w:val="22"/>
        </w:rPr>
        <w:t>(</w:t>
      </w:r>
      <w:hyperlink w:anchor="_ENREF_91" w:tooltip="Lee Long, 1993 #682" w:history="1">
        <w:r w:rsidR="009A7AB4" w:rsidRPr="009C55E1">
          <w:rPr>
            <w:rFonts w:cs="Arial"/>
            <w:color w:val="000000" w:themeColor="text1"/>
            <w:szCs w:val="22"/>
          </w:rPr>
          <w:fldChar w:fldCharType="begin"/>
        </w:r>
        <w:r w:rsidR="009A7AB4" w:rsidRPr="009C55E1">
          <w:rPr>
            <w:rFonts w:cs="Arial"/>
            <w:color w:val="000000" w:themeColor="text1"/>
            <w:szCs w:val="22"/>
          </w:rPr>
          <w:instrText xml:space="preserve"> ADDIN EN.CITE &lt;EndNote&gt;&lt;Cite&gt;&lt;Author&gt;Lee Long&lt;/Author&gt;&lt;Year&gt;1993&lt;/Year&gt;&lt;RecNum&gt;682&lt;/RecNum&gt;&lt;DisplayText&gt;Lee Long&lt;style face="italic"&gt; et al.&lt;/style&gt; 1993&lt;/DisplayText&gt;&lt;record&gt;&lt;rec-number&gt;682&lt;/rec-number&gt;&lt;foreign-keys&gt;&lt;key app="EN" db-id="0eve55x9y5vfd6e9dacxtew4eatve2dzds9a" timestamp="0"&gt;682&lt;/key&gt;&lt;/foreign-keys&gt;&lt;ref-type name="Journal Article"&gt;17&lt;/ref-type&gt;&lt;contributors&gt;&lt;authors&gt;&lt;author&gt;Lee Long, Warren J.&lt;/author&gt;&lt;author&gt;Mellors, Jane E.&lt;/author&gt;&lt;author&gt;Coles, Robert G.&lt;/author&gt;&lt;/authors&gt;&lt;/contributors&gt;&lt;titles&gt;&lt;title&gt;Seagrasses between Cape York and Hervey Bay, Queensland, Australia&lt;/title&gt;&lt;secondary-title&gt;Australian Journal of Marine and Freshwater Research&lt;/secondary-title&gt;&lt;alt-title&gt;Australian Journal of Marine and Freshwater Research&lt;/alt-title&gt;&lt;/titles&gt;&lt;periodical&gt;&lt;full-title&gt;Australian Journal of Marine and Freshwater Research&lt;/full-title&gt;&lt;abbr-1&gt;Australian Journal of Marine and Freshwater Research&lt;/abbr-1&gt;&lt;/periodical&gt;&lt;alt-periodical&gt;&lt;full-title&gt;Australian Journal of Marine and Freshwater Research&lt;/full-title&gt;&lt;abbr-1&gt;Australian Journal of Marine and Freshwater Research&lt;/abbr-1&gt;&lt;/alt-periodical&gt;&lt;pages&gt;19-32&lt;/pages&gt;&lt;volume&gt;44&lt;/volume&gt;&lt;keywords&gt;&lt;keyword&gt;MCKENZIE 1996&lt;/keyword&gt;&lt;keyword&gt;TEMP&lt;/keyword&gt;&lt;/keywords&gt;&lt;dates&gt;&lt;year&gt;1993&lt;/year&gt;&lt;/dates&gt;&lt;label&gt;681&lt;/label&gt;&lt;urls&gt;&lt;/urls&gt;&lt;custom1&gt;Annex&lt;/custom1&gt;&lt;/record&gt;&lt;/Cite&gt;&lt;/EndNote&gt;</w:instrText>
        </w:r>
        <w:r w:rsidR="009A7AB4" w:rsidRPr="009C55E1">
          <w:rPr>
            <w:rFonts w:cs="Arial"/>
            <w:color w:val="000000" w:themeColor="text1"/>
            <w:szCs w:val="22"/>
          </w:rPr>
          <w:fldChar w:fldCharType="separate"/>
        </w:r>
        <w:r w:rsidR="009A7AB4" w:rsidRPr="009C55E1">
          <w:rPr>
            <w:rFonts w:cs="Arial"/>
            <w:noProof/>
            <w:color w:val="000000" w:themeColor="text1"/>
            <w:szCs w:val="22"/>
          </w:rPr>
          <w:t>Lee Long</w:t>
        </w:r>
        <w:r w:rsidR="009A7AB4" w:rsidRPr="009C55E1">
          <w:rPr>
            <w:rFonts w:cs="Arial"/>
            <w:i/>
            <w:noProof/>
            <w:color w:val="000000" w:themeColor="text1"/>
            <w:szCs w:val="22"/>
          </w:rPr>
          <w:t xml:space="preserve"> et al.</w:t>
        </w:r>
        <w:r w:rsidR="009A7AB4" w:rsidRPr="009C55E1">
          <w:rPr>
            <w:rFonts w:cs="Arial"/>
            <w:noProof/>
            <w:color w:val="000000" w:themeColor="text1"/>
            <w:szCs w:val="22"/>
          </w:rPr>
          <w:t xml:space="preserve"> 1993</w:t>
        </w:r>
        <w:r w:rsidR="009A7AB4" w:rsidRPr="009C55E1">
          <w:rPr>
            <w:rFonts w:cs="Arial"/>
            <w:color w:val="000000" w:themeColor="text1"/>
            <w:szCs w:val="22"/>
          </w:rPr>
          <w:fldChar w:fldCharType="end"/>
        </w:r>
      </w:hyperlink>
      <w:r w:rsidRPr="009C55E1">
        <w:rPr>
          <w:rFonts w:cs="Arial"/>
          <w:color w:val="000000" w:themeColor="text1"/>
          <w:szCs w:val="22"/>
        </w:rPr>
        <w:t xml:space="preserve">). The findings negate the assumption that seagrass meadows of the </w:t>
      </w:r>
      <w:r w:rsidR="003158FC" w:rsidRPr="009C55E1">
        <w:rPr>
          <w:rFonts w:cs="Arial"/>
          <w:color w:val="000000" w:themeColor="text1"/>
          <w:szCs w:val="22"/>
        </w:rPr>
        <w:t>Reef</w:t>
      </w:r>
      <w:r w:rsidRPr="009C55E1">
        <w:rPr>
          <w:rFonts w:cs="Arial"/>
          <w:color w:val="000000" w:themeColor="text1"/>
          <w:szCs w:val="22"/>
        </w:rPr>
        <w:t xml:space="preserve"> should have abundances closer to 100</w:t>
      </w:r>
      <w:r w:rsidR="003C311A">
        <w:rPr>
          <w:rFonts w:cs="Arial"/>
          <w:color w:val="000000" w:themeColor="text1"/>
          <w:szCs w:val="22"/>
        </w:rPr>
        <w:t xml:space="preserve">% </w:t>
      </w:r>
      <w:r w:rsidRPr="009C55E1">
        <w:rPr>
          <w:rFonts w:cs="Arial"/>
          <w:color w:val="000000" w:themeColor="text1"/>
          <w:szCs w:val="22"/>
        </w:rPr>
        <w:t>before they are categorised as good.</w:t>
      </w:r>
    </w:p>
    <w:p w14:paraId="41565870" w14:textId="514DA1F5" w:rsidR="000E536F" w:rsidRPr="009C55E1" w:rsidRDefault="000E536F" w:rsidP="000E536F">
      <w:pPr>
        <w:rPr>
          <w:rFonts w:cs="Arial"/>
          <w:color w:val="000000" w:themeColor="text1"/>
          <w:szCs w:val="22"/>
        </w:rPr>
      </w:pPr>
    </w:p>
    <w:p w14:paraId="4FC00821" w14:textId="58B6D80A" w:rsidR="00B518CD" w:rsidRPr="009C55E1" w:rsidRDefault="000F28E4" w:rsidP="00B518CD">
      <w:pPr>
        <w:keepNext/>
        <w:widowControl w:val="0"/>
        <w:jc w:val="center"/>
        <w:rPr>
          <w:rFonts w:cs="Arial"/>
          <w:noProof/>
          <w:color w:val="000000"/>
          <w:szCs w:val="22"/>
          <w:lang w:eastAsia="en-AU"/>
        </w:rPr>
      </w:pPr>
      <w:r w:rsidRPr="009C55E1">
        <w:rPr>
          <w:rFonts w:cs="Arial"/>
          <w:noProof/>
          <w:color w:val="000000"/>
          <w:szCs w:val="22"/>
          <w:lang w:eastAsia="en-AU"/>
        </w:rPr>
        <w:lastRenderedPageBreak/>
        <w:drawing>
          <wp:inline distT="0" distB="0" distL="0" distR="0" wp14:anchorId="798ACCE6" wp14:editId="29523A10">
            <wp:extent cx="5727250" cy="2929467"/>
            <wp:effectExtent l="0" t="0" r="6985" b="4445"/>
            <wp:docPr id="52" name="Picture 52" descr="Panel of eight graphs, displayed in four by two matrix, showing seagrass percent cover measures per quadrat from meadows monitored from June 1999 to May 2019 (sites and habitats pooled). Top row displays the data as box plots and the bottom row as trends in seagrass abundance represented by a GAM plot and coloured lines representing NRM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ombined box and gam abundance.eps"/>
                    <pic:cNvPicPr/>
                  </pic:nvPicPr>
                  <pic:blipFill rotWithShape="1">
                    <a:blip r:embed="rId71"/>
                    <a:srcRect b="5251"/>
                    <a:stretch/>
                  </pic:blipFill>
                  <pic:spPr bwMode="auto">
                    <a:xfrm>
                      <a:off x="0" y="0"/>
                      <a:ext cx="5727700" cy="2929697"/>
                    </a:xfrm>
                    <a:prstGeom prst="rect">
                      <a:avLst/>
                    </a:prstGeom>
                    <a:ln>
                      <a:noFill/>
                    </a:ln>
                    <a:extLst>
                      <a:ext uri="{53640926-AAD7-44D8-BBD7-CCE9431645EC}">
                        <a14:shadowObscured xmlns:a14="http://schemas.microsoft.com/office/drawing/2010/main"/>
                      </a:ext>
                    </a:extLst>
                  </pic:spPr>
                </pic:pic>
              </a:graphicData>
            </a:graphic>
          </wp:inline>
        </w:drawing>
      </w:r>
    </w:p>
    <w:p w14:paraId="1504A884" w14:textId="35947FE6" w:rsidR="00B518CD" w:rsidRPr="009C55E1" w:rsidRDefault="00B518CD" w:rsidP="00B518CD">
      <w:pPr>
        <w:rPr>
          <w:rFonts w:cs="Arial"/>
          <w:i/>
          <w:vanish/>
          <w:szCs w:val="22"/>
          <w:specVanish/>
        </w:rPr>
      </w:pPr>
      <w:bookmarkStart w:id="233" w:name="_Ref442456293"/>
      <w:bookmarkStart w:id="234" w:name="_Toc38634122"/>
      <w:r w:rsidRPr="009C55E1">
        <w:rPr>
          <w:rFonts w:cs="Arial"/>
          <w:szCs w:val="22"/>
        </w:rPr>
        <w:t xml:space="preserve">Figure </w:t>
      </w:r>
      <w:r w:rsidR="00C506C7" w:rsidRPr="009C55E1">
        <w:rPr>
          <w:rFonts w:cs="Arial"/>
          <w:noProof/>
          <w:szCs w:val="22"/>
        </w:rPr>
        <w:fldChar w:fldCharType="begin"/>
      </w:r>
      <w:r w:rsidR="00C506C7" w:rsidRPr="009C55E1">
        <w:rPr>
          <w:rFonts w:cs="Arial"/>
          <w:noProof/>
          <w:szCs w:val="22"/>
        </w:rPr>
        <w:instrText xml:space="preserve"> SEQ Figure \* ARABIC </w:instrText>
      </w:r>
      <w:r w:rsidR="00C506C7" w:rsidRPr="009C55E1">
        <w:rPr>
          <w:rFonts w:cs="Arial"/>
          <w:noProof/>
          <w:szCs w:val="22"/>
        </w:rPr>
        <w:fldChar w:fldCharType="separate"/>
      </w:r>
      <w:r w:rsidR="0067675D">
        <w:rPr>
          <w:rFonts w:cs="Arial"/>
          <w:noProof/>
          <w:szCs w:val="22"/>
        </w:rPr>
        <w:t>18</w:t>
      </w:r>
      <w:r w:rsidR="00C506C7" w:rsidRPr="009C55E1">
        <w:rPr>
          <w:rFonts w:cs="Arial"/>
          <w:noProof/>
          <w:szCs w:val="22"/>
        </w:rPr>
        <w:fldChar w:fldCharType="end"/>
      </w:r>
      <w:bookmarkEnd w:id="233"/>
      <w:r w:rsidRPr="009C55E1">
        <w:rPr>
          <w:rFonts w:cs="Arial"/>
          <w:szCs w:val="22"/>
        </w:rPr>
        <w:t xml:space="preserve">. </w:t>
      </w:r>
      <w:r w:rsidRPr="009C55E1">
        <w:rPr>
          <w:rFonts w:cs="Arial"/>
          <w:i/>
          <w:szCs w:val="22"/>
        </w:rPr>
        <w:t xml:space="preserve">Seagrass </w:t>
      </w:r>
      <w:r w:rsidR="00887319">
        <w:rPr>
          <w:rFonts w:cs="Arial"/>
          <w:i/>
          <w:szCs w:val="22"/>
        </w:rPr>
        <w:t xml:space="preserve">per cent </w:t>
      </w:r>
      <w:r w:rsidRPr="009C55E1">
        <w:rPr>
          <w:rFonts w:cs="Arial"/>
          <w:i/>
          <w:szCs w:val="22"/>
        </w:rPr>
        <w:t>cover measures per quadrat from meadows monitored from Ju</w:t>
      </w:r>
      <w:r w:rsidR="002F06F8" w:rsidRPr="009C55E1">
        <w:rPr>
          <w:rFonts w:cs="Arial"/>
          <w:i/>
          <w:szCs w:val="22"/>
        </w:rPr>
        <w:t>ne</w:t>
      </w:r>
      <w:r w:rsidRPr="009C55E1">
        <w:rPr>
          <w:rFonts w:cs="Arial"/>
          <w:i/>
          <w:szCs w:val="22"/>
        </w:rPr>
        <w:t xml:space="preserve"> 1999 to </w:t>
      </w:r>
      <w:r w:rsidR="002F06F8" w:rsidRPr="009C55E1">
        <w:rPr>
          <w:rFonts w:cs="Arial"/>
          <w:i/>
          <w:szCs w:val="22"/>
        </w:rPr>
        <w:t>May</w:t>
      </w:r>
      <w:r w:rsidRPr="009C55E1">
        <w:rPr>
          <w:rFonts w:cs="Arial"/>
          <w:i/>
          <w:szCs w:val="22"/>
        </w:rPr>
        <w:t xml:space="preserve"> 201</w:t>
      </w:r>
      <w:r w:rsidR="00561548" w:rsidRPr="009C55E1">
        <w:rPr>
          <w:rFonts w:cs="Arial"/>
          <w:i/>
          <w:szCs w:val="22"/>
        </w:rPr>
        <w:t>9</w:t>
      </w:r>
      <w:r w:rsidRPr="009C55E1">
        <w:rPr>
          <w:rFonts w:cs="Arial"/>
          <w:i/>
          <w:szCs w:val="22"/>
        </w:rPr>
        <w:t xml:space="preserve"> (sites and habitats pooled).</w:t>
      </w:r>
      <w:bookmarkEnd w:id="234"/>
      <w:r w:rsidRPr="009C55E1">
        <w:rPr>
          <w:rFonts w:cs="Arial"/>
          <w:i/>
          <w:szCs w:val="22"/>
        </w:rPr>
        <w:t xml:space="preserve"> </w:t>
      </w:r>
    </w:p>
    <w:p w14:paraId="6EC19137" w14:textId="2908B5A5" w:rsidR="00B518CD" w:rsidRPr="009C55E1" w:rsidRDefault="00B518CD" w:rsidP="00B518CD">
      <w:pPr>
        <w:rPr>
          <w:rFonts w:cs="Arial"/>
          <w:i/>
          <w:szCs w:val="22"/>
          <w:lang w:val="en-GB"/>
        </w:rPr>
      </w:pPr>
      <w:r w:rsidRPr="009C55E1">
        <w:rPr>
          <w:rFonts w:cs="Arial"/>
          <w:i/>
          <w:szCs w:val="22"/>
          <w:lang w:val="en-GB"/>
        </w:rPr>
        <w:t xml:space="preserve"> </w:t>
      </w:r>
      <w:r w:rsidRPr="009C55E1">
        <w:rPr>
          <w:rFonts w:cs="Arial"/>
          <w:i/>
          <w:szCs w:val="22"/>
        </w:rPr>
        <w:t>The box represents the interquartile range of values, where the boundary of the box closest to zero indicates the 25</w:t>
      </w:r>
      <w:r w:rsidRPr="009C55E1">
        <w:rPr>
          <w:rFonts w:cs="Arial"/>
          <w:i/>
          <w:szCs w:val="22"/>
          <w:vertAlign w:val="superscript"/>
        </w:rPr>
        <w:t>th</w:t>
      </w:r>
      <w:r w:rsidRPr="009C55E1">
        <w:rPr>
          <w:rFonts w:cs="Arial"/>
          <w:i/>
          <w:szCs w:val="22"/>
        </w:rPr>
        <w:t xml:space="preserve"> percentile, a line within the box marks the median, and the boundary of the box farthest from zero indicates the 75</w:t>
      </w:r>
      <w:r w:rsidRPr="009C55E1">
        <w:rPr>
          <w:rFonts w:cs="Arial"/>
          <w:i/>
          <w:szCs w:val="22"/>
          <w:vertAlign w:val="superscript"/>
        </w:rPr>
        <w:t>th</w:t>
      </w:r>
      <w:r w:rsidRPr="009C55E1">
        <w:rPr>
          <w:rFonts w:cs="Arial"/>
          <w:i/>
          <w:szCs w:val="22"/>
        </w:rPr>
        <w:t xml:space="preserve"> percentile. Whiskers (error bars) above and below the box indicate the 90</w:t>
      </w:r>
      <w:r w:rsidRPr="009C55E1">
        <w:rPr>
          <w:rFonts w:cs="Arial"/>
          <w:i/>
          <w:szCs w:val="22"/>
          <w:vertAlign w:val="superscript"/>
        </w:rPr>
        <w:t>th</w:t>
      </w:r>
      <w:r w:rsidRPr="009C55E1">
        <w:rPr>
          <w:rFonts w:cs="Arial"/>
          <w:i/>
          <w:szCs w:val="22"/>
        </w:rPr>
        <w:t xml:space="preserve"> and 10</w:t>
      </w:r>
      <w:r w:rsidRPr="009C55E1">
        <w:rPr>
          <w:rFonts w:cs="Arial"/>
          <w:i/>
          <w:szCs w:val="22"/>
          <w:vertAlign w:val="superscript"/>
        </w:rPr>
        <w:t>th</w:t>
      </w:r>
      <w:r w:rsidRPr="009C55E1">
        <w:rPr>
          <w:rFonts w:cs="Arial"/>
          <w:i/>
          <w:szCs w:val="22"/>
        </w:rPr>
        <w:t xml:space="preserve"> percentiles, and the dots represent outlying points.</w:t>
      </w:r>
      <w:r w:rsidRPr="009C55E1">
        <w:rPr>
          <w:rFonts w:cs="Arial"/>
          <w:i/>
          <w:szCs w:val="22"/>
          <w:lang w:val="en-GB"/>
        </w:rPr>
        <w:t xml:space="preserve"> </w:t>
      </w:r>
      <w:r w:rsidR="000E536F" w:rsidRPr="009C55E1">
        <w:rPr>
          <w:rFonts w:cs="Arial"/>
          <w:i/>
          <w:szCs w:val="22"/>
        </w:rPr>
        <w:t>G</w:t>
      </w:r>
      <w:r w:rsidR="00175C85" w:rsidRPr="009C55E1">
        <w:rPr>
          <w:rFonts w:cs="Arial"/>
          <w:i/>
          <w:szCs w:val="22"/>
        </w:rPr>
        <w:t>AM</w:t>
      </w:r>
      <w:r w:rsidR="000E536F" w:rsidRPr="009C55E1">
        <w:rPr>
          <w:rFonts w:cs="Arial"/>
          <w:i/>
          <w:szCs w:val="22"/>
        </w:rPr>
        <w:t xml:space="preserve"> plots (bottom), also showing trends for each NRM. </w:t>
      </w:r>
    </w:p>
    <w:p w14:paraId="510D7B11" w14:textId="77777777" w:rsidR="000E536F" w:rsidRPr="009C55E1" w:rsidRDefault="000E536F" w:rsidP="00AC7188">
      <w:pPr>
        <w:rPr>
          <w:rFonts w:cs="Arial"/>
          <w:color w:val="000000" w:themeColor="text1"/>
          <w:szCs w:val="22"/>
        </w:rPr>
      </w:pPr>
    </w:p>
    <w:p w14:paraId="68AB10C0" w14:textId="5628A09A" w:rsidR="006B6091" w:rsidRPr="009C55E1" w:rsidRDefault="00E77C82" w:rsidP="00AC7188">
      <w:pPr>
        <w:rPr>
          <w:rFonts w:cs="Arial"/>
          <w:color w:val="000000" w:themeColor="text1"/>
          <w:szCs w:val="22"/>
          <w:lang w:val="en-GB"/>
        </w:rPr>
      </w:pPr>
      <w:r w:rsidRPr="009C55E1">
        <w:rPr>
          <w:rFonts w:cs="Arial"/>
          <w:color w:val="000000" w:themeColor="text1"/>
          <w:szCs w:val="22"/>
        </w:rPr>
        <w:t>I</w:t>
      </w:r>
      <w:r w:rsidR="00C47D0A" w:rsidRPr="009C55E1">
        <w:rPr>
          <w:rFonts w:cs="Arial"/>
          <w:color w:val="000000" w:themeColor="text1"/>
          <w:szCs w:val="22"/>
        </w:rPr>
        <w:t xml:space="preserve">n </w:t>
      </w:r>
      <w:r w:rsidR="00956639" w:rsidRPr="009C55E1">
        <w:rPr>
          <w:rFonts w:cs="Arial"/>
          <w:color w:val="000000" w:themeColor="text1"/>
          <w:szCs w:val="22"/>
        </w:rPr>
        <w:t>2018–19</w:t>
      </w:r>
      <w:r w:rsidR="008F7D8B" w:rsidRPr="009C55E1">
        <w:rPr>
          <w:rFonts w:cs="Arial"/>
          <w:color w:val="000000" w:themeColor="text1"/>
          <w:szCs w:val="22"/>
        </w:rPr>
        <w:t>,</w:t>
      </w:r>
      <w:r w:rsidR="00C47D0A" w:rsidRPr="009C55E1">
        <w:rPr>
          <w:rFonts w:cs="Arial"/>
          <w:color w:val="000000" w:themeColor="text1"/>
          <w:szCs w:val="22"/>
        </w:rPr>
        <w:t xml:space="preserve"> coastal sites had the highest average abundance</w:t>
      </w:r>
      <w:r w:rsidR="00FE191E" w:rsidRPr="009C55E1">
        <w:rPr>
          <w:rFonts w:cs="Arial"/>
          <w:color w:val="000000" w:themeColor="text1"/>
          <w:szCs w:val="22"/>
        </w:rPr>
        <w:t xml:space="preserve"> of the habitat types</w:t>
      </w:r>
      <w:r w:rsidR="00B518CD" w:rsidRPr="009C55E1">
        <w:rPr>
          <w:rFonts w:cs="Arial"/>
          <w:color w:val="000000" w:themeColor="text1"/>
          <w:szCs w:val="22"/>
        </w:rPr>
        <w:t xml:space="preserve"> (</w:t>
      </w:r>
      <w:r w:rsidRPr="009C55E1">
        <w:rPr>
          <w:rFonts w:cs="Arial"/>
          <w:color w:val="000000" w:themeColor="text1"/>
          <w:szCs w:val="22"/>
        </w:rPr>
        <w:fldChar w:fldCharType="begin"/>
      </w:r>
      <w:r w:rsidRPr="009C55E1">
        <w:rPr>
          <w:rFonts w:cs="Arial"/>
          <w:color w:val="000000" w:themeColor="text1"/>
          <w:szCs w:val="22"/>
        </w:rPr>
        <w:instrText xml:space="preserve"> REF _Ref442456293 \h </w:instrText>
      </w:r>
      <w:r w:rsidR="00580DDA" w:rsidRPr="009C55E1">
        <w:rPr>
          <w:rFonts w:cs="Arial"/>
          <w:color w:val="000000" w:themeColor="text1"/>
          <w:szCs w:val="22"/>
        </w:rPr>
        <w:instrText xml:space="preserve"> \* MERGEFORMAT </w:instrText>
      </w:r>
      <w:r w:rsidRPr="009C55E1">
        <w:rPr>
          <w:rFonts w:cs="Arial"/>
          <w:color w:val="000000" w:themeColor="text1"/>
          <w:szCs w:val="22"/>
        </w:rPr>
      </w:r>
      <w:r w:rsidRPr="009C55E1">
        <w:rPr>
          <w:rFonts w:cs="Arial"/>
          <w:color w:val="000000" w:themeColor="text1"/>
          <w:szCs w:val="22"/>
        </w:rPr>
        <w:fldChar w:fldCharType="separate"/>
      </w:r>
      <w:r w:rsidR="0067675D" w:rsidRPr="009C55E1">
        <w:rPr>
          <w:rFonts w:cs="Arial"/>
          <w:szCs w:val="22"/>
        </w:rPr>
        <w:t xml:space="preserve">Figure </w:t>
      </w:r>
      <w:r w:rsidR="0067675D">
        <w:rPr>
          <w:rFonts w:cs="Arial"/>
          <w:noProof/>
          <w:szCs w:val="22"/>
        </w:rPr>
        <w:t>18</w:t>
      </w:r>
      <w:r w:rsidRPr="009C55E1">
        <w:rPr>
          <w:rFonts w:cs="Arial"/>
          <w:color w:val="000000" w:themeColor="text1"/>
          <w:szCs w:val="22"/>
        </w:rPr>
        <w:fldChar w:fldCharType="end"/>
      </w:r>
      <w:r w:rsidRPr="009C55E1">
        <w:rPr>
          <w:rFonts w:cs="Arial"/>
          <w:color w:val="000000" w:themeColor="text1"/>
          <w:szCs w:val="22"/>
        </w:rPr>
        <w:t>)</w:t>
      </w:r>
      <w:r w:rsidR="00B518CD" w:rsidRPr="009C55E1">
        <w:rPr>
          <w:rFonts w:cs="Arial"/>
          <w:color w:val="000000" w:themeColor="text1"/>
          <w:szCs w:val="22"/>
        </w:rPr>
        <w:t xml:space="preserve">. Over the past decade, the patterns of seagrass abundance in each </w:t>
      </w:r>
      <w:r w:rsidR="003158FC" w:rsidRPr="009C55E1">
        <w:rPr>
          <w:rFonts w:cs="Arial"/>
          <w:color w:val="000000" w:themeColor="text1"/>
          <w:szCs w:val="22"/>
        </w:rPr>
        <w:t>Reef</w:t>
      </w:r>
      <w:r w:rsidR="00B518CD" w:rsidRPr="009C55E1">
        <w:rPr>
          <w:rFonts w:cs="Arial"/>
          <w:color w:val="000000" w:themeColor="text1"/>
          <w:szCs w:val="22"/>
        </w:rPr>
        <w:t xml:space="preserve"> habitat have </w:t>
      </w:r>
      <w:r w:rsidRPr="009C55E1">
        <w:rPr>
          <w:rFonts w:cs="Arial"/>
          <w:color w:val="000000" w:themeColor="text1"/>
          <w:szCs w:val="22"/>
        </w:rPr>
        <w:t xml:space="preserve">been similar </w:t>
      </w:r>
      <w:r w:rsidR="008F7D8B" w:rsidRPr="009C55E1">
        <w:rPr>
          <w:rFonts w:cs="Arial"/>
          <w:color w:val="000000" w:themeColor="text1"/>
          <w:szCs w:val="22"/>
        </w:rPr>
        <w:t>between</w:t>
      </w:r>
      <w:r w:rsidRPr="009C55E1">
        <w:rPr>
          <w:rFonts w:cs="Arial"/>
          <w:color w:val="000000" w:themeColor="text1"/>
          <w:szCs w:val="22"/>
        </w:rPr>
        <w:t xml:space="preserve"> coastal and reef sites</w:t>
      </w:r>
      <w:r w:rsidR="008F7D8B" w:rsidRPr="009C55E1">
        <w:rPr>
          <w:rFonts w:cs="Arial"/>
          <w:color w:val="000000" w:themeColor="text1"/>
          <w:szCs w:val="22"/>
        </w:rPr>
        <w:t>;</w:t>
      </w:r>
      <w:r w:rsidRPr="009C55E1">
        <w:rPr>
          <w:rFonts w:cs="Arial"/>
          <w:color w:val="000000" w:themeColor="text1"/>
          <w:szCs w:val="22"/>
        </w:rPr>
        <w:t xml:space="preserve"> </w:t>
      </w:r>
      <w:r w:rsidR="00AC7188" w:rsidRPr="009C55E1">
        <w:rPr>
          <w:rFonts w:cs="Arial"/>
          <w:color w:val="000000" w:themeColor="text1"/>
          <w:szCs w:val="22"/>
          <w:lang w:val="en-GB"/>
        </w:rPr>
        <w:t xml:space="preserve">gradually increasing from 2001 to 2008 (with a mild depression in 2006-07 as a consequence of </w:t>
      </w:r>
      <w:r w:rsidR="00FE191E" w:rsidRPr="009C55E1">
        <w:rPr>
          <w:rFonts w:cs="Arial"/>
          <w:color w:val="000000" w:themeColor="text1"/>
          <w:szCs w:val="22"/>
          <w:lang w:val="en-GB"/>
        </w:rPr>
        <w:t xml:space="preserve">cyclone </w:t>
      </w:r>
      <w:r w:rsidR="00AC7188" w:rsidRPr="009C55E1">
        <w:rPr>
          <w:rFonts w:cs="Arial"/>
          <w:color w:val="000000" w:themeColor="text1"/>
          <w:szCs w:val="22"/>
          <w:lang w:val="en-GB"/>
        </w:rPr>
        <w:t>Larry)</w:t>
      </w:r>
      <w:r w:rsidR="00C153A9" w:rsidRPr="009C55E1">
        <w:rPr>
          <w:rFonts w:cs="Arial"/>
          <w:color w:val="000000" w:themeColor="text1"/>
          <w:szCs w:val="22"/>
          <w:lang w:val="en-GB"/>
        </w:rPr>
        <w:t>, t</w:t>
      </w:r>
      <w:r w:rsidR="00AC7188" w:rsidRPr="009C55E1">
        <w:rPr>
          <w:rFonts w:cs="Arial"/>
          <w:color w:val="000000" w:themeColor="text1"/>
          <w:szCs w:val="22"/>
          <w:lang w:val="en-GB"/>
        </w:rPr>
        <w:t xml:space="preserve">hen </w:t>
      </w:r>
      <w:r w:rsidR="00AC7188" w:rsidRPr="009C55E1">
        <w:rPr>
          <w:rFonts w:cs="Arial"/>
          <w:color w:val="000000" w:themeColor="text1"/>
          <w:szCs w:val="22"/>
        </w:rPr>
        <w:t>declin</w:t>
      </w:r>
      <w:r w:rsidR="00C153A9" w:rsidRPr="009C55E1">
        <w:rPr>
          <w:rFonts w:cs="Arial"/>
          <w:color w:val="000000" w:themeColor="text1"/>
          <w:szCs w:val="22"/>
        </w:rPr>
        <w:t>ing</w:t>
      </w:r>
      <w:r w:rsidRPr="009C55E1">
        <w:rPr>
          <w:rFonts w:cs="Arial"/>
          <w:color w:val="000000" w:themeColor="text1"/>
          <w:szCs w:val="22"/>
        </w:rPr>
        <w:t xml:space="preserve"> from 2</w:t>
      </w:r>
      <w:r w:rsidR="00AC7188" w:rsidRPr="009C55E1">
        <w:rPr>
          <w:rFonts w:cs="Arial"/>
          <w:color w:val="000000" w:themeColor="text1"/>
          <w:szCs w:val="22"/>
        </w:rPr>
        <w:t xml:space="preserve">009 to 2011 due to above average rainfall and river discharge </w:t>
      </w:r>
      <w:r w:rsidR="00B518CD" w:rsidRPr="009C55E1">
        <w:rPr>
          <w:rFonts w:cs="Arial"/>
          <w:color w:val="000000" w:themeColor="text1"/>
          <w:szCs w:val="22"/>
        </w:rPr>
        <w:t>(</w:t>
      </w:r>
      <w:r w:rsidR="001851D6" w:rsidRPr="009C55E1">
        <w:rPr>
          <w:rFonts w:cs="Arial"/>
          <w:color w:val="000000" w:themeColor="text1"/>
          <w:szCs w:val="22"/>
        </w:rPr>
        <w:fldChar w:fldCharType="begin"/>
      </w:r>
      <w:r w:rsidR="001851D6" w:rsidRPr="009C55E1">
        <w:rPr>
          <w:rFonts w:cs="Arial"/>
          <w:color w:val="000000" w:themeColor="text1"/>
          <w:szCs w:val="22"/>
        </w:rPr>
        <w:instrText xml:space="preserve"> REF _Ref442456518 \h </w:instrText>
      </w:r>
      <w:r w:rsidR="00580DDA" w:rsidRPr="009C55E1">
        <w:rPr>
          <w:rFonts w:cs="Arial"/>
          <w:color w:val="000000" w:themeColor="text1"/>
          <w:szCs w:val="22"/>
        </w:rPr>
        <w:instrText xml:space="preserve"> \* MERGEFORMAT </w:instrText>
      </w:r>
      <w:r w:rsidR="001851D6" w:rsidRPr="009C55E1">
        <w:rPr>
          <w:rFonts w:cs="Arial"/>
          <w:color w:val="000000" w:themeColor="text1"/>
          <w:szCs w:val="22"/>
        </w:rPr>
      </w:r>
      <w:r w:rsidR="001851D6" w:rsidRPr="009C55E1">
        <w:rPr>
          <w:rFonts w:cs="Arial"/>
          <w:color w:val="000000" w:themeColor="text1"/>
          <w:szCs w:val="22"/>
        </w:rPr>
        <w:fldChar w:fldCharType="separate"/>
      </w:r>
      <w:r w:rsidR="0067675D" w:rsidRPr="009C55E1">
        <w:rPr>
          <w:rFonts w:cs="Arial"/>
          <w:szCs w:val="22"/>
        </w:rPr>
        <w:t xml:space="preserve">Figure </w:t>
      </w:r>
      <w:r w:rsidR="0067675D">
        <w:rPr>
          <w:rFonts w:cs="Arial"/>
          <w:noProof/>
          <w:szCs w:val="22"/>
        </w:rPr>
        <w:t>17</w:t>
      </w:r>
      <w:r w:rsidR="001851D6" w:rsidRPr="009C55E1">
        <w:rPr>
          <w:rFonts w:cs="Arial"/>
          <w:color w:val="000000" w:themeColor="text1"/>
          <w:szCs w:val="22"/>
        </w:rPr>
        <w:fldChar w:fldCharType="end"/>
      </w:r>
      <w:r w:rsidRPr="009C55E1">
        <w:rPr>
          <w:rFonts w:cs="Arial"/>
          <w:color w:val="000000" w:themeColor="text1"/>
          <w:szCs w:val="22"/>
        </w:rPr>
        <w:t xml:space="preserve">). </w:t>
      </w:r>
      <w:r w:rsidR="00AC7188" w:rsidRPr="009C55E1">
        <w:rPr>
          <w:rFonts w:cs="Arial"/>
          <w:color w:val="000000" w:themeColor="text1"/>
          <w:szCs w:val="22"/>
          <w:lang w:val="en-GB"/>
        </w:rPr>
        <w:t>The extreme weather events of early 2011 (</w:t>
      </w:r>
      <w:r w:rsidR="007A70FE" w:rsidRPr="009C55E1">
        <w:rPr>
          <w:rFonts w:cs="Arial"/>
          <w:color w:val="000000" w:themeColor="text1"/>
          <w:szCs w:val="22"/>
          <w:lang w:val="en-GB"/>
        </w:rPr>
        <w:t>e.g.</w:t>
      </w:r>
      <w:r w:rsidR="00011B59" w:rsidRPr="009C55E1">
        <w:rPr>
          <w:rFonts w:cs="Arial"/>
          <w:color w:val="000000" w:themeColor="text1"/>
          <w:szCs w:val="22"/>
          <w:lang w:val="en-GB"/>
        </w:rPr>
        <w:t xml:space="preserve">, </w:t>
      </w:r>
      <w:r w:rsidR="00CC7763">
        <w:rPr>
          <w:rFonts w:cs="Arial"/>
          <w:color w:val="000000" w:themeColor="text1"/>
          <w:szCs w:val="22"/>
          <w:lang w:val="en-GB"/>
        </w:rPr>
        <w:t>cyclone</w:t>
      </w:r>
      <w:r w:rsidR="00CC7763" w:rsidRPr="009C55E1">
        <w:rPr>
          <w:rFonts w:cs="Arial"/>
          <w:color w:val="000000" w:themeColor="text1"/>
          <w:szCs w:val="22"/>
          <w:lang w:val="en-GB"/>
        </w:rPr>
        <w:t xml:space="preserve"> </w:t>
      </w:r>
      <w:r w:rsidR="00AC7188" w:rsidRPr="009C55E1">
        <w:rPr>
          <w:rFonts w:cs="Arial"/>
          <w:color w:val="000000" w:themeColor="text1"/>
          <w:szCs w:val="22"/>
          <w:lang w:val="en-GB"/>
        </w:rPr>
        <w:t xml:space="preserve">Yasi) resulted in further substantial decline in inshore seagrass meadows throughout much of the </w:t>
      </w:r>
      <w:r w:rsidR="003158FC" w:rsidRPr="009C55E1">
        <w:rPr>
          <w:rFonts w:cs="Arial"/>
          <w:color w:val="000000" w:themeColor="text1"/>
          <w:szCs w:val="22"/>
          <w:lang w:val="en-GB"/>
        </w:rPr>
        <w:t>Reef</w:t>
      </w:r>
      <w:r w:rsidR="00AC7188" w:rsidRPr="009C55E1">
        <w:rPr>
          <w:rFonts w:cs="Arial"/>
          <w:color w:val="000000" w:themeColor="text1"/>
          <w:szCs w:val="22"/>
          <w:lang w:val="en-GB"/>
        </w:rPr>
        <w:t xml:space="preserve">. </w:t>
      </w:r>
    </w:p>
    <w:p w14:paraId="756DEEA6" w14:textId="67F34993" w:rsidR="006B6091" w:rsidRPr="009C55E1" w:rsidRDefault="007A70FE" w:rsidP="00AC7188">
      <w:pPr>
        <w:rPr>
          <w:rFonts w:cs="Arial"/>
          <w:color w:val="000000" w:themeColor="text1"/>
          <w:szCs w:val="22"/>
        </w:rPr>
      </w:pPr>
      <w:r w:rsidRPr="009C55E1">
        <w:rPr>
          <w:rFonts w:cs="Arial"/>
          <w:color w:val="000000" w:themeColor="text1"/>
          <w:szCs w:val="22"/>
        </w:rPr>
        <w:t>Estuarine</w:t>
      </w:r>
      <w:r w:rsidR="00E77C82" w:rsidRPr="009C55E1">
        <w:rPr>
          <w:rFonts w:cs="Arial"/>
          <w:color w:val="000000" w:themeColor="text1"/>
          <w:szCs w:val="22"/>
        </w:rPr>
        <w:t xml:space="preserve"> habitats, which are monitored only in the south</w:t>
      </w:r>
      <w:r w:rsidR="00C153A9" w:rsidRPr="009C55E1">
        <w:rPr>
          <w:rFonts w:cs="Arial"/>
          <w:color w:val="000000" w:themeColor="text1"/>
          <w:szCs w:val="22"/>
        </w:rPr>
        <w:t>ern</w:t>
      </w:r>
      <w:r w:rsidR="00E77C82" w:rsidRPr="009C55E1">
        <w:rPr>
          <w:rFonts w:cs="Arial"/>
          <w:color w:val="000000" w:themeColor="text1"/>
          <w:szCs w:val="22"/>
        </w:rPr>
        <w:t xml:space="preserve"> </w:t>
      </w:r>
      <w:r w:rsidR="003158FC" w:rsidRPr="009C55E1">
        <w:rPr>
          <w:rFonts w:cs="Arial"/>
          <w:color w:val="000000" w:themeColor="text1"/>
          <w:szCs w:val="22"/>
        </w:rPr>
        <w:t>Reef</w:t>
      </w:r>
      <w:r w:rsidR="00E77C82" w:rsidRPr="009C55E1">
        <w:rPr>
          <w:rFonts w:cs="Arial"/>
          <w:color w:val="000000" w:themeColor="text1"/>
          <w:szCs w:val="22"/>
        </w:rPr>
        <w:t xml:space="preserve">, reached record </w:t>
      </w:r>
      <w:r w:rsidR="007F7222">
        <w:rPr>
          <w:rFonts w:cs="Arial"/>
          <w:color w:val="000000" w:themeColor="text1"/>
          <w:szCs w:val="22"/>
        </w:rPr>
        <w:t>per cent</w:t>
      </w:r>
      <w:r w:rsidR="00E77C82" w:rsidRPr="009C55E1">
        <w:rPr>
          <w:rFonts w:cs="Arial"/>
          <w:color w:val="000000" w:themeColor="text1"/>
          <w:szCs w:val="22"/>
        </w:rPr>
        <w:t xml:space="preserve"> cover in 2002 to 2003, </w:t>
      </w:r>
      <w:r w:rsidR="002E6856" w:rsidRPr="009C55E1">
        <w:rPr>
          <w:rFonts w:cs="Arial"/>
          <w:color w:val="000000" w:themeColor="text1"/>
          <w:szCs w:val="22"/>
        </w:rPr>
        <w:t>but have remained low since 2005</w:t>
      </w:r>
      <w:r w:rsidR="00B2619F" w:rsidRPr="009C55E1">
        <w:rPr>
          <w:rFonts w:cs="Arial"/>
          <w:color w:val="000000" w:themeColor="text1"/>
          <w:szCs w:val="22"/>
        </w:rPr>
        <w:t>–</w:t>
      </w:r>
      <w:r w:rsidR="002E6856" w:rsidRPr="009C55E1">
        <w:rPr>
          <w:rFonts w:cs="Arial"/>
          <w:color w:val="000000" w:themeColor="text1"/>
          <w:szCs w:val="22"/>
        </w:rPr>
        <w:t xml:space="preserve">06. </w:t>
      </w:r>
      <w:r w:rsidR="006B6091" w:rsidRPr="009C55E1">
        <w:rPr>
          <w:rFonts w:cs="Arial"/>
          <w:color w:val="000000" w:themeColor="text1"/>
          <w:szCs w:val="22"/>
        </w:rPr>
        <w:lastRenderedPageBreak/>
        <w:t xml:space="preserve">Trends </w:t>
      </w:r>
      <w:r w:rsidR="00B518CD" w:rsidRPr="009C55E1">
        <w:rPr>
          <w:rFonts w:cs="Arial"/>
          <w:color w:val="000000" w:themeColor="text1"/>
          <w:szCs w:val="22"/>
        </w:rPr>
        <w:t xml:space="preserve">have fluctuated </w:t>
      </w:r>
      <w:r w:rsidR="002E6856" w:rsidRPr="009C55E1">
        <w:rPr>
          <w:rFonts w:cs="Arial"/>
          <w:color w:val="000000" w:themeColor="text1"/>
          <w:szCs w:val="22"/>
        </w:rPr>
        <w:t xml:space="preserve">at a site level </w:t>
      </w:r>
      <w:r w:rsidR="00B518CD" w:rsidRPr="009C55E1">
        <w:rPr>
          <w:rFonts w:cs="Arial"/>
          <w:color w:val="000000" w:themeColor="text1"/>
          <w:szCs w:val="22"/>
        </w:rPr>
        <w:t>in estuary habitats, most often at smaller localised scales where there have been some acute event related changes (</w:t>
      </w:r>
      <w:hyperlink w:anchor="_ENREF_103" w:tooltip="McKenzie, 2012 #9287" w:history="1">
        <w:r w:rsidR="009A7AB4" w:rsidRPr="009C55E1">
          <w:rPr>
            <w:rFonts w:cs="Arial"/>
            <w:color w:val="000000" w:themeColor="text1"/>
            <w:szCs w:val="22"/>
          </w:rPr>
          <w:fldChar w:fldCharType="begin"/>
        </w:r>
        <w:r w:rsidR="009A7AB4" w:rsidRPr="009C55E1">
          <w:rPr>
            <w:rFonts w:cs="Arial"/>
            <w:color w:val="000000" w:themeColor="text1"/>
            <w:szCs w:val="22"/>
          </w:rPr>
          <w:instrText xml:space="preserve"> ADDIN EN.CITE &lt;EndNote&gt;&lt;Cite&gt;&lt;Author&gt;McKenzie&lt;/Author&gt;&lt;Year&gt;2012&lt;/Year&gt;&lt;RecNum&gt;9287&lt;/RecNum&gt;&lt;DisplayText&gt;McKenzie&lt;style face="italic"&gt; et al.&lt;/style&gt; 2012&lt;/DisplayText&gt;&lt;record&gt;&lt;rec-number&gt;9287&lt;/rec-number&gt;&lt;foreign-keys&gt;&lt;key app="EN" db-id="0eve55x9y5vfd6e9dacxtew4eatve2dzds9a" timestamp="1375005081"&gt;9287&lt;/key&gt;&lt;/foreign-keys&gt;&lt;ref-type name="Report"&gt;27&lt;/ref-type&gt;&lt;contributors&gt;&lt;authors&gt;&lt;author&gt;McKenzie, Len J&lt;/author&gt;&lt;author&gt;Collier, C.J.&lt;/author&gt;&lt;author&gt;Waycott, M.&lt;/author&gt;&lt;/authors&gt;&lt;/contributors&gt;&lt;titles&gt;&lt;title&gt;Reef Rescue Marine Monitoring Program: Inshore seagrass, annual report for the sampling period 1st September 2010-31st May 2011&lt;/title&gt;&lt;/titles&gt;&lt;pages&gt;230pp&lt;/pages&gt;&lt;dates&gt;&lt;year&gt;2012&lt;/year&gt;&lt;/dates&gt;&lt;publisher&gt;Fisheries Queensland, Cairns&lt;/publisher&gt;&lt;urls&gt;&lt;/urls&gt;&lt;/record&gt;&lt;/Cite&gt;&lt;/EndNote&gt;</w:instrText>
        </w:r>
        <w:r w:rsidR="009A7AB4" w:rsidRPr="009C55E1">
          <w:rPr>
            <w:rFonts w:cs="Arial"/>
            <w:color w:val="000000" w:themeColor="text1"/>
            <w:szCs w:val="22"/>
          </w:rPr>
          <w:fldChar w:fldCharType="separate"/>
        </w:r>
        <w:r w:rsidR="009A7AB4" w:rsidRPr="009C55E1">
          <w:rPr>
            <w:rFonts w:cs="Arial"/>
            <w:noProof/>
            <w:color w:val="000000" w:themeColor="text1"/>
            <w:szCs w:val="22"/>
          </w:rPr>
          <w:t>McKenzie</w:t>
        </w:r>
        <w:r w:rsidR="009A7AB4" w:rsidRPr="009C55E1">
          <w:rPr>
            <w:rFonts w:cs="Arial"/>
            <w:i/>
            <w:noProof/>
            <w:color w:val="000000" w:themeColor="text1"/>
            <w:szCs w:val="22"/>
          </w:rPr>
          <w:t xml:space="preserve"> et al.</w:t>
        </w:r>
        <w:r w:rsidR="009A7AB4" w:rsidRPr="009C55E1">
          <w:rPr>
            <w:rFonts w:cs="Arial"/>
            <w:noProof/>
            <w:color w:val="000000" w:themeColor="text1"/>
            <w:szCs w:val="22"/>
          </w:rPr>
          <w:t xml:space="preserve"> 2012</w:t>
        </w:r>
        <w:r w:rsidR="009A7AB4" w:rsidRPr="009C55E1">
          <w:rPr>
            <w:rFonts w:cs="Arial"/>
            <w:color w:val="000000" w:themeColor="text1"/>
            <w:szCs w:val="22"/>
          </w:rPr>
          <w:fldChar w:fldCharType="end"/>
        </w:r>
      </w:hyperlink>
      <w:r w:rsidR="00B518CD" w:rsidRPr="009C55E1">
        <w:rPr>
          <w:rFonts w:cs="Arial"/>
          <w:color w:val="000000" w:themeColor="text1"/>
          <w:szCs w:val="22"/>
        </w:rPr>
        <w:t>).</w:t>
      </w:r>
    </w:p>
    <w:p w14:paraId="015CF6B1" w14:textId="01DBEC6A" w:rsidR="006B6091" w:rsidRPr="009C55E1" w:rsidRDefault="00AC7188" w:rsidP="00AC7188">
      <w:pPr>
        <w:rPr>
          <w:rFonts w:cs="Arial"/>
          <w:color w:val="000000" w:themeColor="text1"/>
          <w:szCs w:val="22"/>
          <w:lang w:val="en-GB"/>
        </w:rPr>
      </w:pPr>
      <w:r w:rsidRPr="009C55E1">
        <w:rPr>
          <w:rFonts w:cs="Arial"/>
          <w:color w:val="000000" w:themeColor="text1"/>
          <w:szCs w:val="22"/>
          <w:lang w:val="en-GB"/>
        </w:rPr>
        <w:t>Post 2011, seagrasses have progressively recovered, although by 2016</w:t>
      </w:r>
      <w:r w:rsidR="009203FC" w:rsidRPr="009C55E1">
        <w:rPr>
          <w:rFonts w:cs="Arial"/>
          <w:color w:val="000000" w:themeColor="text1"/>
          <w:szCs w:val="22"/>
          <w:lang w:val="en-GB"/>
        </w:rPr>
        <w:t>–</w:t>
      </w:r>
      <w:r w:rsidR="00B2619F" w:rsidRPr="009C55E1">
        <w:rPr>
          <w:rFonts w:cs="Arial"/>
          <w:color w:val="000000" w:themeColor="text1"/>
          <w:szCs w:val="22"/>
          <w:lang w:val="en-GB"/>
        </w:rPr>
        <w:t>20</w:t>
      </w:r>
      <w:r w:rsidRPr="009C55E1">
        <w:rPr>
          <w:rFonts w:cs="Arial"/>
          <w:color w:val="000000" w:themeColor="text1"/>
          <w:szCs w:val="22"/>
          <w:lang w:val="en-GB"/>
        </w:rPr>
        <w:t>17 still remained below the 2008 levels, except in coastal sites which have recovered (</w:t>
      </w:r>
      <w:r w:rsidR="001851D6" w:rsidRPr="009C55E1">
        <w:rPr>
          <w:rFonts w:cs="Arial"/>
          <w:color w:val="000000" w:themeColor="text1"/>
          <w:szCs w:val="22"/>
          <w:lang w:val="en-GB"/>
        </w:rPr>
        <w:fldChar w:fldCharType="begin"/>
      </w:r>
      <w:r w:rsidR="001851D6" w:rsidRPr="009C55E1">
        <w:rPr>
          <w:rFonts w:cs="Arial"/>
          <w:color w:val="000000" w:themeColor="text1"/>
          <w:szCs w:val="22"/>
          <w:lang w:val="en-GB"/>
        </w:rPr>
        <w:instrText xml:space="preserve"> REF _Ref442456518 \h </w:instrText>
      </w:r>
      <w:r w:rsidR="00580DDA" w:rsidRPr="009C55E1">
        <w:rPr>
          <w:rFonts w:cs="Arial"/>
          <w:color w:val="000000" w:themeColor="text1"/>
          <w:szCs w:val="22"/>
          <w:lang w:val="en-GB"/>
        </w:rPr>
        <w:instrText xml:space="preserve"> \* MERGEFORMAT </w:instrText>
      </w:r>
      <w:r w:rsidR="001851D6" w:rsidRPr="009C55E1">
        <w:rPr>
          <w:rFonts w:cs="Arial"/>
          <w:color w:val="000000" w:themeColor="text1"/>
          <w:szCs w:val="22"/>
          <w:lang w:val="en-GB"/>
        </w:rPr>
      </w:r>
      <w:r w:rsidR="001851D6" w:rsidRPr="009C55E1">
        <w:rPr>
          <w:rFonts w:cs="Arial"/>
          <w:color w:val="000000" w:themeColor="text1"/>
          <w:szCs w:val="22"/>
          <w:lang w:val="en-GB"/>
        </w:rPr>
        <w:fldChar w:fldCharType="separate"/>
      </w:r>
      <w:r w:rsidR="0067675D" w:rsidRPr="009C55E1">
        <w:rPr>
          <w:rFonts w:cs="Arial"/>
          <w:szCs w:val="22"/>
        </w:rPr>
        <w:t xml:space="preserve">Figure </w:t>
      </w:r>
      <w:r w:rsidR="0067675D">
        <w:rPr>
          <w:rFonts w:cs="Arial"/>
          <w:noProof/>
          <w:szCs w:val="22"/>
        </w:rPr>
        <w:t>17</w:t>
      </w:r>
      <w:r w:rsidR="001851D6" w:rsidRPr="009C55E1">
        <w:rPr>
          <w:rFonts w:cs="Arial"/>
          <w:color w:val="000000" w:themeColor="text1"/>
          <w:szCs w:val="22"/>
          <w:lang w:val="en-GB"/>
        </w:rPr>
        <w:fldChar w:fldCharType="end"/>
      </w:r>
      <w:r w:rsidRPr="009C55E1">
        <w:rPr>
          <w:rFonts w:cs="Arial"/>
          <w:color w:val="000000" w:themeColor="text1"/>
          <w:szCs w:val="22"/>
          <w:lang w:val="en-GB"/>
        </w:rPr>
        <w:t xml:space="preserve">). </w:t>
      </w:r>
    </w:p>
    <w:p w14:paraId="6DFB04D0" w14:textId="5A9AB73E" w:rsidR="00D55485" w:rsidRPr="009C55E1" w:rsidRDefault="006B6091" w:rsidP="00D55485">
      <w:pPr>
        <w:rPr>
          <w:rFonts w:cs="Arial"/>
          <w:szCs w:val="22"/>
        </w:rPr>
      </w:pPr>
      <w:r w:rsidRPr="009C55E1">
        <w:rPr>
          <w:rFonts w:cs="Arial"/>
          <w:color w:val="000000" w:themeColor="text1"/>
          <w:szCs w:val="22"/>
          <w:lang w:val="en-GB"/>
        </w:rPr>
        <w:t xml:space="preserve">In </w:t>
      </w:r>
      <w:r w:rsidR="00956639" w:rsidRPr="009C55E1">
        <w:rPr>
          <w:rFonts w:cs="Arial"/>
          <w:color w:val="000000" w:themeColor="text1"/>
          <w:szCs w:val="22"/>
          <w:lang w:val="en-GB"/>
        </w:rPr>
        <w:t>2018–19</w:t>
      </w:r>
      <w:r w:rsidRPr="009C55E1">
        <w:rPr>
          <w:rFonts w:cs="Arial"/>
          <w:color w:val="000000" w:themeColor="text1"/>
          <w:szCs w:val="22"/>
          <w:lang w:val="en-GB"/>
        </w:rPr>
        <w:t xml:space="preserve">, </w:t>
      </w:r>
      <w:r w:rsidR="002B1351" w:rsidRPr="009C55E1">
        <w:rPr>
          <w:rFonts w:cs="Arial"/>
          <w:color w:val="000000" w:themeColor="text1"/>
          <w:szCs w:val="22"/>
          <w:lang w:val="en-GB"/>
        </w:rPr>
        <w:t>Reef</w:t>
      </w:r>
      <w:r w:rsidRPr="009C55E1">
        <w:rPr>
          <w:rFonts w:cs="Arial"/>
          <w:color w:val="000000" w:themeColor="text1"/>
          <w:szCs w:val="22"/>
          <w:lang w:val="en-GB"/>
        </w:rPr>
        <w:t xml:space="preserve">-wide </w:t>
      </w:r>
      <w:r w:rsidR="006F0AD1">
        <w:rPr>
          <w:rFonts w:cs="Arial"/>
          <w:color w:val="000000" w:themeColor="text1"/>
          <w:szCs w:val="22"/>
          <w:lang w:val="en-GB"/>
        </w:rPr>
        <w:t xml:space="preserve">relative </w:t>
      </w:r>
      <w:r w:rsidRPr="009C55E1">
        <w:rPr>
          <w:rFonts w:cs="Arial"/>
          <w:color w:val="000000" w:themeColor="text1"/>
          <w:szCs w:val="22"/>
          <w:lang w:val="en-GB"/>
        </w:rPr>
        <w:t>meadow extent was similar to the previous year, however these remain lower than the baseline (2005), 2014 and 2015 (</w:t>
      </w:r>
      <w:r w:rsidRPr="009C55E1">
        <w:rPr>
          <w:rFonts w:cs="Arial"/>
          <w:color w:val="000000" w:themeColor="text1"/>
          <w:szCs w:val="22"/>
          <w:lang w:val="en-GB"/>
        </w:rPr>
        <w:fldChar w:fldCharType="begin"/>
      </w:r>
      <w:r w:rsidRPr="009C55E1">
        <w:rPr>
          <w:rFonts w:cs="Arial"/>
          <w:color w:val="000000" w:themeColor="text1"/>
          <w:szCs w:val="22"/>
          <w:lang w:val="en-GB"/>
        </w:rPr>
        <w:instrText xml:space="preserve"> REF _Ref534197389 \h </w:instrText>
      </w:r>
      <w:r w:rsidR="00CB093C" w:rsidRPr="009C55E1">
        <w:rPr>
          <w:rFonts w:cs="Arial"/>
          <w:color w:val="000000" w:themeColor="text1"/>
          <w:szCs w:val="22"/>
          <w:lang w:val="en-GB"/>
        </w:rPr>
        <w:instrText xml:space="preserve"> \* MERGEFORMAT </w:instrText>
      </w:r>
      <w:r w:rsidRPr="009C55E1">
        <w:rPr>
          <w:rFonts w:cs="Arial"/>
          <w:color w:val="000000" w:themeColor="text1"/>
          <w:szCs w:val="22"/>
          <w:lang w:val="en-GB"/>
        </w:rPr>
      </w:r>
      <w:r w:rsidRPr="009C55E1">
        <w:rPr>
          <w:rFonts w:cs="Arial"/>
          <w:color w:val="000000" w:themeColor="text1"/>
          <w:szCs w:val="22"/>
          <w:lang w:val="en-GB"/>
        </w:rPr>
        <w:fldChar w:fldCharType="separate"/>
      </w:r>
      <w:r w:rsidR="0067675D" w:rsidRPr="009C55E1">
        <w:rPr>
          <w:rFonts w:cs="Arial"/>
          <w:szCs w:val="22"/>
        </w:rPr>
        <w:t xml:space="preserve">Figure </w:t>
      </w:r>
      <w:r w:rsidR="0067675D">
        <w:rPr>
          <w:rFonts w:cs="Arial"/>
          <w:noProof/>
          <w:szCs w:val="22"/>
        </w:rPr>
        <w:t>19</w:t>
      </w:r>
      <w:r w:rsidRPr="009C55E1">
        <w:rPr>
          <w:rFonts w:cs="Arial"/>
          <w:color w:val="000000" w:themeColor="text1"/>
          <w:szCs w:val="22"/>
          <w:lang w:val="en-GB"/>
        </w:rPr>
        <w:fldChar w:fldCharType="end"/>
      </w:r>
      <w:r w:rsidRPr="009C55E1">
        <w:rPr>
          <w:rFonts w:cs="Arial"/>
          <w:color w:val="000000" w:themeColor="text1"/>
          <w:szCs w:val="22"/>
          <w:lang w:val="en-GB"/>
        </w:rPr>
        <w:t>).</w:t>
      </w:r>
      <w:r w:rsidR="00D11AA0">
        <w:rPr>
          <w:rFonts w:cs="Arial"/>
          <w:color w:val="000000" w:themeColor="text1"/>
          <w:szCs w:val="22"/>
          <w:lang w:val="en-GB"/>
        </w:rPr>
        <w:t xml:space="preserve"> </w:t>
      </w:r>
      <w:r w:rsidR="005F7B5A" w:rsidRPr="009C55E1">
        <w:rPr>
          <w:rFonts w:cs="Arial"/>
          <w:color w:val="000000" w:themeColor="text1"/>
          <w:szCs w:val="22"/>
          <w:lang w:val="en-GB"/>
        </w:rPr>
        <w:t xml:space="preserve">Since </w:t>
      </w:r>
      <w:r w:rsidR="00C153A9" w:rsidRPr="009C55E1">
        <w:rPr>
          <w:rFonts w:cs="Arial"/>
          <w:color w:val="000000" w:themeColor="text1"/>
          <w:szCs w:val="22"/>
          <w:lang w:val="en-GB"/>
        </w:rPr>
        <w:t>the MMP</w:t>
      </w:r>
      <w:r w:rsidR="005F7B5A" w:rsidRPr="009C55E1">
        <w:rPr>
          <w:rFonts w:cs="Arial"/>
          <w:color w:val="000000" w:themeColor="text1"/>
          <w:szCs w:val="22"/>
          <w:lang w:val="en-GB"/>
        </w:rPr>
        <w:t xml:space="preserve"> was established in 2005, meadow extent </w:t>
      </w:r>
      <w:r w:rsidR="003A6198" w:rsidRPr="009C55E1">
        <w:rPr>
          <w:rFonts w:cs="Arial"/>
          <w:color w:val="000000" w:themeColor="text1"/>
          <w:szCs w:val="22"/>
          <w:lang w:val="en-GB"/>
        </w:rPr>
        <w:t xml:space="preserve">across </w:t>
      </w:r>
      <w:r w:rsidR="00C153A9" w:rsidRPr="009C55E1">
        <w:rPr>
          <w:rFonts w:cs="Arial"/>
          <w:color w:val="000000" w:themeColor="text1"/>
          <w:szCs w:val="22"/>
          <w:lang w:val="en-GB"/>
        </w:rPr>
        <w:t xml:space="preserve">inshore </w:t>
      </w:r>
      <w:r w:rsidR="005F7B5A" w:rsidRPr="009C55E1">
        <w:rPr>
          <w:rFonts w:cs="Arial"/>
          <w:color w:val="000000" w:themeColor="text1"/>
          <w:szCs w:val="22"/>
          <w:lang w:val="en-GB"/>
        </w:rPr>
        <w:t>monitoring sites declined in early 2011, recovering within 3</w:t>
      </w:r>
      <w:r w:rsidR="009203FC" w:rsidRPr="009C55E1">
        <w:rPr>
          <w:rFonts w:cs="Arial"/>
          <w:color w:val="000000" w:themeColor="text1"/>
          <w:szCs w:val="22"/>
          <w:lang w:val="en-GB"/>
        </w:rPr>
        <w:t>–</w:t>
      </w:r>
      <w:r w:rsidR="005F7B5A" w:rsidRPr="009C55E1">
        <w:rPr>
          <w:rFonts w:cs="Arial"/>
          <w:color w:val="000000" w:themeColor="text1"/>
          <w:szCs w:val="22"/>
          <w:lang w:val="en-GB"/>
        </w:rPr>
        <w:t>4 years (</w:t>
      </w:r>
      <w:r w:rsidR="005F7B5A" w:rsidRPr="009C55E1">
        <w:rPr>
          <w:rFonts w:cs="Arial"/>
          <w:color w:val="000000" w:themeColor="text1"/>
          <w:szCs w:val="22"/>
          <w:lang w:val="en-GB"/>
        </w:rPr>
        <w:fldChar w:fldCharType="begin"/>
      </w:r>
      <w:r w:rsidR="005F7B5A" w:rsidRPr="009C55E1">
        <w:rPr>
          <w:rFonts w:cs="Arial"/>
          <w:color w:val="000000" w:themeColor="text1"/>
          <w:szCs w:val="22"/>
          <w:lang w:val="en-GB"/>
        </w:rPr>
        <w:instrText xml:space="preserve"> REF _Ref534197389 \h </w:instrText>
      </w:r>
      <w:r w:rsidR="00CB093C" w:rsidRPr="009C55E1">
        <w:rPr>
          <w:rFonts w:cs="Arial"/>
          <w:color w:val="000000" w:themeColor="text1"/>
          <w:szCs w:val="22"/>
          <w:lang w:val="en-GB"/>
        </w:rPr>
        <w:instrText xml:space="preserve"> \* MERGEFORMAT </w:instrText>
      </w:r>
      <w:r w:rsidR="005F7B5A" w:rsidRPr="009C55E1">
        <w:rPr>
          <w:rFonts w:cs="Arial"/>
          <w:color w:val="000000" w:themeColor="text1"/>
          <w:szCs w:val="22"/>
          <w:lang w:val="en-GB"/>
        </w:rPr>
      </w:r>
      <w:r w:rsidR="005F7B5A" w:rsidRPr="009C55E1">
        <w:rPr>
          <w:rFonts w:cs="Arial"/>
          <w:color w:val="000000" w:themeColor="text1"/>
          <w:szCs w:val="22"/>
          <w:lang w:val="en-GB"/>
        </w:rPr>
        <w:fldChar w:fldCharType="separate"/>
      </w:r>
      <w:r w:rsidR="0067675D" w:rsidRPr="009C55E1">
        <w:rPr>
          <w:rFonts w:cs="Arial"/>
          <w:szCs w:val="22"/>
        </w:rPr>
        <w:t xml:space="preserve">Figure </w:t>
      </w:r>
      <w:r w:rsidR="0067675D">
        <w:rPr>
          <w:rFonts w:cs="Arial"/>
          <w:noProof/>
          <w:szCs w:val="22"/>
        </w:rPr>
        <w:t>19</w:t>
      </w:r>
      <w:r w:rsidR="005F7B5A" w:rsidRPr="009C55E1">
        <w:rPr>
          <w:rFonts w:cs="Arial"/>
          <w:color w:val="000000" w:themeColor="text1"/>
          <w:szCs w:val="22"/>
          <w:lang w:val="en-GB"/>
        </w:rPr>
        <w:fldChar w:fldCharType="end"/>
      </w:r>
      <w:r w:rsidR="005F7B5A" w:rsidRPr="009C55E1">
        <w:rPr>
          <w:rFonts w:cs="Arial"/>
          <w:color w:val="000000" w:themeColor="text1"/>
          <w:szCs w:val="22"/>
          <w:lang w:val="en-GB"/>
        </w:rPr>
        <w:t>). Similar to seagrass abundance, th</w:t>
      </w:r>
      <w:r w:rsidR="00433555" w:rsidRPr="009C55E1">
        <w:rPr>
          <w:rFonts w:cs="Arial"/>
          <w:color w:val="000000" w:themeColor="text1"/>
          <w:szCs w:val="22"/>
          <w:lang w:val="en-GB"/>
        </w:rPr>
        <w:t>is</w:t>
      </w:r>
      <w:r w:rsidR="005F7B5A" w:rsidRPr="009C55E1">
        <w:rPr>
          <w:rFonts w:cs="Arial"/>
          <w:color w:val="000000" w:themeColor="text1"/>
          <w:szCs w:val="22"/>
          <w:lang w:val="en-GB"/>
        </w:rPr>
        <w:t xml:space="preserve"> decline in </w:t>
      </w:r>
      <w:r w:rsidR="006F0AD1">
        <w:rPr>
          <w:rFonts w:cs="Arial"/>
          <w:color w:val="000000" w:themeColor="text1"/>
          <w:szCs w:val="22"/>
          <w:lang w:val="en-GB"/>
        </w:rPr>
        <w:t xml:space="preserve">relative </w:t>
      </w:r>
      <w:r w:rsidR="005F7B5A" w:rsidRPr="009C55E1">
        <w:rPr>
          <w:rFonts w:cs="Arial"/>
          <w:color w:val="000000" w:themeColor="text1"/>
          <w:szCs w:val="22"/>
          <w:lang w:val="en-GB"/>
        </w:rPr>
        <w:t>extent w</w:t>
      </w:r>
      <w:r w:rsidR="00433555" w:rsidRPr="009C55E1">
        <w:rPr>
          <w:rFonts w:cs="Arial"/>
          <w:color w:val="000000" w:themeColor="text1"/>
          <w:szCs w:val="22"/>
          <w:lang w:val="en-GB"/>
        </w:rPr>
        <w:t>as</w:t>
      </w:r>
      <w:r w:rsidR="005F7B5A" w:rsidRPr="009C55E1">
        <w:rPr>
          <w:rFonts w:cs="Arial"/>
          <w:color w:val="000000" w:themeColor="text1"/>
          <w:szCs w:val="22"/>
          <w:lang w:val="en-GB"/>
        </w:rPr>
        <w:t xml:space="preserve"> a consequence of extreme weather and associated flooding. Since 2014, the meadows </w:t>
      </w:r>
      <w:r w:rsidR="006F0AD1">
        <w:rPr>
          <w:rFonts w:cs="Arial"/>
          <w:color w:val="000000" w:themeColor="text1"/>
          <w:szCs w:val="22"/>
          <w:lang w:val="en-GB"/>
        </w:rPr>
        <w:t xml:space="preserve">monitored </w:t>
      </w:r>
      <w:r w:rsidR="005F7B5A" w:rsidRPr="009C55E1">
        <w:rPr>
          <w:rFonts w:cs="Arial"/>
          <w:color w:val="000000" w:themeColor="text1"/>
          <w:szCs w:val="22"/>
          <w:lang w:val="en-GB"/>
        </w:rPr>
        <w:t xml:space="preserve">across the </w:t>
      </w:r>
      <w:r w:rsidR="003158FC" w:rsidRPr="009C55E1">
        <w:rPr>
          <w:rFonts w:cs="Arial"/>
          <w:color w:val="000000" w:themeColor="text1"/>
          <w:szCs w:val="22"/>
          <w:lang w:val="en-GB"/>
        </w:rPr>
        <w:t>Reef</w:t>
      </w:r>
      <w:r w:rsidR="005F7B5A" w:rsidRPr="009C55E1">
        <w:rPr>
          <w:rFonts w:cs="Arial"/>
          <w:color w:val="000000" w:themeColor="text1"/>
          <w:szCs w:val="22"/>
          <w:lang w:val="en-GB"/>
        </w:rPr>
        <w:t xml:space="preserve"> have varied </w:t>
      </w:r>
      <w:r w:rsidR="00433555" w:rsidRPr="009C55E1">
        <w:rPr>
          <w:rFonts w:cs="Arial"/>
          <w:color w:val="000000" w:themeColor="text1"/>
          <w:szCs w:val="22"/>
          <w:lang w:val="en-GB"/>
        </w:rPr>
        <w:t xml:space="preserve">in extent </w:t>
      </w:r>
      <w:r w:rsidR="005F7B5A" w:rsidRPr="009C55E1">
        <w:rPr>
          <w:rFonts w:cs="Arial"/>
          <w:color w:val="000000" w:themeColor="text1"/>
          <w:szCs w:val="22"/>
          <w:lang w:val="en-GB"/>
        </w:rPr>
        <w:t xml:space="preserve">within and between years. </w:t>
      </w:r>
      <w:r w:rsidR="004A534B" w:rsidRPr="009C55E1">
        <w:rPr>
          <w:rFonts w:cs="Arial"/>
          <w:color w:val="000000" w:themeColor="text1"/>
          <w:szCs w:val="22"/>
          <w:lang w:val="en-GB"/>
        </w:rPr>
        <w:t xml:space="preserve">The changes in extent over the last three years </w:t>
      </w:r>
      <w:r w:rsidR="00DF0165" w:rsidRPr="009C55E1">
        <w:rPr>
          <w:rFonts w:cs="Arial"/>
          <w:color w:val="000000" w:themeColor="text1"/>
          <w:szCs w:val="22"/>
          <w:lang w:val="en-GB"/>
        </w:rPr>
        <w:t>appear a consequence of severe weather</w:t>
      </w:r>
      <w:r w:rsidR="004A534B" w:rsidRPr="009C55E1">
        <w:rPr>
          <w:rFonts w:cs="Arial"/>
          <w:color w:val="000000" w:themeColor="text1"/>
          <w:szCs w:val="22"/>
          <w:lang w:val="en-GB"/>
        </w:rPr>
        <w:t xml:space="preserve"> </w:t>
      </w:r>
      <w:r w:rsidR="00DF0165" w:rsidRPr="009C55E1">
        <w:rPr>
          <w:rFonts w:cs="Arial"/>
          <w:color w:val="000000" w:themeColor="text1"/>
          <w:szCs w:val="22"/>
          <w:lang w:val="en-GB"/>
        </w:rPr>
        <w:t xml:space="preserve">events (e.g. cyclones) and regional climate (frequency of strong wind days). </w:t>
      </w:r>
    </w:p>
    <w:p w14:paraId="51F4A130" w14:textId="29A71123" w:rsidR="00D55485" w:rsidRPr="009C55E1" w:rsidRDefault="00D55485" w:rsidP="00D55485">
      <w:pPr>
        <w:keepNext/>
        <w:widowControl w:val="0"/>
        <w:jc w:val="center"/>
        <w:rPr>
          <w:rFonts w:cs="Arial"/>
          <w:noProof/>
          <w:color w:val="000000"/>
          <w:szCs w:val="22"/>
          <w:lang w:eastAsia="en-AU"/>
        </w:rPr>
      </w:pPr>
      <w:r w:rsidRPr="009C55E1">
        <w:rPr>
          <w:rFonts w:cs="Arial"/>
          <w:noProof/>
          <w:color w:val="000000"/>
          <w:szCs w:val="22"/>
          <w:lang w:eastAsia="en-AU"/>
        </w:rPr>
        <w:drawing>
          <wp:inline distT="0" distB="0" distL="0" distR="0" wp14:anchorId="06884211" wp14:editId="13C82223">
            <wp:extent cx="4953000" cy="2875634"/>
            <wp:effectExtent l="0" t="0" r="0" b="1270"/>
            <wp:docPr id="11" name="Picture 11" descr="Bar chart showing change in average relative spatial extent of seagrass distribution at monitoring sites across inshore Reef over lifr of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xtent_Oct18.png"/>
                    <pic:cNvPicPr/>
                  </pic:nvPicPr>
                  <pic:blipFill>
                    <a:blip r:embed="rId72">
                      <a:extLst>
                        <a:ext uri="{28A0092B-C50C-407E-A947-70E740481C1C}">
                          <a14:useLocalDpi xmlns:a14="http://schemas.microsoft.com/office/drawing/2010/main" val="0"/>
                        </a:ext>
                      </a:extLst>
                    </a:blip>
                    <a:stretch>
                      <a:fillRect/>
                    </a:stretch>
                  </pic:blipFill>
                  <pic:spPr>
                    <a:xfrm>
                      <a:off x="0" y="0"/>
                      <a:ext cx="4957708" cy="2878367"/>
                    </a:xfrm>
                    <a:prstGeom prst="rect">
                      <a:avLst/>
                    </a:prstGeom>
                  </pic:spPr>
                </pic:pic>
              </a:graphicData>
            </a:graphic>
          </wp:inline>
        </w:drawing>
      </w:r>
    </w:p>
    <w:p w14:paraId="30D89192" w14:textId="053443B4" w:rsidR="00D55485" w:rsidRPr="009C55E1" w:rsidRDefault="00D55485" w:rsidP="00D55485">
      <w:pPr>
        <w:rPr>
          <w:rFonts w:cs="Arial"/>
          <w:i/>
          <w:vanish/>
          <w:szCs w:val="22"/>
          <w:specVanish/>
        </w:rPr>
      </w:pPr>
      <w:bookmarkStart w:id="235" w:name="_Ref534197389"/>
      <w:bookmarkStart w:id="236" w:name="_Toc38634123"/>
      <w:r w:rsidRPr="009C55E1">
        <w:rPr>
          <w:rFonts w:cs="Arial"/>
          <w:szCs w:val="22"/>
        </w:rPr>
        <w:t xml:space="preserve">Figure </w:t>
      </w:r>
      <w:r w:rsidRPr="009C55E1">
        <w:rPr>
          <w:rFonts w:cs="Arial"/>
          <w:noProof/>
          <w:szCs w:val="22"/>
        </w:rPr>
        <w:fldChar w:fldCharType="begin"/>
      </w:r>
      <w:r w:rsidRPr="009C55E1">
        <w:rPr>
          <w:rFonts w:cs="Arial"/>
          <w:noProof/>
          <w:szCs w:val="22"/>
        </w:rPr>
        <w:instrText xml:space="preserve"> SEQ Figure \* ARABIC </w:instrText>
      </w:r>
      <w:r w:rsidRPr="009C55E1">
        <w:rPr>
          <w:rFonts w:cs="Arial"/>
          <w:noProof/>
          <w:szCs w:val="22"/>
        </w:rPr>
        <w:fldChar w:fldCharType="separate"/>
      </w:r>
      <w:r w:rsidR="0067675D">
        <w:rPr>
          <w:rFonts w:cs="Arial"/>
          <w:noProof/>
          <w:szCs w:val="22"/>
        </w:rPr>
        <w:t>19</w:t>
      </w:r>
      <w:r w:rsidRPr="009C55E1">
        <w:rPr>
          <w:rFonts w:cs="Arial"/>
          <w:noProof/>
          <w:szCs w:val="22"/>
        </w:rPr>
        <w:fldChar w:fldCharType="end"/>
      </w:r>
      <w:bookmarkEnd w:id="235"/>
      <w:r w:rsidRPr="009C55E1">
        <w:rPr>
          <w:rFonts w:cs="Arial"/>
          <w:szCs w:val="22"/>
        </w:rPr>
        <w:t xml:space="preserve">. </w:t>
      </w:r>
      <w:r w:rsidRPr="009C55E1">
        <w:rPr>
          <w:rFonts w:cs="Arial"/>
          <w:i/>
          <w:szCs w:val="22"/>
        </w:rPr>
        <w:t xml:space="preserve">Average relative spatial extent of seagrass distribution at monitoring sites across inshore </w:t>
      </w:r>
      <w:r w:rsidR="003158FC" w:rsidRPr="009C55E1">
        <w:rPr>
          <w:rFonts w:cs="Arial"/>
          <w:i/>
          <w:szCs w:val="22"/>
        </w:rPr>
        <w:t>Reef</w:t>
      </w:r>
      <w:bookmarkEnd w:id="236"/>
    </w:p>
    <w:p w14:paraId="7F554D6D" w14:textId="67861F55" w:rsidR="00D55485" w:rsidRPr="009C55E1" w:rsidRDefault="00D55485" w:rsidP="00D55485">
      <w:pPr>
        <w:rPr>
          <w:rFonts w:cs="Arial"/>
          <w:i/>
          <w:szCs w:val="22"/>
        </w:rPr>
      </w:pPr>
      <w:r w:rsidRPr="009C55E1">
        <w:rPr>
          <w:rFonts w:cs="Arial"/>
          <w:i/>
          <w:szCs w:val="22"/>
        </w:rPr>
        <w:t xml:space="preserve"> (locations, habitats and NRM </w:t>
      </w:r>
      <w:r w:rsidR="006F0AD1">
        <w:rPr>
          <w:rFonts w:cs="Arial"/>
          <w:i/>
          <w:szCs w:val="22"/>
        </w:rPr>
        <w:t xml:space="preserve">regions </w:t>
      </w:r>
      <w:r w:rsidRPr="009C55E1">
        <w:rPr>
          <w:rFonts w:cs="Arial"/>
          <w:i/>
          <w:szCs w:val="22"/>
        </w:rPr>
        <w:t>pooled).</w:t>
      </w:r>
    </w:p>
    <w:p w14:paraId="2A3B534A" w14:textId="77777777" w:rsidR="00D55485" w:rsidRPr="009C55E1" w:rsidRDefault="00D55485" w:rsidP="00D55485">
      <w:pPr>
        <w:rPr>
          <w:rFonts w:cs="Arial"/>
          <w:szCs w:val="22"/>
          <w:lang w:val="en-GB"/>
        </w:rPr>
      </w:pPr>
    </w:p>
    <w:p w14:paraId="690856DB" w14:textId="50369FEF" w:rsidR="00FE10CD" w:rsidRDefault="00FE10CD" w:rsidP="0089405C">
      <w:pPr>
        <w:rPr>
          <w:rFonts w:cs="Arial"/>
          <w:color w:val="000000" w:themeColor="text1"/>
          <w:szCs w:val="22"/>
        </w:rPr>
      </w:pPr>
      <w:r w:rsidRPr="009C55E1">
        <w:rPr>
          <w:rFonts w:cs="Arial"/>
          <w:color w:val="000000" w:themeColor="text1"/>
          <w:szCs w:val="22"/>
        </w:rPr>
        <w:lastRenderedPageBreak/>
        <w:t xml:space="preserve">After the extreme weather events in 2009 to 2011 that caused widespread declines in seagrass </w:t>
      </w:r>
      <w:r w:rsidR="006F0AD1">
        <w:rPr>
          <w:rFonts w:cs="Arial"/>
          <w:color w:val="000000" w:themeColor="text1"/>
          <w:szCs w:val="22"/>
        </w:rPr>
        <w:t>extent</w:t>
      </w:r>
      <w:r w:rsidRPr="009C55E1">
        <w:rPr>
          <w:rFonts w:cs="Arial"/>
          <w:color w:val="000000" w:themeColor="text1"/>
          <w:szCs w:val="22"/>
        </w:rPr>
        <w:t xml:space="preserve"> (</w:t>
      </w:r>
      <w:r w:rsidRPr="009C55E1">
        <w:rPr>
          <w:rFonts w:cs="Arial"/>
          <w:color w:val="000000" w:themeColor="text1"/>
          <w:szCs w:val="22"/>
        </w:rPr>
        <w:fldChar w:fldCharType="begin"/>
      </w:r>
      <w:r w:rsidRPr="009C55E1">
        <w:rPr>
          <w:rFonts w:cs="Arial"/>
          <w:color w:val="000000" w:themeColor="text1"/>
          <w:szCs w:val="22"/>
        </w:rPr>
        <w:instrText xml:space="preserve"> REF _Ref534197389 \h </w:instrText>
      </w:r>
      <w:r w:rsidR="00CB093C" w:rsidRPr="009C55E1">
        <w:rPr>
          <w:rFonts w:cs="Arial"/>
          <w:color w:val="000000" w:themeColor="text1"/>
          <w:szCs w:val="22"/>
        </w:rPr>
        <w:instrText xml:space="preserve"> \* MERGEFORMAT </w:instrText>
      </w:r>
      <w:r w:rsidRPr="009C55E1">
        <w:rPr>
          <w:rFonts w:cs="Arial"/>
          <w:color w:val="000000" w:themeColor="text1"/>
          <w:szCs w:val="22"/>
        </w:rPr>
      </w:r>
      <w:r w:rsidRPr="009C55E1">
        <w:rPr>
          <w:rFonts w:cs="Arial"/>
          <w:color w:val="000000" w:themeColor="text1"/>
          <w:szCs w:val="22"/>
        </w:rPr>
        <w:fldChar w:fldCharType="separate"/>
      </w:r>
      <w:r w:rsidR="0067675D" w:rsidRPr="009C55E1">
        <w:rPr>
          <w:rFonts w:cs="Arial"/>
          <w:szCs w:val="22"/>
        </w:rPr>
        <w:t xml:space="preserve">Figure </w:t>
      </w:r>
      <w:r w:rsidR="0067675D">
        <w:rPr>
          <w:rFonts w:cs="Arial"/>
          <w:noProof/>
          <w:szCs w:val="22"/>
        </w:rPr>
        <w:t>19</w:t>
      </w:r>
      <w:r w:rsidRPr="009C55E1">
        <w:rPr>
          <w:rFonts w:cs="Arial"/>
          <w:color w:val="000000" w:themeColor="text1"/>
          <w:szCs w:val="22"/>
        </w:rPr>
        <w:fldChar w:fldCharType="end"/>
      </w:r>
      <w:r w:rsidRPr="009C55E1">
        <w:rPr>
          <w:rFonts w:cs="Arial"/>
          <w:color w:val="000000" w:themeColor="text1"/>
          <w:szCs w:val="22"/>
        </w:rPr>
        <w:t>) and abundance, there was increasing proliferation of species displaying colonising traits</w:t>
      </w:r>
      <w:r w:rsidR="00C153A9" w:rsidRPr="009C55E1">
        <w:rPr>
          <w:rFonts w:cs="Arial"/>
          <w:color w:val="000000" w:themeColor="text1"/>
          <w:szCs w:val="22"/>
        </w:rPr>
        <w:t>,</w:t>
      </w:r>
      <w:r w:rsidRPr="009C55E1">
        <w:rPr>
          <w:rFonts w:cs="Arial"/>
          <w:color w:val="000000" w:themeColor="text1"/>
          <w:szCs w:val="22"/>
        </w:rPr>
        <w:t xml:space="preserve"> such as </w:t>
      </w:r>
      <w:r w:rsidRPr="009C55E1">
        <w:rPr>
          <w:rFonts w:cs="Arial"/>
          <w:i/>
          <w:color w:val="000000" w:themeColor="text1"/>
          <w:szCs w:val="22"/>
        </w:rPr>
        <w:t>Halophila ovalis</w:t>
      </w:r>
      <w:r w:rsidR="00C153A9" w:rsidRPr="009C55E1">
        <w:rPr>
          <w:rFonts w:cs="Arial"/>
          <w:i/>
          <w:color w:val="000000" w:themeColor="text1"/>
          <w:szCs w:val="22"/>
        </w:rPr>
        <w:t>,</w:t>
      </w:r>
      <w:r w:rsidRPr="009C55E1">
        <w:rPr>
          <w:rFonts w:cs="Arial"/>
          <w:i/>
          <w:color w:val="000000" w:themeColor="text1"/>
          <w:szCs w:val="22"/>
        </w:rPr>
        <w:t xml:space="preserve"> </w:t>
      </w:r>
      <w:r w:rsidRPr="009C55E1">
        <w:rPr>
          <w:rFonts w:cs="Arial"/>
          <w:color w:val="000000" w:themeColor="text1"/>
          <w:szCs w:val="22"/>
        </w:rPr>
        <w:t>at coast and reef sites (</w:t>
      </w:r>
      <w:r w:rsidRPr="009C55E1">
        <w:rPr>
          <w:rFonts w:cs="Arial"/>
          <w:color w:val="000000" w:themeColor="text1"/>
          <w:szCs w:val="22"/>
        </w:rPr>
        <w:fldChar w:fldCharType="begin"/>
      </w:r>
      <w:r w:rsidRPr="009C55E1">
        <w:rPr>
          <w:rFonts w:cs="Arial"/>
          <w:color w:val="000000" w:themeColor="text1"/>
          <w:szCs w:val="22"/>
        </w:rPr>
        <w:instrText xml:space="preserve"> REF _Ref442456558 \h  \* MERGEFORMAT </w:instrText>
      </w:r>
      <w:r w:rsidRPr="009C55E1">
        <w:rPr>
          <w:rFonts w:cs="Arial"/>
          <w:color w:val="000000" w:themeColor="text1"/>
          <w:szCs w:val="22"/>
        </w:rPr>
      </w:r>
      <w:r w:rsidRPr="009C55E1">
        <w:rPr>
          <w:rFonts w:cs="Arial"/>
          <w:color w:val="000000" w:themeColor="text1"/>
          <w:szCs w:val="22"/>
        </w:rPr>
        <w:fldChar w:fldCharType="separate"/>
      </w:r>
      <w:r w:rsidR="0067675D" w:rsidRPr="009C55E1">
        <w:rPr>
          <w:rFonts w:cs="Arial"/>
          <w:szCs w:val="22"/>
        </w:rPr>
        <w:t xml:space="preserve">Figure </w:t>
      </w:r>
      <w:r w:rsidR="0067675D">
        <w:rPr>
          <w:rFonts w:cs="Arial"/>
          <w:noProof/>
          <w:szCs w:val="22"/>
        </w:rPr>
        <w:t>20</w:t>
      </w:r>
      <w:r w:rsidRPr="009C55E1">
        <w:rPr>
          <w:rFonts w:cs="Arial"/>
          <w:color w:val="000000" w:themeColor="text1"/>
          <w:szCs w:val="22"/>
        </w:rPr>
        <w:fldChar w:fldCharType="end"/>
      </w:r>
      <w:r w:rsidRPr="009C55E1">
        <w:rPr>
          <w:rFonts w:cs="Arial"/>
          <w:color w:val="000000" w:themeColor="text1"/>
          <w:szCs w:val="22"/>
        </w:rPr>
        <w:t xml:space="preserve">). </w:t>
      </w:r>
      <w:r w:rsidR="00F923C0" w:rsidRPr="009C55E1">
        <w:rPr>
          <w:rFonts w:cs="Arial"/>
          <w:color w:val="000000" w:themeColor="text1"/>
          <w:szCs w:val="22"/>
        </w:rPr>
        <w:t xml:space="preserve">Over </w:t>
      </w:r>
      <w:r w:rsidRPr="009C55E1">
        <w:rPr>
          <w:rFonts w:cs="Arial"/>
          <w:color w:val="000000" w:themeColor="text1"/>
          <w:szCs w:val="22"/>
        </w:rPr>
        <w:t xml:space="preserve">the </w:t>
      </w:r>
      <w:r w:rsidR="00956639" w:rsidRPr="009C55E1">
        <w:rPr>
          <w:rFonts w:cs="Arial"/>
          <w:color w:val="000000" w:themeColor="text1"/>
          <w:szCs w:val="22"/>
        </w:rPr>
        <w:t>2018–19</w:t>
      </w:r>
      <w:r w:rsidRPr="009C55E1">
        <w:rPr>
          <w:rFonts w:cs="Arial"/>
          <w:color w:val="000000" w:themeColor="text1"/>
          <w:szCs w:val="22"/>
        </w:rPr>
        <w:t xml:space="preserve"> monitoring period, the proportion of species displaying colonising traits remained around or lower than the </w:t>
      </w:r>
      <w:r w:rsidR="003158FC" w:rsidRPr="009C55E1">
        <w:rPr>
          <w:rFonts w:cs="Arial"/>
          <w:color w:val="000000" w:themeColor="text1"/>
          <w:szCs w:val="22"/>
        </w:rPr>
        <w:t>Reef</w:t>
      </w:r>
      <w:r w:rsidRPr="009C55E1">
        <w:rPr>
          <w:rFonts w:cs="Arial"/>
          <w:color w:val="000000" w:themeColor="text1"/>
          <w:szCs w:val="22"/>
        </w:rPr>
        <w:t>-wide average for each habitat type in coastal and estuarine habitats in favour of species displaying opportunistic or persistent traits (</w:t>
      </w:r>
      <w:r w:rsidRPr="006F0AD1">
        <w:rPr>
          <w:rFonts w:cs="Arial"/>
          <w:i/>
          <w:color w:val="000000" w:themeColor="text1"/>
          <w:szCs w:val="22"/>
        </w:rPr>
        <w:t>sensu</w:t>
      </w:r>
      <w:r w:rsidRPr="009C55E1">
        <w:rPr>
          <w:rFonts w:cs="Arial"/>
          <w:color w:val="000000" w:themeColor="text1"/>
          <w:szCs w:val="22"/>
        </w:rPr>
        <w:t xml:space="preserve"> </w:t>
      </w:r>
      <w:hyperlink w:anchor="_ENREF_80" w:tooltip="Kilminster, 2015 #10294" w:history="1">
        <w:r w:rsidR="009A7AB4" w:rsidRPr="009C55E1">
          <w:rPr>
            <w:rFonts w:cs="Arial"/>
            <w:color w:val="000000" w:themeColor="text1"/>
            <w:szCs w:val="22"/>
          </w:rPr>
          <w:fldChar w:fldCharType="begin"/>
        </w:r>
        <w:r w:rsidR="009A7AB4" w:rsidRPr="009C55E1">
          <w:rPr>
            <w:rFonts w:cs="Arial"/>
            <w:color w:val="000000" w:themeColor="text1"/>
            <w:szCs w:val="22"/>
          </w:rPr>
          <w:instrText xml:space="preserve"> ADDIN EN.CITE &lt;EndNote&gt;&lt;Cite&gt;&lt;Author&gt;Kilminster&lt;/Author&gt;&lt;Year&gt;2015&lt;/Year&gt;&lt;RecNum&gt;10294&lt;/RecNum&gt;&lt;DisplayText&gt;Kilminster&lt;style face="italic"&gt; et al.&lt;/style&gt; 2015&lt;/DisplayText&gt;&lt;record&gt;&lt;rec-number&gt;10294&lt;/rec-number&gt;&lt;foreign-keys&gt;&lt;key app="EN" db-id="0eve55x9y5vfd6e9dacxtew4eatve2dzds9a" timestamp="1441078749"&gt;10294&lt;/key&gt;&lt;/foreign-keys&gt;&lt;ref-type name="Journal Article"&gt;17&lt;/ref-type&gt;&lt;contributors&gt;&lt;authors&gt;&lt;author&gt;Kilminster, Kieryn&lt;/author&gt;&lt;author&gt;McMahon, Kathryn&lt;/author&gt;&lt;author&gt;Waycott, Michelle&lt;/author&gt;&lt;author&gt;Kendrick, Gary A.&lt;/author&gt;&lt;author&gt;Scanes, Peter&lt;/author&gt;&lt;author&gt;McKenzie, Len&lt;/author&gt;&lt;author&gt;O&amp;apos;Brien, Katherine R.&lt;/author&gt;&lt;author&gt;Lyons, Mitchell&lt;/author&gt;&lt;author&gt;Ferguson, Angus&lt;/author&gt;&lt;author&gt;Maxwell, Paul&lt;/author&gt;&lt;author&gt;Glasby, Tim&lt;/author&gt;&lt;author&gt;Udy, James&lt;/author&gt;&lt;/authors&gt;&lt;/contributors&gt;&lt;titles&gt;&lt;title&gt;Unravelling complexity in seagrass systems for management: Australia as a microcosm&lt;/title&gt;&lt;secondary-title&gt;Science of The Total Environment&lt;/secondary-title&gt;&lt;/titles&gt;&lt;periodical&gt;&lt;full-title&gt;Science of The Total Environment&lt;/full-title&gt;&lt;/periodical&gt;&lt;pages&gt;97-109&lt;/pages&gt;&lt;volume&gt;534&lt;/volume&gt;&lt;keywords&gt;&lt;keyword&gt;Life-history&lt;/keyword&gt;&lt;keyword&gt;Transitory&lt;/keyword&gt;&lt;keyword&gt;Monitoring&lt;/keyword&gt;&lt;keyword&gt;Decision-making&lt;/keyword&gt;&lt;keyword&gt;Environmental management&lt;/keyword&gt;&lt;keyword&gt;Policy&lt;/keyword&gt;&lt;keyword&gt;Seagrasses&lt;/keyword&gt;&lt;/keywords&gt;&lt;dates&gt;&lt;year&gt;2015&lt;/year&gt;&lt;/dates&gt;&lt;isbn&gt;0048-9697&lt;/isbn&gt;&lt;urls&gt;&lt;related-urls&gt;&lt;url&gt;http://www.sciencedirect.com/science/article/pii/S0048969715005124&lt;/url&gt;&lt;/related-urls&gt;&lt;/urls&gt;&lt;electronic-resource-num&gt;http://dx.doi.org/10.1016/j.scitotenv.2015.04.061&lt;/electronic-resource-num&gt;&lt;/record&gt;&lt;/Cite&gt;&lt;/EndNote&gt;</w:instrText>
        </w:r>
        <w:r w:rsidR="009A7AB4" w:rsidRPr="009C55E1">
          <w:rPr>
            <w:rFonts w:cs="Arial"/>
            <w:color w:val="000000" w:themeColor="text1"/>
            <w:szCs w:val="22"/>
          </w:rPr>
          <w:fldChar w:fldCharType="separate"/>
        </w:r>
        <w:r w:rsidR="009A7AB4" w:rsidRPr="009C55E1">
          <w:rPr>
            <w:rFonts w:cs="Arial"/>
            <w:noProof/>
            <w:color w:val="000000" w:themeColor="text1"/>
            <w:szCs w:val="22"/>
          </w:rPr>
          <w:t>Kilminster</w:t>
        </w:r>
        <w:r w:rsidR="009A7AB4" w:rsidRPr="009C55E1">
          <w:rPr>
            <w:rFonts w:cs="Arial"/>
            <w:i/>
            <w:noProof/>
            <w:color w:val="000000" w:themeColor="text1"/>
            <w:szCs w:val="22"/>
          </w:rPr>
          <w:t xml:space="preserve"> et al.</w:t>
        </w:r>
        <w:r w:rsidR="009A7AB4" w:rsidRPr="009C55E1">
          <w:rPr>
            <w:rFonts w:cs="Arial"/>
            <w:noProof/>
            <w:color w:val="000000" w:themeColor="text1"/>
            <w:szCs w:val="22"/>
          </w:rPr>
          <w:t xml:space="preserve"> 2015</w:t>
        </w:r>
        <w:r w:rsidR="009A7AB4" w:rsidRPr="009C55E1">
          <w:rPr>
            <w:rFonts w:cs="Arial"/>
            <w:color w:val="000000" w:themeColor="text1"/>
            <w:szCs w:val="22"/>
          </w:rPr>
          <w:fldChar w:fldCharType="end"/>
        </w:r>
      </w:hyperlink>
      <w:r w:rsidRPr="009C55E1">
        <w:rPr>
          <w:rFonts w:cs="Arial"/>
          <w:color w:val="000000" w:themeColor="text1"/>
          <w:szCs w:val="22"/>
        </w:rPr>
        <w:t xml:space="preserve">). The displacement of colonising species is a natural part of the meadow progression expected during the recovery of seagrass meadows. </w:t>
      </w:r>
      <w:r w:rsidR="00286A15" w:rsidRPr="009C55E1">
        <w:rPr>
          <w:rFonts w:cs="Arial"/>
          <w:color w:val="000000" w:themeColor="text1"/>
          <w:szCs w:val="22"/>
        </w:rPr>
        <w:t xml:space="preserve">This is a positive sign of recovery for these habitats/meadows. </w:t>
      </w:r>
    </w:p>
    <w:p w14:paraId="2F3E0733" w14:textId="77777777" w:rsidR="00475F7F" w:rsidRPr="009C55E1" w:rsidRDefault="00475F7F" w:rsidP="0089405C">
      <w:pPr>
        <w:rPr>
          <w:rFonts w:cs="Arial"/>
          <w:szCs w:val="22"/>
          <w:lang w:val="en-GB"/>
        </w:rPr>
      </w:pPr>
    </w:p>
    <w:p w14:paraId="0F1D73F0" w14:textId="77777777" w:rsidR="00B518CD" w:rsidRPr="009C55E1" w:rsidRDefault="004A3BBC" w:rsidP="0008242F">
      <w:pPr>
        <w:keepNext/>
        <w:widowControl w:val="0"/>
        <w:jc w:val="center"/>
        <w:rPr>
          <w:rFonts w:cs="Arial"/>
          <w:noProof/>
          <w:color w:val="000000"/>
          <w:szCs w:val="22"/>
          <w:lang w:eastAsia="en-AU"/>
        </w:rPr>
      </w:pPr>
      <w:r w:rsidRPr="009C55E1">
        <w:rPr>
          <w:rFonts w:cs="Arial"/>
          <w:noProof/>
          <w:color w:val="000000"/>
          <w:szCs w:val="22"/>
          <w:lang w:eastAsia="en-AU"/>
        </w:rPr>
        <w:drawing>
          <wp:inline distT="0" distB="0" distL="0" distR="0" wp14:anchorId="7DD6C186" wp14:editId="575F8AFD">
            <wp:extent cx="5497436" cy="1267859"/>
            <wp:effectExtent l="0" t="0" r="0" b="8890"/>
            <wp:docPr id="238" name="Picture 238" descr="Panel of five graphs showing proportion of total seagrass abundance composed of species displaying colonising traits (e.g. Halophila ovalis) in each inshore seagrass habitat (sites pooled) for the GBR (regions pooled)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GBR_colonising_2016.png"/>
                    <pic:cNvPicPr/>
                  </pic:nvPicPr>
                  <pic:blipFill>
                    <a:blip r:embed="rId73"/>
                    <a:stretch>
                      <a:fillRect/>
                    </a:stretch>
                  </pic:blipFill>
                  <pic:spPr>
                    <a:xfrm>
                      <a:off x="0" y="0"/>
                      <a:ext cx="5497436" cy="1267859"/>
                    </a:xfrm>
                    <a:prstGeom prst="rect">
                      <a:avLst/>
                    </a:prstGeom>
                  </pic:spPr>
                </pic:pic>
              </a:graphicData>
            </a:graphic>
          </wp:inline>
        </w:drawing>
      </w:r>
    </w:p>
    <w:p w14:paraId="4F8BAE9A" w14:textId="3F42979A" w:rsidR="000C5E7B" w:rsidRPr="009C55E1" w:rsidRDefault="00B518CD" w:rsidP="000C5E7B">
      <w:pPr>
        <w:rPr>
          <w:rFonts w:cs="Arial"/>
          <w:i/>
          <w:vanish/>
          <w:szCs w:val="22"/>
          <w:specVanish/>
        </w:rPr>
      </w:pPr>
      <w:bookmarkStart w:id="237" w:name="_Ref442456558"/>
      <w:bookmarkStart w:id="238" w:name="_Toc38634124"/>
      <w:r w:rsidRPr="009C55E1">
        <w:rPr>
          <w:rFonts w:cs="Arial"/>
          <w:szCs w:val="22"/>
        </w:rPr>
        <w:t xml:space="preserve">Figure </w:t>
      </w:r>
      <w:r w:rsidR="0073595B" w:rsidRPr="009C55E1">
        <w:rPr>
          <w:rFonts w:cs="Arial"/>
          <w:szCs w:val="22"/>
        </w:rPr>
        <w:fldChar w:fldCharType="begin"/>
      </w:r>
      <w:r w:rsidR="0073595B" w:rsidRPr="009C55E1">
        <w:rPr>
          <w:rFonts w:cs="Arial"/>
          <w:szCs w:val="22"/>
        </w:rPr>
        <w:instrText xml:space="preserve"> SEQ Figure \* ARABIC </w:instrText>
      </w:r>
      <w:r w:rsidR="0073595B" w:rsidRPr="009C55E1">
        <w:rPr>
          <w:rFonts w:cs="Arial"/>
          <w:szCs w:val="22"/>
        </w:rPr>
        <w:fldChar w:fldCharType="separate"/>
      </w:r>
      <w:r w:rsidR="0067675D">
        <w:rPr>
          <w:rFonts w:cs="Arial"/>
          <w:noProof/>
          <w:szCs w:val="22"/>
        </w:rPr>
        <w:t>20</w:t>
      </w:r>
      <w:r w:rsidR="0073595B" w:rsidRPr="009C55E1">
        <w:rPr>
          <w:rFonts w:cs="Arial"/>
          <w:szCs w:val="22"/>
        </w:rPr>
        <w:fldChar w:fldCharType="end"/>
      </w:r>
      <w:bookmarkEnd w:id="237"/>
      <w:r w:rsidRPr="009C55E1">
        <w:rPr>
          <w:rFonts w:cs="Arial"/>
          <w:szCs w:val="22"/>
        </w:rPr>
        <w:t xml:space="preserve">. </w:t>
      </w:r>
      <w:r w:rsidRPr="009C55E1">
        <w:rPr>
          <w:rFonts w:cs="Arial"/>
          <w:i/>
          <w:szCs w:val="22"/>
        </w:rPr>
        <w:t xml:space="preserve">Proportion of total seagrass abundance composed of </w:t>
      </w:r>
      <w:r w:rsidR="007D4D28" w:rsidRPr="009C55E1">
        <w:rPr>
          <w:rFonts w:cs="Arial"/>
          <w:i/>
          <w:szCs w:val="22"/>
        </w:rPr>
        <w:t>species displaying colonising traits</w:t>
      </w:r>
      <w:bookmarkEnd w:id="238"/>
    </w:p>
    <w:p w14:paraId="21B0B2F2" w14:textId="4F5920C5" w:rsidR="00B518CD" w:rsidRPr="009C55E1" w:rsidRDefault="007D4D28" w:rsidP="00E57745">
      <w:pPr>
        <w:rPr>
          <w:rFonts w:cs="Arial"/>
          <w:i/>
          <w:szCs w:val="22"/>
        </w:rPr>
      </w:pPr>
      <w:r w:rsidRPr="009C55E1">
        <w:rPr>
          <w:rFonts w:cs="Arial"/>
          <w:i/>
          <w:szCs w:val="22"/>
        </w:rPr>
        <w:t xml:space="preserve"> (e.g. </w:t>
      </w:r>
      <w:r w:rsidR="00B518CD" w:rsidRPr="009C55E1">
        <w:rPr>
          <w:rFonts w:cs="Arial"/>
          <w:szCs w:val="22"/>
        </w:rPr>
        <w:t>Halophila ovalis</w:t>
      </w:r>
      <w:r w:rsidR="00B518CD" w:rsidRPr="009C55E1">
        <w:rPr>
          <w:rFonts w:cs="Arial"/>
          <w:i/>
          <w:szCs w:val="22"/>
        </w:rPr>
        <w:t>) in</w:t>
      </w:r>
      <w:r w:rsidR="0008242F" w:rsidRPr="009C55E1">
        <w:rPr>
          <w:rFonts w:cs="Arial"/>
          <w:i/>
          <w:szCs w:val="22"/>
        </w:rPr>
        <w:t>:</w:t>
      </w:r>
      <w:r w:rsidR="00B518CD" w:rsidRPr="009C55E1">
        <w:rPr>
          <w:rFonts w:cs="Arial"/>
          <w:i/>
          <w:szCs w:val="22"/>
        </w:rPr>
        <w:t xml:space="preserve"> a) estuary intertidal, b) coastal intertidal, c) </w:t>
      </w:r>
      <w:r w:rsidR="000F7D14" w:rsidRPr="009C55E1">
        <w:rPr>
          <w:rFonts w:cs="Arial"/>
          <w:i/>
          <w:szCs w:val="22"/>
        </w:rPr>
        <w:t xml:space="preserve">coast subtidal, d) </w:t>
      </w:r>
      <w:r w:rsidR="00B518CD" w:rsidRPr="009C55E1">
        <w:rPr>
          <w:rFonts w:cs="Arial"/>
          <w:i/>
          <w:szCs w:val="22"/>
        </w:rPr>
        <w:t xml:space="preserve">reef intertidal and </w:t>
      </w:r>
      <w:r w:rsidR="000F7D14" w:rsidRPr="009C55E1">
        <w:rPr>
          <w:rFonts w:cs="Arial"/>
          <w:i/>
          <w:szCs w:val="22"/>
        </w:rPr>
        <w:t>e</w:t>
      </w:r>
      <w:r w:rsidR="00B518CD" w:rsidRPr="009C55E1">
        <w:rPr>
          <w:rFonts w:cs="Arial"/>
          <w:i/>
          <w:szCs w:val="22"/>
        </w:rPr>
        <w:t xml:space="preserve">) reef subtidal habitats (sites pooled) for the </w:t>
      </w:r>
      <w:r w:rsidR="003158FC" w:rsidRPr="009C55E1">
        <w:rPr>
          <w:rFonts w:cs="Arial"/>
          <w:i/>
          <w:szCs w:val="22"/>
        </w:rPr>
        <w:t>Reef</w:t>
      </w:r>
      <w:r w:rsidR="00B518CD" w:rsidRPr="009C55E1">
        <w:rPr>
          <w:rFonts w:cs="Arial"/>
          <w:i/>
          <w:szCs w:val="22"/>
        </w:rPr>
        <w:t xml:space="preserve"> (regions pooled) each monitoring period</w:t>
      </w:r>
      <w:r w:rsidR="00E57745" w:rsidRPr="009C55E1">
        <w:rPr>
          <w:rFonts w:cs="Arial"/>
          <w:i/>
          <w:szCs w:val="22"/>
        </w:rPr>
        <w:t>.</w:t>
      </w:r>
      <w:r w:rsidR="00B518CD" w:rsidRPr="009C55E1">
        <w:rPr>
          <w:rFonts w:cs="Arial"/>
          <w:i/>
          <w:szCs w:val="22"/>
        </w:rPr>
        <w:t xml:space="preserve"> Dashed line illustrates </w:t>
      </w:r>
      <w:r w:rsidR="003158FC" w:rsidRPr="009C55E1">
        <w:rPr>
          <w:rFonts w:cs="Arial"/>
          <w:i/>
          <w:szCs w:val="22"/>
        </w:rPr>
        <w:t>Reef</w:t>
      </w:r>
      <w:r w:rsidRPr="009C55E1">
        <w:rPr>
          <w:rFonts w:cs="Arial"/>
          <w:i/>
          <w:szCs w:val="22"/>
        </w:rPr>
        <w:t xml:space="preserve"> </w:t>
      </w:r>
      <w:r w:rsidR="00B518CD" w:rsidRPr="009C55E1">
        <w:rPr>
          <w:rFonts w:cs="Arial"/>
          <w:i/>
          <w:szCs w:val="22"/>
        </w:rPr>
        <w:t>average proportion of colonising species in each habitat type.</w:t>
      </w:r>
    </w:p>
    <w:p w14:paraId="7C8998A6" w14:textId="77777777" w:rsidR="00FA665D" w:rsidRPr="009C55E1" w:rsidRDefault="00FA665D" w:rsidP="00FA665D">
      <w:pPr>
        <w:rPr>
          <w:rFonts w:cs="Arial"/>
          <w:szCs w:val="22"/>
        </w:rPr>
      </w:pPr>
    </w:p>
    <w:p w14:paraId="45B224F2" w14:textId="11AB13FC" w:rsidR="00FA665D" w:rsidRPr="009C55E1" w:rsidRDefault="00FA665D" w:rsidP="000150D8">
      <w:pPr>
        <w:pStyle w:val="Heading3"/>
      </w:pPr>
      <w:bookmarkStart w:id="239" w:name="_Toc37775062"/>
      <w:bookmarkStart w:id="240" w:name="_Toc43987037"/>
      <w:r w:rsidRPr="009C55E1">
        <w:t xml:space="preserve">Seagrass </w:t>
      </w:r>
      <w:r w:rsidR="00706DAA" w:rsidRPr="009C55E1">
        <w:t>reproductive status</w:t>
      </w:r>
      <w:bookmarkEnd w:id="239"/>
      <w:bookmarkEnd w:id="240"/>
      <w:r w:rsidRPr="009C55E1">
        <w:t xml:space="preserve"> </w:t>
      </w:r>
    </w:p>
    <w:p w14:paraId="6996277F" w14:textId="43584610" w:rsidR="00FB2F04" w:rsidRPr="009C55E1" w:rsidRDefault="00B644C8" w:rsidP="00C153A9">
      <w:pPr>
        <w:autoSpaceDE w:val="0"/>
        <w:autoSpaceDN w:val="0"/>
        <w:adjustRightInd w:val="0"/>
        <w:rPr>
          <w:rFonts w:cs="Arial"/>
          <w:szCs w:val="22"/>
        </w:rPr>
      </w:pPr>
      <w:r w:rsidRPr="009C55E1">
        <w:rPr>
          <w:rFonts w:cs="Arial"/>
          <w:szCs w:val="22"/>
        </w:rPr>
        <w:t>S</w:t>
      </w:r>
      <w:r w:rsidR="00B5775F" w:rsidRPr="009C55E1">
        <w:rPr>
          <w:rFonts w:cs="Arial"/>
          <w:szCs w:val="22"/>
        </w:rPr>
        <w:t xml:space="preserve">eagrass reproductive effort remained very </w:t>
      </w:r>
      <w:r w:rsidRPr="009C55E1">
        <w:rPr>
          <w:rFonts w:cs="Arial"/>
          <w:szCs w:val="22"/>
        </w:rPr>
        <w:t>low in reef intertidal and subtidal habitat</w:t>
      </w:r>
      <w:r w:rsidR="00542322" w:rsidRPr="009C55E1">
        <w:rPr>
          <w:rFonts w:cs="Arial"/>
          <w:szCs w:val="22"/>
        </w:rPr>
        <w:t>s</w:t>
      </w:r>
      <w:r w:rsidRPr="009C55E1">
        <w:rPr>
          <w:rFonts w:cs="Arial"/>
          <w:szCs w:val="22"/>
        </w:rPr>
        <w:t xml:space="preserve"> and in estuar</w:t>
      </w:r>
      <w:r w:rsidR="00542322" w:rsidRPr="009C55E1">
        <w:rPr>
          <w:rFonts w:cs="Arial"/>
          <w:szCs w:val="22"/>
        </w:rPr>
        <w:t>ine</w:t>
      </w:r>
      <w:r w:rsidRPr="009C55E1">
        <w:rPr>
          <w:rFonts w:cs="Arial"/>
          <w:szCs w:val="22"/>
        </w:rPr>
        <w:t xml:space="preserve"> habitat</w:t>
      </w:r>
      <w:r w:rsidR="00542322" w:rsidRPr="009C55E1">
        <w:rPr>
          <w:rFonts w:cs="Arial"/>
          <w:szCs w:val="22"/>
        </w:rPr>
        <w:t xml:space="preserve">s. By contrast, </w:t>
      </w:r>
      <w:r w:rsidRPr="009C55E1">
        <w:rPr>
          <w:rFonts w:cs="Arial"/>
          <w:szCs w:val="22"/>
        </w:rPr>
        <w:t xml:space="preserve">there </w:t>
      </w:r>
      <w:r w:rsidR="00542322" w:rsidRPr="009C55E1">
        <w:rPr>
          <w:rFonts w:cs="Arial"/>
          <w:szCs w:val="22"/>
        </w:rPr>
        <w:t>were</w:t>
      </w:r>
      <w:r w:rsidRPr="009C55E1">
        <w:rPr>
          <w:rFonts w:cs="Arial"/>
          <w:szCs w:val="22"/>
        </w:rPr>
        <w:t xml:space="preserve"> increases in </w:t>
      </w:r>
      <w:r w:rsidR="00542322" w:rsidRPr="009C55E1">
        <w:rPr>
          <w:rFonts w:cs="Arial"/>
          <w:szCs w:val="22"/>
        </w:rPr>
        <w:t xml:space="preserve">reproductive effort in </w:t>
      </w:r>
      <w:r w:rsidRPr="009C55E1">
        <w:rPr>
          <w:rFonts w:cs="Arial"/>
          <w:szCs w:val="22"/>
        </w:rPr>
        <w:t>coastal habitat</w:t>
      </w:r>
      <w:r w:rsidR="004161CD" w:rsidRPr="009C55E1">
        <w:rPr>
          <w:rFonts w:cs="Arial"/>
          <w:szCs w:val="22"/>
        </w:rPr>
        <w:t xml:space="preserve"> during the dry season, albeit with a high degree of variability depending on site</w:t>
      </w:r>
      <w:r w:rsidRPr="009C55E1">
        <w:rPr>
          <w:rFonts w:cs="Arial"/>
          <w:szCs w:val="22"/>
        </w:rPr>
        <w:t xml:space="preserve">. </w:t>
      </w:r>
      <w:r w:rsidR="00FB2F04" w:rsidRPr="009C55E1">
        <w:rPr>
          <w:rFonts w:cs="Arial"/>
          <w:szCs w:val="22"/>
        </w:rPr>
        <w:t xml:space="preserve">This </w:t>
      </w:r>
      <w:r w:rsidRPr="009C55E1">
        <w:rPr>
          <w:rFonts w:cs="Arial"/>
          <w:szCs w:val="22"/>
        </w:rPr>
        <w:t xml:space="preserve">resulted in the reproductive effort score remaining very poor in the </w:t>
      </w:r>
      <w:r w:rsidR="00BA45B7" w:rsidRPr="009C55E1">
        <w:rPr>
          <w:rFonts w:cs="Arial"/>
          <w:szCs w:val="22"/>
        </w:rPr>
        <w:t>Reef</w:t>
      </w:r>
      <w:r w:rsidR="00A85378">
        <w:rPr>
          <w:rFonts w:cs="Arial"/>
          <w:szCs w:val="22"/>
        </w:rPr>
        <w:t>.</w:t>
      </w:r>
    </w:p>
    <w:p w14:paraId="72FC847F" w14:textId="3E31A168" w:rsidR="00D1356E" w:rsidRPr="009C55E1" w:rsidRDefault="00D1356E" w:rsidP="00D1356E">
      <w:pPr>
        <w:autoSpaceDE w:val="0"/>
        <w:autoSpaceDN w:val="0"/>
        <w:adjustRightInd w:val="0"/>
        <w:rPr>
          <w:rFonts w:cs="Arial"/>
          <w:szCs w:val="22"/>
          <w:lang w:eastAsia="en-AU"/>
        </w:rPr>
      </w:pPr>
      <w:r w:rsidRPr="009C55E1">
        <w:rPr>
          <w:rFonts w:cs="Arial"/>
          <w:szCs w:val="22"/>
        </w:rPr>
        <w:lastRenderedPageBreak/>
        <w:t xml:space="preserve">Reproductive effort had gradually been increasing at estuary, coastal and reef subtidal habitats since 2011, however, this year it decreased </w:t>
      </w:r>
      <w:r w:rsidR="0048112B" w:rsidRPr="009C55E1">
        <w:rPr>
          <w:rFonts w:cs="Arial"/>
          <w:szCs w:val="22"/>
        </w:rPr>
        <w:t xml:space="preserve">significantly </w:t>
      </w:r>
      <w:r w:rsidR="00A975E8" w:rsidRPr="009C55E1">
        <w:rPr>
          <w:rFonts w:cs="Arial"/>
          <w:szCs w:val="22"/>
        </w:rPr>
        <w:t>in estuaries and remained low</w:t>
      </w:r>
      <w:r w:rsidR="0048112B" w:rsidRPr="009C55E1">
        <w:rPr>
          <w:rFonts w:cs="Arial"/>
          <w:szCs w:val="22"/>
        </w:rPr>
        <w:t xml:space="preserve"> </w:t>
      </w:r>
      <w:r w:rsidR="00A975E8" w:rsidRPr="009C55E1">
        <w:rPr>
          <w:rFonts w:cs="Arial"/>
          <w:szCs w:val="22"/>
        </w:rPr>
        <w:t xml:space="preserve">in </w:t>
      </w:r>
      <w:r w:rsidRPr="009C55E1">
        <w:rPr>
          <w:rFonts w:cs="Arial"/>
          <w:szCs w:val="22"/>
        </w:rPr>
        <w:t>subtidal reefs</w:t>
      </w:r>
      <w:r w:rsidR="00A975E8" w:rsidRPr="009C55E1">
        <w:rPr>
          <w:rFonts w:cs="Arial"/>
          <w:szCs w:val="22"/>
        </w:rPr>
        <w:t>. This occurred</w:t>
      </w:r>
      <w:r w:rsidRPr="009C55E1">
        <w:rPr>
          <w:rFonts w:cs="Arial"/>
          <w:szCs w:val="22"/>
          <w:lang w:eastAsia="en-AU"/>
        </w:rPr>
        <w:t xml:space="preserve"> </w:t>
      </w:r>
      <w:r w:rsidR="0048112B" w:rsidRPr="009C55E1">
        <w:rPr>
          <w:rFonts w:cs="Arial"/>
          <w:szCs w:val="22"/>
          <w:lang w:eastAsia="en-AU"/>
        </w:rPr>
        <w:t>in conjunction with</w:t>
      </w:r>
      <w:r w:rsidRPr="009C55E1">
        <w:rPr>
          <w:rFonts w:cs="Arial"/>
          <w:szCs w:val="22"/>
          <w:lang w:eastAsia="en-AU"/>
        </w:rPr>
        <w:t xml:space="preserve"> declining seagrass </w:t>
      </w:r>
      <w:r w:rsidR="00887319">
        <w:rPr>
          <w:rFonts w:cs="Arial"/>
          <w:szCs w:val="22"/>
          <w:lang w:eastAsia="en-AU"/>
        </w:rPr>
        <w:t xml:space="preserve">per cent </w:t>
      </w:r>
      <w:r w:rsidRPr="009C55E1">
        <w:rPr>
          <w:rFonts w:cs="Arial"/>
          <w:szCs w:val="22"/>
          <w:lang w:eastAsia="en-AU"/>
        </w:rPr>
        <w:t>cover</w:t>
      </w:r>
      <w:r w:rsidR="00A975E8" w:rsidRPr="009C55E1">
        <w:rPr>
          <w:rFonts w:cs="Arial"/>
          <w:szCs w:val="22"/>
          <w:lang w:eastAsia="en-AU"/>
        </w:rPr>
        <w:t xml:space="preserve"> in estuarine and reef habitats</w:t>
      </w:r>
      <w:r w:rsidRPr="009C55E1">
        <w:rPr>
          <w:rFonts w:cs="Arial"/>
          <w:szCs w:val="22"/>
        </w:rPr>
        <w:t xml:space="preserve">. </w:t>
      </w:r>
      <w:r w:rsidR="004161CD" w:rsidRPr="009C55E1">
        <w:rPr>
          <w:rFonts w:cs="Arial"/>
          <w:szCs w:val="22"/>
          <w:lang w:eastAsia="en-AU"/>
        </w:rPr>
        <w:t xml:space="preserve">Reproductive effort at reef intertidal habitats declined in 2014 and has remained very low since. </w:t>
      </w:r>
      <w:r w:rsidRPr="009C55E1">
        <w:rPr>
          <w:rFonts w:cs="Arial"/>
          <w:szCs w:val="22"/>
        </w:rPr>
        <w:t>Contrarily, reproductive effort</w:t>
      </w:r>
      <w:r w:rsidRPr="009C55E1">
        <w:rPr>
          <w:rFonts w:cs="Arial"/>
          <w:szCs w:val="22"/>
          <w:lang w:eastAsia="en-AU"/>
        </w:rPr>
        <w:t xml:space="preserve"> in coastal habitats reached historically high levels in </w:t>
      </w:r>
      <w:r w:rsidR="00956639" w:rsidRPr="009C55E1">
        <w:rPr>
          <w:rFonts w:cs="Arial"/>
          <w:szCs w:val="22"/>
          <w:lang w:eastAsia="en-AU"/>
        </w:rPr>
        <w:t>2018–19</w:t>
      </w:r>
      <w:r w:rsidR="00C81636" w:rsidRPr="009C55E1">
        <w:rPr>
          <w:rFonts w:cs="Arial"/>
          <w:szCs w:val="22"/>
          <w:lang w:eastAsia="en-AU"/>
        </w:rPr>
        <w:t xml:space="preserve"> </w:t>
      </w:r>
      <w:r w:rsidRPr="009C55E1">
        <w:rPr>
          <w:rFonts w:cs="Arial"/>
          <w:szCs w:val="22"/>
          <w:lang w:eastAsia="en-AU"/>
        </w:rPr>
        <w:t xml:space="preserve">due to a record number of reproductive structures in the northern Wet Tropics, Burdekin and </w:t>
      </w:r>
      <w:r w:rsidR="00B72AC4">
        <w:rPr>
          <w:rFonts w:cs="Arial"/>
          <w:szCs w:val="22"/>
          <w:lang w:eastAsia="en-AU"/>
        </w:rPr>
        <w:t>Mackay–Whitsunday</w:t>
      </w:r>
      <w:r w:rsidRPr="009C55E1">
        <w:rPr>
          <w:rFonts w:cs="Arial"/>
          <w:szCs w:val="22"/>
          <w:lang w:eastAsia="en-AU"/>
        </w:rPr>
        <w:t xml:space="preserve"> regions. Despite these decreases in reproductive effort, seed banks continued to increase at subtidal reef habitats in </w:t>
      </w:r>
      <w:r w:rsidR="00956639" w:rsidRPr="009C55E1">
        <w:rPr>
          <w:rFonts w:cs="Arial"/>
          <w:szCs w:val="22"/>
          <w:lang w:eastAsia="en-AU"/>
        </w:rPr>
        <w:t>2018–19</w:t>
      </w:r>
      <w:r w:rsidRPr="009C55E1">
        <w:rPr>
          <w:rFonts w:cs="Arial"/>
          <w:szCs w:val="22"/>
          <w:lang w:eastAsia="en-AU"/>
        </w:rPr>
        <w:t xml:space="preserve">, a legacy of higher reproductive effort in the previous year. Coastal seed banks have continued to increase and remain high, but at estuary and intertidal reef habitats remain small or near absent. </w:t>
      </w:r>
    </w:p>
    <w:p w14:paraId="3B85A93B" w14:textId="39B165C3" w:rsidR="0074053C" w:rsidRPr="009C55E1" w:rsidRDefault="0074053C" w:rsidP="00C153A9">
      <w:pPr>
        <w:autoSpaceDE w:val="0"/>
        <w:autoSpaceDN w:val="0"/>
        <w:adjustRightInd w:val="0"/>
        <w:rPr>
          <w:rFonts w:cs="Arial"/>
          <w:szCs w:val="22"/>
        </w:rPr>
      </w:pPr>
      <w:r w:rsidRPr="009C55E1">
        <w:rPr>
          <w:rFonts w:cs="Arial"/>
          <w:szCs w:val="22"/>
          <w:lang w:eastAsia="en-AU"/>
        </w:rPr>
        <w:t xml:space="preserve">Since the implementation of the MMP, </w:t>
      </w:r>
      <w:r w:rsidR="0048112B" w:rsidRPr="009C55E1">
        <w:rPr>
          <w:rFonts w:cs="Arial"/>
          <w:szCs w:val="22"/>
          <w:lang w:eastAsia="en-AU"/>
        </w:rPr>
        <w:t xml:space="preserve">the maximum reproductive effort and the inter-annual variability in </w:t>
      </w:r>
      <w:r w:rsidRPr="009C55E1">
        <w:rPr>
          <w:rFonts w:cs="Arial"/>
          <w:szCs w:val="22"/>
          <w:lang w:eastAsia="en-AU"/>
        </w:rPr>
        <w:t xml:space="preserve">reproductive effort has </w:t>
      </w:r>
      <w:r w:rsidR="007A70FE" w:rsidRPr="009C55E1">
        <w:rPr>
          <w:rFonts w:cs="Arial"/>
          <w:szCs w:val="22"/>
          <w:lang w:eastAsia="en-AU"/>
        </w:rPr>
        <w:t>d</w:t>
      </w:r>
      <w:r w:rsidR="00CE334D" w:rsidRPr="009C55E1">
        <w:rPr>
          <w:rFonts w:cs="Arial"/>
          <w:szCs w:val="22"/>
          <w:lang w:eastAsia="en-AU"/>
        </w:rPr>
        <w:t>if</w:t>
      </w:r>
      <w:r w:rsidR="007A70FE" w:rsidRPr="009C55E1">
        <w:rPr>
          <w:rFonts w:cs="Arial"/>
          <w:szCs w:val="22"/>
          <w:lang w:eastAsia="en-AU"/>
        </w:rPr>
        <w:t>fered</w:t>
      </w:r>
      <w:r w:rsidRPr="009C55E1">
        <w:rPr>
          <w:rFonts w:cs="Arial"/>
          <w:szCs w:val="22"/>
          <w:lang w:eastAsia="en-AU"/>
        </w:rPr>
        <w:t xml:space="preserve"> between habitats</w:t>
      </w:r>
      <w:r w:rsidR="00395F44" w:rsidRPr="009C55E1">
        <w:rPr>
          <w:rFonts w:cs="Arial"/>
          <w:szCs w:val="22"/>
          <w:lang w:eastAsia="en-AU"/>
        </w:rPr>
        <w:t>,</w:t>
      </w:r>
      <w:r w:rsidRPr="009C55E1">
        <w:rPr>
          <w:rFonts w:cs="Arial"/>
          <w:szCs w:val="22"/>
          <w:lang w:eastAsia="en-AU"/>
        </w:rPr>
        <w:t xml:space="preserve"> and varied within and between years. </w:t>
      </w:r>
      <w:r w:rsidR="006C56B5" w:rsidRPr="009C55E1">
        <w:rPr>
          <w:rFonts w:cs="Arial"/>
          <w:szCs w:val="22"/>
          <w:lang w:eastAsia="en-AU"/>
        </w:rPr>
        <w:t>Reef habitats, both intertidal and subtidal reef sites, ha</w:t>
      </w:r>
      <w:r w:rsidRPr="009C55E1">
        <w:rPr>
          <w:rFonts w:cs="Arial"/>
          <w:szCs w:val="22"/>
          <w:lang w:eastAsia="en-AU"/>
        </w:rPr>
        <w:t>d</w:t>
      </w:r>
      <w:r w:rsidR="006C56B5" w:rsidRPr="009C55E1">
        <w:rPr>
          <w:rFonts w:cs="Arial"/>
          <w:szCs w:val="22"/>
          <w:lang w:eastAsia="en-AU"/>
        </w:rPr>
        <w:t xml:space="preserve"> the lowest reproductive effort and </w:t>
      </w:r>
      <w:r w:rsidR="00C153A9" w:rsidRPr="009C55E1">
        <w:rPr>
          <w:rFonts w:cs="Arial"/>
          <w:szCs w:val="22"/>
          <w:lang w:eastAsia="en-AU"/>
        </w:rPr>
        <w:t xml:space="preserve">smallest </w:t>
      </w:r>
      <w:r w:rsidR="006C56B5" w:rsidRPr="009C55E1">
        <w:rPr>
          <w:rFonts w:cs="Arial"/>
          <w:szCs w:val="22"/>
          <w:lang w:eastAsia="en-AU"/>
        </w:rPr>
        <w:t>seed banks</w:t>
      </w:r>
      <w:r w:rsidRPr="009C55E1">
        <w:rPr>
          <w:rFonts w:cs="Arial"/>
          <w:szCs w:val="22"/>
          <w:lang w:eastAsia="en-AU"/>
        </w:rPr>
        <w:t xml:space="preserve"> of all habitats</w:t>
      </w:r>
      <w:r w:rsidR="00904051" w:rsidRPr="009C55E1">
        <w:rPr>
          <w:rFonts w:cs="Arial"/>
          <w:szCs w:val="22"/>
          <w:lang w:eastAsia="en-AU"/>
        </w:rPr>
        <w:t xml:space="preserve"> </w:t>
      </w:r>
      <w:r w:rsidR="006C56B5" w:rsidRPr="009C55E1">
        <w:rPr>
          <w:rFonts w:cs="Arial"/>
          <w:szCs w:val="22"/>
        </w:rPr>
        <w:t>(</w:t>
      </w:r>
      <w:r w:rsidR="006C56B5" w:rsidRPr="009C55E1">
        <w:rPr>
          <w:rFonts w:cs="Arial"/>
          <w:szCs w:val="22"/>
        </w:rPr>
        <w:fldChar w:fldCharType="begin"/>
      </w:r>
      <w:r w:rsidR="006C56B5" w:rsidRPr="009C55E1">
        <w:rPr>
          <w:rFonts w:cs="Arial"/>
          <w:szCs w:val="22"/>
        </w:rPr>
        <w:instrText xml:space="preserve"> REF _Ref442528478 \h </w:instrText>
      </w:r>
      <w:r w:rsidR="00580DDA" w:rsidRPr="009C55E1">
        <w:rPr>
          <w:rFonts w:cs="Arial"/>
          <w:szCs w:val="22"/>
        </w:rPr>
        <w:instrText xml:space="preserve"> \* MERGEFORMAT </w:instrText>
      </w:r>
      <w:r w:rsidR="006C56B5" w:rsidRPr="009C55E1">
        <w:rPr>
          <w:rFonts w:cs="Arial"/>
          <w:szCs w:val="22"/>
        </w:rPr>
      </w:r>
      <w:r w:rsidR="006C56B5" w:rsidRPr="009C55E1">
        <w:rPr>
          <w:rFonts w:cs="Arial"/>
          <w:szCs w:val="22"/>
        </w:rPr>
        <w:fldChar w:fldCharType="separate"/>
      </w:r>
      <w:r w:rsidR="0067675D" w:rsidRPr="0067675D">
        <w:rPr>
          <w:rFonts w:cs="Arial"/>
          <w:szCs w:val="22"/>
        </w:rPr>
        <w:t xml:space="preserve">Figure </w:t>
      </w:r>
      <w:r w:rsidR="0067675D" w:rsidRPr="0067675D">
        <w:rPr>
          <w:rFonts w:cs="Arial"/>
          <w:noProof/>
          <w:szCs w:val="22"/>
        </w:rPr>
        <w:t>21</w:t>
      </w:r>
      <w:r w:rsidR="006C56B5" w:rsidRPr="009C55E1">
        <w:rPr>
          <w:rFonts w:cs="Arial"/>
          <w:szCs w:val="22"/>
        </w:rPr>
        <w:fldChar w:fldCharType="end"/>
      </w:r>
      <w:r w:rsidRPr="009C55E1">
        <w:rPr>
          <w:rFonts w:cs="Arial"/>
          <w:szCs w:val="22"/>
        </w:rPr>
        <w:t xml:space="preserve">, </w:t>
      </w:r>
      <w:r w:rsidRPr="009C55E1">
        <w:rPr>
          <w:rFonts w:cs="Arial"/>
          <w:szCs w:val="22"/>
        </w:rPr>
        <w:fldChar w:fldCharType="begin"/>
      </w:r>
      <w:r w:rsidRPr="009C55E1">
        <w:rPr>
          <w:rFonts w:cs="Arial"/>
          <w:szCs w:val="22"/>
        </w:rPr>
        <w:instrText xml:space="preserve"> REF _Ref442528770 \h </w:instrText>
      </w:r>
      <w:r w:rsidR="00CB093C" w:rsidRPr="009C55E1">
        <w:rPr>
          <w:rFonts w:cs="Arial"/>
          <w:szCs w:val="22"/>
        </w:rPr>
        <w:instrText xml:space="preserve"> \* MERGEFORMAT </w:instrText>
      </w:r>
      <w:r w:rsidRPr="009C55E1">
        <w:rPr>
          <w:rFonts w:cs="Arial"/>
          <w:szCs w:val="22"/>
        </w:rPr>
      </w:r>
      <w:r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22</w:t>
      </w:r>
      <w:r w:rsidRPr="009C55E1">
        <w:rPr>
          <w:rFonts w:cs="Arial"/>
          <w:szCs w:val="22"/>
        </w:rPr>
        <w:fldChar w:fldCharType="end"/>
      </w:r>
      <w:r w:rsidR="006C56B5" w:rsidRPr="009C55E1">
        <w:rPr>
          <w:rFonts w:cs="Arial"/>
          <w:szCs w:val="22"/>
        </w:rPr>
        <w:t>)</w:t>
      </w:r>
      <w:r w:rsidR="00A21F7A" w:rsidRPr="009C55E1">
        <w:rPr>
          <w:rFonts w:cs="Arial"/>
          <w:szCs w:val="22"/>
        </w:rPr>
        <w:t xml:space="preserve">. </w:t>
      </w:r>
    </w:p>
    <w:p w14:paraId="4B3FF631" w14:textId="400E082C" w:rsidR="0074053C" w:rsidRPr="009C55E1" w:rsidRDefault="00D53606" w:rsidP="00C153A9">
      <w:pPr>
        <w:autoSpaceDE w:val="0"/>
        <w:autoSpaceDN w:val="0"/>
        <w:adjustRightInd w:val="0"/>
        <w:rPr>
          <w:rFonts w:cs="Arial"/>
          <w:szCs w:val="22"/>
          <w:lang w:eastAsia="en-AU"/>
        </w:rPr>
      </w:pPr>
      <w:r w:rsidRPr="009C55E1">
        <w:rPr>
          <w:rFonts w:cs="Arial"/>
          <w:szCs w:val="22"/>
        </w:rPr>
        <w:t xml:space="preserve">Reproductive effort </w:t>
      </w:r>
      <w:r w:rsidR="00A21F7A" w:rsidRPr="009C55E1">
        <w:rPr>
          <w:rFonts w:cs="Arial"/>
          <w:szCs w:val="22"/>
        </w:rPr>
        <w:t>has been historically</w:t>
      </w:r>
      <w:r w:rsidR="00B518CD" w:rsidRPr="009C55E1">
        <w:rPr>
          <w:rFonts w:cs="Arial"/>
          <w:szCs w:val="22"/>
        </w:rPr>
        <w:t xml:space="preserve"> </w:t>
      </w:r>
      <w:r w:rsidR="00B518CD" w:rsidRPr="009C55E1">
        <w:rPr>
          <w:rFonts w:cs="Arial"/>
          <w:szCs w:val="22"/>
          <w:lang w:eastAsia="en-AU"/>
        </w:rPr>
        <w:t xml:space="preserve">higher in estuary </w:t>
      </w:r>
      <w:r w:rsidR="00A30C31" w:rsidRPr="009C55E1">
        <w:rPr>
          <w:rFonts w:cs="Arial"/>
          <w:szCs w:val="22"/>
          <w:lang w:eastAsia="en-AU"/>
        </w:rPr>
        <w:t xml:space="preserve">and </w:t>
      </w:r>
      <w:r w:rsidR="008969F5" w:rsidRPr="009C55E1">
        <w:rPr>
          <w:rFonts w:cs="Arial"/>
          <w:szCs w:val="22"/>
          <w:lang w:eastAsia="en-AU"/>
        </w:rPr>
        <w:t xml:space="preserve">coastal </w:t>
      </w:r>
      <w:r w:rsidR="00A21F7A" w:rsidRPr="009C55E1">
        <w:rPr>
          <w:rFonts w:cs="Arial"/>
          <w:szCs w:val="22"/>
          <w:lang w:eastAsia="en-AU"/>
        </w:rPr>
        <w:t xml:space="preserve">habitats </w:t>
      </w:r>
      <w:r w:rsidR="008969F5" w:rsidRPr="009C55E1">
        <w:rPr>
          <w:rFonts w:cs="Arial"/>
          <w:szCs w:val="22"/>
          <w:lang w:eastAsia="en-AU"/>
        </w:rPr>
        <w:t>but gradually</w:t>
      </w:r>
      <w:r w:rsidR="00B518CD" w:rsidRPr="009C55E1">
        <w:rPr>
          <w:rFonts w:cs="Arial"/>
          <w:szCs w:val="22"/>
          <w:lang w:eastAsia="en-AU"/>
        </w:rPr>
        <w:t xml:space="preserve"> </w:t>
      </w:r>
      <w:r w:rsidR="0074053C" w:rsidRPr="009C55E1">
        <w:rPr>
          <w:rFonts w:cs="Arial"/>
          <w:szCs w:val="22"/>
          <w:lang w:eastAsia="en-AU"/>
        </w:rPr>
        <w:t xml:space="preserve">decreased from 2006 to 2011 (in concert with decreasing seagrass </w:t>
      </w:r>
      <w:r w:rsidR="00672A63" w:rsidRPr="009C55E1">
        <w:rPr>
          <w:rFonts w:cs="Arial"/>
          <w:szCs w:val="22"/>
          <w:lang w:eastAsia="en-AU"/>
        </w:rPr>
        <w:t>cover</w:t>
      </w:r>
      <w:r w:rsidR="0074053C" w:rsidRPr="009C55E1">
        <w:rPr>
          <w:rFonts w:cs="Arial"/>
          <w:szCs w:val="22"/>
          <w:lang w:eastAsia="en-AU"/>
        </w:rPr>
        <w:t>) and has been increasing</w:t>
      </w:r>
      <w:r w:rsidR="00672A63" w:rsidRPr="009C55E1">
        <w:rPr>
          <w:rFonts w:cs="Arial"/>
          <w:szCs w:val="22"/>
          <w:lang w:eastAsia="en-AU"/>
        </w:rPr>
        <w:t xml:space="preserve"> since</w:t>
      </w:r>
      <w:r w:rsidR="0074053C" w:rsidRPr="009C55E1">
        <w:rPr>
          <w:rFonts w:cs="Arial"/>
          <w:szCs w:val="22"/>
          <w:lang w:eastAsia="en-AU"/>
        </w:rPr>
        <w:t xml:space="preserve">. </w:t>
      </w:r>
      <w:r w:rsidR="00672A63" w:rsidRPr="009C55E1">
        <w:rPr>
          <w:rFonts w:cs="Arial"/>
          <w:szCs w:val="22"/>
          <w:lang w:eastAsia="en-AU"/>
        </w:rPr>
        <w:t xml:space="preserve">This increase continued in </w:t>
      </w:r>
      <w:r w:rsidR="00956639" w:rsidRPr="009C55E1">
        <w:rPr>
          <w:rFonts w:cs="Arial"/>
          <w:szCs w:val="22"/>
          <w:lang w:eastAsia="en-AU"/>
        </w:rPr>
        <w:t>2018–19</w:t>
      </w:r>
      <w:r w:rsidR="00672A63" w:rsidRPr="009C55E1">
        <w:rPr>
          <w:rFonts w:cs="Arial"/>
          <w:szCs w:val="22"/>
          <w:lang w:eastAsia="en-AU"/>
        </w:rPr>
        <w:t xml:space="preserve"> at coastal habitats</w:t>
      </w:r>
      <w:r w:rsidR="0074053C" w:rsidRPr="009C55E1">
        <w:rPr>
          <w:rFonts w:cs="Arial"/>
          <w:szCs w:val="22"/>
          <w:lang w:eastAsia="en-AU"/>
        </w:rPr>
        <w:t xml:space="preserve">, </w:t>
      </w:r>
      <w:r w:rsidR="00672A63" w:rsidRPr="009C55E1">
        <w:rPr>
          <w:rFonts w:cs="Arial"/>
          <w:szCs w:val="22"/>
          <w:lang w:eastAsia="en-AU"/>
        </w:rPr>
        <w:t xml:space="preserve">however, </w:t>
      </w:r>
      <w:r w:rsidR="0074053C" w:rsidRPr="009C55E1">
        <w:rPr>
          <w:rFonts w:cs="Arial"/>
          <w:szCs w:val="22"/>
          <w:lang w:eastAsia="en-AU"/>
        </w:rPr>
        <w:t>reproductive effort decreased significantly in</w:t>
      </w:r>
      <w:r w:rsidR="00672A63" w:rsidRPr="009C55E1">
        <w:rPr>
          <w:rFonts w:cs="Arial"/>
          <w:szCs w:val="22"/>
          <w:lang w:eastAsia="en-AU"/>
        </w:rPr>
        <w:t xml:space="preserve"> estuaries</w:t>
      </w:r>
      <w:r w:rsidR="008969F5" w:rsidRPr="009C55E1">
        <w:rPr>
          <w:rFonts w:cs="Arial"/>
          <w:szCs w:val="22"/>
          <w:lang w:eastAsia="en-AU"/>
        </w:rPr>
        <w:t xml:space="preserve">. The </w:t>
      </w:r>
      <w:r w:rsidR="00395F44" w:rsidRPr="009C55E1">
        <w:rPr>
          <w:rFonts w:cs="Arial"/>
          <w:szCs w:val="22"/>
          <w:lang w:eastAsia="en-AU"/>
        </w:rPr>
        <w:t xml:space="preserve">historically high reproductive effort </w:t>
      </w:r>
      <w:r w:rsidR="008969F5" w:rsidRPr="009C55E1">
        <w:rPr>
          <w:rFonts w:cs="Arial"/>
          <w:szCs w:val="22"/>
          <w:lang w:eastAsia="en-AU"/>
        </w:rPr>
        <w:t xml:space="preserve">in coastal habitats is due to </w:t>
      </w:r>
      <w:r w:rsidR="00395F44" w:rsidRPr="009C55E1">
        <w:rPr>
          <w:rFonts w:cs="Arial"/>
          <w:szCs w:val="22"/>
          <w:lang w:eastAsia="en-AU"/>
        </w:rPr>
        <w:t xml:space="preserve">a record number of reproductive structures in the northern Wet Tropics (Yule Point), Burdekin (Bushland Beach and Jerona) and </w:t>
      </w:r>
      <w:r w:rsidR="00B72AC4">
        <w:rPr>
          <w:rFonts w:cs="Arial"/>
          <w:szCs w:val="22"/>
          <w:lang w:eastAsia="en-AU"/>
        </w:rPr>
        <w:t>Mackay–Whitsunday</w:t>
      </w:r>
      <w:r w:rsidR="00672A63" w:rsidRPr="009C55E1">
        <w:rPr>
          <w:rFonts w:cs="Arial"/>
          <w:szCs w:val="22"/>
          <w:lang w:eastAsia="en-AU"/>
        </w:rPr>
        <w:t xml:space="preserve"> </w:t>
      </w:r>
      <w:r w:rsidR="00395F44" w:rsidRPr="009C55E1">
        <w:rPr>
          <w:rFonts w:cs="Arial"/>
          <w:szCs w:val="22"/>
          <w:lang w:eastAsia="en-AU"/>
        </w:rPr>
        <w:t xml:space="preserve">(Midge Point). The decline in estuary habitats </w:t>
      </w:r>
      <w:r w:rsidR="00672A63" w:rsidRPr="009C55E1">
        <w:rPr>
          <w:rFonts w:cs="Arial"/>
          <w:szCs w:val="22"/>
          <w:lang w:eastAsia="en-AU"/>
        </w:rPr>
        <w:t>was most</w:t>
      </w:r>
      <w:r w:rsidR="00395F44" w:rsidRPr="009C55E1">
        <w:rPr>
          <w:rFonts w:cs="Arial"/>
          <w:szCs w:val="22"/>
          <w:lang w:eastAsia="en-AU"/>
        </w:rPr>
        <w:t xml:space="preserve"> likely due to the </w:t>
      </w:r>
      <w:r w:rsidR="00672A63" w:rsidRPr="009C55E1">
        <w:rPr>
          <w:rFonts w:cs="Arial"/>
          <w:szCs w:val="22"/>
          <w:lang w:eastAsia="en-AU"/>
        </w:rPr>
        <w:t xml:space="preserve">declines in seagrass </w:t>
      </w:r>
      <w:r w:rsidR="00887319">
        <w:rPr>
          <w:rFonts w:cs="Arial"/>
          <w:szCs w:val="22"/>
          <w:lang w:eastAsia="en-AU"/>
        </w:rPr>
        <w:t xml:space="preserve">per cent </w:t>
      </w:r>
      <w:r w:rsidR="00672A63" w:rsidRPr="009C55E1">
        <w:rPr>
          <w:rFonts w:cs="Arial"/>
          <w:szCs w:val="22"/>
          <w:lang w:eastAsia="en-AU"/>
        </w:rPr>
        <w:t>cover. By contrast, reproductive effort at reef intertidal habitats declined in 2014 and has remained very low since.</w:t>
      </w:r>
    </w:p>
    <w:p w14:paraId="4B51CB92" w14:textId="7AD3886C" w:rsidR="00FB2F04" w:rsidRPr="009C55E1" w:rsidRDefault="00672A63" w:rsidP="00C153A9">
      <w:pPr>
        <w:autoSpaceDE w:val="0"/>
        <w:autoSpaceDN w:val="0"/>
        <w:adjustRightInd w:val="0"/>
        <w:rPr>
          <w:rFonts w:cs="Arial"/>
          <w:szCs w:val="22"/>
          <w:lang w:eastAsia="en-AU"/>
        </w:rPr>
      </w:pPr>
      <w:r w:rsidRPr="009C55E1">
        <w:rPr>
          <w:rFonts w:cs="Arial"/>
          <w:szCs w:val="22"/>
          <w:lang w:eastAsia="en-AU"/>
        </w:rPr>
        <w:t xml:space="preserve">Seed banks across the inshore </w:t>
      </w:r>
      <w:r w:rsidR="003158FC" w:rsidRPr="009C55E1">
        <w:rPr>
          <w:rFonts w:cs="Arial"/>
          <w:szCs w:val="22"/>
          <w:lang w:eastAsia="en-AU"/>
        </w:rPr>
        <w:t>Reef</w:t>
      </w:r>
      <w:r w:rsidRPr="009C55E1">
        <w:rPr>
          <w:rFonts w:cs="Arial"/>
          <w:szCs w:val="22"/>
          <w:lang w:eastAsia="en-AU"/>
        </w:rPr>
        <w:t xml:space="preserve"> meadows were higher in late dry and greater in coastal than reef or estuarine habitats over the long-term (&gt;10 years) (</w:t>
      </w:r>
      <w:r w:rsidRPr="009C55E1">
        <w:rPr>
          <w:rFonts w:cs="Arial"/>
          <w:szCs w:val="22"/>
          <w:lang w:eastAsia="en-AU"/>
        </w:rPr>
        <w:fldChar w:fldCharType="begin"/>
      </w:r>
      <w:r w:rsidRPr="009C55E1">
        <w:rPr>
          <w:rFonts w:cs="Arial"/>
          <w:szCs w:val="22"/>
          <w:lang w:eastAsia="en-AU"/>
        </w:rPr>
        <w:instrText xml:space="preserve"> REF _Ref442528770 \h  \* MERGEFORMAT </w:instrText>
      </w:r>
      <w:r w:rsidRPr="009C55E1">
        <w:rPr>
          <w:rFonts w:cs="Arial"/>
          <w:szCs w:val="22"/>
          <w:lang w:eastAsia="en-AU"/>
        </w:rPr>
      </w:r>
      <w:r w:rsidRPr="009C55E1">
        <w:rPr>
          <w:rFonts w:cs="Arial"/>
          <w:szCs w:val="22"/>
          <w:lang w:eastAsia="en-AU"/>
        </w:rPr>
        <w:fldChar w:fldCharType="separate"/>
      </w:r>
      <w:r w:rsidR="0067675D" w:rsidRPr="0067675D">
        <w:rPr>
          <w:rFonts w:cs="Arial"/>
          <w:szCs w:val="22"/>
        </w:rPr>
        <w:t xml:space="preserve">Figure </w:t>
      </w:r>
      <w:r w:rsidR="0067675D" w:rsidRPr="0067675D">
        <w:rPr>
          <w:rFonts w:cs="Arial"/>
          <w:noProof/>
          <w:szCs w:val="22"/>
        </w:rPr>
        <w:t>22</w:t>
      </w:r>
      <w:r w:rsidRPr="009C55E1">
        <w:rPr>
          <w:rFonts w:cs="Arial"/>
          <w:szCs w:val="22"/>
          <w:lang w:eastAsia="en-AU"/>
        </w:rPr>
        <w:fldChar w:fldCharType="end"/>
      </w:r>
      <w:r w:rsidRPr="009C55E1">
        <w:rPr>
          <w:rFonts w:cs="Arial"/>
          <w:szCs w:val="22"/>
          <w:lang w:eastAsia="en-AU"/>
        </w:rPr>
        <w:t>). Coastal seed banks declined between 2008 and 2011, and have subsequently increased, but remain below the 2007</w:t>
      </w:r>
      <w:r w:rsidR="009203FC" w:rsidRPr="009C55E1">
        <w:rPr>
          <w:rFonts w:cs="Arial"/>
          <w:szCs w:val="22"/>
          <w:lang w:eastAsia="en-AU"/>
        </w:rPr>
        <w:t>–</w:t>
      </w:r>
      <w:r w:rsidR="004E4EA4" w:rsidRPr="009C55E1">
        <w:rPr>
          <w:rFonts w:cs="Arial"/>
          <w:szCs w:val="22"/>
          <w:lang w:eastAsia="en-AU"/>
        </w:rPr>
        <w:t>20</w:t>
      </w:r>
      <w:r w:rsidRPr="009C55E1">
        <w:rPr>
          <w:rFonts w:cs="Arial"/>
          <w:szCs w:val="22"/>
          <w:lang w:eastAsia="en-AU"/>
        </w:rPr>
        <w:t xml:space="preserve">08 levels. </w:t>
      </w:r>
      <w:r w:rsidR="004478DC" w:rsidRPr="009C55E1">
        <w:rPr>
          <w:rFonts w:cs="Arial"/>
          <w:szCs w:val="22"/>
          <w:lang w:eastAsia="en-AU"/>
        </w:rPr>
        <w:t xml:space="preserve">Seed </w:t>
      </w:r>
      <w:r w:rsidR="004478DC" w:rsidRPr="009C55E1">
        <w:rPr>
          <w:rFonts w:cs="Arial"/>
          <w:szCs w:val="22"/>
          <w:lang w:eastAsia="en-AU"/>
        </w:rPr>
        <w:lastRenderedPageBreak/>
        <w:t xml:space="preserve">banks continued to increase at subtidal reef habitats in </w:t>
      </w:r>
      <w:r w:rsidR="00956639" w:rsidRPr="009C55E1">
        <w:rPr>
          <w:rFonts w:cs="Arial"/>
          <w:szCs w:val="22"/>
          <w:lang w:eastAsia="en-AU"/>
        </w:rPr>
        <w:t>2018–19</w:t>
      </w:r>
      <w:r w:rsidR="004478DC" w:rsidRPr="009C55E1">
        <w:rPr>
          <w:rFonts w:cs="Arial"/>
          <w:szCs w:val="22"/>
          <w:lang w:eastAsia="en-AU"/>
        </w:rPr>
        <w:t>, but remain low or near absent at estuary and intertid</w:t>
      </w:r>
      <w:r w:rsidR="00A85378">
        <w:rPr>
          <w:rFonts w:cs="Arial"/>
          <w:szCs w:val="22"/>
          <w:lang w:eastAsia="en-AU"/>
        </w:rPr>
        <w:t>al reef habitats, respectively.</w:t>
      </w:r>
    </w:p>
    <w:p w14:paraId="75F48827" w14:textId="1BF4FD26" w:rsidR="00A00BC4" w:rsidRPr="009C55E1" w:rsidRDefault="004478DC" w:rsidP="00C153A9">
      <w:pPr>
        <w:autoSpaceDE w:val="0"/>
        <w:autoSpaceDN w:val="0"/>
        <w:adjustRightInd w:val="0"/>
        <w:rPr>
          <w:rFonts w:cs="Arial"/>
          <w:szCs w:val="22"/>
          <w:lang w:eastAsia="en-AU"/>
        </w:rPr>
      </w:pPr>
      <w:r w:rsidRPr="009C55E1">
        <w:rPr>
          <w:rFonts w:cs="Arial"/>
          <w:szCs w:val="22"/>
          <w:lang w:eastAsia="en-AU"/>
        </w:rPr>
        <w:t xml:space="preserve">The small seed banks could have been caused by reduced reproductive success (failure to form seeds) or loss of seed bank (germination or grazing). </w:t>
      </w:r>
      <w:r w:rsidR="00672A63" w:rsidRPr="009C55E1">
        <w:rPr>
          <w:rFonts w:cs="Arial"/>
          <w:szCs w:val="22"/>
          <w:lang w:eastAsia="en-AU"/>
        </w:rPr>
        <w:t xml:space="preserve">The </w:t>
      </w:r>
      <w:r w:rsidR="004F584A" w:rsidRPr="009C55E1">
        <w:rPr>
          <w:rFonts w:cs="Arial"/>
          <w:szCs w:val="22"/>
          <w:lang w:eastAsia="en-AU"/>
        </w:rPr>
        <w:t xml:space="preserve">low reproductive effort and low density of seeds in the seed bank in </w:t>
      </w:r>
      <w:r w:rsidR="00672A63" w:rsidRPr="009C55E1">
        <w:rPr>
          <w:rFonts w:cs="Arial"/>
          <w:szCs w:val="22"/>
          <w:lang w:eastAsia="en-AU"/>
        </w:rPr>
        <w:t xml:space="preserve">intertidal </w:t>
      </w:r>
      <w:r w:rsidR="004F584A" w:rsidRPr="009C55E1">
        <w:rPr>
          <w:rFonts w:cs="Arial"/>
          <w:szCs w:val="22"/>
          <w:lang w:eastAsia="en-AU"/>
        </w:rPr>
        <w:t>reef habitat</w:t>
      </w:r>
      <w:r w:rsidR="00672A63" w:rsidRPr="009C55E1">
        <w:rPr>
          <w:rFonts w:cs="Arial"/>
          <w:szCs w:val="22"/>
          <w:lang w:eastAsia="en-AU"/>
        </w:rPr>
        <w:t>s</w:t>
      </w:r>
      <w:r w:rsidR="004F584A" w:rsidRPr="009C55E1">
        <w:rPr>
          <w:rFonts w:cs="Arial"/>
          <w:szCs w:val="22"/>
          <w:lang w:eastAsia="en-AU"/>
        </w:rPr>
        <w:t xml:space="preserve"> in all </w:t>
      </w:r>
      <w:r w:rsidR="00FB2F04" w:rsidRPr="009C55E1">
        <w:rPr>
          <w:rFonts w:cs="Arial"/>
          <w:szCs w:val="22"/>
          <w:lang w:eastAsia="en-AU"/>
        </w:rPr>
        <w:t xml:space="preserve">regions </w:t>
      </w:r>
      <w:r w:rsidR="004F584A" w:rsidRPr="009C55E1">
        <w:rPr>
          <w:rFonts w:cs="Arial"/>
          <w:szCs w:val="22"/>
          <w:lang w:eastAsia="en-AU"/>
        </w:rPr>
        <w:t xml:space="preserve">(except </w:t>
      </w:r>
      <w:r w:rsidR="00B72AC4">
        <w:rPr>
          <w:rFonts w:cs="Arial"/>
          <w:szCs w:val="22"/>
          <w:lang w:eastAsia="en-AU"/>
        </w:rPr>
        <w:t>Burnett–Mary</w:t>
      </w:r>
      <w:r w:rsidR="004F584A" w:rsidRPr="009C55E1">
        <w:rPr>
          <w:rFonts w:cs="Arial"/>
          <w:szCs w:val="22"/>
          <w:lang w:eastAsia="en-AU"/>
        </w:rPr>
        <w:t>, where no reef sites are monitored)</w:t>
      </w:r>
      <w:r w:rsidR="00904051" w:rsidRPr="009C55E1">
        <w:rPr>
          <w:rFonts w:cs="Arial"/>
          <w:szCs w:val="22"/>
          <w:lang w:eastAsia="en-AU"/>
        </w:rPr>
        <w:t xml:space="preserve">, </w:t>
      </w:r>
      <w:r w:rsidR="00672A63" w:rsidRPr="009C55E1">
        <w:rPr>
          <w:rFonts w:cs="Arial"/>
          <w:szCs w:val="22"/>
          <w:lang w:eastAsia="en-AU"/>
        </w:rPr>
        <w:t>indicates</w:t>
      </w:r>
      <w:r w:rsidR="00904051" w:rsidRPr="009C55E1">
        <w:rPr>
          <w:rFonts w:cs="Arial"/>
          <w:szCs w:val="22"/>
          <w:lang w:eastAsia="en-AU"/>
        </w:rPr>
        <w:t xml:space="preserve"> a low seed production rate and </w:t>
      </w:r>
      <w:r w:rsidR="00A30C31" w:rsidRPr="009C55E1">
        <w:rPr>
          <w:rFonts w:cs="Arial"/>
          <w:szCs w:val="22"/>
          <w:lang w:eastAsia="en-AU"/>
        </w:rPr>
        <w:t>vulnerability</w:t>
      </w:r>
      <w:r w:rsidR="004F584A" w:rsidRPr="009C55E1">
        <w:rPr>
          <w:rFonts w:cs="Arial"/>
          <w:szCs w:val="22"/>
          <w:lang w:eastAsia="en-AU"/>
        </w:rPr>
        <w:t xml:space="preserve"> of these habitats</w:t>
      </w:r>
      <w:r w:rsidR="00A30C31" w:rsidRPr="009C55E1">
        <w:rPr>
          <w:rFonts w:cs="Arial"/>
          <w:szCs w:val="22"/>
          <w:lang w:eastAsia="en-AU"/>
        </w:rPr>
        <w:t xml:space="preserve"> to future disturbances</w:t>
      </w:r>
      <w:r w:rsidR="004F584A" w:rsidRPr="009C55E1">
        <w:rPr>
          <w:rFonts w:cs="Arial"/>
          <w:szCs w:val="22"/>
          <w:lang w:eastAsia="en-AU"/>
        </w:rPr>
        <w:t>, as recovery may be hampered</w:t>
      </w:r>
      <w:r w:rsidR="00B518CD" w:rsidRPr="009C55E1">
        <w:rPr>
          <w:rFonts w:cs="Arial"/>
          <w:szCs w:val="22"/>
          <w:lang w:eastAsia="en-AU"/>
        </w:rPr>
        <w:t>.</w:t>
      </w:r>
      <w:r w:rsidR="00D53606" w:rsidRPr="009C55E1">
        <w:rPr>
          <w:rFonts w:cs="Arial"/>
          <w:szCs w:val="22"/>
          <w:lang w:eastAsia="en-AU"/>
        </w:rPr>
        <w:t xml:space="preserve"> </w:t>
      </w:r>
    </w:p>
    <w:p w14:paraId="292E6DEC" w14:textId="77777777" w:rsidR="007168E0" w:rsidRPr="009C55E1" w:rsidRDefault="007168E0" w:rsidP="00B518CD">
      <w:pPr>
        <w:autoSpaceDE w:val="0"/>
        <w:autoSpaceDN w:val="0"/>
        <w:adjustRightInd w:val="0"/>
        <w:rPr>
          <w:rFonts w:cs="Arial"/>
          <w:color w:val="000000" w:themeColor="text1"/>
          <w:szCs w:val="22"/>
          <w:lang w:eastAsia="en-AU"/>
        </w:rPr>
      </w:pPr>
    </w:p>
    <w:p w14:paraId="411831FC" w14:textId="77777777" w:rsidR="00B518CD" w:rsidRPr="009C55E1" w:rsidRDefault="004A3BBC" w:rsidP="00B518CD">
      <w:pPr>
        <w:keepNext/>
        <w:widowControl w:val="0"/>
        <w:jc w:val="center"/>
        <w:rPr>
          <w:rFonts w:cs="Arial"/>
          <w:noProof/>
          <w:color w:val="000000"/>
          <w:szCs w:val="22"/>
          <w:lang w:eastAsia="en-AU"/>
        </w:rPr>
      </w:pPr>
      <w:r w:rsidRPr="009C55E1">
        <w:rPr>
          <w:rFonts w:cs="Arial"/>
          <w:noProof/>
          <w:color w:val="000000"/>
          <w:szCs w:val="22"/>
          <w:lang w:eastAsia="en-AU"/>
        </w:rPr>
        <w:drawing>
          <wp:inline distT="0" distB="0" distL="0" distR="0" wp14:anchorId="355FDE37" wp14:editId="43507818">
            <wp:extent cx="4944032" cy="3479597"/>
            <wp:effectExtent l="0" t="0" r="0" b="6985"/>
            <wp:docPr id="239" name="Picture 239" descr="Panel of four graphs showing seagrass reproductive effort (number of reproductive structures produced by all seagrass species) during the late dry of each monitoring period, for each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GBR_repro16.png"/>
                    <pic:cNvPicPr/>
                  </pic:nvPicPr>
                  <pic:blipFill>
                    <a:blip r:embed="rId74"/>
                    <a:stretch>
                      <a:fillRect/>
                    </a:stretch>
                  </pic:blipFill>
                  <pic:spPr>
                    <a:xfrm>
                      <a:off x="0" y="0"/>
                      <a:ext cx="4944032" cy="3479597"/>
                    </a:xfrm>
                    <a:prstGeom prst="rect">
                      <a:avLst/>
                    </a:prstGeom>
                  </pic:spPr>
                </pic:pic>
              </a:graphicData>
            </a:graphic>
          </wp:inline>
        </w:drawing>
      </w:r>
    </w:p>
    <w:p w14:paraId="1B8AC0F4" w14:textId="63FD4024" w:rsidR="000C5E7B" w:rsidRPr="009C55E1" w:rsidRDefault="00B518CD" w:rsidP="000C5E7B">
      <w:pPr>
        <w:rPr>
          <w:rFonts w:cs="Arial"/>
          <w:i/>
          <w:vanish/>
          <w:szCs w:val="22"/>
          <w:specVanish/>
        </w:rPr>
      </w:pPr>
      <w:bookmarkStart w:id="241" w:name="_Ref442528478"/>
      <w:bookmarkStart w:id="242" w:name="_Toc38634125"/>
      <w:r w:rsidRPr="009C55E1">
        <w:rPr>
          <w:rFonts w:cs="Arial"/>
          <w:color w:val="000000"/>
          <w:szCs w:val="22"/>
        </w:rPr>
        <w:t xml:space="preserve">Figure </w:t>
      </w:r>
      <w:r w:rsidR="0073595B" w:rsidRPr="009C55E1">
        <w:rPr>
          <w:rFonts w:cs="Arial"/>
          <w:color w:val="000000"/>
          <w:szCs w:val="22"/>
        </w:rPr>
        <w:fldChar w:fldCharType="begin"/>
      </w:r>
      <w:r w:rsidR="0073595B" w:rsidRPr="009C55E1">
        <w:rPr>
          <w:rFonts w:cs="Arial"/>
          <w:color w:val="000000"/>
          <w:szCs w:val="22"/>
        </w:rPr>
        <w:instrText xml:space="preserve"> SEQ Figure \* ARABIC </w:instrText>
      </w:r>
      <w:r w:rsidR="0073595B" w:rsidRPr="009C55E1">
        <w:rPr>
          <w:rFonts w:cs="Arial"/>
          <w:color w:val="000000"/>
          <w:szCs w:val="22"/>
        </w:rPr>
        <w:fldChar w:fldCharType="separate"/>
      </w:r>
      <w:r w:rsidR="0067675D">
        <w:rPr>
          <w:rFonts w:cs="Arial"/>
          <w:noProof/>
          <w:color w:val="000000"/>
          <w:szCs w:val="22"/>
        </w:rPr>
        <w:t>21</w:t>
      </w:r>
      <w:r w:rsidR="0073595B" w:rsidRPr="009C55E1">
        <w:rPr>
          <w:rFonts w:cs="Arial"/>
          <w:color w:val="000000"/>
          <w:szCs w:val="22"/>
        </w:rPr>
        <w:fldChar w:fldCharType="end"/>
      </w:r>
      <w:bookmarkEnd w:id="241"/>
      <w:r w:rsidRPr="009C55E1">
        <w:rPr>
          <w:rFonts w:cs="Arial"/>
          <w:color w:val="000000"/>
          <w:szCs w:val="22"/>
        </w:rPr>
        <w:t xml:space="preserve">. </w:t>
      </w:r>
      <w:r w:rsidRPr="009C55E1">
        <w:rPr>
          <w:rFonts w:cs="Arial"/>
          <w:i/>
          <w:color w:val="000000"/>
          <w:szCs w:val="22"/>
        </w:rPr>
        <w:t>Seagrass reproductive effort (number of reproductive structures produced by all seagrass species) during the late dry of each monitoring period</w:t>
      </w:r>
      <w:bookmarkEnd w:id="242"/>
    </w:p>
    <w:p w14:paraId="58426717" w14:textId="357879AE" w:rsidR="00B518CD" w:rsidRPr="009C55E1" w:rsidRDefault="00B518CD" w:rsidP="000C5E7B">
      <w:pPr>
        <w:rPr>
          <w:rFonts w:cs="Arial"/>
          <w:i/>
          <w:color w:val="000000"/>
          <w:szCs w:val="22"/>
        </w:rPr>
      </w:pPr>
      <w:r w:rsidRPr="009C55E1">
        <w:rPr>
          <w:rFonts w:cs="Arial"/>
          <w:i/>
          <w:color w:val="000000"/>
          <w:szCs w:val="22"/>
        </w:rPr>
        <w:t xml:space="preserve"> for a) estuary intertidal; b) coast intertidal; c) reef intertidal; d) reef subtidal.</w:t>
      </w:r>
    </w:p>
    <w:p w14:paraId="7E6E38BE" w14:textId="77777777" w:rsidR="00460D75" w:rsidRPr="009C55E1" w:rsidRDefault="00460D75" w:rsidP="00460D75">
      <w:pPr>
        <w:keepNext/>
        <w:widowControl w:val="0"/>
        <w:jc w:val="center"/>
        <w:rPr>
          <w:rFonts w:cs="Arial"/>
          <w:noProof/>
          <w:color w:val="000000"/>
          <w:szCs w:val="22"/>
          <w:lang w:eastAsia="en-AU"/>
        </w:rPr>
      </w:pPr>
      <w:r w:rsidRPr="009C55E1">
        <w:rPr>
          <w:rFonts w:cs="Arial"/>
          <w:noProof/>
          <w:color w:val="000000"/>
          <w:szCs w:val="22"/>
          <w:lang w:eastAsia="en-AU"/>
        </w:rPr>
        <w:lastRenderedPageBreak/>
        <w:drawing>
          <wp:inline distT="0" distB="0" distL="0" distR="0" wp14:anchorId="0BD93D03" wp14:editId="5FED458F">
            <wp:extent cx="4853239" cy="3436685"/>
            <wp:effectExtent l="0" t="0" r="5080" b="0"/>
            <wp:docPr id="242" name="Picture 242" descr="Panel of four graphs showing average seeds banks (seeds per square metre of sediment surface, all sites and species pooled) in GBR seagrass habi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GBR_seed_banks_2016.png"/>
                    <pic:cNvPicPr/>
                  </pic:nvPicPr>
                  <pic:blipFill>
                    <a:blip r:embed="rId75"/>
                    <a:stretch>
                      <a:fillRect/>
                    </a:stretch>
                  </pic:blipFill>
                  <pic:spPr>
                    <a:xfrm>
                      <a:off x="0" y="0"/>
                      <a:ext cx="4853239" cy="3436685"/>
                    </a:xfrm>
                    <a:prstGeom prst="rect">
                      <a:avLst/>
                    </a:prstGeom>
                  </pic:spPr>
                </pic:pic>
              </a:graphicData>
            </a:graphic>
          </wp:inline>
        </w:drawing>
      </w:r>
    </w:p>
    <w:p w14:paraId="73325F94" w14:textId="1B0DE327" w:rsidR="000C5E7B" w:rsidRPr="009C55E1" w:rsidRDefault="00460D75" w:rsidP="000C5E7B">
      <w:pPr>
        <w:rPr>
          <w:rFonts w:cs="Arial"/>
          <w:i/>
          <w:vanish/>
          <w:szCs w:val="22"/>
          <w:specVanish/>
        </w:rPr>
      </w:pPr>
      <w:bookmarkStart w:id="243" w:name="_Ref442528770"/>
      <w:bookmarkStart w:id="244" w:name="_Toc38634126"/>
      <w:r w:rsidRPr="009C55E1">
        <w:rPr>
          <w:rFonts w:cs="Arial"/>
          <w:color w:val="000000"/>
          <w:szCs w:val="22"/>
        </w:rPr>
        <w:t xml:space="preserve">Figure </w:t>
      </w:r>
      <w:r w:rsidRPr="009C55E1">
        <w:rPr>
          <w:rFonts w:cs="Arial"/>
          <w:color w:val="000000"/>
          <w:szCs w:val="22"/>
        </w:rPr>
        <w:fldChar w:fldCharType="begin"/>
      </w:r>
      <w:r w:rsidRPr="009C55E1">
        <w:rPr>
          <w:rFonts w:cs="Arial"/>
          <w:color w:val="000000"/>
          <w:szCs w:val="22"/>
        </w:rPr>
        <w:instrText xml:space="preserve"> SEQ Figure \* ARABIC </w:instrText>
      </w:r>
      <w:r w:rsidRPr="009C55E1">
        <w:rPr>
          <w:rFonts w:cs="Arial"/>
          <w:color w:val="000000"/>
          <w:szCs w:val="22"/>
        </w:rPr>
        <w:fldChar w:fldCharType="separate"/>
      </w:r>
      <w:r w:rsidR="0067675D">
        <w:rPr>
          <w:rFonts w:cs="Arial"/>
          <w:noProof/>
          <w:color w:val="000000"/>
          <w:szCs w:val="22"/>
        </w:rPr>
        <w:t>22</w:t>
      </w:r>
      <w:r w:rsidRPr="009C55E1">
        <w:rPr>
          <w:rFonts w:cs="Arial"/>
          <w:color w:val="000000"/>
          <w:szCs w:val="22"/>
        </w:rPr>
        <w:fldChar w:fldCharType="end"/>
      </w:r>
      <w:bookmarkEnd w:id="243"/>
      <w:r w:rsidRPr="009C55E1">
        <w:rPr>
          <w:rFonts w:cs="Arial"/>
          <w:color w:val="000000"/>
          <w:szCs w:val="22"/>
        </w:rPr>
        <w:t xml:space="preserve">. </w:t>
      </w:r>
      <w:r w:rsidRPr="009C55E1">
        <w:rPr>
          <w:rFonts w:cs="Arial"/>
          <w:i/>
          <w:color w:val="000000"/>
          <w:szCs w:val="22"/>
        </w:rPr>
        <w:t xml:space="preserve">Average seeds banks (seeds per square metre of sediment surface, all sites and species pooled) in </w:t>
      </w:r>
      <w:r w:rsidR="003158FC" w:rsidRPr="009C55E1">
        <w:rPr>
          <w:rFonts w:cs="Arial"/>
          <w:i/>
          <w:color w:val="000000"/>
          <w:szCs w:val="22"/>
        </w:rPr>
        <w:t>Reef</w:t>
      </w:r>
      <w:r w:rsidRPr="009C55E1">
        <w:rPr>
          <w:rFonts w:cs="Arial"/>
          <w:i/>
          <w:color w:val="000000"/>
          <w:szCs w:val="22"/>
        </w:rPr>
        <w:t xml:space="preserve"> seagrass habitats</w:t>
      </w:r>
      <w:bookmarkEnd w:id="244"/>
    </w:p>
    <w:p w14:paraId="6583C995" w14:textId="1D97ED22" w:rsidR="00460D75" w:rsidRPr="009C55E1" w:rsidRDefault="00460D75" w:rsidP="000C5E7B">
      <w:pPr>
        <w:rPr>
          <w:rFonts w:cs="Arial"/>
          <w:i/>
          <w:color w:val="000000"/>
          <w:szCs w:val="22"/>
        </w:rPr>
      </w:pPr>
      <w:r w:rsidRPr="009C55E1">
        <w:rPr>
          <w:rFonts w:cs="Arial"/>
          <w:i/>
          <w:color w:val="000000"/>
          <w:szCs w:val="22"/>
        </w:rPr>
        <w:t>: a) estuary intertidal; b) coast intertidal; c) reef intertidal; d) reef subtidal.</w:t>
      </w:r>
    </w:p>
    <w:p w14:paraId="1E0EAD7D" w14:textId="77777777" w:rsidR="00FA665D" w:rsidRPr="009C55E1" w:rsidRDefault="00FA665D" w:rsidP="007F3CF9">
      <w:pPr>
        <w:rPr>
          <w:rFonts w:cs="Arial"/>
          <w:szCs w:val="22"/>
        </w:rPr>
      </w:pPr>
    </w:p>
    <w:p w14:paraId="57B48C32" w14:textId="77777777" w:rsidR="00FA665D" w:rsidRPr="009C55E1" w:rsidRDefault="00FA665D" w:rsidP="00FA665D">
      <w:pPr>
        <w:rPr>
          <w:rFonts w:cs="Arial"/>
          <w:szCs w:val="22"/>
        </w:rPr>
      </w:pPr>
    </w:p>
    <w:p w14:paraId="44734F5A" w14:textId="2DD118C1" w:rsidR="00FA665D" w:rsidRPr="009C55E1" w:rsidRDefault="00FA665D" w:rsidP="000150D8">
      <w:pPr>
        <w:pStyle w:val="Heading3"/>
      </w:pPr>
      <w:bookmarkStart w:id="245" w:name="_Toc37775063"/>
      <w:bookmarkStart w:id="246" w:name="_Toc43987038"/>
      <w:r w:rsidRPr="009C55E1">
        <w:t>Seagrass leaf tissue nutrients</w:t>
      </w:r>
      <w:bookmarkEnd w:id="245"/>
      <w:bookmarkEnd w:id="246"/>
      <w:r w:rsidRPr="009C55E1">
        <w:t xml:space="preserve"> </w:t>
      </w:r>
    </w:p>
    <w:p w14:paraId="50BB2343" w14:textId="03604727" w:rsidR="00BA7C25" w:rsidRPr="009C55E1" w:rsidRDefault="00040E9D" w:rsidP="003B2FBC">
      <w:pPr>
        <w:rPr>
          <w:rFonts w:cs="Arial"/>
          <w:szCs w:val="22"/>
        </w:rPr>
      </w:pPr>
      <w:r w:rsidRPr="009C55E1">
        <w:rPr>
          <w:rFonts w:cs="Arial"/>
          <w:szCs w:val="22"/>
        </w:rPr>
        <w:t xml:space="preserve">In </w:t>
      </w:r>
      <w:r w:rsidR="00956639" w:rsidRPr="009C55E1">
        <w:rPr>
          <w:rFonts w:cs="Arial"/>
          <w:szCs w:val="22"/>
        </w:rPr>
        <w:t>2018–19</w:t>
      </w:r>
      <w:r w:rsidRPr="009C55E1">
        <w:rPr>
          <w:rFonts w:cs="Arial"/>
          <w:szCs w:val="22"/>
        </w:rPr>
        <w:t xml:space="preserve">, the ratio of carbon (C) to nitrogen (N) was below the guideline value of 20 in all habitats except reef subtidal habitat. </w:t>
      </w:r>
      <w:r w:rsidR="00BA7C25" w:rsidRPr="009C55E1">
        <w:rPr>
          <w:rFonts w:cs="Arial"/>
          <w:szCs w:val="22"/>
        </w:rPr>
        <w:t>The</w:t>
      </w:r>
      <w:r w:rsidRPr="009C55E1">
        <w:rPr>
          <w:rFonts w:cs="Arial"/>
          <w:szCs w:val="22"/>
        </w:rPr>
        <w:t xml:space="preserve"> C:N ratio</w:t>
      </w:r>
      <w:r w:rsidR="00BA7C25" w:rsidRPr="009C55E1">
        <w:rPr>
          <w:rFonts w:cs="Arial"/>
          <w:szCs w:val="22"/>
        </w:rPr>
        <w:t xml:space="preserve"> is used as an indicator of water quality and seagrass condition because elevated carbon (and elevated C:N) suggests high light availability, while elevated N (lower C:N), indicates elevated nitrogen supply rates relative to growth requirements. </w:t>
      </w:r>
      <w:r w:rsidRPr="009C55E1">
        <w:rPr>
          <w:rFonts w:cs="Arial"/>
          <w:szCs w:val="22"/>
        </w:rPr>
        <w:t>Therefore, in all habitats other than reef subtidal, there was an oversupply of N relative to growth requirement</w:t>
      </w:r>
      <w:r w:rsidR="00A85378">
        <w:rPr>
          <w:rFonts w:cs="Arial"/>
          <w:szCs w:val="22"/>
        </w:rPr>
        <w:t>s.</w:t>
      </w:r>
    </w:p>
    <w:p w14:paraId="584DCD5C" w14:textId="50E598DB" w:rsidR="00BA7C25" w:rsidRPr="009C55E1" w:rsidRDefault="00AE1EB4" w:rsidP="003B2FBC">
      <w:pPr>
        <w:rPr>
          <w:rFonts w:cs="Arial"/>
          <w:szCs w:val="22"/>
        </w:rPr>
      </w:pPr>
      <w:r w:rsidRPr="009C55E1">
        <w:rPr>
          <w:rFonts w:cs="Arial"/>
          <w:szCs w:val="22"/>
        </w:rPr>
        <w:t xml:space="preserve">In </w:t>
      </w:r>
      <w:r w:rsidR="00956639" w:rsidRPr="009C55E1">
        <w:rPr>
          <w:rFonts w:cs="Arial"/>
          <w:szCs w:val="22"/>
        </w:rPr>
        <w:t>2018–19</w:t>
      </w:r>
      <w:r w:rsidRPr="009C55E1">
        <w:rPr>
          <w:rFonts w:cs="Arial"/>
          <w:szCs w:val="22"/>
        </w:rPr>
        <w:t xml:space="preserve">, C:N ratio of seagrass leaves decreased at approximately a third of sites from the previous period, </w:t>
      </w:r>
      <w:r w:rsidR="00184076" w:rsidRPr="009C55E1">
        <w:rPr>
          <w:rFonts w:cs="Arial"/>
          <w:szCs w:val="22"/>
        </w:rPr>
        <w:t xml:space="preserve">but this was not significant due to variation in this trend among regions and sites, </w:t>
      </w:r>
      <w:r w:rsidRPr="009C55E1">
        <w:rPr>
          <w:rFonts w:cs="Arial"/>
          <w:szCs w:val="22"/>
        </w:rPr>
        <w:t xml:space="preserve">and the number of sites remaining above </w:t>
      </w:r>
      <w:r w:rsidRPr="009C55E1">
        <w:rPr>
          <w:rFonts w:cs="Arial"/>
          <w:szCs w:val="22"/>
        </w:rPr>
        <w:lastRenderedPageBreak/>
        <w:t xml:space="preserve">the threshold of 20 was the lowest in 5 years. </w:t>
      </w:r>
      <w:r w:rsidR="00BA7C25" w:rsidRPr="009C55E1">
        <w:rPr>
          <w:rFonts w:cs="Arial"/>
          <w:szCs w:val="22"/>
        </w:rPr>
        <w:t>The lowest C:N values on average continue at Hamilton Island (10.1), Yule Point (1</w:t>
      </w:r>
      <w:r w:rsidR="00A85378">
        <w:rPr>
          <w:rFonts w:cs="Arial"/>
          <w:szCs w:val="22"/>
        </w:rPr>
        <w:t>2.8), and Shelburne Bay (12.9).</w:t>
      </w:r>
    </w:p>
    <w:p w14:paraId="11499B9B" w14:textId="6FDEC296" w:rsidR="003B2FBC" w:rsidRPr="009C55E1" w:rsidRDefault="00FD2E1F" w:rsidP="003B2FBC">
      <w:pPr>
        <w:rPr>
          <w:rFonts w:cs="Arial"/>
          <w:szCs w:val="22"/>
        </w:rPr>
      </w:pPr>
      <w:r>
        <w:rPr>
          <w:rFonts w:cs="Arial"/>
          <w:szCs w:val="22"/>
        </w:rPr>
        <w:t xml:space="preserve">Tissue nutrients are measured in the late dry </w:t>
      </w:r>
      <w:r w:rsidR="006F6140">
        <w:rPr>
          <w:rFonts w:cs="Arial"/>
          <w:szCs w:val="22"/>
        </w:rPr>
        <w:t>(~October</w:t>
      </w:r>
      <w:r w:rsidR="00184FFD">
        <w:rPr>
          <w:rFonts w:cs="Arial"/>
          <w:szCs w:val="22"/>
        </w:rPr>
        <w:t xml:space="preserve"> 2018</w:t>
      </w:r>
      <w:r w:rsidR="006F6140">
        <w:rPr>
          <w:rFonts w:cs="Arial"/>
          <w:szCs w:val="22"/>
        </w:rPr>
        <w:t xml:space="preserve">) </w:t>
      </w:r>
      <w:r>
        <w:rPr>
          <w:rFonts w:cs="Arial"/>
          <w:szCs w:val="22"/>
        </w:rPr>
        <w:t xml:space="preserve">of the reporting period, and are therefore related to the previous </w:t>
      </w:r>
      <w:r w:rsidR="006F6140">
        <w:rPr>
          <w:rFonts w:cs="Arial"/>
          <w:szCs w:val="22"/>
        </w:rPr>
        <w:t xml:space="preserve">water quality </w:t>
      </w:r>
      <w:r>
        <w:rPr>
          <w:rFonts w:cs="Arial"/>
          <w:szCs w:val="22"/>
        </w:rPr>
        <w:t xml:space="preserve">reporting </w:t>
      </w:r>
      <w:r w:rsidR="006F6140">
        <w:rPr>
          <w:rFonts w:cs="Arial"/>
          <w:szCs w:val="22"/>
        </w:rPr>
        <w:t>year</w:t>
      </w:r>
      <w:r>
        <w:rPr>
          <w:rFonts w:cs="Arial"/>
          <w:szCs w:val="22"/>
        </w:rPr>
        <w:t xml:space="preserve"> (</w:t>
      </w:r>
      <w:r w:rsidR="00184FFD">
        <w:rPr>
          <w:rFonts w:cs="Arial"/>
          <w:szCs w:val="22"/>
        </w:rPr>
        <w:t>1</w:t>
      </w:r>
      <w:r w:rsidR="00184FFD" w:rsidRPr="00184FFD">
        <w:rPr>
          <w:rFonts w:cs="Arial"/>
          <w:szCs w:val="22"/>
          <w:vertAlign w:val="superscript"/>
        </w:rPr>
        <w:t>st</w:t>
      </w:r>
      <w:r w:rsidR="00184FFD">
        <w:rPr>
          <w:rFonts w:cs="Arial"/>
          <w:szCs w:val="22"/>
        </w:rPr>
        <w:t xml:space="preserve"> October 20</w:t>
      </w:r>
      <w:r>
        <w:rPr>
          <w:rFonts w:cs="Arial"/>
          <w:szCs w:val="22"/>
        </w:rPr>
        <w:t>17</w:t>
      </w:r>
      <w:r w:rsidRPr="009C55E1">
        <w:rPr>
          <w:rFonts w:cs="Arial"/>
          <w:szCs w:val="22"/>
        </w:rPr>
        <w:t>–</w:t>
      </w:r>
      <w:r w:rsidR="00184FFD">
        <w:rPr>
          <w:rFonts w:cs="Arial"/>
          <w:szCs w:val="22"/>
        </w:rPr>
        <w:t>31</w:t>
      </w:r>
      <w:r w:rsidR="00184FFD" w:rsidRPr="00184FFD">
        <w:rPr>
          <w:rFonts w:cs="Arial"/>
          <w:szCs w:val="22"/>
          <w:vertAlign w:val="superscript"/>
        </w:rPr>
        <w:t>st</w:t>
      </w:r>
      <w:r w:rsidR="00184FFD">
        <w:rPr>
          <w:rFonts w:cs="Arial"/>
          <w:szCs w:val="22"/>
        </w:rPr>
        <w:t xml:space="preserve"> September 20</w:t>
      </w:r>
      <w:r>
        <w:rPr>
          <w:rFonts w:cs="Arial"/>
          <w:szCs w:val="22"/>
        </w:rPr>
        <w:t xml:space="preserve">18). </w:t>
      </w:r>
      <w:r w:rsidR="00832819">
        <w:rPr>
          <w:rFonts w:cs="Arial"/>
          <w:szCs w:val="22"/>
        </w:rPr>
        <w:t>Despite river discharge around the long-term median for most rivers, s</w:t>
      </w:r>
      <w:r w:rsidR="005620C4">
        <w:rPr>
          <w:rFonts w:cs="Arial"/>
          <w:szCs w:val="22"/>
        </w:rPr>
        <w:t xml:space="preserve">ecchi depth </w:t>
      </w:r>
      <w:r w:rsidR="00832819">
        <w:rPr>
          <w:rFonts w:cs="Arial"/>
          <w:szCs w:val="22"/>
        </w:rPr>
        <w:t>across the inshore Reef declined in 2017</w:t>
      </w:r>
      <w:r w:rsidR="00832819" w:rsidRPr="009C55E1">
        <w:rPr>
          <w:rFonts w:cs="Arial"/>
          <w:szCs w:val="22"/>
        </w:rPr>
        <w:t>–</w:t>
      </w:r>
      <w:r w:rsidR="00832819">
        <w:rPr>
          <w:rFonts w:cs="Arial"/>
          <w:szCs w:val="22"/>
        </w:rPr>
        <w:t>18</w:t>
      </w:r>
      <w:r w:rsidR="00C913FB">
        <w:rPr>
          <w:rFonts w:cs="Arial"/>
          <w:szCs w:val="22"/>
        </w:rPr>
        <w:t xml:space="preserve"> and </w:t>
      </w:r>
      <w:r w:rsidR="00832819">
        <w:rPr>
          <w:rFonts w:cs="Arial"/>
          <w:szCs w:val="22"/>
        </w:rPr>
        <w:t xml:space="preserve">did </w:t>
      </w:r>
      <w:r w:rsidR="00C913FB">
        <w:rPr>
          <w:rFonts w:cs="Arial"/>
          <w:szCs w:val="22"/>
        </w:rPr>
        <w:t>not meet guidelines</w:t>
      </w:r>
      <w:r w:rsidR="00832819">
        <w:rPr>
          <w:rFonts w:cs="Arial"/>
          <w:szCs w:val="22"/>
        </w:rPr>
        <w:t>, but dissolved and particulate nitrogen were relatively stable (Gruber et al 2020)</w:t>
      </w:r>
      <w:r w:rsidR="007F51B8" w:rsidRPr="009C55E1">
        <w:rPr>
          <w:rFonts w:cs="Arial"/>
          <w:color w:val="000000" w:themeColor="text1"/>
          <w:szCs w:val="22"/>
        </w:rPr>
        <w:t>.</w:t>
      </w:r>
      <w:r w:rsidR="00832819">
        <w:rPr>
          <w:rFonts w:cs="Arial"/>
          <w:color w:val="000000" w:themeColor="text1"/>
          <w:szCs w:val="22"/>
        </w:rPr>
        <w:t xml:space="preserve"> </w:t>
      </w:r>
      <w:r w:rsidR="001F290E">
        <w:rPr>
          <w:rFonts w:cs="Arial"/>
          <w:color w:val="000000" w:themeColor="text1"/>
          <w:szCs w:val="22"/>
        </w:rPr>
        <w:t>Site-specific changes</w:t>
      </w:r>
      <w:r w:rsidR="00832819">
        <w:rPr>
          <w:rFonts w:cs="Arial"/>
          <w:color w:val="000000" w:themeColor="text1"/>
          <w:szCs w:val="22"/>
        </w:rPr>
        <w:t xml:space="preserve"> in C:N are likely related to </w:t>
      </w:r>
      <w:r w:rsidR="001F290E">
        <w:rPr>
          <w:rFonts w:cs="Arial"/>
          <w:color w:val="000000" w:themeColor="text1"/>
          <w:szCs w:val="22"/>
        </w:rPr>
        <w:t>local conditions, in particular localised variations in benthic light.</w:t>
      </w:r>
    </w:p>
    <w:p w14:paraId="17F58936" w14:textId="2AB9D278" w:rsidR="0037159A" w:rsidRPr="009C55E1" w:rsidRDefault="0037159A" w:rsidP="0037159A">
      <w:pPr>
        <w:rPr>
          <w:rFonts w:cs="Arial"/>
          <w:color w:val="000000" w:themeColor="text1"/>
          <w:szCs w:val="22"/>
        </w:rPr>
      </w:pPr>
      <w:r w:rsidRPr="00AE04CF">
        <w:rPr>
          <w:rFonts w:cs="Segoe UI"/>
        </w:rPr>
        <w:t>Seagrasses are passive indicators of δ</w:t>
      </w:r>
      <w:r w:rsidRPr="00AE04CF">
        <w:rPr>
          <w:rFonts w:cs="Segoe UI"/>
          <w:vertAlign w:val="superscript"/>
        </w:rPr>
        <w:t>15</w:t>
      </w:r>
      <w:r w:rsidRPr="00AE04CF">
        <w:rPr>
          <w:rFonts w:cs="Segoe UI"/>
        </w:rPr>
        <w:t xml:space="preserve">N enrichment, as they integrate the signature of their environment over time throughout their growth cycle. </w:t>
      </w:r>
      <w:r w:rsidRPr="00AE04CF">
        <w:rPr>
          <w:rFonts w:cs="Arial"/>
          <w:color w:val="000000" w:themeColor="text1"/>
          <w:szCs w:val="22"/>
        </w:rPr>
        <w:t>δ</w:t>
      </w:r>
      <w:r w:rsidRPr="00AE04CF">
        <w:rPr>
          <w:rFonts w:cs="Arial"/>
          <w:color w:val="000000" w:themeColor="text1"/>
          <w:szCs w:val="22"/>
          <w:vertAlign w:val="superscript"/>
        </w:rPr>
        <w:t>15</w:t>
      </w:r>
      <w:r w:rsidRPr="00AE04CF">
        <w:rPr>
          <w:rFonts w:cs="Arial"/>
          <w:color w:val="000000" w:themeColor="text1"/>
          <w:szCs w:val="22"/>
        </w:rPr>
        <w:t xml:space="preserve">N values can indicate the source of nitrogen. </w:t>
      </w:r>
      <w:r w:rsidRPr="00AE04CF">
        <w:rPr>
          <w:rFonts w:cs="Arial"/>
          <w:szCs w:val="22"/>
        </w:rPr>
        <w:t xml:space="preserve">Very </w:t>
      </w:r>
      <w:r w:rsidRPr="00AE04CF">
        <w:rPr>
          <w:rFonts w:cs="Arial"/>
          <w:color w:val="000000" w:themeColor="text1"/>
          <w:szCs w:val="22"/>
        </w:rPr>
        <w:t>low (~0‰) or negative values of δ</w:t>
      </w:r>
      <w:r w:rsidRPr="00AE04CF">
        <w:rPr>
          <w:rFonts w:cs="Arial"/>
          <w:color w:val="000000" w:themeColor="text1"/>
          <w:szCs w:val="22"/>
          <w:vertAlign w:val="superscript"/>
        </w:rPr>
        <w:t>15</w:t>
      </w:r>
      <w:r w:rsidRPr="00AE04CF">
        <w:rPr>
          <w:rFonts w:cs="Arial"/>
          <w:color w:val="000000" w:themeColor="text1"/>
          <w:szCs w:val="22"/>
        </w:rPr>
        <w:t>N can indicate nitrogen sourced from nitrogen fixation (</w:t>
      </w:r>
      <w:r w:rsidRPr="00AE04CF">
        <w:rPr>
          <w:rFonts w:cs="Arial"/>
          <w:color w:val="000000" w:themeColor="text1"/>
          <w:szCs w:val="22"/>
        </w:rPr>
        <w:fldChar w:fldCharType="begin"/>
      </w:r>
      <w:r w:rsidRPr="00AE04CF">
        <w:rPr>
          <w:rFonts w:cs="Arial"/>
          <w:color w:val="000000" w:themeColor="text1"/>
          <w:szCs w:val="22"/>
        </w:rPr>
        <w:instrText xml:space="preserve"> ADDIN EN.CITE &lt;EndNote&gt;&lt;Cite&gt;&lt;Author&gt;Owens&lt;/Author&gt;&lt;Year&gt;1988&lt;/Year&gt;&lt;RecNum&gt;10911&lt;/RecNum&gt;&lt;DisplayText&gt;Peterson and Fry 1987; Owens 1988&lt;/DisplayText&gt;&lt;record&gt;&lt;rec-number&gt;10911&lt;/rec-number&gt;&lt;foreign-keys&gt;&lt;key app="EN" db-id="0eve55x9y5vfd6e9dacxtew4eatve2dzds9a" timestamp="1488169659"&gt;10911&lt;/key&gt;&lt;/foreign-keys&gt;&lt;ref-type name="Book Section"&gt;5&lt;/ref-type&gt;&lt;contributors&gt;&lt;authors&gt;&lt;author&gt;Owens, N J P&lt;/author&gt;&lt;/authors&gt;&lt;secondary-authors&gt;&lt;author&gt;Blaxter, J H S&lt;/author&gt;&lt;author&gt;Southward, A J&lt;/author&gt;&lt;/secondary-authors&gt;&lt;/contributors&gt;&lt;titles&gt;&lt;title&gt;Natural Variations in 15N in the Marine Environment&lt;/title&gt;&lt;secondary-title&gt;Advances in Marine Biology&lt;/secondary-title&gt;&lt;/titles&gt;&lt;pages&gt;389-451&lt;/pages&gt;&lt;dates&gt;&lt;year&gt;1988&lt;/year&gt;&lt;/dates&gt;&lt;publisher&gt;Academic Press&lt;/publisher&gt;&lt;urls&gt;&lt;/urls&gt;&lt;/record&gt;&lt;/Cite&gt;&lt;Cite&gt;&lt;Author&gt;Peterson&lt;/Author&gt;&lt;Year&gt;1987&lt;/Year&gt;&lt;RecNum&gt;1082&lt;/RecNum&gt;&lt;record&gt;&lt;rec-number&gt;1082&lt;/rec-number&gt;&lt;foreign-keys&gt;&lt;key app="EN" db-id="0eve55x9y5vfd6e9dacxtew4eatve2dzds9a" timestamp="0"&gt;1082&lt;/key&gt;&lt;/foreign-keys&gt;&lt;ref-type name="Journal Article"&gt;17&lt;/ref-type&gt;&lt;contributors&gt;&lt;authors&gt;&lt;author&gt;Peterson, Bruce J.&lt;/author&gt;&lt;author&gt;Fry, B.&lt;/author&gt;&lt;/authors&gt;&lt;/contributors&gt;&lt;titles&gt;&lt;title&gt;Stable Isotopes in Ecostystem Studies&lt;/title&gt;&lt;secondary-title&gt;Annual Reveiw of Ecological Systematics&lt;/secondary-title&gt;&lt;alt-title&gt;Ann. Rev. Ecol. Syst&lt;/alt-title&gt;&lt;/titles&gt;&lt;pages&gt;293-320&lt;/pages&gt;&lt;volume&gt;18&lt;/volume&gt;&lt;keywords&gt;&lt;keyword&gt;ISOTOPES&lt;/keyword&gt;&lt;/keywords&gt;&lt;dates&gt;&lt;year&gt;1987&lt;/year&gt;&lt;/dates&gt;&lt;label&gt;1159&lt;/label&gt;&lt;urls&gt;&lt;/urls&gt;&lt;custom1&gt;Annex&lt;/custom1&gt;&lt;/record&gt;&lt;/Cite&gt;&lt;/EndNote&gt;</w:instrText>
      </w:r>
      <w:r w:rsidRPr="00AE04CF">
        <w:rPr>
          <w:rFonts w:cs="Arial"/>
          <w:color w:val="000000" w:themeColor="text1"/>
          <w:szCs w:val="22"/>
        </w:rPr>
        <w:fldChar w:fldCharType="separate"/>
      </w:r>
      <w:hyperlink w:anchor="_ENREF_125" w:tooltip="Peterson, 1987 #1082" w:history="1">
        <w:r w:rsidR="009A7AB4" w:rsidRPr="00AE04CF">
          <w:rPr>
            <w:rFonts w:cs="Arial"/>
            <w:noProof/>
            <w:color w:val="000000" w:themeColor="text1"/>
            <w:szCs w:val="22"/>
          </w:rPr>
          <w:t>Peterson and Fry 1987</w:t>
        </w:r>
      </w:hyperlink>
      <w:r w:rsidRPr="00AE04CF">
        <w:rPr>
          <w:rFonts w:cs="Arial"/>
          <w:noProof/>
          <w:color w:val="000000" w:themeColor="text1"/>
          <w:szCs w:val="22"/>
        </w:rPr>
        <w:t xml:space="preserve">; </w:t>
      </w:r>
      <w:hyperlink w:anchor="_ENREF_124" w:tooltip="Owens, 1988 #10911" w:history="1">
        <w:r w:rsidR="009A7AB4" w:rsidRPr="00AE04CF">
          <w:rPr>
            <w:rFonts w:cs="Arial"/>
            <w:noProof/>
            <w:color w:val="000000" w:themeColor="text1"/>
            <w:szCs w:val="22"/>
          </w:rPr>
          <w:t>Owens 1988</w:t>
        </w:r>
      </w:hyperlink>
      <w:r w:rsidRPr="00AE04CF">
        <w:rPr>
          <w:rFonts w:cs="Arial"/>
          <w:color w:val="000000" w:themeColor="text1"/>
          <w:szCs w:val="22"/>
        </w:rPr>
        <w:fldChar w:fldCharType="end"/>
      </w:r>
      <w:r w:rsidRPr="00AE04CF">
        <w:rPr>
          <w:rFonts w:cs="Arial"/>
          <w:color w:val="000000" w:themeColor="text1"/>
          <w:szCs w:val="22"/>
        </w:rPr>
        <w:t>)</w:t>
      </w:r>
      <w:r>
        <w:rPr>
          <w:rFonts w:cs="Arial"/>
          <w:color w:val="000000" w:themeColor="text1"/>
          <w:szCs w:val="22"/>
        </w:rPr>
        <w:t>;</w:t>
      </w:r>
      <w:r w:rsidRPr="00AE04CF">
        <w:rPr>
          <w:rFonts w:cs="Arial"/>
          <w:color w:val="000000" w:themeColor="text1"/>
          <w:szCs w:val="22"/>
        </w:rPr>
        <w:t xml:space="preserve"> which can supply one third to one half of seagrass demand (</w:t>
      </w:r>
      <w:hyperlink w:anchor="_ENREF_121" w:tooltip="O'Donohue, 1991 #258" w:history="1">
        <w:r w:rsidR="009A7AB4" w:rsidRPr="00AE04CF">
          <w:rPr>
            <w:rFonts w:cs="Arial"/>
            <w:color w:val="000000" w:themeColor="text1"/>
            <w:szCs w:val="22"/>
          </w:rPr>
          <w:fldChar w:fldCharType="begin"/>
        </w:r>
        <w:r w:rsidR="009A7AB4" w:rsidRPr="00AE04CF">
          <w:rPr>
            <w:rFonts w:cs="Arial"/>
            <w:color w:val="000000" w:themeColor="text1"/>
            <w:szCs w:val="22"/>
          </w:rPr>
          <w:instrText xml:space="preserve"> ADDIN EN.CITE &lt;EndNote&gt;&lt;Cite&gt;&lt;Author&gt;O&amp;apos;Donohue&lt;/Author&gt;&lt;Year&gt;1991&lt;/Year&gt;&lt;RecNum&gt;258&lt;/RecNum&gt;&lt;DisplayText&gt;O&amp;apos;Donohue&lt;style face="italic"&gt; et al.&lt;/style&gt; 1991&lt;/DisplayText&gt;&lt;record&gt;&lt;rec-number&gt;258&lt;/rec-number&gt;&lt;foreign-keys&gt;&lt;key app="EN" db-id="0eve55x9y5vfd6e9dacxtew4eatve2dzds9a" timestamp="0"&gt;258&lt;/key&gt;&lt;/foreign-keys&gt;&lt;ref-type name="Journal Article"&gt;17&lt;/ref-type&gt;&lt;contributors&gt;&lt;authors&gt;&lt;author&gt;O&amp;apos;Donohue, M. J.&lt;/author&gt;&lt;author&gt;Moriarty, D. J. W.&lt;/author&gt;&lt;author&gt;Mac Rae, I. C.&lt;/author&gt;&lt;/authors&gt;&lt;/contributors&gt;&lt;titles&gt;&lt;title&gt;&lt;style face="normal" font="default" size="100%"&gt;Nitrogen fixation in sediments and the rhizosphere of the seagrass &lt;/style&gt;&lt;style face="italic" font="default" size="100%"&gt;Zostera capricorni&lt;/style&gt;&lt;/title&gt;&lt;secondary-title&gt;Microbial Ecology&lt;/secondary-title&gt;&lt;alt-title&gt;Microb. Ecol&lt;/alt-title&gt;&lt;/titles&gt;&lt;periodical&gt;&lt;full-title&gt;Microbial Ecology&lt;/full-title&gt;&lt;/periodical&gt;&lt;pages&gt;53-64&lt;/pages&gt;&lt;volume&gt;22&lt;/volume&gt;&lt;number&gt;1&lt;/number&gt;&lt;keywords&gt;&lt;keyword&gt;GIBIBLIO&lt;/keyword&gt;&lt;keyword&gt;NITROGEN&lt;/keyword&gt;&lt;/keywords&gt;&lt;dates&gt;&lt;year&gt;1991&lt;/year&gt;&lt;/dates&gt;&lt;label&gt;218&lt;/label&gt;&lt;urls&gt;&lt;/urls&gt;&lt;custom1&gt;Annex&lt;/custom1&gt;&lt;/record&gt;&lt;/Cite&gt;&lt;/EndNote&gt;</w:instrText>
        </w:r>
        <w:r w:rsidR="009A7AB4" w:rsidRPr="00AE04CF">
          <w:rPr>
            <w:rFonts w:cs="Arial"/>
            <w:color w:val="000000" w:themeColor="text1"/>
            <w:szCs w:val="22"/>
          </w:rPr>
          <w:fldChar w:fldCharType="separate"/>
        </w:r>
        <w:r w:rsidR="009A7AB4" w:rsidRPr="00AE04CF">
          <w:rPr>
            <w:rFonts w:cs="Arial"/>
            <w:noProof/>
            <w:color w:val="000000" w:themeColor="text1"/>
            <w:szCs w:val="22"/>
          </w:rPr>
          <w:t>O'Donohue</w:t>
        </w:r>
        <w:r w:rsidR="009A7AB4" w:rsidRPr="00AE04CF">
          <w:rPr>
            <w:rFonts w:cs="Arial"/>
            <w:i/>
            <w:noProof/>
            <w:color w:val="000000" w:themeColor="text1"/>
            <w:szCs w:val="22"/>
          </w:rPr>
          <w:t xml:space="preserve"> et al.</w:t>
        </w:r>
        <w:r w:rsidR="009A7AB4" w:rsidRPr="00AE04CF">
          <w:rPr>
            <w:rFonts w:cs="Arial"/>
            <w:noProof/>
            <w:color w:val="000000" w:themeColor="text1"/>
            <w:szCs w:val="22"/>
          </w:rPr>
          <w:t xml:space="preserve"> 1991</w:t>
        </w:r>
        <w:r w:rsidR="009A7AB4" w:rsidRPr="00AE04CF">
          <w:rPr>
            <w:rFonts w:cs="Arial"/>
            <w:color w:val="000000" w:themeColor="text1"/>
            <w:szCs w:val="22"/>
          </w:rPr>
          <w:fldChar w:fldCharType="end"/>
        </w:r>
      </w:hyperlink>
      <w:r w:rsidRPr="00AE04CF">
        <w:rPr>
          <w:rFonts w:cs="Arial"/>
          <w:color w:val="000000" w:themeColor="text1"/>
          <w:szCs w:val="22"/>
        </w:rPr>
        <w:t xml:space="preserve">). </w:t>
      </w:r>
      <w:r w:rsidR="000631A4">
        <w:rPr>
          <w:rFonts w:cs="Arial"/>
          <w:color w:val="000000" w:themeColor="text1"/>
          <w:szCs w:val="22"/>
        </w:rPr>
        <w:t>Low to m</w:t>
      </w:r>
      <w:r w:rsidRPr="00AE04CF">
        <w:rPr>
          <w:rFonts w:cs="Arial"/>
          <w:color w:val="000000" w:themeColor="text1"/>
          <w:szCs w:val="22"/>
        </w:rPr>
        <w:t xml:space="preserve">oderate values </w:t>
      </w:r>
      <w:r w:rsidR="000631A4" w:rsidRPr="00AE04CF">
        <w:rPr>
          <w:rFonts w:cs="Segoe UI"/>
        </w:rPr>
        <w:t>(i.e. δ</w:t>
      </w:r>
      <w:r w:rsidR="000631A4" w:rsidRPr="00AE04CF">
        <w:rPr>
          <w:rFonts w:cs="Segoe UI"/>
          <w:vertAlign w:val="superscript"/>
        </w:rPr>
        <w:t>15</w:t>
      </w:r>
      <w:r w:rsidR="000631A4" w:rsidRPr="00AE04CF">
        <w:rPr>
          <w:rFonts w:cs="Segoe UI"/>
        </w:rPr>
        <w:t xml:space="preserve">N &gt;0 - </w:t>
      </w:r>
      <w:r w:rsidR="000631A4" w:rsidRPr="00AE04CF">
        <w:rPr>
          <w:rFonts w:cs="Arial"/>
          <w:color w:val="000000" w:themeColor="text1"/>
          <w:szCs w:val="22"/>
        </w:rPr>
        <w:t>~</w:t>
      </w:r>
      <w:r w:rsidR="00DE36C4">
        <w:rPr>
          <w:rFonts w:cs="Arial"/>
          <w:color w:val="000000" w:themeColor="text1"/>
          <w:szCs w:val="22"/>
        </w:rPr>
        <w:t>3</w:t>
      </w:r>
      <w:r w:rsidR="000631A4" w:rsidRPr="00AE04CF">
        <w:rPr>
          <w:rFonts w:cs="Segoe UI"/>
        </w:rPr>
        <w:t>‰)</w:t>
      </w:r>
      <w:r w:rsidR="000631A4" w:rsidRPr="00AE04CF">
        <w:rPr>
          <w:rFonts w:cs="Arial"/>
          <w:color w:val="000000" w:themeColor="text1"/>
          <w:szCs w:val="22"/>
        </w:rPr>
        <w:t xml:space="preserve"> </w:t>
      </w:r>
      <w:r w:rsidRPr="00AE04CF">
        <w:rPr>
          <w:rFonts w:cs="Arial"/>
          <w:color w:val="000000" w:themeColor="text1"/>
          <w:szCs w:val="22"/>
        </w:rPr>
        <w:t>indicate internal sources from remineralisation (</w:t>
      </w:r>
      <w:r w:rsidRPr="00AE04CF">
        <w:rPr>
          <w:rFonts w:cs="Arial"/>
          <w:color w:val="000000" w:themeColor="text1"/>
          <w:szCs w:val="22"/>
        </w:rPr>
        <w:fldChar w:fldCharType="begin"/>
      </w:r>
      <w:r w:rsidRPr="00AE04CF">
        <w:rPr>
          <w:rFonts w:cs="Arial"/>
          <w:color w:val="000000" w:themeColor="text1"/>
          <w:szCs w:val="22"/>
        </w:rPr>
        <w:instrText xml:space="preserve"> ADDIN EN.CITE &lt;EndNote&gt;&lt;Cite&gt;&lt;Author&gt;Owens&lt;/Author&gt;&lt;Year&gt;1988&lt;/Year&gt;&lt;RecNum&gt;10911&lt;/RecNum&gt;&lt;DisplayText&gt;Peterson and Fry 1987; Owens 1988&lt;/DisplayText&gt;&lt;record&gt;&lt;rec-number&gt;10911&lt;/rec-number&gt;&lt;foreign-keys&gt;&lt;key app="EN" db-id="0eve55x9y5vfd6e9dacxtew4eatve2dzds9a" timestamp="1488169659"&gt;10911&lt;/key&gt;&lt;/foreign-keys&gt;&lt;ref-type name="Book Section"&gt;5&lt;/ref-type&gt;&lt;contributors&gt;&lt;authors&gt;&lt;author&gt;Owens, N J P&lt;/author&gt;&lt;/authors&gt;&lt;secondary-authors&gt;&lt;author&gt;Blaxter, J H S&lt;/author&gt;&lt;author&gt;Southward, A J&lt;/author&gt;&lt;/secondary-authors&gt;&lt;/contributors&gt;&lt;titles&gt;&lt;title&gt;Natural Variations in 15N in the Marine Environment&lt;/title&gt;&lt;secondary-title&gt;Advances in Marine Biology&lt;/secondary-title&gt;&lt;/titles&gt;&lt;pages&gt;389-451&lt;/pages&gt;&lt;dates&gt;&lt;year&gt;1988&lt;/year&gt;&lt;/dates&gt;&lt;publisher&gt;Academic Press&lt;/publisher&gt;&lt;urls&gt;&lt;/urls&gt;&lt;/record&gt;&lt;/Cite&gt;&lt;Cite&gt;&lt;Author&gt;Peterson&lt;/Author&gt;&lt;Year&gt;1987&lt;/Year&gt;&lt;RecNum&gt;1082&lt;/RecNum&gt;&lt;record&gt;&lt;rec-number&gt;1082&lt;/rec-number&gt;&lt;foreign-keys&gt;&lt;key app="EN" db-id="0eve55x9y5vfd6e9dacxtew4eatve2dzds9a" timestamp="0"&gt;1082&lt;/key&gt;&lt;/foreign-keys&gt;&lt;ref-type name="Journal Article"&gt;17&lt;/ref-type&gt;&lt;contributors&gt;&lt;authors&gt;&lt;author&gt;Peterson, Bruce J.&lt;/author&gt;&lt;author&gt;Fry, B.&lt;/author&gt;&lt;/authors&gt;&lt;/contributors&gt;&lt;titles&gt;&lt;title&gt;Stable Isotopes in Ecostystem Studies&lt;/title&gt;&lt;secondary-title&gt;Annual Reveiw of Ecological Systematics&lt;/secondary-title&gt;&lt;alt-title&gt;Ann. Rev. Ecol. Syst&lt;/alt-title&gt;&lt;/titles&gt;&lt;pages&gt;293-320&lt;/pages&gt;&lt;volume&gt;18&lt;/volume&gt;&lt;keywords&gt;&lt;keyword&gt;ISOTOPES&lt;/keyword&gt;&lt;/keywords&gt;&lt;dates&gt;&lt;year&gt;1987&lt;/year&gt;&lt;/dates&gt;&lt;label&gt;1159&lt;/label&gt;&lt;urls&gt;&lt;/urls&gt;&lt;custom1&gt;Annex&lt;/custom1&gt;&lt;/record&gt;&lt;/Cite&gt;&lt;/EndNote&gt;</w:instrText>
      </w:r>
      <w:r w:rsidRPr="00AE04CF">
        <w:rPr>
          <w:rFonts w:cs="Arial"/>
          <w:color w:val="000000" w:themeColor="text1"/>
          <w:szCs w:val="22"/>
        </w:rPr>
        <w:fldChar w:fldCharType="separate"/>
      </w:r>
      <w:hyperlink w:anchor="_ENREF_125" w:tooltip="Peterson, 1987 #1082" w:history="1">
        <w:r w:rsidR="009A7AB4" w:rsidRPr="00AE04CF">
          <w:rPr>
            <w:rFonts w:cs="Arial"/>
            <w:noProof/>
            <w:color w:val="000000" w:themeColor="text1"/>
            <w:szCs w:val="22"/>
          </w:rPr>
          <w:t>Peterson and Fry 1987</w:t>
        </w:r>
      </w:hyperlink>
      <w:r w:rsidRPr="00AE04CF">
        <w:rPr>
          <w:rFonts w:cs="Arial"/>
          <w:noProof/>
          <w:color w:val="000000" w:themeColor="text1"/>
          <w:szCs w:val="22"/>
        </w:rPr>
        <w:t xml:space="preserve">; </w:t>
      </w:r>
      <w:hyperlink w:anchor="_ENREF_124" w:tooltip="Owens, 1988 #10911" w:history="1">
        <w:r w:rsidR="009A7AB4" w:rsidRPr="00AE04CF">
          <w:rPr>
            <w:rFonts w:cs="Arial"/>
            <w:noProof/>
            <w:color w:val="000000" w:themeColor="text1"/>
            <w:szCs w:val="22"/>
          </w:rPr>
          <w:t>Owens 1988</w:t>
        </w:r>
      </w:hyperlink>
      <w:r w:rsidRPr="00AE04CF">
        <w:rPr>
          <w:rFonts w:cs="Arial"/>
          <w:color w:val="000000" w:themeColor="text1"/>
          <w:szCs w:val="22"/>
        </w:rPr>
        <w:fldChar w:fldCharType="end"/>
      </w:r>
      <w:r w:rsidRPr="00AE04CF">
        <w:rPr>
          <w:rFonts w:cs="Arial"/>
          <w:color w:val="000000" w:themeColor="text1"/>
          <w:szCs w:val="22"/>
        </w:rPr>
        <w:t xml:space="preserve">) and </w:t>
      </w:r>
      <w:r w:rsidRPr="00AE04CF">
        <w:rPr>
          <w:rFonts w:cs="Segoe UI"/>
        </w:rPr>
        <w:t>N fertilizer, produced by industrial fixation of atmospheric nitrogen (</w:t>
      </w:r>
      <w:hyperlink w:anchor="_ENREF_141" w:tooltip="Udy, 1997 #5442" w:history="1">
        <w:r w:rsidR="009A7AB4" w:rsidRPr="00AE04CF">
          <w:rPr>
            <w:rFonts w:cs="Segoe UI"/>
          </w:rPr>
          <w:fldChar w:fldCharType="begin"/>
        </w:r>
        <w:r w:rsidR="009A7AB4" w:rsidRPr="00AE04CF">
          <w:rPr>
            <w:rFonts w:cs="Segoe UI"/>
          </w:rPr>
          <w:instrText xml:space="preserve"> ADDIN EN.CITE &lt;EndNote&gt;&lt;Cite&gt;&lt;Author&gt;Udy&lt;/Author&gt;&lt;Year&gt;1997&lt;/Year&gt;&lt;RecNum&gt;5442&lt;/RecNum&gt;&lt;DisplayText&gt;Udy and Dennison 1997a&lt;/DisplayText&gt;&lt;record&gt;&lt;rec-number&gt;5442&lt;/rec-number&gt;&lt;foreign-keys&gt;&lt;key app="EN" db-id="0eve55x9y5vfd6e9dacxtew4eatve2dzds9a" timestamp="0"&gt;5442&lt;/key&gt;&lt;/foreign-keys&gt;&lt;ref-type name="Journal Article"&gt;17&lt;/ref-type&gt;&lt;contributors&gt;&lt;authors&gt;&lt;author&gt;Udy, James W&lt;/author&gt;&lt;author&gt;Dennison, William C&lt;/author&gt;&lt;/authors&gt;&lt;/contributors&gt;&lt;titles&gt;&lt;title&gt;Growth and physiological responses of three Seagrass species to elevated sediment nutrients in Moreton Bay, Australia&lt;/title&gt;&lt;secondary-title&gt;Journal of Experimental Marine Biology and Ecology&lt;/secondary-title&gt;&lt;/titles&gt;&lt;periodical&gt;&lt;full-title&gt;Journal of Experimental Marine Biology and Ecology&lt;/full-title&gt;&lt;/periodical&gt;&lt;pages&gt;253-277&lt;/pages&gt;&lt;volume&gt;217&lt;/volume&gt;&lt;number&gt;2&lt;/number&gt;&lt;keywords&gt;&lt;keyword&gt;Seagrass&lt;/keyword&gt;&lt;keyword&gt;Nutrient&lt;/keyword&gt;&lt;keyword&gt;Nitrogen&lt;/keyword&gt;&lt;keyword&gt;Phosphorus&lt;/keyword&gt;&lt;keyword&gt;Amino acid.&lt;/keyword&gt;&lt;keyword&gt;Zostera-marina l&lt;/keyword&gt;&lt;keyword&gt;Halodule-wrightii aschers&lt;/keyword&gt;&lt;keyword&gt;Phosphorus limitation&lt;/keyword&gt;&lt;keyword&gt;Syringodium-filiforme&lt;/keyword&gt;&lt;keyword&gt;Thalassia-testudinum&lt;/keyword&gt;&lt;keyword&gt;Cymodocea-nodosa&lt;/keyword&gt;&lt;keyword&gt;Light-intensity&lt;/keyword&gt;&lt;keyword&gt;Chesapeake bay&lt;/keyword&gt;&lt;keyword&gt;Florida bay&lt;/keyword&gt;&lt;keyword&gt;L eelgrass.&lt;/keyword&gt;&lt;keyword&gt;Aquatic sciences.&lt;/keyword&gt;&lt;/keywords&gt;&lt;dates&gt;&lt;year&gt;1997&lt;/year&gt;&lt;/dates&gt;&lt;urls&gt;&lt;/urls&gt;&lt;custom1&gt;Reprint available from: Udy JW UNIV QUEENSLAND DEPT BOT ST LUCIA QLD 4072 AUSTRALIA&lt;/custom1&gt;&lt;/record&gt;&lt;/Cite&gt;&lt;/EndNote&gt;</w:instrText>
        </w:r>
        <w:r w:rsidR="009A7AB4" w:rsidRPr="00AE04CF">
          <w:rPr>
            <w:rFonts w:cs="Segoe UI"/>
          </w:rPr>
          <w:fldChar w:fldCharType="separate"/>
        </w:r>
        <w:r w:rsidR="009A7AB4" w:rsidRPr="00AE04CF">
          <w:rPr>
            <w:rFonts w:cs="Segoe UI"/>
            <w:noProof/>
          </w:rPr>
          <w:t>Udy and Dennison 1997a</w:t>
        </w:r>
        <w:r w:rsidR="009A7AB4" w:rsidRPr="00AE04CF">
          <w:rPr>
            <w:rFonts w:cs="Segoe UI"/>
          </w:rPr>
          <w:fldChar w:fldCharType="end"/>
        </w:r>
      </w:hyperlink>
      <w:r w:rsidRPr="00AE04CF">
        <w:rPr>
          <w:rFonts w:cs="Segoe UI"/>
        </w:rPr>
        <w:t>). H</w:t>
      </w:r>
      <w:r w:rsidRPr="00AE04CF">
        <w:rPr>
          <w:rFonts w:cs="Arial"/>
          <w:color w:val="000000" w:themeColor="text1"/>
          <w:szCs w:val="22"/>
        </w:rPr>
        <w:t>igher values (&gt;3‰) can indicate s</w:t>
      </w:r>
      <w:r w:rsidRPr="00AE04CF">
        <w:rPr>
          <w:rFonts w:cs="Segoe UI"/>
        </w:rPr>
        <w:t xml:space="preserve">eptic and aquaculture </w:t>
      </w:r>
      <w:r w:rsidRPr="00AE04CF">
        <w:rPr>
          <w:rFonts w:cs="Arial"/>
          <w:color w:val="000000" w:themeColor="text1"/>
          <w:szCs w:val="22"/>
        </w:rPr>
        <w:t xml:space="preserve">sources </w:t>
      </w:r>
      <w:r w:rsidRPr="00AE04CF">
        <w:rPr>
          <w:rFonts w:cs="Segoe UI"/>
        </w:rPr>
        <w:t>(</w:t>
      </w:r>
      <w:hyperlink w:anchor="_ENREF_78" w:tooltip="Jones, 2001 #8336" w:history="1">
        <w:r w:rsidR="009A7AB4" w:rsidRPr="00AE04CF">
          <w:rPr>
            <w:rFonts w:cs="Segoe UI"/>
          </w:rPr>
          <w:fldChar w:fldCharType="begin"/>
        </w:r>
        <w:r w:rsidR="009A7AB4" w:rsidRPr="00AE04CF">
          <w:rPr>
            <w:rFonts w:cs="Segoe UI"/>
          </w:rPr>
          <w:instrText xml:space="preserve"> ADDIN EN.CITE &lt;EndNote&gt;&lt;Cite&gt;&lt;Author&gt;Jones&lt;/Author&gt;&lt;Year&gt;2001&lt;/Year&gt;&lt;RecNum&gt;8336&lt;/RecNum&gt;&lt;DisplayText&gt;Jones&lt;style face="italic"&gt; et al.&lt;/style&gt; 2001&lt;/DisplayText&gt;&lt;record&gt;&lt;rec-number&gt;8336&lt;/rec-number&gt;&lt;foreign-keys&gt;&lt;key app="EN" db-id="0eve55x9y5vfd6e9dacxtew4eatve2dzds9a" timestamp="0"&gt;8336&lt;/key&gt;&lt;/foreign-keys&gt;&lt;ref-type name="Journal Article"&gt;17&lt;/ref-type&gt;&lt;contributors&gt;&lt;authors&gt;&lt;author&gt;Jones, A. B.&lt;/author&gt;&lt;author&gt;O&amp;apos;Donohue, M. J.&lt;/author&gt;&lt;author&gt;Udy, J.&lt;/author&gt;&lt;author&gt;Dennison, W. C.&lt;/author&gt;&lt;/authors&gt;&lt;/contributors&gt;&lt;titles&gt;&lt;title&gt;Assessing ecological impacts of shrimp and sewage effluent: Biological indicators with standard water quality analyses&lt;/title&gt;&lt;secondary-title&gt;Estuarine Coastal and Shelf Science&lt;/secondary-title&gt;&lt;alt-title&gt;Estuar. Coast. Shelf Sci.&lt;/alt-title&gt;&lt;/titles&gt;&lt;periodical&gt;&lt;full-title&gt;Estuarine Coastal And Shelf Science&lt;/full-title&gt;&lt;/periodical&gt;&lt;pages&gt;91-109&lt;/pages&gt;&lt;volume&gt;52&lt;/volume&gt;&lt;number&gt;1&lt;/number&gt;&lt;keywords&gt;&lt;keyword&gt;aquaculture&lt;/keyword&gt;&lt;keyword&gt;shrimp effluent&lt;/keyword&gt;&lt;keyword&gt;sewage effluent&lt;/keyword&gt;&lt;keyword&gt;biological&lt;/keyword&gt;&lt;keyword&gt;indicators&lt;/keyword&gt;&lt;keyword&gt;stable isotopes&lt;/keyword&gt;&lt;keyword&gt;delta N-15&lt;/keyword&gt;&lt;keyword&gt;amino acid&lt;/keyword&gt;&lt;keyword&gt;composition&lt;/keyword&gt;&lt;keyword&gt;Moreton Bay Australia&lt;/keyword&gt;&lt;keyword&gt;GRACILARIA-PACIFICA RHODOPHYTA&lt;/keyword&gt;&lt;keyword&gt;AMINO-ACID LEVELS&lt;/keyword&gt;&lt;keyword&gt;ZOSTERA-&lt;/keyword&gt;&lt;keyword&gt;MARINA L&lt;/keyword&gt;&lt;keyword&gt;PHYSIOLOGICAL-RESPONSES&lt;/keyword&gt;&lt;keyword&gt;NUTRIENT AVAILABILITY&lt;/keyword&gt;&lt;keyword&gt;CYANIDIUM-CALDARIUM&lt;/keyword&gt;&lt;keyword&gt;ESTUARINE GRADIENT&lt;/keyword&gt;&lt;keyword&gt;EDULIS RHODOPHYTA&lt;/keyword&gt;&lt;keyword&gt;LIGHT-INTENSITY&lt;/keyword&gt;&lt;keyword&gt;NITROGEN UPTAKE&lt;/keyword&gt;&lt;/keywords&gt;&lt;dates&gt;&lt;year&gt;2001&lt;/year&gt;&lt;pub-dates&gt;&lt;date&gt;Jan&lt;/date&gt;&lt;/pub-dates&gt;&lt;/dates&gt;&lt;accession-num&gt;ISI:000167224800007&lt;/accession-num&gt;&lt;urls&gt;&lt;related-urls&gt;&lt;url&gt;&amp;lt;Go to ISI&amp;gt;://000167224800007&lt;/url&gt;&lt;/related-urls&gt;&lt;/urls&gt;&lt;/record&gt;&lt;/Cite&gt;&lt;/EndNote&gt;</w:instrText>
        </w:r>
        <w:r w:rsidR="009A7AB4" w:rsidRPr="00AE04CF">
          <w:rPr>
            <w:rFonts w:cs="Segoe UI"/>
          </w:rPr>
          <w:fldChar w:fldCharType="separate"/>
        </w:r>
        <w:r w:rsidR="009A7AB4" w:rsidRPr="00AE04CF">
          <w:rPr>
            <w:rFonts w:cs="Segoe UI"/>
            <w:noProof/>
          </w:rPr>
          <w:t>Jones</w:t>
        </w:r>
        <w:r w:rsidR="009A7AB4" w:rsidRPr="00AE04CF">
          <w:rPr>
            <w:rFonts w:cs="Segoe UI"/>
            <w:i/>
            <w:noProof/>
          </w:rPr>
          <w:t xml:space="preserve"> et al.</w:t>
        </w:r>
        <w:r w:rsidR="009A7AB4" w:rsidRPr="00AE04CF">
          <w:rPr>
            <w:rFonts w:cs="Segoe UI"/>
            <w:noProof/>
          </w:rPr>
          <w:t xml:space="preserve"> 2001</w:t>
        </w:r>
        <w:r w:rsidR="009A7AB4" w:rsidRPr="00AE04CF">
          <w:rPr>
            <w:rFonts w:cs="Segoe UI"/>
          </w:rPr>
          <w:fldChar w:fldCharType="end"/>
        </w:r>
      </w:hyperlink>
      <w:r w:rsidRPr="00AE04CF">
        <w:rPr>
          <w:rFonts w:cs="Segoe UI"/>
        </w:rPr>
        <w:t>)</w:t>
      </w:r>
      <w:r w:rsidRPr="00AE04CF">
        <w:rPr>
          <w:rFonts w:cs="Arial"/>
          <w:color w:val="000000" w:themeColor="text1"/>
          <w:szCs w:val="22"/>
        </w:rPr>
        <w:t xml:space="preserve"> and f</w:t>
      </w:r>
      <w:r w:rsidRPr="00AE04CF">
        <w:rPr>
          <w:rFonts w:cs="Segoe UI"/>
        </w:rPr>
        <w:t>urther biological fractionation results in sewage nitrogen having a δ</w:t>
      </w:r>
      <w:r w:rsidRPr="00AE04CF">
        <w:rPr>
          <w:rFonts w:cs="Segoe UI"/>
          <w:vertAlign w:val="superscript"/>
        </w:rPr>
        <w:t>15</w:t>
      </w:r>
      <w:r w:rsidRPr="00AE04CF">
        <w:rPr>
          <w:rFonts w:cs="Segoe UI"/>
        </w:rPr>
        <w:t>N signature greater than 9 or ~10‰</w:t>
      </w:r>
      <w:r>
        <w:rPr>
          <w:rFonts w:cs="Segoe UI"/>
        </w:rPr>
        <w:t xml:space="preserve"> </w:t>
      </w:r>
      <w:r w:rsidRPr="00AE04CF">
        <w:rPr>
          <w:rFonts w:cs="Segoe UI"/>
        </w:rPr>
        <w:t>(</w:t>
      </w:r>
      <w:r w:rsidR="000631A4">
        <w:rPr>
          <w:rFonts w:cs="Segoe UI"/>
        </w:rPr>
        <w:fldChar w:fldCharType="begin">
          <w:fldData xml:space="preserve">PEVuZE5vdGU+PENpdGU+PEF1dGhvcj5MYWp0aGE8L0F1dGhvcj48WWVhcj4xOTk0PC9ZZWFyPjxS
ZWNOdW0+OTc5MjwvUmVjTnVtPjxEaXNwbGF5VGV4dD5MYWp0aGEgYW5kIE1hcnNoYWxsIDE5OTQ7
IFVkeSBhbmQgRGVubmlzb24gMTk5N2I7IERlbm5pc29uIGFuZCBBYmFsIDE5OTk7IENvc3Rhbnpv
PHN0eWxlIGZhY2U9Iml0YWxpYyI+IGV0IGFsLjwvc3R5bGU+IDIwMDE7IEpvbmVzPHN0eWxlIGZh
Y2U9Iml0YWxpYyI+IGV0IGFsLjwvc3R5bGU+IDIwMTg8L0Rpc3BsYXlUZXh0PjxyZWNvcmQ+PHJl
Yy1udW1iZXI+OTc5MjwvcmVjLW51bWJlcj48Zm9yZWlnbi1rZXlzPjxrZXkgYXBwPSJFTiIgZGIt
aWQ9IjBldmU1NXg5eTV2ZmQ2ZTlkYWN4dGV3NGVhdHZlMmR6ZHM5YSIgdGltZXN0YW1wPSIxMzk0
NzA2MzIyIj45NzkyPC9rZXk+PC9mb3JlaWduLWtleXM+PHJlZi10eXBlIG5hbWU9IkJvb2sgU2Vj
dGlvbiI+NTwvcmVmLXR5cGU+PGNvbnRyaWJ1dG9ycz48YXV0aG9ycz48YXV0aG9yPkxhanRoYSwg
SzwvYXV0aG9yPjxhdXRob3I+TWFyc2hhbGwsIEpEPC9hdXRob3I+PC9hdXRob3JzPjxzZWNvbmRh
cnktYXV0aG9ycz48YXV0aG9yPkxhanRoYSwgSyA8L2F1dGhvcj48YXV0aG9yPk1pY2hlbmVyLCBS
SDwvYXV0aG9yPjwvc2Vjb25kYXJ5LWF1dGhvcnM+PC9jb250cmlidXRvcnM+PHRpdGxlcz48dGl0
bGU+U291cmNlcyBvZiB2YXJpYXRpb24gaW4gdGhlIHN0YWJsZSBpc290b3BlIGNvbXBvc2l0aW9u
IG9mIHBsYW50czwvdGl0bGU+PHNlY29uZGFyeS10aXRsZT5TdGFibGUgSXNvdG9wZXMgaW4gRWNv
bG9neSBhbmQgRW52aXJvbm1lbnRhbCBTY2llbmNlczwvc2Vjb25kYXJ5LXRpdGxlPjwvdGl0bGVz
PjxwYWdlcz4x4oCTMjE8L3BhZ2VzPjxkYXRlcz48eWVhcj4xOTk0PC95ZWFyPjwvZGF0ZXM+PHB1
Yi1sb2NhdGlvbj5PeGZvcmQ8L3B1Yi1sb2NhdGlvbj48cHVibGlzaGVyPkJsYWNrd2VsbCBTY2ll
bnRpZmljIFB1YmxpY2F0aW9uczwvcHVibGlzaGVyPjx1cmxzPjwvdXJscz48L3JlY29yZD48L0Np
dGU+PENpdGU+PEF1dGhvcj5Db3N0YW56bzwvQXV0aG9yPjxZZWFyPjIwMDE8L1llYXI+PFJlY051
bT4yNTgyPC9SZWNOdW0+PHJlY29yZD48cmVjLW51bWJlcj4yNTgyPC9yZWMtbnVtYmVyPjxmb3Jl
aWduLWtleXM+PGtleSBhcHA9IkVOIiBkYi1pZD0iMGV2ZTU1eDl5NXZmZDZlOWRhY3h0ZXc0ZWF0
dmUyZHpkczlhIiB0aW1lc3RhbXA9IjAiPjI1ODI8L2tleT48L2ZvcmVpZ24ta2V5cz48cmVmLXR5
cGUgbmFtZT0iSm91cm5hbCBBcnRpY2xlIj4xNzwvcmVmLXR5cGU+PGNvbnRyaWJ1dG9ycz48YXV0
aG9ycz48YXV0aG9yPkNvc3RhbnpvLCBTIEQ8L2F1dGhvcj48YXV0aG9yPk8mYXBvcztEb25vaHVl
LCBNIEo8L2F1dGhvcj48YXV0aG9yPkRlbm5pc29uLCBXIEM8L2F1dGhvcj48YXV0aG9yPkxvbmVy
YWdhbiwgTiBSPC9hdXRob3I+PGF1dGhvcj5UaG9tYXMsIE08L2F1dGhvcj48L2F1dGhvcnM+PC9j
b250cmlidXRvcnM+PHRpdGxlcz48dGl0bGU+QSBuZXcgYXBwcm9hY2ggZm9yIGRldGVjdGluZyBh
bmQgbWFwcGluZyBzZXdhZ2UgaW1wYWN0czwvdGl0bGU+PHNlY29uZGFyeS10aXRsZT5NYXJpbmUg
UG9sbHV0aW9uIEJ1bGxldGluPC9zZWNvbmRhcnktdGl0bGU+PC90aXRsZXM+PHBlcmlvZGljYWw+
PGZ1bGwtdGl0bGU+TWFyaW5lIFBvbGx1dGlvbiBCdWxsZXRpbjwvZnVsbC10aXRsZT48L3Blcmlv
ZGljYWw+PHBhZ2VzPjE0OS0xNTY8L3BhZ2VzPjx2b2x1bWU+NDI8L3ZvbHVtZT48bnVtYmVyPjI8
L251bWJlcj48ZGF0ZXM+PHllYXI+MjAwMTwveWVhcj48cHViLWRhdGVzPjxkYXRlPjIwMDEvMjwv
ZGF0ZT48L3B1Yi1kYXRlcz48L2RhdGVzPjxsYWJlbD5TdGV3PC9sYWJlbD48dXJscz48cmVsYXRl
ZC11cmxzPjx1cmw+aHR0cDovL3d3dy5zY2llbmNlZGlyZWN0LmNvbS9zY2llbmNlL2FydGljbGUv
QjZXVkItNDVETVhERy1EQi8xLzljNzgzY2FmY2U0YjIwMmU2YjE4NjRmMDk5MTVlMzZjPC91cmw+
PC9yZWxhdGVkLXVybHM+PC91cmxzPjwvcmVjb3JkPjwvQ2l0ZT48Q2l0ZT48QXV0aG9yPkpvbmVz
PC9BdXRob3I+PFllYXI+MjAxODwvWWVhcj48UmVjTnVtPjExNTA1PC9SZWNOdW0+PHJlY29yZD48
cmVjLW51bWJlcj4xMTUwNTwvcmVjLW51bWJlcj48Zm9yZWlnbi1rZXlzPjxrZXkgYXBwPSJFTiIg
ZGItaWQ9IjBldmU1NXg5eTV2ZmQ2ZTlkYWN4dGV3NGVhdHZlMmR6ZHM5YSIgdGltZXN0YW1wPSIx
NTI2NDI0NDE4Ij4xMTUwNTwva2V5PjwvZm9yZWlnbi1rZXlzPjxyZWYtdHlwZSBuYW1lPSJKb3Vy
bmFsIEFydGljbGUiPjE3PC9yZWYtdHlwZT48Y29udHJpYnV0b3JzPjxhdXRob3JzPjxhdXRob3I+
Sm9uZXMsQmVuamFtaW4gTC48L2F1dGhvcj48YXV0aG9yPkN1bGxlbi1VbnN3b3J0aCxMZWFubmUg
Qy48L2F1dGhvcj48YXV0aG9yPlVuc3dvcnRoLFJpY2hhcmQgSy4gRi48L2F1dGhvcj48L2F1dGhv
cnM+PC9jb250cmlidXRvcnM+PGF1dGgtYWRkcmVzcz5CZW5qYW1pbiBMLiBKb25lcyxTdXN0YWlu
YWJsZSBQbGFjZXMgUmVzZWFyY2ggSW5zdGl0dXRlLCBDYXJkaWZmIFVuaXZlcnNpdHksVW5pdGVk
IEtpbmdkb20sYmVuQHByb2plY3RzZWFncmFzcy5vcmcmI3hEO0JlbmphbWluIEwuIEpvbmVzLFBy
b2plY3QgU2VhZ3Jhc3MsVW5pdGVkIEtpbmdkb20sYmVuQHByb2plY3RzZWFncmFzcy5vcmc8L2F1
dGgtYWRkcmVzcz48dGl0bGVzPjx0aXRsZT5UcmFja2luZyBOaXRyb2dlbiBTb3VyY2UgVXNpbmcg
zrQxNU4gUmV2ZWFscyBIdW1hbiBhbmQgQWdyaWN1bHR1cmFsIERyaXZlcnMgb2YgU2VhZ3Jhc3Mg
RGVncmFkYXRpb24gYWNyb3NzIHRoZSBCcml0aXNoIElzbGVzPC90aXRsZT48c2Vjb25kYXJ5LXRp
dGxlPkZyb250aWVycyBpbiBQbGFudCBTY2llbmNlPC9zZWNvbmRhcnktdGl0bGU+PHNob3J0LXRp
dGxlPldhc3Rld2F0ZXIgZHJpdmVzIHNlYWdyYXNzIGRlY2xpbmU8L3Nob3J0LXRpdGxlPjwvdGl0
bGVzPjxwZXJpb2RpY2FsPjxmdWxsLXRpdGxlPkZyb250aWVycyBpbiBQbGFudCBTY2llbmNlPC9m
dWxsLXRpdGxlPjwvcGVyaW9kaWNhbD48dm9sdW1lPjk8L3ZvbHVtZT48bnVtYmVyPjEzMzwvbnVt
YmVyPjxrZXl3b3Jkcz48a2V5d29yZD5zdGFibGUgaXNvdG9wZSBhbmFseXNpcyxzZXdhZ2Ugc2ln
bmFscyxOaXRyb2dlbixlZWxncmFzcyxTZWFncmFzcyBtZWFkb3dzLExpdmVzdG9jayBlZmZsdWVu
dDwva2V5d29yZD48L2tleXdvcmRzPjxkYXRlcz48eWVhcj4yMDE4PC95ZWFyPjxwdWItZGF0ZXM+
PGRhdGU+MjAxOC1GZWJydWFyeS0wNjwvZGF0ZT48L3B1Yi1kYXRlcz48L2RhdGVzPjxpc2JuPjE2
NjQtNDYyWDwvaXNibj48d29yay10eXBlPk9yaWdpbmFsIFJlc2VhcmNoPC93b3JrLXR5cGU+PHVy
bHM+PHJlbGF0ZWQtdXJscz48dXJsPmh0dHBzOi8vd3d3LmZyb250aWVyc2luLm9yZy9hcnRpY2xl
LzEwLjMzODkvZnBscy4yMDE4LjAwMTMzPC91cmw+PC9yZWxhdGVkLXVybHM+PC91cmxzPjxlbGVj
dHJvbmljLXJlc291cmNlLW51bT4xMC4zMzg5L2ZwbHMuMjAxOC4wMDEzMzwvZWxlY3Ryb25pYy1y
ZXNvdXJjZS1udW0+PGxhbmd1YWdlPkVuZ2xpc2g8L2xhbmd1YWdlPjwvcmVjb3JkPjwvQ2l0ZT48
Q2l0ZT48QXV0aG9yPkRlbm5pc29uPC9BdXRob3I+PFllYXI+MTk5OTwvWWVhcj48UmVjTnVtPjY5
OTI8L1JlY051bT48cmVjb3JkPjxyZWMtbnVtYmVyPjY5OTI8L3JlYy1udW1iZXI+PGZvcmVpZ24t
a2V5cz48a2V5IGFwcD0iRU4iIGRiLWlkPSIwZXZlNTV4OXk1dmZkNmU5ZGFjeHRldzRlYXR2ZTJk
emRzOWEiIHRpbWVzdGFtcD0iMCI+Njk5Mjwva2V5PjwvZm9yZWlnbi1rZXlzPjxyZWYtdHlwZSBu
YW1lPSJCb29rIj42PC9yZWYtdHlwZT48Y29udHJpYnV0b3JzPjxhdXRob3JzPjxhdXRob3I+RGVu
bmlzb24sIFcuIEMuPC9hdXRob3I+PGF1dGhvcj5BYmFsLCBFLiBHLjwvYXV0aG9yPjwvYXV0aG9y
cz48L2NvbnRyaWJ1dG9ycz48dGl0bGVzPjx0aXRsZT5Nb3JldG9uIEJheSBTdHVkeTogYSBzY2ll
bnRpZmljIGJhc2lzIGZvciB0aGUgaGVhbHRoeSB3YXRlcndheXMgY2FtcGFpZ248L3RpdGxlPjwv
dGl0bGVzPjxwYWdlcz4yNDU8L3BhZ2VzPjxkYXRlcz48eWVhcj4xOTk5PC95ZWFyPjwvZGF0ZXM+
PHB1Yi1sb2NhdGlvbj5CcmlzYmFuZTwvcHViLWxvY2F0aW9uPjxwdWJsaXNoZXI+U291dGggRWFz
dCBRdWVlbnNsYW5kIFJlZ2lvbmFsIFdhdGVyIFF1YWxpdHkgTWFuYWdlbWVudCBUZWFtPC9wdWJs
aXNoZXI+PGlzYm4+MCA5NTg2MzY4IDEgODwvaXNibj48dXJscz48L3VybHM+PC9yZWNvcmQ+PC9D
aXRlPjxDaXRlPjxBdXRob3I+VWR5PC9BdXRob3I+PFllYXI+MTk5NzwvWWVhcj48UmVjTnVtPjk3
OTE8L1JlY051bT48cmVjb3JkPjxyZWMtbnVtYmVyPjk3OTE8L3JlYy1udW1iZXI+PGZvcmVpZ24t
a2V5cz48a2V5IGFwcD0iRU4iIGRiLWlkPSIwZXZlNTV4OXk1dmZkNmU5ZGFjeHRldzRlYXR2ZTJk
emRzOWEiIHRpbWVzdGFtcD0iMTM5NDcwNjEzOCI+OTc5MTwva2V5PjwvZm9yZWlnbi1rZXlzPjxy
ZWYtdHlwZSBuYW1lPSJKb3VybmFsIEFydGljbGUiPjE3PC9yZWYtdHlwZT48Y29udHJpYnV0b3Jz
PjxhdXRob3JzPjxhdXRob3I+VWR5LEphbWVzIFcuPC9hdXRob3I+PGF1dGhvcj5EZW5uaXNvbixX
aWxsaWFtIEMuPC9hdXRob3I+PC9hdXRob3JzPjwvY29udHJpYnV0b3JzPjx0aXRsZXM+PHRpdGxl
PlBoeXNpb2xvZ2ljYWwgcmVzcG9uc2VzIG9mIHNlYWdyYXNzZXMgdXNlZCB0byBpZGVudGlmeSBh
bnRocm9wb2dlbmljIG51dHJpZW50IGlucHV0czwvdGl0bGU+PHNlY29uZGFyeS10aXRsZT5NYXJp
bmUgYW5kIEZyZXNod2F0ZXIgUmVzZWFyY2g8L3NlY29uZGFyeS10aXRsZT48L3RpdGxlcz48cGVy
aW9kaWNhbD48ZnVsbC10aXRsZT5NYXJpbmUgYW5kIEZyZXNod2F0ZXIgUmVzZWFyY2g8L2Z1bGwt
dGl0bGU+PC9wZXJpb2RpY2FsPjxwYWdlcz42MDUtNjE0PC9wYWdlcz48dm9sdW1lPjQ4PC92b2x1
bWU+PG51bWJlcj43PC9udW1iZXI+PGRhdGVzPjx5ZWFyPjE5OTc8L3llYXI+PC9kYXRlcz48dXJs
cz48cmVsYXRlZC11cmxzPjx1cmw+aHR0cDovL3d3dy5wdWJsaXNoLmNzaXJvLmF1L3BhcGVyL01G
OTcwMDE8L3VybD48L3JlbGF0ZWQtdXJscz48L3VybHM+PGVsZWN0cm9uaWMtcmVzb3VyY2UtbnVt
Pmh0dHA6Ly9keC5kb2kub3JnLzEwLjEwNzEvTUY5NzAwMTwvZWxlY3Ryb25pYy1yZXNvdXJjZS1u
dW0+PC9yZWNvcmQ+PC9DaXRlPjwvRW5kTm90ZT5=
</w:fldData>
        </w:fldChar>
      </w:r>
      <w:r w:rsidR="000631A4">
        <w:rPr>
          <w:rFonts w:cs="Segoe UI"/>
        </w:rPr>
        <w:instrText xml:space="preserve"> ADDIN EN.CITE </w:instrText>
      </w:r>
      <w:r w:rsidR="000631A4">
        <w:rPr>
          <w:rFonts w:cs="Segoe UI"/>
        </w:rPr>
        <w:fldChar w:fldCharType="begin">
          <w:fldData xml:space="preserve">PEVuZE5vdGU+PENpdGU+PEF1dGhvcj5MYWp0aGE8L0F1dGhvcj48WWVhcj4xOTk0PC9ZZWFyPjxS
ZWNOdW0+OTc5MjwvUmVjTnVtPjxEaXNwbGF5VGV4dD5MYWp0aGEgYW5kIE1hcnNoYWxsIDE5OTQ7
IFVkeSBhbmQgRGVubmlzb24gMTk5N2I7IERlbm5pc29uIGFuZCBBYmFsIDE5OTk7IENvc3Rhbnpv
PHN0eWxlIGZhY2U9Iml0YWxpYyI+IGV0IGFsLjwvc3R5bGU+IDIwMDE7IEpvbmVzPHN0eWxlIGZh
Y2U9Iml0YWxpYyI+IGV0IGFsLjwvc3R5bGU+IDIwMTg8L0Rpc3BsYXlUZXh0PjxyZWNvcmQ+PHJl
Yy1udW1iZXI+OTc5MjwvcmVjLW51bWJlcj48Zm9yZWlnbi1rZXlzPjxrZXkgYXBwPSJFTiIgZGIt
aWQ9IjBldmU1NXg5eTV2ZmQ2ZTlkYWN4dGV3NGVhdHZlMmR6ZHM5YSIgdGltZXN0YW1wPSIxMzk0
NzA2MzIyIj45NzkyPC9rZXk+PC9mb3JlaWduLWtleXM+PHJlZi10eXBlIG5hbWU9IkJvb2sgU2Vj
dGlvbiI+NTwvcmVmLXR5cGU+PGNvbnRyaWJ1dG9ycz48YXV0aG9ycz48YXV0aG9yPkxhanRoYSwg
SzwvYXV0aG9yPjxhdXRob3I+TWFyc2hhbGwsIEpEPC9hdXRob3I+PC9hdXRob3JzPjxzZWNvbmRh
cnktYXV0aG9ycz48YXV0aG9yPkxhanRoYSwgSyA8L2F1dGhvcj48YXV0aG9yPk1pY2hlbmVyLCBS
SDwvYXV0aG9yPjwvc2Vjb25kYXJ5LWF1dGhvcnM+PC9jb250cmlidXRvcnM+PHRpdGxlcz48dGl0
bGU+U291cmNlcyBvZiB2YXJpYXRpb24gaW4gdGhlIHN0YWJsZSBpc290b3BlIGNvbXBvc2l0aW9u
IG9mIHBsYW50czwvdGl0bGU+PHNlY29uZGFyeS10aXRsZT5TdGFibGUgSXNvdG9wZXMgaW4gRWNv
bG9neSBhbmQgRW52aXJvbm1lbnRhbCBTY2llbmNlczwvc2Vjb25kYXJ5LXRpdGxlPjwvdGl0bGVz
PjxwYWdlcz4x4oCTMjE8L3BhZ2VzPjxkYXRlcz48eWVhcj4xOTk0PC95ZWFyPjwvZGF0ZXM+PHB1
Yi1sb2NhdGlvbj5PeGZvcmQ8L3B1Yi1sb2NhdGlvbj48cHVibGlzaGVyPkJsYWNrd2VsbCBTY2ll
bnRpZmljIFB1YmxpY2F0aW9uczwvcHVibGlzaGVyPjx1cmxzPjwvdXJscz48L3JlY29yZD48L0Np
dGU+PENpdGU+PEF1dGhvcj5Db3N0YW56bzwvQXV0aG9yPjxZZWFyPjIwMDE8L1llYXI+PFJlY051
bT4yNTgyPC9SZWNOdW0+PHJlY29yZD48cmVjLW51bWJlcj4yNTgyPC9yZWMtbnVtYmVyPjxmb3Jl
aWduLWtleXM+PGtleSBhcHA9IkVOIiBkYi1pZD0iMGV2ZTU1eDl5NXZmZDZlOWRhY3h0ZXc0ZWF0
dmUyZHpkczlhIiB0aW1lc3RhbXA9IjAiPjI1ODI8L2tleT48L2ZvcmVpZ24ta2V5cz48cmVmLXR5
cGUgbmFtZT0iSm91cm5hbCBBcnRpY2xlIj4xNzwvcmVmLXR5cGU+PGNvbnRyaWJ1dG9ycz48YXV0
aG9ycz48YXV0aG9yPkNvc3RhbnpvLCBTIEQ8L2F1dGhvcj48YXV0aG9yPk8mYXBvcztEb25vaHVl
LCBNIEo8L2F1dGhvcj48YXV0aG9yPkRlbm5pc29uLCBXIEM8L2F1dGhvcj48YXV0aG9yPkxvbmVy
YWdhbiwgTiBSPC9hdXRob3I+PGF1dGhvcj5UaG9tYXMsIE08L2F1dGhvcj48L2F1dGhvcnM+PC9j
b250cmlidXRvcnM+PHRpdGxlcz48dGl0bGU+QSBuZXcgYXBwcm9hY2ggZm9yIGRldGVjdGluZyBh
bmQgbWFwcGluZyBzZXdhZ2UgaW1wYWN0czwvdGl0bGU+PHNlY29uZGFyeS10aXRsZT5NYXJpbmUg
UG9sbHV0aW9uIEJ1bGxldGluPC9zZWNvbmRhcnktdGl0bGU+PC90aXRsZXM+PHBlcmlvZGljYWw+
PGZ1bGwtdGl0bGU+TWFyaW5lIFBvbGx1dGlvbiBCdWxsZXRpbjwvZnVsbC10aXRsZT48L3Blcmlv
ZGljYWw+PHBhZ2VzPjE0OS0xNTY8L3BhZ2VzPjx2b2x1bWU+NDI8L3ZvbHVtZT48bnVtYmVyPjI8
L251bWJlcj48ZGF0ZXM+PHllYXI+MjAwMTwveWVhcj48cHViLWRhdGVzPjxkYXRlPjIwMDEvMjwv
ZGF0ZT48L3B1Yi1kYXRlcz48L2RhdGVzPjxsYWJlbD5TdGV3PC9sYWJlbD48dXJscz48cmVsYXRl
ZC11cmxzPjx1cmw+aHR0cDovL3d3dy5zY2llbmNlZGlyZWN0LmNvbS9zY2llbmNlL2FydGljbGUv
QjZXVkItNDVETVhERy1EQi8xLzljNzgzY2FmY2U0YjIwMmU2YjE4NjRmMDk5MTVlMzZjPC91cmw+
PC9yZWxhdGVkLXVybHM+PC91cmxzPjwvcmVjb3JkPjwvQ2l0ZT48Q2l0ZT48QXV0aG9yPkpvbmVz
PC9BdXRob3I+PFllYXI+MjAxODwvWWVhcj48UmVjTnVtPjExNTA1PC9SZWNOdW0+PHJlY29yZD48
cmVjLW51bWJlcj4xMTUwNTwvcmVjLW51bWJlcj48Zm9yZWlnbi1rZXlzPjxrZXkgYXBwPSJFTiIg
ZGItaWQ9IjBldmU1NXg5eTV2ZmQ2ZTlkYWN4dGV3NGVhdHZlMmR6ZHM5YSIgdGltZXN0YW1wPSIx
NTI2NDI0NDE4Ij4xMTUwNTwva2V5PjwvZm9yZWlnbi1rZXlzPjxyZWYtdHlwZSBuYW1lPSJKb3Vy
bmFsIEFydGljbGUiPjE3PC9yZWYtdHlwZT48Y29udHJpYnV0b3JzPjxhdXRob3JzPjxhdXRob3I+
Sm9uZXMsQmVuamFtaW4gTC48L2F1dGhvcj48YXV0aG9yPkN1bGxlbi1VbnN3b3J0aCxMZWFubmUg
Qy48L2F1dGhvcj48YXV0aG9yPlVuc3dvcnRoLFJpY2hhcmQgSy4gRi48L2F1dGhvcj48L2F1dGhv
cnM+PC9jb250cmlidXRvcnM+PGF1dGgtYWRkcmVzcz5CZW5qYW1pbiBMLiBKb25lcyxTdXN0YWlu
YWJsZSBQbGFjZXMgUmVzZWFyY2ggSW5zdGl0dXRlLCBDYXJkaWZmIFVuaXZlcnNpdHksVW5pdGVk
IEtpbmdkb20sYmVuQHByb2plY3RzZWFncmFzcy5vcmcmI3hEO0JlbmphbWluIEwuIEpvbmVzLFBy
b2plY3QgU2VhZ3Jhc3MsVW5pdGVkIEtpbmdkb20sYmVuQHByb2plY3RzZWFncmFzcy5vcmc8L2F1
dGgtYWRkcmVzcz48dGl0bGVzPjx0aXRsZT5UcmFja2luZyBOaXRyb2dlbiBTb3VyY2UgVXNpbmcg
zrQxNU4gUmV2ZWFscyBIdW1hbiBhbmQgQWdyaWN1bHR1cmFsIERyaXZlcnMgb2YgU2VhZ3Jhc3Mg
RGVncmFkYXRpb24gYWNyb3NzIHRoZSBCcml0aXNoIElzbGVzPC90aXRsZT48c2Vjb25kYXJ5LXRp
dGxlPkZyb250aWVycyBpbiBQbGFudCBTY2llbmNlPC9zZWNvbmRhcnktdGl0bGU+PHNob3J0LXRp
dGxlPldhc3Rld2F0ZXIgZHJpdmVzIHNlYWdyYXNzIGRlY2xpbmU8L3Nob3J0LXRpdGxlPjwvdGl0
bGVzPjxwZXJpb2RpY2FsPjxmdWxsLXRpdGxlPkZyb250aWVycyBpbiBQbGFudCBTY2llbmNlPC9m
dWxsLXRpdGxlPjwvcGVyaW9kaWNhbD48dm9sdW1lPjk8L3ZvbHVtZT48bnVtYmVyPjEzMzwvbnVt
YmVyPjxrZXl3b3Jkcz48a2V5d29yZD5zdGFibGUgaXNvdG9wZSBhbmFseXNpcyxzZXdhZ2Ugc2ln
bmFscyxOaXRyb2dlbixlZWxncmFzcyxTZWFncmFzcyBtZWFkb3dzLExpdmVzdG9jayBlZmZsdWVu
dDwva2V5d29yZD48L2tleXdvcmRzPjxkYXRlcz48eWVhcj4yMDE4PC95ZWFyPjxwdWItZGF0ZXM+
PGRhdGU+MjAxOC1GZWJydWFyeS0wNjwvZGF0ZT48L3B1Yi1kYXRlcz48L2RhdGVzPjxpc2JuPjE2
NjQtNDYyWDwvaXNibj48d29yay10eXBlPk9yaWdpbmFsIFJlc2VhcmNoPC93b3JrLXR5cGU+PHVy
bHM+PHJlbGF0ZWQtdXJscz48dXJsPmh0dHBzOi8vd3d3LmZyb250aWVyc2luLm9yZy9hcnRpY2xl
LzEwLjMzODkvZnBscy4yMDE4LjAwMTMzPC91cmw+PC9yZWxhdGVkLXVybHM+PC91cmxzPjxlbGVj
dHJvbmljLXJlc291cmNlLW51bT4xMC4zMzg5L2ZwbHMuMjAxOC4wMDEzMzwvZWxlY3Ryb25pYy1y
ZXNvdXJjZS1udW0+PGxhbmd1YWdlPkVuZ2xpc2g8L2xhbmd1YWdlPjwvcmVjb3JkPjwvQ2l0ZT48
Q2l0ZT48QXV0aG9yPkRlbm5pc29uPC9BdXRob3I+PFllYXI+MTk5OTwvWWVhcj48UmVjTnVtPjY5
OTI8L1JlY051bT48cmVjb3JkPjxyZWMtbnVtYmVyPjY5OTI8L3JlYy1udW1iZXI+PGZvcmVpZ24t
a2V5cz48a2V5IGFwcD0iRU4iIGRiLWlkPSIwZXZlNTV4OXk1dmZkNmU5ZGFjeHRldzRlYXR2ZTJk
emRzOWEiIHRpbWVzdGFtcD0iMCI+Njk5Mjwva2V5PjwvZm9yZWlnbi1rZXlzPjxyZWYtdHlwZSBu
YW1lPSJCb29rIj42PC9yZWYtdHlwZT48Y29udHJpYnV0b3JzPjxhdXRob3JzPjxhdXRob3I+RGVu
bmlzb24sIFcuIEMuPC9hdXRob3I+PGF1dGhvcj5BYmFsLCBFLiBHLjwvYXV0aG9yPjwvYXV0aG9y
cz48L2NvbnRyaWJ1dG9ycz48dGl0bGVzPjx0aXRsZT5Nb3JldG9uIEJheSBTdHVkeTogYSBzY2ll
bnRpZmljIGJhc2lzIGZvciB0aGUgaGVhbHRoeSB3YXRlcndheXMgY2FtcGFpZ248L3RpdGxlPjwv
dGl0bGVzPjxwYWdlcz4yNDU8L3BhZ2VzPjxkYXRlcz48eWVhcj4xOTk5PC95ZWFyPjwvZGF0ZXM+
PHB1Yi1sb2NhdGlvbj5CcmlzYmFuZTwvcHViLWxvY2F0aW9uPjxwdWJsaXNoZXI+U291dGggRWFz
dCBRdWVlbnNsYW5kIFJlZ2lvbmFsIFdhdGVyIFF1YWxpdHkgTWFuYWdlbWVudCBUZWFtPC9wdWJs
aXNoZXI+PGlzYm4+MCA5NTg2MzY4IDEgODwvaXNibj48dXJscz48L3VybHM+PC9yZWNvcmQ+PC9D
aXRlPjxDaXRlPjxBdXRob3I+VWR5PC9BdXRob3I+PFllYXI+MTk5NzwvWWVhcj48UmVjTnVtPjk3
OTE8L1JlY051bT48cmVjb3JkPjxyZWMtbnVtYmVyPjk3OTE8L3JlYy1udW1iZXI+PGZvcmVpZ24t
a2V5cz48a2V5IGFwcD0iRU4iIGRiLWlkPSIwZXZlNTV4OXk1dmZkNmU5ZGFjeHRldzRlYXR2ZTJk
emRzOWEiIHRpbWVzdGFtcD0iMTM5NDcwNjEzOCI+OTc5MTwva2V5PjwvZm9yZWlnbi1rZXlzPjxy
ZWYtdHlwZSBuYW1lPSJKb3VybmFsIEFydGljbGUiPjE3PC9yZWYtdHlwZT48Y29udHJpYnV0b3Jz
PjxhdXRob3JzPjxhdXRob3I+VWR5LEphbWVzIFcuPC9hdXRob3I+PGF1dGhvcj5EZW5uaXNvbixX
aWxsaWFtIEMuPC9hdXRob3I+PC9hdXRob3JzPjwvY29udHJpYnV0b3JzPjx0aXRsZXM+PHRpdGxl
PlBoeXNpb2xvZ2ljYWwgcmVzcG9uc2VzIG9mIHNlYWdyYXNzZXMgdXNlZCB0byBpZGVudGlmeSBh
bnRocm9wb2dlbmljIG51dHJpZW50IGlucHV0czwvdGl0bGU+PHNlY29uZGFyeS10aXRsZT5NYXJp
bmUgYW5kIEZyZXNod2F0ZXIgUmVzZWFyY2g8L3NlY29uZGFyeS10aXRsZT48L3RpdGxlcz48cGVy
aW9kaWNhbD48ZnVsbC10aXRsZT5NYXJpbmUgYW5kIEZyZXNod2F0ZXIgUmVzZWFyY2g8L2Z1bGwt
dGl0bGU+PC9wZXJpb2RpY2FsPjxwYWdlcz42MDUtNjE0PC9wYWdlcz48dm9sdW1lPjQ4PC92b2x1
bWU+PG51bWJlcj43PC9udW1iZXI+PGRhdGVzPjx5ZWFyPjE5OTc8L3llYXI+PC9kYXRlcz48dXJs
cz48cmVsYXRlZC11cmxzPjx1cmw+aHR0cDovL3d3dy5wdWJsaXNoLmNzaXJvLmF1L3BhcGVyL01G
OTcwMDE8L3VybD48L3JlbGF0ZWQtdXJscz48L3VybHM+PGVsZWN0cm9uaWMtcmVzb3VyY2UtbnVt
Pmh0dHA6Ly9keC5kb2kub3JnLzEwLjEwNzEvTUY5NzAwMTwvZWxlY3Ryb25pYy1yZXNvdXJjZS1u
dW0+PC9yZWNvcmQ+PC9DaXRlPjwvRW5kTm90ZT5=
</w:fldData>
        </w:fldChar>
      </w:r>
      <w:r w:rsidR="000631A4">
        <w:rPr>
          <w:rFonts w:cs="Segoe UI"/>
        </w:rPr>
        <w:instrText xml:space="preserve"> ADDIN EN.CITE.DATA </w:instrText>
      </w:r>
      <w:r w:rsidR="000631A4">
        <w:rPr>
          <w:rFonts w:cs="Segoe UI"/>
        </w:rPr>
      </w:r>
      <w:r w:rsidR="000631A4">
        <w:rPr>
          <w:rFonts w:cs="Segoe UI"/>
        </w:rPr>
        <w:fldChar w:fldCharType="end"/>
      </w:r>
      <w:r w:rsidR="000631A4">
        <w:rPr>
          <w:rFonts w:cs="Segoe UI"/>
        </w:rPr>
      </w:r>
      <w:r w:rsidR="000631A4">
        <w:rPr>
          <w:rFonts w:cs="Segoe UI"/>
        </w:rPr>
        <w:fldChar w:fldCharType="separate"/>
      </w:r>
      <w:hyperlink w:anchor="_ENREF_84" w:tooltip="Lajtha, 1994 #9792" w:history="1">
        <w:r w:rsidR="009A7AB4">
          <w:rPr>
            <w:rFonts w:cs="Segoe UI"/>
            <w:noProof/>
          </w:rPr>
          <w:t>Lajtha and Marshall 1994</w:t>
        </w:r>
      </w:hyperlink>
      <w:r w:rsidR="000631A4">
        <w:rPr>
          <w:rFonts w:cs="Segoe UI"/>
          <w:noProof/>
        </w:rPr>
        <w:t xml:space="preserve">; </w:t>
      </w:r>
      <w:hyperlink w:anchor="_ENREF_142" w:tooltip="Udy, 1997 #9791" w:history="1">
        <w:r w:rsidR="009A7AB4">
          <w:rPr>
            <w:rFonts w:cs="Segoe UI"/>
            <w:noProof/>
          </w:rPr>
          <w:t>Udy and Dennison 1997b</w:t>
        </w:r>
      </w:hyperlink>
      <w:r w:rsidR="000631A4">
        <w:rPr>
          <w:rFonts w:cs="Segoe UI"/>
          <w:noProof/>
        </w:rPr>
        <w:t xml:space="preserve">; </w:t>
      </w:r>
      <w:hyperlink w:anchor="_ENREF_45" w:tooltip="Dennison, 1999 #6992" w:history="1">
        <w:r w:rsidR="009A7AB4">
          <w:rPr>
            <w:rFonts w:cs="Segoe UI"/>
            <w:noProof/>
          </w:rPr>
          <w:t>Dennison and Abal 1999</w:t>
        </w:r>
      </w:hyperlink>
      <w:r w:rsidR="000631A4">
        <w:rPr>
          <w:rFonts w:cs="Segoe UI"/>
          <w:noProof/>
        </w:rPr>
        <w:t xml:space="preserve">; </w:t>
      </w:r>
      <w:hyperlink w:anchor="_ENREF_41" w:tooltip="Costanzo, 2001 #2582" w:history="1">
        <w:r w:rsidR="009A7AB4">
          <w:rPr>
            <w:rFonts w:cs="Segoe UI"/>
            <w:noProof/>
          </w:rPr>
          <w:t>Costanzo</w:t>
        </w:r>
        <w:r w:rsidR="009A7AB4" w:rsidRPr="000631A4">
          <w:rPr>
            <w:rFonts w:cs="Segoe UI"/>
            <w:i/>
            <w:noProof/>
          </w:rPr>
          <w:t xml:space="preserve"> et al.</w:t>
        </w:r>
        <w:r w:rsidR="009A7AB4">
          <w:rPr>
            <w:rFonts w:cs="Segoe UI"/>
            <w:noProof/>
          </w:rPr>
          <w:t xml:space="preserve"> 2001</w:t>
        </w:r>
      </w:hyperlink>
      <w:r w:rsidR="000631A4">
        <w:rPr>
          <w:rFonts w:cs="Segoe UI"/>
          <w:noProof/>
        </w:rPr>
        <w:t xml:space="preserve">; </w:t>
      </w:r>
      <w:hyperlink w:anchor="_ENREF_79" w:tooltip="Jones, 2018 #11505" w:history="1">
        <w:r w:rsidR="009A7AB4">
          <w:rPr>
            <w:rFonts w:cs="Segoe UI"/>
            <w:noProof/>
          </w:rPr>
          <w:t>Jones</w:t>
        </w:r>
        <w:r w:rsidR="009A7AB4" w:rsidRPr="000631A4">
          <w:rPr>
            <w:rFonts w:cs="Segoe UI"/>
            <w:i/>
            <w:noProof/>
          </w:rPr>
          <w:t xml:space="preserve"> et al.</w:t>
        </w:r>
        <w:r w:rsidR="009A7AB4">
          <w:rPr>
            <w:rFonts w:cs="Segoe UI"/>
            <w:noProof/>
          </w:rPr>
          <w:t xml:space="preserve"> 2018</w:t>
        </w:r>
      </w:hyperlink>
      <w:r w:rsidR="000631A4">
        <w:rPr>
          <w:rFonts w:cs="Segoe UI"/>
        </w:rPr>
        <w:fldChar w:fldCharType="end"/>
      </w:r>
      <w:r w:rsidRPr="00AE04CF">
        <w:rPr>
          <w:rFonts w:cs="Segoe UI"/>
        </w:rPr>
        <w:t>).</w:t>
      </w:r>
      <w:r>
        <w:rPr>
          <w:rFonts w:cs="Segoe UI"/>
        </w:rPr>
        <w:t xml:space="preserve"> </w:t>
      </w:r>
      <w:r w:rsidRPr="009C55E1">
        <w:rPr>
          <w:rFonts w:cs="Arial"/>
          <w:color w:val="000000" w:themeColor="text1"/>
          <w:szCs w:val="22"/>
        </w:rPr>
        <w:t>In general, δ</w:t>
      </w:r>
      <w:r w:rsidRPr="009C55E1">
        <w:rPr>
          <w:rFonts w:cs="Arial"/>
          <w:color w:val="000000" w:themeColor="text1"/>
          <w:szCs w:val="22"/>
          <w:vertAlign w:val="superscript"/>
        </w:rPr>
        <w:t>15</w:t>
      </w:r>
      <w:r w:rsidRPr="009C55E1">
        <w:rPr>
          <w:rFonts w:cs="Arial"/>
          <w:color w:val="000000" w:themeColor="text1"/>
          <w:szCs w:val="22"/>
        </w:rPr>
        <w:t xml:space="preserve">N in </w:t>
      </w:r>
      <w:r>
        <w:rPr>
          <w:rFonts w:cs="Arial"/>
          <w:color w:val="000000" w:themeColor="text1"/>
          <w:szCs w:val="22"/>
        </w:rPr>
        <w:t xml:space="preserve">Reef </w:t>
      </w:r>
      <w:r w:rsidRPr="009C55E1">
        <w:rPr>
          <w:rFonts w:cs="Arial"/>
          <w:color w:val="000000" w:themeColor="text1"/>
          <w:szCs w:val="22"/>
        </w:rPr>
        <w:t>seagrass tissues are variable but low (</w:t>
      </w:r>
      <w:r w:rsidRPr="009C55E1">
        <w:rPr>
          <w:rFonts w:cs="Arial"/>
          <w:szCs w:val="22"/>
        </w:rPr>
        <w:fldChar w:fldCharType="begin"/>
      </w:r>
      <w:r w:rsidRPr="009C55E1">
        <w:rPr>
          <w:rFonts w:cs="Arial"/>
          <w:color w:val="000000" w:themeColor="text1"/>
          <w:szCs w:val="22"/>
        </w:rPr>
        <w:instrText xml:space="preserve"> REF _Ref271613914 \h </w:instrText>
      </w:r>
      <w:r w:rsidRPr="009C55E1">
        <w:rPr>
          <w:rFonts w:cs="Arial"/>
          <w:szCs w:val="22"/>
        </w:rPr>
        <w:instrText xml:space="preserve"> \* MERGEFORMAT </w:instrText>
      </w:r>
      <w:r w:rsidRPr="009C55E1">
        <w:rPr>
          <w:rFonts w:cs="Arial"/>
          <w:szCs w:val="22"/>
        </w:rPr>
      </w:r>
      <w:r w:rsidRPr="009C55E1">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23</w:t>
      </w:r>
      <w:r w:rsidRPr="009C55E1">
        <w:rPr>
          <w:rFonts w:cs="Arial"/>
          <w:szCs w:val="22"/>
        </w:rPr>
        <w:fldChar w:fldCharType="end"/>
      </w:r>
      <w:r w:rsidRPr="009C55E1">
        <w:rPr>
          <w:rFonts w:cs="Arial"/>
          <w:color w:val="000000" w:themeColor="text1"/>
          <w:szCs w:val="22"/>
        </w:rPr>
        <w:t xml:space="preserve">), suggesting multiple sources of nitrogen. </w:t>
      </w:r>
      <w:r w:rsidRPr="00544845">
        <w:rPr>
          <w:rFonts w:cs="Arial"/>
          <w:color w:val="000000" w:themeColor="text1"/>
          <w:szCs w:val="22"/>
        </w:rPr>
        <w:t>There is currently no indication or concern that anthropogenic sources are strongly influencing seagrass N supply.</w:t>
      </w:r>
    </w:p>
    <w:p w14:paraId="46097017" w14:textId="77777777" w:rsidR="0037159A" w:rsidRPr="009C55E1" w:rsidRDefault="0037159A" w:rsidP="00C95F13">
      <w:pPr>
        <w:rPr>
          <w:rFonts w:cs="Arial"/>
          <w:color w:val="000000" w:themeColor="text1"/>
          <w:szCs w:val="22"/>
        </w:rPr>
      </w:pPr>
    </w:p>
    <w:p w14:paraId="546C9084" w14:textId="59086833" w:rsidR="00460D75" w:rsidRPr="009C55E1" w:rsidRDefault="00C95F13" w:rsidP="00C97A63">
      <w:pPr>
        <w:rPr>
          <w:rFonts w:cs="Arial"/>
          <w:color w:val="000000"/>
          <w:szCs w:val="22"/>
        </w:rPr>
      </w:pPr>
      <w:r w:rsidRPr="009C55E1">
        <w:rPr>
          <w:rFonts w:cs="Arial"/>
          <w:szCs w:val="22"/>
        </w:rPr>
        <w:br w:type="column"/>
      </w:r>
      <w:r w:rsidR="00460D75" w:rsidRPr="009C55E1">
        <w:rPr>
          <w:rFonts w:cs="Arial"/>
          <w:noProof/>
          <w:color w:val="000000"/>
          <w:szCs w:val="22"/>
          <w:lang w:eastAsia="en-AU"/>
        </w:rPr>
        <w:lastRenderedPageBreak/>
        <w:drawing>
          <wp:inline distT="0" distB="0" distL="0" distR="0" wp14:anchorId="289FC8FA" wp14:editId="674FAF23">
            <wp:extent cx="5783252" cy="7008843"/>
            <wp:effectExtent l="0" t="0" r="8255" b="1905"/>
            <wp:docPr id="243" name="Picture 243" descr="Set of twenty eight scatter plots,displayed in seven by four matrix,  with straight lines and markers showing annual elemental ratios (atomic) of seagrass leaf tissue C:N, N:P, C:P, percent Nitrogen, percent Phosphorous, delta 13 Carbon and delta 15 Nitrogen concentrations for each four GBR seagrass habitat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GBR_N_P_yr_Dec16.png"/>
                    <pic:cNvPicPr/>
                  </pic:nvPicPr>
                  <pic:blipFill>
                    <a:blip r:embed="rId76"/>
                    <a:stretch>
                      <a:fillRect/>
                    </a:stretch>
                  </pic:blipFill>
                  <pic:spPr>
                    <a:xfrm>
                      <a:off x="0" y="0"/>
                      <a:ext cx="5783252" cy="7008843"/>
                    </a:xfrm>
                    <a:prstGeom prst="rect">
                      <a:avLst/>
                    </a:prstGeom>
                  </pic:spPr>
                </pic:pic>
              </a:graphicData>
            </a:graphic>
          </wp:inline>
        </w:drawing>
      </w:r>
    </w:p>
    <w:p w14:paraId="740D39DA" w14:textId="3BDCAC42" w:rsidR="00C97A63" w:rsidRPr="009C55E1" w:rsidRDefault="00460D75" w:rsidP="00C97A63">
      <w:pPr>
        <w:rPr>
          <w:rFonts w:cs="Arial"/>
          <w:i/>
          <w:vanish/>
          <w:color w:val="000000" w:themeColor="text1"/>
          <w:szCs w:val="22"/>
          <w:specVanish/>
        </w:rPr>
      </w:pPr>
      <w:bookmarkStart w:id="247" w:name="_Ref271613914"/>
      <w:bookmarkStart w:id="248" w:name="_Toc38634127"/>
      <w:bookmarkStart w:id="249" w:name="_Toc431493810"/>
      <w:bookmarkStart w:id="250" w:name="_Ref499809046"/>
      <w:r w:rsidRPr="009C55E1">
        <w:rPr>
          <w:rFonts w:cs="Arial"/>
          <w:color w:val="000000"/>
          <w:szCs w:val="22"/>
        </w:rPr>
        <w:t xml:space="preserve">Figure </w:t>
      </w:r>
      <w:r w:rsidRPr="009C55E1">
        <w:rPr>
          <w:rFonts w:cs="Arial"/>
          <w:color w:val="000000"/>
          <w:szCs w:val="22"/>
        </w:rPr>
        <w:fldChar w:fldCharType="begin"/>
      </w:r>
      <w:r w:rsidRPr="009C55E1">
        <w:rPr>
          <w:rFonts w:cs="Arial"/>
          <w:color w:val="000000"/>
          <w:szCs w:val="22"/>
        </w:rPr>
        <w:instrText xml:space="preserve"> SEQ Figure \* ARABIC </w:instrText>
      </w:r>
      <w:r w:rsidRPr="009C55E1">
        <w:rPr>
          <w:rFonts w:cs="Arial"/>
          <w:color w:val="000000"/>
          <w:szCs w:val="22"/>
        </w:rPr>
        <w:fldChar w:fldCharType="separate"/>
      </w:r>
      <w:r w:rsidR="0067675D">
        <w:rPr>
          <w:rFonts w:cs="Arial"/>
          <w:noProof/>
          <w:color w:val="000000"/>
          <w:szCs w:val="22"/>
        </w:rPr>
        <w:t>23</w:t>
      </w:r>
      <w:r w:rsidRPr="009C55E1">
        <w:rPr>
          <w:rFonts w:cs="Arial"/>
          <w:color w:val="000000"/>
          <w:szCs w:val="22"/>
        </w:rPr>
        <w:fldChar w:fldCharType="end"/>
      </w:r>
      <w:bookmarkEnd w:id="247"/>
      <w:r w:rsidRPr="009C55E1">
        <w:rPr>
          <w:rFonts w:cs="Arial"/>
          <w:color w:val="000000"/>
          <w:szCs w:val="22"/>
        </w:rPr>
        <w:t xml:space="preserve">. </w:t>
      </w:r>
      <w:r w:rsidR="009F26E3" w:rsidRPr="009C55E1">
        <w:rPr>
          <w:rFonts w:cs="Arial"/>
          <w:i/>
          <w:color w:val="000000"/>
          <w:szCs w:val="22"/>
          <w:lang w:eastAsia="en-AU"/>
        </w:rPr>
        <w:t>S</w:t>
      </w:r>
      <w:r w:rsidR="00C97A63" w:rsidRPr="009C55E1">
        <w:rPr>
          <w:rFonts w:cs="Arial"/>
          <w:i/>
          <w:color w:val="000000"/>
          <w:szCs w:val="22"/>
          <w:lang w:eastAsia="en-AU"/>
        </w:rPr>
        <w:t xml:space="preserve">eagrass leaf tissue </w:t>
      </w:r>
      <w:r w:rsidR="00A05DEB" w:rsidRPr="009C55E1">
        <w:rPr>
          <w:rFonts w:cs="Arial"/>
          <w:i/>
          <w:color w:val="000000"/>
          <w:szCs w:val="22"/>
          <w:lang w:eastAsia="en-AU"/>
        </w:rPr>
        <w:t>nutrient elemental ratios (</w:t>
      </w:r>
      <w:r w:rsidR="00C97A63" w:rsidRPr="009C55E1">
        <w:rPr>
          <w:rFonts w:cs="Arial"/>
          <w:i/>
          <w:color w:val="000000"/>
          <w:szCs w:val="22"/>
          <w:lang w:eastAsia="en-AU"/>
        </w:rPr>
        <w:t>C:N:P</w:t>
      </w:r>
      <w:r w:rsidR="00A05DEB" w:rsidRPr="009C55E1">
        <w:rPr>
          <w:rFonts w:cs="Arial"/>
          <w:i/>
          <w:color w:val="000000"/>
          <w:szCs w:val="22"/>
          <w:lang w:eastAsia="en-AU"/>
        </w:rPr>
        <w:t xml:space="preserve">) and </w:t>
      </w:r>
      <w:r w:rsidR="00A05DEB" w:rsidRPr="009C55E1">
        <w:rPr>
          <w:rFonts w:cs="Arial"/>
          <w:i/>
          <w:color w:val="000000"/>
          <w:szCs w:val="22"/>
          <w:lang w:val="en-US"/>
        </w:rPr>
        <w:t>concentrations (</w:t>
      </w:r>
      <w:r w:rsidR="00DE0861">
        <w:rPr>
          <w:rFonts w:cs="Arial"/>
          <w:i/>
          <w:color w:val="000000"/>
          <w:szCs w:val="22"/>
          <w:lang w:eastAsia="en-AU"/>
        </w:rPr>
        <w:t>%N</w:t>
      </w:r>
      <w:r w:rsidR="00A05DEB" w:rsidRPr="009C55E1">
        <w:rPr>
          <w:rFonts w:cs="Arial"/>
          <w:i/>
          <w:color w:val="000000"/>
          <w:szCs w:val="22"/>
          <w:lang w:eastAsia="en-AU"/>
        </w:rPr>
        <w:t>,</w:t>
      </w:r>
      <w:r w:rsidR="003C311A">
        <w:rPr>
          <w:rFonts w:cs="Arial"/>
          <w:i/>
          <w:color w:val="000000"/>
          <w:szCs w:val="22"/>
          <w:lang w:eastAsia="en-AU"/>
        </w:rPr>
        <w:t>%</w:t>
      </w:r>
      <w:r w:rsidR="00A05DEB" w:rsidRPr="009C55E1">
        <w:rPr>
          <w:rFonts w:cs="Arial"/>
          <w:i/>
          <w:color w:val="000000"/>
          <w:szCs w:val="22"/>
          <w:lang w:eastAsia="en-AU"/>
        </w:rPr>
        <w:t xml:space="preserve">P, </w:t>
      </w:r>
      <w:r w:rsidR="00A05DEB" w:rsidRPr="009C55E1">
        <w:rPr>
          <w:rFonts w:cs="Arial"/>
          <w:i/>
          <w:color w:val="000000"/>
          <w:szCs w:val="22"/>
        </w:rPr>
        <w:t>δ</w:t>
      </w:r>
      <w:r w:rsidR="00A05DEB" w:rsidRPr="009C55E1">
        <w:rPr>
          <w:rFonts w:cs="Arial"/>
          <w:i/>
          <w:color w:val="000000"/>
          <w:szCs w:val="22"/>
          <w:vertAlign w:val="superscript"/>
        </w:rPr>
        <w:t>13</w:t>
      </w:r>
      <w:r w:rsidR="00A05DEB" w:rsidRPr="009C55E1">
        <w:rPr>
          <w:rFonts w:cs="Arial"/>
          <w:i/>
          <w:color w:val="000000"/>
          <w:szCs w:val="22"/>
        </w:rPr>
        <w:t>C</w:t>
      </w:r>
      <w:r w:rsidR="00A05DEB" w:rsidRPr="009C55E1">
        <w:rPr>
          <w:rFonts w:cs="Arial"/>
          <w:i/>
          <w:color w:val="000000"/>
          <w:szCs w:val="22"/>
          <w:lang w:val="en-US"/>
        </w:rPr>
        <w:t xml:space="preserve"> and </w:t>
      </w:r>
      <w:r w:rsidR="00A05DEB" w:rsidRPr="009C55E1">
        <w:rPr>
          <w:rFonts w:cs="Arial"/>
          <w:i/>
          <w:color w:val="000000"/>
          <w:szCs w:val="22"/>
        </w:rPr>
        <w:t>δ</w:t>
      </w:r>
      <w:r w:rsidR="00A05DEB" w:rsidRPr="009C55E1">
        <w:rPr>
          <w:rFonts w:cs="Arial"/>
          <w:i/>
          <w:color w:val="000000"/>
          <w:szCs w:val="22"/>
          <w:vertAlign w:val="superscript"/>
        </w:rPr>
        <w:t>15</w:t>
      </w:r>
      <w:r w:rsidR="00A05DEB" w:rsidRPr="009C55E1">
        <w:rPr>
          <w:rFonts w:cs="Arial"/>
          <w:i/>
          <w:color w:val="000000"/>
          <w:szCs w:val="22"/>
        </w:rPr>
        <w:t>N)</w:t>
      </w:r>
      <w:r w:rsidR="00A05DEB" w:rsidRPr="009C55E1">
        <w:rPr>
          <w:rFonts w:cs="Arial"/>
          <w:i/>
          <w:color w:val="000000"/>
          <w:szCs w:val="22"/>
          <w:lang w:val="en-US"/>
        </w:rPr>
        <w:t xml:space="preserve"> </w:t>
      </w:r>
      <w:r w:rsidR="00C97A63" w:rsidRPr="009C55E1">
        <w:rPr>
          <w:rFonts w:cs="Arial"/>
          <w:i/>
          <w:color w:val="000000"/>
          <w:szCs w:val="22"/>
          <w:lang w:eastAsia="en-AU"/>
        </w:rPr>
        <w:t xml:space="preserve">for each </w:t>
      </w:r>
      <w:r w:rsidR="007C2608" w:rsidRPr="009C55E1">
        <w:rPr>
          <w:rFonts w:cs="Arial"/>
          <w:i/>
          <w:color w:val="000000"/>
          <w:szCs w:val="22"/>
          <w:lang w:eastAsia="en-AU"/>
        </w:rPr>
        <w:t>seagrass</w:t>
      </w:r>
      <w:r w:rsidR="00930A4B" w:rsidRPr="009C55E1">
        <w:rPr>
          <w:rFonts w:cs="Arial"/>
          <w:i/>
          <w:color w:val="000000"/>
          <w:szCs w:val="22"/>
          <w:lang w:eastAsia="en-AU"/>
        </w:rPr>
        <w:t xml:space="preserve"> </w:t>
      </w:r>
      <w:r w:rsidR="00C97A63" w:rsidRPr="009C55E1">
        <w:rPr>
          <w:rFonts w:cs="Arial"/>
          <w:i/>
          <w:color w:val="000000"/>
          <w:szCs w:val="22"/>
          <w:lang w:eastAsia="en-AU"/>
        </w:rPr>
        <w:t>habitat each year</w:t>
      </w:r>
      <w:bookmarkEnd w:id="248"/>
    </w:p>
    <w:p w14:paraId="6C0DA8EF" w14:textId="3E91AA24" w:rsidR="00A05DEB" w:rsidRPr="009C55E1" w:rsidRDefault="00C97A63" w:rsidP="00A05DEB">
      <w:pPr>
        <w:rPr>
          <w:rFonts w:cs="Arial"/>
          <w:i/>
          <w:color w:val="000000"/>
          <w:szCs w:val="22"/>
          <w:lang w:val="en-US"/>
        </w:rPr>
      </w:pPr>
      <w:r w:rsidRPr="009C55E1">
        <w:rPr>
          <w:rFonts w:cs="Arial"/>
          <w:i/>
          <w:color w:val="000000"/>
          <w:szCs w:val="22"/>
          <w:lang w:eastAsia="en-AU"/>
        </w:rPr>
        <w:t xml:space="preserve"> (± SE) </w:t>
      </w:r>
      <w:r w:rsidRPr="009C55E1">
        <w:rPr>
          <w:rFonts w:cs="Arial"/>
          <w:i/>
          <w:color w:val="000000"/>
          <w:szCs w:val="22"/>
          <w:lang w:eastAsia="en-AU"/>
        </w:rPr>
        <w:lastRenderedPageBreak/>
        <w:t>(foundation species pooled). Horizontal shaded band</w:t>
      </w:r>
      <w:r w:rsidR="009F26E3" w:rsidRPr="009C55E1">
        <w:rPr>
          <w:rFonts w:cs="Arial"/>
          <w:i/>
          <w:color w:val="000000"/>
          <w:szCs w:val="22"/>
          <w:lang w:eastAsia="en-AU"/>
        </w:rPr>
        <w:t>s or dashed lines</w:t>
      </w:r>
      <w:r w:rsidRPr="009C55E1">
        <w:rPr>
          <w:rFonts w:cs="Arial"/>
          <w:i/>
          <w:color w:val="000000"/>
          <w:szCs w:val="22"/>
          <w:lang w:eastAsia="en-AU"/>
        </w:rPr>
        <w:t xml:space="preserve"> represents the accepted </w:t>
      </w:r>
      <w:r w:rsidR="009F26E3" w:rsidRPr="009C55E1">
        <w:rPr>
          <w:rFonts w:cs="Arial"/>
          <w:i/>
          <w:color w:val="000000"/>
          <w:szCs w:val="22"/>
          <w:lang w:eastAsia="en-AU"/>
        </w:rPr>
        <w:t xml:space="preserve">seagrass </w:t>
      </w:r>
      <w:r w:rsidRPr="009C55E1">
        <w:rPr>
          <w:rFonts w:cs="Arial"/>
          <w:i/>
          <w:color w:val="000000"/>
          <w:szCs w:val="22"/>
        </w:rPr>
        <w:t xml:space="preserve">guideline </w:t>
      </w:r>
      <w:r w:rsidR="009F26E3" w:rsidRPr="009C55E1">
        <w:rPr>
          <w:rFonts w:cs="Arial"/>
          <w:i/>
          <w:color w:val="000000"/>
          <w:szCs w:val="22"/>
          <w:lang w:eastAsia="en-AU"/>
        </w:rPr>
        <w:t>values, where:</w:t>
      </w:r>
      <w:r w:rsidRPr="009C55E1">
        <w:rPr>
          <w:rFonts w:cs="Arial"/>
          <w:i/>
          <w:color w:val="000000"/>
          <w:szCs w:val="22"/>
          <w:lang w:eastAsia="en-AU"/>
        </w:rPr>
        <w:t xml:space="preserve"> C:N ratios </w:t>
      </w:r>
      <w:r w:rsidR="009F26E3" w:rsidRPr="009C55E1">
        <w:rPr>
          <w:rFonts w:cs="Arial"/>
          <w:i/>
          <w:color w:val="000000"/>
          <w:szCs w:val="22"/>
          <w:lang w:eastAsia="en-AU"/>
        </w:rPr>
        <w:t>within the band</w:t>
      </w:r>
      <w:r w:rsidRPr="009C55E1">
        <w:rPr>
          <w:rFonts w:cs="Arial"/>
          <w:i/>
          <w:color w:val="000000"/>
          <w:szCs w:val="22"/>
          <w:lang w:eastAsia="en-AU"/>
        </w:rPr>
        <w:t xml:space="preserve"> may </w:t>
      </w:r>
      <w:r w:rsidRPr="009C55E1">
        <w:rPr>
          <w:rFonts w:cs="Arial"/>
          <w:i/>
          <w:color w:val="000000"/>
          <w:szCs w:val="22"/>
        </w:rPr>
        <w:t>indicate reduced light availability and/or N enrichment</w:t>
      </w:r>
      <w:r w:rsidR="009F26E3" w:rsidRPr="009C55E1">
        <w:rPr>
          <w:rFonts w:cs="Arial"/>
          <w:i/>
          <w:color w:val="000000"/>
          <w:szCs w:val="22"/>
        </w:rPr>
        <w:t xml:space="preserve">; </w:t>
      </w:r>
      <w:r w:rsidRPr="009C55E1">
        <w:rPr>
          <w:rFonts w:cs="Arial"/>
          <w:i/>
          <w:color w:val="000000"/>
          <w:szCs w:val="22"/>
          <w:lang w:eastAsia="en-AU"/>
        </w:rPr>
        <w:t>N:P ratio</w:t>
      </w:r>
      <w:r w:rsidR="009F26E3" w:rsidRPr="009C55E1">
        <w:rPr>
          <w:rFonts w:cs="Arial"/>
          <w:i/>
          <w:color w:val="000000"/>
          <w:szCs w:val="22"/>
          <w:lang w:eastAsia="en-AU"/>
        </w:rPr>
        <w:t>s</w:t>
      </w:r>
      <w:r w:rsidRPr="009C55E1">
        <w:rPr>
          <w:rFonts w:cs="Arial"/>
          <w:i/>
          <w:color w:val="000000"/>
          <w:szCs w:val="22"/>
          <w:lang w:eastAsia="en-AU"/>
        </w:rPr>
        <w:t xml:space="preserve"> above th</w:t>
      </w:r>
      <w:r w:rsidR="009F26E3" w:rsidRPr="009C55E1">
        <w:rPr>
          <w:rFonts w:cs="Arial"/>
          <w:i/>
          <w:color w:val="000000"/>
          <w:szCs w:val="22"/>
          <w:lang w:eastAsia="en-AU"/>
        </w:rPr>
        <w:t>e</w:t>
      </w:r>
      <w:r w:rsidRPr="009C55E1">
        <w:rPr>
          <w:rFonts w:cs="Arial"/>
          <w:i/>
          <w:color w:val="000000"/>
          <w:szCs w:val="22"/>
          <w:lang w:eastAsia="en-AU"/>
        </w:rPr>
        <w:t xml:space="preserve"> band indicate P limitation, below indicate N limitation and within indicates replete</w:t>
      </w:r>
      <w:r w:rsidR="009F26E3" w:rsidRPr="009C55E1">
        <w:rPr>
          <w:rFonts w:cs="Arial"/>
          <w:i/>
          <w:color w:val="000000"/>
          <w:szCs w:val="22"/>
          <w:lang w:eastAsia="en-AU"/>
        </w:rPr>
        <w:t>, and;</w:t>
      </w:r>
      <w:r w:rsidRPr="009C55E1">
        <w:rPr>
          <w:rFonts w:cs="Arial"/>
          <w:i/>
          <w:color w:val="000000"/>
          <w:szCs w:val="22"/>
          <w:lang w:eastAsia="en-AU"/>
        </w:rPr>
        <w:t xml:space="preserve"> C:P </w:t>
      </w:r>
      <w:r w:rsidR="009F26E3" w:rsidRPr="009C55E1">
        <w:rPr>
          <w:rFonts w:cs="Arial"/>
          <w:i/>
          <w:color w:val="000000"/>
          <w:szCs w:val="22"/>
          <w:lang w:eastAsia="en-AU"/>
        </w:rPr>
        <w:t xml:space="preserve">ratios within the band may </w:t>
      </w:r>
      <w:r w:rsidR="009F26E3" w:rsidRPr="009C55E1">
        <w:rPr>
          <w:rFonts w:cs="Arial"/>
          <w:i/>
          <w:color w:val="000000"/>
          <w:szCs w:val="22"/>
        </w:rPr>
        <w:t xml:space="preserve">indicate </w:t>
      </w:r>
      <w:r w:rsidRPr="009C55E1">
        <w:rPr>
          <w:rFonts w:cs="Arial"/>
          <w:i/>
          <w:color w:val="000000"/>
          <w:szCs w:val="22"/>
          <w:lang w:eastAsia="en-AU"/>
        </w:rPr>
        <w:t>nutrient rich habitats (large P pool).</w:t>
      </w:r>
      <w:r w:rsidRPr="009C55E1">
        <w:rPr>
          <w:rFonts w:cs="Arial"/>
          <w:color w:val="000000"/>
          <w:szCs w:val="22"/>
          <w:lang w:eastAsia="en-AU"/>
        </w:rPr>
        <w:t xml:space="preserve"> </w:t>
      </w:r>
      <w:bookmarkEnd w:id="249"/>
      <w:bookmarkEnd w:id="250"/>
      <w:r w:rsidR="00460D75" w:rsidRPr="009C55E1">
        <w:rPr>
          <w:rFonts w:cs="Arial"/>
          <w:i/>
          <w:color w:val="000000"/>
          <w:szCs w:val="22"/>
        </w:rPr>
        <w:t>Dashed lines</w:t>
      </w:r>
      <w:r w:rsidR="00A05DEB" w:rsidRPr="009C55E1">
        <w:rPr>
          <w:rFonts w:cs="Arial"/>
          <w:i/>
          <w:color w:val="000000"/>
          <w:szCs w:val="22"/>
        </w:rPr>
        <w:t xml:space="preserve"> </w:t>
      </w:r>
      <w:r w:rsidR="009F26E3" w:rsidRPr="009C55E1">
        <w:rPr>
          <w:rFonts w:cs="Arial"/>
          <w:i/>
          <w:color w:val="000000"/>
          <w:szCs w:val="22"/>
        </w:rPr>
        <w:t>in</w:t>
      </w:r>
      <w:r w:rsidR="00DE0861">
        <w:rPr>
          <w:rFonts w:cs="Arial"/>
          <w:i/>
          <w:color w:val="000000"/>
          <w:szCs w:val="22"/>
        </w:rPr>
        <w:t xml:space="preserve"> </w:t>
      </w:r>
      <w:r w:rsidR="003C311A">
        <w:rPr>
          <w:rFonts w:cs="Arial"/>
          <w:i/>
          <w:color w:val="000000"/>
          <w:szCs w:val="22"/>
        </w:rPr>
        <w:t>%</w:t>
      </w:r>
      <w:r w:rsidR="009F26E3" w:rsidRPr="009C55E1">
        <w:rPr>
          <w:rFonts w:cs="Arial"/>
          <w:i/>
          <w:color w:val="000000"/>
          <w:szCs w:val="22"/>
        </w:rPr>
        <w:t>N and</w:t>
      </w:r>
      <w:r w:rsidR="00DE0861">
        <w:rPr>
          <w:rFonts w:cs="Arial"/>
          <w:i/>
          <w:color w:val="000000"/>
          <w:szCs w:val="22"/>
        </w:rPr>
        <w:t xml:space="preserve"> </w:t>
      </w:r>
      <w:r w:rsidR="003C311A">
        <w:rPr>
          <w:rFonts w:cs="Arial"/>
          <w:i/>
          <w:color w:val="000000"/>
          <w:szCs w:val="22"/>
        </w:rPr>
        <w:t>%</w:t>
      </w:r>
      <w:r w:rsidR="009F26E3" w:rsidRPr="009C55E1">
        <w:rPr>
          <w:rFonts w:cs="Arial"/>
          <w:i/>
          <w:color w:val="000000"/>
          <w:szCs w:val="22"/>
        </w:rPr>
        <w:t>P</w:t>
      </w:r>
      <w:r w:rsidR="00460D75" w:rsidRPr="009C55E1">
        <w:rPr>
          <w:rFonts w:cs="Arial"/>
          <w:i/>
          <w:color w:val="000000"/>
          <w:szCs w:val="22"/>
        </w:rPr>
        <w:t xml:space="preserve"> indicate global median values of 1.8</w:t>
      </w:r>
      <w:r w:rsidR="003C311A">
        <w:rPr>
          <w:rFonts w:cs="Arial"/>
          <w:i/>
          <w:color w:val="000000"/>
          <w:szCs w:val="22"/>
        </w:rPr>
        <w:t xml:space="preserve">% </w:t>
      </w:r>
      <w:r w:rsidR="00460D75" w:rsidRPr="009C55E1">
        <w:rPr>
          <w:rFonts w:cs="Arial"/>
          <w:i/>
          <w:color w:val="000000"/>
          <w:szCs w:val="22"/>
        </w:rPr>
        <w:t>and 0.2</w:t>
      </w:r>
      <w:r w:rsidR="003C311A">
        <w:rPr>
          <w:rFonts w:cs="Arial"/>
          <w:i/>
          <w:color w:val="000000"/>
          <w:szCs w:val="22"/>
        </w:rPr>
        <w:t xml:space="preserve">% </w:t>
      </w:r>
      <w:r w:rsidR="00460D75" w:rsidRPr="009C55E1">
        <w:rPr>
          <w:rFonts w:cs="Arial"/>
          <w:i/>
          <w:color w:val="000000"/>
          <w:szCs w:val="22"/>
        </w:rPr>
        <w:t>for tissue nitrogen and phosphorus, respectively (</w:t>
      </w:r>
      <w:hyperlink w:anchor="_ENREF_53" w:tooltip="Duarte, 1990 #1954" w:history="1">
        <w:r w:rsidR="009A7AB4" w:rsidRPr="009C55E1">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9C55E1">
          <w:rPr>
            <w:rFonts w:cs="Arial"/>
            <w:i/>
            <w:color w:val="000000"/>
            <w:szCs w:val="22"/>
          </w:rPr>
          <w:fldChar w:fldCharType="separate"/>
        </w:r>
        <w:r w:rsidR="009A7AB4">
          <w:rPr>
            <w:rFonts w:cs="Arial"/>
            <w:i/>
            <w:noProof/>
            <w:color w:val="000000"/>
            <w:szCs w:val="22"/>
          </w:rPr>
          <w:t>Duarte 1990</w:t>
        </w:r>
        <w:r w:rsidR="009A7AB4" w:rsidRPr="009C55E1">
          <w:rPr>
            <w:rFonts w:cs="Arial"/>
            <w:i/>
            <w:color w:val="000000"/>
            <w:szCs w:val="22"/>
          </w:rPr>
          <w:fldChar w:fldCharType="end"/>
        </w:r>
      </w:hyperlink>
      <w:r w:rsidR="00460D75" w:rsidRPr="009C55E1">
        <w:rPr>
          <w:rFonts w:cs="Arial"/>
          <w:i/>
          <w:color w:val="000000"/>
          <w:szCs w:val="22"/>
        </w:rPr>
        <w:t>).</w:t>
      </w:r>
    </w:p>
    <w:p w14:paraId="3F76E359" w14:textId="77777777" w:rsidR="00C97A63" w:rsidRPr="009C55E1" w:rsidRDefault="00C97A63" w:rsidP="0085216E">
      <w:pPr>
        <w:rPr>
          <w:rFonts w:cs="Arial"/>
          <w:color w:val="000000" w:themeColor="text1"/>
          <w:szCs w:val="22"/>
        </w:rPr>
      </w:pPr>
    </w:p>
    <w:p w14:paraId="7E2E8E9E" w14:textId="77777777" w:rsidR="007C2608" w:rsidRPr="009C55E1" w:rsidRDefault="00956AC3" w:rsidP="000150D8">
      <w:pPr>
        <w:pStyle w:val="Heading3"/>
      </w:pPr>
      <w:r w:rsidRPr="009C55E1">
        <w:rPr>
          <w:lang w:val="en-GB"/>
        </w:rPr>
        <w:br w:type="column"/>
      </w:r>
      <w:bookmarkStart w:id="251" w:name="_Toc37775064"/>
      <w:bookmarkStart w:id="252" w:name="_Toc43987039"/>
      <w:bookmarkStart w:id="253" w:name="_Toc184101966"/>
      <w:r w:rsidR="007C2608" w:rsidRPr="009C55E1">
        <w:lastRenderedPageBreak/>
        <w:t>Epiphytes and macroalgae</w:t>
      </w:r>
      <w:bookmarkEnd w:id="251"/>
      <w:bookmarkEnd w:id="252"/>
    </w:p>
    <w:bookmarkEnd w:id="253"/>
    <w:p w14:paraId="2C4AAA68" w14:textId="7397749C" w:rsidR="00332CF2" w:rsidRPr="009C55E1" w:rsidRDefault="00332CF2" w:rsidP="00D2585E">
      <w:pPr>
        <w:rPr>
          <w:rFonts w:cs="Arial"/>
          <w:color w:val="000000" w:themeColor="text1"/>
          <w:szCs w:val="22"/>
        </w:rPr>
      </w:pPr>
      <w:r w:rsidRPr="009C55E1">
        <w:rPr>
          <w:rFonts w:cs="Arial"/>
          <w:color w:val="000000" w:themeColor="text1"/>
          <w:szCs w:val="22"/>
        </w:rPr>
        <w:t xml:space="preserve">Epiphyte cover </w:t>
      </w:r>
      <w:r w:rsidR="00DC649E" w:rsidRPr="009C55E1">
        <w:rPr>
          <w:rFonts w:cs="Arial"/>
          <w:color w:val="000000" w:themeColor="text1"/>
          <w:szCs w:val="22"/>
        </w:rPr>
        <w:t xml:space="preserve">on seagrass leaves during </w:t>
      </w:r>
      <w:r w:rsidR="00956639" w:rsidRPr="009C55E1">
        <w:rPr>
          <w:rFonts w:cs="Arial"/>
          <w:color w:val="000000" w:themeColor="text1"/>
          <w:szCs w:val="22"/>
        </w:rPr>
        <w:t>2018–19</w:t>
      </w:r>
      <w:r w:rsidR="00DC649E" w:rsidRPr="009C55E1">
        <w:rPr>
          <w:rFonts w:cs="Arial"/>
          <w:color w:val="000000" w:themeColor="text1"/>
          <w:szCs w:val="22"/>
        </w:rPr>
        <w:t xml:space="preserve"> </w:t>
      </w:r>
      <w:r w:rsidRPr="009C55E1">
        <w:rPr>
          <w:rFonts w:cs="Arial"/>
          <w:color w:val="000000" w:themeColor="text1"/>
          <w:szCs w:val="22"/>
        </w:rPr>
        <w:t xml:space="preserve">was </w:t>
      </w:r>
      <w:r w:rsidR="00DC649E" w:rsidRPr="009C55E1">
        <w:rPr>
          <w:rFonts w:cs="Arial"/>
          <w:color w:val="000000" w:themeColor="text1"/>
          <w:szCs w:val="22"/>
        </w:rPr>
        <w:t>below or at</w:t>
      </w:r>
      <w:r w:rsidRPr="009C55E1">
        <w:rPr>
          <w:rFonts w:cs="Arial"/>
          <w:color w:val="000000" w:themeColor="text1"/>
          <w:szCs w:val="22"/>
        </w:rPr>
        <w:t xml:space="preserve"> the </w:t>
      </w:r>
      <w:r w:rsidR="003B7FCC" w:rsidRPr="009C55E1">
        <w:rPr>
          <w:rFonts w:cs="Arial"/>
          <w:color w:val="000000" w:themeColor="text1"/>
          <w:szCs w:val="22"/>
        </w:rPr>
        <w:t xml:space="preserve">Reef-wide </w:t>
      </w:r>
      <w:r w:rsidRPr="009C55E1">
        <w:rPr>
          <w:rFonts w:cs="Arial"/>
          <w:color w:val="000000" w:themeColor="text1"/>
          <w:szCs w:val="22"/>
        </w:rPr>
        <w:t xml:space="preserve">long-term </w:t>
      </w:r>
      <w:r w:rsidR="002965B8" w:rsidRPr="009C55E1">
        <w:rPr>
          <w:rFonts w:cs="Arial"/>
          <w:color w:val="000000" w:themeColor="text1"/>
          <w:szCs w:val="22"/>
        </w:rPr>
        <w:t>average</w:t>
      </w:r>
      <w:r w:rsidRPr="009C55E1">
        <w:rPr>
          <w:rFonts w:cs="Arial"/>
          <w:color w:val="000000" w:themeColor="text1"/>
          <w:szCs w:val="22"/>
        </w:rPr>
        <w:t xml:space="preserve"> in all habitats except reef subtidal, where it </w:t>
      </w:r>
      <w:r w:rsidR="00DC649E" w:rsidRPr="009C55E1">
        <w:rPr>
          <w:rFonts w:cs="Arial"/>
          <w:color w:val="000000" w:themeColor="text1"/>
          <w:szCs w:val="22"/>
        </w:rPr>
        <w:t>has remained</w:t>
      </w:r>
      <w:r w:rsidRPr="009C55E1">
        <w:rPr>
          <w:rFonts w:cs="Arial"/>
          <w:color w:val="000000" w:themeColor="text1"/>
          <w:szCs w:val="22"/>
        </w:rPr>
        <w:t xml:space="preserve"> above average </w:t>
      </w:r>
      <w:r w:rsidR="00DC649E" w:rsidRPr="009C55E1">
        <w:rPr>
          <w:rFonts w:cs="Arial"/>
          <w:color w:val="000000" w:themeColor="text1"/>
          <w:szCs w:val="22"/>
        </w:rPr>
        <w:t xml:space="preserve">over the past </w:t>
      </w:r>
      <w:r w:rsidR="003B7FCC" w:rsidRPr="009C55E1">
        <w:rPr>
          <w:rFonts w:cs="Arial"/>
          <w:color w:val="000000" w:themeColor="text1"/>
          <w:szCs w:val="22"/>
        </w:rPr>
        <w:t xml:space="preserve">four </w:t>
      </w:r>
      <w:r w:rsidR="00DC649E" w:rsidRPr="009C55E1">
        <w:rPr>
          <w:rFonts w:cs="Arial"/>
          <w:color w:val="000000" w:themeColor="text1"/>
          <w:szCs w:val="22"/>
        </w:rPr>
        <w:t xml:space="preserve">years </w:t>
      </w:r>
      <w:r w:rsidRPr="009C55E1">
        <w:rPr>
          <w:rFonts w:cs="Arial"/>
          <w:color w:val="000000" w:themeColor="text1"/>
          <w:szCs w:val="22"/>
        </w:rPr>
        <w:t>due to high epiphyte cover at all sites</w:t>
      </w:r>
      <w:r w:rsidR="00CA7FFC">
        <w:rPr>
          <w:rFonts w:cs="Arial"/>
          <w:color w:val="000000" w:themeColor="text1"/>
          <w:szCs w:val="22"/>
        </w:rPr>
        <w:t xml:space="preserve"> but in the wet season of 2018</w:t>
      </w:r>
      <w:r w:rsidR="00CA7FFC" w:rsidRPr="009C55E1">
        <w:rPr>
          <w:rFonts w:cs="Arial"/>
          <w:color w:val="000000" w:themeColor="text1"/>
          <w:szCs w:val="22"/>
        </w:rPr>
        <w:t>–</w:t>
      </w:r>
      <w:r w:rsidR="00CA7FFC">
        <w:rPr>
          <w:rFonts w:cs="Arial"/>
          <w:color w:val="000000" w:themeColor="text1"/>
          <w:szCs w:val="22"/>
        </w:rPr>
        <w:t>19 it dropped to below the average</w:t>
      </w:r>
      <w:r w:rsidRPr="009C55E1">
        <w:rPr>
          <w:rFonts w:cs="Arial"/>
          <w:color w:val="000000" w:themeColor="text1"/>
          <w:szCs w:val="22"/>
        </w:rPr>
        <w:t xml:space="preserve"> (</w:t>
      </w:r>
      <w:r w:rsidRPr="009C55E1">
        <w:rPr>
          <w:rFonts w:cs="Arial"/>
          <w:color w:val="000000" w:themeColor="text1"/>
          <w:szCs w:val="22"/>
        </w:rPr>
        <w:fldChar w:fldCharType="begin"/>
      </w:r>
      <w:r w:rsidRPr="009C55E1">
        <w:rPr>
          <w:rFonts w:cs="Arial"/>
          <w:color w:val="000000" w:themeColor="text1"/>
          <w:szCs w:val="22"/>
        </w:rPr>
        <w:instrText xml:space="preserve"> REF _Ref379615757 \h  \* MERGEFORMAT </w:instrText>
      </w:r>
      <w:r w:rsidRPr="009C55E1">
        <w:rPr>
          <w:rFonts w:cs="Arial"/>
          <w:color w:val="000000" w:themeColor="text1"/>
          <w:szCs w:val="22"/>
        </w:rPr>
      </w:r>
      <w:r w:rsidRPr="009C55E1">
        <w:rPr>
          <w:rFonts w:cs="Arial"/>
          <w:color w:val="000000" w:themeColor="text1"/>
          <w:szCs w:val="22"/>
        </w:rPr>
        <w:fldChar w:fldCharType="separate"/>
      </w:r>
      <w:r w:rsidR="0067675D" w:rsidRPr="0067675D">
        <w:rPr>
          <w:rFonts w:cs="Arial"/>
          <w:color w:val="000000" w:themeColor="text1"/>
          <w:szCs w:val="22"/>
        </w:rPr>
        <w:t xml:space="preserve">Figure </w:t>
      </w:r>
      <w:r w:rsidR="0067675D" w:rsidRPr="0067675D">
        <w:rPr>
          <w:rFonts w:cs="Arial"/>
          <w:noProof/>
          <w:color w:val="000000" w:themeColor="text1"/>
          <w:szCs w:val="22"/>
        </w:rPr>
        <w:t>24</w:t>
      </w:r>
      <w:r w:rsidRPr="009C55E1">
        <w:rPr>
          <w:rFonts w:cs="Arial"/>
          <w:color w:val="000000" w:themeColor="text1"/>
          <w:szCs w:val="22"/>
        </w:rPr>
        <w:fldChar w:fldCharType="end"/>
      </w:r>
      <w:r w:rsidRPr="009C55E1">
        <w:rPr>
          <w:rFonts w:cs="Arial"/>
          <w:color w:val="000000" w:themeColor="text1"/>
          <w:szCs w:val="22"/>
        </w:rPr>
        <w:t xml:space="preserve">). </w:t>
      </w:r>
    </w:p>
    <w:p w14:paraId="47783092" w14:textId="77777777" w:rsidR="00332CF2" w:rsidRPr="009C55E1" w:rsidRDefault="00332CF2" w:rsidP="0092681F">
      <w:pPr>
        <w:keepNext/>
        <w:spacing w:after="60"/>
        <w:jc w:val="center"/>
        <w:rPr>
          <w:rFonts w:cs="Arial"/>
          <w:szCs w:val="22"/>
        </w:rPr>
      </w:pPr>
      <w:r w:rsidRPr="009C55E1">
        <w:rPr>
          <w:rFonts w:cs="Arial"/>
          <w:noProof/>
          <w:szCs w:val="22"/>
          <w:lang w:eastAsia="en-AU"/>
        </w:rPr>
        <w:drawing>
          <wp:inline distT="0" distB="0" distL="0" distR="0" wp14:anchorId="79C0DB99" wp14:editId="07503518">
            <wp:extent cx="4140000" cy="2948400"/>
            <wp:effectExtent l="0" t="0" r="0" b="4445"/>
            <wp:docPr id="81" name="Picture 81" descr="Set of four bar charts showing epiphyte abundance (% cover) relative to the long-term average for each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BR_epi_difference_2016.png"/>
                    <pic:cNvPicPr/>
                  </pic:nvPicPr>
                  <pic:blipFill>
                    <a:blip r:embed="rId77"/>
                    <a:stretch>
                      <a:fillRect/>
                    </a:stretch>
                  </pic:blipFill>
                  <pic:spPr>
                    <a:xfrm>
                      <a:off x="0" y="0"/>
                      <a:ext cx="4140000" cy="2948400"/>
                    </a:xfrm>
                    <a:prstGeom prst="rect">
                      <a:avLst/>
                    </a:prstGeom>
                  </pic:spPr>
                </pic:pic>
              </a:graphicData>
            </a:graphic>
          </wp:inline>
        </w:drawing>
      </w:r>
    </w:p>
    <w:p w14:paraId="68EC343E" w14:textId="39B6D594" w:rsidR="00332CF2" w:rsidRPr="009C55E1" w:rsidRDefault="00332CF2" w:rsidP="00332CF2">
      <w:pPr>
        <w:jc w:val="both"/>
        <w:rPr>
          <w:rFonts w:cs="Arial"/>
          <w:i/>
          <w:vanish/>
          <w:color w:val="000000" w:themeColor="text1"/>
          <w:szCs w:val="22"/>
          <w:specVanish/>
        </w:rPr>
      </w:pPr>
      <w:bookmarkStart w:id="254" w:name="_Ref379615757"/>
      <w:bookmarkStart w:id="255" w:name="_Toc431493815"/>
      <w:bookmarkStart w:id="256" w:name="_Toc38634128"/>
      <w:r w:rsidRPr="009C55E1">
        <w:rPr>
          <w:rFonts w:cs="Arial"/>
          <w:szCs w:val="22"/>
        </w:rPr>
        <w:t xml:space="preserve">Figure </w:t>
      </w:r>
      <w:r w:rsidRPr="009C55E1">
        <w:rPr>
          <w:rFonts w:cs="Arial"/>
          <w:noProof/>
          <w:szCs w:val="22"/>
        </w:rPr>
        <w:fldChar w:fldCharType="begin"/>
      </w:r>
      <w:r w:rsidRPr="009C55E1">
        <w:rPr>
          <w:rFonts w:cs="Arial"/>
          <w:noProof/>
          <w:szCs w:val="22"/>
        </w:rPr>
        <w:instrText xml:space="preserve"> SEQ Figure \* ARABIC </w:instrText>
      </w:r>
      <w:r w:rsidRPr="009C55E1">
        <w:rPr>
          <w:rFonts w:cs="Arial"/>
          <w:noProof/>
          <w:szCs w:val="22"/>
        </w:rPr>
        <w:fldChar w:fldCharType="separate"/>
      </w:r>
      <w:r w:rsidR="0067675D">
        <w:rPr>
          <w:rFonts w:cs="Arial"/>
          <w:noProof/>
          <w:szCs w:val="22"/>
        </w:rPr>
        <w:t>24</w:t>
      </w:r>
      <w:r w:rsidRPr="009C55E1">
        <w:rPr>
          <w:rFonts w:cs="Arial"/>
          <w:noProof/>
          <w:szCs w:val="22"/>
        </w:rPr>
        <w:fldChar w:fldCharType="end"/>
      </w:r>
      <w:bookmarkEnd w:id="254"/>
      <w:r w:rsidRPr="009C55E1">
        <w:rPr>
          <w:rFonts w:cs="Arial"/>
          <w:szCs w:val="22"/>
        </w:rPr>
        <w:t xml:space="preserve">. </w:t>
      </w:r>
      <w:r w:rsidRPr="009C55E1">
        <w:rPr>
          <w:rFonts w:cs="Arial"/>
          <w:i/>
          <w:szCs w:val="22"/>
        </w:rPr>
        <w:t>Epiphyte abundance (</w:t>
      </w:r>
      <w:r w:rsidR="00887319">
        <w:rPr>
          <w:rFonts w:cs="Arial"/>
          <w:i/>
          <w:szCs w:val="22"/>
        </w:rPr>
        <w:t xml:space="preserve">per cent </w:t>
      </w:r>
      <w:r w:rsidRPr="009C55E1">
        <w:rPr>
          <w:rFonts w:cs="Arial"/>
          <w:i/>
          <w:szCs w:val="22"/>
        </w:rPr>
        <w:t xml:space="preserve">cover) relative to the long-term average (the zero axis) for each </w:t>
      </w:r>
      <w:r w:rsidR="003158FC" w:rsidRPr="009C55E1">
        <w:rPr>
          <w:rFonts w:cs="Arial"/>
          <w:i/>
          <w:szCs w:val="22"/>
        </w:rPr>
        <w:t>Reef</w:t>
      </w:r>
      <w:r w:rsidRPr="009C55E1">
        <w:rPr>
          <w:rFonts w:cs="Arial"/>
          <w:i/>
          <w:szCs w:val="22"/>
        </w:rPr>
        <w:t xml:space="preserve"> seagrass habitat</w:t>
      </w:r>
      <w:bookmarkEnd w:id="255"/>
      <w:bookmarkEnd w:id="256"/>
      <w:r w:rsidRPr="009C55E1">
        <w:rPr>
          <w:rFonts w:cs="Arial"/>
          <w:i/>
          <w:szCs w:val="22"/>
        </w:rPr>
        <w:t xml:space="preserve"> </w:t>
      </w:r>
    </w:p>
    <w:p w14:paraId="489D1B3F" w14:textId="60E92961" w:rsidR="00332CF2" w:rsidRPr="009C55E1" w:rsidRDefault="00332CF2" w:rsidP="00332CF2">
      <w:pPr>
        <w:spacing w:before="60"/>
        <w:jc w:val="both"/>
        <w:rPr>
          <w:rFonts w:cs="Arial"/>
          <w:i/>
          <w:szCs w:val="22"/>
        </w:rPr>
      </w:pPr>
      <w:r w:rsidRPr="009C55E1">
        <w:rPr>
          <w:rFonts w:cs="Arial"/>
          <w:i/>
          <w:color w:val="000000" w:themeColor="text1"/>
          <w:szCs w:val="22"/>
        </w:rPr>
        <w:t xml:space="preserve"> </w:t>
      </w:r>
      <w:r w:rsidRPr="009C55E1">
        <w:rPr>
          <w:rFonts w:cs="Arial"/>
          <w:i/>
          <w:szCs w:val="22"/>
        </w:rPr>
        <w:t xml:space="preserve">(sites pooled, ± SE). </w:t>
      </w:r>
      <w:r w:rsidR="003158FC" w:rsidRPr="009C55E1">
        <w:rPr>
          <w:rFonts w:cs="Arial"/>
          <w:i/>
          <w:szCs w:val="22"/>
        </w:rPr>
        <w:t>Reef</w:t>
      </w:r>
      <w:r w:rsidRPr="009C55E1">
        <w:rPr>
          <w:rFonts w:cs="Arial"/>
          <w:i/>
          <w:szCs w:val="22"/>
        </w:rPr>
        <w:t xml:space="preserve"> long-term average; estuarine = </w:t>
      </w:r>
      <w:r w:rsidR="008C3F28" w:rsidRPr="009C55E1">
        <w:rPr>
          <w:rFonts w:cs="Arial"/>
          <w:i/>
          <w:szCs w:val="22"/>
        </w:rPr>
        <w:t>25.1</w:t>
      </w:r>
      <w:r w:rsidRPr="009C55E1">
        <w:rPr>
          <w:rFonts w:cs="Arial"/>
          <w:i/>
          <w:szCs w:val="22"/>
        </w:rPr>
        <w:t>±</w:t>
      </w:r>
      <w:r w:rsidR="008C3F28" w:rsidRPr="009C55E1">
        <w:rPr>
          <w:rFonts w:cs="Arial"/>
          <w:i/>
          <w:szCs w:val="22"/>
        </w:rPr>
        <w:t>5.6</w:t>
      </w:r>
      <w:r w:rsidR="003C311A">
        <w:rPr>
          <w:rFonts w:cs="Arial"/>
          <w:i/>
          <w:szCs w:val="22"/>
        </w:rPr>
        <w:t xml:space="preserve">% </w:t>
      </w:r>
      <w:r w:rsidRPr="009C55E1">
        <w:rPr>
          <w:rFonts w:cs="Arial"/>
          <w:i/>
          <w:szCs w:val="22"/>
        </w:rPr>
        <w:t>coastal=</w:t>
      </w:r>
      <w:r w:rsidR="008C3F28" w:rsidRPr="009C55E1">
        <w:rPr>
          <w:rFonts w:cs="Arial"/>
          <w:i/>
          <w:szCs w:val="22"/>
        </w:rPr>
        <w:t>17.8</w:t>
      </w:r>
      <w:r w:rsidRPr="009C55E1">
        <w:rPr>
          <w:rFonts w:cs="Arial"/>
          <w:i/>
          <w:szCs w:val="22"/>
        </w:rPr>
        <w:t>±</w:t>
      </w:r>
      <w:r w:rsidR="008C3F28" w:rsidRPr="009C55E1">
        <w:rPr>
          <w:rFonts w:cs="Arial"/>
          <w:i/>
          <w:szCs w:val="22"/>
        </w:rPr>
        <w:t>3.7</w:t>
      </w:r>
      <w:r w:rsidR="007C215D">
        <w:rPr>
          <w:rFonts w:cs="Arial"/>
          <w:i/>
          <w:szCs w:val="22"/>
        </w:rPr>
        <w:t>%</w:t>
      </w:r>
      <w:r w:rsidRPr="009C55E1">
        <w:rPr>
          <w:rFonts w:cs="Arial"/>
          <w:i/>
          <w:szCs w:val="22"/>
        </w:rPr>
        <w:t>, reef = 2</w:t>
      </w:r>
      <w:r w:rsidR="008C3F28" w:rsidRPr="009C55E1">
        <w:rPr>
          <w:rFonts w:cs="Arial"/>
          <w:i/>
          <w:szCs w:val="22"/>
        </w:rPr>
        <w:t>2.8</w:t>
      </w:r>
      <w:r w:rsidRPr="009C55E1">
        <w:rPr>
          <w:rFonts w:cs="Arial"/>
          <w:i/>
          <w:szCs w:val="22"/>
        </w:rPr>
        <w:t>±4.2</w:t>
      </w:r>
      <w:r w:rsidR="007C215D">
        <w:rPr>
          <w:rFonts w:cs="Arial"/>
          <w:i/>
          <w:szCs w:val="22"/>
        </w:rPr>
        <w:t>%</w:t>
      </w:r>
      <w:r w:rsidRPr="009C55E1">
        <w:rPr>
          <w:rFonts w:cs="Arial"/>
          <w:i/>
          <w:szCs w:val="22"/>
        </w:rPr>
        <w:t xml:space="preserve">, subtidal= </w:t>
      </w:r>
      <w:r w:rsidR="008C3F28" w:rsidRPr="009C55E1">
        <w:rPr>
          <w:rFonts w:cs="Arial"/>
          <w:i/>
          <w:szCs w:val="22"/>
        </w:rPr>
        <w:t>20.6</w:t>
      </w:r>
      <w:r w:rsidRPr="009C55E1">
        <w:rPr>
          <w:rFonts w:cs="Arial"/>
          <w:i/>
          <w:szCs w:val="22"/>
        </w:rPr>
        <w:t>±</w:t>
      </w:r>
      <w:r w:rsidR="008C3F28" w:rsidRPr="009C55E1">
        <w:rPr>
          <w:rFonts w:cs="Arial"/>
          <w:i/>
          <w:szCs w:val="22"/>
        </w:rPr>
        <w:t>3.1</w:t>
      </w:r>
      <w:r w:rsidR="007C215D">
        <w:rPr>
          <w:rFonts w:cs="Arial"/>
          <w:i/>
          <w:szCs w:val="22"/>
        </w:rPr>
        <w:t>%</w:t>
      </w:r>
      <w:r w:rsidRPr="009C55E1">
        <w:rPr>
          <w:rFonts w:cs="Arial"/>
          <w:i/>
          <w:szCs w:val="22"/>
        </w:rPr>
        <w:t xml:space="preserve">. </w:t>
      </w:r>
    </w:p>
    <w:p w14:paraId="4E2B08DE" w14:textId="7D490718" w:rsidR="00332CF2" w:rsidRPr="009C55E1" w:rsidRDefault="00DC649E" w:rsidP="0092681F">
      <w:pPr>
        <w:spacing w:after="0"/>
        <w:rPr>
          <w:rFonts w:cs="Arial"/>
          <w:color w:val="000000" w:themeColor="text1"/>
          <w:szCs w:val="22"/>
        </w:rPr>
      </w:pPr>
      <w:r w:rsidRPr="009C55E1">
        <w:rPr>
          <w:rFonts w:cs="Arial"/>
          <w:color w:val="000000" w:themeColor="text1"/>
          <w:szCs w:val="22"/>
        </w:rPr>
        <w:t>Macroalgae abundance was</w:t>
      </w:r>
      <w:r w:rsidR="00332CF2" w:rsidRPr="009C55E1">
        <w:rPr>
          <w:rFonts w:cs="Arial"/>
          <w:color w:val="000000" w:themeColor="text1"/>
          <w:szCs w:val="22"/>
        </w:rPr>
        <w:t xml:space="preserve"> generally low and stable </w:t>
      </w:r>
      <w:r w:rsidRPr="009C55E1">
        <w:rPr>
          <w:rFonts w:cs="Arial"/>
          <w:color w:val="000000" w:themeColor="text1"/>
          <w:szCs w:val="22"/>
        </w:rPr>
        <w:t>at</w:t>
      </w:r>
      <w:r w:rsidR="00332CF2" w:rsidRPr="009C55E1">
        <w:rPr>
          <w:rFonts w:cs="Arial"/>
          <w:color w:val="000000" w:themeColor="text1"/>
          <w:szCs w:val="22"/>
        </w:rPr>
        <w:t xml:space="preserve"> </w:t>
      </w:r>
      <w:r w:rsidR="003158FC" w:rsidRPr="009C55E1">
        <w:rPr>
          <w:rFonts w:cs="Arial"/>
          <w:color w:val="000000" w:themeColor="text1"/>
          <w:szCs w:val="22"/>
        </w:rPr>
        <w:t>Reef</w:t>
      </w:r>
      <w:r w:rsidR="00332CF2" w:rsidRPr="009C55E1">
        <w:rPr>
          <w:rFonts w:cs="Arial"/>
          <w:color w:val="000000" w:themeColor="text1"/>
          <w:szCs w:val="22"/>
        </w:rPr>
        <w:t xml:space="preserve"> seagrass habitats</w:t>
      </w:r>
      <w:r w:rsidRPr="009C55E1">
        <w:rPr>
          <w:rFonts w:cs="Arial"/>
          <w:color w:val="000000" w:themeColor="text1"/>
          <w:szCs w:val="22"/>
        </w:rPr>
        <w:t xml:space="preserve">, with </w:t>
      </w:r>
      <w:r w:rsidR="00332CF2" w:rsidRPr="009C55E1">
        <w:rPr>
          <w:rFonts w:cs="Arial"/>
          <w:color w:val="000000" w:themeColor="text1"/>
          <w:szCs w:val="22"/>
        </w:rPr>
        <w:t xml:space="preserve">little change </w:t>
      </w:r>
      <w:r w:rsidR="003B7FCC" w:rsidRPr="009C55E1">
        <w:rPr>
          <w:rFonts w:cs="Arial"/>
          <w:color w:val="000000" w:themeColor="text1"/>
          <w:szCs w:val="22"/>
        </w:rPr>
        <w:t>this year</w:t>
      </w:r>
      <w:r w:rsidR="00332CF2" w:rsidRPr="009C55E1">
        <w:rPr>
          <w:rFonts w:cs="Arial"/>
          <w:color w:val="000000" w:themeColor="text1"/>
          <w:szCs w:val="22"/>
        </w:rPr>
        <w:t xml:space="preserve"> (</w:t>
      </w:r>
      <w:r w:rsidR="00332CF2" w:rsidRPr="009C55E1">
        <w:rPr>
          <w:rFonts w:cs="Arial"/>
          <w:color w:val="000000" w:themeColor="text1"/>
          <w:szCs w:val="22"/>
        </w:rPr>
        <w:fldChar w:fldCharType="begin"/>
      </w:r>
      <w:r w:rsidR="00332CF2" w:rsidRPr="009C55E1">
        <w:rPr>
          <w:rFonts w:cs="Arial"/>
          <w:color w:val="000000" w:themeColor="text1"/>
          <w:szCs w:val="22"/>
        </w:rPr>
        <w:instrText xml:space="preserve"> REF _Ref271537893 \h  \* MERGEFORMAT </w:instrText>
      </w:r>
      <w:r w:rsidR="00332CF2" w:rsidRPr="009C55E1">
        <w:rPr>
          <w:rFonts w:cs="Arial"/>
          <w:color w:val="000000" w:themeColor="text1"/>
          <w:szCs w:val="22"/>
        </w:rPr>
      </w:r>
      <w:r w:rsidR="00332CF2" w:rsidRPr="009C55E1">
        <w:rPr>
          <w:rFonts w:cs="Arial"/>
          <w:color w:val="000000" w:themeColor="text1"/>
          <w:szCs w:val="22"/>
        </w:rPr>
        <w:fldChar w:fldCharType="separate"/>
      </w:r>
      <w:r w:rsidR="0067675D" w:rsidRPr="0067675D">
        <w:rPr>
          <w:rFonts w:cs="Arial"/>
          <w:color w:val="000000" w:themeColor="text1"/>
          <w:szCs w:val="22"/>
        </w:rPr>
        <w:t>Figure 25</w:t>
      </w:r>
      <w:r w:rsidR="00332CF2" w:rsidRPr="009C55E1">
        <w:rPr>
          <w:rFonts w:cs="Arial"/>
          <w:color w:val="000000" w:themeColor="text1"/>
          <w:szCs w:val="22"/>
        </w:rPr>
        <w:fldChar w:fldCharType="end"/>
      </w:r>
      <w:r w:rsidR="00332CF2" w:rsidRPr="009C55E1">
        <w:rPr>
          <w:rFonts w:cs="Arial"/>
          <w:color w:val="000000" w:themeColor="text1"/>
          <w:szCs w:val="22"/>
        </w:rPr>
        <w:t xml:space="preserve">). </w:t>
      </w:r>
      <w:r w:rsidR="00617150">
        <w:rPr>
          <w:rFonts w:cs="Arial"/>
          <w:color w:val="000000" w:themeColor="text1"/>
          <w:szCs w:val="22"/>
        </w:rPr>
        <w:t>Macroalgae abundance has been</w:t>
      </w:r>
      <w:r w:rsidR="00332CF2" w:rsidRPr="009C55E1">
        <w:rPr>
          <w:rFonts w:cs="Arial"/>
          <w:color w:val="000000" w:themeColor="text1"/>
          <w:szCs w:val="22"/>
        </w:rPr>
        <w:t xml:space="preserve"> </w:t>
      </w:r>
      <w:r w:rsidR="003B6F6E" w:rsidRPr="009C55E1">
        <w:rPr>
          <w:rFonts w:cs="Arial"/>
          <w:color w:val="000000" w:themeColor="text1"/>
          <w:szCs w:val="22"/>
        </w:rPr>
        <w:t xml:space="preserve">higher than long-term average </w:t>
      </w:r>
      <w:r w:rsidR="00332CF2" w:rsidRPr="009C55E1">
        <w:rPr>
          <w:rFonts w:cs="Arial"/>
          <w:color w:val="000000" w:themeColor="text1"/>
          <w:szCs w:val="22"/>
        </w:rPr>
        <w:t xml:space="preserve">at </w:t>
      </w:r>
      <w:r w:rsidR="00617150">
        <w:rPr>
          <w:rFonts w:cs="Arial"/>
          <w:color w:val="000000" w:themeColor="text1"/>
          <w:szCs w:val="22"/>
        </w:rPr>
        <w:t xml:space="preserve">some </w:t>
      </w:r>
      <w:r w:rsidR="00332CF2" w:rsidRPr="009C55E1">
        <w:rPr>
          <w:rFonts w:cs="Arial"/>
          <w:color w:val="000000" w:themeColor="text1"/>
          <w:szCs w:val="22"/>
        </w:rPr>
        <w:t xml:space="preserve">reef </w:t>
      </w:r>
      <w:r w:rsidR="00617150">
        <w:rPr>
          <w:rFonts w:cs="Arial"/>
          <w:color w:val="000000" w:themeColor="text1"/>
          <w:szCs w:val="22"/>
        </w:rPr>
        <w:t>intertidal</w:t>
      </w:r>
      <w:r w:rsidR="00332CF2" w:rsidRPr="009C55E1">
        <w:rPr>
          <w:rFonts w:cs="Arial"/>
          <w:color w:val="000000" w:themeColor="text1"/>
          <w:szCs w:val="22"/>
        </w:rPr>
        <w:t xml:space="preserve"> habitats over the last </w:t>
      </w:r>
      <w:r w:rsidR="00617150">
        <w:rPr>
          <w:rFonts w:cs="Arial"/>
          <w:color w:val="000000" w:themeColor="text1"/>
          <w:szCs w:val="22"/>
        </w:rPr>
        <w:t>2</w:t>
      </w:r>
      <w:r w:rsidR="00332CF2" w:rsidRPr="009C55E1">
        <w:rPr>
          <w:rFonts w:cs="Arial"/>
          <w:color w:val="000000" w:themeColor="text1"/>
          <w:szCs w:val="22"/>
        </w:rPr>
        <w:t xml:space="preserve"> years</w:t>
      </w:r>
      <w:r w:rsidR="00617150">
        <w:rPr>
          <w:rFonts w:cs="Arial"/>
          <w:color w:val="000000" w:themeColor="text1"/>
          <w:szCs w:val="22"/>
        </w:rPr>
        <w:t>, but this has been highly variable</w:t>
      </w:r>
      <w:r w:rsidR="00332CF2" w:rsidRPr="009C55E1">
        <w:rPr>
          <w:rFonts w:cs="Arial"/>
          <w:color w:val="000000" w:themeColor="text1"/>
          <w:szCs w:val="22"/>
        </w:rPr>
        <w:t>.</w:t>
      </w:r>
    </w:p>
    <w:p w14:paraId="64000357" w14:textId="77777777" w:rsidR="00332CF2" w:rsidRPr="009C55E1" w:rsidRDefault="00332CF2" w:rsidP="0092681F">
      <w:pPr>
        <w:keepNext/>
        <w:spacing w:before="0" w:after="60"/>
        <w:jc w:val="center"/>
        <w:rPr>
          <w:rFonts w:cs="Arial"/>
          <w:noProof/>
          <w:color w:val="000000"/>
          <w:szCs w:val="22"/>
          <w:lang w:eastAsia="en-AU"/>
        </w:rPr>
      </w:pPr>
      <w:r w:rsidRPr="009C55E1">
        <w:rPr>
          <w:rFonts w:cs="Arial"/>
          <w:noProof/>
          <w:color w:val="000000"/>
          <w:szCs w:val="22"/>
          <w:lang w:eastAsia="en-AU"/>
        </w:rPr>
        <w:lastRenderedPageBreak/>
        <w:drawing>
          <wp:inline distT="0" distB="0" distL="0" distR="0" wp14:anchorId="299B32B3" wp14:editId="3A4DF921">
            <wp:extent cx="4140000" cy="2944800"/>
            <wp:effectExtent l="0" t="0" r="0" b="8255"/>
            <wp:docPr id="79" name="Picture 79" descr="Set of four bar charts showing macroalgae abundance (% cover) relative to the long-term average for each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BR_algae_difference_2016.png"/>
                    <pic:cNvPicPr/>
                  </pic:nvPicPr>
                  <pic:blipFill>
                    <a:blip r:embed="rId78"/>
                    <a:stretch>
                      <a:fillRect/>
                    </a:stretch>
                  </pic:blipFill>
                  <pic:spPr>
                    <a:xfrm>
                      <a:off x="0" y="0"/>
                      <a:ext cx="4140000" cy="2944800"/>
                    </a:xfrm>
                    <a:prstGeom prst="rect">
                      <a:avLst/>
                    </a:prstGeom>
                  </pic:spPr>
                </pic:pic>
              </a:graphicData>
            </a:graphic>
          </wp:inline>
        </w:drawing>
      </w:r>
    </w:p>
    <w:p w14:paraId="6F8D0083" w14:textId="446351AC" w:rsidR="00332CF2" w:rsidRPr="009C55E1" w:rsidRDefault="00332CF2" w:rsidP="00332CF2">
      <w:pPr>
        <w:rPr>
          <w:rFonts w:cs="Arial"/>
          <w:i/>
          <w:vanish/>
          <w:szCs w:val="22"/>
          <w:specVanish/>
        </w:rPr>
      </w:pPr>
      <w:bookmarkStart w:id="257" w:name="_Ref271537893"/>
      <w:bookmarkStart w:id="258" w:name="_Toc431493816"/>
      <w:bookmarkStart w:id="259" w:name="_Toc38634129"/>
      <w:r w:rsidRPr="009C55E1">
        <w:rPr>
          <w:rFonts w:cs="Arial"/>
          <w:szCs w:val="22"/>
        </w:rPr>
        <w:t xml:space="preserve">Figure </w:t>
      </w:r>
      <w:r w:rsidRPr="009C55E1">
        <w:rPr>
          <w:rFonts w:cs="Arial"/>
          <w:noProof/>
          <w:szCs w:val="22"/>
        </w:rPr>
        <w:fldChar w:fldCharType="begin"/>
      </w:r>
      <w:r w:rsidRPr="009C55E1">
        <w:rPr>
          <w:rFonts w:cs="Arial"/>
          <w:noProof/>
          <w:szCs w:val="22"/>
        </w:rPr>
        <w:instrText xml:space="preserve"> SEQ Figure \* ARABIC </w:instrText>
      </w:r>
      <w:r w:rsidRPr="009C55E1">
        <w:rPr>
          <w:rFonts w:cs="Arial"/>
          <w:noProof/>
          <w:szCs w:val="22"/>
        </w:rPr>
        <w:fldChar w:fldCharType="separate"/>
      </w:r>
      <w:r w:rsidR="0067675D">
        <w:rPr>
          <w:rFonts w:cs="Arial"/>
          <w:noProof/>
          <w:szCs w:val="22"/>
        </w:rPr>
        <w:t>25</w:t>
      </w:r>
      <w:r w:rsidRPr="009C55E1">
        <w:rPr>
          <w:rFonts w:cs="Arial"/>
          <w:noProof/>
          <w:szCs w:val="22"/>
        </w:rPr>
        <w:fldChar w:fldCharType="end"/>
      </w:r>
      <w:bookmarkEnd w:id="257"/>
      <w:r w:rsidRPr="009C55E1">
        <w:rPr>
          <w:rFonts w:cs="Arial"/>
          <w:szCs w:val="22"/>
        </w:rPr>
        <w:t xml:space="preserve">. </w:t>
      </w:r>
      <w:r w:rsidR="00DC649E" w:rsidRPr="009C55E1">
        <w:rPr>
          <w:rFonts w:cs="Arial"/>
          <w:i/>
          <w:szCs w:val="22"/>
        </w:rPr>
        <w:t>Macroalgae abundance (</w:t>
      </w:r>
      <w:r w:rsidR="00887319">
        <w:rPr>
          <w:rFonts w:cs="Arial"/>
          <w:i/>
          <w:szCs w:val="22"/>
        </w:rPr>
        <w:t xml:space="preserve">per cent </w:t>
      </w:r>
      <w:r w:rsidRPr="009C55E1">
        <w:rPr>
          <w:rFonts w:cs="Arial"/>
          <w:i/>
          <w:szCs w:val="22"/>
        </w:rPr>
        <w:t xml:space="preserve">cover) relative to the long-term average for each inshore </w:t>
      </w:r>
      <w:r w:rsidR="003158FC" w:rsidRPr="009C55E1">
        <w:rPr>
          <w:rFonts w:cs="Arial"/>
          <w:i/>
          <w:szCs w:val="22"/>
        </w:rPr>
        <w:t>Reef</w:t>
      </w:r>
      <w:r w:rsidRPr="009C55E1">
        <w:rPr>
          <w:rFonts w:cs="Arial"/>
          <w:i/>
          <w:szCs w:val="22"/>
        </w:rPr>
        <w:t xml:space="preserve"> seagrass habitat</w:t>
      </w:r>
      <w:bookmarkEnd w:id="258"/>
      <w:bookmarkEnd w:id="259"/>
    </w:p>
    <w:p w14:paraId="1F44A983" w14:textId="27D3117C" w:rsidR="003A3933" w:rsidRPr="00CB093C" w:rsidRDefault="00332CF2" w:rsidP="006842E2">
      <w:pPr>
        <w:spacing w:before="60"/>
        <w:rPr>
          <w:rFonts w:cs="Arial"/>
          <w:szCs w:val="22"/>
          <w:lang w:val="en-GB"/>
        </w:rPr>
      </w:pPr>
      <w:r w:rsidRPr="009C55E1">
        <w:rPr>
          <w:rFonts w:cs="Arial"/>
          <w:i/>
          <w:szCs w:val="22"/>
        </w:rPr>
        <w:t xml:space="preserve">. (sites pooled, ± SE). </w:t>
      </w:r>
      <w:r w:rsidR="003158FC" w:rsidRPr="009C55E1">
        <w:rPr>
          <w:rFonts w:cs="Arial"/>
          <w:i/>
          <w:szCs w:val="22"/>
        </w:rPr>
        <w:t>Reef</w:t>
      </w:r>
      <w:r w:rsidRPr="009C55E1">
        <w:rPr>
          <w:rFonts w:cs="Arial"/>
          <w:i/>
          <w:szCs w:val="22"/>
        </w:rPr>
        <w:t xml:space="preserve"> long-term average; estuarine = 2.3±1.</w:t>
      </w:r>
      <w:r w:rsidR="008C3F28" w:rsidRPr="009C55E1">
        <w:rPr>
          <w:rFonts w:cs="Arial"/>
          <w:i/>
          <w:szCs w:val="22"/>
        </w:rPr>
        <w:t>0</w:t>
      </w:r>
      <w:r w:rsidR="007C215D">
        <w:rPr>
          <w:rFonts w:cs="Arial"/>
          <w:i/>
          <w:szCs w:val="22"/>
        </w:rPr>
        <w:t>%</w:t>
      </w:r>
      <w:r w:rsidRPr="009C55E1">
        <w:rPr>
          <w:rFonts w:cs="Arial"/>
          <w:i/>
          <w:szCs w:val="22"/>
        </w:rPr>
        <w:t>, coastal=2.</w:t>
      </w:r>
      <w:r w:rsidR="008C3F28" w:rsidRPr="009C55E1">
        <w:rPr>
          <w:rFonts w:cs="Arial"/>
          <w:i/>
          <w:szCs w:val="22"/>
        </w:rPr>
        <w:t>5</w:t>
      </w:r>
      <w:r w:rsidRPr="009C55E1">
        <w:rPr>
          <w:rFonts w:cs="Arial"/>
          <w:i/>
          <w:szCs w:val="22"/>
        </w:rPr>
        <w:t>±1.</w:t>
      </w:r>
      <w:r w:rsidR="008C3F28" w:rsidRPr="009C55E1">
        <w:rPr>
          <w:rFonts w:cs="Arial"/>
          <w:i/>
          <w:szCs w:val="22"/>
        </w:rPr>
        <w:t>2</w:t>
      </w:r>
      <w:r w:rsidR="007C215D">
        <w:rPr>
          <w:rFonts w:cs="Arial"/>
          <w:i/>
          <w:szCs w:val="22"/>
        </w:rPr>
        <w:t>%</w:t>
      </w:r>
      <w:r w:rsidRPr="009C55E1">
        <w:rPr>
          <w:rFonts w:cs="Arial"/>
          <w:i/>
          <w:szCs w:val="22"/>
        </w:rPr>
        <w:t>, reef = 6.</w:t>
      </w:r>
      <w:r w:rsidR="008C3F28" w:rsidRPr="009C55E1">
        <w:rPr>
          <w:rFonts w:cs="Arial"/>
          <w:i/>
          <w:szCs w:val="22"/>
        </w:rPr>
        <w:t>9</w:t>
      </w:r>
      <w:r w:rsidRPr="009C55E1">
        <w:rPr>
          <w:rFonts w:cs="Arial"/>
          <w:i/>
          <w:szCs w:val="22"/>
        </w:rPr>
        <w:t>±</w:t>
      </w:r>
      <w:r w:rsidR="008C3F28" w:rsidRPr="009C55E1">
        <w:rPr>
          <w:rFonts w:cs="Arial"/>
          <w:i/>
          <w:szCs w:val="22"/>
        </w:rPr>
        <w:t>1.9</w:t>
      </w:r>
      <w:r w:rsidR="007C215D">
        <w:rPr>
          <w:rFonts w:cs="Arial"/>
          <w:i/>
          <w:szCs w:val="22"/>
        </w:rPr>
        <w:t>%</w:t>
      </w:r>
      <w:r w:rsidRPr="009C55E1">
        <w:rPr>
          <w:rFonts w:cs="Arial"/>
          <w:i/>
          <w:szCs w:val="22"/>
        </w:rPr>
        <w:t xml:space="preserve">, subtidal = </w:t>
      </w:r>
      <w:r w:rsidR="008C3F28" w:rsidRPr="009C55E1">
        <w:rPr>
          <w:rFonts w:cs="Arial"/>
          <w:i/>
          <w:szCs w:val="22"/>
        </w:rPr>
        <w:t>6.6</w:t>
      </w:r>
      <w:r w:rsidRPr="009C55E1">
        <w:rPr>
          <w:rFonts w:cs="Arial"/>
          <w:i/>
          <w:szCs w:val="22"/>
        </w:rPr>
        <w:t>±2.</w:t>
      </w:r>
      <w:r w:rsidR="008C3F28" w:rsidRPr="009C55E1">
        <w:rPr>
          <w:rFonts w:cs="Arial"/>
          <w:i/>
          <w:szCs w:val="22"/>
        </w:rPr>
        <w:t>0</w:t>
      </w:r>
      <w:r w:rsidR="007C215D">
        <w:rPr>
          <w:rFonts w:cs="Arial"/>
          <w:i/>
          <w:szCs w:val="22"/>
        </w:rPr>
        <w:t>%</w:t>
      </w:r>
      <w:r w:rsidRPr="009C55E1">
        <w:rPr>
          <w:rFonts w:cs="Arial"/>
          <w:i/>
          <w:szCs w:val="22"/>
        </w:rPr>
        <w:t xml:space="preserve">. </w:t>
      </w:r>
      <w:r w:rsidR="003A3933" w:rsidRPr="00CB093C">
        <w:rPr>
          <w:rFonts w:cs="Arial"/>
          <w:szCs w:val="22"/>
          <w:lang w:val="en-GB"/>
        </w:rPr>
        <w:br w:type="page"/>
      </w:r>
    </w:p>
    <w:p w14:paraId="7E8F157E" w14:textId="0AB76EB7" w:rsidR="00821B13" w:rsidRPr="00CB093C" w:rsidRDefault="00821B13" w:rsidP="000150D8">
      <w:pPr>
        <w:pStyle w:val="Heading1"/>
      </w:pPr>
      <w:bookmarkStart w:id="260" w:name="_Toc37775065"/>
      <w:bookmarkStart w:id="261" w:name="_Toc43987040"/>
      <w:r w:rsidRPr="00CB093C">
        <w:lastRenderedPageBreak/>
        <w:t>Regional Reports</w:t>
      </w:r>
      <w:bookmarkEnd w:id="260"/>
      <w:bookmarkEnd w:id="261"/>
      <w:r w:rsidRPr="00CB093C">
        <w:t xml:space="preserve"> </w:t>
      </w:r>
    </w:p>
    <w:p w14:paraId="04A74FF7" w14:textId="77777777" w:rsidR="00CE334D" w:rsidRPr="00FA314F" w:rsidRDefault="00CE334D" w:rsidP="00D2585E">
      <w:pPr>
        <w:spacing w:before="40" w:after="40"/>
        <w:rPr>
          <w:rFonts w:cs="Arial"/>
          <w:color w:val="000000"/>
          <w:szCs w:val="22"/>
        </w:rPr>
      </w:pPr>
    </w:p>
    <w:p w14:paraId="2CB9EE1A" w14:textId="20358BD1" w:rsidR="0045483A" w:rsidRPr="00FA314F" w:rsidRDefault="00CE334D" w:rsidP="00D2585E">
      <w:pPr>
        <w:rPr>
          <w:rFonts w:cs="Arial"/>
          <w:szCs w:val="22"/>
        </w:rPr>
      </w:pPr>
      <w:r w:rsidRPr="00FA314F">
        <w:rPr>
          <w:rFonts w:cs="Arial"/>
          <w:szCs w:val="22"/>
        </w:rPr>
        <w:t xml:space="preserve">This section presents detailed results on the </w:t>
      </w:r>
      <w:r w:rsidR="003A03FE" w:rsidRPr="00FA314F">
        <w:rPr>
          <w:rFonts w:cs="Arial"/>
          <w:szCs w:val="22"/>
        </w:rPr>
        <w:t>condition</w:t>
      </w:r>
      <w:r w:rsidRPr="00FA314F">
        <w:rPr>
          <w:rFonts w:cs="Arial"/>
          <w:szCs w:val="22"/>
        </w:rPr>
        <w:t xml:space="preserve"> and trend of indicators within Regions, </w:t>
      </w:r>
      <w:r w:rsidR="0045483A" w:rsidRPr="00FA314F">
        <w:rPr>
          <w:rFonts w:cs="Arial"/>
          <w:szCs w:val="22"/>
        </w:rPr>
        <w:t>and relates the results to local environmental factors including:</w:t>
      </w:r>
    </w:p>
    <w:p w14:paraId="5D48D327" w14:textId="77777777" w:rsidR="00AD0F49" w:rsidRPr="00FA314F" w:rsidRDefault="00AD0F49" w:rsidP="003F4D32">
      <w:pPr>
        <w:numPr>
          <w:ilvl w:val="0"/>
          <w:numId w:val="21"/>
        </w:numPr>
        <w:spacing w:before="40"/>
        <w:rPr>
          <w:rFonts w:cs="Arial"/>
          <w:color w:val="000000" w:themeColor="text1"/>
          <w:szCs w:val="22"/>
        </w:rPr>
      </w:pPr>
      <w:r w:rsidRPr="00FA314F">
        <w:rPr>
          <w:rFonts w:cs="Arial"/>
          <w:color w:val="000000" w:themeColor="text1"/>
          <w:szCs w:val="22"/>
        </w:rPr>
        <w:t>annual daytime tidal exposure at each monitoring site</w:t>
      </w:r>
    </w:p>
    <w:p w14:paraId="4DD957E2" w14:textId="77777777" w:rsidR="00AD0F49" w:rsidRPr="00FA314F" w:rsidRDefault="00AD0F49" w:rsidP="003F4D32">
      <w:pPr>
        <w:numPr>
          <w:ilvl w:val="0"/>
          <w:numId w:val="21"/>
        </w:numPr>
        <w:spacing w:before="40"/>
        <w:rPr>
          <w:rFonts w:cs="Arial"/>
          <w:color w:val="000000" w:themeColor="text1"/>
          <w:szCs w:val="22"/>
        </w:rPr>
      </w:pPr>
      <w:r w:rsidRPr="00FA314F">
        <w:rPr>
          <w:rFonts w:cs="Arial"/>
          <w:color w:val="000000" w:themeColor="text1"/>
          <w:szCs w:val="22"/>
        </w:rPr>
        <w:t>daily light each monitoring location</w:t>
      </w:r>
    </w:p>
    <w:p w14:paraId="260D5557" w14:textId="7F6037AE" w:rsidR="00AD0F49" w:rsidRPr="00FA314F" w:rsidRDefault="00AD0F49" w:rsidP="003F4D32">
      <w:pPr>
        <w:numPr>
          <w:ilvl w:val="0"/>
          <w:numId w:val="21"/>
        </w:numPr>
        <w:spacing w:before="40"/>
        <w:rPr>
          <w:rFonts w:cs="Arial"/>
          <w:color w:val="000000" w:themeColor="text1"/>
          <w:szCs w:val="22"/>
        </w:rPr>
      </w:pPr>
      <w:r w:rsidRPr="00FA314F">
        <w:rPr>
          <w:rFonts w:cs="Arial"/>
          <w:color w:val="000000" w:themeColor="text1"/>
          <w:szCs w:val="22"/>
        </w:rPr>
        <w:t>s</w:t>
      </w:r>
      <w:r w:rsidR="008F2D79" w:rsidRPr="00FA314F">
        <w:rPr>
          <w:rFonts w:cs="Arial"/>
          <w:color w:val="000000" w:themeColor="text1"/>
          <w:szCs w:val="22"/>
        </w:rPr>
        <w:t>e</w:t>
      </w:r>
      <w:r w:rsidRPr="00FA314F">
        <w:rPr>
          <w:rFonts w:cs="Arial"/>
          <w:color w:val="000000" w:themeColor="text1"/>
          <w:szCs w:val="22"/>
        </w:rPr>
        <w:t>diment grain size composition at each monitoring site</w:t>
      </w:r>
    </w:p>
    <w:p w14:paraId="688FB515" w14:textId="77777777" w:rsidR="00AD0F49" w:rsidRPr="00FA314F" w:rsidRDefault="00AD0F49" w:rsidP="003F4D32">
      <w:pPr>
        <w:numPr>
          <w:ilvl w:val="0"/>
          <w:numId w:val="21"/>
        </w:numPr>
        <w:spacing w:before="40"/>
        <w:rPr>
          <w:rFonts w:cs="Arial"/>
          <w:color w:val="000000" w:themeColor="text1"/>
          <w:szCs w:val="22"/>
        </w:rPr>
      </w:pPr>
      <w:r w:rsidRPr="00FA314F">
        <w:rPr>
          <w:rFonts w:cs="Arial"/>
          <w:color w:val="000000" w:themeColor="text1"/>
          <w:szCs w:val="22"/>
        </w:rPr>
        <w:t>tables detailing statistical analysis.</w:t>
      </w:r>
    </w:p>
    <w:p w14:paraId="6E93BC83" w14:textId="26FDCE03" w:rsidR="004C777E" w:rsidRPr="00FA314F" w:rsidRDefault="004C777E" w:rsidP="004C777E">
      <w:pPr>
        <w:rPr>
          <w:rFonts w:cs="Arial"/>
          <w:color w:val="000000"/>
          <w:szCs w:val="22"/>
        </w:rPr>
      </w:pPr>
    </w:p>
    <w:p w14:paraId="69034E4A" w14:textId="77777777" w:rsidR="003A3933" w:rsidRPr="00431DDA" w:rsidRDefault="003A3933" w:rsidP="000150D8">
      <w:pPr>
        <w:pStyle w:val="Heading2"/>
      </w:pPr>
      <w:bookmarkStart w:id="262" w:name="_Toc431493758"/>
      <w:bookmarkStart w:id="263" w:name="_Toc37775066"/>
      <w:bookmarkStart w:id="264" w:name="_Toc43987041"/>
      <w:bookmarkStart w:id="265" w:name="_Toc175991058"/>
      <w:bookmarkStart w:id="266" w:name="_Toc232845904"/>
      <w:bookmarkStart w:id="267" w:name="_Toc184101968"/>
      <w:r w:rsidRPr="00431DDA">
        <w:t>Cape York</w:t>
      </w:r>
      <w:bookmarkEnd w:id="262"/>
      <w:bookmarkEnd w:id="263"/>
      <w:bookmarkEnd w:id="264"/>
    </w:p>
    <w:p w14:paraId="5169FC9C" w14:textId="2C7AAF7D" w:rsidR="005132EF" w:rsidRPr="00CB093C" w:rsidRDefault="00956639" w:rsidP="000150D8">
      <w:pPr>
        <w:pStyle w:val="Heading3"/>
      </w:pPr>
      <w:bookmarkStart w:id="268" w:name="_Toc184101969"/>
      <w:bookmarkStart w:id="269" w:name="_Toc431493759"/>
      <w:bookmarkStart w:id="270" w:name="_Toc37775067"/>
      <w:bookmarkStart w:id="271" w:name="_Toc43987042"/>
      <w:bookmarkEnd w:id="162"/>
      <w:bookmarkEnd w:id="163"/>
      <w:bookmarkEnd w:id="164"/>
      <w:bookmarkEnd w:id="265"/>
      <w:bookmarkEnd w:id="266"/>
      <w:bookmarkEnd w:id="267"/>
      <w:r>
        <w:t>2018–19</w:t>
      </w:r>
      <w:r w:rsidR="005132EF" w:rsidRPr="00CB093C">
        <w:t xml:space="preserve"> Summary</w:t>
      </w:r>
      <w:bookmarkEnd w:id="268"/>
      <w:bookmarkEnd w:id="269"/>
      <w:bookmarkEnd w:id="270"/>
      <w:bookmarkEnd w:id="271"/>
    </w:p>
    <w:p w14:paraId="72CE5A1D" w14:textId="34AC1E6F" w:rsidR="003E649A" w:rsidRPr="00FA314F" w:rsidRDefault="00097E01" w:rsidP="00483325">
      <w:pPr>
        <w:rPr>
          <w:rFonts w:cs="Arial"/>
          <w:szCs w:val="22"/>
        </w:rPr>
      </w:pPr>
      <w:bookmarkStart w:id="272" w:name="_Toc431493761"/>
      <w:bookmarkStart w:id="273" w:name="_Toc175991060"/>
      <w:bookmarkStart w:id="274" w:name="_Toc232845906"/>
      <w:r w:rsidRPr="00FA314F">
        <w:rPr>
          <w:rFonts w:cs="Arial"/>
          <w:szCs w:val="22"/>
        </w:rPr>
        <w:t>Seagrass meadows a</w:t>
      </w:r>
      <w:r w:rsidR="00B14701" w:rsidRPr="00FA314F">
        <w:rPr>
          <w:rFonts w:cs="Arial"/>
          <w:szCs w:val="22"/>
        </w:rPr>
        <w:t>c</w:t>
      </w:r>
      <w:r w:rsidRPr="00FA314F">
        <w:rPr>
          <w:rFonts w:cs="Arial"/>
          <w:szCs w:val="22"/>
        </w:rPr>
        <w:t xml:space="preserve">ross the Cape York NRM region </w:t>
      </w:r>
      <w:r w:rsidR="00483325" w:rsidRPr="00FA314F">
        <w:rPr>
          <w:rFonts w:cs="Arial"/>
          <w:szCs w:val="22"/>
        </w:rPr>
        <w:t xml:space="preserve">in 2018–19 remained similar to 2017-18 </w:t>
      </w:r>
      <w:r w:rsidRPr="00FA314F">
        <w:rPr>
          <w:rFonts w:cs="Arial"/>
          <w:szCs w:val="22"/>
        </w:rPr>
        <w:t xml:space="preserve">overall condition, </w:t>
      </w:r>
      <w:r w:rsidR="00483325" w:rsidRPr="00FA314F">
        <w:rPr>
          <w:rFonts w:cs="Arial"/>
          <w:szCs w:val="22"/>
        </w:rPr>
        <w:t xml:space="preserve">with slight improvements in abundance being offset by slight declines in reproductive effort and tissue nutrient </w:t>
      </w:r>
      <w:r w:rsidR="00F9573E" w:rsidRPr="00FA314F">
        <w:rPr>
          <w:rFonts w:cs="Arial"/>
          <w:szCs w:val="22"/>
        </w:rPr>
        <w:t>condition indicators</w:t>
      </w:r>
      <w:r w:rsidR="003E649A" w:rsidRPr="00FA314F">
        <w:rPr>
          <w:rFonts w:cs="Arial"/>
          <w:szCs w:val="22"/>
        </w:rPr>
        <w:t>:</w:t>
      </w:r>
    </w:p>
    <w:p w14:paraId="36F68DDD" w14:textId="728FC804" w:rsidR="003E649A" w:rsidRPr="00FA314F" w:rsidRDefault="003E649A" w:rsidP="003F4D32">
      <w:pPr>
        <w:numPr>
          <w:ilvl w:val="0"/>
          <w:numId w:val="18"/>
        </w:numPr>
        <w:spacing w:after="0"/>
        <w:rPr>
          <w:rFonts w:cs="Arial"/>
          <w:szCs w:val="22"/>
        </w:rPr>
      </w:pPr>
      <w:r w:rsidRPr="00FA314F">
        <w:rPr>
          <w:rFonts w:cs="Arial"/>
          <w:szCs w:val="22"/>
        </w:rPr>
        <w:t>abundance score</w:t>
      </w:r>
      <w:r w:rsidR="004454E4" w:rsidRPr="00FA314F">
        <w:rPr>
          <w:rFonts w:cs="Arial"/>
          <w:szCs w:val="22"/>
        </w:rPr>
        <w:t xml:space="preserve"> </w:t>
      </w:r>
      <w:r w:rsidR="009262B7" w:rsidRPr="00FA314F">
        <w:rPr>
          <w:rFonts w:cs="Arial"/>
          <w:szCs w:val="22"/>
        </w:rPr>
        <w:t>was moderate</w:t>
      </w:r>
    </w:p>
    <w:p w14:paraId="19F79E17" w14:textId="45027227" w:rsidR="003E649A" w:rsidRPr="00FA314F" w:rsidRDefault="003E649A" w:rsidP="003F4D32">
      <w:pPr>
        <w:numPr>
          <w:ilvl w:val="0"/>
          <w:numId w:val="18"/>
        </w:numPr>
        <w:spacing w:after="0"/>
        <w:rPr>
          <w:rFonts w:cs="Arial"/>
          <w:szCs w:val="22"/>
        </w:rPr>
      </w:pPr>
      <w:r w:rsidRPr="00FA314F">
        <w:rPr>
          <w:rFonts w:cs="Arial"/>
          <w:szCs w:val="22"/>
        </w:rPr>
        <w:t>tissue nutrient score</w:t>
      </w:r>
      <w:r w:rsidR="009262B7" w:rsidRPr="00FA314F">
        <w:rPr>
          <w:rFonts w:cs="Arial"/>
          <w:szCs w:val="22"/>
        </w:rPr>
        <w:t xml:space="preserve"> was poor</w:t>
      </w:r>
    </w:p>
    <w:p w14:paraId="3DE550CD" w14:textId="4D1EAD5E" w:rsidR="00F371A6" w:rsidRPr="00FA314F" w:rsidRDefault="003E649A" w:rsidP="003F4D32">
      <w:pPr>
        <w:numPr>
          <w:ilvl w:val="0"/>
          <w:numId w:val="18"/>
        </w:numPr>
        <w:spacing w:after="0"/>
        <w:rPr>
          <w:rFonts w:cs="Arial"/>
          <w:szCs w:val="22"/>
        </w:rPr>
      </w:pPr>
      <w:r w:rsidRPr="00FA314F">
        <w:rPr>
          <w:rFonts w:cs="Arial"/>
          <w:szCs w:val="22"/>
        </w:rPr>
        <w:t>reproductive effort score</w:t>
      </w:r>
      <w:r w:rsidR="00F9573E" w:rsidRPr="00FA314F">
        <w:rPr>
          <w:rFonts w:cs="Arial"/>
          <w:szCs w:val="22"/>
        </w:rPr>
        <w:t xml:space="preserve"> </w:t>
      </w:r>
      <w:r w:rsidR="00A373E6">
        <w:rPr>
          <w:rFonts w:cs="Arial"/>
          <w:szCs w:val="22"/>
        </w:rPr>
        <w:t>was very poor.</w:t>
      </w:r>
    </w:p>
    <w:p w14:paraId="053E7F6D" w14:textId="41D8B4B5" w:rsidR="00F371A6" w:rsidRPr="00FA314F" w:rsidRDefault="00097E01" w:rsidP="00FC5137">
      <w:pPr>
        <w:rPr>
          <w:rFonts w:cs="Arial"/>
          <w:szCs w:val="22"/>
        </w:rPr>
      </w:pPr>
      <w:r w:rsidRPr="00FA314F">
        <w:rPr>
          <w:rFonts w:cs="Arial"/>
          <w:szCs w:val="22"/>
        </w:rPr>
        <w:t xml:space="preserve">On average, </w:t>
      </w:r>
      <w:r w:rsidR="009C2735">
        <w:rPr>
          <w:rFonts w:cs="Arial"/>
          <w:szCs w:val="22"/>
        </w:rPr>
        <w:t>seagrass abundance marginally in</w:t>
      </w:r>
      <w:r w:rsidRPr="00FA314F">
        <w:rPr>
          <w:rFonts w:cs="Arial"/>
          <w:szCs w:val="22"/>
        </w:rPr>
        <w:t xml:space="preserve">creased relative to the previous period. </w:t>
      </w:r>
      <w:r w:rsidR="00CD70E5" w:rsidRPr="00FA314F">
        <w:rPr>
          <w:rFonts w:cs="Arial"/>
          <w:szCs w:val="22"/>
        </w:rPr>
        <w:t>Seagrass a</w:t>
      </w:r>
      <w:r w:rsidR="00F9573E" w:rsidRPr="00FA314F">
        <w:rPr>
          <w:rFonts w:cs="Arial"/>
          <w:szCs w:val="22"/>
        </w:rPr>
        <w:t>bundance (</w:t>
      </w:r>
      <w:r w:rsidR="007F7222">
        <w:rPr>
          <w:rFonts w:cs="Arial"/>
          <w:szCs w:val="22"/>
        </w:rPr>
        <w:t>per cent</w:t>
      </w:r>
      <w:r w:rsidR="00F9573E" w:rsidRPr="00FA314F">
        <w:rPr>
          <w:rFonts w:cs="Arial"/>
          <w:szCs w:val="22"/>
        </w:rPr>
        <w:t xml:space="preserve"> cover) </w:t>
      </w:r>
      <w:r w:rsidR="009C2735">
        <w:rPr>
          <w:rFonts w:cs="Arial"/>
          <w:szCs w:val="22"/>
        </w:rPr>
        <w:t>increased</w:t>
      </w:r>
      <w:r w:rsidRPr="00FA314F">
        <w:rPr>
          <w:rFonts w:cs="Arial"/>
          <w:szCs w:val="22"/>
        </w:rPr>
        <w:t xml:space="preserve"> at </w:t>
      </w:r>
      <w:r w:rsidR="00FD1C74">
        <w:rPr>
          <w:rFonts w:cs="Arial"/>
          <w:szCs w:val="22"/>
        </w:rPr>
        <w:t>half or remained similar at 40</w:t>
      </w:r>
      <w:r w:rsidR="003C311A">
        <w:rPr>
          <w:rFonts w:cs="Arial"/>
          <w:szCs w:val="22"/>
        </w:rPr>
        <w:t xml:space="preserve">% </w:t>
      </w:r>
      <w:r w:rsidR="00FD1C74">
        <w:rPr>
          <w:rFonts w:cs="Arial"/>
          <w:szCs w:val="22"/>
        </w:rPr>
        <w:t xml:space="preserve">of </w:t>
      </w:r>
      <w:r w:rsidRPr="00FA314F">
        <w:rPr>
          <w:rFonts w:cs="Arial"/>
          <w:szCs w:val="22"/>
        </w:rPr>
        <w:t xml:space="preserve">sites across all habitats, </w:t>
      </w:r>
      <w:r w:rsidR="00AC3C5F" w:rsidRPr="00FA314F">
        <w:rPr>
          <w:rFonts w:cs="Arial"/>
          <w:szCs w:val="22"/>
        </w:rPr>
        <w:t xml:space="preserve">predominately in coastal and </w:t>
      </w:r>
      <w:r w:rsidR="00FD1C74">
        <w:rPr>
          <w:rFonts w:cs="Arial"/>
          <w:szCs w:val="22"/>
        </w:rPr>
        <w:t>subtidal</w:t>
      </w:r>
      <w:r w:rsidR="00AC3C5F" w:rsidRPr="00FA314F">
        <w:rPr>
          <w:rFonts w:cs="Arial"/>
          <w:szCs w:val="22"/>
        </w:rPr>
        <w:t xml:space="preserve"> reef </w:t>
      </w:r>
      <w:r w:rsidR="00F9573E" w:rsidRPr="00FA314F">
        <w:rPr>
          <w:rFonts w:cs="Arial"/>
          <w:szCs w:val="22"/>
        </w:rPr>
        <w:t>meadows.</w:t>
      </w:r>
      <w:r w:rsidR="00AC3C5F" w:rsidRPr="00FA314F">
        <w:rPr>
          <w:rFonts w:cs="Arial"/>
          <w:szCs w:val="22"/>
        </w:rPr>
        <w:t xml:space="preserve"> </w:t>
      </w:r>
      <w:r w:rsidR="00FD1C74">
        <w:rPr>
          <w:rFonts w:cs="Arial"/>
          <w:szCs w:val="22"/>
        </w:rPr>
        <w:t>The only declines</w:t>
      </w:r>
      <w:r w:rsidR="00F9573E" w:rsidRPr="00FA314F">
        <w:rPr>
          <w:rFonts w:cs="Arial"/>
          <w:szCs w:val="22"/>
        </w:rPr>
        <w:t xml:space="preserve"> occurred in meadows located </w:t>
      </w:r>
      <w:r w:rsidR="00AC3C5F" w:rsidRPr="00FA314F">
        <w:rPr>
          <w:rFonts w:cs="Arial"/>
          <w:szCs w:val="22"/>
        </w:rPr>
        <w:t xml:space="preserve">in the </w:t>
      </w:r>
      <w:r w:rsidR="00FD1C74">
        <w:rPr>
          <w:rFonts w:cs="Arial"/>
          <w:szCs w:val="22"/>
        </w:rPr>
        <w:t>north</w:t>
      </w:r>
      <w:r w:rsidR="00F9573E" w:rsidRPr="00FA314F">
        <w:rPr>
          <w:rFonts w:cs="Arial"/>
          <w:szCs w:val="22"/>
        </w:rPr>
        <w:t xml:space="preserve"> of the region</w:t>
      </w:r>
      <w:r w:rsidR="00A373E6">
        <w:rPr>
          <w:rFonts w:cs="Arial"/>
          <w:szCs w:val="22"/>
        </w:rPr>
        <w:t>.</w:t>
      </w:r>
    </w:p>
    <w:p w14:paraId="0816EDA3" w14:textId="48699260" w:rsidR="0037063A" w:rsidRPr="006C5F24" w:rsidRDefault="007306C6" w:rsidP="00FC5137">
      <w:pPr>
        <w:rPr>
          <w:rFonts w:cs="Arial"/>
          <w:szCs w:val="22"/>
        </w:rPr>
      </w:pPr>
      <w:r w:rsidRPr="006C5F24">
        <w:rPr>
          <w:rFonts w:cs="Arial"/>
          <w:szCs w:val="22"/>
        </w:rPr>
        <w:t>Seagrass leaf tissue nutrient concentra</w:t>
      </w:r>
      <w:r w:rsidR="007750B9" w:rsidRPr="006C5F24">
        <w:rPr>
          <w:rFonts w:cs="Arial"/>
          <w:szCs w:val="22"/>
        </w:rPr>
        <w:t>t</w:t>
      </w:r>
      <w:r w:rsidRPr="006C5F24">
        <w:rPr>
          <w:rFonts w:cs="Arial"/>
          <w:szCs w:val="22"/>
        </w:rPr>
        <w:t xml:space="preserve">ions </w:t>
      </w:r>
      <w:r w:rsidR="007750B9" w:rsidRPr="006C5F24">
        <w:rPr>
          <w:rFonts w:cs="Arial"/>
          <w:szCs w:val="22"/>
        </w:rPr>
        <w:t xml:space="preserve">in </w:t>
      </w:r>
      <w:r w:rsidR="00956639" w:rsidRPr="006C5F24">
        <w:rPr>
          <w:rFonts w:cs="Arial"/>
          <w:szCs w:val="22"/>
        </w:rPr>
        <w:t>2018–19</w:t>
      </w:r>
      <w:r w:rsidR="007750B9" w:rsidRPr="006C5F24">
        <w:rPr>
          <w:rFonts w:cs="Arial"/>
          <w:szCs w:val="22"/>
        </w:rPr>
        <w:t xml:space="preserve"> </w:t>
      </w:r>
      <w:r w:rsidR="006859E3" w:rsidRPr="006C5F24">
        <w:rPr>
          <w:rFonts w:cs="Arial"/>
          <w:szCs w:val="22"/>
        </w:rPr>
        <w:t>corresponded</w:t>
      </w:r>
      <w:r w:rsidR="007750B9" w:rsidRPr="006C5F24">
        <w:rPr>
          <w:rFonts w:cs="Arial"/>
          <w:szCs w:val="22"/>
        </w:rPr>
        <w:t xml:space="preserve"> with the higher ‘green’ water exposure, </w:t>
      </w:r>
      <w:r w:rsidRPr="006C5F24">
        <w:rPr>
          <w:rFonts w:cs="Arial"/>
          <w:szCs w:val="22"/>
        </w:rPr>
        <w:t>indicat</w:t>
      </w:r>
      <w:r w:rsidR="007750B9" w:rsidRPr="006C5F24">
        <w:rPr>
          <w:rFonts w:cs="Arial"/>
          <w:szCs w:val="22"/>
        </w:rPr>
        <w:t>ing that</w:t>
      </w:r>
      <w:r w:rsidR="007750B9" w:rsidRPr="006C5F24">
        <w:rPr>
          <w:rFonts w:cs="Arial"/>
          <w:iCs/>
          <w:szCs w:val="22"/>
        </w:rPr>
        <w:t xml:space="preserve"> the availability of nitrogen (N), </w:t>
      </w:r>
      <w:r w:rsidR="007750B9" w:rsidRPr="006C5F24">
        <w:rPr>
          <w:rFonts w:cs="Arial"/>
          <w:iCs/>
          <w:szCs w:val="22"/>
        </w:rPr>
        <w:lastRenderedPageBreak/>
        <w:t xml:space="preserve">particularly in coastal habitats, has increased relative to the demand for carbon for growth. However, the N source appears primary natural fixation rather than anthropogenic, and levels are not of concern as they do not appear to have </w:t>
      </w:r>
      <w:r w:rsidR="00B14701" w:rsidRPr="006C5F24">
        <w:rPr>
          <w:rFonts w:cs="Arial"/>
          <w:iCs/>
          <w:szCs w:val="22"/>
        </w:rPr>
        <w:t>significantly</w:t>
      </w:r>
      <w:r w:rsidR="007750B9" w:rsidRPr="006C5F24">
        <w:rPr>
          <w:rFonts w:cs="Arial"/>
          <w:iCs/>
          <w:szCs w:val="22"/>
        </w:rPr>
        <w:t xml:space="preserve"> influenced epiphytic and macroalgae abundances.</w:t>
      </w:r>
      <w:r w:rsidR="00FC5137" w:rsidRPr="006C5F24">
        <w:rPr>
          <w:rFonts w:cs="Arial"/>
          <w:szCs w:val="22"/>
        </w:rPr>
        <w:t xml:space="preserve"> </w:t>
      </w:r>
    </w:p>
    <w:p w14:paraId="3228B4B3" w14:textId="7A334AD4" w:rsidR="00FC5137" w:rsidRPr="006E76E8" w:rsidRDefault="00FC5137" w:rsidP="00FC5137">
      <w:pPr>
        <w:rPr>
          <w:rFonts w:cs="Arial"/>
          <w:szCs w:val="22"/>
        </w:rPr>
      </w:pPr>
      <w:r w:rsidRPr="006E76E8">
        <w:rPr>
          <w:rFonts w:cs="Arial"/>
          <w:szCs w:val="22"/>
        </w:rPr>
        <w:t xml:space="preserve">The capacity for the meadows to recover across the Cape York region is variable between habitats. The large seed banks which persist at intertidal coastal meadows could aid recovery in the short term, if </w:t>
      </w:r>
      <w:r w:rsidR="00B14701" w:rsidRPr="006E76E8">
        <w:rPr>
          <w:rFonts w:cs="Arial"/>
          <w:szCs w:val="22"/>
        </w:rPr>
        <w:t>environmental</w:t>
      </w:r>
      <w:r w:rsidRPr="006E76E8">
        <w:rPr>
          <w:rFonts w:cs="Arial"/>
          <w:szCs w:val="22"/>
        </w:rPr>
        <w:t xml:space="preserve"> conditions are favourable for germination, but the low reproductive effort may limit replenishment and maintenance of the bank in the future. The lack of seeds in most intertidal reef meadows currently limits recovery, </w:t>
      </w:r>
      <w:r w:rsidR="006C5F24" w:rsidRPr="006E76E8">
        <w:rPr>
          <w:rFonts w:cs="Arial"/>
          <w:szCs w:val="22"/>
        </w:rPr>
        <w:t>and</w:t>
      </w:r>
      <w:r w:rsidRPr="006E76E8">
        <w:rPr>
          <w:rFonts w:cs="Arial"/>
          <w:szCs w:val="22"/>
        </w:rPr>
        <w:t xml:space="preserve"> the </w:t>
      </w:r>
      <w:r w:rsidR="006E76E8" w:rsidRPr="006E76E8">
        <w:rPr>
          <w:rFonts w:cs="Arial"/>
          <w:szCs w:val="22"/>
        </w:rPr>
        <w:t>decreased</w:t>
      </w:r>
      <w:r w:rsidRPr="006E76E8">
        <w:rPr>
          <w:rFonts w:cs="Arial"/>
          <w:szCs w:val="22"/>
        </w:rPr>
        <w:t xml:space="preserve"> reproductive effort may </w:t>
      </w:r>
      <w:r w:rsidR="006E76E8" w:rsidRPr="006E76E8">
        <w:rPr>
          <w:rFonts w:cs="Arial"/>
          <w:szCs w:val="22"/>
        </w:rPr>
        <w:t xml:space="preserve">weaken </w:t>
      </w:r>
      <w:r w:rsidRPr="006E76E8">
        <w:rPr>
          <w:rFonts w:cs="Arial"/>
          <w:szCs w:val="22"/>
        </w:rPr>
        <w:t>capacity in the future.</w:t>
      </w:r>
    </w:p>
    <w:p w14:paraId="6741900D" w14:textId="49F7C5E8" w:rsidR="003E649A" w:rsidRPr="006E76E8" w:rsidRDefault="003E649A" w:rsidP="003E649A">
      <w:pPr>
        <w:rPr>
          <w:rFonts w:cs="Arial"/>
          <w:szCs w:val="22"/>
        </w:rPr>
      </w:pPr>
      <w:r w:rsidRPr="006E76E8">
        <w:rPr>
          <w:rFonts w:cs="Arial"/>
          <w:szCs w:val="22"/>
        </w:rPr>
        <w:t>Lastly, the region experienced</w:t>
      </w:r>
      <w:r w:rsidR="0036241C" w:rsidRPr="006E76E8">
        <w:rPr>
          <w:rFonts w:cs="Arial"/>
          <w:szCs w:val="22"/>
        </w:rPr>
        <w:t xml:space="preserve"> above average</w:t>
      </w:r>
      <w:r w:rsidRPr="006E76E8">
        <w:rPr>
          <w:rFonts w:cs="Arial"/>
          <w:szCs w:val="22"/>
        </w:rPr>
        <w:t xml:space="preserve"> elevated within-canopy water temperatures for the </w:t>
      </w:r>
      <w:r w:rsidR="006E76E8" w:rsidRPr="006E76E8">
        <w:rPr>
          <w:rFonts w:cs="Arial"/>
          <w:szCs w:val="22"/>
        </w:rPr>
        <w:t>seventh</w:t>
      </w:r>
      <w:r w:rsidRPr="006E76E8">
        <w:rPr>
          <w:rFonts w:cs="Arial"/>
          <w:szCs w:val="22"/>
        </w:rPr>
        <w:t xml:space="preserve"> consecutive year, which may have exacerbated chronic stress conditions in the intertidal meadows, further impacting growth. </w:t>
      </w:r>
    </w:p>
    <w:p w14:paraId="1F423C0C" w14:textId="0207923E" w:rsidR="00883676" w:rsidRPr="006E76E8" w:rsidRDefault="00883676" w:rsidP="003E649A">
      <w:pPr>
        <w:rPr>
          <w:rFonts w:cs="Arial"/>
          <w:szCs w:val="22"/>
        </w:rPr>
      </w:pPr>
      <w:r w:rsidRPr="006E76E8">
        <w:rPr>
          <w:rFonts w:cs="Arial"/>
          <w:szCs w:val="22"/>
        </w:rPr>
        <w:t xml:space="preserve">An assessment of long-term trends in other Cape York habitats is affected by changes in the number, onset and duration of monitoring at individual sites. An examination of the long-term trend shows seagrass </w:t>
      </w:r>
      <w:r w:rsidR="007F7222">
        <w:rPr>
          <w:rFonts w:cs="Arial"/>
          <w:szCs w:val="22"/>
        </w:rPr>
        <w:t>per cent</w:t>
      </w:r>
      <w:r w:rsidRPr="006E76E8">
        <w:rPr>
          <w:rFonts w:cs="Arial"/>
          <w:szCs w:val="22"/>
        </w:rPr>
        <w:t xml:space="preserve"> cover progressively decreased at intertidal reef habitats across Cape York from 2003 to 2012, with relatively little improvement since. Coastal intertidal and subtidal habitats monitored since 2012 and 2015 respectively, generally showed no </w:t>
      </w:r>
      <w:r w:rsidR="00B14701" w:rsidRPr="006E76E8">
        <w:rPr>
          <w:rFonts w:cs="Arial"/>
          <w:szCs w:val="22"/>
        </w:rPr>
        <w:t>significant</w:t>
      </w:r>
      <w:r w:rsidRPr="006E76E8">
        <w:rPr>
          <w:rFonts w:cs="Arial"/>
          <w:szCs w:val="22"/>
        </w:rPr>
        <w:t xml:space="preserve"> trend. Similarly, </w:t>
      </w:r>
      <w:r w:rsidRPr="006E76E8">
        <w:rPr>
          <w:rFonts w:cs="Arial"/>
          <w:szCs w:val="22"/>
          <w:lang w:val="en-US"/>
        </w:rPr>
        <w:t xml:space="preserve">meadow extent across the region has been relatively stable since 2012. </w:t>
      </w:r>
    </w:p>
    <w:p w14:paraId="5843F6CC" w14:textId="65D5C47C" w:rsidR="006E32D4" w:rsidRPr="00FA314F" w:rsidRDefault="002D353D" w:rsidP="0096301D">
      <w:pPr>
        <w:keepNext/>
        <w:widowControl w:val="0"/>
        <w:jc w:val="center"/>
        <w:rPr>
          <w:rFonts w:cs="Arial"/>
          <w:noProof/>
          <w:color w:val="000000"/>
          <w:szCs w:val="22"/>
          <w:lang w:eastAsia="en-AU"/>
        </w:rPr>
      </w:pPr>
      <w:r w:rsidRPr="00FA314F">
        <w:rPr>
          <w:rFonts w:cs="Arial"/>
          <w:noProof/>
          <w:color w:val="000000"/>
          <w:szCs w:val="22"/>
          <w:lang w:eastAsia="en-AU"/>
        </w:rPr>
        <w:lastRenderedPageBreak/>
        <w:drawing>
          <wp:inline distT="0" distB="0" distL="0" distR="0" wp14:anchorId="3521960D" wp14:editId="25163151">
            <wp:extent cx="4548444" cy="2970726"/>
            <wp:effectExtent l="0" t="0" r="5080" b="1270"/>
            <wp:docPr id="6" name="Picture 6" descr="Scatter plot with straight lines and markers showing seagrass condition index (including standard errors), with contributing indicator scores for the Cape York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X_CY_2016.png"/>
                    <pic:cNvPicPr/>
                  </pic:nvPicPr>
                  <pic:blipFill>
                    <a:blip r:embed="rId79"/>
                    <a:stretch>
                      <a:fillRect/>
                    </a:stretch>
                  </pic:blipFill>
                  <pic:spPr>
                    <a:xfrm>
                      <a:off x="0" y="0"/>
                      <a:ext cx="4548444" cy="2970726"/>
                    </a:xfrm>
                    <a:prstGeom prst="rect">
                      <a:avLst/>
                    </a:prstGeom>
                  </pic:spPr>
                </pic:pic>
              </a:graphicData>
            </a:graphic>
          </wp:inline>
        </w:drawing>
      </w:r>
    </w:p>
    <w:p w14:paraId="425FD56A" w14:textId="794EF72B" w:rsidR="006E32D4" w:rsidRPr="00FA314F" w:rsidRDefault="006E32D4" w:rsidP="006E32D4">
      <w:pPr>
        <w:rPr>
          <w:rFonts w:cs="Arial"/>
          <w:i/>
          <w:vanish/>
          <w:color w:val="000000"/>
          <w:szCs w:val="22"/>
          <w:specVanish/>
        </w:rPr>
      </w:pPr>
      <w:bookmarkStart w:id="275" w:name="_Ref385233470"/>
      <w:bookmarkStart w:id="276" w:name="_Toc431493825"/>
      <w:bookmarkStart w:id="277" w:name="_Toc38634130"/>
      <w:r w:rsidRPr="00FA314F">
        <w:rPr>
          <w:rFonts w:cs="Arial"/>
          <w:color w:val="000000"/>
          <w:szCs w:val="22"/>
        </w:rPr>
        <w:t xml:space="preserve">Figure </w:t>
      </w:r>
      <w:r w:rsidRPr="00FA314F">
        <w:rPr>
          <w:rFonts w:cs="Arial"/>
          <w:color w:val="000000"/>
          <w:szCs w:val="22"/>
        </w:rPr>
        <w:fldChar w:fldCharType="begin"/>
      </w:r>
      <w:r w:rsidRPr="00FA314F">
        <w:rPr>
          <w:rFonts w:cs="Arial"/>
          <w:color w:val="000000"/>
          <w:szCs w:val="22"/>
        </w:rPr>
        <w:instrText xml:space="preserve"> SEQ Figure \* ARABIC </w:instrText>
      </w:r>
      <w:r w:rsidRPr="00FA314F">
        <w:rPr>
          <w:rFonts w:cs="Arial"/>
          <w:color w:val="000000"/>
          <w:szCs w:val="22"/>
        </w:rPr>
        <w:fldChar w:fldCharType="separate"/>
      </w:r>
      <w:r w:rsidR="0067675D">
        <w:rPr>
          <w:rFonts w:cs="Arial"/>
          <w:noProof/>
          <w:color w:val="000000"/>
          <w:szCs w:val="22"/>
        </w:rPr>
        <w:t>26</w:t>
      </w:r>
      <w:r w:rsidRPr="00FA314F">
        <w:rPr>
          <w:rFonts w:cs="Arial"/>
          <w:color w:val="000000"/>
          <w:szCs w:val="22"/>
        </w:rPr>
        <w:fldChar w:fldCharType="end"/>
      </w:r>
      <w:bookmarkEnd w:id="275"/>
      <w:r w:rsidRPr="00FA314F">
        <w:rPr>
          <w:rFonts w:cs="Arial"/>
          <w:color w:val="000000"/>
          <w:szCs w:val="22"/>
        </w:rPr>
        <w:t xml:space="preserve">. </w:t>
      </w:r>
      <w:r w:rsidR="0096301D" w:rsidRPr="00FA314F">
        <w:rPr>
          <w:rFonts w:cs="Arial"/>
          <w:i/>
          <w:szCs w:val="22"/>
        </w:rPr>
        <w:t>Seagrass condition index (±SE) with contributing indicator scores</w:t>
      </w:r>
      <w:r w:rsidR="0096301D" w:rsidRPr="00FA314F">
        <w:rPr>
          <w:rFonts w:cs="Arial"/>
          <w:i/>
          <w:color w:val="000000"/>
          <w:szCs w:val="22"/>
        </w:rPr>
        <w:t xml:space="preserve"> </w:t>
      </w:r>
      <w:r w:rsidRPr="00FA314F">
        <w:rPr>
          <w:rFonts w:cs="Arial"/>
          <w:i/>
          <w:color w:val="000000"/>
          <w:szCs w:val="22"/>
        </w:rPr>
        <w:t>for the Cape York NRM region</w:t>
      </w:r>
      <w:bookmarkEnd w:id="276"/>
      <w:bookmarkEnd w:id="277"/>
    </w:p>
    <w:p w14:paraId="07A41525" w14:textId="0BC1FA78" w:rsidR="006A06EC" w:rsidRPr="00FA314F" w:rsidRDefault="006E32D4" w:rsidP="006E32D4">
      <w:pPr>
        <w:rPr>
          <w:rFonts w:cs="Arial"/>
          <w:i/>
          <w:szCs w:val="22"/>
        </w:rPr>
      </w:pPr>
      <w:r w:rsidRPr="00FA314F">
        <w:rPr>
          <w:rFonts w:cs="Arial"/>
          <w:i/>
          <w:color w:val="000000"/>
          <w:szCs w:val="22"/>
        </w:rPr>
        <w:t xml:space="preserve"> </w:t>
      </w:r>
      <w:r w:rsidRPr="00FA314F">
        <w:rPr>
          <w:rFonts w:cs="Arial"/>
          <w:i/>
          <w:szCs w:val="22"/>
        </w:rPr>
        <w:t xml:space="preserve">(averaged across habitats and sites). </w:t>
      </w:r>
      <w:r w:rsidR="0096301D" w:rsidRPr="00FA314F">
        <w:rPr>
          <w:rFonts w:cs="Arial"/>
          <w:i/>
          <w:color w:val="000000"/>
          <w:szCs w:val="22"/>
        </w:rPr>
        <w:t>I</w:t>
      </w:r>
      <w:r w:rsidR="0096301D" w:rsidRPr="00FA314F">
        <w:rPr>
          <w:rFonts w:cs="Arial"/>
          <w:i/>
          <w:szCs w:val="22"/>
        </w:rPr>
        <w:t>ndex scores scaled from 0-100 and graded:</w:t>
      </w:r>
      <w:r w:rsidRPr="00FA314F">
        <w:rPr>
          <w:rFonts w:cs="Arial"/>
          <w:i/>
          <w:szCs w:val="22"/>
        </w:rPr>
        <w:t xml:space="preserve"> </w:t>
      </w:r>
      <w:r w:rsidR="00F53D95" w:rsidRPr="00FA314F">
        <w:rPr>
          <w:rFonts w:cs="Arial"/>
          <w:color w:val="008000"/>
          <w:szCs w:val="22"/>
        </w:rPr>
        <w:t>●</w:t>
      </w:r>
      <w:r w:rsidRPr="00FA314F">
        <w:rPr>
          <w:rFonts w:cs="Arial"/>
          <w:i/>
          <w:szCs w:val="22"/>
        </w:rPr>
        <w:t xml:space="preserve"> = very good (81-100), </w:t>
      </w:r>
      <w:r w:rsidR="00F53D95" w:rsidRPr="00FA314F">
        <w:rPr>
          <w:rFonts w:cs="Arial"/>
          <w:color w:val="92D050"/>
          <w:szCs w:val="22"/>
        </w:rPr>
        <w:t>●</w:t>
      </w:r>
      <w:r w:rsidRPr="00FA314F">
        <w:rPr>
          <w:rFonts w:cs="Arial"/>
          <w:i/>
          <w:szCs w:val="22"/>
        </w:rPr>
        <w:t xml:space="preserve"> = good (61 - 80), </w:t>
      </w:r>
      <w:r w:rsidR="00F53D95" w:rsidRPr="00FA314F">
        <w:rPr>
          <w:rFonts w:cs="Arial"/>
          <w:color w:val="FFFF00"/>
          <w:szCs w:val="22"/>
        </w:rPr>
        <w:t>●</w:t>
      </w:r>
      <w:r w:rsidRPr="00FA314F">
        <w:rPr>
          <w:rFonts w:cs="Arial"/>
          <w:i/>
          <w:szCs w:val="22"/>
        </w:rPr>
        <w:t xml:space="preserve"> = moderate (41 - 60), </w:t>
      </w:r>
      <w:r w:rsidR="00402F09" w:rsidRPr="00FA314F">
        <w:rPr>
          <w:rFonts w:cs="Arial"/>
          <w:i/>
          <w:color w:val="FFC000"/>
          <w:szCs w:val="22"/>
        </w:rPr>
        <w:t>●</w:t>
      </w:r>
      <w:r w:rsidRPr="00FA314F">
        <w:rPr>
          <w:rFonts w:cs="Arial"/>
          <w:i/>
          <w:szCs w:val="22"/>
        </w:rPr>
        <w:t xml:space="preserve"> = poor (21 - 40), </w:t>
      </w:r>
      <w:r w:rsidR="00402F09" w:rsidRPr="00FA314F">
        <w:rPr>
          <w:rFonts w:cs="Arial"/>
          <w:i/>
          <w:color w:val="FF0000"/>
          <w:szCs w:val="22"/>
        </w:rPr>
        <w:t>●</w:t>
      </w:r>
      <w:r w:rsidRPr="00FA314F">
        <w:rPr>
          <w:rFonts w:cs="Arial"/>
          <w:i/>
          <w:szCs w:val="22"/>
        </w:rPr>
        <w:t> = very poor (0 - 20).</w:t>
      </w:r>
      <w:r w:rsidRPr="00FA314F">
        <w:rPr>
          <w:rFonts w:cs="Arial"/>
          <w:i/>
          <w:color w:val="000000"/>
          <w:szCs w:val="22"/>
        </w:rPr>
        <w:t xml:space="preserve"> NB: Scores</w:t>
      </w:r>
      <w:r w:rsidRPr="00FA314F">
        <w:rPr>
          <w:rFonts w:cs="Arial"/>
          <w:i/>
          <w:szCs w:val="22"/>
        </w:rPr>
        <w:t xml:space="preserve"> are unitless.</w:t>
      </w:r>
    </w:p>
    <w:p w14:paraId="74A8F263" w14:textId="200C50CB" w:rsidR="0069228A" w:rsidRPr="00431DDA" w:rsidRDefault="0069228A" w:rsidP="000150D8">
      <w:pPr>
        <w:pStyle w:val="Heading3"/>
      </w:pPr>
      <w:bookmarkStart w:id="278" w:name="_Toc37775068"/>
      <w:bookmarkStart w:id="279" w:name="_Toc43987043"/>
      <w:r w:rsidRPr="00431DDA">
        <w:t>Climate and environmental pressures</w:t>
      </w:r>
      <w:bookmarkEnd w:id="278"/>
      <w:bookmarkEnd w:id="279"/>
    </w:p>
    <w:p w14:paraId="4B6571AF" w14:textId="119161DB" w:rsidR="00230324" w:rsidRDefault="00230324" w:rsidP="00230324">
      <w:r w:rsidDel="008500CE">
        <w:t xml:space="preserve">Multiple </w:t>
      </w:r>
      <w:r>
        <w:t xml:space="preserve">large flood events </w:t>
      </w:r>
      <w:r w:rsidDel="008500CE">
        <w:t>influenced Cape York marine waters during the 201</w:t>
      </w:r>
      <w:r>
        <w:t>8–19</w:t>
      </w:r>
      <w:r w:rsidDel="008500CE">
        <w:t xml:space="preserve"> wet season. </w:t>
      </w:r>
      <w:r>
        <w:t xml:space="preserve">Major flood events were associated </w:t>
      </w:r>
      <w:r w:rsidRPr="00F309BA">
        <w:t xml:space="preserve">with </w:t>
      </w:r>
      <w:r>
        <w:t>c</w:t>
      </w:r>
      <w:r w:rsidRPr="00F309BA">
        <w:t xml:space="preserve">yclone Penny in late December 2018, </w:t>
      </w:r>
      <w:r w:rsidR="001A20FD">
        <w:t xml:space="preserve">with </w:t>
      </w:r>
      <w:r w:rsidRPr="00F309BA">
        <w:t xml:space="preserve">extensive sustained rainfall in late January and </w:t>
      </w:r>
      <w:r>
        <w:t>c</w:t>
      </w:r>
      <w:r w:rsidRPr="00F309BA">
        <w:t>yclone Trevor in mid</w:t>
      </w:r>
      <w:r>
        <w:t xml:space="preserve">- to </w:t>
      </w:r>
      <w:r w:rsidRPr="00F309BA">
        <w:t>late March.</w:t>
      </w:r>
    </w:p>
    <w:p w14:paraId="47B6F485" w14:textId="4E8603E6" w:rsidR="00906FE6" w:rsidRPr="00AE7979" w:rsidRDefault="00AF3B05" w:rsidP="00906FE6">
      <w:pPr>
        <w:rPr>
          <w:rFonts w:cs="Arial"/>
          <w:szCs w:val="22"/>
        </w:rPr>
      </w:pPr>
      <w:r w:rsidRPr="00FA314F">
        <w:rPr>
          <w:rFonts w:cs="Arial"/>
          <w:color w:val="000000" w:themeColor="text1"/>
          <w:szCs w:val="22"/>
        </w:rPr>
        <w:t>River discharge</w:t>
      </w:r>
      <w:r w:rsidR="003A06A4" w:rsidRPr="00FA314F">
        <w:rPr>
          <w:rFonts w:cs="Arial"/>
          <w:color w:val="000000" w:themeColor="text1"/>
          <w:szCs w:val="22"/>
        </w:rPr>
        <w:t xml:space="preserve"> </w:t>
      </w:r>
      <w:r w:rsidR="00DF41E4" w:rsidRPr="00FA314F">
        <w:rPr>
          <w:rFonts w:cs="Arial"/>
          <w:color w:val="000000" w:themeColor="text1"/>
          <w:szCs w:val="22"/>
        </w:rPr>
        <w:t xml:space="preserve">during the </w:t>
      </w:r>
      <w:r w:rsidR="00956639" w:rsidRPr="00FA314F">
        <w:rPr>
          <w:rFonts w:cs="Arial"/>
          <w:color w:val="000000" w:themeColor="text1"/>
          <w:szCs w:val="22"/>
        </w:rPr>
        <w:t>2018–19</w:t>
      </w:r>
      <w:r w:rsidR="00C10A9F" w:rsidRPr="00FA314F">
        <w:rPr>
          <w:rFonts w:cs="Arial"/>
          <w:color w:val="000000" w:themeColor="text1"/>
          <w:szCs w:val="22"/>
        </w:rPr>
        <w:t xml:space="preserve"> </w:t>
      </w:r>
      <w:r w:rsidR="00DF41E4" w:rsidRPr="00FA314F">
        <w:rPr>
          <w:rFonts w:cs="Arial"/>
          <w:color w:val="000000" w:themeColor="text1"/>
          <w:szCs w:val="22"/>
        </w:rPr>
        <w:t xml:space="preserve">wet season was </w:t>
      </w:r>
      <w:r w:rsidR="00FD1C74">
        <w:rPr>
          <w:rFonts w:cs="Arial"/>
          <w:color w:val="000000" w:themeColor="text1"/>
          <w:szCs w:val="22"/>
        </w:rPr>
        <w:t xml:space="preserve">more than double the </w:t>
      </w:r>
      <w:r w:rsidR="00DF41E4" w:rsidRPr="00FA314F">
        <w:rPr>
          <w:rFonts w:cs="Arial"/>
          <w:color w:val="000000" w:themeColor="text1"/>
          <w:szCs w:val="22"/>
        </w:rPr>
        <w:t xml:space="preserve">long-term average </w:t>
      </w:r>
      <w:r w:rsidR="00FD1C74">
        <w:rPr>
          <w:rFonts w:cs="Arial"/>
          <w:color w:val="000000" w:themeColor="text1"/>
          <w:szCs w:val="22"/>
        </w:rPr>
        <w:t>from most</w:t>
      </w:r>
      <w:r w:rsidR="00DF41E4" w:rsidRPr="00FA314F">
        <w:rPr>
          <w:rFonts w:cs="Arial"/>
          <w:color w:val="000000" w:themeColor="text1"/>
          <w:szCs w:val="22"/>
        </w:rPr>
        <w:t xml:space="preserve"> </w:t>
      </w:r>
      <w:r w:rsidR="0049600F" w:rsidRPr="00822486">
        <w:rPr>
          <w:rFonts w:cs="Arial"/>
          <w:szCs w:val="22"/>
        </w:rPr>
        <w:t>b</w:t>
      </w:r>
      <w:r w:rsidR="00DF41E4" w:rsidRPr="00822486">
        <w:rPr>
          <w:rFonts w:cs="Arial"/>
          <w:szCs w:val="22"/>
        </w:rPr>
        <w:t>asin</w:t>
      </w:r>
      <w:r w:rsidR="00C85E1B" w:rsidRPr="00822486">
        <w:rPr>
          <w:rFonts w:cs="Arial"/>
          <w:szCs w:val="22"/>
        </w:rPr>
        <w:t>s</w:t>
      </w:r>
      <w:r w:rsidR="00DF41E4" w:rsidRPr="00822486">
        <w:rPr>
          <w:rFonts w:cs="Arial"/>
          <w:szCs w:val="22"/>
        </w:rPr>
        <w:t xml:space="preserve"> within the </w:t>
      </w:r>
      <w:r w:rsidR="00C10A9F" w:rsidRPr="00822486">
        <w:rPr>
          <w:rFonts w:cs="Arial"/>
          <w:szCs w:val="22"/>
        </w:rPr>
        <w:t xml:space="preserve">Cape York NRM </w:t>
      </w:r>
      <w:r w:rsidR="003A03FE" w:rsidRPr="00822486">
        <w:rPr>
          <w:rFonts w:cs="Arial"/>
          <w:szCs w:val="22"/>
        </w:rPr>
        <w:t xml:space="preserve">region, </w:t>
      </w:r>
      <w:r w:rsidR="00CD1928">
        <w:rPr>
          <w:rFonts w:cs="Arial"/>
          <w:szCs w:val="22"/>
        </w:rPr>
        <w:t>and more than three times the long-term median in the Normanby and Endeavour Rivers</w:t>
      </w:r>
      <w:r w:rsidR="00C85E1B" w:rsidRPr="00822486">
        <w:rPr>
          <w:rFonts w:cs="Arial"/>
          <w:szCs w:val="22"/>
        </w:rPr>
        <w:t xml:space="preserve"> </w:t>
      </w:r>
      <w:r w:rsidR="002B494C" w:rsidRPr="00822486">
        <w:rPr>
          <w:rFonts w:cs="Arial"/>
          <w:szCs w:val="22"/>
        </w:rPr>
        <w:t>(</w:t>
      </w:r>
      <w:r w:rsidR="00C85E1B" w:rsidRPr="00822486">
        <w:rPr>
          <w:rFonts w:cs="Arial"/>
          <w:szCs w:val="22"/>
        </w:rPr>
        <w:fldChar w:fldCharType="begin"/>
      </w:r>
      <w:r w:rsidR="00C85E1B" w:rsidRPr="00822486">
        <w:rPr>
          <w:rFonts w:cs="Arial"/>
          <w:szCs w:val="22"/>
        </w:rPr>
        <w:instrText xml:space="preserve"> REF _Ref530411621 \h </w:instrText>
      </w:r>
      <w:r w:rsidR="00F12EEC" w:rsidRPr="00822486">
        <w:rPr>
          <w:rFonts w:cs="Arial"/>
          <w:szCs w:val="22"/>
        </w:rPr>
        <w:instrText xml:space="preserve"> \* MERGEFORMAT </w:instrText>
      </w:r>
      <w:r w:rsidR="00C85E1B" w:rsidRPr="00822486">
        <w:rPr>
          <w:rFonts w:cs="Arial"/>
          <w:szCs w:val="22"/>
        </w:rPr>
      </w:r>
      <w:r w:rsidR="00C85E1B" w:rsidRPr="00822486">
        <w:rPr>
          <w:rFonts w:cs="Arial"/>
          <w:szCs w:val="22"/>
        </w:rPr>
        <w:fldChar w:fldCharType="separate"/>
      </w:r>
      <w:r w:rsidR="0067675D" w:rsidRPr="00FA314F">
        <w:rPr>
          <w:rFonts w:cs="Arial"/>
          <w:szCs w:val="22"/>
        </w:rPr>
        <w:t xml:space="preserve">Figure </w:t>
      </w:r>
      <w:r w:rsidR="0067675D">
        <w:rPr>
          <w:rFonts w:cs="Arial"/>
          <w:noProof/>
          <w:szCs w:val="22"/>
        </w:rPr>
        <w:t>27</w:t>
      </w:r>
      <w:r w:rsidR="00C85E1B" w:rsidRPr="00822486">
        <w:rPr>
          <w:rFonts w:cs="Arial"/>
          <w:szCs w:val="22"/>
        </w:rPr>
        <w:fldChar w:fldCharType="end"/>
      </w:r>
      <w:r w:rsidR="002B494C" w:rsidRPr="00822486">
        <w:rPr>
          <w:rFonts w:cs="Arial"/>
          <w:szCs w:val="22"/>
        </w:rPr>
        <w:t>)</w:t>
      </w:r>
      <w:r w:rsidR="00685BA0" w:rsidRPr="00822486">
        <w:rPr>
          <w:rFonts w:cs="Arial"/>
          <w:szCs w:val="22"/>
        </w:rPr>
        <w:t xml:space="preserve">. </w:t>
      </w:r>
      <w:r w:rsidR="001A7D04">
        <w:rPr>
          <w:rFonts w:cs="Arial"/>
          <w:szCs w:val="22"/>
        </w:rPr>
        <w:t xml:space="preserve">The extent of river influence on the Reef (using model tracers), and the exposure levels and risk from turbid </w:t>
      </w:r>
      <w:r w:rsidR="001A7D04" w:rsidRPr="00822486">
        <w:rPr>
          <w:rFonts w:cs="Arial"/>
          <w:szCs w:val="22"/>
        </w:rPr>
        <w:t>primary (‘brown’, sediment laden</w:t>
      </w:r>
      <w:r w:rsidR="004E396E">
        <w:rPr>
          <w:rFonts w:cs="Arial"/>
          <w:szCs w:val="22"/>
        </w:rPr>
        <w:t xml:space="preserve"> colour classes one to four</w:t>
      </w:r>
      <w:r w:rsidR="001A7D04" w:rsidRPr="00822486">
        <w:rPr>
          <w:rFonts w:cs="Arial"/>
          <w:szCs w:val="22"/>
        </w:rPr>
        <w:t xml:space="preserve">) </w:t>
      </w:r>
      <w:r w:rsidR="001A7D04">
        <w:rPr>
          <w:rFonts w:cs="Arial"/>
          <w:szCs w:val="22"/>
        </w:rPr>
        <w:t xml:space="preserve">and </w:t>
      </w:r>
      <w:r w:rsidR="001A7D04" w:rsidRPr="00822486">
        <w:rPr>
          <w:rFonts w:cs="Arial"/>
          <w:szCs w:val="22"/>
        </w:rPr>
        <w:t>secondary water type (‘green’, phytoplankton rich water</w:t>
      </w:r>
      <w:r w:rsidR="004E396E">
        <w:rPr>
          <w:rFonts w:cs="Arial"/>
          <w:szCs w:val="22"/>
        </w:rPr>
        <w:t xml:space="preserve">, colour </w:t>
      </w:r>
      <w:r w:rsidR="005B1F00">
        <w:rPr>
          <w:rFonts w:cs="Arial"/>
          <w:szCs w:val="22"/>
        </w:rPr>
        <w:t>class</w:t>
      </w:r>
      <w:r w:rsidR="004E396E">
        <w:rPr>
          <w:rFonts w:cs="Arial"/>
          <w:szCs w:val="22"/>
        </w:rPr>
        <w:t xml:space="preserve"> five</w:t>
      </w:r>
      <w:r w:rsidR="001A7D04" w:rsidRPr="00822486">
        <w:rPr>
          <w:rFonts w:cs="Arial"/>
          <w:szCs w:val="22"/>
        </w:rPr>
        <w:t>)</w:t>
      </w:r>
      <w:r w:rsidR="001A7D04">
        <w:rPr>
          <w:rFonts w:cs="Arial"/>
          <w:szCs w:val="22"/>
        </w:rPr>
        <w:t xml:space="preserve"> </w:t>
      </w:r>
      <w:r w:rsidR="004E396E">
        <w:rPr>
          <w:rFonts w:cs="Arial"/>
          <w:szCs w:val="22"/>
        </w:rPr>
        <w:t xml:space="preserve">using MODIS satellite products </w:t>
      </w:r>
      <w:r w:rsidR="001A7D04">
        <w:rPr>
          <w:rFonts w:cs="Arial"/>
          <w:szCs w:val="22"/>
        </w:rPr>
        <w:t xml:space="preserve">is detailed in Gruber et al (2020). </w:t>
      </w:r>
      <w:r w:rsidR="00906FE6" w:rsidRPr="00822486">
        <w:rPr>
          <w:rFonts w:cs="Arial"/>
          <w:szCs w:val="22"/>
        </w:rPr>
        <w:t>The inshore waters of Cape York had predominantly secondary water type</w:t>
      </w:r>
      <w:r w:rsidR="00754DE9" w:rsidRPr="00822486">
        <w:rPr>
          <w:rFonts w:cs="Arial"/>
          <w:szCs w:val="22"/>
        </w:rPr>
        <w:t xml:space="preserve"> (</w:t>
      </w:r>
      <w:r w:rsidR="00523918" w:rsidRPr="00822486">
        <w:rPr>
          <w:rFonts w:cs="Arial"/>
          <w:szCs w:val="22"/>
        </w:rPr>
        <w:t>‘</w:t>
      </w:r>
      <w:r w:rsidR="00754DE9" w:rsidRPr="00822486">
        <w:rPr>
          <w:rFonts w:cs="Arial"/>
          <w:szCs w:val="22"/>
        </w:rPr>
        <w:t>green</w:t>
      </w:r>
      <w:r w:rsidR="00523918" w:rsidRPr="00822486">
        <w:rPr>
          <w:rFonts w:cs="Arial"/>
          <w:szCs w:val="22"/>
        </w:rPr>
        <w:t>’</w:t>
      </w:r>
      <w:r w:rsidR="00754DE9" w:rsidRPr="00822486">
        <w:rPr>
          <w:rFonts w:cs="Arial"/>
          <w:szCs w:val="22"/>
        </w:rPr>
        <w:t>, phytoplankton rich water)</w:t>
      </w:r>
      <w:r w:rsidR="00906FE6" w:rsidRPr="00822486">
        <w:rPr>
          <w:rFonts w:cs="Arial"/>
          <w:szCs w:val="22"/>
        </w:rPr>
        <w:t xml:space="preserve">, and some </w:t>
      </w:r>
      <w:r w:rsidR="001A7D04">
        <w:rPr>
          <w:rFonts w:cs="Arial"/>
          <w:szCs w:val="22"/>
        </w:rPr>
        <w:lastRenderedPageBreak/>
        <w:t xml:space="preserve">brown </w:t>
      </w:r>
      <w:r w:rsidR="00754DE9" w:rsidRPr="00822486">
        <w:rPr>
          <w:rFonts w:cs="Arial"/>
          <w:szCs w:val="22"/>
        </w:rPr>
        <w:t>turbid</w:t>
      </w:r>
      <w:r w:rsidR="00523918" w:rsidRPr="00822486">
        <w:rPr>
          <w:rFonts w:cs="Arial"/>
          <w:szCs w:val="22"/>
        </w:rPr>
        <w:t xml:space="preserve"> water</w:t>
      </w:r>
      <w:r w:rsidR="00754DE9" w:rsidRPr="00822486">
        <w:rPr>
          <w:rFonts w:cs="Arial"/>
          <w:szCs w:val="22"/>
        </w:rPr>
        <w:t xml:space="preserve"> </w:t>
      </w:r>
      <w:r w:rsidR="00906FE6" w:rsidRPr="00822486">
        <w:rPr>
          <w:rFonts w:cs="Arial"/>
          <w:szCs w:val="22"/>
        </w:rPr>
        <w:t>exposure through the wet season (</w:t>
      </w:r>
      <w:r w:rsidR="00523918" w:rsidRPr="00822486">
        <w:rPr>
          <w:rFonts w:cs="Arial"/>
          <w:szCs w:val="22"/>
        </w:rPr>
        <w:t>December</w:t>
      </w:r>
      <w:r w:rsidR="00906FE6" w:rsidRPr="00822486">
        <w:rPr>
          <w:rFonts w:cs="Arial"/>
          <w:szCs w:val="22"/>
        </w:rPr>
        <w:t>-April</w:t>
      </w:r>
      <w:r w:rsidR="00E5349B" w:rsidRPr="00822486">
        <w:rPr>
          <w:rFonts w:cs="Arial"/>
          <w:szCs w:val="22"/>
        </w:rPr>
        <w:t>;</w:t>
      </w:r>
      <w:r w:rsidR="00523918" w:rsidRPr="00822486">
        <w:rPr>
          <w:rFonts w:cs="Arial"/>
          <w:szCs w:val="22"/>
        </w:rPr>
        <w:t xml:space="preserve"> </w:t>
      </w:r>
      <w:r w:rsidRPr="00822486">
        <w:rPr>
          <w:rFonts w:cs="Arial"/>
          <w:szCs w:val="22"/>
        </w:rPr>
        <w:fldChar w:fldCharType="begin"/>
      </w:r>
      <w:r w:rsidRPr="00822486">
        <w:rPr>
          <w:rFonts w:cs="Arial"/>
          <w:szCs w:val="22"/>
        </w:rPr>
        <w:instrText xml:space="preserve"> REF _Ref530411621 \h  \* MERGEFORMAT </w:instrText>
      </w:r>
      <w:r w:rsidRPr="00822486">
        <w:rPr>
          <w:rFonts w:cs="Arial"/>
          <w:szCs w:val="22"/>
        </w:rPr>
      </w:r>
      <w:r w:rsidRPr="00822486">
        <w:rPr>
          <w:rFonts w:cs="Arial"/>
          <w:szCs w:val="22"/>
        </w:rPr>
        <w:fldChar w:fldCharType="separate"/>
      </w:r>
      <w:r w:rsidR="0067675D" w:rsidRPr="00FA314F">
        <w:rPr>
          <w:rFonts w:cs="Arial"/>
          <w:szCs w:val="22"/>
        </w:rPr>
        <w:t xml:space="preserve">Figure </w:t>
      </w:r>
      <w:r w:rsidR="0067675D">
        <w:rPr>
          <w:rFonts w:cs="Arial"/>
          <w:noProof/>
          <w:szCs w:val="22"/>
        </w:rPr>
        <w:t>27</w:t>
      </w:r>
      <w:r w:rsidRPr="00822486">
        <w:rPr>
          <w:rFonts w:cs="Arial"/>
          <w:szCs w:val="22"/>
        </w:rPr>
        <w:fldChar w:fldCharType="end"/>
      </w:r>
      <w:r w:rsidR="000172D4" w:rsidRPr="00822486">
        <w:rPr>
          <w:rFonts w:cs="Arial"/>
          <w:szCs w:val="22"/>
        </w:rPr>
        <w:t xml:space="preserve">). </w:t>
      </w:r>
      <w:r w:rsidR="007A70FE" w:rsidRPr="00822486">
        <w:rPr>
          <w:rFonts w:cs="Arial"/>
          <w:szCs w:val="22"/>
        </w:rPr>
        <w:t>Shelburne</w:t>
      </w:r>
      <w:r w:rsidR="000172D4" w:rsidRPr="00822486">
        <w:rPr>
          <w:rFonts w:cs="Arial"/>
          <w:szCs w:val="22"/>
        </w:rPr>
        <w:t xml:space="preserve"> Bay </w:t>
      </w:r>
      <w:r w:rsidRPr="00822486">
        <w:rPr>
          <w:rFonts w:cs="Arial"/>
          <w:szCs w:val="22"/>
        </w:rPr>
        <w:t>sit</w:t>
      </w:r>
      <w:r w:rsidR="00C10A9F" w:rsidRPr="00822486">
        <w:rPr>
          <w:rFonts w:cs="Arial"/>
          <w:szCs w:val="22"/>
        </w:rPr>
        <w:t>e</w:t>
      </w:r>
      <w:r w:rsidRPr="00822486">
        <w:rPr>
          <w:rFonts w:cs="Arial"/>
          <w:szCs w:val="22"/>
        </w:rPr>
        <w:t xml:space="preserve">s (SR1 and SR2) </w:t>
      </w:r>
      <w:r w:rsidR="000172D4" w:rsidRPr="00822486">
        <w:rPr>
          <w:rFonts w:cs="Arial"/>
          <w:szCs w:val="22"/>
        </w:rPr>
        <w:t>had the highest expo</w:t>
      </w:r>
      <w:r w:rsidR="00523918" w:rsidRPr="00822486">
        <w:rPr>
          <w:rFonts w:cs="Arial"/>
          <w:szCs w:val="22"/>
        </w:rPr>
        <w:t>sure to turbid primary water</w:t>
      </w:r>
      <w:r w:rsidR="00FA6070" w:rsidRPr="00822486">
        <w:rPr>
          <w:rFonts w:cs="Arial"/>
          <w:szCs w:val="22"/>
        </w:rPr>
        <w:t xml:space="preserve">, </w:t>
      </w:r>
      <w:r w:rsidR="00892CD7" w:rsidRPr="00822486">
        <w:rPr>
          <w:rFonts w:cs="Arial"/>
          <w:szCs w:val="22"/>
        </w:rPr>
        <w:t>consistent with</w:t>
      </w:r>
      <w:r w:rsidR="00FA6070" w:rsidRPr="00822486">
        <w:rPr>
          <w:rFonts w:cs="Arial"/>
          <w:szCs w:val="22"/>
        </w:rPr>
        <w:t xml:space="preserve"> </w:t>
      </w:r>
      <w:r w:rsidR="00FA6070" w:rsidRPr="00AE7979">
        <w:rPr>
          <w:rFonts w:cs="Arial"/>
          <w:szCs w:val="22"/>
        </w:rPr>
        <w:t>previous years</w:t>
      </w:r>
      <w:r w:rsidR="000172D4" w:rsidRPr="00AE7979">
        <w:rPr>
          <w:rFonts w:cs="Arial"/>
          <w:szCs w:val="22"/>
        </w:rPr>
        <w:t xml:space="preserve">. The </w:t>
      </w:r>
      <w:r w:rsidR="00906FE6" w:rsidRPr="00AE7979">
        <w:rPr>
          <w:rFonts w:cs="Arial"/>
          <w:szCs w:val="22"/>
        </w:rPr>
        <w:t>frequency of exposure to both</w:t>
      </w:r>
      <w:r w:rsidR="00523918" w:rsidRPr="00AE7979">
        <w:rPr>
          <w:rFonts w:cs="Arial"/>
          <w:szCs w:val="22"/>
        </w:rPr>
        <w:t xml:space="preserve"> </w:t>
      </w:r>
      <w:r w:rsidR="006175A9" w:rsidRPr="00AE7979">
        <w:rPr>
          <w:rFonts w:cs="Arial"/>
          <w:szCs w:val="22"/>
        </w:rPr>
        <w:t>primary and secondary</w:t>
      </w:r>
      <w:r w:rsidR="00523918" w:rsidRPr="00AE7979">
        <w:rPr>
          <w:rFonts w:cs="Arial"/>
          <w:szCs w:val="22"/>
        </w:rPr>
        <w:t xml:space="preserve"> water</w:t>
      </w:r>
      <w:r w:rsidR="00906FE6" w:rsidRPr="00AE7979">
        <w:rPr>
          <w:rFonts w:cs="Arial"/>
          <w:szCs w:val="22"/>
        </w:rPr>
        <w:t xml:space="preserve"> </w:t>
      </w:r>
      <w:r w:rsidR="000172D4" w:rsidRPr="00AE7979">
        <w:rPr>
          <w:rFonts w:cs="Arial"/>
          <w:szCs w:val="22"/>
        </w:rPr>
        <w:t>ranged</w:t>
      </w:r>
      <w:r w:rsidR="00754DE9" w:rsidRPr="00AE7979">
        <w:rPr>
          <w:rFonts w:cs="Arial"/>
          <w:szCs w:val="22"/>
        </w:rPr>
        <w:t xml:space="preserve"> from </w:t>
      </w:r>
      <w:r w:rsidR="00AE7979" w:rsidRPr="00AE7979">
        <w:rPr>
          <w:rFonts w:cs="Arial"/>
          <w:szCs w:val="22"/>
        </w:rPr>
        <w:t>50</w:t>
      </w:r>
      <w:r w:rsidR="003C311A">
        <w:rPr>
          <w:rFonts w:cs="Arial"/>
          <w:szCs w:val="22"/>
        </w:rPr>
        <w:t xml:space="preserve">% </w:t>
      </w:r>
      <w:r w:rsidR="00906FE6" w:rsidRPr="00AE7979">
        <w:rPr>
          <w:rFonts w:cs="Arial"/>
          <w:szCs w:val="22"/>
        </w:rPr>
        <w:t xml:space="preserve">to </w:t>
      </w:r>
      <w:r w:rsidR="00AE7979" w:rsidRPr="00AE7979">
        <w:rPr>
          <w:rFonts w:cs="Arial"/>
          <w:szCs w:val="22"/>
        </w:rPr>
        <w:t>100</w:t>
      </w:r>
      <w:r w:rsidR="003C311A">
        <w:rPr>
          <w:rFonts w:cs="Arial"/>
          <w:szCs w:val="22"/>
        </w:rPr>
        <w:t xml:space="preserve">% </w:t>
      </w:r>
      <w:r w:rsidR="00906FE6" w:rsidRPr="00AE7979">
        <w:rPr>
          <w:rFonts w:cs="Arial"/>
          <w:szCs w:val="22"/>
        </w:rPr>
        <w:t xml:space="preserve">of </w:t>
      </w:r>
      <w:r w:rsidR="00C10A9F" w:rsidRPr="00AE7979">
        <w:rPr>
          <w:rFonts w:cs="Arial"/>
          <w:szCs w:val="22"/>
        </w:rPr>
        <w:t xml:space="preserve">wet season </w:t>
      </w:r>
      <w:r w:rsidR="00906FE6" w:rsidRPr="00AE7979">
        <w:rPr>
          <w:rFonts w:cs="Arial"/>
          <w:szCs w:val="22"/>
        </w:rPr>
        <w:t>weeks at seagrass monitoring sites (</w:t>
      </w:r>
      <w:r w:rsidRPr="00AE7979">
        <w:rPr>
          <w:rFonts w:cs="Arial"/>
          <w:szCs w:val="22"/>
        </w:rPr>
        <w:fldChar w:fldCharType="begin"/>
      </w:r>
      <w:r w:rsidRPr="00AE7979">
        <w:rPr>
          <w:rFonts w:cs="Arial"/>
          <w:szCs w:val="22"/>
        </w:rPr>
        <w:instrText xml:space="preserve"> REF _Ref530411621 \h  \* MERGEFORMAT </w:instrText>
      </w:r>
      <w:r w:rsidRPr="00AE7979">
        <w:rPr>
          <w:rFonts w:cs="Arial"/>
          <w:szCs w:val="22"/>
        </w:rPr>
      </w:r>
      <w:r w:rsidRPr="00AE7979">
        <w:rPr>
          <w:rFonts w:cs="Arial"/>
          <w:szCs w:val="22"/>
        </w:rPr>
        <w:fldChar w:fldCharType="separate"/>
      </w:r>
      <w:r w:rsidR="0067675D" w:rsidRPr="00FA314F">
        <w:rPr>
          <w:rFonts w:cs="Arial"/>
          <w:szCs w:val="22"/>
        </w:rPr>
        <w:t xml:space="preserve">Figure </w:t>
      </w:r>
      <w:r w:rsidR="0067675D">
        <w:rPr>
          <w:rFonts w:cs="Arial"/>
          <w:noProof/>
          <w:szCs w:val="22"/>
        </w:rPr>
        <w:t>27</w:t>
      </w:r>
      <w:r w:rsidRPr="00AE7979">
        <w:rPr>
          <w:rFonts w:cs="Arial"/>
          <w:szCs w:val="22"/>
        </w:rPr>
        <w:fldChar w:fldCharType="end"/>
      </w:r>
      <w:r w:rsidR="00D864E0" w:rsidRPr="00AE7979">
        <w:rPr>
          <w:rFonts w:cs="Arial"/>
          <w:szCs w:val="22"/>
        </w:rPr>
        <w:t>).</w:t>
      </w:r>
    </w:p>
    <w:p w14:paraId="6D2418D5" w14:textId="0CAE9EB8" w:rsidR="00D864E0" w:rsidRPr="009D65D6" w:rsidRDefault="00D864E0" w:rsidP="00D864E0">
      <w:pPr>
        <w:rPr>
          <w:rFonts w:cs="Arial"/>
          <w:szCs w:val="22"/>
        </w:rPr>
      </w:pPr>
      <w:r w:rsidRPr="00772E1C">
        <w:rPr>
          <w:rFonts w:eastAsiaTheme="minorHAnsi" w:cs="Arial"/>
          <w:szCs w:val="22"/>
        </w:rPr>
        <w:t xml:space="preserve">Daily </w:t>
      </w:r>
      <w:r w:rsidRPr="00772E1C">
        <w:rPr>
          <w:rFonts w:cs="Arial"/>
          <w:szCs w:val="22"/>
        </w:rPr>
        <w:t>incident light (I</w:t>
      </w:r>
      <w:r w:rsidRPr="00772E1C">
        <w:rPr>
          <w:rFonts w:cs="Arial"/>
          <w:szCs w:val="22"/>
          <w:vertAlign w:val="subscript"/>
        </w:rPr>
        <w:t>d</w:t>
      </w:r>
      <w:r w:rsidRPr="00772E1C">
        <w:rPr>
          <w:rFonts w:cs="Arial"/>
          <w:szCs w:val="22"/>
        </w:rPr>
        <w:t>, mol m</w:t>
      </w:r>
      <w:r w:rsidRPr="00772E1C">
        <w:rPr>
          <w:rFonts w:cs="Arial"/>
          <w:szCs w:val="22"/>
          <w:vertAlign w:val="superscript"/>
        </w:rPr>
        <w:t>-2</w:t>
      </w:r>
      <w:r w:rsidRPr="00772E1C">
        <w:rPr>
          <w:rFonts w:cs="Arial"/>
          <w:szCs w:val="22"/>
        </w:rPr>
        <w:t xml:space="preserve"> d</w:t>
      </w:r>
      <w:r w:rsidRPr="00772E1C">
        <w:rPr>
          <w:rFonts w:cs="Arial"/>
          <w:szCs w:val="22"/>
          <w:vertAlign w:val="superscript"/>
        </w:rPr>
        <w:t>-1</w:t>
      </w:r>
      <w:r w:rsidRPr="00772E1C">
        <w:rPr>
          <w:rFonts w:cs="Arial"/>
          <w:szCs w:val="22"/>
        </w:rPr>
        <w:t>)</w:t>
      </w:r>
      <w:r w:rsidRPr="00772E1C">
        <w:rPr>
          <w:rFonts w:cs="Arial"/>
          <w:szCs w:val="22"/>
          <w:vertAlign w:val="superscript"/>
        </w:rPr>
        <w:t xml:space="preserve"> </w:t>
      </w:r>
      <w:r w:rsidRPr="00772E1C">
        <w:rPr>
          <w:rFonts w:cs="Arial"/>
          <w:szCs w:val="22"/>
        </w:rPr>
        <w:t>reaching the top of the seagrass canopy</w:t>
      </w:r>
      <w:r w:rsidRPr="00772E1C">
        <w:rPr>
          <w:rFonts w:eastAsiaTheme="minorHAnsi" w:cs="Arial"/>
          <w:szCs w:val="22"/>
        </w:rPr>
        <w:t xml:space="preserve"> is generally very high at all Cape York sites (long</w:t>
      </w:r>
      <w:r w:rsidRPr="00772E1C">
        <w:rPr>
          <w:rFonts w:ascii="Cambria Math" w:eastAsiaTheme="minorHAnsi" w:hAnsi="Cambria Math" w:cs="Cambria Math"/>
          <w:szCs w:val="22"/>
        </w:rPr>
        <w:t>‐</w:t>
      </w:r>
      <w:r w:rsidRPr="00772E1C">
        <w:rPr>
          <w:rFonts w:eastAsiaTheme="minorHAnsi" w:cs="Arial"/>
          <w:szCs w:val="22"/>
        </w:rPr>
        <w:t>term average = 1</w:t>
      </w:r>
      <w:r w:rsidR="00772E1C" w:rsidRPr="00772E1C">
        <w:rPr>
          <w:rFonts w:eastAsiaTheme="minorHAnsi" w:cs="Arial"/>
          <w:szCs w:val="22"/>
        </w:rPr>
        <w:t>6.5</w:t>
      </w:r>
      <w:r w:rsidRPr="00772E1C">
        <w:rPr>
          <w:rFonts w:eastAsiaTheme="minorHAnsi" w:cs="Arial"/>
          <w:szCs w:val="22"/>
        </w:rPr>
        <w:t xml:space="preserve"> </w:t>
      </w:r>
      <w:r w:rsidRPr="00772E1C">
        <w:rPr>
          <w:rFonts w:cs="Arial"/>
          <w:szCs w:val="22"/>
        </w:rPr>
        <w:t>mol m</w:t>
      </w:r>
      <w:r w:rsidRPr="00772E1C">
        <w:rPr>
          <w:rFonts w:cs="Arial"/>
          <w:szCs w:val="22"/>
          <w:vertAlign w:val="superscript"/>
        </w:rPr>
        <w:t>-2</w:t>
      </w:r>
      <w:r w:rsidRPr="00772E1C">
        <w:rPr>
          <w:rFonts w:cs="Arial"/>
          <w:szCs w:val="22"/>
        </w:rPr>
        <w:t xml:space="preserve"> d</w:t>
      </w:r>
      <w:r w:rsidRPr="00772E1C">
        <w:rPr>
          <w:rFonts w:cs="Arial"/>
          <w:szCs w:val="22"/>
          <w:vertAlign w:val="superscript"/>
        </w:rPr>
        <w:t>-1</w:t>
      </w:r>
      <w:r w:rsidRPr="00772E1C">
        <w:rPr>
          <w:rFonts w:eastAsiaTheme="minorHAnsi" w:cs="Arial"/>
          <w:szCs w:val="22"/>
        </w:rPr>
        <w:t>)</w:t>
      </w:r>
      <w:r w:rsidR="00417B31" w:rsidRPr="00772E1C">
        <w:rPr>
          <w:rFonts w:eastAsiaTheme="minorHAnsi" w:cs="Arial"/>
          <w:szCs w:val="22"/>
        </w:rPr>
        <w:t xml:space="preserve"> (</w:t>
      </w:r>
      <w:r w:rsidR="00417B31" w:rsidRPr="00772E1C">
        <w:rPr>
          <w:rFonts w:eastAsiaTheme="minorHAnsi" w:cs="Arial"/>
          <w:szCs w:val="22"/>
        </w:rPr>
        <w:fldChar w:fldCharType="begin"/>
      </w:r>
      <w:r w:rsidR="00417B31" w:rsidRPr="00772E1C">
        <w:rPr>
          <w:rFonts w:eastAsiaTheme="minorHAnsi" w:cs="Arial"/>
          <w:szCs w:val="22"/>
        </w:rPr>
        <w:instrText xml:space="preserve"> REF _Ref410207664 \h </w:instrText>
      </w:r>
      <w:r w:rsidR="00CB093C" w:rsidRPr="00772E1C">
        <w:rPr>
          <w:rFonts w:eastAsiaTheme="minorHAnsi" w:cs="Arial"/>
          <w:szCs w:val="22"/>
        </w:rPr>
        <w:instrText xml:space="preserve"> \* MERGEFORMAT </w:instrText>
      </w:r>
      <w:r w:rsidR="00417B31" w:rsidRPr="00772E1C">
        <w:rPr>
          <w:rFonts w:eastAsiaTheme="minorHAnsi" w:cs="Arial"/>
          <w:szCs w:val="22"/>
        </w:rPr>
      </w:r>
      <w:r w:rsidR="00417B31" w:rsidRPr="00772E1C">
        <w:rPr>
          <w:rFonts w:eastAsiaTheme="minorHAnsi" w:cs="Arial"/>
          <w:szCs w:val="22"/>
        </w:rPr>
        <w:fldChar w:fldCharType="separate"/>
      </w:r>
      <w:r w:rsidR="0067675D" w:rsidRPr="00867E8C">
        <w:rPr>
          <w:rFonts w:cs="Arial"/>
          <w:szCs w:val="22"/>
        </w:rPr>
        <w:t xml:space="preserve">Figure </w:t>
      </w:r>
      <w:r w:rsidR="0067675D">
        <w:rPr>
          <w:rFonts w:cs="Arial"/>
          <w:noProof/>
          <w:szCs w:val="22"/>
        </w:rPr>
        <w:t>99</w:t>
      </w:r>
      <w:r w:rsidR="00417B31" w:rsidRPr="00772E1C">
        <w:rPr>
          <w:rFonts w:eastAsiaTheme="minorHAnsi" w:cs="Arial"/>
          <w:szCs w:val="22"/>
        </w:rPr>
        <w:fldChar w:fldCharType="end"/>
      </w:r>
      <w:r w:rsidR="00417B31" w:rsidRPr="00772E1C">
        <w:rPr>
          <w:rFonts w:eastAsiaTheme="minorHAnsi" w:cs="Arial"/>
          <w:szCs w:val="22"/>
        </w:rPr>
        <w:t>)</w:t>
      </w:r>
      <w:r w:rsidRPr="00772E1C">
        <w:rPr>
          <w:rFonts w:eastAsiaTheme="minorHAnsi" w:cs="Arial"/>
          <w:szCs w:val="22"/>
        </w:rPr>
        <w:t xml:space="preserve">. However </w:t>
      </w:r>
      <w:r w:rsidRPr="00772E1C">
        <w:rPr>
          <w:rFonts w:cs="Arial"/>
          <w:szCs w:val="22"/>
        </w:rPr>
        <w:t xml:space="preserve">in </w:t>
      </w:r>
      <w:r w:rsidR="00956639" w:rsidRPr="009D65D6">
        <w:rPr>
          <w:rFonts w:cs="Arial"/>
          <w:szCs w:val="22"/>
        </w:rPr>
        <w:t>2018–19</w:t>
      </w:r>
      <w:r w:rsidRPr="009D65D6">
        <w:rPr>
          <w:rFonts w:cs="Arial"/>
          <w:szCs w:val="22"/>
        </w:rPr>
        <w:t>, daily incident light (1</w:t>
      </w:r>
      <w:r w:rsidR="00772E1C" w:rsidRPr="009D65D6">
        <w:rPr>
          <w:rFonts w:cs="Arial"/>
          <w:szCs w:val="22"/>
        </w:rPr>
        <w:t>3.7</w:t>
      </w:r>
      <w:r w:rsidRPr="009D65D6">
        <w:rPr>
          <w:rFonts w:cs="Arial"/>
          <w:szCs w:val="22"/>
        </w:rPr>
        <w:t xml:space="preserve"> mol m</w:t>
      </w:r>
      <w:r w:rsidRPr="009D65D6">
        <w:rPr>
          <w:rFonts w:cs="Arial"/>
          <w:szCs w:val="22"/>
          <w:vertAlign w:val="superscript"/>
        </w:rPr>
        <w:t>-2</w:t>
      </w:r>
      <w:r w:rsidRPr="009D65D6">
        <w:rPr>
          <w:rFonts w:cs="Arial"/>
          <w:szCs w:val="22"/>
        </w:rPr>
        <w:t xml:space="preserve"> d</w:t>
      </w:r>
      <w:r w:rsidRPr="009D65D6">
        <w:rPr>
          <w:rFonts w:cs="Arial"/>
          <w:szCs w:val="22"/>
          <w:vertAlign w:val="superscript"/>
        </w:rPr>
        <w:t>-1</w:t>
      </w:r>
      <w:r w:rsidRPr="009D65D6">
        <w:rPr>
          <w:rFonts w:cs="Arial"/>
          <w:szCs w:val="22"/>
        </w:rPr>
        <w:t>)</w:t>
      </w:r>
      <w:r w:rsidRPr="009D65D6">
        <w:rPr>
          <w:rFonts w:cs="Arial"/>
          <w:szCs w:val="22"/>
          <w:vertAlign w:val="superscript"/>
        </w:rPr>
        <w:t xml:space="preserve"> </w:t>
      </w:r>
      <w:r w:rsidRPr="009D65D6">
        <w:rPr>
          <w:rFonts w:cs="Arial"/>
          <w:szCs w:val="22"/>
        </w:rPr>
        <w:t>was below the long-term average (</w:t>
      </w:r>
      <w:r w:rsidRPr="009D65D6">
        <w:rPr>
          <w:rFonts w:cs="Arial"/>
          <w:szCs w:val="22"/>
        </w:rPr>
        <w:fldChar w:fldCharType="begin"/>
      </w:r>
      <w:r w:rsidRPr="009D65D6">
        <w:rPr>
          <w:rFonts w:cs="Arial"/>
          <w:szCs w:val="22"/>
        </w:rPr>
        <w:instrText xml:space="preserve"> REF _Ref530411621 \h  \* MERGEFORMAT </w:instrText>
      </w:r>
      <w:r w:rsidRPr="009D65D6">
        <w:rPr>
          <w:rFonts w:cs="Arial"/>
          <w:szCs w:val="22"/>
        </w:rPr>
      </w:r>
      <w:r w:rsidRPr="009D65D6">
        <w:rPr>
          <w:rFonts w:cs="Arial"/>
          <w:szCs w:val="22"/>
        </w:rPr>
        <w:fldChar w:fldCharType="separate"/>
      </w:r>
      <w:r w:rsidR="0067675D" w:rsidRPr="00FA314F">
        <w:rPr>
          <w:rFonts w:cs="Arial"/>
          <w:szCs w:val="22"/>
        </w:rPr>
        <w:t xml:space="preserve">Figure </w:t>
      </w:r>
      <w:r w:rsidR="0067675D">
        <w:rPr>
          <w:rFonts w:cs="Arial"/>
          <w:noProof/>
          <w:szCs w:val="22"/>
        </w:rPr>
        <w:t>27</w:t>
      </w:r>
      <w:r w:rsidRPr="009D65D6">
        <w:rPr>
          <w:rFonts w:cs="Arial"/>
          <w:szCs w:val="22"/>
        </w:rPr>
        <w:fldChar w:fldCharType="end"/>
      </w:r>
      <w:r w:rsidRPr="009D65D6">
        <w:rPr>
          <w:rFonts w:cs="Arial"/>
          <w:szCs w:val="22"/>
        </w:rPr>
        <w:t xml:space="preserve">). </w:t>
      </w:r>
      <w:r w:rsidR="004C33ED" w:rsidRPr="009D65D6">
        <w:rPr>
          <w:rFonts w:cs="Arial"/>
          <w:szCs w:val="22"/>
        </w:rPr>
        <w:t xml:space="preserve">This was most likely a consequence of the </w:t>
      </w:r>
      <w:r w:rsidR="009D65D6" w:rsidRPr="009D65D6">
        <w:rPr>
          <w:rFonts w:cs="Arial"/>
          <w:szCs w:val="22"/>
        </w:rPr>
        <w:t xml:space="preserve">greater duration meadows were exposed to brown and or green water, however the </w:t>
      </w:r>
      <w:r w:rsidR="00276CB1" w:rsidRPr="009D65D6">
        <w:rPr>
          <w:rFonts w:cs="Arial"/>
          <w:szCs w:val="22"/>
        </w:rPr>
        <w:t>shorter/incomplete</w:t>
      </w:r>
      <w:r w:rsidR="004C33ED" w:rsidRPr="009D65D6">
        <w:rPr>
          <w:rFonts w:cs="Arial"/>
          <w:szCs w:val="22"/>
        </w:rPr>
        <w:t xml:space="preserve"> logging duration</w:t>
      </w:r>
      <w:r w:rsidR="009D65D6" w:rsidRPr="009D65D6">
        <w:rPr>
          <w:rFonts w:cs="Arial"/>
          <w:szCs w:val="22"/>
        </w:rPr>
        <w:t xml:space="preserve"> </w:t>
      </w:r>
      <w:r w:rsidR="009D65D6">
        <w:rPr>
          <w:rFonts w:cs="Arial"/>
          <w:szCs w:val="22"/>
        </w:rPr>
        <w:t xml:space="preserve">(approximately two thirds of data missing) </w:t>
      </w:r>
      <w:r w:rsidR="009D65D6" w:rsidRPr="009D65D6">
        <w:rPr>
          <w:rFonts w:cs="Arial"/>
          <w:szCs w:val="22"/>
        </w:rPr>
        <w:t xml:space="preserve">at reef intertidal sites </w:t>
      </w:r>
      <w:r w:rsidR="004C33ED" w:rsidRPr="009D65D6">
        <w:rPr>
          <w:rFonts w:cs="Arial"/>
          <w:szCs w:val="22"/>
        </w:rPr>
        <w:t xml:space="preserve">due to </w:t>
      </w:r>
      <w:r w:rsidR="009D65D6" w:rsidRPr="009D65D6">
        <w:rPr>
          <w:rFonts w:cs="Arial"/>
          <w:szCs w:val="22"/>
        </w:rPr>
        <w:t>instrument failure may have also contributed.</w:t>
      </w:r>
    </w:p>
    <w:p w14:paraId="7FBD98E5" w14:textId="548F4740" w:rsidR="00571070" w:rsidRDefault="003B40D3" w:rsidP="003B40D3">
      <w:pPr>
        <w:autoSpaceDE w:val="0"/>
        <w:autoSpaceDN w:val="0"/>
        <w:adjustRightInd w:val="0"/>
        <w:rPr>
          <w:rFonts w:cs="Arial"/>
          <w:szCs w:val="22"/>
          <w:lang w:val="en-GB"/>
        </w:rPr>
      </w:pPr>
      <w:r w:rsidRPr="000875CF">
        <w:rPr>
          <w:rFonts w:cs="Arial"/>
          <w:szCs w:val="22"/>
          <w:lang w:val="en-GB"/>
        </w:rPr>
        <w:t xml:space="preserve">2018–19 was the </w:t>
      </w:r>
      <w:r w:rsidR="00822486" w:rsidRPr="000875CF">
        <w:rPr>
          <w:rFonts w:cs="Arial"/>
          <w:szCs w:val="22"/>
          <w:lang w:val="en-GB"/>
        </w:rPr>
        <w:t>seventh</w:t>
      </w:r>
      <w:r w:rsidRPr="000875CF">
        <w:rPr>
          <w:rFonts w:cs="Arial"/>
          <w:szCs w:val="22"/>
          <w:lang w:val="en-GB"/>
        </w:rPr>
        <w:t xml:space="preserve"> consecutive year intertidal within-canopy temperatures were above the long-term average and the second highest average annual temperatures (27.</w:t>
      </w:r>
      <w:r w:rsidR="00461863" w:rsidRPr="000875CF">
        <w:rPr>
          <w:rFonts w:cs="Arial"/>
          <w:szCs w:val="22"/>
          <w:lang w:val="en-GB"/>
        </w:rPr>
        <w:t>5</w:t>
      </w:r>
      <w:r w:rsidRPr="000875CF">
        <w:rPr>
          <w:rFonts w:cs="Arial"/>
          <w:szCs w:val="22"/>
          <w:lang w:val="en-GB"/>
        </w:rPr>
        <w:t xml:space="preserve">°C) </w:t>
      </w:r>
      <w:r w:rsidRPr="00C66989">
        <w:rPr>
          <w:rFonts w:cs="Arial"/>
          <w:szCs w:val="22"/>
          <w:lang w:val="en-GB"/>
        </w:rPr>
        <w:t>since 2006 (</w:t>
      </w:r>
      <w:r w:rsidRPr="00C66989">
        <w:rPr>
          <w:rFonts w:cs="Arial"/>
          <w:szCs w:val="22"/>
          <w:lang w:val="en-GB"/>
        </w:rPr>
        <w:fldChar w:fldCharType="begin"/>
      </w:r>
      <w:r w:rsidRPr="00C66989">
        <w:rPr>
          <w:rFonts w:cs="Arial"/>
          <w:szCs w:val="22"/>
          <w:lang w:val="en-GB"/>
        </w:rPr>
        <w:instrText xml:space="preserve"> REF _Ref530411621 \h  \* MERGEFORMAT </w:instrText>
      </w:r>
      <w:r w:rsidRPr="00C66989">
        <w:rPr>
          <w:rFonts w:cs="Arial"/>
          <w:szCs w:val="22"/>
          <w:lang w:val="en-GB"/>
        </w:rPr>
      </w:r>
      <w:r w:rsidRPr="00C66989">
        <w:rPr>
          <w:rFonts w:cs="Arial"/>
          <w:szCs w:val="22"/>
          <w:lang w:val="en-GB"/>
        </w:rPr>
        <w:fldChar w:fldCharType="separate"/>
      </w:r>
      <w:r w:rsidR="0067675D" w:rsidRPr="00FA314F">
        <w:rPr>
          <w:rFonts w:cs="Arial"/>
          <w:szCs w:val="22"/>
        </w:rPr>
        <w:t xml:space="preserve">Figure </w:t>
      </w:r>
      <w:r w:rsidR="0067675D">
        <w:rPr>
          <w:rFonts w:cs="Arial"/>
          <w:noProof/>
          <w:szCs w:val="22"/>
        </w:rPr>
        <w:t>27</w:t>
      </w:r>
      <w:r w:rsidRPr="00C66989">
        <w:rPr>
          <w:rFonts w:cs="Arial"/>
          <w:szCs w:val="22"/>
          <w:lang w:val="en-GB"/>
        </w:rPr>
        <w:fldChar w:fldCharType="end"/>
      </w:r>
      <w:r w:rsidRPr="00C66989">
        <w:rPr>
          <w:rFonts w:cs="Arial"/>
          <w:szCs w:val="22"/>
          <w:lang w:val="en-GB"/>
        </w:rPr>
        <w:t>). Maximum within-canopy temperatures exceeded 35°C for a total of 3</w:t>
      </w:r>
      <w:r w:rsidR="000875CF" w:rsidRPr="00C66989">
        <w:rPr>
          <w:rFonts w:cs="Arial"/>
          <w:szCs w:val="22"/>
          <w:lang w:val="en-GB"/>
        </w:rPr>
        <w:t>3</w:t>
      </w:r>
      <w:r w:rsidRPr="00C66989">
        <w:rPr>
          <w:rFonts w:cs="Arial"/>
          <w:szCs w:val="22"/>
          <w:lang w:val="en-GB"/>
        </w:rPr>
        <w:t xml:space="preserve"> days during 2018–19 (</w:t>
      </w:r>
      <w:r w:rsidRPr="00C66989">
        <w:rPr>
          <w:rFonts w:cs="Arial"/>
          <w:szCs w:val="22"/>
          <w:lang w:val="en-GB"/>
        </w:rPr>
        <w:fldChar w:fldCharType="begin"/>
      </w:r>
      <w:r w:rsidRPr="00C66989">
        <w:rPr>
          <w:rFonts w:cs="Arial"/>
          <w:szCs w:val="22"/>
          <w:lang w:val="en-GB"/>
        </w:rPr>
        <w:instrText xml:space="preserve"> REF _Ref530411621 \h  \* MERGEFORMAT </w:instrText>
      </w:r>
      <w:r w:rsidRPr="00C66989">
        <w:rPr>
          <w:rFonts w:cs="Arial"/>
          <w:szCs w:val="22"/>
          <w:lang w:val="en-GB"/>
        </w:rPr>
      </w:r>
      <w:r w:rsidRPr="00C66989">
        <w:rPr>
          <w:rFonts w:cs="Arial"/>
          <w:szCs w:val="22"/>
          <w:lang w:val="en-GB"/>
        </w:rPr>
        <w:fldChar w:fldCharType="separate"/>
      </w:r>
      <w:r w:rsidR="0067675D" w:rsidRPr="00FA314F">
        <w:rPr>
          <w:rFonts w:cs="Arial"/>
          <w:szCs w:val="22"/>
        </w:rPr>
        <w:t xml:space="preserve">Figure </w:t>
      </w:r>
      <w:r w:rsidR="0067675D">
        <w:rPr>
          <w:rFonts w:cs="Arial"/>
          <w:noProof/>
          <w:szCs w:val="22"/>
        </w:rPr>
        <w:t>27</w:t>
      </w:r>
      <w:r w:rsidRPr="00C66989">
        <w:rPr>
          <w:rFonts w:cs="Arial"/>
          <w:szCs w:val="22"/>
          <w:lang w:val="en-GB"/>
        </w:rPr>
        <w:fldChar w:fldCharType="end"/>
      </w:r>
      <w:r w:rsidRPr="00C66989">
        <w:rPr>
          <w:rFonts w:cs="Arial"/>
          <w:szCs w:val="22"/>
          <w:lang w:val="en-GB"/>
        </w:rPr>
        <w:t xml:space="preserve">), with the highest temperature recorded at </w:t>
      </w:r>
      <w:r w:rsidR="000875CF" w:rsidRPr="00C66989">
        <w:rPr>
          <w:rFonts w:cs="Arial"/>
          <w:szCs w:val="22"/>
          <w:lang w:val="en-GB"/>
        </w:rPr>
        <w:t>37.7</w:t>
      </w:r>
      <w:r w:rsidRPr="00C66989">
        <w:rPr>
          <w:rFonts w:cs="Arial"/>
          <w:szCs w:val="22"/>
          <w:lang w:val="en-GB"/>
        </w:rPr>
        <w:t>°C (</w:t>
      </w:r>
      <w:r w:rsidR="00C66989" w:rsidRPr="00C66989">
        <w:rPr>
          <w:rFonts w:cs="Arial"/>
          <w:szCs w:val="22"/>
          <w:lang w:val="en-GB"/>
        </w:rPr>
        <w:t>ST2</w:t>
      </w:r>
      <w:r w:rsidRPr="00C66989">
        <w:rPr>
          <w:rFonts w:cs="Arial"/>
          <w:szCs w:val="22"/>
          <w:lang w:val="en-GB"/>
        </w:rPr>
        <w:t xml:space="preserve">, 3pm </w:t>
      </w:r>
      <w:r w:rsidR="00C66989" w:rsidRPr="00C66989">
        <w:rPr>
          <w:rFonts w:cs="Arial"/>
          <w:szCs w:val="22"/>
          <w:lang w:val="en-GB"/>
        </w:rPr>
        <w:t>17</w:t>
      </w:r>
      <w:r w:rsidRPr="00C66989">
        <w:rPr>
          <w:rFonts w:cs="Arial"/>
          <w:szCs w:val="22"/>
          <w:lang w:val="en-GB"/>
        </w:rPr>
        <w:t>Feb1</w:t>
      </w:r>
      <w:r w:rsidR="00C66989" w:rsidRPr="00C66989">
        <w:rPr>
          <w:rFonts w:cs="Arial"/>
          <w:szCs w:val="22"/>
          <w:lang w:val="en-GB"/>
        </w:rPr>
        <w:t>9</w:t>
      </w:r>
      <w:r w:rsidRPr="00C66989">
        <w:rPr>
          <w:rFonts w:cs="Arial"/>
          <w:szCs w:val="22"/>
          <w:lang w:val="en-GB"/>
        </w:rPr>
        <w:t xml:space="preserve">). </w:t>
      </w:r>
    </w:p>
    <w:p w14:paraId="70DAB779" w14:textId="0C10C1C6" w:rsidR="003B40D3" w:rsidRPr="00C66989" w:rsidRDefault="003B40D3" w:rsidP="003B40D3">
      <w:pPr>
        <w:autoSpaceDE w:val="0"/>
        <w:autoSpaceDN w:val="0"/>
        <w:adjustRightInd w:val="0"/>
        <w:rPr>
          <w:rFonts w:cs="Arial"/>
          <w:szCs w:val="22"/>
        </w:rPr>
      </w:pPr>
      <w:r w:rsidRPr="00C66989">
        <w:rPr>
          <w:rFonts w:cs="Arial"/>
          <w:szCs w:val="22"/>
          <w:lang w:eastAsia="en-AU"/>
        </w:rPr>
        <w:t>Daily tidal exposure (hours water has drained from the meadow) was below the long</w:t>
      </w:r>
      <w:r w:rsidRPr="00C66989">
        <w:rPr>
          <w:rFonts w:ascii="Cambria Math" w:hAnsi="Cambria Math" w:cs="Cambria Math"/>
          <w:szCs w:val="22"/>
          <w:lang w:eastAsia="en-AU"/>
        </w:rPr>
        <w:t>‐</w:t>
      </w:r>
      <w:r w:rsidRPr="00C66989">
        <w:rPr>
          <w:rFonts w:cs="Arial"/>
          <w:szCs w:val="22"/>
          <w:lang w:eastAsia="en-AU"/>
        </w:rPr>
        <w:t>term average for the second consecutive year (</w:t>
      </w:r>
      <w:r w:rsidRPr="00C66989">
        <w:rPr>
          <w:rFonts w:cs="Arial"/>
          <w:szCs w:val="22"/>
          <w:lang w:val="en-GB"/>
        </w:rPr>
        <w:fldChar w:fldCharType="begin"/>
      </w:r>
      <w:r w:rsidRPr="00C66989">
        <w:rPr>
          <w:rFonts w:cs="Arial"/>
          <w:szCs w:val="22"/>
          <w:lang w:val="en-GB"/>
        </w:rPr>
        <w:instrText xml:space="preserve"> REF _Ref530411621 \h  \* MERGEFORMAT </w:instrText>
      </w:r>
      <w:r w:rsidRPr="00C66989">
        <w:rPr>
          <w:rFonts w:cs="Arial"/>
          <w:szCs w:val="22"/>
          <w:lang w:val="en-GB"/>
        </w:rPr>
      </w:r>
      <w:r w:rsidRPr="00C66989">
        <w:rPr>
          <w:rFonts w:cs="Arial"/>
          <w:szCs w:val="22"/>
          <w:lang w:val="en-GB"/>
        </w:rPr>
        <w:fldChar w:fldCharType="separate"/>
      </w:r>
      <w:r w:rsidR="0067675D" w:rsidRPr="00FA314F">
        <w:rPr>
          <w:rFonts w:cs="Arial"/>
          <w:szCs w:val="22"/>
        </w:rPr>
        <w:t xml:space="preserve">Figure </w:t>
      </w:r>
      <w:r w:rsidR="0067675D">
        <w:rPr>
          <w:rFonts w:cs="Arial"/>
          <w:noProof/>
          <w:szCs w:val="22"/>
        </w:rPr>
        <w:t>27</w:t>
      </w:r>
      <w:r w:rsidRPr="00C66989">
        <w:rPr>
          <w:rFonts w:cs="Arial"/>
          <w:szCs w:val="22"/>
          <w:lang w:val="en-GB"/>
        </w:rPr>
        <w:fldChar w:fldCharType="end"/>
      </w:r>
      <w:r w:rsidRPr="00C66989">
        <w:rPr>
          <w:rFonts w:cs="Arial"/>
          <w:szCs w:val="22"/>
          <w:lang w:val="en-GB"/>
        </w:rPr>
        <w:t xml:space="preserve">, </w:t>
      </w:r>
      <w:r w:rsidRPr="00C66989">
        <w:rPr>
          <w:rFonts w:cs="Arial"/>
          <w:szCs w:val="22"/>
          <w:lang w:eastAsia="en-AU"/>
        </w:rPr>
        <w:fldChar w:fldCharType="begin"/>
      </w:r>
      <w:r w:rsidRPr="00C66989">
        <w:rPr>
          <w:rFonts w:cs="Arial"/>
          <w:szCs w:val="22"/>
          <w:lang w:eastAsia="en-AU"/>
        </w:rPr>
        <w:instrText xml:space="preserve"> REF _Ref409958445 \h  \* MERGEFORMAT </w:instrText>
      </w:r>
      <w:r w:rsidRPr="00C66989">
        <w:rPr>
          <w:rFonts w:cs="Arial"/>
          <w:szCs w:val="22"/>
          <w:lang w:eastAsia="en-AU"/>
        </w:rPr>
      </w:r>
      <w:r w:rsidRPr="00C66989">
        <w:rPr>
          <w:rFonts w:cs="Arial"/>
          <w:szCs w:val="22"/>
          <w:lang w:eastAsia="en-AU"/>
        </w:rPr>
        <w:fldChar w:fldCharType="separate"/>
      </w:r>
      <w:r w:rsidR="0067675D" w:rsidRPr="00867E8C">
        <w:rPr>
          <w:rFonts w:cs="Arial"/>
          <w:szCs w:val="22"/>
        </w:rPr>
        <w:t xml:space="preserve">Figure </w:t>
      </w:r>
      <w:r w:rsidR="0067675D">
        <w:rPr>
          <w:rFonts w:cs="Arial"/>
          <w:noProof/>
          <w:szCs w:val="22"/>
        </w:rPr>
        <w:t>91</w:t>
      </w:r>
      <w:r w:rsidRPr="00C66989">
        <w:rPr>
          <w:rFonts w:cs="Arial"/>
          <w:szCs w:val="22"/>
          <w:lang w:eastAsia="en-AU"/>
        </w:rPr>
        <w:fldChar w:fldCharType="end"/>
      </w:r>
      <w:r w:rsidRPr="00C66989">
        <w:rPr>
          <w:rFonts w:cs="Arial"/>
          <w:szCs w:val="22"/>
          <w:lang w:eastAsia="en-AU"/>
        </w:rPr>
        <w:t>), which may have provided some respite from the elevated temperatures.</w:t>
      </w:r>
    </w:p>
    <w:p w14:paraId="420DC69D" w14:textId="55A889CA" w:rsidR="003B40D3" w:rsidRPr="00FA314F" w:rsidRDefault="003B40D3" w:rsidP="00D864E0">
      <w:pPr>
        <w:rPr>
          <w:rFonts w:cs="Arial"/>
          <w:color w:val="000000" w:themeColor="text1"/>
          <w:szCs w:val="22"/>
        </w:rPr>
      </w:pPr>
      <w:r w:rsidRPr="00C66989">
        <w:rPr>
          <w:rFonts w:cs="Arial"/>
          <w:szCs w:val="22"/>
          <w:lang w:val="en-GB"/>
        </w:rPr>
        <w:t>In the Cape York NRM region, reef habitats remain dominated by sands and coarser sediments, while coastal habitats contained a greater proportion of mud (</w:t>
      </w:r>
      <w:r w:rsidRPr="00C66989">
        <w:rPr>
          <w:rFonts w:cs="Arial"/>
          <w:szCs w:val="22"/>
          <w:lang w:val="en-GB"/>
        </w:rPr>
        <w:fldChar w:fldCharType="begin"/>
      </w:r>
      <w:r w:rsidRPr="00C66989">
        <w:rPr>
          <w:rFonts w:cs="Arial"/>
          <w:szCs w:val="22"/>
          <w:lang w:val="en-GB"/>
        </w:rPr>
        <w:instrText xml:space="preserve"> REF _Ref534181942 \r \h  \* MERGEFORMAT </w:instrText>
      </w:r>
      <w:r w:rsidRPr="00C66989">
        <w:rPr>
          <w:rFonts w:cs="Arial"/>
          <w:szCs w:val="22"/>
          <w:lang w:val="en-GB"/>
        </w:rPr>
      </w:r>
      <w:r w:rsidRPr="00C66989">
        <w:rPr>
          <w:rFonts w:cs="Arial"/>
          <w:szCs w:val="22"/>
          <w:lang w:val="en-GB"/>
        </w:rPr>
        <w:fldChar w:fldCharType="separate"/>
      </w:r>
      <w:r w:rsidR="0067675D">
        <w:rPr>
          <w:rFonts w:cs="Arial"/>
          <w:szCs w:val="22"/>
          <w:lang w:val="en-GB"/>
        </w:rPr>
        <w:t>Appendix 3</w:t>
      </w:r>
      <w:r w:rsidRPr="00C66989">
        <w:rPr>
          <w:rFonts w:cs="Arial"/>
          <w:szCs w:val="22"/>
          <w:lang w:val="en-GB"/>
        </w:rPr>
        <w:fldChar w:fldCharType="end"/>
      </w:r>
      <w:r w:rsidRPr="00C66989">
        <w:rPr>
          <w:rFonts w:cs="Arial"/>
          <w:szCs w:val="22"/>
          <w:lang w:val="en-GB"/>
        </w:rPr>
        <w:t xml:space="preserve">, </w:t>
      </w:r>
      <w:r w:rsidRPr="00C66989">
        <w:rPr>
          <w:rFonts w:cs="Arial"/>
          <w:szCs w:val="22"/>
          <w:lang w:val="en-GB"/>
        </w:rPr>
        <w:fldChar w:fldCharType="begin"/>
      </w:r>
      <w:r w:rsidRPr="00C66989">
        <w:rPr>
          <w:rFonts w:cs="Arial"/>
          <w:szCs w:val="22"/>
          <w:lang w:val="en-GB"/>
        </w:rPr>
        <w:instrText xml:space="preserve"> REF _Ref511130629 \h  \* MERGEFORMAT </w:instrText>
      </w:r>
      <w:r w:rsidRPr="00C66989">
        <w:rPr>
          <w:rFonts w:cs="Arial"/>
          <w:szCs w:val="22"/>
          <w:lang w:val="en-GB"/>
        </w:rPr>
      </w:r>
      <w:r w:rsidRPr="00C66989">
        <w:rPr>
          <w:rFonts w:cs="Arial"/>
          <w:szCs w:val="22"/>
          <w:lang w:val="en-GB"/>
        </w:rPr>
        <w:fldChar w:fldCharType="separate"/>
      </w:r>
      <w:r w:rsidR="0067675D" w:rsidRPr="00867E8C">
        <w:rPr>
          <w:rFonts w:cs="Arial"/>
          <w:szCs w:val="22"/>
        </w:rPr>
        <w:t xml:space="preserve">Figure </w:t>
      </w:r>
      <w:r w:rsidR="0067675D">
        <w:rPr>
          <w:rFonts w:cs="Arial"/>
          <w:noProof/>
          <w:szCs w:val="22"/>
        </w:rPr>
        <w:t>106</w:t>
      </w:r>
      <w:r w:rsidRPr="00C66989">
        <w:rPr>
          <w:rFonts w:cs="Arial"/>
          <w:szCs w:val="22"/>
          <w:lang w:val="en-GB"/>
        </w:rPr>
        <w:fldChar w:fldCharType="end"/>
      </w:r>
      <w:r w:rsidRPr="00C66989">
        <w:rPr>
          <w:rFonts w:cs="Arial"/>
          <w:szCs w:val="22"/>
          <w:lang w:val="en-GB"/>
        </w:rPr>
        <w:t xml:space="preserve">, </w:t>
      </w:r>
      <w:r w:rsidRPr="00C66989">
        <w:rPr>
          <w:rFonts w:cs="Arial"/>
          <w:szCs w:val="22"/>
          <w:lang w:val="en-GB"/>
        </w:rPr>
        <w:fldChar w:fldCharType="begin"/>
      </w:r>
      <w:r w:rsidRPr="00C66989">
        <w:rPr>
          <w:rFonts w:cs="Arial"/>
          <w:szCs w:val="22"/>
          <w:lang w:val="en-GB"/>
        </w:rPr>
        <w:instrText xml:space="preserve"> REF _Ref511130634 \h  \* MERGEFORMAT </w:instrText>
      </w:r>
      <w:r w:rsidRPr="00C66989">
        <w:rPr>
          <w:rFonts w:cs="Arial"/>
          <w:szCs w:val="22"/>
          <w:lang w:val="en-GB"/>
        </w:rPr>
      </w:r>
      <w:r w:rsidRPr="00C66989">
        <w:rPr>
          <w:rFonts w:cs="Arial"/>
          <w:szCs w:val="22"/>
          <w:lang w:val="en-GB"/>
        </w:rPr>
        <w:fldChar w:fldCharType="separate"/>
      </w:r>
      <w:r w:rsidR="0067675D" w:rsidRPr="00867E8C">
        <w:rPr>
          <w:rFonts w:cs="Arial"/>
          <w:szCs w:val="22"/>
        </w:rPr>
        <w:t xml:space="preserve">Figure </w:t>
      </w:r>
      <w:r w:rsidR="0067675D">
        <w:rPr>
          <w:rFonts w:cs="Arial"/>
          <w:noProof/>
          <w:szCs w:val="22"/>
        </w:rPr>
        <w:t>107</w:t>
      </w:r>
      <w:r w:rsidRPr="00C66989">
        <w:rPr>
          <w:rFonts w:cs="Arial"/>
          <w:szCs w:val="22"/>
          <w:lang w:val="en-GB"/>
        </w:rPr>
        <w:fldChar w:fldCharType="end"/>
      </w:r>
      <w:r w:rsidRPr="00C66989">
        <w:rPr>
          <w:rFonts w:cs="Arial"/>
          <w:szCs w:val="22"/>
          <w:lang w:val="en-GB"/>
        </w:rPr>
        <w:t xml:space="preserve">). </w:t>
      </w:r>
    </w:p>
    <w:p w14:paraId="6110033B" w14:textId="71D0D707" w:rsidR="00C85E1B" w:rsidRPr="00FA314F" w:rsidRDefault="00C85E1B" w:rsidP="0096301D">
      <w:pPr>
        <w:keepNext/>
        <w:widowControl w:val="0"/>
        <w:jc w:val="center"/>
        <w:rPr>
          <w:rFonts w:cs="Arial"/>
          <w:noProof/>
          <w:color w:val="000000"/>
          <w:szCs w:val="22"/>
          <w:lang w:eastAsia="en-AU"/>
        </w:rPr>
      </w:pPr>
      <w:r w:rsidRPr="00FA314F">
        <w:rPr>
          <w:rFonts w:cs="Arial"/>
          <w:noProof/>
          <w:color w:val="000000"/>
          <w:szCs w:val="22"/>
          <w:lang w:eastAsia="en-AU"/>
        </w:rPr>
        <w:lastRenderedPageBreak/>
        <w:drawing>
          <wp:inline distT="0" distB="0" distL="0" distR="0" wp14:anchorId="73D60EB7" wp14:editId="3C75EE17">
            <wp:extent cx="5473437" cy="7326069"/>
            <wp:effectExtent l="0" t="0" r="0" b="8255"/>
            <wp:docPr id="526" name="Picture 526" descr="Figures show extent of plumes, colour class, light and temperate data" title="environmental pressures in Cape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CY Pressures page-01.png"/>
                    <pic:cNvPicPr/>
                  </pic:nvPicPr>
                  <pic:blipFill>
                    <a:blip r:embed="rId80">
                      <a:extLst>
                        <a:ext uri="{28A0092B-C50C-407E-A947-70E740481C1C}">
                          <a14:useLocalDpi xmlns:a14="http://schemas.microsoft.com/office/drawing/2010/main" val="0"/>
                        </a:ext>
                      </a:extLst>
                    </a:blip>
                    <a:stretch>
                      <a:fillRect/>
                    </a:stretch>
                  </pic:blipFill>
                  <pic:spPr>
                    <a:xfrm>
                      <a:off x="0" y="0"/>
                      <a:ext cx="5473437" cy="7326069"/>
                    </a:xfrm>
                    <a:prstGeom prst="rect">
                      <a:avLst/>
                    </a:prstGeom>
                  </pic:spPr>
                </pic:pic>
              </a:graphicData>
            </a:graphic>
          </wp:inline>
        </w:drawing>
      </w:r>
    </w:p>
    <w:p w14:paraId="19DAD327" w14:textId="62C6DB1A" w:rsidR="00686718" w:rsidRPr="00FA314F" w:rsidRDefault="00C85E1B" w:rsidP="00686718">
      <w:pPr>
        <w:rPr>
          <w:rFonts w:cs="Arial"/>
          <w:i/>
          <w:vanish/>
          <w:color w:val="000000"/>
          <w:szCs w:val="22"/>
          <w:specVanish/>
        </w:rPr>
      </w:pPr>
      <w:bookmarkStart w:id="280" w:name="_Ref530411621"/>
      <w:bookmarkStart w:id="281" w:name="_Toc38634131"/>
      <w:bookmarkStart w:id="282" w:name="_Ref530411604"/>
      <w:r w:rsidRPr="00FA314F">
        <w:rPr>
          <w:rFonts w:cs="Arial"/>
          <w:szCs w:val="22"/>
        </w:rPr>
        <w:lastRenderedPageBreak/>
        <w:t xml:space="preserve">Figure </w:t>
      </w:r>
      <w:r w:rsidR="000E4688" w:rsidRPr="00FA314F">
        <w:rPr>
          <w:rFonts w:cs="Arial"/>
          <w:noProof/>
          <w:szCs w:val="22"/>
        </w:rPr>
        <w:fldChar w:fldCharType="begin"/>
      </w:r>
      <w:r w:rsidR="000E4688" w:rsidRPr="00FA314F">
        <w:rPr>
          <w:rFonts w:cs="Arial"/>
          <w:noProof/>
          <w:szCs w:val="22"/>
        </w:rPr>
        <w:instrText xml:space="preserve"> SEQ Figure \* ARABIC </w:instrText>
      </w:r>
      <w:r w:rsidR="000E4688" w:rsidRPr="00FA314F">
        <w:rPr>
          <w:rFonts w:cs="Arial"/>
          <w:noProof/>
          <w:szCs w:val="22"/>
        </w:rPr>
        <w:fldChar w:fldCharType="separate"/>
      </w:r>
      <w:r w:rsidR="0067675D">
        <w:rPr>
          <w:rFonts w:cs="Arial"/>
          <w:noProof/>
          <w:szCs w:val="22"/>
        </w:rPr>
        <w:t>27</w:t>
      </w:r>
      <w:r w:rsidR="000E4688" w:rsidRPr="00FA314F">
        <w:rPr>
          <w:rFonts w:cs="Arial"/>
          <w:noProof/>
          <w:szCs w:val="22"/>
        </w:rPr>
        <w:fldChar w:fldCharType="end"/>
      </w:r>
      <w:bookmarkEnd w:id="280"/>
      <w:r w:rsidRPr="00FA314F">
        <w:rPr>
          <w:rFonts w:cs="Arial"/>
          <w:szCs w:val="22"/>
        </w:rPr>
        <w:t xml:space="preserve">. </w:t>
      </w:r>
      <w:r w:rsidRPr="00FA314F">
        <w:rPr>
          <w:rFonts w:cs="Arial"/>
          <w:i/>
          <w:szCs w:val="22"/>
        </w:rPr>
        <w:t>Environmental pressures in the Cape York region</w:t>
      </w:r>
      <w:bookmarkEnd w:id="281"/>
    </w:p>
    <w:p w14:paraId="047F4659" w14:textId="38BFBD43" w:rsidR="00C85E1B" w:rsidRPr="00FA314F" w:rsidRDefault="00686718" w:rsidP="00686718">
      <w:pPr>
        <w:rPr>
          <w:rFonts w:cs="Arial"/>
          <w:i/>
          <w:color w:val="000000"/>
          <w:szCs w:val="22"/>
        </w:rPr>
      </w:pPr>
      <w:r w:rsidRPr="00FA314F">
        <w:rPr>
          <w:rFonts w:cs="Arial"/>
          <w:i/>
          <w:color w:val="000000"/>
          <w:szCs w:val="22"/>
        </w:rPr>
        <w:t xml:space="preserve"> </w:t>
      </w:r>
      <w:r w:rsidR="00C85E1B" w:rsidRPr="00FA314F">
        <w:rPr>
          <w:rFonts w:cs="Arial"/>
          <w:i/>
          <w:szCs w:val="22"/>
        </w:rPr>
        <w:t>including</w:t>
      </w:r>
      <w:r w:rsidR="00B60FF5" w:rsidRPr="00FA314F">
        <w:rPr>
          <w:rFonts w:cs="Arial"/>
          <w:i/>
          <w:szCs w:val="22"/>
        </w:rPr>
        <w:t>:</w:t>
      </w:r>
      <w:r w:rsidR="00C85E1B" w:rsidRPr="00FA314F">
        <w:rPr>
          <w:rFonts w:cs="Arial"/>
          <w:i/>
          <w:szCs w:val="22"/>
        </w:rPr>
        <w:t xml:space="preserve"> a.</w:t>
      </w:r>
      <w:r w:rsidR="00C85E1B" w:rsidRPr="00FA314F">
        <w:rPr>
          <w:rFonts w:cs="Arial"/>
          <w:szCs w:val="22"/>
        </w:rPr>
        <w:t xml:space="preserve"> </w:t>
      </w:r>
      <w:r w:rsidR="00C85E1B" w:rsidRPr="00FA314F">
        <w:rPr>
          <w:rFonts w:cs="Arial"/>
          <w:i/>
          <w:szCs w:val="22"/>
        </w:rPr>
        <w:t xml:space="preserve">frequency of exposure to turbid water (colour classes 1-5) (from </w:t>
      </w:r>
      <w:hyperlink w:anchor="_ENREF_68" w:tooltip="Gruber, 2019 #11860" w:history="1">
        <w:r w:rsidR="009A7AB4" w:rsidRPr="00FA314F">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FA314F">
          <w:rPr>
            <w:rFonts w:cs="Arial"/>
            <w:i/>
            <w:szCs w:val="22"/>
          </w:rPr>
          <w:fldChar w:fldCharType="separate"/>
        </w:r>
        <w:r w:rsidR="009A7AB4">
          <w:rPr>
            <w:rFonts w:cs="Arial"/>
            <w:i/>
            <w:noProof/>
            <w:szCs w:val="22"/>
          </w:rPr>
          <w:t>Gruber et al. 2019b</w:t>
        </w:r>
        <w:r w:rsidR="009A7AB4" w:rsidRPr="00FA314F">
          <w:rPr>
            <w:rFonts w:cs="Arial"/>
            <w:i/>
            <w:szCs w:val="22"/>
          </w:rPr>
          <w:fldChar w:fldCharType="end"/>
        </w:r>
      </w:hyperlink>
      <w:r w:rsidR="00C85E1B" w:rsidRPr="00FA314F">
        <w:rPr>
          <w:rFonts w:cs="Arial"/>
          <w:i/>
          <w:szCs w:val="22"/>
        </w:rPr>
        <w:t>), b. wet season wate</w:t>
      </w:r>
      <w:r w:rsidR="00B60FF5" w:rsidRPr="00FA314F">
        <w:rPr>
          <w:rFonts w:cs="Arial"/>
          <w:i/>
          <w:szCs w:val="22"/>
        </w:rPr>
        <w:t xml:space="preserve">r type at each </w:t>
      </w:r>
      <w:r w:rsidR="00BF420D" w:rsidRPr="00FA314F">
        <w:rPr>
          <w:rFonts w:cs="Arial"/>
          <w:i/>
          <w:szCs w:val="22"/>
        </w:rPr>
        <w:t>site</w:t>
      </w:r>
      <w:r w:rsidR="00B60FF5" w:rsidRPr="00FA314F">
        <w:rPr>
          <w:rFonts w:cs="Arial"/>
          <w:i/>
          <w:szCs w:val="22"/>
        </w:rPr>
        <w:t>;</w:t>
      </w:r>
      <w:r w:rsidR="00C85E1B" w:rsidRPr="00FA314F">
        <w:rPr>
          <w:rFonts w:cs="Arial"/>
          <w:i/>
          <w:szCs w:val="22"/>
        </w:rPr>
        <w:t xml:space="preserve"> c. average conditions over the long-term and in </w:t>
      </w:r>
      <w:r w:rsidR="00956639" w:rsidRPr="00FA314F">
        <w:rPr>
          <w:rFonts w:cs="Arial"/>
          <w:i/>
          <w:szCs w:val="22"/>
        </w:rPr>
        <w:t>2018–19</w:t>
      </w:r>
      <w:r w:rsidR="00B60FF5" w:rsidRPr="00FA314F">
        <w:rPr>
          <w:rFonts w:cs="Arial"/>
          <w:i/>
          <w:szCs w:val="22"/>
        </w:rPr>
        <w:t>;</w:t>
      </w:r>
      <w:r w:rsidR="00C85E1B" w:rsidRPr="00FA314F">
        <w:rPr>
          <w:rFonts w:cs="Arial"/>
          <w:i/>
          <w:szCs w:val="22"/>
        </w:rPr>
        <w:t xml:space="preserve"> d. daily light and the 28-day rolling mean of daily light for all sites</w:t>
      </w:r>
      <w:r w:rsidR="00B60FF5" w:rsidRPr="00FA314F">
        <w:rPr>
          <w:rFonts w:cs="Arial"/>
          <w:i/>
          <w:szCs w:val="22"/>
        </w:rPr>
        <w:t>;</w:t>
      </w:r>
      <w:r w:rsidR="00C85E1B" w:rsidRPr="00FA314F">
        <w:rPr>
          <w:rFonts w:cs="Arial"/>
          <w:i/>
          <w:szCs w:val="22"/>
        </w:rPr>
        <w:t xml:space="preserve"> e. number of day temperature exceeded 35°C, 38°C, 40°C and 43°C, and</w:t>
      </w:r>
      <w:r w:rsidR="00B60FF5" w:rsidRPr="00FA314F">
        <w:rPr>
          <w:rFonts w:cs="Arial"/>
          <w:i/>
          <w:szCs w:val="22"/>
        </w:rPr>
        <w:t>;</w:t>
      </w:r>
      <w:r w:rsidR="00C85E1B" w:rsidRPr="00FA314F">
        <w:rPr>
          <w:rFonts w:cs="Arial"/>
          <w:i/>
          <w:szCs w:val="22"/>
        </w:rPr>
        <w:t xml:space="preserve"> f. deviations from 13-year </w:t>
      </w:r>
      <w:r w:rsidR="00C85E1B" w:rsidRPr="00FA314F">
        <w:rPr>
          <w:rFonts w:cs="Arial"/>
          <w:i/>
          <w:color w:val="000000"/>
          <w:szCs w:val="22"/>
        </w:rPr>
        <w:t>mean weekly temperature records.</w:t>
      </w:r>
      <w:bookmarkEnd w:id="282"/>
    </w:p>
    <w:p w14:paraId="29E89B79" w14:textId="4A2737EA" w:rsidR="002965B8" w:rsidRPr="00431DDA" w:rsidRDefault="002965B8" w:rsidP="000150D8">
      <w:pPr>
        <w:pStyle w:val="Heading3"/>
      </w:pPr>
      <w:bookmarkStart w:id="283" w:name="_Toc37775069"/>
      <w:bookmarkStart w:id="284" w:name="_Toc43987044"/>
      <w:r w:rsidRPr="00431DDA">
        <w:t>In</w:t>
      </w:r>
      <w:r w:rsidR="00066A4B" w:rsidRPr="00431DDA">
        <w:t>shore</w:t>
      </w:r>
      <w:r w:rsidRPr="00431DDA">
        <w:t xml:space="preserve"> seagrass </w:t>
      </w:r>
      <w:r w:rsidR="003B0C12" w:rsidRPr="00431DDA">
        <w:t xml:space="preserve">and habitat </w:t>
      </w:r>
      <w:r w:rsidRPr="00431DDA">
        <w:t>condition</w:t>
      </w:r>
      <w:bookmarkEnd w:id="283"/>
      <w:bookmarkEnd w:id="284"/>
    </w:p>
    <w:p w14:paraId="42F406FB" w14:textId="443339CF" w:rsidR="00EE1122" w:rsidRPr="00FA314F" w:rsidRDefault="002D7409" w:rsidP="00EE1122">
      <w:pPr>
        <w:rPr>
          <w:rFonts w:cs="Arial"/>
          <w:color w:val="000000" w:themeColor="text1"/>
          <w:szCs w:val="22"/>
          <w:lang w:eastAsia="x-none"/>
        </w:rPr>
      </w:pPr>
      <w:r>
        <w:rPr>
          <w:rFonts w:cs="Arial"/>
          <w:color w:val="000000" w:themeColor="text1"/>
          <w:szCs w:val="22"/>
          <w:lang w:eastAsia="x-none"/>
        </w:rPr>
        <w:t>There are 17 seagrass monitoring sites in Cape York from 9 locations</w:t>
      </w:r>
      <w:r w:rsidR="00B345B3">
        <w:rPr>
          <w:rFonts w:cs="Arial"/>
          <w:color w:val="000000" w:themeColor="text1"/>
          <w:szCs w:val="22"/>
          <w:lang w:eastAsia="x-none"/>
        </w:rPr>
        <w:t xml:space="preserve"> (</w:t>
      </w:r>
      <w:r w:rsidR="00B345B3">
        <w:rPr>
          <w:rFonts w:cs="Arial"/>
          <w:color w:val="000000" w:themeColor="text1"/>
          <w:szCs w:val="22"/>
          <w:lang w:eastAsia="x-none"/>
        </w:rPr>
        <w:fldChar w:fldCharType="begin"/>
      </w:r>
      <w:r w:rsidR="00B345B3">
        <w:rPr>
          <w:rFonts w:cs="Arial"/>
          <w:color w:val="000000" w:themeColor="text1"/>
          <w:szCs w:val="22"/>
          <w:lang w:eastAsia="x-none"/>
        </w:rPr>
        <w:instrText xml:space="preserve"> REF _Ref473897619 \h </w:instrText>
      </w:r>
      <w:r w:rsidR="00B345B3">
        <w:rPr>
          <w:rFonts w:cs="Arial"/>
          <w:color w:val="000000" w:themeColor="text1"/>
          <w:szCs w:val="22"/>
          <w:lang w:eastAsia="x-none"/>
        </w:rPr>
      </w:r>
      <w:r w:rsidR="00B345B3">
        <w:rPr>
          <w:rFonts w:cs="Arial"/>
          <w:color w:val="000000" w:themeColor="text1"/>
          <w:szCs w:val="22"/>
          <w:lang w:eastAsia="x-none"/>
        </w:rPr>
        <w:fldChar w:fldCharType="separate"/>
      </w:r>
      <w:r w:rsidR="0067675D" w:rsidRPr="00FA314F">
        <w:rPr>
          <w:rFonts w:cs="Arial"/>
          <w:szCs w:val="22"/>
        </w:rPr>
        <w:t xml:space="preserve">Table </w:t>
      </w:r>
      <w:r w:rsidR="0067675D">
        <w:rPr>
          <w:rFonts w:cs="Arial"/>
          <w:noProof/>
          <w:szCs w:val="22"/>
        </w:rPr>
        <w:t>11</w:t>
      </w:r>
      <w:r w:rsidR="00B345B3">
        <w:rPr>
          <w:rFonts w:cs="Arial"/>
          <w:color w:val="000000" w:themeColor="text1"/>
          <w:szCs w:val="22"/>
          <w:lang w:eastAsia="x-none"/>
        </w:rPr>
        <w:fldChar w:fldCharType="end"/>
      </w:r>
      <w:r w:rsidR="00B345B3">
        <w:rPr>
          <w:rFonts w:cs="Arial"/>
          <w:color w:val="000000" w:themeColor="text1"/>
          <w:szCs w:val="22"/>
          <w:lang w:eastAsia="x-none"/>
        </w:rPr>
        <w:t>)</w:t>
      </w:r>
      <w:r>
        <w:rPr>
          <w:rFonts w:cs="Arial"/>
          <w:color w:val="000000" w:themeColor="text1"/>
          <w:szCs w:val="22"/>
          <w:lang w:eastAsia="x-none"/>
        </w:rPr>
        <w:t xml:space="preserve">. </w:t>
      </w:r>
      <w:r w:rsidR="00066A4B" w:rsidRPr="00FA314F">
        <w:rPr>
          <w:rFonts w:cs="Arial"/>
          <w:color w:val="000000" w:themeColor="text1"/>
          <w:szCs w:val="22"/>
          <w:lang w:eastAsia="x-none"/>
        </w:rPr>
        <w:t>Four</w:t>
      </w:r>
      <w:r w:rsidR="00EE1122" w:rsidRPr="00FA314F">
        <w:rPr>
          <w:rFonts w:cs="Arial"/>
          <w:color w:val="000000" w:themeColor="text1"/>
          <w:szCs w:val="22"/>
          <w:lang w:eastAsia="x-none"/>
        </w:rPr>
        <w:t xml:space="preserve"> seagrass habitat types were assessed across the region in </w:t>
      </w:r>
      <w:r w:rsidR="00956639" w:rsidRPr="00FA314F">
        <w:rPr>
          <w:rFonts w:cs="Arial"/>
          <w:color w:val="000000" w:themeColor="text1"/>
          <w:szCs w:val="22"/>
          <w:lang w:eastAsia="x-none"/>
        </w:rPr>
        <w:t>2018–19</w:t>
      </w:r>
      <w:r w:rsidR="002765F1" w:rsidRPr="00FA314F">
        <w:rPr>
          <w:rFonts w:cs="Arial"/>
          <w:color w:val="000000" w:themeColor="text1"/>
          <w:szCs w:val="22"/>
          <w:lang w:eastAsia="x-none"/>
        </w:rPr>
        <w:t xml:space="preserve">, </w:t>
      </w:r>
      <w:r w:rsidR="00791A68" w:rsidRPr="00FA314F">
        <w:rPr>
          <w:rFonts w:cs="Arial"/>
          <w:color w:val="000000" w:themeColor="text1"/>
          <w:szCs w:val="22"/>
          <w:lang w:eastAsia="x-none"/>
        </w:rPr>
        <w:t xml:space="preserve">with data from </w:t>
      </w:r>
      <w:r w:rsidR="009B09EF">
        <w:rPr>
          <w:rFonts w:cs="Arial"/>
          <w:color w:val="000000" w:themeColor="text1"/>
          <w:szCs w:val="22"/>
          <w:lang w:eastAsia="x-none"/>
        </w:rPr>
        <w:t>10</w:t>
      </w:r>
      <w:r w:rsidR="00E5349B" w:rsidRPr="00FA314F">
        <w:rPr>
          <w:rFonts w:cs="Arial"/>
          <w:color w:val="000000" w:themeColor="text1"/>
          <w:szCs w:val="22"/>
          <w:lang w:eastAsia="x-none"/>
        </w:rPr>
        <w:t xml:space="preserve"> of the 1</w:t>
      </w:r>
      <w:r w:rsidR="00772E1C">
        <w:rPr>
          <w:rFonts w:cs="Arial"/>
          <w:color w:val="000000" w:themeColor="text1"/>
          <w:szCs w:val="22"/>
          <w:lang w:eastAsia="x-none"/>
        </w:rPr>
        <w:t>7</w:t>
      </w:r>
      <w:r w:rsidR="00E5349B" w:rsidRPr="00FA314F">
        <w:rPr>
          <w:rFonts w:cs="Arial"/>
          <w:color w:val="000000" w:themeColor="text1"/>
          <w:szCs w:val="22"/>
          <w:lang w:eastAsia="x-none"/>
        </w:rPr>
        <w:t xml:space="preserve"> long-term monitoring </w:t>
      </w:r>
      <w:r w:rsidR="00EE1122" w:rsidRPr="00FA314F">
        <w:rPr>
          <w:rFonts w:cs="Arial"/>
          <w:color w:val="000000" w:themeColor="text1"/>
          <w:szCs w:val="22"/>
          <w:lang w:eastAsia="x-none"/>
        </w:rPr>
        <w:t>sites (</w:t>
      </w:r>
      <w:r w:rsidR="00EE1122" w:rsidRPr="00FA314F">
        <w:rPr>
          <w:rFonts w:cs="Arial"/>
          <w:color w:val="000000" w:themeColor="text1"/>
          <w:szCs w:val="22"/>
          <w:lang w:eastAsia="x-none"/>
        </w:rPr>
        <w:fldChar w:fldCharType="begin"/>
      </w:r>
      <w:r w:rsidR="00EE1122" w:rsidRPr="00FA314F">
        <w:rPr>
          <w:rFonts w:cs="Arial"/>
          <w:color w:val="000000" w:themeColor="text1"/>
          <w:szCs w:val="22"/>
          <w:lang w:eastAsia="x-none"/>
        </w:rPr>
        <w:instrText xml:space="preserve"> REF _Ref473897619 \h </w:instrText>
      </w:r>
      <w:r w:rsidR="00580DDA" w:rsidRPr="00FA314F">
        <w:rPr>
          <w:rFonts w:cs="Arial"/>
          <w:color w:val="000000" w:themeColor="text1"/>
          <w:szCs w:val="22"/>
          <w:lang w:eastAsia="x-none"/>
        </w:rPr>
        <w:instrText xml:space="preserve"> \* MERGEFORMAT </w:instrText>
      </w:r>
      <w:r w:rsidR="00EE1122" w:rsidRPr="00FA314F">
        <w:rPr>
          <w:rFonts w:cs="Arial"/>
          <w:color w:val="000000" w:themeColor="text1"/>
          <w:szCs w:val="22"/>
          <w:lang w:eastAsia="x-none"/>
        </w:rPr>
      </w:r>
      <w:r w:rsidR="00EE1122" w:rsidRPr="00FA314F">
        <w:rPr>
          <w:rFonts w:cs="Arial"/>
          <w:color w:val="000000" w:themeColor="text1"/>
          <w:szCs w:val="22"/>
          <w:lang w:eastAsia="x-none"/>
        </w:rPr>
        <w:fldChar w:fldCharType="separate"/>
      </w:r>
      <w:r w:rsidR="0067675D" w:rsidRPr="00FA314F">
        <w:rPr>
          <w:rFonts w:cs="Arial"/>
          <w:szCs w:val="22"/>
        </w:rPr>
        <w:t xml:space="preserve">Table </w:t>
      </w:r>
      <w:r w:rsidR="0067675D">
        <w:rPr>
          <w:rFonts w:cs="Arial"/>
          <w:noProof/>
          <w:szCs w:val="22"/>
        </w:rPr>
        <w:t>11</w:t>
      </w:r>
      <w:r w:rsidR="00EE1122" w:rsidRPr="00FA314F">
        <w:rPr>
          <w:rFonts w:cs="Arial"/>
          <w:color w:val="000000" w:themeColor="text1"/>
          <w:szCs w:val="22"/>
          <w:lang w:eastAsia="x-none"/>
        </w:rPr>
        <w:fldChar w:fldCharType="end"/>
      </w:r>
      <w:r w:rsidR="00772E1C">
        <w:rPr>
          <w:rFonts w:cs="Arial"/>
          <w:color w:val="000000" w:themeColor="text1"/>
          <w:szCs w:val="22"/>
          <w:lang w:eastAsia="x-none"/>
        </w:rPr>
        <w:t xml:space="preserve">, </w:t>
      </w:r>
      <w:r w:rsidR="00772E1C">
        <w:rPr>
          <w:rFonts w:cs="Arial"/>
          <w:color w:val="000000" w:themeColor="text1"/>
          <w:szCs w:val="22"/>
          <w:lang w:eastAsia="x-none"/>
        </w:rPr>
        <w:fldChar w:fldCharType="begin"/>
      </w:r>
      <w:r w:rsidR="00772E1C">
        <w:rPr>
          <w:rFonts w:cs="Arial"/>
          <w:color w:val="000000" w:themeColor="text1"/>
          <w:szCs w:val="22"/>
          <w:lang w:eastAsia="x-none"/>
        </w:rPr>
        <w:instrText xml:space="preserve"> REF _Ref511373432 \h </w:instrText>
      </w:r>
      <w:r w:rsidR="00772E1C">
        <w:rPr>
          <w:rFonts w:cs="Arial"/>
          <w:color w:val="000000" w:themeColor="text1"/>
          <w:szCs w:val="22"/>
          <w:lang w:eastAsia="x-none"/>
        </w:rPr>
      </w:r>
      <w:r w:rsidR="00772E1C">
        <w:rPr>
          <w:rFonts w:cs="Arial"/>
          <w:color w:val="000000" w:themeColor="text1"/>
          <w:szCs w:val="22"/>
          <w:lang w:eastAsia="x-none"/>
        </w:rPr>
        <w:fldChar w:fldCharType="separate"/>
      </w:r>
      <w:r w:rsidR="0067675D" w:rsidRPr="00687A15">
        <w:rPr>
          <w:rFonts w:cs="Arial"/>
          <w:color w:val="000000"/>
          <w:szCs w:val="22"/>
        </w:rPr>
        <w:t xml:space="preserve">Table </w:t>
      </w:r>
      <w:r w:rsidR="0067675D">
        <w:rPr>
          <w:rFonts w:cs="Arial"/>
          <w:noProof/>
          <w:color w:val="000000"/>
          <w:szCs w:val="22"/>
        </w:rPr>
        <w:t>18</w:t>
      </w:r>
      <w:r w:rsidR="00772E1C">
        <w:rPr>
          <w:rFonts w:cs="Arial"/>
          <w:color w:val="000000" w:themeColor="text1"/>
          <w:szCs w:val="22"/>
          <w:lang w:eastAsia="x-none"/>
        </w:rPr>
        <w:fldChar w:fldCharType="end"/>
      </w:r>
      <w:r w:rsidR="00EE1122" w:rsidRPr="00FA314F">
        <w:rPr>
          <w:rFonts w:cs="Arial"/>
          <w:color w:val="000000" w:themeColor="text1"/>
          <w:szCs w:val="22"/>
          <w:lang w:eastAsia="x-none"/>
        </w:rPr>
        <w:t>).</w:t>
      </w:r>
    </w:p>
    <w:p w14:paraId="04EB76D3" w14:textId="2C5C3D9E" w:rsidR="00E50C95" w:rsidRPr="00FA314F" w:rsidRDefault="00EE1122" w:rsidP="00E50C95">
      <w:pPr>
        <w:rPr>
          <w:rFonts w:cs="Arial"/>
          <w:i/>
          <w:vanish/>
          <w:szCs w:val="22"/>
          <w:specVanish/>
        </w:rPr>
      </w:pPr>
      <w:bookmarkStart w:id="285" w:name="_Ref473897619"/>
      <w:bookmarkStart w:id="286" w:name="_Toc37787063"/>
      <w:bookmarkStart w:id="287" w:name="_Toc47600685"/>
      <w:r w:rsidRPr="00FA314F">
        <w:rPr>
          <w:rFonts w:cs="Arial"/>
          <w:szCs w:val="22"/>
        </w:rPr>
        <w:t xml:space="preserve">Table </w:t>
      </w:r>
      <w:r w:rsidR="00C506C7" w:rsidRPr="00FA314F">
        <w:rPr>
          <w:rFonts w:cs="Arial"/>
          <w:noProof/>
          <w:szCs w:val="22"/>
        </w:rPr>
        <w:fldChar w:fldCharType="begin"/>
      </w:r>
      <w:r w:rsidR="00C506C7" w:rsidRPr="00FA314F">
        <w:rPr>
          <w:rFonts w:cs="Arial"/>
          <w:noProof/>
          <w:szCs w:val="22"/>
        </w:rPr>
        <w:instrText xml:space="preserve"> SEQ Table \* ARABIC </w:instrText>
      </w:r>
      <w:r w:rsidR="00C506C7" w:rsidRPr="00FA314F">
        <w:rPr>
          <w:rFonts w:cs="Arial"/>
          <w:noProof/>
          <w:szCs w:val="22"/>
        </w:rPr>
        <w:fldChar w:fldCharType="separate"/>
      </w:r>
      <w:r w:rsidR="0067675D">
        <w:rPr>
          <w:rFonts w:cs="Arial"/>
          <w:noProof/>
          <w:szCs w:val="22"/>
        </w:rPr>
        <w:t>11</w:t>
      </w:r>
      <w:r w:rsidR="00C506C7" w:rsidRPr="00FA314F">
        <w:rPr>
          <w:rFonts w:cs="Arial"/>
          <w:noProof/>
          <w:szCs w:val="22"/>
        </w:rPr>
        <w:fldChar w:fldCharType="end"/>
      </w:r>
      <w:bookmarkEnd w:id="285"/>
      <w:r w:rsidRPr="00FA314F">
        <w:rPr>
          <w:rFonts w:cs="Arial"/>
          <w:szCs w:val="22"/>
        </w:rPr>
        <w:t xml:space="preserve">. </w:t>
      </w:r>
      <w:r w:rsidRPr="00FA314F">
        <w:rPr>
          <w:rFonts w:cs="Arial"/>
          <w:i/>
          <w:szCs w:val="22"/>
        </w:rPr>
        <w:t>List of data sources of seagrass and environmental condition indicators for each seagrass habitat type in the Cape York NRM region</w:t>
      </w:r>
      <w:bookmarkEnd w:id="286"/>
      <w:bookmarkEnd w:id="287"/>
    </w:p>
    <w:p w14:paraId="609B19D2" w14:textId="62968496" w:rsidR="00EE1122" w:rsidRPr="00FA314F" w:rsidRDefault="00EE1122" w:rsidP="00994F86">
      <w:pPr>
        <w:rPr>
          <w:rFonts w:cs="Arial"/>
          <w:i/>
          <w:vanish/>
          <w:color w:val="000000"/>
          <w:szCs w:val="22"/>
          <w:lang w:val="en-GB"/>
        </w:rPr>
      </w:pPr>
      <w:r w:rsidRPr="00FA314F">
        <w:rPr>
          <w:rFonts w:cs="Arial"/>
          <w:i/>
          <w:szCs w:val="22"/>
        </w:rPr>
        <w:t>.</w:t>
      </w:r>
      <w:r w:rsidR="008E2E54" w:rsidRPr="00FA314F">
        <w:rPr>
          <w:rFonts w:cs="Arial"/>
          <w:i/>
          <w:szCs w:val="22"/>
        </w:rPr>
        <w:t xml:space="preserve"> </w:t>
      </w:r>
      <w:r w:rsidRPr="00FA314F">
        <w:rPr>
          <w:rFonts w:cs="Arial"/>
          <w:i/>
          <w:szCs w:val="22"/>
        </w:rPr>
        <w:t xml:space="preserve">For site details see </w:t>
      </w:r>
      <w:r w:rsidRPr="00FA314F">
        <w:rPr>
          <w:rFonts w:cs="Arial"/>
          <w:i/>
          <w:szCs w:val="22"/>
        </w:rPr>
        <w:fldChar w:fldCharType="begin"/>
      </w:r>
      <w:r w:rsidRPr="00FA314F">
        <w:rPr>
          <w:rFonts w:cs="Arial"/>
          <w:i/>
          <w:szCs w:val="22"/>
        </w:rPr>
        <w:instrText xml:space="preserve"> REF _Ref236539751 \h  \* MERGEFORMAT </w:instrText>
      </w:r>
      <w:r w:rsidRPr="00FA314F">
        <w:rPr>
          <w:rFonts w:cs="Arial"/>
          <w:i/>
          <w:szCs w:val="22"/>
        </w:rPr>
      </w:r>
      <w:r w:rsidRPr="00FA314F">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2</w:t>
      </w:r>
      <w:r w:rsidRPr="00FA314F">
        <w:rPr>
          <w:rFonts w:cs="Arial"/>
          <w:i/>
          <w:szCs w:val="22"/>
        </w:rPr>
        <w:fldChar w:fldCharType="end"/>
      </w:r>
      <w:r w:rsidRPr="00FA314F">
        <w:rPr>
          <w:rFonts w:cs="Arial"/>
          <w:i/>
          <w:szCs w:val="22"/>
        </w:rPr>
        <w:t xml:space="preserve"> and </w:t>
      </w:r>
      <w:r w:rsidRPr="00FA314F">
        <w:rPr>
          <w:rFonts w:cs="Arial"/>
          <w:i/>
          <w:szCs w:val="22"/>
        </w:rPr>
        <w:fldChar w:fldCharType="begin"/>
      </w:r>
      <w:r w:rsidRPr="00FA314F">
        <w:rPr>
          <w:rFonts w:cs="Arial"/>
          <w:i/>
          <w:szCs w:val="22"/>
        </w:rPr>
        <w:instrText xml:space="preserve"> REF _Ref461186562 \h  \* MERGEFORMAT </w:instrText>
      </w:r>
      <w:r w:rsidRPr="00FA314F">
        <w:rPr>
          <w:rFonts w:cs="Arial"/>
          <w:i/>
          <w:szCs w:val="22"/>
        </w:rPr>
      </w:r>
      <w:r w:rsidRPr="00FA314F">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3</w:t>
      </w:r>
      <w:r w:rsidRPr="00FA314F">
        <w:rPr>
          <w:rFonts w:cs="Arial"/>
          <w:i/>
          <w:szCs w:val="22"/>
        </w:rPr>
        <w:fldChar w:fldCharType="end"/>
      </w:r>
      <w:r w:rsidRPr="00FA314F">
        <w:rPr>
          <w:rFonts w:cs="Arial"/>
          <w:i/>
          <w:szCs w:val="22"/>
        </w:rPr>
        <w:t>.</w:t>
      </w:r>
      <w:r w:rsidR="00F75525" w:rsidRPr="00FA314F">
        <w:rPr>
          <w:rFonts w:cs="Arial"/>
          <w:i/>
          <w:szCs w:val="22"/>
        </w:rPr>
        <w:t xml:space="preserve"> </w:t>
      </w:r>
      <w:r w:rsidRPr="00FA314F">
        <w:rPr>
          <w:rFonts w:cs="Arial"/>
          <w:i/>
          <w:color w:val="000000"/>
          <w:szCs w:val="22"/>
        </w:rPr>
        <w:t xml:space="preserve">Open square indicates </w:t>
      </w:r>
      <w:r w:rsidR="00F75525" w:rsidRPr="00FA314F">
        <w:rPr>
          <w:rFonts w:cs="Arial"/>
          <w:i/>
          <w:color w:val="000000"/>
          <w:szCs w:val="22"/>
        </w:rPr>
        <w:t xml:space="preserve">not measured in </w:t>
      </w:r>
      <w:r w:rsidR="006574F1" w:rsidRPr="00FA314F">
        <w:rPr>
          <w:rFonts w:cs="Arial"/>
          <w:i/>
          <w:color w:val="000000"/>
          <w:szCs w:val="22"/>
        </w:rPr>
        <w:t>201</w:t>
      </w:r>
      <w:r w:rsidR="009A2B05" w:rsidRPr="00FA314F">
        <w:rPr>
          <w:rFonts w:cs="Arial"/>
          <w:i/>
          <w:color w:val="000000"/>
          <w:szCs w:val="22"/>
        </w:rPr>
        <w:t>8</w:t>
      </w:r>
      <w:r w:rsidR="006574F1" w:rsidRPr="00FA314F">
        <w:rPr>
          <w:rFonts w:cs="Arial"/>
          <w:i/>
          <w:color w:val="000000"/>
          <w:szCs w:val="22"/>
        </w:rPr>
        <w:t>-</w:t>
      </w:r>
      <w:r w:rsidR="00D569B9" w:rsidRPr="00FA314F">
        <w:rPr>
          <w:rFonts w:cs="Arial"/>
          <w:i/>
          <w:color w:val="000000"/>
          <w:szCs w:val="22"/>
        </w:rPr>
        <w:t>1</w:t>
      </w:r>
      <w:r w:rsidR="009A2B05" w:rsidRPr="00FA314F">
        <w:rPr>
          <w:rFonts w:cs="Arial"/>
          <w:i/>
          <w:color w:val="000000"/>
          <w:szCs w:val="22"/>
        </w:rPr>
        <w:t>9</w:t>
      </w:r>
      <w:r w:rsidR="00F75525" w:rsidRPr="00FA314F">
        <w:rPr>
          <w:rFonts w:cs="Arial"/>
          <w:i/>
          <w:color w:val="000000"/>
          <w:szCs w:val="22"/>
        </w:rPr>
        <w:t>.</w:t>
      </w:r>
      <w:r w:rsidR="00BE000D" w:rsidRPr="00FA314F">
        <w:rPr>
          <w:rFonts w:cs="Arial"/>
          <w:i/>
          <w:color w:val="000000"/>
          <w:szCs w:val="22"/>
        </w:rPr>
        <w:t xml:space="preserve"> </w:t>
      </w:r>
      <w:r w:rsidR="00BE000D" w:rsidRPr="00FA314F">
        <w:rPr>
          <w:rFonts w:cs="Arial"/>
          <w:i/>
          <w:color w:val="000000"/>
          <w:szCs w:val="22"/>
          <w:vertAlign w:val="superscript"/>
        </w:rPr>
        <w:sym w:font="Wingdings 2" w:char="F085"/>
      </w:r>
      <w:r w:rsidR="00BE000D" w:rsidRPr="00FA314F">
        <w:rPr>
          <w:rFonts w:cs="Arial"/>
          <w:i/>
          <w:color w:val="000000"/>
          <w:szCs w:val="22"/>
        </w:rPr>
        <w:t xml:space="preserve"> drop camera sampling (QPWS), *Seagrass-Watch.</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674"/>
        <w:gridCol w:w="3042"/>
        <w:gridCol w:w="467"/>
        <w:gridCol w:w="467"/>
        <w:gridCol w:w="467"/>
        <w:gridCol w:w="467"/>
        <w:gridCol w:w="467"/>
        <w:gridCol w:w="467"/>
        <w:gridCol w:w="467"/>
        <w:gridCol w:w="467"/>
        <w:gridCol w:w="467"/>
      </w:tblGrid>
      <w:tr w:rsidR="00EE1122" w:rsidRPr="00173CCC" w14:paraId="6DB0B329" w14:textId="77777777" w:rsidTr="00FA314F">
        <w:trPr>
          <w:cantSplit/>
          <w:trHeight w:val="1871"/>
          <w:jc w:val="center"/>
        </w:trPr>
        <w:tc>
          <w:tcPr>
            <w:tcW w:w="1681" w:type="dxa"/>
            <w:shd w:val="clear" w:color="auto" w:fill="BBE0E3"/>
            <w:vAlign w:val="center"/>
          </w:tcPr>
          <w:p w14:paraId="393A78E3" w14:textId="77777777" w:rsidR="00EE1122" w:rsidRPr="00173CCC" w:rsidRDefault="00EE1122" w:rsidP="002D7409">
            <w:pPr>
              <w:spacing w:before="0" w:after="0"/>
              <w:jc w:val="center"/>
              <w:rPr>
                <w:rFonts w:asciiTheme="minorHAnsi" w:hAnsiTheme="minorHAnsi" w:cstheme="minorHAnsi"/>
                <w:b/>
                <w:bCs/>
                <w:color w:val="000000"/>
                <w:sz w:val="20"/>
                <w:szCs w:val="20"/>
              </w:rPr>
            </w:pPr>
            <w:r w:rsidRPr="00173CCC">
              <w:rPr>
                <w:rFonts w:asciiTheme="minorHAnsi" w:hAnsiTheme="minorHAnsi" w:cstheme="minorHAnsi"/>
                <w:b/>
                <w:bCs/>
                <w:color w:val="000000"/>
                <w:sz w:val="20"/>
                <w:szCs w:val="20"/>
              </w:rPr>
              <w:t>Habitat</w:t>
            </w:r>
          </w:p>
        </w:tc>
        <w:tc>
          <w:tcPr>
            <w:tcW w:w="3716" w:type="dxa"/>
            <w:gridSpan w:val="2"/>
            <w:shd w:val="clear" w:color="auto" w:fill="BBE0E3"/>
            <w:noWrap/>
            <w:vAlign w:val="center"/>
          </w:tcPr>
          <w:p w14:paraId="133C7B7A" w14:textId="77777777" w:rsidR="00EE1122" w:rsidRPr="00173CCC" w:rsidRDefault="00EE1122" w:rsidP="002D7409">
            <w:pPr>
              <w:spacing w:before="0" w:after="0"/>
              <w:jc w:val="center"/>
              <w:rPr>
                <w:rFonts w:asciiTheme="minorHAnsi" w:hAnsiTheme="minorHAnsi" w:cstheme="minorHAnsi"/>
                <w:b/>
                <w:bCs/>
                <w:color w:val="000000"/>
                <w:sz w:val="20"/>
                <w:szCs w:val="20"/>
              </w:rPr>
            </w:pPr>
            <w:r w:rsidRPr="00173CCC">
              <w:rPr>
                <w:rFonts w:asciiTheme="minorHAnsi" w:hAnsiTheme="minorHAnsi" w:cstheme="minorHAnsi"/>
                <w:b/>
                <w:bCs/>
                <w:color w:val="000000"/>
                <w:sz w:val="20"/>
                <w:szCs w:val="20"/>
              </w:rPr>
              <w:t>Site</w:t>
            </w:r>
          </w:p>
        </w:tc>
        <w:tc>
          <w:tcPr>
            <w:tcW w:w="467" w:type="dxa"/>
            <w:shd w:val="clear" w:color="auto" w:fill="BBE0E3"/>
            <w:textDirection w:val="btLr"/>
            <w:vAlign w:val="center"/>
          </w:tcPr>
          <w:p w14:paraId="1259B716" w14:textId="77777777" w:rsidR="00EE1122" w:rsidRPr="00173CCC" w:rsidRDefault="00EE1122" w:rsidP="002D7409">
            <w:pPr>
              <w:spacing w:before="0" w:after="0"/>
              <w:ind w:left="57" w:right="113"/>
              <w:rPr>
                <w:rFonts w:asciiTheme="minorHAnsi" w:hAnsiTheme="minorHAnsi" w:cstheme="minorHAnsi"/>
                <w:b/>
                <w:bCs/>
                <w:color w:val="000000"/>
                <w:sz w:val="20"/>
                <w:szCs w:val="20"/>
              </w:rPr>
            </w:pPr>
            <w:r w:rsidRPr="00173CCC">
              <w:rPr>
                <w:rFonts w:asciiTheme="minorHAnsi" w:hAnsiTheme="minorHAnsi" w:cstheme="minorHAnsi"/>
                <w:b/>
                <w:bCs/>
                <w:color w:val="000000"/>
                <w:sz w:val="20"/>
                <w:szCs w:val="20"/>
              </w:rPr>
              <w:t>abundance</w:t>
            </w:r>
          </w:p>
        </w:tc>
        <w:tc>
          <w:tcPr>
            <w:tcW w:w="467" w:type="dxa"/>
            <w:shd w:val="clear" w:color="auto" w:fill="BBE0E3"/>
            <w:textDirection w:val="btLr"/>
            <w:vAlign w:val="center"/>
          </w:tcPr>
          <w:p w14:paraId="16D19093" w14:textId="177A2215"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composition</w:t>
            </w:r>
          </w:p>
        </w:tc>
        <w:tc>
          <w:tcPr>
            <w:tcW w:w="467" w:type="dxa"/>
            <w:shd w:val="clear" w:color="auto" w:fill="BBE0E3"/>
            <w:textDirection w:val="btLr"/>
            <w:vAlign w:val="center"/>
          </w:tcPr>
          <w:p w14:paraId="00A4191E" w14:textId="21509494"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extent</w:t>
            </w:r>
          </w:p>
        </w:tc>
        <w:tc>
          <w:tcPr>
            <w:tcW w:w="467" w:type="dxa"/>
            <w:shd w:val="clear" w:color="auto" w:fill="BBE0E3"/>
            <w:textDirection w:val="btLr"/>
            <w:vAlign w:val="center"/>
          </w:tcPr>
          <w:p w14:paraId="326452D7" w14:textId="6F4709C0"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r</w:t>
            </w:r>
            <w:r w:rsidR="00EE1122" w:rsidRPr="00173CCC">
              <w:rPr>
                <w:rFonts w:asciiTheme="minorHAnsi" w:hAnsiTheme="minorHAnsi" w:cstheme="minorHAnsi"/>
                <w:b/>
                <w:bCs/>
                <w:color w:val="000000"/>
                <w:sz w:val="20"/>
                <w:szCs w:val="20"/>
              </w:rPr>
              <w:t>eproductive effort</w:t>
            </w:r>
          </w:p>
        </w:tc>
        <w:tc>
          <w:tcPr>
            <w:tcW w:w="467" w:type="dxa"/>
            <w:shd w:val="clear" w:color="auto" w:fill="BBE0E3"/>
            <w:textDirection w:val="btLr"/>
            <w:vAlign w:val="center"/>
          </w:tcPr>
          <w:p w14:paraId="4DCACBC3" w14:textId="77777777" w:rsidR="00EE1122" w:rsidRPr="00173CCC" w:rsidRDefault="00EE1122" w:rsidP="002D7409">
            <w:pPr>
              <w:spacing w:before="0" w:after="0"/>
              <w:ind w:left="57" w:right="113"/>
              <w:rPr>
                <w:rFonts w:asciiTheme="minorHAnsi" w:hAnsiTheme="minorHAnsi" w:cstheme="minorHAnsi"/>
                <w:b/>
                <w:bCs/>
                <w:color w:val="000000"/>
                <w:sz w:val="20"/>
                <w:szCs w:val="20"/>
              </w:rPr>
            </w:pPr>
            <w:r w:rsidRPr="00173CCC">
              <w:rPr>
                <w:rFonts w:asciiTheme="minorHAnsi" w:hAnsiTheme="minorHAnsi" w:cstheme="minorHAnsi"/>
                <w:b/>
                <w:bCs/>
                <w:color w:val="000000"/>
                <w:sz w:val="20"/>
                <w:szCs w:val="20"/>
              </w:rPr>
              <w:t>seed banks</w:t>
            </w:r>
          </w:p>
        </w:tc>
        <w:tc>
          <w:tcPr>
            <w:tcW w:w="467" w:type="dxa"/>
            <w:shd w:val="clear" w:color="auto" w:fill="BBE0E3"/>
            <w:textDirection w:val="btLr"/>
            <w:vAlign w:val="center"/>
          </w:tcPr>
          <w:p w14:paraId="77F7CC05" w14:textId="7C18794E"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l</w:t>
            </w:r>
            <w:r w:rsidR="00EE1122" w:rsidRPr="00173CCC">
              <w:rPr>
                <w:rFonts w:asciiTheme="minorHAnsi" w:hAnsiTheme="minorHAnsi" w:cstheme="minorHAnsi"/>
                <w:b/>
                <w:bCs/>
                <w:color w:val="000000"/>
                <w:sz w:val="20"/>
                <w:szCs w:val="20"/>
              </w:rPr>
              <w:t>eaf tissue nutrients</w:t>
            </w:r>
          </w:p>
        </w:tc>
        <w:tc>
          <w:tcPr>
            <w:tcW w:w="467" w:type="dxa"/>
            <w:shd w:val="clear" w:color="auto" w:fill="BBE0E3"/>
            <w:textDirection w:val="btLr"/>
            <w:vAlign w:val="center"/>
          </w:tcPr>
          <w:p w14:paraId="785ACB9B" w14:textId="4F2EA42A"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EE1122" w:rsidRPr="00173CCC">
              <w:rPr>
                <w:rFonts w:asciiTheme="minorHAnsi" w:hAnsiTheme="minorHAnsi" w:cstheme="minorHAnsi"/>
                <w:b/>
                <w:bCs/>
                <w:color w:val="000000"/>
                <w:sz w:val="20"/>
                <w:szCs w:val="20"/>
              </w:rPr>
              <w:t>eadow sediments</w:t>
            </w:r>
          </w:p>
        </w:tc>
        <w:tc>
          <w:tcPr>
            <w:tcW w:w="467" w:type="dxa"/>
            <w:shd w:val="clear" w:color="auto" w:fill="BBE0E3"/>
            <w:textDirection w:val="btLr"/>
            <w:vAlign w:val="center"/>
          </w:tcPr>
          <w:p w14:paraId="4E41F9CF" w14:textId="324ED468"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e</w:t>
            </w:r>
            <w:r w:rsidR="00EE1122" w:rsidRPr="00173CCC">
              <w:rPr>
                <w:rFonts w:asciiTheme="minorHAnsi" w:hAnsiTheme="minorHAnsi" w:cstheme="minorHAnsi"/>
                <w:b/>
                <w:bCs/>
                <w:color w:val="000000"/>
                <w:sz w:val="20"/>
                <w:szCs w:val="20"/>
              </w:rPr>
              <w:t>piphytes</w:t>
            </w:r>
          </w:p>
        </w:tc>
        <w:tc>
          <w:tcPr>
            <w:tcW w:w="467" w:type="dxa"/>
            <w:shd w:val="clear" w:color="auto" w:fill="BBE0E3"/>
            <w:textDirection w:val="btLr"/>
          </w:tcPr>
          <w:p w14:paraId="541967D2" w14:textId="0703630F" w:rsidR="00EE1122" w:rsidRPr="00173CCC" w:rsidRDefault="00FA314F" w:rsidP="002D7409">
            <w:pPr>
              <w:spacing w:before="0" w:after="0"/>
              <w:ind w:left="57" w:right="113"/>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EE1122" w:rsidRPr="00173CCC">
              <w:rPr>
                <w:rFonts w:asciiTheme="minorHAnsi" w:hAnsiTheme="minorHAnsi" w:cstheme="minorHAnsi"/>
                <w:b/>
                <w:bCs/>
                <w:color w:val="000000"/>
                <w:sz w:val="20"/>
                <w:szCs w:val="20"/>
              </w:rPr>
              <w:t>acroalgae</w:t>
            </w:r>
          </w:p>
        </w:tc>
      </w:tr>
      <w:tr w:rsidR="002615A7" w:rsidRPr="00173CCC" w14:paraId="09E8D5AA" w14:textId="77777777" w:rsidTr="00066A4B">
        <w:trPr>
          <w:trHeight w:val="170"/>
          <w:jc w:val="center"/>
        </w:trPr>
        <w:tc>
          <w:tcPr>
            <w:tcW w:w="1681" w:type="dxa"/>
            <w:vMerge w:val="restart"/>
            <w:shd w:val="clear" w:color="auto" w:fill="E7F3F4"/>
            <w:vAlign w:val="center"/>
          </w:tcPr>
          <w:p w14:paraId="2ED61DDD"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coastal intertidal</w:t>
            </w:r>
          </w:p>
        </w:tc>
        <w:tc>
          <w:tcPr>
            <w:tcW w:w="674" w:type="dxa"/>
            <w:shd w:val="clear" w:color="auto" w:fill="E7F3F4"/>
            <w:noWrap/>
            <w:vAlign w:val="center"/>
          </w:tcPr>
          <w:p w14:paraId="67446566"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BY1</w:t>
            </w:r>
          </w:p>
        </w:tc>
        <w:tc>
          <w:tcPr>
            <w:tcW w:w="3042" w:type="dxa"/>
            <w:shd w:val="clear" w:color="auto" w:fill="E7F3F4"/>
            <w:noWrap/>
            <w:vAlign w:val="center"/>
          </w:tcPr>
          <w:p w14:paraId="45F2EA26"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Bathurst Bay</w:t>
            </w:r>
          </w:p>
        </w:tc>
        <w:tc>
          <w:tcPr>
            <w:tcW w:w="467" w:type="dxa"/>
            <w:shd w:val="clear" w:color="auto" w:fill="E7F3F4"/>
            <w:vAlign w:val="center"/>
          </w:tcPr>
          <w:p w14:paraId="130D8375" w14:textId="1BEC1B1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878D635" w14:textId="329CB1C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EBE534C" w14:textId="74D84F51"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68E4C40" w14:textId="0B43829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C0FEB39" w14:textId="112C29A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29BFB77C" w14:textId="4067E83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AEED85A" w14:textId="4B8834D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7EED965" w14:textId="4BABAFD2"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2116FCB1" w14:textId="49F7ED6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374289EC" w14:textId="77777777" w:rsidTr="00066A4B">
        <w:trPr>
          <w:trHeight w:val="170"/>
          <w:jc w:val="center"/>
        </w:trPr>
        <w:tc>
          <w:tcPr>
            <w:tcW w:w="1681" w:type="dxa"/>
            <w:vMerge/>
            <w:shd w:val="clear" w:color="auto" w:fill="E7F3F4"/>
            <w:vAlign w:val="center"/>
          </w:tcPr>
          <w:p w14:paraId="4459998C"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3C6471F1"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BY2</w:t>
            </w:r>
          </w:p>
        </w:tc>
        <w:tc>
          <w:tcPr>
            <w:tcW w:w="3042" w:type="dxa"/>
            <w:shd w:val="clear" w:color="auto" w:fill="E7F3F4"/>
            <w:noWrap/>
            <w:vAlign w:val="center"/>
          </w:tcPr>
          <w:p w14:paraId="7473FB78"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Bathurst Bay</w:t>
            </w:r>
          </w:p>
        </w:tc>
        <w:tc>
          <w:tcPr>
            <w:tcW w:w="467" w:type="dxa"/>
            <w:shd w:val="clear" w:color="auto" w:fill="E7F3F4"/>
            <w:vAlign w:val="center"/>
          </w:tcPr>
          <w:p w14:paraId="20833164" w14:textId="2EAC089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640A9A79" w14:textId="6874F35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5D5094C" w14:textId="5079FBC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8D26D51" w14:textId="7D4D886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BB8ABEC" w14:textId="4CCEDDB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6A83B01" w14:textId="4D066E82"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EEC46AA" w14:textId="109CDB1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95FD587" w14:textId="1E96BFD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C8F79DA" w14:textId="10970633"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013BFDA0" w14:textId="77777777" w:rsidTr="00066A4B">
        <w:trPr>
          <w:trHeight w:val="170"/>
          <w:jc w:val="center"/>
        </w:trPr>
        <w:tc>
          <w:tcPr>
            <w:tcW w:w="1681" w:type="dxa"/>
            <w:vMerge/>
            <w:shd w:val="clear" w:color="auto" w:fill="E7F3F4"/>
            <w:vAlign w:val="center"/>
          </w:tcPr>
          <w:p w14:paraId="0EB1E187"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5925B3C2"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SR1</w:t>
            </w:r>
          </w:p>
        </w:tc>
        <w:tc>
          <w:tcPr>
            <w:tcW w:w="3042" w:type="dxa"/>
            <w:shd w:val="clear" w:color="auto" w:fill="E7F3F4"/>
            <w:noWrap/>
            <w:vAlign w:val="center"/>
          </w:tcPr>
          <w:p w14:paraId="166E10C4"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Shelburne Bay</w:t>
            </w:r>
          </w:p>
        </w:tc>
        <w:tc>
          <w:tcPr>
            <w:tcW w:w="467" w:type="dxa"/>
            <w:shd w:val="clear" w:color="auto" w:fill="E7F3F4"/>
            <w:vAlign w:val="center"/>
          </w:tcPr>
          <w:p w14:paraId="1785E946" w14:textId="757A31E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752F382" w14:textId="366FCF0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45463DF" w14:textId="4CA8FE4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4882AD9" w14:textId="05997D23"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6E06939" w14:textId="1639E27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A3197DC" w14:textId="71678E0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B9B98FA" w14:textId="6F98CB8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B48A8A8" w14:textId="5055063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D7AF5FE" w14:textId="0FBB93C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0D94FFE2" w14:textId="77777777" w:rsidTr="00066A4B">
        <w:trPr>
          <w:trHeight w:val="170"/>
          <w:jc w:val="center"/>
        </w:trPr>
        <w:tc>
          <w:tcPr>
            <w:tcW w:w="1681" w:type="dxa"/>
            <w:vMerge/>
            <w:shd w:val="clear" w:color="auto" w:fill="E7F3F4"/>
            <w:vAlign w:val="center"/>
          </w:tcPr>
          <w:p w14:paraId="757D8943"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6C07BAA3"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SR2</w:t>
            </w:r>
          </w:p>
        </w:tc>
        <w:tc>
          <w:tcPr>
            <w:tcW w:w="3042" w:type="dxa"/>
            <w:shd w:val="clear" w:color="auto" w:fill="E7F3F4"/>
            <w:noWrap/>
            <w:vAlign w:val="center"/>
          </w:tcPr>
          <w:p w14:paraId="7F8FE8C9"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Shelburne Bay</w:t>
            </w:r>
          </w:p>
        </w:tc>
        <w:tc>
          <w:tcPr>
            <w:tcW w:w="467" w:type="dxa"/>
            <w:shd w:val="clear" w:color="auto" w:fill="E7F3F4"/>
            <w:vAlign w:val="center"/>
          </w:tcPr>
          <w:p w14:paraId="4EE264AC" w14:textId="650CD48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E3D0BD9" w14:textId="540D54F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66FC7D37" w14:textId="7C373EF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F5C8AB5" w14:textId="71F4EF3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C4238E4" w14:textId="510B669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38D557A" w14:textId="51A13C0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014EA35" w14:textId="74F3CA3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D69D8A2" w14:textId="740B066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0A88F79" w14:textId="557618F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16B0038A" w14:textId="77777777" w:rsidTr="00066A4B">
        <w:trPr>
          <w:trHeight w:val="170"/>
          <w:jc w:val="center"/>
        </w:trPr>
        <w:tc>
          <w:tcPr>
            <w:tcW w:w="1681" w:type="dxa"/>
            <w:vMerge w:val="restart"/>
            <w:shd w:val="clear" w:color="auto" w:fill="F3F9FA"/>
            <w:vAlign w:val="center"/>
          </w:tcPr>
          <w:p w14:paraId="4397E097" w14:textId="397E13D1"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coastal subtidal</w:t>
            </w:r>
          </w:p>
        </w:tc>
        <w:tc>
          <w:tcPr>
            <w:tcW w:w="674" w:type="dxa"/>
            <w:shd w:val="clear" w:color="auto" w:fill="F3F9FA"/>
            <w:noWrap/>
            <w:vAlign w:val="center"/>
          </w:tcPr>
          <w:p w14:paraId="348FE1E3" w14:textId="21647A1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BY3</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0ED9A3ED" w14:textId="1E487DA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Bathurst Bay</w:t>
            </w:r>
          </w:p>
        </w:tc>
        <w:tc>
          <w:tcPr>
            <w:tcW w:w="467" w:type="dxa"/>
            <w:shd w:val="clear" w:color="auto" w:fill="F3F9FA"/>
            <w:vAlign w:val="center"/>
          </w:tcPr>
          <w:p w14:paraId="4E726222" w14:textId="286D0E2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152BA48C" w14:textId="71C84F5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46543B71"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28793AD0"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DD21275"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0F1AE4A1"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15C1AAF7"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1C87B3B"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32C546F" w14:textId="158E6C0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746D5827" w14:textId="77777777" w:rsidTr="00066A4B">
        <w:trPr>
          <w:trHeight w:val="170"/>
          <w:jc w:val="center"/>
        </w:trPr>
        <w:tc>
          <w:tcPr>
            <w:tcW w:w="1681" w:type="dxa"/>
            <w:vMerge/>
            <w:shd w:val="clear" w:color="auto" w:fill="F3F9FA"/>
            <w:vAlign w:val="center"/>
          </w:tcPr>
          <w:p w14:paraId="7984771B" w14:textId="51B21FE2"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69DA4CEE" w14:textId="2D2B75B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BY4</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76C625B1" w14:textId="194C5C8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Bathurst Bay</w:t>
            </w:r>
          </w:p>
        </w:tc>
        <w:tc>
          <w:tcPr>
            <w:tcW w:w="467" w:type="dxa"/>
            <w:shd w:val="clear" w:color="auto" w:fill="F3F9FA"/>
            <w:vAlign w:val="center"/>
          </w:tcPr>
          <w:p w14:paraId="2AA0F256" w14:textId="422F34F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7B7D8A9B" w14:textId="1C09E71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1A3B5372"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70FD0F0F"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373799B4"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B104D8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B7C1F25"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13C3B14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5749462" w14:textId="0D8426A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57BD7317" w14:textId="77777777" w:rsidTr="00066A4B">
        <w:trPr>
          <w:trHeight w:val="170"/>
          <w:jc w:val="center"/>
        </w:trPr>
        <w:tc>
          <w:tcPr>
            <w:tcW w:w="1681" w:type="dxa"/>
            <w:vMerge/>
            <w:shd w:val="clear" w:color="auto" w:fill="F3F9FA"/>
            <w:vAlign w:val="center"/>
          </w:tcPr>
          <w:p w14:paraId="28293C5F" w14:textId="6437C27A"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50FDD5FD" w14:textId="5F3FC54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LR1</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35071DB5"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Lloyd Bay</w:t>
            </w:r>
          </w:p>
        </w:tc>
        <w:tc>
          <w:tcPr>
            <w:tcW w:w="467" w:type="dxa"/>
            <w:shd w:val="clear" w:color="auto" w:fill="F3F9FA"/>
            <w:vAlign w:val="center"/>
          </w:tcPr>
          <w:p w14:paraId="6D0B7793" w14:textId="485B7A6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6BF745E6" w14:textId="358E81F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0841805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3E65AB5"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732B34F"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7F15CA91"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020919F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32359A74"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D7334CD" w14:textId="0633FCD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4343E733" w14:textId="77777777" w:rsidTr="00066A4B">
        <w:trPr>
          <w:trHeight w:val="170"/>
          <w:jc w:val="center"/>
        </w:trPr>
        <w:tc>
          <w:tcPr>
            <w:tcW w:w="1681" w:type="dxa"/>
            <w:vMerge/>
            <w:shd w:val="clear" w:color="auto" w:fill="F3F9FA"/>
            <w:vAlign w:val="center"/>
          </w:tcPr>
          <w:p w14:paraId="19F5124C"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69CBB863" w14:textId="400B149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LR2</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476D9272"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Lloyd Bay</w:t>
            </w:r>
          </w:p>
        </w:tc>
        <w:tc>
          <w:tcPr>
            <w:tcW w:w="467" w:type="dxa"/>
            <w:shd w:val="clear" w:color="auto" w:fill="F3F9FA"/>
            <w:vAlign w:val="center"/>
          </w:tcPr>
          <w:p w14:paraId="5197E925" w14:textId="031236D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4BD80017" w14:textId="478FCCB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F3F9FA"/>
            <w:vAlign w:val="center"/>
          </w:tcPr>
          <w:p w14:paraId="38884F6B"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05B864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323B136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1F65414C"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0A86CE63"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70A87445"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09815FC6" w14:textId="56DC968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028765FE" w14:textId="77777777" w:rsidTr="00066A4B">
        <w:trPr>
          <w:trHeight w:val="170"/>
          <w:jc w:val="center"/>
        </w:trPr>
        <w:tc>
          <w:tcPr>
            <w:tcW w:w="1681" w:type="dxa"/>
            <w:vMerge w:val="restart"/>
            <w:shd w:val="clear" w:color="auto" w:fill="E7F3F4"/>
            <w:vAlign w:val="center"/>
          </w:tcPr>
          <w:p w14:paraId="1F09792E"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reef intertidal</w:t>
            </w:r>
          </w:p>
        </w:tc>
        <w:tc>
          <w:tcPr>
            <w:tcW w:w="674" w:type="dxa"/>
            <w:shd w:val="clear" w:color="auto" w:fill="E7F3F4"/>
            <w:noWrap/>
            <w:vAlign w:val="center"/>
          </w:tcPr>
          <w:p w14:paraId="497A9188"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AP1</w:t>
            </w:r>
          </w:p>
        </w:tc>
        <w:tc>
          <w:tcPr>
            <w:tcW w:w="3042" w:type="dxa"/>
            <w:shd w:val="clear" w:color="auto" w:fill="E7F3F4"/>
            <w:noWrap/>
            <w:vAlign w:val="center"/>
          </w:tcPr>
          <w:p w14:paraId="7E2DF49B" w14:textId="63919173"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Archer Point</w:t>
            </w:r>
          </w:p>
        </w:tc>
        <w:tc>
          <w:tcPr>
            <w:tcW w:w="467" w:type="dxa"/>
            <w:shd w:val="clear" w:color="auto" w:fill="E7F3F4"/>
            <w:vAlign w:val="center"/>
          </w:tcPr>
          <w:p w14:paraId="440DD538" w14:textId="7D0E84A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61B9A95F" w14:textId="7A6C977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2AA38E29" w14:textId="32FA9248"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5F917CE8" w14:textId="51CAB1E4"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6B71AB18" w14:textId="68175A95"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2BD9742" w14:textId="62FAEF6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3E6062DE" w14:textId="4FBF2420"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12BDB8B8" w14:textId="72D9B411"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13641BB3" w14:textId="6FAF3E5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4C7ABB3A" w14:textId="77777777" w:rsidTr="00066A4B">
        <w:trPr>
          <w:trHeight w:val="170"/>
          <w:jc w:val="center"/>
        </w:trPr>
        <w:tc>
          <w:tcPr>
            <w:tcW w:w="1681" w:type="dxa"/>
            <w:vMerge/>
            <w:shd w:val="clear" w:color="auto" w:fill="E7F3F4"/>
            <w:vAlign w:val="center"/>
          </w:tcPr>
          <w:p w14:paraId="1F606B1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50F8EC1B"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AP2</w:t>
            </w:r>
          </w:p>
        </w:tc>
        <w:tc>
          <w:tcPr>
            <w:tcW w:w="3042" w:type="dxa"/>
            <w:shd w:val="clear" w:color="auto" w:fill="E7F3F4"/>
            <w:noWrap/>
            <w:vAlign w:val="center"/>
          </w:tcPr>
          <w:p w14:paraId="7886B2BA" w14:textId="4B8B40B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Archer Point</w:t>
            </w:r>
          </w:p>
        </w:tc>
        <w:tc>
          <w:tcPr>
            <w:tcW w:w="467" w:type="dxa"/>
            <w:shd w:val="clear" w:color="auto" w:fill="E7F3F4"/>
            <w:vAlign w:val="center"/>
          </w:tcPr>
          <w:p w14:paraId="6283917D" w14:textId="0F63DB38"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6C71556E" w14:textId="44924C4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52E741D0" w14:textId="3B84A0EC"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CD4B549" w14:textId="6A1E5DDD"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573B7A80" w14:textId="2A03E936"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1FD75732" w14:textId="7316951B"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2338D2B6" w14:textId="44631A81"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55F856C6" w14:textId="28FC9DB5"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3325CEC9" w14:textId="361F129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12B5C8EE" w14:textId="77777777" w:rsidTr="00066A4B">
        <w:trPr>
          <w:trHeight w:val="170"/>
          <w:jc w:val="center"/>
        </w:trPr>
        <w:tc>
          <w:tcPr>
            <w:tcW w:w="1681" w:type="dxa"/>
            <w:vMerge/>
            <w:shd w:val="clear" w:color="auto" w:fill="E7F3F4"/>
            <w:vAlign w:val="center"/>
          </w:tcPr>
          <w:p w14:paraId="1B6D817B"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530D0441"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FR1</w:t>
            </w:r>
          </w:p>
        </w:tc>
        <w:tc>
          <w:tcPr>
            <w:tcW w:w="3042" w:type="dxa"/>
            <w:shd w:val="clear" w:color="auto" w:fill="E7F3F4"/>
            <w:noWrap/>
            <w:vAlign w:val="center"/>
          </w:tcPr>
          <w:p w14:paraId="356910C6"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Farmer Is. (Piper Reef)</w:t>
            </w:r>
          </w:p>
        </w:tc>
        <w:tc>
          <w:tcPr>
            <w:tcW w:w="467" w:type="dxa"/>
            <w:shd w:val="clear" w:color="auto" w:fill="E7F3F4"/>
            <w:vAlign w:val="center"/>
          </w:tcPr>
          <w:p w14:paraId="1AB549A2" w14:textId="029D26C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7D68D31" w14:textId="24A343D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CF35343" w14:textId="046C88E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DCE0F99" w14:textId="2F3A0398"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5394DC1" w14:textId="632BF15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268B18A" w14:textId="6AEC1CD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56FDF76" w14:textId="48B016F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6FDC9405" w14:textId="020BB46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C278211" w14:textId="4EF5045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59BEBA22" w14:textId="77777777" w:rsidTr="00066A4B">
        <w:trPr>
          <w:trHeight w:val="170"/>
          <w:jc w:val="center"/>
        </w:trPr>
        <w:tc>
          <w:tcPr>
            <w:tcW w:w="1681" w:type="dxa"/>
            <w:vMerge/>
            <w:shd w:val="clear" w:color="auto" w:fill="E7F3F4"/>
            <w:vAlign w:val="center"/>
          </w:tcPr>
          <w:p w14:paraId="62EA049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46BEDC30"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FR2</w:t>
            </w:r>
          </w:p>
        </w:tc>
        <w:tc>
          <w:tcPr>
            <w:tcW w:w="3042" w:type="dxa"/>
            <w:shd w:val="clear" w:color="auto" w:fill="E7F3F4"/>
            <w:noWrap/>
            <w:vAlign w:val="center"/>
          </w:tcPr>
          <w:p w14:paraId="2311F448"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Farmer Is. (Piper Reef)</w:t>
            </w:r>
          </w:p>
        </w:tc>
        <w:tc>
          <w:tcPr>
            <w:tcW w:w="467" w:type="dxa"/>
            <w:shd w:val="clear" w:color="auto" w:fill="E7F3F4"/>
            <w:vAlign w:val="center"/>
          </w:tcPr>
          <w:p w14:paraId="02D535A4" w14:textId="3C20CC0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87792FE" w14:textId="43548068"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2E4EFFE1" w14:textId="6B1F2BB3"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27BB30E8" w14:textId="150E737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35009C6" w14:textId="2D759E2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093D46F" w14:textId="143C40E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249888F" w14:textId="2B96BA7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A088E72" w14:textId="5ACABE0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54D839C" w14:textId="661B52E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0F61D91C" w14:textId="77777777" w:rsidTr="00066A4B">
        <w:trPr>
          <w:trHeight w:val="170"/>
          <w:jc w:val="center"/>
        </w:trPr>
        <w:tc>
          <w:tcPr>
            <w:tcW w:w="1681" w:type="dxa"/>
            <w:vMerge/>
            <w:shd w:val="clear" w:color="auto" w:fill="E7F3F4"/>
            <w:vAlign w:val="center"/>
          </w:tcPr>
          <w:p w14:paraId="04F7889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2740B5D8"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ST1</w:t>
            </w:r>
          </w:p>
        </w:tc>
        <w:tc>
          <w:tcPr>
            <w:tcW w:w="3042" w:type="dxa"/>
            <w:shd w:val="clear" w:color="auto" w:fill="E7F3F4"/>
            <w:noWrap/>
            <w:vAlign w:val="center"/>
          </w:tcPr>
          <w:p w14:paraId="788CEBE4" w14:textId="323CF85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Stanley Island (Flinders Group)</w:t>
            </w:r>
          </w:p>
        </w:tc>
        <w:tc>
          <w:tcPr>
            <w:tcW w:w="467" w:type="dxa"/>
            <w:shd w:val="clear" w:color="auto" w:fill="E7F3F4"/>
            <w:vAlign w:val="center"/>
          </w:tcPr>
          <w:p w14:paraId="51429485" w14:textId="2F31CC7D"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0248948D" w14:textId="2A9C5ED9"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5779DB8" w14:textId="3B4F13DC"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48EA7409" w14:textId="66C104B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65726618" w14:textId="15CDDBF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0C384FA" w14:textId="5CBAC41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7D157FE" w14:textId="78A606B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52977C6" w14:textId="3189BFF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2E4D23A" w14:textId="71E8FDE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158C70BE" w14:textId="77777777" w:rsidTr="00066A4B">
        <w:trPr>
          <w:trHeight w:val="170"/>
          <w:jc w:val="center"/>
        </w:trPr>
        <w:tc>
          <w:tcPr>
            <w:tcW w:w="1681" w:type="dxa"/>
            <w:vMerge/>
            <w:shd w:val="clear" w:color="auto" w:fill="E7F3F4"/>
            <w:vAlign w:val="center"/>
          </w:tcPr>
          <w:p w14:paraId="37D2B913"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2A12E6B2"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ST2</w:t>
            </w:r>
          </w:p>
        </w:tc>
        <w:tc>
          <w:tcPr>
            <w:tcW w:w="3042" w:type="dxa"/>
            <w:shd w:val="clear" w:color="auto" w:fill="E7F3F4"/>
            <w:noWrap/>
            <w:vAlign w:val="center"/>
          </w:tcPr>
          <w:p w14:paraId="3228F782" w14:textId="6D087D1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Stanley Island (Flinders Group)</w:t>
            </w:r>
          </w:p>
        </w:tc>
        <w:tc>
          <w:tcPr>
            <w:tcW w:w="467" w:type="dxa"/>
            <w:shd w:val="clear" w:color="auto" w:fill="E7F3F4"/>
            <w:vAlign w:val="center"/>
          </w:tcPr>
          <w:p w14:paraId="68ABFC95" w14:textId="59C4D65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2905CF79" w14:textId="5DF64AB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EF52BA6" w14:textId="59706E0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E985F36" w14:textId="241FB60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368987A4" w14:textId="345E8D58"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5255D24" w14:textId="6F7DDA2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1573219F" w14:textId="7D6BB31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7CDD87AE" w14:textId="0FAC6B4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E7F3F4"/>
            <w:vAlign w:val="center"/>
          </w:tcPr>
          <w:p w14:paraId="59AB23E2" w14:textId="5040BE4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0987D0BB" w14:textId="77777777" w:rsidTr="00066A4B">
        <w:trPr>
          <w:trHeight w:val="170"/>
          <w:jc w:val="center"/>
        </w:trPr>
        <w:tc>
          <w:tcPr>
            <w:tcW w:w="1681" w:type="dxa"/>
            <w:vMerge/>
            <w:shd w:val="clear" w:color="auto" w:fill="E7F3F4"/>
            <w:vAlign w:val="center"/>
          </w:tcPr>
          <w:p w14:paraId="47CDE21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40688279" w14:textId="042259F3"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YY1*</w:t>
            </w:r>
          </w:p>
        </w:tc>
        <w:tc>
          <w:tcPr>
            <w:tcW w:w="3042" w:type="dxa"/>
            <w:shd w:val="clear" w:color="auto" w:fill="E7F3F4"/>
            <w:noWrap/>
            <w:vAlign w:val="center"/>
          </w:tcPr>
          <w:p w14:paraId="0462332D" w14:textId="77777777"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Yum Yum Beach (Weymouth Bay)</w:t>
            </w:r>
          </w:p>
        </w:tc>
        <w:tc>
          <w:tcPr>
            <w:tcW w:w="467" w:type="dxa"/>
            <w:shd w:val="clear" w:color="auto" w:fill="E7F3F4"/>
            <w:vAlign w:val="center"/>
          </w:tcPr>
          <w:p w14:paraId="4652094F" w14:textId="15AF19A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543BEBDF" w14:textId="2B4BEF3A"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19D4B17E"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FA9DC55"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2766D25" w14:textId="7E8E7EF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1445C3C4"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5373E6D5" w14:textId="235D5EC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206B65CD" w14:textId="3966DB5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c>
          <w:tcPr>
            <w:tcW w:w="467" w:type="dxa"/>
            <w:shd w:val="clear" w:color="auto" w:fill="E7F3F4"/>
            <w:vAlign w:val="center"/>
          </w:tcPr>
          <w:p w14:paraId="532D3CF1" w14:textId="22CD5C3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A8"/>
            </w:r>
          </w:p>
        </w:tc>
      </w:tr>
      <w:tr w:rsidR="002615A7" w:rsidRPr="00173CCC" w14:paraId="2DA4C048" w14:textId="77777777" w:rsidTr="00066A4B">
        <w:trPr>
          <w:trHeight w:val="170"/>
          <w:jc w:val="center"/>
        </w:trPr>
        <w:tc>
          <w:tcPr>
            <w:tcW w:w="1681" w:type="dxa"/>
            <w:vMerge w:val="restart"/>
            <w:shd w:val="clear" w:color="auto" w:fill="F3F9FA"/>
            <w:vAlign w:val="center"/>
          </w:tcPr>
          <w:p w14:paraId="1F01AACB" w14:textId="5FCEE81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Reef subtidal</w:t>
            </w:r>
          </w:p>
        </w:tc>
        <w:tc>
          <w:tcPr>
            <w:tcW w:w="674" w:type="dxa"/>
            <w:shd w:val="clear" w:color="auto" w:fill="F3F9FA"/>
            <w:noWrap/>
            <w:vAlign w:val="center"/>
          </w:tcPr>
          <w:p w14:paraId="1E01E439" w14:textId="22B8B9F5"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FG1</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499D1435" w14:textId="3E7A92F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Flinders Island (Flinders Group)</w:t>
            </w:r>
          </w:p>
        </w:tc>
        <w:tc>
          <w:tcPr>
            <w:tcW w:w="467" w:type="dxa"/>
            <w:shd w:val="clear" w:color="auto" w:fill="F3F9FA"/>
            <w:vAlign w:val="center"/>
          </w:tcPr>
          <w:p w14:paraId="2A1D0342" w14:textId="7A090B9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F3F9FA"/>
            <w:vAlign w:val="center"/>
          </w:tcPr>
          <w:p w14:paraId="3612B1D3" w14:textId="4C56DB52"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F3F9FA"/>
            <w:vAlign w:val="center"/>
          </w:tcPr>
          <w:p w14:paraId="063CC3FF"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437C708"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ADB5CFD"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C8B4301"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596692F"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64E188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0D0FAE77" w14:textId="26B5157E"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tr w:rsidR="002615A7" w:rsidRPr="00173CCC" w14:paraId="7D9CA04B" w14:textId="77777777" w:rsidTr="00066A4B">
        <w:trPr>
          <w:trHeight w:val="170"/>
          <w:jc w:val="center"/>
        </w:trPr>
        <w:tc>
          <w:tcPr>
            <w:tcW w:w="1681" w:type="dxa"/>
            <w:vMerge/>
            <w:shd w:val="clear" w:color="auto" w:fill="F3F9FA"/>
            <w:vAlign w:val="center"/>
          </w:tcPr>
          <w:p w14:paraId="247154B6"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2ACB99B1" w14:textId="619B7126"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FG2</w:t>
            </w:r>
            <w:r w:rsidRPr="00173CCC">
              <w:rPr>
                <w:rFonts w:asciiTheme="minorHAnsi" w:hAnsiTheme="minorHAnsi" w:cstheme="minorHAnsi"/>
                <w:color w:val="000000"/>
                <w:sz w:val="20"/>
                <w:szCs w:val="20"/>
                <w:vertAlign w:val="superscript"/>
              </w:rPr>
              <w:sym w:font="Wingdings 2" w:char="F085"/>
            </w:r>
          </w:p>
        </w:tc>
        <w:tc>
          <w:tcPr>
            <w:tcW w:w="3042" w:type="dxa"/>
            <w:shd w:val="clear" w:color="auto" w:fill="F3F9FA"/>
            <w:noWrap/>
            <w:vAlign w:val="center"/>
          </w:tcPr>
          <w:p w14:paraId="5FD3F164" w14:textId="49FB11AB"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t>Flinders Island (Flinders Group)</w:t>
            </w:r>
          </w:p>
        </w:tc>
        <w:tc>
          <w:tcPr>
            <w:tcW w:w="467" w:type="dxa"/>
            <w:shd w:val="clear" w:color="auto" w:fill="F3F9FA"/>
            <w:vAlign w:val="center"/>
          </w:tcPr>
          <w:p w14:paraId="60E07E37" w14:textId="6A5B2D5F"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F3F9FA"/>
            <w:vAlign w:val="center"/>
          </w:tcPr>
          <w:p w14:paraId="1F56EB9C" w14:textId="5F15B514"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c>
          <w:tcPr>
            <w:tcW w:w="467" w:type="dxa"/>
            <w:shd w:val="clear" w:color="auto" w:fill="F3F9FA"/>
            <w:vAlign w:val="center"/>
          </w:tcPr>
          <w:p w14:paraId="64997B2A"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6F16DCA3"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B1B4602"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059B10A"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BE99F34"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C8D6E2C" w14:textId="77777777" w:rsidR="002615A7" w:rsidRPr="00173CCC" w:rsidRDefault="002615A7" w:rsidP="002615A7">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38C8777C" w14:textId="08357BA0" w:rsidR="002615A7" w:rsidRPr="00173CCC" w:rsidRDefault="002615A7" w:rsidP="002615A7">
            <w:pPr>
              <w:spacing w:before="0" w:after="0"/>
              <w:jc w:val="center"/>
              <w:rPr>
                <w:rFonts w:asciiTheme="minorHAnsi" w:hAnsiTheme="minorHAnsi" w:cstheme="minorHAnsi"/>
                <w:color w:val="000000"/>
                <w:sz w:val="20"/>
                <w:szCs w:val="20"/>
              </w:rPr>
            </w:pPr>
            <w:r w:rsidRPr="00173CCC">
              <w:rPr>
                <w:rFonts w:asciiTheme="minorHAnsi" w:hAnsiTheme="minorHAnsi" w:cstheme="minorHAnsi"/>
                <w:color w:val="000000"/>
                <w:sz w:val="20"/>
                <w:szCs w:val="20"/>
              </w:rPr>
              <w:sym w:font="Wingdings" w:char="F06E"/>
            </w:r>
          </w:p>
        </w:tc>
      </w:tr>
      <w:bookmarkEnd w:id="272"/>
      <w:bookmarkEnd w:id="273"/>
      <w:bookmarkEnd w:id="274"/>
    </w:tbl>
    <w:p w14:paraId="5F9D06B5" w14:textId="1DA54F98" w:rsidR="006B1E69" w:rsidRPr="00FA314F" w:rsidRDefault="006B1E69" w:rsidP="002965B8">
      <w:pPr>
        <w:rPr>
          <w:rFonts w:cs="Arial"/>
          <w:color w:val="000000" w:themeColor="text1"/>
          <w:szCs w:val="22"/>
          <w:lang w:eastAsia="x-none"/>
        </w:rPr>
      </w:pPr>
    </w:p>
    <w:p w14:paraId="37A85D36" w14:textId="049B55AD" w:rsidR="00BE5D0E" w:rsidRPr="00431DDA" w:rsidRDefault="00066A4B" w:rsidP="000150D8">
      <w:pPr>
        <w:pStyle w:val="Heading4"/>
      </w:pPr>
      <w:bookmarkStart w:id="288" w:name="_Toc37775070"/>
      <w:bookmarkStart w:id="289" w:name="_Toc43987045"/>
      <w:r w:rsidRPr="00431DDA">
        <w:lastRenderedPageBreak/>
        <w:t>S</w:t>
      </w:r>
      <w:r w:rsidR="009A2C0F" w:rsidRPr="00431DDA">
        <w:t xml:space="preserve">eagrass index </w:t>
      </w:r>
      <w:r w:rsidRPr="00431DDA">
        <w:t xml:space="preserve">and indicator </w:t>
      </w:r>
      <w:r w:rsidR="00BE5D0E" w:rsidRPr="00431DDA">
        <w:t>scores</w:t>
      </w:r>
      <w:bookmarkEnd w:id="288"/>
      <w:bookmarkEnd w:id="289"/>
    </w:p>
    <w:p w14:paraId="3ECBE3C3" w14:textId="68B0941A" w:rsidR="00892CD7" w:rsidRPr="00FA314F" w:rsidRDefault="009A2C0F" w:rsidP="009A2C0F">
      <w:pPr>
        <w:rPr>
          <w:rFonts w:cs="Arial"/>
          <w:szCs w:val="22"/>
          <w:lang w:val="en-GB"/>
        </w:rPr>
      </w:pPr>
      <w:r w:rsidRPr="00FA314F">
        <w:rPr>
          <w:rFonts w:cs="Arial"/>
          <w:szCs w:val="22"/>
          <w:lang w:val="en-GB"/>
        </w:rPr>
        <w:t>In the 201</w:t>
      </w:r>
      <w:r w:rsidR="009A2B05" w:rsidRPr="00FA314F">
        <w:rPr>
          <w:rFonts w:cs="Arial"/>
          <w:szCs w:val="22"/>
          <w:lang w:val="en-GB"/>
        </w:rPr>
        <w:t>8</w:t>
      </w:r>
      <w:r w:rsidR="001159FB" w:rsidRPr="00FA314F">
        <w:rPr>
          <w:rFonts w:cs="Arial"/>
          <w:szCs w:val="22"/>
          <w:lang w:val="en-GB"/>
        </w:rPr>
        <w:t>–</w:t>
      </w:r>
      <w:r w:rsidR="009A2B05" w:rsidRPr="00FA314F">
        <w:rPr>
          <w:rFonts w:cs="Arial"/>
          <w:szCs w:val="22"/>
          <w:lang w:val="en-GB"/>
        </w:rPr>
        <w:t>19</w:t>
      </w:r>
      <w:r w:rsidRPr="00FA314F">
        <w:rPr>
          <w:rFonts w:cs="Arial"/>
          <w:szCs w:val="22"/>
          <w:lang w:val="en-GB"/>
        </w:rPr>
        <w:t xml:space="preserve"> monitoring period, the seagrass </w:t>
      </w:r>
      <w:r w:rsidR="00F14835" w:rsidRPr="00FA314F">
        <w:rPr>
          <w:rFonts w:cs="Arial"/>
          <w:szCs w:val="22"/>
          <w:lang w:val="en-GB"/>
        </w:rPr>
        <w:t>cond</w:t>
      </w:r>
      <w:r w:rsidR="00892CD7" w:rsidRPr="00FA314F">
        <w:rPr>
          <w:rFonts w:cs="Arial"/>
          <w:szCs w:val="22"/>
          <w:lang w:val="en-GB"/>
        </w:rPr>
        <w:t>i</w:t>
      </w:r>
      <w:r w:rsidR="00F14835" w:rsidRPr="00FA314F">
        <w:rPr>
          <w:rFonts w:cs="Arial"/>
          <w:szCs w:val="22"/>
          <w:lang w:val="en-GB"/>
        </w:rPr>
        <w:t xml:space="preserve">tion </w:t>
      </w:r>
      <w:r w:rsidRPr="00FA314F">
        <w:rPr>
          <w:rFonts w:cs="Arial"/>
          <w:szCs w:val="22"/>
          <w:lang w:val="en-GB"/>
        </w:rPr>
        <w:t xml:space="preserve">index score for </w:t>
      </w:r>
      <w:r w:rsidR="001159FB">
        <w:rPr>
          <w:rFonts w:cs="Arial"/>
          <w:szCs w:val="22"/>
          <w:lang w:val="en-GB"/>
        </w:rPr>
        <w:t xml:space="preserve">the </w:t>
      </w:r>
      <w:r w:rsidRPr="00FA314F">
        <w:rPr>
          <w:rFonts w:cs="Arial"/>
          <w:szCs w:val="22"/>
          <w:lang w:val="en-GB"/>
        </w:rPr>
        <w:t>Cape York region reduced slightly since the previous monitoring period</w:t>
      </w:r>
      <w:r w:rsidR="004D3657" w:rsidRPr="00FA314F">
        <w:rPr>
          <w:rFonts w:cs="Arial"/>
          <w:szCs w:val="22"/>
          <w:lang w:val="en-GB"/>
        </w:rPr>
        <w:t>,</w:t>
      </w:r>
      <w:r w:rsidRPr="00FA314F">
        <w:rPr>
          <w:rFonts w:cs="Arial"/>
          <w:szCs w:val="22"/>
          <w:lang w:val="en-GB"/>
        </w:rPr>
        <w:t xml:space="preserve"> but the overall grade remained </w:t>
      </w:r>
      <w:r w:rsidRPr="00FA314F">
        <w:rPr>
          <w:rFonts w:cs="Arial"/>
          <w:b/>
          <w:szCs w:val="22"/>
          <w:lang w:val="en-GB"/>
        </w:rPr>
        <w:t>poor</w:t>
      </w:r>
      <w:r w:rsidR="003B0C12" w:rsidRPr="00FA314F">
        <w:rPr>
          <w:rFonts w:cs="Arial"/>
          <w:szCs w:val="22"/>
          <w:lang w:val="en-GB"/>
        </w:rPr>
        <w:t xml:space="preserve"> </w:t>
      </w:r>
      <w:r w:rsidR="003B0C12" w:rsidRPr="00FA314F">
        <w:rPr>
          <w:rFonts w:cs="Arial"/>
          <w:szCs w:val="22"/>
        </w:rPr>
        <w:t>(</w:t>
      </w:r>
      <w:r w:rsidR="003B0C12" w:rsidRPr="00FA314F">
        <w:rPr>
          <w:rFonts w:cs="Arial"/>
          <w:szCs w:val="22"/>
        </w:rPr>
        <w:fldChar w:fldCharType="begin"/>
      </w:r>
      <w:r w:rsidR="003B0C12" w:rsidRPr="00FA314F">
        <w:rPr>
          <w:rFonts w:cs="Arial"/>
          <w:szCs w:val="22"/>
        </w:rPr>
        <w:instrText xml:space="preserve"> REF _Ref442423744 \h </w:instrText>
      </w:r>
      <w:r w:rsidR="00CB093C" w:rsidRPr="00FA314F">
        <w:rPr>
          <w:rFonts w:cs="Arial"/>
          <w:szCs w:val="22"/>
        </w:rPr>
        <w:instrText xml:space="preserve"> \* MERGEFORMAT </w:instrText>
      </w:r>
      <w:r w:rsidR="003B0C12" w:rsidRPr="00FA314F">
        <w:rPr>
          <w:rFonts w:cs="Arial"/>
          <w:szCs w:val="22"/>
        </w:rPr>
      </w:r>
      <w:r w:rsidR="003B0C12" w:rsidRPr="00FA314F">
        <w:rPr>
          <w:rFonts w:cs="Arial"/>
          <w:szCs w:val="22"/>
        </w:rPr>
        <w:fldChar w:fldCharType="separate"/>
      </w:r>
      <w:r w:rsidR="0067675D" w:rsidRPr="00FA314F">
        <w:rPr>
          <w:rFonts w:cs="Arial"/>
          <w:szCs w:val="22"/>
        </w:rPr>
        <w:t xml:space="preserve">Figure </w:t>
      </w:r>
      <w:r w:rsidR="0067675D">
        <w:rPr>
          <w:rFonts w:cs="Arial"/>
          <w:noProof/>
          <w:szCs w:val="22"/>
        </w:rPr>
        <w:t>28</w:t>
      </w:r>
      <w:r w:rsidR="003B0C12" w:rsidRPr="00FA314F">
        <w:rPr>
          <w:rFonts w:cs="Arial"/>
          <w:szCs w:val="22"/>
        </w:rPr>
        <w:fldChar w:fldCharType="end"/>
      </w:r>
      <w:r w:rsidR="003B0C12" w:rsidRPr="00FA314F">
        <w:rPr>
          <w:rFonts w:cs="Arial"/>
          <w:szCs w:val="22"/>
        </w:rPr>
        <w:t>)</w:t>
      </w:r>
      <w:r w:rsidR="00F14835" w:rsidRPr="00FA314F">
        <w:rPr>
          <w:rFonts w:cs="Arial"/>
          <w:szCs w:val="22"/>
          <w:lang w:val="en-GB"/>
        </w:rPr>
        <w:t>. The reduction wa</w:t>
      </w:r>
      <w:r w:rsidRPr="00FA314F">
        <w:rPr>
          <w:rFonts w:cs="Arial"/>
          <w:szCs w:val="22"/>
          <w:lang w:val="en-GB"/>
        </w:rPr>
        <w:t xml:space="preserve">s due to lower scores </w:t>
      </w:r>
      <w:r w:rsidR="00543B47" w:rsidRPr="00FA314F">
        <w:rPr>
          <w:rFonts w:cs="Arial"/>
          <w:szCs w:val="22"/>
          <w:lang w:val="en-GB"/>
        </w:rPr>
        <w:t>in reproductive effort and tissue nutrients, but there were small gains in the abundance score</w:t>
      </w:r>
      <w:r w:rsidR="00772E1C">
        <w:rPr>
          <w:rFonts w:cs="Arial"/>
          <w:szCs w:val="22"/>
          <w:lang w:val="en-GB"/>
        </w:rPr>
        <w:t>.</w:t>
      </w:r>
    </w:p>
    <w:p w14:paraId="4BDFB70A" w14:textId="2CF728C2" w:rsidR="00892CD7" w:rsidRPr="00FA314F" w:rsidRDefault="00F14835" w:rsidP="009A2C0F">
      <w:pPr>
        <w:rPr>
          <w:rFonts w:cs="Arial"/>
          <w:szCs w:val="22"/>
        </w:rPr>
      </w:pPr>
      <w:r w:rsidRPr="00FA314F">
        <w:rPr>
          <w:rFonts w:cs="Arial"/>
          <w:szCs w:val="22"/>
        </w:rPr>
        <w:t xml:space="preserve">The greatest score reduction occurred in </w:t>
      </w:r>
      <w:r w:rsidR="00543B47" w:rsidRPr="00FA314F">
        <w:rPr>
          <w:rFonts w:cs="Arial"/>
          <w:szCs w:val="22"/>
        </w:rPr>
        <w:t>reproductive effort</w:t>
      </w:r>
      <w:r w:rsidRPr="00FA314F">
        <w:rPr>
          <w:rFonts w:cs="Arial"/>
          <w:szCs w:val="22"/>
        </w:rPr>
        <w:t xml:space="preserve">, which </w:t>
      </w:r>
      <w:r w:rsidR="00543B47" w:rsidRPr="00FA314F">
        <w:rPr>
          <w:rFonts w:cs="Arial"/>
          <w:szCs w:val="22"/>
        </w:rPr>
        <w:t xml:space="preserve">received the lowest grade of zero for the </w:t>
      </w:r>
      <w:r w:rsidR="001159FB">
        <w:rPr>
          <w:rFonts w:cs="Arial"/>
          <w:szCs w:val="22"/>
        </w:rPr>
        <w:t>second time since monitoring began</w:t>
      </w:r>
      <w:r w:rsidR="008029FA">
        <w:rPr>
          <w:rFonts w:cs="Arial"/>
          <w:szCs w:val="22"/>
        </w:rPr>
        <w:t>. The previous occurrence in 200</w:t>
      </w:r>
      <w:r w:rsidR="002A7466">
        <w:rPr>
          <w:rFonts w:cs="Arial"/>
          <w:szCs w:val="22"/>
        </w:rPr>
        <w:t>6</w:t>
      </w:r>
      <w:r w:rsidR="008029FA" w:rsidRPr="00FA314F">
        <w:rPr>
          <w:rFonts w:cs="Arial"/>
          <w:szCs w:val="22"/>
          <w:lang w:val="en-GB"/>
        </w:rPr>
        <w:t>–</w:t>
      </w:r>
      <w:r w:rsidR="008029FA">
        <w:rPr>
          <w:rFonts w:cs="Arial"/>
          <w:szCs w:val="22"/>
        </w:rPr>
        <w:t>0</w:t>
      </w:r>
      <w:r w:rsidR="002A7466">
        <w:rPr>
          <w:rFonts w:cs="Arial"/>
          <w:szCs w:val="22"/>
        </w:rPr>
        <w:t>7</w:t>
      </w:r>
      <w:r w:rsidR="008029FA">
        <w:rPr>
          <w:rFonts w:cs="Arial"/>
          <w:szCs w:val="22"/>
        </w:rPr>
        <w:t xml:space="preserve"> was </w:t>
      </w:r>
      <w:r w:rsidR="00F76660">
        <w:rPr>
          <w:rFonts w:cs="Arial"/>
          <w:szCs w:val="22"/>
        </w:rPr>
        <w:t>based</w:t>
      </w:r>
      <w:r w:rsidR="008029FA">
        <w:rPr>
          <w:rFonts w:cs="Arial"/>
          <w:szCs w:val="22"/>
        </w:rPr>
        <w:t xml:space="preserve"> only </w:t>
      </w:r>
      <w:r w:rsidR="00F76660">
        <w:rPr>
          <w:rFonts w:cs="Arial"/>
          <w:szCs w:val="22"/>
        </w:rPr>
        <w:t xml:space="preserve">on </w:t>
      </w:r>
      <w:r w:rsidR="008029FA">
        <w:rPr>
          <w:rFonts w:cs="Arial"/>
          <w:szCs w:val="22"/>
        </w:rPr>
        <w:t xml:space="preserve">Archer Point </w:t>
      </w:r>
      <w:r w:rsidR="00F76660">
        <w:rPr>
          <w:rFonts w:cs="Arial"/>
          <w:szCs w:val="22"/>
        </w:rPr>
        <w:t>as other sites had not yet been commissioned</w:t>
      </w:r>
      <w:r w:rsidR="005A1F2D">
        <w:rPr>
          <w:rFonts w:cs="Arial"/>
          <w:szCs w:val="22"/>
        </w:rPr>
        <w:t xml:space="preserve">, making </w:t>
      </w:r>
      <w:r w:rsidR="00026482">
        <w:rPr>
          <w:rFonts w:cs="Arial"/>
          <w:szCs w:val="22"/>
        </w:rPr>
        <w:t>2018</w:t>
      </w:r>
      <w:r w:rsidR="00026482" w:rsidRPr="00FA314F">
        <w:rPr>
          <w:rFonts w:cs="Arial"/>
          <w:szCs w:val="22"/>
          <w:lang w:val="en-GB"/>
        </w:rPr>
        <w:t>–</w:t>
      </w:r>
      <w:r w:rsidR="00026482">
        <w:rPr>
          <w:rFonts w:cs="Arial"/>
          <w:szCs w:val="22"/>
        </w:rPr>
        <w:t xml:space="preserve">19 </w:t>
      </w:r>
      <w:r w:rsidR="005A1F2D">
        <w:rPr>
          <w:rFonts w:cs="Arial"/>
          <w:szCs w:val="22"/>
        </w:rPr>
        <w:t xml:space="preserve">the first time that there </w:t>
      </w:r>
      <w:r w:rsidR="00026482">
        <w:rPr>
          <w:rFonts w:cs="Arial"/>
          <w:szCs w:val="22"/>
        </w:rPr>
        <w:t>had been no reproductive structures at all sites</w:t>
      </w:r>
      <w:r w:rsidR="008029FA">
        <w:rPr>
          <w:rFonts w:cs="Arial"/>
          <w:szCs w:val="22"/>
        </w:rPr>
        <w:t xml:space="preserve"> </w:t>
      </w:r>
      <w:r w:rsidR="008029FA" w:rsidRPr="00FA314F">
        <w:rPr>
          <w:rFonts w:cs="Arial"/>
          <w:szCs w:val="22"/>
        </w:rPr>
        <w:t>(</w:t>
      </w:r>
      <w:r w:rsidR="008029FA" w:rsidRPr="00FA314F">
        <w:rPr>
          <w:rFonts w:cs="Arial"/>
          <w:szCs w:val="22"/>
        </w:rPr>
        <w:fldChar w:fldCharType="begin"/>
      </w:r>
      <w:r w:rsidR="008029FA" w:rsidRPr="00FA314F">
        <w:rPr>
          <w:rFonts w:cs="Arial"/>
          <w:szCs w:val="22"/>
        </w:rPr>
        <w:instrText xml:space="preserve"> REF _Ref442423744 \h  \* MERGEFORMAT </w:instrText>
      </w:r>
      <w:r w:rsidR="008029FA" w:rsidRPr="00FA314F">
        <w:rPr>
          <w:rFonts w:cs="Arial"/>
          <w:szCs w:val="22"/>
        </w:rPr>
      </w:r>
      <w:r w:rsidR="008029FA" w:rsidRPr="00FA314F">
        <w:rPr>
          <w:rFonts w:cs="Arial"/>
          <w:szCs w:val="22"/>
        </w:rPr>
        <w:fldChar w:fldCharType="separate"/>
      </w:r>
      <w:r w:rsidR="0067675D" w:rsidRPr="00FA314F">
        <w:rPr>
          <w:rFonts w:cs="Arial"/>
          <w:szCs w:val="22"/>
        </w:rPr>
        <w:t xml:space="preserve">Figure </w:t>
      </w:r>
      <w:r w:rsidR="0067675D">
        <w:rPr>
          <w:rFonts w:cs="Arial"/>
          <w:noProof/>
          <w:szCs w:val="22"/>
        </w:rPr>
        <w:t>28</w:t>
      </w:r>
      <w:r w:rsidR="008029FA" w:rsidRPr="00FA314F">
        <w:rPr>
          <w:rFonts w:cs="Arial"/>
          <w:szCs w:val="22"/>
        </w:rPr>
        <w:fldChar w:fldCharType="end"/>
      </w:r>
      <w:r w:rsidR="008029FA" w:rsidRPr="00FA314F">
        <w:rPr>
          <w:rFonts w:cs="Arial"/>
          <w:szCs w:val="22"/>
        </w:rPr>
        <w:t>)</w:t>
      </w:r>
      <w:r w:rsidR="008029FA">
        <w:rPr>
          <w:rFonts w:cs="Arial"/>
          <w:szCs w:val="22"/>
        </w:rPr>
        <w:t xml:space="preserve">. </w:t>
      </w:r>
      <w:r w:rsidR="00F76660">
        <w:rPr>
          <w:rFonts w:cs="Arial"/>
          <w:szCs w:val="22"/>
        </w:rPr>
        <w:t xml:space="preserve">Other counts with zero reproductive effort have been observed in the wet season </w:t>
      </w:r>
      <w:r w:rsidR="00531754">
        <w:rPr>
          <w:rFonts w:cs="Arial"/>
          <w:szCs w:val="22"/>
        </w:rPr>
        <w:t>but wet season data is not used in</w:t>
      </w:r>
      <w:r w:rsidR="00026482">
        <w:rPr>
          <w:rFonts w:cs="Arial"/>
          <w:szCs w:val="22"/>
        </w:rPr>
        <w:t xml:space="preserve"> </w:t>
      </w:r>
      <w:r w:rsidR="00F76660">
        <w:rPr>
          <w:rFonts w:cs="Arial"/>
          <w:szCs w:val="22"/>
        </w:rPr>
        <w:t>the metric</w:t>
      </w:r>
      <w:r w:rsidR="00026482">
        <w:rPr>
          <w:rFonts w:cs="Arial"/>
          <w:szCs w:val="22"/>
        </w:rPr>
        <w:t>, because it is a time that counts are typically low</w:t>
      </w:r>
      <w:r w:rsidR="00F76660">
        <w:rPr>
          <w:rFonts w:cs="Arial"/>
          <w:szCs w:val="22"/>
        </w:rPr>
        <w:t xml:space="preserve">. </w:t>
      </w:r>
      <w:r w:rsidR="004C1988" w:rsidRPr="00531754">
        <w:rPr>
          <w:rFonts w:cs="Arial"/>
          <w:szCs w:val="22"/>
        </w:rPr>
        <w:t>In 2018</w:t>
      </w:r>
      <w:r w:rsidR="004C1988" w:rsidRPr="00531754">
        <w:rPr>
          <w:rFonts w:cs="Arial"/>
          <w:szCs w:val="22"/>
          <w:lang w:val="en-GB"/>
        </w:rPr>
        <w:t>–19, there were no reproductive structures recorded at any of the sites.</w:t>
      </w:r>
      <w:r w:rsidR="004C1988">
        <w:rPr>
          <w:rFonts w:cs="Arial"/>
          <w:szCs w:val="22"/>
          <w:lang w:val="en-GB"/>
        </w:rPr>
        <w:t xml:space="preserve"> </w:t>
      </w:r>
      <w:r w:rsidR="00543B47" w:rsidRPr="00FA314F">
        <w:rPr>
          <w:rFonts w:cs="Arial"/>
          <w:szCs w:val="22"/>
        </w:rPr>
        <w:t>Tissue nutrients remained poor and at the second lowest level recorded in Cape York</w:t>
      </w:r>
      <w:r w:rsidR="003B0C12" w:rsidRPr="00FA314F">
        <w:rPr>
          <w:rFonts w:cs="Arial"/>
          <w:szCs w:val="22"/>
        </w:rPr>
        <w:t xml:space="preserve">. </w:t>
      </w:r>
    </w:p>
    <w:p w14:paraId="7D25B8A7" w14:textId="6E5298F7" w:rsidR="009A2C0F" w:rsidRPr="00FA314F" w:rsidRDefault="009A2C0F" w:rsidP="009A2C0F">
      <w:pPr>
        <w:rPr>
          <w:rFonts w:cs="Arial"/>
          <w:szCs w:val="22"/>
          <w:lang w:val="en-GB"/>
        </w:rPr>
      </w:pPr>
      <w:r w:rsidRPr="00FA314F">
        <w:rPr>
          <w:rFonts w:cs="Arial"/>
          <w:szCs w:val="22"/>
          <w:lang w:val="en-GB"/>
        </w:rPr>
        <w:t xml:space="preserve">Overall, the Cape York seagrass </w:t>
      </w:r>
      <w:r w:rsidR="003A03FE" w:rsidRPr="00FA314F">
        <w:rPr>
          <w:rFonts w:cs="Arial"/>
          <w:szCs w:val="22"/>
          <w:lang w:val="en-GB"/>
        </w:rPr>
        <w:t>condition</w:t>
      </w:r>
      <w:r w:rsidR="00F14835" w:rsidRPr="00FA314F">
        <w:rPr>
          <w:rFonts w:cs="Arial"/>
          <w:szCs w:val="22"/>
          <w:lang w:val="en-GB"/>
        </w:rPr>
        <w:t xml:space="preserve"> </w:t>
      </w:r>
      <w:r w:rsidRPr="00FA314F">
        <w:rPr>
          <w:rFonts w:cs="Arial"/>
          <w:szCs w:val="22"/>
          <w:lang w:val="en-GB"/>
        </w:rPr>
        <w:t>index remains well below the 2005</w:t>
      </w:r>
      <w:r w:rsidR="009203FC" w:rsidRPr="00FA314F">
        <w:rPr>
          <w:rFonts w:cs="Arial"/>
          <w:szCs w:val="22"/>
          <w:lang w:val="en-GB"/>
        </w:rPr>
        <w:t>–</w:t>
      </w:r>
      <w:r w:rsidRPr="00FA314F">
        <w:rPr>
          <w:rFonts w:cs="Arial"/>
          <w:szCs w:val="22"/>
          <w:lang w:val="en-GB"/>
        </w:rPr>
        <w:t xml:space="preserve">06 baseline </w:t>
      </w:r>
      <w:r w:rsidR="003B0C12" w:rsidRPr="00FA314F">
        <w:rPr>
          <w:rFonts w:cs="Arial"/>
          <w:szCs w:val="22"/>
          <w:lang w:val="en-GB"/>
        </w:rPr>
        <w:t xml:space="preserve">and in </w:t>
      </w:r>
      <w:r w:rsidR="00956639" w:rsidRPr="00FA314F">
        <w:rPr>
          <w:rFonts w:cs="Arial"/>
          <w:szCs w:val="22"/>
          <w:lang w:val="en-GB"/>
        </w:rPr>
        <w:t>2018–19</w:t>
      </w:r>
      <w:r w:rsidR="003B0C12" w:rsidRPr="00FA314F">
        <w:rPr>
          <w:rFonts w:cs="Arial"/>
          <w:szCs w:val="22"/>
          <w:lang w:val="en-GB"/>
        </w:rPr>
        <w:t xml:space="preserve"> was</w:t>
      </w:r>
      <w:r w:rsidRPr="00FA314F">
        <w:rPr>
          <w:rFonts w:cs="Arial"/>
          <w:szCs w:val="22"/>
          <w:lang w:val="en-GB"/>
        </w:rPr>
        <w:t xml:space="preserve"> the </w:t>
      </w:r>
      <w:r w:rsidR="003B0C12" w:rsidRPr="00FA314F">
        <w:rPr>
          <w:rFonts w:cs="Arial"/>
          <w:szCs w:val="22"/>
          <w:lang w:val="en-GB"/>
        </w:rPr>
        <w:t>lowest</w:t>
      </w:r>
      <w:r w:rsidRPr="00FA314F">
        <w:rPr>
          <w:rFonts w:cs="Arial"/>
          <w:szCs w:val="22"/>
          <w:lang w:val="en-GB"/>
        </w:rPr>
        <w:t xml:space="preserve"> score since the addition of new sites in 2012</w:t>
      </w:r>
      <w:r w:rsidR="00360B72" w:rsidRPr="00FA314F">
        <w:rPr>
          <w:rFonts w:cs="Arial"/>
          <w:szCs w:val="22"/>
          <w:lang w:val="en-GB"/>
        </w:rPr>
        <w:t>–</w:t>
      </w:r>
      <w:r w:rsidRPr="00FA314F">
        <w:rPr>
          <w:rFonts w:cs="Arial"/>
          <w:szCs w:val="22"/>
          <w:lang w:val="en-GB"/>
        </w:rPr>
        <w:t>13.</w:t>
      </w:r>
    </w:p>
    <w:p w14:paraId="034DA1AD" w14:textId="4BEEF7E3" w:rsidR="004D3657" w:rsidRPr="00FA314F" w:rsidRDefault="004D3657" w:rsidP="0013209D">
      <w:pPr>
        <w:rPr>
          <w:rFonts w:cs="Arial"/>
          <w:szCs w:val="22"/>
        </w:rPr>
      </w:pPr>
      <w:r w:rsidRPr="00FA314F">
        <w:rPr>
          <w:rFonts w:cs="Arial"/>
          <w:szCs w:val="22"/>
        </w:rPr>
        <w:t xml:space="preserve">An examination of the long-term trends across the Cape York NRM region </w:t>
      </w:r>
      <w:r w:rsidR="00543B47" w:rsidRPr="00FA314F">
        <w:rPr>
          <w:rFonts w:cs="Arial"/>
          <w:szCs w:val="22"/>
        </w:rPr>
        <w:t xml:space="preserve">needs to </w:t>
      </w:r>
      <w:r w:rsidR="000E3DE9">
        <w:rPr>
          <w:rFonts w:cs="Arial"/>
          <w:szCs w:val="22"/>
        </w:rPr>
        <w:t>be interpreted</w:t>
      </w:r>
      <w:r w:rsidR="000E3DE9" w:rsidRPr="00FA314F">
        <w:rPr>
          <w:rFonts w:cs="Arial"/>
          <w:szCs w:val="22"/>
        </w:rPr>
        <w:t xml:space="preserve"> </w:t>
      </w:r>
      <w:r w:rsidR="00543B47" w:rsidRPr="00FA314F">
        <w:rPr>
          <w:rFonts w:cs="Arial"/>
          <w:szCs w:val="22"/>
        </w:rPr>
        <w:t>carefully as new sites were included in 2012</w:t>
      </w:r>
      <w:r w:rsidR="00360B72" w:rsidRPr="00FA314F">
        <w:rPr>
          <w:rFonts w:cs="Arial"/>
          <w:szCs w:val="22"/>
          <w:lang w:val="en-GB"/>
        </w:rPr>
        <w:t>–</w:t>
      </w:r>
      <w:r w:rsidR="00543B47" w:rsidRPr="00FA314F">
        <w:rPr>
          <w:rFonts w:cs="Arial"/>
          <w:szCs w:val="22"/>
        </w:rPr>
        <w:t xml:space="preserve">13, which </w:t>
      </w:r>
      <w:r w:rsidR="000E3DE9">
        <w:rPr>
          <w:rFonts w:cs="Arial"/>
          <w:szCs w:val="22"/>
        </w:rPr>
        <w:t>are</w:t>
      </w:r>
      <w:r w:rsidR="000E3DE9" w:rsidRPr="00FA314F">
        <w:rPr>
          <w:rFonts w:cs="Arial"/>
          <w:szCs w:val="22"/>
        </w:rPr>
        <w:t xml:space="preserve"> </w:t>
      </w:r>
      <w:r w:rsidR="00543B47" w:rsidRPr="00FA314F">
        <w:rPr>
          <w:rFonts w:cs="Arial"/>
          <w:szCs w:val="22"/>
        </w:rPr>
        <w:t>associated with consistently lower abundance and tissue nutrients compared to the highest levels recorded for the region. Archer Point, which was the only location monitored prior to 2012</w:t>
      </w:r>
      <w:r w:rsidR="00360B72" w:rsidRPr="00FA314F">
        <w:rPr>
          <w:rFonts w:cs="Arial"/>
          <w:szCs w:val="22"/>
          <w:lang w:val="en-GB"/>
        </w:rPr>
        <w:t>–</w:t>
      </w:r>
      <w:r w:rsidR="00543B47" w:rsidRPr="00FA314F">
        <w:rPr>
          <w:rFonts w:cs="Arial"/>
          <w:szCs w:val="22"/>
        </w:rPr>
        <w:t>13</w:t>
      </w:r>
      <w:r w:rsidR="00B53E38">
        <w:rPr>
          <w:rFonts w:cs="Arial"/>
          <w:szCs w:val="22"/>
        </w:rPr>
        <w:t>,</w:t>
      </w:r>
      <w:r w:rsidR="00543B47" w:rsidRPr="00FA314F">
        <w:rPr>
          <w:rFonts w:cs="Arial"/>
          <w:szCs w:val="22"/>
        </w:rPr>
        <w:t xml:space="preserve"> is no</w:t>
      </w:r>
      <w:r w:rsidR="00B53E38">
        <w:rPr>
          <w:rFonts w:cs="Arial"/>
          <w:szCs w:val="22"/>
        </w:rPr>
        <w:t>w only monitored as part of the Seagrass-Watch</w:t>
      </w:r>
      <w:r w:rsidR="00543B47" w:rsidRPr="00FA314F">
        <w:rPr>
          <w:rFonts w:cs="Arial"/>
          <w:szCs w:val="22"/>
        </w:rPr>
        <w:t xml:space="preserve"> </w:t>
      </w:r>
      <w:r w:rsidR="00531754">
        <w:rPr>
          <w:rFonts w:cs="Arial"/>
          <w:szCs w:val="22"/>
        </w:rPr>
        <w:t>due to logistical complications</w:t>
      </w:r>
      <w:r w:rsidR="00543B47" w:rsidRPr="00FA314F">
        <w:rPr>
          <w:rFonts w:cs="Arial"/>
          <w:szCs w:val="22"/>
        </w:rPr>
        <w:t xml:space="preserve"> </w:t>
      </w:r>
      <w:r w:rsidR="0013209D" w:rsidRPr="00FA314F">
        <w:rPr>
          <w:rFonts w:cs="Arial"/>
          <w:szCs w:val="22"/>
        </w:rPr>
        <w:t>(</w:t>
      </w:r>
      <w:r w:rsidR="0013209D" w:rsidRPr="00FA314F">
        <w:rPr>
          <w:rFonts w:cs="Arial"/>
          <w:szCs w:val="22"/>
        </w:rPr>
        <w:fldChar w:fldCharType="begin"/>
      </w:r>
      <w:r w:rsidR="0013209D" w:rsidRPr="00FA314F">
        <w:rPr>
          <w:rFonts w:cs="Arial"/>
          <w:szCs w:val="22"/>
        </w:rPr>
        <w:instrText xml:space="preserve"> REF _Ref442423744 \h </w:instrText>
      </w:r>
      <w:r w:rsidR="00CB093C" w:rsidRPr="00FA314F">
        <w:rPr>
          <w:rFonts w:cs="Arial"/>
          <w:szCs w:val="22"/>
        </w:rPr>
        <w:instrText xml:space="preserve"> \* MERGEFORMAT </w:instrText>
      </w:r>
      <w:r w:rsidR="0013209D" w:rsidRPr="00FA314F">
        <w:rPr>
          <w:rFonts w:cs="Arial"/>
          <w:szCs w:val="22"/>
        </w:rPr>
      </w:r>
      <w:r w:rsidR="0013209D" w:rsidRPr="00FA314F">
        <w:rPr>
          <w:rFonts w:cs="Arial"/>
          <w:szCs w:val="22"/>
        </w:rPr>
        <w:fldChar w:fldCharType="separate"/>
      </w:r>
      <w:r w:rsidR="0067675D" w:rsidRPr="00FA314F">
        <w:rPr>
          <w:rFonts w:cs="Arial"/>
          <w:szCs w:val="22"/>
        </w:rPr>
        <w:t xml:space="preserve">Figure </w:t>
      </w:r>
      <w:r w:rsidR="0067675D">
        <w:rPr>
          <w:rFonts w:cs="Arial"/>
          <w:noProof/>
          <w:szCs w:val="22"/>
        </w:rPr>
        <w:t>28</w:t>
      </w:r>
      <w:r w:rsidR="0013209D" w:rsidRPr="00FA314F">
        <w:rPr>
          <w:rFonts w:cs="Arial"/>
          <w:szCs w:val="22"/>
        </w:rPr>
        <w:fldChar w:fldCharType="end"/>
      </w:r>
      <w:r w:rsidR="0013209D" w:rsidRPr="00FA314F">
        <w:rPr>
          <w:rFonts w:cs="Arial"/>
          <w:szCs w:val="22"/>
        </w:rPr>
        <w:t>)</w:t>
      </w:r>
      <w:r w:rsidR="0013209D" w:rsidRPr="00FA314F">
        <w:rPr>
          <w:rFonts w:cs="Arial"/>
          <w:szCs w:val="22"/>
          <w:lang w:val="en-GB"/>
        </w:rPr>
        <w:t>.</w:t>
      </w:r>
    </w:p>
    <w:p w14:paraId="72BFE042" w14:textId="77777777" w:rsidR="009A2C0F" w:rsidRPr="00FA314F" w:rsidRDefault="009A2C0F" w:rsidP="009A2C0F">
      <w:pPr>
        <w:rPr>
          <w:rFonts w:cs="Arial"/>
          <w:szCs w:val="22"/>
        </w:rPr>
      </w:pPr>
    </w:p>
    <w:p w14:paraId="4E798C1C" w14:textId="45A74A74" w:rsidR="0091436F" w:rsidRPr="00FA314F" w:rsidRDefault="00E16A8B" w:rsidP="00994F86">
      <w:pPr>
        <w:keepNext/>
        <w:widowControl w:val="0"/>
        <w:jc w:val="center"/>
        <w:rPr>
          <w:rFonts w:cs="Arial"/>
          <w:color w:val="000000"/>
          <w:szCs w:val="22"/>
        </w:rPr>
      </w:pPr>
      <w:r w:rsidRPr="00FA314F">
        <w:rPr>
          <w:rFonts w:cs="Arial"/>
          <w:noProof/>
          <w:color w:val="000000"/>
          <w:szCs w:val="22"/>
          <w:lang w:eastAsia="en-AU"/>
        </w:rPr>
        <w:lastRenderedPageBreak/>
        <w:drawing>
          <wp:inline distT="0" distB="0" distL="0" distR="0" wp14:anchorId="1CB7C8B3" wp14:editId="2566332F">
            <wp:extent cx="5335707" cy="5043585"/>
            <wp:effectExtent l="0" t="0" r="0" b="5080"/>
            <wp:docPr id="3" name="Picture 3" descr="Composite figure of four graphs showing temporal trends in the Cape York seagrass condition index and each of the individual indicators used to calculate the index, represented by GAM plots and coloured lines representing location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Y_cvr_GAM_Dec16.png"/>
                    <pic:cNvPicPr/>
                  </pic:nvPicPr>
                  <pic:blipFill>
                    <a:blip r:embed="rId81"/>
                    <a:stretch>
                      <a:fillRect/>
                    </a:stretch>
                  </pic:blipFill>
                  <pic:spPr>
                    <a:xfrm>
                      <a:off x="0" y="0"/>
                      <a:ext cx="5335707" cy="5043585"/>
                    </a:xfrm>
                    <a:prstGeom prst="rect">
                      <a:avLst/>
                    </a:prstGeom>
                  </pic:spPr>
                </pic:pic>
              </a:graphicData>
            </a:graphic>
          </wp:inline>
        </w:drawing>
      </w:r>
    </w:p>
    <w:p w14:paraId="43E264AC" w14:textId="1B38E5A7" w:rsidR="00076C1A" w:rsidRPr="00FA314F" w:rsidRDefault="0091436F" w:rsidP="00076C1A">
      <w:pPr>
        <w:rPr>
          <w:rFonts w:cs="Arial"/>
          <w:vanish/>
          <w:color w:val="000000"/>
          <w:szCs w:val="22"/>
          <w:specVanish/>
        </w:rPr>
      </w:pPr>
      <w:bookmarkStart w:id="290" w:name="_Ref442423744"/>
      <w:bookmarkStart w:id="291" w:name="_Toc38634132"/>
      <w:r w:rsidRPr="00FA314F">
        <w:rPr>
          <w:rFonts w:cs="Arial"/>
          <w:szCs w:val="22"/>
        </w:rPr>
        <w:t xml:space="preserve">Figure </w:t>
      </w:r>
      <w:r w:rsidR="00C506C7" w:rsidRPr="00FA314F">
        <w:rPr>
          <w:rFonts w:cs="Arial"/>
          <w:noProof/>
          <w:szCs w:val="22"/>
        </w:rPr>
        <w:fldChar w:fldCharType="begin"/>
      </w:r>
      <w:r w:rsidR="00C506C7" w:rsidRPr="00FA314F">
        <w:rPr>
          <w:rFonts w:cs="Arial"/>
          <w:noProof/>
          <w:szCs w:val="22"/>
        </w:rPr>
        <w:instrText xml:space="preserve"> SEQ Figure \* ARABIC </w:instrText>
      </w:r>
      <w:r w:rsidR="00C506C7" w:rsidRPr="00FA314F">
        <w:rPr>
          <w:rFonts w:cs="Arial"/>
          <w:noProof/>
          <w:szCs w:val="22"/>
        </w:rPr>
        <w:fldChar w:fldCharType="separate"/>
      </w:r>
      <w:r w:rsidR="0067675D">
        <w:rPr>
          <w:rFonts w:cs="Arial"/>
          <w:noProof/>
          <w:szCs w:val="22"/>
        </w:rPr>
        <w:t>28</w:t>
      </w:r>
      <w:r w:rsidR="00C506C7" w:rsidRPr="00FA314F">
        <w:rPr>
          <w:rFonts w:cs="Arial"/>
          <w:noProof/>
          <w:szCs w:val="22"/>
        </w:rPr>
        <w:fldChar w:fldCharType="end"/>
      </w:r>
      <w:bookmarkEnd w:id="290"/>
      <w:r w:rsidRPr="00FA314F">
        <w:rPr>
          <w:rFonts w:cs="Arial"/>
          <w:szCs w:val="22"/>
        </w:rPr>
        <w:t xml:space="preserve">.  </w:t>
      </w:r>
      <w:r w:rsidR="00076C1A" w:rsidRPr="00FA314F">
        <w:rPr>
          <w:rFonts w:cs="Arial"/>
          <w:i/>
          <w:szCs w:val="22"/>
        </w:rPr>
        <w:t>Temporal trends in the Cape York seagrass condition index and the indicators used to calculate the index</w:t>
      </w:r>
      <w:bookmarkEnd w:id="291"/>
    </w:p>
    <w:p w14:paraId="5BC8C320" w14:textId="20701F4F" w:rsidR="00753209" w:rsidRPr="00FA314F" w:rsidRDefault="00076C1A" w:rsidP="00076C1A">
      <w:pPr>
        <w:rPr>
          <w:rFonts w:cs="Arial"/>
          <w:i/>
          <w:szCs w:val="22"/>
          <w:lang w:val="en-GB"/>
        </w:rPr>
      </w:pPr>
      <w:r w:rsidRPr="00FA314F">
        <w:rPr>
          <w:rFonts w:cs="Arial"/>
          <w:i/>
          <w:szCs w:val="22"/>
        </w:rPr>
        <w:t>: a. seagrass condition index (circles) and indicator trends (lines); b. GAM plots of seagrass abundance (</w:t>
      </w:r>
      <w:r w:rsidR="00C47C94">
        <w:rPr>
          <w:rFonts w:cs="Arial"/>
          <w:i/>
          <w:szCs w:val="22"/>
        </w:rPr>
        <w:t>per cent</w:t>
      </w:r>
      <w:r w:rsidRPr="00FA314F">
        <w:rPr>
          <w:rFonts w:cs="Arial"/>
          <w:i/>
          <w:szCs w:val="22"/>
        </w:rPr>
        <w:t xml:space="preserve"> cover) trends for each location (coloured lines) and the region (black line with grey shaded area defining 95</w:t>
      </w:r>
      <w:r w:rsidR="003C311A">
        <w:rPr>
          <w:rFonts w:cs="Arial"/>
          <w:i/>
          <w:szCs w:val="22"/>
        </w:rPr>
        <w:t xml:space="preserve">% </w:t>
      </w:r>
      <w:r w:rsidRPr="00FA314F">
        <w:rPr>
          <w:rFonts w:cs="Arial"/>
          <w:i/>
          <w:szCs w:val="22"/>
        </w:rPr>
        <w:t>confidence intervals); c. average number of reproductive structures (±SE) (GAM not possible due to high count of zero values); and d. elemental ratios (atomic) of leaf tissue C:N nutrient content at each site (coloured circles) and regional trend represented by a GAM plot as dark line with shaded areas defining 95</w:t>
      </w:r>
      <w:r w:rsidR="003C311A">
        <w:rPr>
          <w:rFonts w:cs="Arial"/>
          <w:i/>
          <w:szCs w:val="22"/>
        </w:rPr>
        <w:t xml:space="preserve">% </w:t>
      </w:r>
      <w:r w:rsidRPr="00FA314F">
        <w:rPr>
          <w:rFonts w:cs="Arial"/>
          <w:i/>
          <w:szCs w:val="22"/>
        </w:rPr>
        <w:t>confidence intervals of the trend.</w:t>
      </w:r>
    </w:p>
    <w:p w14:paraId="56DBC4E2" w14:textId="6F194346" w:rsidR="003737E9" w:rsidRPr="00431DDA" w:rsidRDefault="003737E9" w:rsidP="000150D8">
      <w:pPr>
        <w:pStyle w:val="Heading4"/>
      </w:pPr>
      <w:bookmarkStart w:id="292" w:name="_Toc37775071"/>
      <w:bookmarkStart w:id="293" w:name="_Toc43987046"/>
      <w:r w:rsidRPr="00431DDA">
        <w:lastRenderedPageBreak/>
        <w:t xml:space="preserve">Seagrass abundance, </w:t>
      </w:r>
      <w:r w:rsidR="00824A7C" w:rsidRPr="00431DDA">
        <w:t>composition</w:t>
      </w:r>
      <w:r w:rsidRPr="00431DDA">
        <w:t xml:space="preserve"> and extent</w:t>
      </w:r>
      <w:bookmarkEnd w:id="292"/>
      <w:bookmarkEnd w:id="293"/>
    </w:p>
    <w:p w14:paraId="7B61099E" w14:textId="26FE0C37" w:rsidR="00996D8E" w:rsidRPr="006C5F24" w:rsidRDefault="009A2C0F" w:rsidP="009A2C0F">
      <w:pPr>
        <w:rPr>
          <w:rFonts w:cs="Arial"/>
          <w:szCs w:val="22"/>
        </w:rPr>
      </w:pPr>
      <w:r w:rsidRPr="006C5F24">
        <w:rPr>
          <w:rFonts w:cs="Arial"/>
          <w:szCs w:val="22"/>
        </w:rPr>
        <w:t xml:space="preserve">The </w:t>
      </w:r>
      <w:r w:rsidR="00EB4BAE" w:rsidRPr="006C5F24">
        <w:rPr>
          <w:rFonts w:cs="Arial"/>
          <w:szCs w:val="22"/>
        </w:rPr>
        <w:t>increase</w:t>
      </w:r>
      <w:r w:rsidRPr="006C5F24">
        <w:rPr>
          <w:rFonts w:cs="Arial"/>
          <w:szCs w:val="22"/>
        </w:rPr>
        <w:t xml:space="preserve"> in seagrass abundance in </w:t>
      </w:r>
      <w:r w:rsidR="00956639" w:rsidRPr="006C5F24">
        <w:rPr>
          <w:rFonts w:cs="Arial"/>
          <w:szCs w:val="22"/>
        </w:rPr>
        <w:t>2018–19</w:t>
      </w:r>
      <w:r w:rsidR="00C81636" w:rsidRPr="006C5F24">
        <w:rPr>
          <w:rFonts w:cs="Arial"/>
          <w:szCs w:val="22"/>
        </w:rPr>
        <w:t xml:space="preserve"> </w:t>
      </w:r>
      <w:r w:rsidRPr="006C5F24">
        <w:rPr>
          <w:rFonts w:cs="Arial"/>
          <w:szCs w:val="22"/>
        </w:rPr>
        <w:t xml:space="preserve">appears a consequence of </w:t>
      </w:r>
      <w:r w:rsidR="00EB4BAE" w:rsidRPr="006C5F24">
        <w:rPr>
          <w:rFonts w:cs="Arial"/>
          <w:szCs w:val="22"/>
        </w:rPr>
        <w:t>improvements</w:t>
      </w:r>
      <w:r w:rsidRPr="006C5F24">
        <w:rPr>
          <w:rFonts w:cs="Arial"/>
          <w:szCs w:val="22"/>
        </w:rPr>
        <w:t xml:space="preserve"> in </w:t>
      </w:r>
      <w:r w:rsidR="00887319">
        <w:rPr>
          <w:rFonts w:cs="Arial"/>
          <w:szCs w:val="22"/>
        </w:rPr>
        <w:t xml:space="preserve">per cent </w:t>
      </w:r>
      <w:r w:rsidRPr="006C5F24">
        <w:rPr>
          <w:rFonts w:cs="Arial"/>
          <w:szCs w:val="22"/>
        </w:rPr>
        <w:t xml:space="preserve">cover at </w:t>
      </w:r>
      <w:r w:rsidR="00D133BB" w:rsidRPr="006C5F24">
        <w:rPr>
          <w:rFonts w:cs="Arial"/>
          <w:szCs w:val="22"/>
        </w:rPr>
        <w:t>50</w:t>
      </w:r>
      <w:r w:rsidR="003C311A">
        <w:rPr>
          <w:rFonts w:cs="Arial"/>
          <w:szCs w:val="22"/>
        </w:rPr>
        <w:t xml:space="preserve">% </w:t>
      </w:r>
      <w:r w:rsidRPr="006C5F24">
        <w:rPr>
          <w:rFonts w:cs="Arial"/>
          <w:szCs w:val="22"/>
        </w:rPr>
        <w:t>of sites across all habitats</w:t>
      </w:r>
      <w:r w:rsidR="004D3657" w:rsidRPr="006C5F24">
        <w:rPr>
          <w:rFonts w:cs="Arial"/>
          <w:szCs w:val="22"/>
        </w:rPr>
        <w:t>;</w:t>
      </w:r>
      <w:r w:rsidRPr="006C5F24">
        <w:rPr>
          <w:rFonts w:cs="Arial"/>
          <w:szCs w:val="22"/>
        </w:rPr>
        <w:t xml:space="preserve"> except the </w:t>
      </w:r>
      <w:r w:rsidR="006C5F24" w:rsidRPr="006C5F24">
        <w:rPr>
          <w:rFonts w:cs="Arial"/>
          <w:szCs w:val="22"/>
        </w:rPr>
        <w:t>intertidal</w:t>
      </w:r>
      <w:r w:rsidRPr="006C5F24">
        <w:rPr>
          <w:rFonts w:cs="Arial"/>
          <w:szCs w:val="22"/>
        </w:rPr>
        <w:t xml:space="preserve"> reef habitat</w:t>
      </w:r>
      <w:r w:rsidR="006C5F24" w:rsidRPr="006C5F24">
        <w:rPr>
          <w:rFonts w:cs="Arial"/>
          <w:szCs w:val="22"/>
        </w:rPr>
        <w:t xml:space="preserve"> at Piper Reef where one site (FR2) slightly decreased</w:t>
      </w:r>
      <w:r w:rsidR="004D3657" w:rsidRPr="006C5F24">
        <w:rPr>
          <w:rFonts w:cs="Arial"/>
          <w:szCs w:val="22"/>
        </w:rPr>
        <w:t xml:space="preserve"> </w:t>
      </w:r>
      <w:r w:rsidRPr="006C5F24">
        <w:rPr>
          <w:rFonts w:cs="Arial"/>
          <w:szCs w:val="22"/>
        </w:rPr>
        <w:t>(</w:t>
      </w:r>
      <w:r w:rsidRPr="006C5F24">
        <w:rPr>
          <w:rFonts w:cs="Arial"/>
          <w:szCs w:val="22"/>
        </w:rPr>
        <w:fldChar w:fldCharType="begin"/>
      </w:r>
      <w:r w:rsidRPr="006C5F24">
        <w:rPr>
          <w:rFonts w:cs="Arial"/>
          <w:szCs w:val="22"/>
        </w:rPr>
        <w:instrText xml:space="preserve"> REF _Ref533575354 \h  \* MERGEFORMAT </w:instrText>
      </w:r>
      <w:r w:rsidRPr="006C5F24">
        <w:rPr>
          <w:rFonts w:cs="Arial"/>
          <w:szCs w:val="22"/>
        </w:rPr>
      </w:r>
      <w:r w:rsidRPr="006C5F24">
        <w:rPr>
          <w:rFonts w:cs="Arial"/>
          <w:szCs w:val="22"/>
        </w:rPr>
        <w:fldChar w:fldCharType="separate"/>
      </w:r>
      <w:r w:rsidR="0067675D" w:rsidRPr="00FA314F">
        <w:rPr>
          <w:rFonts w:cs="Arial"/>
          <w:szCs w:val="22"/>
        </w:rPr>
        <w:t xml:space="preserve">Figure </w:t>
      </w:r>
      <w:r w:rsidR="0067675D">
        <w:rPr>
          <w:rFonts w:cs="Arial"/>
          <w:szCs w:val="22"/>
        </w:rPr>
        <w:t>29</w:t>
      </w:r>
      <w:r w:rsidRPr="006C5F24">
        <w:rPr>
          <w:rFonts w:cs="Arial"/>
          <w:szCs w:val="22"/>
        </w:rPr>
        <w:fldChar w:fldCharType="end"/>
      </w:r>
      <w:r w:rsidRPr="006C5F24">
        <w:rPr>
          <w:rFonts w:cs="Arial"/>
          <w:szCs w:val="22"/>
        </w:rPr>
        <w:t xml:space="preserve">). </w:t>
      </w:r>
    </w:p>
    <w:p w14:paraId="4D9FAFFD" w14:textId="037A4330" w:rsidR="00EB4BAE" w:rsidRPr="006C5F24" w:rsidRDefault="00EB4BAE" w:rsidP="00EB4BAE">
      <w:pPr>
        <w:rPr>
          <w:rFonts w:cs="Arial"/>
          <w:szCs w:val="22"/>
        </w:rPr>
      </w:pPr>
      <w:r w:rsidRPr="006C5F24">
        <w:rPr>
          <w:rFonts w:cs="Arial"/>
          <w:szCs w:val="22"/>
        </w:rPr>
        <w:t>On average, seagrass abundance marginally increased relative to the previous period. Seagrass abundance (</w:t>
      </w:r>
      <w:r w:rsidR="00C47C94">
        <w:rPr>
          <w:rFonts w:cs="Arial"/>
          <w:szCs w:val="22"/>
        </w:rPr>
        <w:t>per cent</w:t>
      </w:r>
      <w:r w:rsidRPr="006C5F24">
        <w:rPr>
          <w:rFonts w:cs="Arial"/>
          <w:szCs w:val="22"/>
        </w:rPr>
        <w:t xml:space="preserve"> cover) increased at half or remained similar at 40</w:t>
      </w:r>
      <w:r w:rsidR="003C311A">
        <w:rPr>
          <w:rFonts w:cs="Arial"/>
          <w:szCs w:val="22"/>
        </w:rPr>
        <w:t xml:space="preserve">% </w:t>
      </w:r>
      <w:r w:rsidRPr="006C5F24">
        <w:rPr>
          <w:rFonts w:cs="Arial"/>
          <w:szCs w:val="22"/>
        </w:rPr>
        <w:t>of sites across all habitats, predominately in coastal and subtidal reef meadows. The only declines occurred in meadows located in the north of the region.</w:t>
      </w:r>
    </w:p>
    <w:p w14:paraId="7EDD8779" w14:textId="16DCD54E" w:rsidR="0091436F" w:rsidRPr="00FA314F" w:rsidRDefault="009A2C0F" w:rsidP="00994F86">
      <w:pPr>
        <w:rPr>
          <w:rFonts w:cs="Arial"/>
          <w:szCs w:val="22"/>
        </w:rPr>
      </w:pPr>
      <w:r w:rsidRPr="006C5F24">
        <w:rPr>
          <w:rFonts w:cs="Arial"/>
          <w:szCs w:val="22"/>
        </w:rPr>
        <w:t>An examination of the long-term trend</w:t>
      </w:r>
      <w:r w:rsidR="0013209D" w:rsidRPr="006C5F24">
        <w:rPr>
          <w:rFonts w:cs="Arial"/>
          <w:szCs w:val="22"/>
        </w:rPr>
        <w:t xml:space="preserve"> in seagrass abundance</w:t>
      </w:r>
      <w:r w:rsidRPr="006C5F24">
        <w:rPr>
          <w:rFonts w:cs="Arial"/>
          <w:szCs w:val="22"/>
        </w:rPr>
        <w:t xml:space="preserve"> shows seagrass </w:t>
      </w:r>
      <w:r w:rsidR="00887319">
        <w:rPr>
          <w:rFonts w:cs="Arial"/>
          <w:szCs w:val="22"/>
        </w:rPr>
        <w:t xml:space="preserve">per cent </w:t>
      </w:r>
      <w:r w:rsidRPr="006C5F24">
        <w:rPr>
          <w:rFonts w:cs="Arial"/>
          <w:szCs w:val="22"/>
        </w:rPr>
        <w:t xml:space="preserve">cover progressively decreased </w:t>
      </w:r>
      <w:r w:rsidR="0013209D" w:rsidRPr="006C5F24">
        <w:rPr>
          <w:rFonts w:cs="Arial"/>
          <w:szCs w:val="22"/>
        </w:rPr>
        <w:t xml:space="preserve">at intertidal reef habitats across Cape York </w:t>
      </w:r>
      <w:r w:rsidRPr="006C5F24">
        <w:rPr>
          <w:rFonts w:cs="Arial"/>
          <w:szCs w:val="22"/>
        </w:rPr>
        <w:t xml:space="preserve">from 2003 to 2012, with relatively little improvement </w:t>
      </w:r>
      <w:r w:rsidR="00996D8E" w:rsidRPr="006C5F24">
        <w:rPr>
          <w:rFonts w:cs="Arial"/>
          <w:szCs w:val="22"/>
        </w:rPr>
        <w:t xml:space="preserve">since </w:t>
      </w:r>
      <w:r w:rsidR="0013209D" w:rsidRPr="006C5F24">
        <w:rPr>
          <w:rFonts w:cs="Arial"/>
          <w:szCs w:val="22"/>
        </w:rPr>
        <w:t xml:space="preserve">(i.e. no trend) </w:t>
      </w:r>
      <w:r w:rsidRPr="006C5F24">
        <w:rPr>
          <w:rFonts w:cs="Arial"/>
          <w:szCs w:val="22"/>
        </w:rPr>
        <w:t>(</w:t>
      </w:r>
      <w:r w:rsidRPr="006C5F24">
        <w:rPr>
          <w:rFonts w:cs="Arial"/>
          <w:szCs w:val="22"/>
        </w:rPr>
        <w:fldChar w:fldCharType="begin"/>
      </w:r>
      <w:r w:rsidRPr="006C5F24">
        <w:rPr>
          <w:rFonts w:cs="Arial"/>
          <w:szCs w:val="22"/>
        </w:rPr>
        <w:instrText xml:space="preserve"> REF _Ref533575354 \h  \* MERGEFORMAT </w:instrText>
      </w:r>
      <w:r w:rsidRPr="006C5F24">
        <w:rPr>
          <w:rFonts w:cs="Arial"/>
          <w:szCs w:val="22"/>
        </w:rPr>
      </w:r>
      <w:r w:rsidRPr="006C5F24">
        <w:rPr>
          <w:rFonts w:cs="Arial"/>
          <w:szCs w:val="22"/>
        </w:rPr>
        <w:fldChar w:fldCharType="separate"/>
      </w:r>
      <w:r w:rsidR="0067675D" w:rsidRPr="00FA314F">
        <w:rPr>
          <w:rFonts w:cs="Arial"/>
          <w:szCs w:val="22"/>
        </w:rPr>
        <w:t xml:space="preserve">Figure </w:t>
      </w:r>
      <w:r w:rsidR="0067675D">
        <w:rPr>
          <w:rFonts w:cs="Arial"/>
          <w:szCs w:val="22"/>
        </w:rPr>
        <w:t>29</w:t>
      </w:r>
      <w:r w:rsidRPr="006C5F24">
        <w:rPr>
          <w:rFonts w:cs="Arial"/>
          <w:szCs w:val="22"/>
        </w:rPr>
        <w:fldChar w:fldCharType="end"/>
      </w:r>
      <w:r w:rsidRPr="006C5F24">
        <w:rPr>
          <w:rFonts w:cs="Arial"/>
          <w:szCs w:val="22"/>
        </w:rPr>
        <w:t xml:space="preserve">, </w:t>
      </w:r>
      <w:r w:rsidRPr="006C5F24">
        <w:rPr>
          <w:rFonts w:cs="Arial"/>
          <w:szCs w:val="22"/>
        </w:rPr>
        <w:fldChar w:fldCharType="begin"/>
      </w:r>
      <w:r w:rsidRPr="006C5F24">
        <w:rPr>
          <w:rFonts w:cs="Arial"/>
          <w:szCs w:val="22"/>
        </w:rPr>
        <w:instrText xml:space="preserve"> REF _Ref511310045 \h  \* MERGEFORMAT </w:instrText>
      </w:r>
      <w:r w:rsidRPr="006C5F24">
        <w:rPr>
          <w:rFonts w:cs="Arial"/>
          <w:szCs w:val="22"/>
        </w:rPr>
      </w:r>
      <w:r w:rsidRPr="006C5F24">
        <w:rPr>
          <w:rFonts w:cs="Arial"/>
          <w:szCs w:val="22"/>
        </w:rPr>
        <w:fldChar w:fldCharType="separate"/>
      </w:r>
      <w:r w:rsidR="0067675D" w:rsidRPr="00867E8C">
        <w:rPr>
          <w:rFonts w:cs="Arial"/>
          <w:szCs w:val="22"/>
        </w:rPr>
        <w:t xml:space="preserve">Table </w:t>
      </w:r>
      <w:r w:rsidR="0067675D">
        <w:rPr>
          <w:rFonts w:cs="Arial"/>
          <w:szCs w:val="22"/>
        </w:rPr>
        <w:t>20</w:t>
      </w:r>
      <w:r w:rsidRPr="006C5F24">
        <w:rPr>
          <w:rFonts w:cs="Arial"/>
          <w:szCs w:val="22"/>
        </w:rPr>
        <w:fldChar w:fldCharType="end"/>
      </w:r>
      <w:r w:rsidRPr="006C5F24">
        <w:rPr>
          <w:rFonts w:cs="Arial"/>
          <w:szCs w:val="22"/>
        </w:rPr>
        <w:t>).</w:t>
      </w:r>
      <w:r w:rsidR="0013209D" w:rsidRPr="006C5F24">
        <w:rPr>
          <w:rFonts w:cs="Arial"/>
          <w:szCs w:val="22"/>
        </w:rPr>
        <w:t xml:space="preserve"> Coastal </w:t>
      </w:r>
      <w:r w:rsidR="007A70FE" w:rsidRPr="006C5F24">
        <w:rPr>
          <w:rFonts w:cs="Arial"/>
          <w:szCs w:val="22"/>
        </w:rPr>
        <w:t>intertidal</w:t>
      </w:r>
      <w:r w:rsidR="0013209D" w:rsidRPr="006C5F24">
        <w:rPr>
          <w:rFonts w:cs="Arial"/>
          <w:szCs w:val="22"/>
        </w:rPr>
        <w:t xml:space="preserve"> and subtidal habitats which have only been monitor</w:t>
      </w:r>
      <w:r w:rsidR="00DC02E6" w:rsidRPr="006C5F24">
        <w:rPr>
          <w:rFonts w:cs="Arial"/>
          <w:szCs w:val="22"/>
        </w:rPr>
        <w:t>ed</w:t>
      </w:r>
      <w:r w:rsidR="0013209D" w:rsidRPr="006C5F24">
        <w:rPr>
          <w:rFonts w:cs="Arial"/>
          <w:szCs w:val="22"/>
        </w:rPr>
        <w:t xml:space="preserve"> since 2012 and 2015 respectively, generally showed no trend (</w:t>
      </w:r>
      <w:r w:rsidR="0013209D" w:rsidRPr="006C5F24">
        <w:rPr>
          <w:rFonts w:cs="Arial"/>
          <w:szCs w:val="22"/>
        </w:rPr>
        <w:fldChar w:fldCharType="begin"/>
      </w:r>
      <w:r w:rsidR="0013209D" w:rsidRPr="006C5F24">
        <w:rPr>
          <w:rFonts w:cs="Arial"/>
          <w:szCs w:val="22"/>
        </w:rPr>
        <w:instrText xml:space="preserve"> REF _Ref533575354 \h  \* MERGEFORMAT </w:instrText>
      </w:r>
      <w:r w:rsidR="0013209D" w:rsidRPr="006C5F24">
        <w:rPr>
          <w:rFonts w:cs="Arial"/>
          <w:szCs w:val="22"/>
        </w:rPr>
      </w:r>
      <w:r w:rsidR="0013209D" w:rsidRPr="006C5F24">
        <w:rPr>
          <w:rFonts w:cs="Arial"/>
          <w:szCs w:val="22"/>
        </w:rPr>
        <w:fldChar w:fldCharType="separate"/>
      </w:r>
      <w:r w:rsidR="0067675D" w:rsidRPr="00FA314F">
        <w:rPr>
          <w:rFonts w:cs="Arial"/>
          <w:szCs w:val="22"/>
        </w:rPr>
        <w:t xml:space="preserve">Figure </w:t>
      </w:r>
      <w:r w:rsidR="0067675D">
        <w:rPr>
          <w:rFonts w:cs="Arial"/>
          <w:szCs w:val="22"/>
        </w:rPr>
        <w:t>29</w:t>
      </w:r>
      <w:r w:rsidR="0013209D" w:rsidRPr="006C5F24">
        <w:rPr>
          <w:rFonts w:cs="Arial"/>
          <w:szCs w:val="22"/>
        </w:rPr>
        <w:fldChar w:fldCharType="end"/>
      </w:r>
      <w:r w:rsidR="0013209D" w:rsidRPr="006C5F24">
        <w:rPr>
          <w:rFonts w:cs="Arial"/>
          <w:szCs w:val="22"/>
        </w:rPr>
        <w:t xml:space="preserve">, </w:t>
      </w:r>
      <w:r w:rsidR="0013209D" w:rsidRPr="006C5F24">
        <w:rPr>
          <w:rFonts w:cs="Arial"/>
          <w:szCs w:val="22"/>
        </w:rPr>
        <w:fldChar w:fldCharType="begin"/>
      </w:r>
      <w:r w:rsidR="0013209D" w:rsidRPr="006C5F24">
        <w:rPr>
          <w:rFonts w:cs="Arial"/>
          <w:szCs w:val="22"/>
        </w:rPr>
        <w:instrText xml:space="preserve"> REF _Ref511310045 \h  \* MERGEFORMAT </w:instrText>
      </w:r>
      <w:r w:rsidR="0013209D" w:rsidRPr="006C5F24">
        <w:rPr>
          <w:rFonts w:cs="Arial"/>
          <w:szCs w:val="22"/>
        </w:rPr>
      </w:r>
      <w:r w:rsidR="0013209D" w:rsidRPr="006C5F24">
        <w:rPr>
          <w:rFonts w:cs="Arial"/>
          <w:szCs w:val="22"/>
        </w:rPr>
        <w:fldChar w:fldCharType="separate"/>
      </w:r>
      <w:r w:rsidR="0067675D" w:rsidRPr="00867E8C">
        <w:rPr>
          <w:rFonts w:cs="Arial"/>
          <w:szCs w:val="22"/>
        </w:rPr>
        <w:t xml:space="preserve">Table </w:t>
      </w:r>
      <w:r w:rsidR="0067675D">
        <w:rPr>
          <w:rFonts w:cs="Arial"/>
          <w:szCs w:val="22"/>
        </w:rPr>
        <w:t>20</w:t>
      </w:r>
      <w:r w:rsidR="0013209D" w:rsidRPr="006C5F24">
        <w:rPr>
          <w:rFonts w:cs="Arial"/>
          <w:szCs w:val="22"/>
        </w:rPr>
        <w:fldChar w:fldCharType="end"/>
      </w:r>
      <w:r w:rsidR="0013209D" w:rsidRPr="006C5F24">
        <w:rPr>
          <w:rFonts w:cs="Arial"/>
          <w:szCs w:val="22"/>
        </w:rPr>
        <w:t>).</w:t>
      </w:r>
    </w:p>
    <w:p w14:paraId="780C12AA" w14:textId="6E3CB112" w:rsidR="00753209" w:rsidRPr="00FA314F" w:rsidRDefault="00870D19" w:rsidP="00B53E38">
      <w:pPr>
        <w:keepNext/>
        <w:rPr>
          <w:rFonts w:cs="Arial"/>
          <w:szCs w:val="22"/>
        </w:rPr>
      </w:pPr>
      <w:r w:rsidRPr="00FA314F">
        <w:rPr>
          <w:rFonts w:cs="Arial"/>
          <w:noProof/>
          <w:szCs w:val="22"/>
          <w:lang w:eastAsia="en-AU"/>
        </w:rPr>
        <w:drawing>
          <wp:inline distT="0" distB="0" distL="0" distR="0" wp14:anchorId="1AC93F32" wp14:editId="0F98593A">
            <wp:extent cx="5727700" cy="2903351"/>
            <wp:effectExtent l="0" t="0" r="6350" b="0"/>
            <wp:docPr id="26" name="Picture 26" descr="Panel of six graphs, displayed in three by two matrix, showing seagrass percent cover measures per quadrat (sites pooled) for each habitat monitored from June 2005 to May 2019 in the Cape York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er MMP_period boxplot_CY_perHab_newformat-01.png"/>
                    <pic:cNvPicPr/>
                  </pic:nvPicPr>
                  <pic:blipFill>
                    <a:blip r:embed="rId82"/>
                    <a:stretch>
                      <a:fillRect/>
                    </a:stretch>
                  </pic:blipFill>
                  <pic:spPr>
                    <a:xfrm>
                      <a:off x="0" y="0"/>
                      <a:ext cx="5727700" cy="2903351"/>
                    </a:xfrm>
                    <a:prstGeom prst="rect">
                      <a:avLst/>
                    </a:prstGeom>
                  </pic:spPr>
                </pic:pic>
              </a:graphicData>
            </a:graphic>
          </wp:inline>
        </w:drawing>
      </w:r>
    </w:p>
    <w:p w14:paraId="563F3EDC" w14:textId="489050FB" w:rsidR="00870D19" w:rsidRPr="00FA314F" w:rsidRDefault="00870D19" w:rsidP="00870D19">
      <w:pPr>
        <w:rPr>
          <w:rFonts w:cs="Arial"/>
          <w:i/>
          <w:vanish/>
          <w:szCs w:val="22"/>
          <w:specVanish/>
        </w:rPr>
      </w:pPr>
      <w:bookmarkStart w:id="294" w:name="_Ref533575354"/>
      <w:bookmarkStart w:id="295" w:name="_Toc38634133"/>
      <w:r w:rsidRPr="00FA314F">
        <w:rPr>
          <w:rFonts w:cs="Arial"/>
          <w:szCs w:val="22"/>
        </w:rPr>
        <w:t xml:space="preserve">Figure </w:t>
      </w:r>
      <w:r w:rsidR="00DC649E" w:rsidRPr="00FA314F">
        <w:rPr>
          <w:rFonts w:cs="Arial"/>
          <w:noProof/>
          <w:szCs w:val="22"/>
        </w:rPr>
        <w:fldChar w:fldCharType="begin"/>
      </w:r>
      <w:r w:rsidR="00DC649E" w:rsidRPr="00FA314F">
        <w:rPr>
          <w:rFonts w:cs="Arial"/>
          <w:noProof/>
          <w:szCs w:val="22"/>
        </w:rPr>
        <w:instrText xml:space="preserve"> SEQ Figure \* ARABIC </w:instrText>
      </w:r>
      <w:r w:rsidR="00DC649E" w:rsidRPr="00FA314F">
        <w:rPr>
          <w:rFonts w:cs="Arial"/>
          <w:noProof/>
          <w:szCs w:val="22"/>
        </w:rPr>
        <w:fldChar w:fldCharType="separate"/>
      </w:r>
      <w:r w:rsidR="0067675D">
        <w:rPr>
          <w:rFonts w:cs="Arial"/>
          <w:noProof/>
          <w:szCs w:val="22"/>
        </w:rPr>
        <w:t>29</w:t>
      </w:r>
      <w:r w:rsidR="00DC649E" w:rsidRPr="00FA314F">
        <w:rPr>
          <w:rFonts w:cs="Arial"/>
          <w:noProof/>
          <w:szCs w:val="22"/>
        </w:rPr>
        <w:fldChar w:fldCharType="end"/>
      </w:r>
      <w:bookmarkEnd w:id="294"/>
      <w:r w:rsidRPr="00FA314F">
        <w:rPr>
          <w:rFonts w:cs="Arial"/>
          <w:szCs w:val="22"/>
        </w:rPr>
        <w:t xml:space="preserve">. </w:t>
      </w:r>
      <w:r w:rsidRPr="00FA314F">
        <w:rPr>
          <w:rFonts w:cs="Arial"/>
          <w:i/>
          <w:szCs w:val="22"/>
        </w:rPr>
        <w:t xml:space="preserve">Seagrass </w:t>
      </w:r>
      <w:r w:rsidR="00887319">
        <w:rPr>
          <w:rFonts w:cs="Arial"/>
          <w:i/>
          <w:szCs w:val="22"/>
        </w:rPr>
        <w:t xml:space="preserve">per cent </w:t>
      </w:r>
      <w:r w:rsidRPr="00FA314F">
        <w:rPr>
          <w:rFonts w:cs="Arial"/>
          <w:i/>
          <w:szCs w:val="22"/>
        </w:rPr>
        <w:t>cover measures per quadrat</w:t>
      </w:r>
      <w:r w:rsidR="009F0873" w:rsidRPr="00FA314F">
        <w:rPr>
          <w:rFonts w:cs="Arial"/>
          <w:i/>
          <w:szCs w:val="22"/>
        </w:rPr>
        <w:t xml:space="preserve"> (sites pooled) and long-term trends for each habitat </w:t>
      </w:r>
      <w:r w:rsidRPr="00FA314F">
        <w:rPr>
          <w:rFonts w:cs="Arial"/>
          <w:i/>
          <w:szCs w:val="22"/>
        </w:rPr>
        <w:t xml:space="preserve">monitored </w:t>
      </w:r>
      <w:r w:rsidR="00764F32" w:rsidRPr="00FA314F">
        <w:rPr>
          <w:rFonts w:cs="Arial"/>
          <w:i/>
          <w:szCs w:val="22"/>
        </w:rPr>
        <w:t xml:space="preserve">in the Cape York region </w:t>
      </w:r>
      <w:r w:rsidRPr="00FA314F">
        <w:rPr>
          <w:rFonts w:cs="Arial"/>
          <w:i/>
          <w:szCs w:val="22"/>
        </w:rPr>
        <w:t xml:space="preserve">from June </w:t>
      </w:r>
      <w:r w:rsidRPr="00FA314F">
        <w:rPr>
          <w:rFonts w:cs="Arial"/>
          <w:i/>
          <w:szCs w:val="22"/>
        </w:rPr>
        <w:lastRenderedPageBreak/>
        <w:t>2005 to May 201</w:t>
      </w:r>
      <w:r w:rsidR="006D1121" w:rsidRPr="00FA314F">
        <w:rPr>
          <w:rFonts w:cs="Arial"/>
          <w:i/>
          <w:szCs w:val="22"/>
        </w:rPr>
        <w:t>9</w:t>
      </w:r>
      <w:r w:rsidRPr="00FA314F">
        <w:rPr>
          <w:rFonts w:cs="Arial"/>
          <w:i/>
          <w:szCs w:val="22"/>
        </w:rPr>
        <w:t>.</w:t>
      </w:r>
      <w:bookmarkEnd w:id="295"/>
    </w:p>
    <w:p w14:paraId="2961E106" w14:textId="71298EDD" w:rsidR="00870D19" w:rsidRPr="00FA314F" w:rsidRDefault="00870D19" w:rsidP="00870D19">
      <w:pPr>
        <w:rPr>
          <w:rFonts w:cs="Arial"/>
          <w:szCs w:val="22"/>
          <w:lang w:val="en-GB"/>
        </w:rPr>
      </w:pPr>
      <w:r w:rsidRPr="00FA314F">
        <w:rPr>
          <w:rFonts w:cs="Arial"/>
          <w:i/>
          <w:szCs w:val="22"/>
          <w:lang w:val="en-GB"/>
        </w:rPr>
        <w:t xml:space="preserve"> </w:t>
      </w:r>
      <w:r w:rsidR="009F0873" w:rsidRPr="00FA314F">
        <w:rPr>
          <w:rFonts w:cs="Arial"/>
          <w:i/>
          <w:szCs w:val="22"/>
          <w:lang w:val="en-GB"/>
        </w:rPr>
        <w:t>Whisker plots (top) show th</w:t>
      </w:r>
      <w:r w:rsidRPr="00FA314F">
        <w:rPr>
          <w:rFonts w:cs="Arial"/>
          <w:i/>
          <w:szCs w:val="22"/>
        </w:rPr>
        <w:t>e box represent</w:t>
      </w:r>
      <w:r w:rsidR="009F0873" w:rsidRPr="00FA314F">
        <w:rPr>
          <w:rFonts w:cs="Arial"/>
          <w:i/>
          <w:szCs w:val="22"/>
        </w:rPr>
        <w:t>ing</w:t>
      </w:r>
      <w:r w:rsidRPr="00FA314F">
        <w:rPr>
          <w:rFonts w:cs="Arial"/>
          <w:i/>
          <w:szCs w:val="22"/>
        </w:rPr>
        <w:t xml:space="preserve"> the interquartile range of values, where the boundary of the box closest to zero indicates the 25</w:t>
      </w:r>
      <w:r w:rsidRPr="00FA314F">
        <w:rPr>
          <w:rFonts w:cs="Arial"/>
          <w:i/>
          <w:szCs w:val="22"/>
          <w:vertAlign w:val="superscript"/>
        </w:rPr>
        <w:t>th</w:t>
      </w:r>
      <w:r w:rsidRPr="00FA314F">
        <w:rPr>
          <w:rFonts w:cs="Arial"/>
          <w:i/>
          <w:szCs w:val="22"/>
        </w:rPr>
        <w:t xml:space="preserve"> percentile, a line within the box marks the median, and the boundary of the box farthest from zero indicates the 75</w:t>
      </w:r>
      <w:r w:rsidRPr="00FA314F">
        <w:rPr>
          <w:rFonts w:cs="Arial"/>
          <w:i/>
          <w:szCs w:val="22"/>
          <w:vertAlign w:val="superscript"/>
        </w:rPr>
        <w:t>th</w:t>
      </w:r>
      <w:r w:rsidRPr="00FA314F">
        <w:rPr>
          <w:rFonts w:cs="Arial"/>
          <w:i/>
          <w:szCs w:val="22"/>
        </w:rPr>
        <w:t xml:space="preserve"> percentile. Whiskers (error bars) above and below the box indicate the 90</w:t>
      </w:r>
      <w:r w:rsidRPr="00FA314F">
        <w:rPr>
          <w:rFonts w:cs="Arial"/>
          <w:i/>
          <w:szCs w:val="22"/>
          <w:vertAlign w:val="superscript"/>
        </w:rPr>
        <w:t>th</w:t>
      </w:r>
      <w:r w:rsidRPr="00FA314F">
        <w:rPr>
          <w:rFonts w:cs="Arial"/>
          <w:i/>
          <w:szCs w:val="22"/>
        </w:rPr>
        <w:t xml:space="preserve"> and 10</w:t>
      </w:r>
      <w:r w:rsidRPr="00FA314F">
        <w:rPr>
          <w:rFonts w:cs="Arial"/>
          <w:i/>
          <w:szCs w:val="22"/>
          <w:vertAlign w:val="superscript"/>
        </w:rPr>
        <w:t>th</w:t>
      </w:r>
      <w:r w:rsidRPr="00FA314F">
        <w:rPr>
          <w:rFonts w:cs="Arial"/>
          <w:i/>
          <w:szCs w:val="22"/>
        </w:rPr>
        <w:t xml:space="preserve"> percentiles, and the dots represent outlying points.</w:t>
      </w:r>
      <w:r w:rsidRPr="00FA314F">
        <w:rPr>
          <w:rFonts w:cs="Arial"/>
          <w:i/>
          <w:szCs w:val="22"/>
          <w:lang w:val="en-GB"/>
        </w:rPr>
        <w:t xml:space="preserve"> </w:t>
      </w:r>
      <w:r w:rsidRPr="00FA314F">
        <w:rPr>
          <w:rFonts w:cs="Arial"/>
          <w:i/>
          <w:szCs w:val="22"/>
        </w:rPr>
        <w:t>G</w:t>
      </w:r>
      <w:r w:rsidR="00764F32" w:rsidRPr="00FA314F">
        <w:rPr>
          <w:rFonts w:cs="Arial"/>
          <w:i/>
          <w:szCs w:val="22"/>
        </w:rPr>
        <w:t>AMM</w:t>
      </w:r>
      <w:r w:rsidRPr="00FA314F">
        <w:rPr>
          <w:rFonts w:cs="Arial"/>
          <w:i/>
          <w:szCs w:val="22"/>
        </w:rPr>
        <w:t xml:space="preserve"> plots (bottom), show trends for each </w:t>
      </w:r>
      <w:r w:rsidR="009F0873" w:rsidRPr="00FA314F">
        <w:rPr>
          <w:rFonts w:cs="Arial"/>
          <w:i/>
          <w:szCs w:val="22"/>
        </w:rPr>
        <w:t>habitat and coloured lines represent individual site trends</w:t>
      </w:r>
      <w:r w:rsidRPr="00FA314F">
        <w:rPr>
          <w:rFonts w:cs="Arial"/>
          <w:i/>
          <w:szCs w:val="22"/>
        </w:rPr>
        <w:t>.</w:t>
      </w:r>
    </w:p>
    <w:p w14:paraId="44144680" w14:textId="77777777" w:rsidR="00753209" w:rsidRPr="00FA314F" w:rsidRDefault="00753209" w:rsidP="00AB14DE">
      <w:pPr>
        <w:rPr>
          <w:rFonts w:cs="Arial"/>
          <w:szCs w:val="22"/>
        </w:rPr>
      </w:pPr>
    </w:p>
    <w:p w14:paraId="13A31C01" w14:textId="043BB4BA" w:rsidR="00BC524E" w:rsidRPr="00FA314F" w:rsidRDefault="00FA1D07" w:rsidP="00AB14DE">
      <w:pPr>
        <w:rPr>
          <w:rFonts w:cs="Arial"/>
          <w:color w:val="000000" w:themeColor="text1"/>
          <w:szCs w:val="22"/>
        </w:rPr>
      </w:pPr>
      <w:r w:rsidRPr="00FA314F">
        <w:rPr>
          <w:rFonts w:cs="Arial"/>
          <w:color w:val="000000" w:themeColor="text1"/>
          <w:szCs w:val="22"/>
        </w:rPr>
        <w:t xml:space="preserve">In </w:t>
      </w:r>
      <w:r w:rsidR="00956639" w:rsidRPr="00FA314F">
        <w:rPr>
          <w:rFonts w:cs="Arial"/>
          <w:color w:val="000000" w:themeColor="text1"/>
          <w:szCs w:val="22"/>
        </w:rPr>
        <w:t>2018–19</w:t>
      </w:r>
      <w:r w:rsidRPr="00FA314F">
        <w:rPr>
          <w:rFonts w:cs="Arial"/>
          <w:color w:val="000000" w:themeColor="text1"/>
          <w:szCs w:val="22"/>
        </w:rPr>
        <w:t>, intertidal coastal s</w:t>
      </w:r>
      <w:r w:rsidR="003611ED" w:rsidRPr="00FA314F">
        <w:rPr>
          <w:rFonts w:cs="Arial"/>
          <w:color w:val="000000" w:themeColor="text1"/>
          <w:szCs w:val="22"/>
        </w:rPr>
        <w:t xml:space="preserve">eagrass </w:t>
      </w:r>
      <w:r w:rsidRPr="00FA314F">
        <w:rPr>
          <w:rFonts w:cs="Arial"/>
          <w:color w:val="000000" w:themeColor="text1"/>
          <w:szCs w:val="22"/>
        </w:rPr>
        <w:t>habitats</w:t>
      </w:r>
      <w:r w:rsidR="003611ED" w:rsidRPr="00FA314F">
        <w:rPr>
          <w:rFonts w:cs="Arial"/>
          <w:color w:val="000000" w:themeColor="text1"/>
          <w:szCs w:val="22"/>
        </w:rPr>
        <w:t xml:space="preserve"> in the Cape York NRM region were composed of </w:t>
      </w:r>
      <w:r w:rsidR="00DC02E6" w:rsidRPr="00FA314F">
        <w:rPr>
          <w:rFonts w:cs="Arial"/>
          <w:color w:val="000000" w:themeColor="text1"/>
          <w:szCs w:val="22"/>
        </w:rPr>
        <w:t xml:space="preserve">species displaying colonising traits at a </w:t>
      </w:r>
      <w:r w:rsidR="00996D8E" w:rsidRPr="00FA314F">
        <w:rPr>
          <w:rFonts w:cs="Arial"/>
          <w:color w:val="000000" w:themeColor="text1"/>
          <w:szCs w:val="22"/>
        </w:rPr>
        <w:t>Reef</w:t>
      </w:r>
      <w:r w:rsidRPr="00FA314F">
        <w:rPr>
          <w:rFonts w:cs="Arial"/>
          <w:color w:val="000000" w:themeColor="text1"/>
          <w:szCs w:val="22"/>
        </w:rPr>
        <w:t>-</w:t>
      </w:r>
      <w:r w:rsidR="003611ED" w:rsidRPr="00FA314F">
        <w:rPr>
          <w:rFonts w:cs="Arial"/>
          <w:color w:val="000000" w:themeColor="text1"/>
          <w:szCs w:val="22"/>
        </w:rPr>
        <w:t xml:space="preserve">average </w:t>
      </w:r>
      <w:r w:rsidR="00DC02E6" w:rsidRPr="00FA314F">
        <w:rPr>
          <w:rFonts w:cs="Arial"/>
          <w:color w:val="000000" w:themeColor="text1"/>
          <w:szCs w:val="22"/>
        </w:rPr>
        <w:t>level</w:t>
      </w:r>
      <w:r w:rsidR="003611ED" w:rsidRPr="00FA314F">
        <w:rPr>
          <w:rFonts w:cs="Arial"/>
          <w:color w:val="000000" w:themeColor="text1"/>
          <w:szCs w:val="22"/>
        </w:rPr>
        <w:t xml:space="preserve"> (</w:t>
      </w:r>
      <w:r w:rsidR="00870D19" w:rsidRPr="00FA314F">
        <w:rPr>
          <w:rFonts w:cs="Arial"/>
          <w:color w:val="000000" w:themeColor="text1"/>
          <w:szCs w:val="22"/>
        </w:rPr>
        <w:fldChar w:fldCharType="begin"/>
      </w:r>
      <w:r w:rsidR="00870D19" w:rsidRPr="00FA314F">
        <w:rPr>
          <w:rFonts w:cs="Arial"/>
          <w:color w:val="000000" w:themeColor="text1"/>
          <w:szCs w:val="22"/>
        </w:rPr>
        <w:instrText xml:space="preserve"> REF _Ref442426453 \h  \* MERGEFORMAT </w:instrText>
      </w:r>
      <w:r w:rsidR="00870D19" w:rsidRPr="00FA314F">
        <w:rPr>
          <w:rFonts w:cs="Arial"/>
          <w:color w:val="000000" w:themeColor="text1"/>
          <w:szCs w:val="22"/>
        </w:rPr>
      </w:r>
      <w:r w:rsidR="00870D19" w:rsidRPr="00FA314F">
        <w:rPr>
          <w:rFonts w:cs="Arial"/>
          <w:color w:val="000000" w:themeColor="text1"/>
          <w:szCs w:val="22"/>
        </w:rPr>
        <w:fldChar w:fldCharType="separate"/>
      </w:r>
      <w:r w:rsidR="0067675D" w:rsidRPr="00FA314F">
        <w:rPr>
          <w:rFonts w:cs="Arial"/>
          <w:szCs w:val="22"/>
        </w:rPr>
        <w:t xml:space="preserve">Figure </w:t>
      </w:r>
      <w:r w:rsidR="0067675D">
        <w:rPr>
          <w:rFonts w:cs="Arial"/>
          <w:noProof/>
          <w:szCs w:val="22"/>
        </w:rPr>
        <w:t>30</w:t>
      </w:r>
      <w:r w:rsidR="00870D19" w:rsidRPr="00FA314F">
        <w:rPr>
          <w:rFonts w:cs="Arial"/>
          <w:color w:val="000000" w:themeColor="text1"/>
          <w:szCs w:val="22"/>
        </w:rPr>
        <w:fldChar w:fldCharType="end"/>
      </w:r>
      <w:r w:rsidR="00870D19" w:rsidRPr="00FA314F">
        <w:rPr>
          <w:rFonts w:cs="Arial"/>
          <w:color w:val="000000" w:themeColor="text1"/>
          <w:szCs w:val="22"/>
        </w:rPr>
        <w:t>)</w:t>
      </w:r>
      <w:r w:rsidR="003611ED" w:rsidRPr="00FA314F">
        <w:rPr>
          <w:rFonts w:cs="Arial"/>
          <w:color w:val="000000" w:themeColor="text1"/>
          <w:szCs w:val="22"/>
        </w:rPr>
        <w:t xml:space="preserve">. </w:t>
      </w:r>
      <w:r w:rsidRPr="00FA314F">
        <w:rPr>
          <w:rFonts w:cs="Arial"/>
          <w:color w:val="000000" w:themeColor="text1"/>
          <w:szCs w:val="22"/>
        </w:rPr>
        <w:t xml:space="preserve">Subtidal </w:t>
      </w:r>
      <w:r w:rsidR="00DC02E6" w:rsidRPr="00FA314F">
        <w:rPr>
          <w:rFonts w:cs="Arial"/>
          <w:color w:val="000000" w:themeColor="text1"/>
          <w:szCs w:val="22"/>
        </w:rPr>
        <w:t xml:space="preserve">reef </w:t>
      </w:r>
      <w:r w:rsidRPr="00FA314F">
        <w:rPr>
          <w:rFonts w:cs="Arial"/>
          <w:color w:val="000000" w:themeColor="text1"/>
          <w:szCs w:val="22"/>
        </w:rPr>
        <w:t xml:space="preserve">habitats increased their composition of </w:t>
      </w:r>
      <w:r w:rsidR="00DC02E6" w:rsidRPr="00FA314F">
        <w:rPr>
          <w:rFonts w:cs="Arial"/>
          <w:color w:val="000000" w:themeColor="text1"/>
          <w:szCs w:val="22"/>
        </w:rPr>
        <w:t xml:space="preserve">colonising </w:t>
      </w:r>
      <w:r w:rsidRPr="00FA314F">
        <w:rPr>
          <w:rFonts w:cs="Arial"/>
          <w:color w:val="000000" w:themeColor="text1"/>
          <w:szCs w:val="22"/>
        </w:rPr>
        <w:t xml:space="preserve">species from the previous monitoring period; </w:t>
      </w:r>
      <w:r w:rsidR="005B1F00" w:rsidRPr="00FA314F">
        <w:rPr>
          <w:rFonts w:cs="Arial"/>
          <w:color w:val="000000" w:themeColor="text1"/>
          <w:szCs w:val="22"/>
        </w:rPr>
        <w:t>conversely,</w:t>
      </w:r>
      <w:r w:rsidRPr="00FA314F">
        <w:rPr>
          <w:rFonts w:cs="Arial"/>
          <w:color w:val="000000" w:themeColor="text1"/>
          <w:szCs w:val="22"/>
        </w:rPr>
        <w:t xml:space="preserve"> intertidal </w:t>
      </w:r>
      <w:r w:rsidR="00DC02E6" w:rsidRPr="00FA314F">
        <w:rPr>
          <w:rFonts w:cs="Arial"/>
          <w:color w:val="000000" w:themeColor="text1"/>
          <w:szCs w:val="22"/>
        </w:rPr>
        <w:t xml:space="preserve">reef </w:t>
      </w:r>
      <w:r w:rsidRPr="00FA314F">
        <w:rPr>
          <w:rFonts w:cs="Arial"/>
          <w:color w:val="000000" w:themeColor="text1"/>
          <w:szCs w:val="22"/>
        </w:rPr>
        <w:t xml:space="preserve">habitats </w:t>
      </w:r>
      <w:r w:rsidR="00DC02E6" w:rsidRPr="00FA314F">
        <w:rPr>
          <w:rFonts w:cs="Arial"/>
          <w:color w:val="000000" w:themeColor="text1"/>
          <w:szCs w:val="22"/>
        </w:rPr>
        <w:t>reduced</w:t>
      </w:r>
      <w:r w:rsidRPr="00FA314F">
        <w:rPr>
          <w:rFonts w:cs="Arial"/>
          <w:color w:val="000000" w:themeColor="text1"/>
          <w:szCs w:val="22"/>
        </w:rPr>
        <w:t xml:space="preserve"> in composition of species displaying colonising traits (</w:t>
      </w:r>
      <w:r w:rsidRPr="00FA314F">
        <w:rPr>
          <w:rFonts w:cs="Arial"/>
          <w:color w:val="000000" w:themeColor="text1"/>
          <w:szCs w:val="22"/>
        </w:rPr>
        <w:fldChar w:fldCharType="begin"/>
      </w:r>
      <w:r w:rsidRPr="00FA314F">
        <w:rPr>
          <w:rFonts w:cs="Arial"/>
          <w:color w:val="000000" w:themeColor="text1"/>
          <w:szCs w:val="22"/>
        </w:rPr>
        <w:instrText xml:space="preserve"> REF _Ref442426453 \h  \* MERGEFORMAT </w:instrText>
      </w:r>
      <w:r w:rsidRPr="00FA314F">
        <w:rPr>
          <w:rFonts w:cs="Arial"/>
          <w:color w:val="000000" w:themeColor="text1"/>
          <w:szCs w:val="22"/>
        </w:rPr>
      </w:r>
      <w:r w:rsidRPr="00FA314F">
        <w:rPr>
          <w:rFonts w:cs="Arial"/>
          <w:color w:val="000000" w:themeColor="text1"/>
          <w:szCs w:val="22"/>
        </w:rPr>
        <w:fldChar w:fldCharType="separate"/>
      </w:r>
      <w:r w:rsidR="0067675D" w:rsidRPr="00FA314F">
        <w:rPr>
          <w:rFonts w:cs="Arial"/>
          <w:szCs w:val="22"/>
        </w:rPr>
        <w:t xml:space="preserve">Figure </w:t>
      </w:r>
      <w:r w:rsidR="0067675D">
        <w:rPr>
          <w:rFonts w:cs="Arial"/>
          <w:noProof/>
          <w:szCs w:val="22"/>
        </w:rPr>
        <w:t>30</w:t>
      </w:r>
      <w:r w:rsidRPr="00FA314F">
        <w:rPr>
          <w:rFonts w:cs="Arial"/>
          <w:color w:val="000000" w:themeColor="text1"/>
          <w:szCs w:val="22"/>
        </w:rPr>
        <w:fldChar w:fldCharType="end"/>
      </w:r>
      <w:r w:rsidRPr="00FA314F">
        <w:rPr>
          <w:rFonts w:cs="Arial"/>
          <w:color w:val="000000" w:themeColor="text1"/>
          <w:szCs w:val="22"/>
        </w:rPr>
        <w:t xml:space="preserve">). </w:t>
      </w:r>
    </w:p>
    <w:p w14:paraId="73760D54" w14:textId="77777777" w:rsidR="003611ED" w:rsidRPr="00FA314F" w:rsidRDefault="00DC7715" w:rsidP="00994F86">
      <w:pPr>
        <w:keepNext/>
        <w:widowControl w:val="0"/>
        <w:jc w:val="center"/>
        <w:rPr>
          <w:rFonts w:cs="Arial"/>
          <w:color w:val="000000"/>
          <w:szCs w:val="22"/>
          <w:lang w:val="en-GB"/>
        </w:rPr>
      </w:pPr>
      <w:r w:rsidRPr="00FA314F">
        <w:rPr>
          <w:rFonts w:cs="Arial"/>
          <w:noProof/>
          <w:color w:val="000000"/>
          <w:szCs w:val="22"/>
          <w:lang w:eastAsia="en-AU"/>
        </w:rPr>
        <w:drawing>
          <wp:inline distT="0" distB="0" distL="0" distR="0" wp14:anchorId="747EA951" wp14:editId="55F66A31">
            <wp:extent cx="5501404" cy="1500954"/>
            <wp:effectExtent l="0" t="0" r="4445" b="4445"/>
            <wp:docPr id="311" name="Picture 311" descr="Panel of five graphs showing proportion of total seagrass abundance composed of species displaying colonising traits (e.g. Halophila ovalis) in each inshore seagrass habitat (sites pooled) in the Cape York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CY_colonising_2016.png"/>
                    <pic:cNvPicPr/>
                  </pic:nvPicPr>
                  <pic:blipFill>
                    <a:blip r:embed="rId83"/>
                    <a:stretch>
                      <a:fillRect/>
                    </a:stretch>
                  </pic:blipFill>
                  <pic:spPr>
                    <a:xfrm>
                      <a:off x="0" y="0"/>
                      <a:ext cx="5501404" cy="1500954"/>
                    </a:xfrm>
                    <a:prstGeom prst="rect">
                      <a:avLst/>
                    </a:prstGeom>
                  </pic:spPr>
                </pic:pic>
              </a:graphicData>
            </a:graphic>
          </wp:inline>
        </w:drawing>
      </w:r>
    </w:p>
    <w:p w14:paraId="34A7FEDC" w14:textId="50816E8A" w:rsidR="0015251F" w:rsidRPr="00FA314F" w:rsidRDefault="003611ED" w:rsidP="0015251F">
      <w:pPr>
        <w:rPr>
          <w:rFonts w:cs="Arial"/>
          <w:i/>
          <w:vanish/>
          <w:szCs w:val="22"/>
          <w:specVanish/>
        </w:rPr>
      </w:pPr>
      <w:bookmarkStart w:id="296" w:name="_Ref442426453"/>
      <w:bookmarkStart w:id="297" w:name="_Toc38634134"/>
      <w:r w:rsidRPr="00FA314F">
        <w:rPr>
          <w:rFonts w:cs="Arial"/>
          <w:szCs w:val="22"/>
        </w:rPr>
        <w:t xml:space="preserve">Figure </w:t>
      </w:r>
      <w:r w:rsidR="0073595B" w:rsidRPr="00FA314F">
        <w:rPr>
          <w:rFonts w:cs="Arial"/>
          <w:szCs w:val="22"/>
        </w:rPr>
        <w:fldChar w:fldCharType="begin"/>
      </w:r>
      <w:r w:rsidR="0073595B" w:rsidRPr="00FA314F">
        <w:rPr>
          <w:rFonts w:cs="Arial"/>
          <w:szCs w:val="22"/>
        </w:rPr>
        <w:instrText xml:space="preserve"> SEQ Figure \* ARABIC </w:instrText>
      </w:r>
      <w:r w:rsidR="0073595B" w:rsidRPr="00FA314F">
        <w:rPr>
          <w:rFonts w:cs="Arial"/>
          <w:szCs w:val="22"/>
        </w:rPr>
        <w:fldChar w:fldCharType="separate"/>
      </w:r>
      <w:r w:rsidR="0067675D">
        <w:rPr>
          <w:rFonts w:cs="Arial"/>
          <w:noProof/>
          <w:szCs w:val="22"/>
        </w:rPr>
        <w:t>30</w:t>
      </w:r>
      <w:r w:rsidR="0073595B" w:rsidRPr="00FA314F">
        <w:rPr>
          <w:rFonts w:cs="Arial"/>
          <w:szCs w:val="22"/>
        </w:rPr>
        <w:fldChar w:fldCharType="end"/>
      </w:r>
      <w:bookmarkEnd w:id="296"/>
      <w:r w:rsidRPr="00FA314F">
        <w:rPr>
          <w:rFonts w:cs="Arial"/>
          <w:szCs w:val="22"/>
        </w:rPr>
        <w:t xml:space="preserve">. </w:t>
      </w:r>
      <w:r w:rsidRPr="00FA314F">
        <w:rPr>
          <w:rFonts w:cs="Arial"/>
          <w:i/>
          <w:szCs w:val="22"/>
        </w:rPr>
        <w:t xml:space="preserve">Proportion of seagrass abundance composed of </w:t>
      </w:r>
      <w:r w:rsidRPr="00FA314F">
        <w:rPr>
          <w:rFonts w:cs="Arial"/>
          <w:i/>
          <w:szCs w:val="22"/>
          <w:lang w:val="en-GB"/>
        </w:rPr>
        <w:t xml:space="preserve">species </w:t>
      </w:r>
      <w:r w:rsidR="005E74A3" w:rsidRPr="00FA314F">
        <w:rPr>
          <w:rFonts w:cs="Arial"/>
          <w:i/>
          <w:szCs w:val="22"/>
          <w:lang w:val="en-GB"/>
        </w:rPr>
        <w:t xml:space="preserve">displaying </w:t>
      </w:r>
      <w:r w:rsidR="005E74A3" w:rsidRPr="00FA314F">
        <w:rPr>
          <w:rFonts w:cs="Arial"/>
          <w:i/>
          <w:szCs w:val="22"/>
        </w:rPr>
        <w:t>colonising</w:t>
      </w:r>
      <w:r w:rsidR="005E74A3" w:rsidRPr="00FA314F">
        <w:rPr>
          <w:rFonts w:cs="Arial"/>
          <w:i/>
          <w:szCs w:val="22"/>
          <w:lang w:val="en-GB"/>
        </w:rPr>
        <w:t xml:space="preserve"> traits </w:t>
      </w:r>
      <w:r w:rsidRPr="00FA314F">
        <w:rPr>
          <w:rFonts w:cs="Arial"/>
          <w:i/>
          <w:szCs w:val="22"/>
          <w:lang w:val="en-GB"/>
        </w:rPr>
        <w:t>at inshore habitats in the Cape York region</w:t>
      </w:r>
      <w:bookmarkEnd w:id="297"/>
    </w:p>
    <w:p w14:paraId="113CB511" w14:textId="7D4D9322" w:rsidR="00AB14DE" w:rsidRPr="00FA314F" w:rsidRDefault="0015251F" w:rsidP="00AB14DE">
      <w:pPr>
        <w:rPr>
          <w:rFonts w:cs="Arial"/>
          <w:color w:val="000000" w:themeColor="text1"/>
          <w:szCs w:val="22"/>
        </w:rPr>
      </w:pPr>
      <w:r w:rsidRPr="00FA314F">
        <w:rPr>
          <w:rFonts w:cs="Arial"/>
          <w:i/>
          <w:szCs w:val="22"/>
        </w:rPr>
        <w:t>.</w:t>
      </w:r>
      <w:r w:rsidR="003611ED" w:rsidRPr="00FA314F">
        <w:rPr>
          <w:rFonts w:cs="Arial"/>
          <w:i/>
          <w:vanish/>
          <w:szCs w:val="22"/>
          <w:lang w:val="en-GB"/>
          <w:specVanish/>
        </w:rPr>
        <w:t xml:space="preserve"> </w:t>
      </w:r>
      <w:r w:rsidR="005E74A3" w:rsidRPr="00FA314F">
        <w:rPr>
          <w:rFonts w:cs="Arial"/>
          <w:i/>
          <w:szCs w:val="22"/>
          <w:lang w:val="en-GB"/>
        </w:rPr>
        <w:t>The dashed line</w:t>
      </w:r>
      <w:r w:rsidR="003611ED" w:rsidRPr="00FA314F">
        <w:rPr>
          <w:rFonts w:cs="Arial"/>
          <w:i/>
          <w:szCs w:val="22"/>
          <w:lang w:val="en-GB"/>
        </w:rPr>
        <w:t xml:space="preserve"> represents </w:t>
      </w:r>
      <w:r w:rsidR="003158FC" w:rsidRPr="00FA314F">
        <w:rPr>
          <w:rFonts w:cs="Arial"/>
          <w:i/>
          <w:szCs w:val="22"/>
          <w:lang w:val="en-GB"/>
        </w:rPr>
        <w:t>Reef</w:t>
      </w:r>
      <w:r w:rsidR="003611ED" w:rsidRPr="00FA314F">
        <w:rPr>
          <w:rFonts w:cs="Arial"/>
          <w:i/>
          <w:szCs w:val="22"/>
          <w:lang w:val="en-GB"/>
        </w:rPr>
        <w:t xml:space="preserve"> long-term average for each habitat type. </w:t>
      </w:r>
    </w:p>
    <w:p w14:paraId="7A1564D0" w14:textId="36E25BEC" w:rsidR="005132EF" w:rsidRPr="00FA314F" w:rsidRDefault="005132EF" w:rsidP="00994F86">
      <w:pPr>
        <w:rPr>
          <w:rFonts w:cs="Arial"/>
          <w:szCs w:val="22"/>
          <w:lang w:val="en-US"/>
        </w:rPr>
      </w:pPr>
      <w:r w:rsidRPr="00FA314F">
        <w:rPr>
          <w:rFonts w:cs="Arial"/>
          <w:szCs w:val="22"/>
          <w:lang w:val="en-GB"/>
        </w:rPr>
        <w:t>S</w:t>
      </w:r>
      <w:r w:rsidR="0032634E" w:rsidRPr="00FA314F">
        <w:rPr>
          <w:rFonts w:cs="Arial"/>
          <w:szCs w:val="22"/>
          <w:lang w:val="en-GB"/>
        </w:rPr>
        <w:t xml:space="preserve">eagrass </w:t>
      </w:r>
      <w:r w:rsidR="00AB14DE" w:rsidRPr="00FA314F">
        <w:rPr>
          <w:rFonts w:cs="Arial"/>
          <w:szCs w:val="22"/>
          <w:lang w:val="en-GB"/>
        </w:rPr>
        <w:t>spatial extent</w:t>
      </w:r>
      <w:r w:rsidR="00AB14DE" w:rsidRPr="00FA314F">
        <w:rPr>
          <w:rFonts w:cs="Arial"/>
          <w:szCs w:val="22"/>
          <w:lang w:val="en-US"/>
        </w:rPr>
        <w:t xml:space="preserve"> mapping </w:t>
      </w:r>
      <w:r w:rsidRPr="00FA314F">
        <w:rPr>
          <w:rFonts w:cs="Arial"/>
          <w:szCs w:val="22"/>
          <w:lang w:val="en-US"/>
        </w:rPr>
        <w:t xml:space="preserve">was conducted within </w:t>
      </w:r>
      <w:r w:rsidR="00DC02E6" w:rsidRPr="00FA314F">
        <w:rPr>
          <w:rFonts w:cs="Arial"/>
          <w:szCs w:val="22"/>
          <w:lang w:val="en-US"/>
        </w:rPr>
        <w:t>meadows</w:t>
      </w:r>
      <w:r w:rsidRPr="00FA314F">
        <w:rPr>
          <w:rFonts w:cs="Arial"/>
          <w:szCs w:val="22"/>
          <w:lang w:val="en-US"/>
        </w:rPr>
        <w:t xml:space="preserve"> to determine if changes in abundance were a consequence of the meadow </w:t>
      </w:r>
      <w:r w:rsidR="008300F2" w:rsidRPr="00FA314F">
        <w:rPr>
          <w:rFonts w:cs="Arial"/>
          <w:szCs w:val="22"/>
          <w:lang w:val="en-US"/>
        </w:rPr>
        <w:t>landscape</w:t>
      </w:r>
      <w:r w:rsidRPr="00FA314F">
        <w:rPr>
          <w:rFonts w:cs="Arial"/>
          <w:szCs w:val="22"/>
          <w:lang w:val="en-US"/>
        </w:rPr>
        <w:t xml:space="preserve"> changing</w:t>
      </w:r>
      <w:r w:rsidR="005F428D" w:rsidRPr="00FA314F">
        <w:rPr>
          <w:rFonts w:cs="Arial"/>
          <w:szCs w:val="22"/>
          <w:lang w:val="en-US"/>
        </w:rPr>
        <w:t xml:space="preserve"> and to indicate if plants were allocating resources to colonisation (asexual reproduction)</w:t>
      </w:r>
      <w:r w:rsidRPr="00FA314F">
        <w:rPr>
          <w:rFonts w:cs="Arial"/>
          <w:szCs w:val="22"/>
          <w:lang w:val="en-US"/>
        </w:rPr>
        <w:t xml:space="preserve">. </w:t>
      </w:r>
      <w:r w:rsidR="00E70D67" w:rsidRPr="00FA314F">
        <w:rPr>
          <w:rFonts w:cs="Arial"/>
          <w:szCs w:val="22"/>
          <w:lang w:val="en-US"/>
        </w:rPr>
        <w:t xml:space="preserve">Prior to 2012, the only meadow extent mapping in the Cape York region was conducted at </w:t>
      </w:r>
      <w:r w:rsidR="00DC02E6" w:rsidRPr="00FA314F">
        <w:rPr>
          <w:rFonts w:cs="Arial"/>
          <w:szCs w:val="22"/>
          <w:lang w:val="en-US"/>
        </w:rPr>
        <w:t xml:space="preserve">reef intertidal meadows at </w:t>
      </w:r>
      <w:r w:rsidR="00E70D67" w:rsidRPr="00FA314F">
        <w:rPr>
          <w:rFonts w:cs="Arial"/>
          <w:szCs w:val="22"/>
          <w:lang w:val="en-US"/>
        </w:rPr>
        <w:t xml:space="preserve">Archer Point. </w:t>
      </w:r>
      <w:r w:rsidR="00FF2F8F" w:rsidRPr="00FA314F">
        <w:rPr>
          <w:rFonts w:cs="Arial"/>
          <w:szCs w:val="22"/>
          <w:lang w:val="en-US"/>
        </w:rPr>
        <w:t>The meadow</w:t>
      </w:r>
      <w:r w:rsidR="00991C7F" w:rsidRPr="00FA314F">
        <w:rPr>
          <w:rFonts w:cs="Arial"/>
          <w:szCs w:val="22"/>
          <w:lang w:val="en-US"/>
        </w:rPr>
        <w:t>s</w:t>
      </w:r>
      <w:r w:rsidR="00FF2F8F" w:rsidRPr="00FA314F">
        <w:rPr>
          <w:rFonts w:cs="Arial"/>
          <w:szCs w:val="22"/>
          <w:lang w:val="en-US"/>
        </w:rPr>
        <w:t xml:space="preserve"> within </w:t>
      </w:r>
      <w:r w:rsidR="002713FB" w:rsidRPr="00FA314F">
        <w:rPr>
          <w:rFonts w:cs="Arial"/>
          <w:szCs w:val="22"/>
          <w:lang w:val="en-US"/>
        </w:rPr>
        <w:t xml:space="preserve">monitoring sites on the reef flat at </w:t>
      </w:r>
      <w:r w:rsidR="00FF2F8F" w:rsidRPr="00FA314F">
        <w:rPr>
          <w:rFonts w:cs="Arial"/>
          <w:szCs w:val="22"/>
          <w:lang w:val="en-US"/>
        </w:rPr>
        <w:t>Archer Point ha</w:t>
      </w:r>
      <w:r w:rsidR="00E70D67" w:rsidRPr="00FA314F">
        <w:rPr>
          <w:rFonts w:cs="Arial"/>
          <w:szCs w:val="22"/>
          <w:lang w:val="en-US"/>
        </w:rPr>
        <w:t>ve</w:t>
      </w:r>
      <w:r w:rsidR="00FF2F8F" w:rsidRPr="00FA314F">
        <w:rPr>
          <w:rFonts w:cs="Arial"/>
          <w:szCs w:val="22"/>
          <w:lang w:val="en-US"/>
        </w:rPr>
        <w:t xml:space="preserve"> fluctuated within and between years</w:t>
      </w:r>
      <w:r w:rsidR="002713FB" w:rsidRPr="00FA314F">
        <w:rPr>
          <w:rFonts w:cs="Arial"/>
          <w:szCs w:val="22"/>
          <w:lang w:val="en-US"/>
        </w:rPr>
        <w:t xml:space="preserve"> (</w:t>
      </w:r>
      <w:r w:rsidR="002713FB" w:rsidRPr="00FA314F">
        <w:rPr>
          <w:rFonts w:cs="Arial"/>
          <w:szCs w:val="22"/>
          <w:lang w:val="en-US"/>
        </w:rPr>
        <w:fldChar w:fldCharType="begin"/>
      </w:r>
      <w:r w:rsidR="002713FB" w:rsidRPr="00FA314F">
        <w:rPr>
          <w:rFonts w:cs="Arial"/>
          <w:szCs w:val="22"/>
          <w:lang w:val="en-US"/>
        </w:rPr>
        <w:instrText xml:space="preserve"> REF _Ref380061981 \h </w:instrText>
      </w:r>
      <w:r w:rsidR="00015190" w:rsidRPr="00FA314F">
        <w:rPr>
          <w:rFonts w:cs="Arial"/>
          <w:szCs w:val="22"/>
          <w:lang w:val="en-US"/>
        </w:rPr>
        <w:instrText xml:space="preserve"> \* MERGEFORMAT </w:instrText>
      </w:r>
      <w:r w:rsidR="002713FB" w:rsidRPr="00FA314F">
        <w:rPr>
          <w:rFonts w:cs="Arial"/>
          <w:szCs w:val="22"/>
          <w:lang w:val="en-US"/>
        </w:rPr>
      </w:r>
      <w:r w:rsidR="002713FB"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31</w:t>
      </w:r>
      <w:r w:rsidR="002713FB" w:rsidRPr="00FA314F">
        <w:rPr>
          <w:rFonts w:cs="Arial"/>
          <w:szCs w:val="22"/>
          <w:lang w:val="en-US"/>
        </w:rPr>
        <w:fldChar w:fldCharType="end"/>
      </w:r>
      <w:r w:rsidR="002713FB" w:rsidRPr="00FA314F">
        <w:rPr>
          <w:rFonts w:cs="Arial"/>
          <w:szCs w:val="22"/>
          <w:lang w:val="en-US"/>
        </w:rPr>
        <w:t>)</w:t>
      </w:r>
      <w:r w:rsidR="00FF2F8F" w:rsidRPr="00FA314F">
        <w:rPr>
          <w:rFonts w:cs="Arial"/>
          <w:szCs w:val="22"/>
          <w:lang w:val="en-US"/>
        </w:rPr>
        <w:t xml:space="preserve">, </w:t>
      </w:r>
      <w:r w:rsidR="0041342B" w:rsidRPr="00FA314F">
        <w:rPr>
          <w:rFonts w:cs="Arial"/>
          <w:szCs w:val="22"/>
          <w:lang w:val="en-US"/>
        </w:rPr>
        <w:t>primarily</w:t>
      </w:r>
      <w:r w:rsidR="00FF2F8F" w:rsidRPr="00FA314F">
        <w:rPr>
          <w:rFonts w:cs="Arial"/>
          <w:szCs w:val="22"/>
          <w:lang w:val="en-US"/>
        </w:rPr>
        <w:t xml:space="preserve"> due to changes in the landward edge</w:t>
      </w:r>
      <w:r w:rsidR="0014156A" w:rsidRPr="00FA314F">
        <w:rPr>
          <w:rFonts w:cs="Arial"/>
          <w:szCs w:val="22"/>
          <w:lang w:val="en-US"/>
        </w:rPr>
        <w:t xml:space="preserve"> and </w:t>
      </w:r>
      <w:r w:rsidRPr="00FA314F">
        <w:rPr>
          <w:rFonts w:cs="Arial"/>
          <w:szCs w:val="22"/>
          <w:lang w:val="en-US"/>
        </w:rPr>
        <w:t xml:space="preserve">appearance of a drainage channel from an adjacent creek (data not presented). </w:t>
      </w:r>
      <w:r w:rsidR="00DC02E6" w:rsidRPr="00FA314F">
        <w:rPr>
          <w:rFonts w:cs="Arial"/>
          <w:szCs w:val="22"/>
          <w:lang w:val="en-US"/>
        </w:rPr>
        <w:t>As of 2012</w:t>
      </w:r>
      <w:r w:rsidR="00DC02E6" w:rsidRPr="00FA314F">
        <w:rPr>
          <w:rFonts w:cs="Arial"/>
          <w:color w:val="000000" w:themeColor="text1"/>
          <w:szCs w:val="22"/>
        </w:rPr>
        <w:t>–</w:t>
      </w:r>
      <w:r w:rsidR="00DC02E6" w:rsidRPr="00FA314F">
        <w:rPr>
          <w:rFonts w:cs="Arial"/>
          <w:szCs w:val="22"/>
          <w:lang w:val="en-US"/>
        </w:rPr>
        <w:t>13</w:t>
      </w:r>
      <w:r w:rsidR="00E70D67" w:rsidRPr="00FA314F">
        <w:rPr>
          <w:rFonts w:cs="Arial"/>
          <w:szCs w:val="22"/>
          <w:lang w:val="en-US"/>
        </w:rPr>
        <w:t xml:space="preserve">, additional reef and coastal meadows in </w:t>
      </w:r>
      <w:r w:rsidR="00E70D67" w:rsidRPr="00FA314F">
        <w:rPr>
          <w:rFonts w:cs="Arial"/>
          <w:szCs w:val="22"/>
          <w:lang w:val="en-US"/>
        </w:rPr>
        <w:lastRenderedPageBreak/>
        <w:t>the Cap</w:t>
      </w:r>
      <w:r w:rsidR="005F428D" w:rsidRPr="00FA314F">
        <w:rPr>
          <w:rFonts w:cs="Arial"/>
          <w:szCs w:val="22"/>
          <w:lang w:val="en-US"/>
        </w:rPr>
        <w:t>e York region were included.</w:t>
      </w:r>
      <w:r w:rsidR="00E70D67" w:rsidRPr="00FA314F">
        <w:rPr>
          <w:rFonts w:cs="Arial"/>
          <w:szCs w:val="22"/>
          <w:lang w:val="en-US"/>
        </w:rPr>
        <w:t xml:space="preserve"> Overall, </w:t>
      </w:r>
      <w:r w:rsidR="00F758CA" w:rsidRPr="00FA314F">
        <w:rPr>
          <w:rFonts w:cs="Arial"/>
          <w:szCs w:val="22"/>
          <w:lang w:val="en-US"/>
        </w:rPr>
        <w:t xml:space="preserve">meadow extent has </w:t>
      </w:r>
      <w:r w:rsidR="00E03E16" w:rsidRPr="00FA314F">
        <w:rPr>
          <w:rFonts w:cs="Arial"/>
          <w:szCs w:val="22"/>
          <w:lang w:val="en-US"/>
        </w:rPr>
        <w:t>been relatively stable</w:t>
      </w:r>
      <w:r w:rsidR="00E64C33" w:rsidRPr="00FA314F">
        <w:rPr>
          <w:rFonts w:cs="Arial"/>
          <w:szCs w:val="22"/>
          <w:lang w:val="en-US"/>
        </w:rPr>
        <w:t xml:space="preserve"> </w:t>
      </w:r>
      <w:r w:rsidR="003F1AA6" w:rsidRPr="00FA314F">
        <w:rPr>
          <w:rFonts w:cs="Arial"/>
          <w:szCs w:val="22"/>
          <w:lang w:val="en-US"/>
        </w:rPr>
        <w:t xml:space="preserve">since 2012 </w:t>
      </w:r>
      <w:r w:rsidR="001D2093" w:rsidRPr="00FA314F">
        <w:rPr>
          <w:rFonts w:cs="Arial"/>
          <w:szCs w:val="22"/>
          <w:lang w:val="en-US"/>
        </w:rPr>
        <w:t>(</w:t>
      </w:r>
      <w:r w:rsidR="001D2093" w:rsidRPr="00FA314F">
        <w:rPr>
          <w:rFonts w:cs="Arial"/>
          <w:szCs w:val="22"/>
          <w:lang w:val="en-US"/>
        </w:rPr>
        <w:fldChar w:fldCharType="begin"/>
      </w:r>
      <w:r w:rsidR="001D2093" w:rsidRPr="00FA314F">
        <w:rPr>
          <w:rFonts w:cs="Arial"/>
          <w:szCs w:val="22"/>
          <w:lang w:val="en-US"/>
        </w:rPr>
        <w:instrText xml:space="preserve"> REF _Ref380061981 \h </w:instrText>
      </w:r>
      <w:r w:rsidR="00015190" w:rsidRPr="00FA314F">
        <w:rPr>
          <w:rFonts w:cs="Arial"/>
          <w:szCs w:val="22"/>
          <w:lang w:val="en-US"/>
        </w:rPr>
        <w:instrText xml:space="preserve"> \* MERGEFORMAT </w:instrText>
      </w:r>
      <w:r w:rsidR="001D2093" w:rsidRPr="00FA314F">
        <w:rPr>
          <w:rFonts w:cs="Arial"/>
          <w:szCs w:val="22"/>
          <w:lang w:val="en-US"/>
        </w:rPr>
      </w:r>
      <w:r w:rsidR="001D2093"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31</w:t>
      </w:r>
      <w:r w:rsidR="001D2093" w:rsidRPr="00FA314F">
        <w:rPr>
          <w:rFonts w:cs="Arial"/>
          <w:szCs w:val="22"/>
          <w:lang w:val="en-US"/>
        </w:rPr>
        <w:fldChar w:fldCharType="end"/>
      </w:r>
      <w:r w:rsidR="001D2093" w:rsidRPr="00FA314F">
        <w:rPr>
          <w:rFonts w:cs="Arial"/>
          <w:szCs w:val="22"/>
          <w:lang w:val="en-US"/>
        </w:rPr>
        <w:t>)</w:t>
      </w:r>
      <w:r w:rsidRPr="00FA314F">
        <w:rPr>
          <w:rFonts w:cs="Arial"/>
          <w:szCs w:val="22"/>
          <w:lang w:val="en-US"/>
        </w:rPr>
        <w:t xml:space="preserve">. </w:t>
      </w:r>
    </w:p>
    <w:p w14:paraId="21C988E9" w14:textId="77777777" w:rsidR="003611ED" w:rsidRPr="00FA314F" w:rsidRDefault="00665D56" w:rsidP="00994F86">
      <w:pPr>
        <w:keepNext/>
        <w:widowControl w:val="0"/>
        <w:jc w:val="center"/>
        <w:rPr>
          <w:rFonts w:cs="Arial"/>
          <w:szCs w:val="22"/>
          <w:lang w:val="en-US"/>
        </w:rPr>
      </w:pPr>
      <w:r w:rsidRPr="00FA314F">
        <w:rPr>
          <w:rFonts w:cs="Arial"/>
          <w:noProof/>
          <w:szCs w:val="22"/>
          <w:lang w:eastAsia="en-AU"/>
        </w:rPr>
        <w:drawing>
          <wp:inline distT="0" distB="0" distL="0" distR="0" wp14:anchorId="3F6E3D23" wp14:editId="527E8681">
            <wp:extent cx="5358663" cy="2422800"/>
            <wp:effectExtent l="0" t="0" r="0" b="0"/>
            <wp:docPr id="249" name="Picture 249" descr="Line graph showing spatial extent of seagrass meadows within a 100m radius of monitoring sites for each habitat and monitoring period across the eastern Cape York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CY_extent_avg_2016.png"/>
                    <pic:cNvPicPr/>
                  </pic:nvPicPr>
                  <pic:blipFill>
                    <a:blip r:embed="rId84"/>
                    <a:stretch>
                      <a:fillRect/>
                    </a:stretch>
                  </pic:blipFill>
                  <pic:spPr>
                    <a:xfrm>
                      <a:off x="0" y="0"/>
                      <a:ext cx="5358663" cy="2422800"/>
                    </a:xfrm>
                    <a:prstGeom prst="rect">
                      <a:avLst/>
                    </a:prstGeom>
                  </pic:spPr>
                </pic:pic>
              </a:graphicData>
            </a:graphic>
          </wp:inline>
        </w:drawing>
      </w:r>
    </w:p>
    <w:p w14:paraId="4B96042C" w14:textId="18570686" w:rsidR="00D000AC" w:rsidRPr="00FA314F" w:rsidRDefault="002B4949" w:rsidP="00994F86">
      <w:pPr>
        <w:ind w:right="233"/>
        <w:rPr>
          <w:rFonts w:cs="Arial"/>
          <w:i/>
          <w:szCs w:val="22"/>
        </w:rPr>
      </w:pPr>
      <w:bookmarkStart w:id="298" w:name="_Ref380061981"/>
      <w:bookmarkStart w:id="299" w:name="_Toc431493829"/>
      <w:bookmarkStart w:id="300" w:name="_Toc38634135"/>
      <w:r w:rsidRPr="00FA314F">
        <w:rPr>
          <w:rFonts w:cs="Arial"/>
          <w:szCs w:val="22"/>
        </w:rPr>
        <w:t xml:space="preserve">Figure </w:t>
      </w:r>
      <w:r w:rsidR="0073595B" w:rsidRPr="00FA314F">
        <w:rPr>
          <w:rFonts w:cs="Arial"/>
          <w:szCs w:val="22"/>
        </w:rPr>
        <w:fldChar w:fldCharType="begin"/>
      </w:r>
      <w:r w:rsidR="0073595B" w:rsidRPr="00FA314F">
        <w:rPr>
          <w:rFonts w:cs="Arial"/>
          <w:szCs w:val="22"/>
        </w:rPr>
        <w:instrText xml:space="preserve"> SEQ Figure \* ARABIC </w:instrText>
      </w:r>
      <w:r w:rsidR="0073595B" w:rsidRPr="00FA314F">
        <w:rPr>
          <w:rFonts w:cs="Arial"/>
          <w:szCs w:val="22"/>
        </w:rPr>
        <w:fldChar w:fldCharType="separate"/>
      </w:r>
      <w:r w:rsidR="0067675D">
        <w:rPr>
          <w:rFonts w:cs="Arial"/>
          <w:noProof/>
          <w:szCs w:val="22"/>
        </w:rPr>
        <w:t>31</w:t>
      </w:r>
      <w:r w:rsidR="0073595B" w:rsidRPr="00FA314F">
        <w:rPr>
          <w:rFonts w:cs="Arial"/>
          <w:szCs w:val="22"/>
        </w:rPr>
        <w:fldChar w:fldCharType="end"/>
      </w:r>
      <w:bookmarkEnd w:id="298"/>
      <w:r w:rsidRPr="00FA314F">
        <w:rPr>
          <w:rFonts w:cs="Arial"/>
          <w:szCs w:val="22"/>
        </w:rPr>
        <w:t xml:space="preserve">. </w:t>
      </w:r>
      <w:r w:rsidRPr="00FA314F">
        <w:rPr>
          <w:rFonts w:cs="Arial"/>
          <w:i/>
          <w:szCs w:val="22"/>
        </w:rPr>
        <w:t xml:space="preserve">Change in </w:t>
      </w:r>
      <w:r w:rsidR="00CF6158" w:rsidRPr="00FA314F">
        <w:rPr>
          <w:rFonts w:cs="Arial"/>
          <w:i/>
          <w:szCs w:val="22"/>
        </w:rPr>
        <w:t xml:space="preserve">spatial extent of seagrass meadows within monitoring sites </w:t>
      </w:r>
      <w:r w:rsidRPr="00FA314F">
        <w:rPr>
          <w:rFonts w:cs="Arial"/>
          <w:i/>
          <w:szCs w:val="22"/>
        </w:rPr>
        <w:t xml:space="preserve">for each </w:t>
      </w:r>
      <w:r w:rsidR="00DC02E6" w:rsidRPr="00FA314F">
        <w:rPr>
          <w:rFonts w:cs="Arial"/>
          <w:i/>
          <w:szCs w:val="22"/>
        </w:rPr>
        <w:t xml:space="preserve">intertidal coastal and reef </w:t>
      </w:r>
      <w:r w:rsidRPr="00FA314F">
        <w:rPr>
          <w:rFonts w:cs="Arial"/>
          <w:i/>
          <w:szCs w:val="22"/>
        </w:rPr>
        <w:t xml:space="preserve">habitat </w:t>
      </w:r>
      <w:r w:rsidR="00CF6158" w:rsidRPr="00FA314F">
        <w:rPr>
          <w:rFonts w:cs="Arial"/>
          <w:i/>
          <w:szCs w:val="22"/>
        </w:rPr>
        <w:t>and</w:t>
      </w:r>
      <w:r w:rsidRPr="00FA314F">
        <w:rPr>
          <w:rFonts w:cs="Arial"/>
          <w:i/>
          <w:szCs w:val="22"/>
        </w:rPr>
        <w:t xml:space="preserve"> monitoring period across the eastern Cape York NRM region.</w:t>
      </w:r>
      <w:bookmarkEnd w:id="299"/>
      <w:bookmarkEnd w:id="300"/>
    </w:p>
    <w:p w14:paraId="552AE84C" w14:textId="5326D15F" w:rsidR="005132EF" w:rsidRPr="00431DDA" w:rsidRDefault="005132EF" w:rsidP="000150D8">
      <w:pPr>
        <w:pStyle w:val="Heading4"/>
      </w:pPr>
      <w:bookmarkStart w:id="301" w:name="_Toc37775072"/>
      <w:bookmarkStart w:id="302" w:name="_Toc43987047"/>
      <w:r w:rsidRPr="00431DDA">
        <w:t>Seagrass reproductive status</w:t>
      </w:r>
      <w:bookmarkEnd w:id="301"/>
      <w:bookmarkEnd w:id="302"/>
    </w:p>
    <w:p w14:paraId="6A1E7D0E" w14:textId="4A17C6AC" w:rsidR="003611ED" w:rsidRPr="00FA314F" w:rsidRDefault="00DC02E6" w:rsidP="00034AD4">
      <w:pPr>
        <w:rPr>
          <w:rFonts w:cs="Arial"/>
          <w:szCs w:val="22"/>
          <w:lang w:val="en-GB"/>
        </w:rPr>
      </w:pPr>
      <w:bookmarkStart w:id="303" w:name="_Toc145126957"/>
      <w:bookmarkStart w:id="304" w:name="_Toc175991065"/>
      <w:bookmarkStart w:id="305" w:name="_Toc215637046"/>
      <w:r w:rsidRPr="00FA314F">
        <w:rPr>
          <w:rFonts w:cs="Arial"/>
          <w:szCs w:val="22"/>
          <w:lang w:val="en-GB"/>
        </w:rPr>
        <w:t>Total reproductive effort is only monitored at intertidal meadows in Cape York. Reproductive effort declined at reef habitats in 2018–19, and remained low at coastal habitats across the region</w:t>
      </w:r>
      <w:r w:rsidR="00117900" w:rsidRPr="00FA314F">
        <w:rPr>
          <w:rFonts w:cs="Arial"/>
          <w:szCs w:val="22"/>
          <w:lang w:val="en-GB"/>
        </w:rPr>
        <w:t xml:space="preserve"> </w:t>
      </w:r>
      <w:r w:rsidRPr="00FA314F">
        <w:rPr>
          <w:rFonts w:cs="Arial"/>
          <w:szCs w:val="22"/>
          <w:lang w:val="en-GB"/>
        </w:rPr>
        <w:t>(</w:t>
      </w:r>
      <w:r w:rsidRPr="00FA314F">
        <w:rPr>
          <w:rFonts w:cs="Arial"/>
          <w:szCs w:val="22"/>
          <w:lang w:val="en-GB"/>
        </w:rPr>
        <w:fldChar w:fldCharType="begin"/>
      </w:r>
      <w:r w:rsidRPr="00FA314F">
        <w:rPr>
          <w:rFonts w:cs="Arial"/>
          <w:szCs w:val="22"/>
          <w:lang w:val="en-GB"/>
        </w:rPr>
        <w:instrText xml:space="preserve"> REF _Ref271218562 \h  \* MERGEFORMAT </w:instrText>
      </w:r>
      <w:r w:rsidRPr="00FA314F">
        <w:rPr>
          <w:rFonts w:cs="Arial"/>
          <w:szCs w:val="22"/>
          <w:lang w:val="en-GB"/>
        </w:rPr>
      </w:r>
      <w:r w:rsidRPr="00FA314F">
        <w:rPr>
          <w:rFonts w:cs="Arial"/>
          <w:szCs w:val="22"/>
          <w:lang w:val="en-GB"/>
        </w:rPr>
        <w:fldChar w:fldCharType="separate"/>
      </w:r>
      <w:r w:rsidR="0067675D" w:rsidRPr="0067675D">
        <w:rPr>
          <w:rFonts w:cs="Arial"/>
          <w:szCs w:val="22"/>
        </w:rPr>
        <w:t xml:space="preserve">Figure </w:t>
      </w:r>
      <w:r w:rsidR="0067675D" w:rsidRPr="0067675D">
        <w:rPr>
          <w:rFonts w:cs="Arial"/>
          <w:noProof/>
          <w:szCs w:val="22"/>
        </w:rPr>
        <w:t>32</w:t>
      </w:r>
      <w:r w:rsidRPr="00FA314F">
        <w:rPr>
          <w:rFonts w:cs="Arial"/>
          <w:szCs w:val="22"/>
          <w:lang w:val="en-GB"/>
        </w:rPr>
        <w:fldChar w:fldCharType="end"/>
      </w:r>
      <w:r w:rsidRPr="00FA314F">
        <w:rPr>
          <w:rFonts w:cs="Arial"/>
          <w:szCs w:val="22"/>
          <w:lang w:val="en-GB"/>
        </w:rPr>
        <w:t xml:space="preserve">). </w:t>
      </w:r>
      <w:r w:rsidR="002715D0" w:rsidRPr="00FA314F">
        <w:rPr>
          <w:rFonts w:cs="Arial"/>
          <w:szCs w:val="22"/>
          <w:lang w:val="en-GB"/>
        </w:rPr>
        <w:t xml:space="preserve">Seed banks are </w:t>
      </w:r>
      <w:r w:rsidR="00117900" w:rsidRPr="00FA314F">
        <w:rPr>
          <w:rFonts w:cs="Arial"/>
          <w:szCs w:val="22"/>
          <w:lang w:val="en-GB"/>
        </w:rPr>
        <w:t xml:space="preserve">also </w:t>
      </w:r>
      <w:r w:rsidR="002715D0" w:rsidRPr="00FA314F">
        <w:rPr>
          <w:rFonts w:cs="Arial"/>
          <w:szCs w:val="22"/>
          <w:lang w:val="en-GB"/>
        </w:rPr>
        <w:t xml:space="preserve">only measured at </w:t>
      </w:r>
      <w:r w:rsidR="00F77E1B" w:rsidRPr="00FA314F">
        <w:rPr>
          <w:rFonts w:cs="Arial"/>
          <w:szCs w:val="22"/>
          <w:lang w:val="en-GB"/>
        </w:rPr>
        <w:t>intertidal sites across Cape York and are</w:t>
      </w:r>
      <w:r w:rsidR="0014011B" w:rsidRPr="00FA314F">
        <w:rPr>
          <w:rFonts w:cs="Arial"/>
          <w:szCs w:val="22"/>
          <w:lang w:val="en-GB"/>
        </w:rPr>
        <w:t xml:space="preserve"> dominated by </w:t>
      </w:r>
      <w:r w:rsidR="0014011B" w:rsidRPr="00FA314F">
        <w:rPr>
          <w:rFonts w:cs="Arial"/>
          <w:i/>
          <w:szCs w:val="22"/>
          <w:lang w:val="en-GB"/>
        </w:rPr>
        <w:t>Halodule uninervis</w:t>
      </w:r>
      <w:r w:rsidR="0014011B" w:rsidRPr="00FA314F">
        <w:rPr>
          <w:rFonts w:cs="Arial"/>
          <w:szCs w:val="22"/>
          <w:lang w:val="en-GB"/>
        </w:rPr>
        <w:t xml:space="preserve">. </w:t>
      </w:r>
      <w:r w:rsidR="007377D4" w:rsidRPr="00FA314F">
        <w:rPr>
          <w:rFonts w:cs="Arial"/>
          <w:szCs w:val="22"/>
          <w:lang w:val="en-GB"/>
        </w:rPr>
        <w:t>S</w:t>
      </w:r>
      <w:r w:rsidR="003329EA" w:rsidRPr="00FA314F">
        <w:rPr>
          <w:rFonts w:cs="Arial"/>
          <w:szCs w:val="22"/>
          <w:lang w:val="en-GB"/>
        </w:rPr>
        <w:t xml:space="preserve">eed </w:t>
      </w:r>
      <w:r w:rsidR="007377D4" w:rsidRPr="00FA314F">
        <w:rPr>
          <w:rFonts w:cs="Arial"/>
          <w:szCs w:val="22"/>
          <w:lang w:val="en-GB"/>
        </w:rPr>
        <w:t xml:space="preserve">density </w:t>
      </w:r>
      <w:r w:rsidR="0014011B" w:rsidRPr="00FA314F">
        <w:rPr>
          <w:rFonts w:cs="Arial"/>
          <w:szCs w:val="22"/>
          <w:lang w:val="en-GB"/>
        </w:rPr>
        <w:t xml:space="preserve">has </w:t>
      </w:r>
      <w:r w:rsidR="00117900" w:rsidRPr="00FA314F">
        <w:rPr>
          <w:rFonts w:cs="Arial"/>
          <w:szCs w:val="22"/>
          <w:lang w:val="en-GB"/>
        </w:rPr>
        <w:t>declined at</w:t>
      </w:r>
      <w:r w:rsidR="00F77E1B" w:rsidRPr="00FA314F">
        <w:rPr>
          <w:rFonts w:cs="Arial"/>
          <w:szCs w:val="22"/>
          <w:lang w:val="en-GB"/>
        </w:rPr>
        <w:t xml:space="preserve"> coastal </w:t>
      </w:r>
      <w:r w:rsidR="007A70FE" w:rsidRPr="00FA314F">
        <w:rPr>
          <w:rFonts w:cs="Arial"/>
          <w:szCs w:val="22"/>
          <w:lang w:val="en-GB"/>
        </w:rPr>
        <w:t>habitats</w:t>
      </w:r>
      <w:r w:rsidR="00F77E1B" w:rsidRPr="00FA314F">
        <w:rPr>
          <w:rFonts w:cs="Arial"/>
          <w:szCs w:val="22"/>
          <w:lang w:val="en-GB"/>
        </w:rPr>
        <w:t xml:space="preserve"> </w:t>
      </w:r>
      <w:r w:rsidR="00117900" w:rsidRPr="00FA314F">
        <w:rPr>
          <w:rFonts w:cs="Arial"/>
          <w:szCs w:val="22"/>
          <w:lang w:val="en-GB"/>
        </w:rPr>
        <w:t xml:space="preserve">in 2018–19 but remains at relatively high levels compared to coastal sites in other regions, and remains much higher than </w:t>
      </w:r>
      <w:r w:rsidR="00144CFB" w:rsidRPr="00FA314F">
        <w:rPr>
          <w:rFonts w:cs="Arial"/>
          <w:szCs w:val="22"/>
          <w:lang w:val="en-GB"/>
        </w:rPr>
        <w:t xml:space="preserve">those found in </w:t>
      </w:r>
      <w:r w:rsidR="00117900" w:rsidRPr="00FA314F">
        <w:rPr>
          <w:rFonts w:cs="Arial"/>
          <w:szCs w:val="22"/>
          <w:lang w:val="en-GB"/>
        </w:rPr>
        <w:t xml:space="preserve">reef habitats. </w:t>
      </w:r>
      <w:r w:rsidR="0014011B" w:rsidRPr="00FA314F">
        <w:rPr>
          <w:rFonts w:cs="Arial"/>
          <w:szCs w:val="22"/>
          <w:lang w:val="en-GB"/>
        </w:rPr>
        <w:t xml:space="preserve">At reef sites, there has been few or no seeds recorded since 2013, </w:t>
      </w:r>
      <w:r w:rsidR="005F1B3F" w:rsidRPr="00FA314F">
        <w:rPr>
          <w:rFonts w:cs="Arial"/>
          <w:szCs w:val="22"/>
          <w:lang w:val="en-GB"/>
        </w:rPr>
        <w:t xml:space="preserve">and these meadows may have poor recovery rates if there is substantial decline in seagrass </w:t>
      </w:r>
      <w:r w:rsidR="007A70FE" w:rsidRPr="00FA314F">
        <w:rPr>
          <w:rFonts w:cs="Arial"/>
          <w:szCs w:val="22"/>
          <w:lang w:val="en-GB"/>
        </w:rPr>
        <w:t>abundance</w:t>
      </w:r>
      <w:r w:rsidR="005F1B3F" w:rsidRPr="00FA314F">
        <w:rPr>
          <w:rFonts w:cs="Arial"/>
          <w:szCs w:val="22"/>
          <w:lang w:val="en-GB"/>
        </w:rPr>
        <w:t xml:space="preserve">. </w:t>
      </w:r>
    </w:p>
    <w:p w14:paraId="2EB06CEF" w14:textId="77777777" w:rsidR="003611ED" w:rsidRPr="00FA314F" w:rsidRDefault="00665D56" w:rsidP="00F758CA">
      <w:pPr>
        <w:keepNext/>
        <w:widowControl w:val="0"/>
        <w:jc w:val="center"/>
        <w:rPr>
          <w:rFonts w:cs="Arial"/>
          <w:color w:val="000000"/>
          <w:szCs w:val="22"/>
          <w:lang w:val="en-GB"/>
        </w:rPr>
      </w:pPr>
      <w:r w:rsidRPr="00FA314F">
        <w:rPr>
          <w:rFonts w:cs="Arial"/>
          <w:noProof/>
          <w:color w:val="000000"/>
          <w:szCs w:val="22"/>
          <w:lang w:eastAsia="en-AU"/>
        </w:rPr>
        <w:lastRenderedPageBreak/>
        <w:drawing>
          <wp:inline distT="0" distB="0" distL="0" distR="0" wp14:anchorId="50BF7A15" wp14:editId="5D429E1F">
            <wp:extent cx="5757154" cy="2073043"/>
            <wp:effectExtent l="0" t="0" r="0" b="3810"/>
            <wp:docPr id="250" name="Picture 250" descr="Panel of two composite bar and scatter plot graphs showing seed banks (bars) and reproductive effort (dots) at inshore intertidal coastal and reef habitats in the Cape York NRM reg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CY_repro16.png"/>
                    <pic:cNvPicPr/>
                  </pic:nvPicPr>
                  <pic:blipFill>
                    <a:blip r:embed="rId85">
                      <a:extLst>
                        <a:ext uri="{28A0092B-C50C-407E-A947-70E740481C1C}">
                          <a14:useLocalDpi xmlns:a14="http://schemas.microsoft.com/office/drawing/2010/main" val="0"/>
                        </a:ext>
                      </a:extLst>
                    </a:blip>
                    <a:stretch>
                      <a:fillRect/>
                    </a:stretch>
                  </pic:blipFill>
                  <pic:spPr>
                    <a:xfrm>
                      <a:off x="0" y="0"/>
                      <a:ext cx="5757154" cy="2073043"/>
                    </a:xfrm>
                    <a:prstGeom prst="rect">
                      <a:avLst/>
                    </a:prstGeom>
                  </pic:spPr>
                </pic:pic>
              </a:graphicData>
            </a:graphic>
          </wp:inline>
        </w:drawing>
      </w:r>
    </w:p>
    <w:p w14:paraId="071C54A4" w14:textId="6ABD3BBB" w:rsidR="0015251F" w:rsidRPr="00FA314F" w:rsidRDefault="005132EF" w:rsidP="0015251F">
      <w:pPr>
        <w:rPr>
          <w:rFonts w:cs="Arial"/>
          <w:i/>
          <w:vanish/>
          <w:szCs w:val="22"/>
          <w:specVanish/>
        </w:rPr>
      </w:pPr>
      <w:bookmarkStart w:id="306" w:name="_Ref271218562"/>
      <w:bookmarkStart w:id="307" w:name="_Toc431493830"/>
      <w:bookmarkStart w:id="308" w:name="_Toc38634136"/>
      <w:r w:rsidRPr="00FA314F">
        <w:rPr>
          <w:rFonts w:cs="Arial"/>
          <w:color w:val="000000"/>
          <w:szCs w:val="22"/>
        </w:rPr>
        <w:t xml:space="preserve">Figure </w:t>
      </w:r>
      <w:r w:rsidR="0073595B" w:rsidRPr="00FA314F">
        <w:rPr>
          <w:rFonts w:cs="Arial"/>
          <w:color w:val="000000"/>
          <w:szCs w:val="22"/>
        </w:rPr>
        <w:fldChar w:fldCharType="begin"/>
      </w:r>
      <w:r w:rsidR="0073595B" w:rsidRPr="00FA314F">
        <w:rPr>
          <w:rFonts w:cs="Arial"/>
          <w:color w:val="000000"/>
          <w:szCs w:val="22"/>
        </w:rPr>
        <w:instrText xml:space="preserve"> SEQ Figure \* ARABIC </w:instrText>
      </w:r>
      <w:r w:rsidR="0073595B" w:rsidRPr="00FA314F">
        <w:rPr>
          <w:rFonts w:cs="Arial"/>
          <w:color w:val="000000"/>
          <w:szCs w:val="22"/>
        </w:rPr>
        <w:fldChar w:fldCharType="separate"/>
      </w:r>
      <w:r w:rsidR="0067675D">
        <w:rPr>
          <w:rFonts w:cs="Arial"/>
          <w:noProof/>
          <w:color w:val="000000"/>
          <w:szCs w:val="22"/>
        </w:rPr>
        <w:t>32</w:t>
      </w:r>
      <w:r w:rsidR="0073595B" w:rsidRPr="00FA314F">
        <w:rPr>
          <w:rFonts w:cs="Arial"/>
          <w:color w:val="000000"/>
          <w:szCs w:val="22"/>
        </w:rPr>
        <w:fldChar w:fldCharType="end"/>
      </w:r>
      <w:bookmarkEnd w:id="306"/>
      <w:r w:rsidRPr="00FA314F">
        <w:rPr>
          <w:rFonts w:cs="Arial"/>
          <w:color w:val="000000"/>
          <w:szCs w:val="22"/>
        </w:rPr>
        <w:t xml:space="preserve">. </w:t>
      </w:r>
      <w:r w:rsidR="00A927E0" w:rsidRPr="00FA314F">
        <w:rPr>
          <w:rFonts w:cs="Arial"/>
          <w:i/>
          <w:color w:val="000000"/>
          <w:szCs w:val="22"/>
        </w:rPr>
        <w:t xml:space="preserve">Seed banks and reproductive effort at inshore intertidal </w:t>
      </w:r>
      <w:r w:rsidR="002C16F4" w:rsidRPr="00FA314F">
        <w:rPr>
          <w:rFonts w:cs="Arial"/>
          <w:i/>
          <w:color w:val="000000"/>
          <w:szCs w:val="22"/>
        </w:rPr>
        <w:t xml:space="preserve">coastal </w:t>
      </w:r>
      <w:r w:rsidR="00B020D9" w:rsidRPr="00FA314F">
        <w:rPr>
          <w:rFonts w:cs="Arial"/>
          <w:i/>
          <w:color w:val="000000"/>
          <w:szCs w:val="22"/>
        </w:rPr>
        <w:t xml:space="preserve">(a) </w:t>
      </w:r>
      <w:r w:rsidR="002C16F4" w:rsidRPr="00FA314F">
        <w:rPr>
          <w:rFonts w:cs="Arial"/>
          <w:i/>
          <w:color w:val="000000"/>
          <w:szCs w:val="22"/>
        </w:rPr>
        <w:t xml:space="preserve">and </w:t>
      </w:r>
      <w:r w:rsidR="0032552E" w:rsidRPr="00FA314F">
        <w:rPr>
          <w:rFonts w:cs="Arial"/>
          <w:i/>
          <w:color w:val="000000"/>
          <w:szCs w:val="22"/>
        </w:rPr>
        <w:t>reef</w:t>
      </w:r>
      <w:r w:rsidRPr="00FA314F">
        <w:rPr>
          <w:rFonts w:cs="Arial"/>
          <w:i/>
          <w:color w:val="000000"/>
          <w:szCs w:val="22"/>
        </w:rPr>
        <w:t xml:space="preserve"> </w:t>
      </w:r>
      <w:r w:rsidR="00B020D9" w:rsidRPr="00FA314F">
        <w:rPr>
          <w:rFonts w:cs="Arial"/>
          <w:i/>
          <w:color w:val="000000"/>
          <w:szCs w:val="22"/>
        </w:rPr>
        <w:t xml:space="preserve">(b) </w:t>
      </w:r>
      <w:r w:rsidR="00A927E0" w:rsidRPr="00FA314F">
        <w:rPr>
          <w:rFonts w:cs="Arial"/>
          <w:i/>
          <w:color w:val="000000"/>
          <w:szCs w:val="22"/>
        </w:rPr>
        <w:t>habitats in the Cape York region</w:t>
      </w:r>
      <w:bookmarkEnd w:id="307"/>
      <w:bookmarkEnd w:id="308"/>
    </w:p>
    <w:p w14:paraId="316D9823" w14:textId="5A0925A9" w:rsidR="00A927E0" w:rsidRPr="00FA314F" w:rsidRDefault="005132EF" w:rsidP="0015251F">
      <w:pPr>
        <w:rPr>
          <w:rFonts w:cs="Arial"/>
          <w:i/>
          <w:color w:val="000000"/>
          <w:szCs w:val="22"/>
        </w:rPr>
      </w:pPr>
      <w:r w:rsidRPr="00FA314F">
        <w:rPr>
          <w:rFonts w:cs="Arial"/>
          <w:i/>
          <w:color w:val="000000"/>
          <w:szCs w:val="22"/>
        </w:rPr>
        <w:t xml:space="preserve">(species </w:t>
      </w:r>
      <w:r w:rsidR="00C21312" w:rsidRPr="00FA314F">
        <w:rPr>
          <w:rFonts w:cs="Arial"/>
          <w:i/>
          <w:color w:val="000000"/>
          <w:szCs w:val="22"/>
        </w:rPr>
        <w:t xml:space="preserve">and sites </w:t>
      </w:r>
      <w:r w:rsidRPr="00FA314F">
        <w:rPr>
          <w:rFonts w:cs="Arial"/>
          <w:i/>
          <w:color w:val="000000"/>
          <w:szCs w:val="22"/>
        </w:rPr>
        <w:t>pooled).</w:t>
      </w:r>
      <w:r w:rsidR="00A927E0" w:rsidRPr="00FA314F">
        <w:rPr>
          <w:rFonts w:cs="Arial"/>
          <w:i/>
          <w:color w:val="000000"/>
          <w:szCs w:val="22"/>
        </w:rPr>
        <w:t xml:space="preserve"> Seed banks </w:t>
      </w:r>
      <w:r w:rsidR="008300F2" w:rsidRPr="00FA314F">
        <w:rPr>
          <w:rFonts w:cs="Arial"/>
          <w:i/>
          <w:color w:val="000000"/>
          <w:szCs w:val="22"/>
        </w:rPr>
        <w:t xml:space="preserve">(bars </w:t>
      </w:r>
      <w:r w:rsidR="008300F2" w:rsidRPr="00FA314F">
        <w:rPr>
          <w:rFonts w:cs="Arial"/>
          <w:i/>
          <w:color w:val="000000"/>
          <w:szCs w:val="22"/>
          <w:lang w:eastAsia="en-AU"/>
        </w:rPr>
        <w:t xml:space="preserve">± </w:t>
      </w:r>
      <w:r w:rsidR="009C7692" w:rsidRPr="00FA314F">
        <w:rPr>
          <w:rFonts w:cs="Arial"/>
          <w:i/>
          <w:color w:val="000000"/>
          <w:szCs w:val="22"/>
          <w:lang w:eastAsia="en-AU"/>
        </w:rPr>
        <w:t>SE</w:t>
      </w:r>
      <w:r w:rsidR="008300F2" w:rsidRPr="00FA314F">
        <w:rPr>
          <w:rFonts w:cs="Arial"/>
          <w:i/>
          <w:color w:val="000000"/>
          <w:szCs w:val="22"/>
        </w:rPr>
        <w:t xml:space="preserve">) </w:t>
      </w:r>
      <w:r w:rsidR="00A927E0" w:rsidRPr="00FA314F">
        <w:rPr>
          <w:rFonts w:cs="Arial"/>
          <w:i/>
          <w:color w:val="000000"/>
          <w:szCs w:val="22"/>
        </w:rPr>
        <w:t>presented as the total number of seeds per m</w:t>
      </w:r>
      <w:r w:rsidR="00A927E0" w:rsidRPr="00FA314F">
        <w:rPr>
          <w:rFonts w:cs="Arial"/>
          <w:i/>
          <w:color w:val="000000"/>
          <w:szCs w:val="22"/>
          <w:vertAlign w:val="superscript"/>
        </w:rPr>
        <w:t>2</w:t>
      </w:r>
      <w:r w:rsidR="00A927E0" w:rsidRPr="00FA314F">
        <w:rPr>
          <w:rFonts w:cs="Arial"/>
          <w:i/>
          <w:color w:val="000000"/>
          <w:szCs w:val="22"/>
        </w:rPr>
        <w:t xml:space="preserve"> sediment surface. Reproductive effort for late dry season </w:t>
      </w:r>
      <w:r w:rsidR="008300F2" w:rsidRPr="00FA314F">
        <w:rPr>
          <w:rFonts w:cs="Arial"/>
          <w:i/>
          <w:color w:val="000000"/>
          <w:szCs w:val="22"/>
        </w:rPr>
        <w:t xml:space="preserve">(dots </w:t>
      </w:r>
      <w:r w:rsidR="008300F2" w:rsidRPr="00FA314F">
        <w:rPr>
          <w:rFonts w:cs="Arial"/>
          <w:i/>
          <w:color w:val="000000"/>
          <w:szCs w:val="22"/>
          <w:lang w:eastAsia="en-AU"/>
        </w:rPr>
        <w:t xml:space="preserve">± </w:t>
      </w:r>
      <w:r w:rsidR="009C7692" w:rsidRPr="00FA314F">
        <w:rPr>
          <w:rFonts w:cs="Arial"/>
          <w:i/>
          <w:color w:val="000000"/>
          <w:szCs w:val="22"/>
          <w:lang w:eastAsia="en-AU"/>
        </w:rPr>
        <w:t>SE</w:t>
      </w:r>
      <w:r w:rsidR="008300F2" w:rsidRPr="00FA314F">
        <w:rPr>
          <w:rFonts w:cs="Arial"/>
          <w:i/>
          <w:color w:val="000000"/>
          <w:szCs w:val="22"/>
        </w:rPr>
        <w:t xml:space="preserve">) </w:t>
      </w:r>
      <w:r w:rsidR="00A927E0" w:rsidRPr="00FA314F">
        <w:rPr>
          <w:rFonts w:cs="Arial"/>
          <w:i/>
          <w:color w:val="000000"/>
          <w:szCs w:val="22"/>
        </w:rPr>
        <w:t>presented as the average number of reproductive structures per core.</w:t>
      </w:r>
    </w:p>
    <w:p w14:paraId="3D8AA9F2" w14:textId="77777777" w:rsidR="00824A7C" w:rsidRPr="00FA314F" w:rsidRDefault="00824A7C" w:rsidP="0015251F">
      <w:pPr>
        <w:rPr>
          <w:rFonts w:cs="Arial"/>
          <w:i/>
          <w:vanish/>
          <w:color w:val="000000"/>
          <w:szCs w:val="22"/>
        </w:rPr>
      </w:pPr>
    </w:p>
    <w:p w14:paraId="6829D2C2" w14:textId="2417EC93" w:rsidR="00273942" w:rsidRPr="00431DDA" w:rsidRDefault="00273942" w:rsidP="000150D8">
      <w:pPr>
        <w:pStyle w:val="Heading4"/>
      </w:pPr>
      <w:bookmarkStart w:id="309" w:name="_Toc184101975"/>
      <w:bookmarkStart w:id="310" w:name="_Toc37775073"/>
      <w:bookmarkStart w:id="311" w:name="_Toc43987048"/>
      <w:bookmarkEnd w:id="303"/>
      <w:bookmarkEnd w:id="304"/>
      <w:bookmarkEnd w:id="305"/>
      <w:r w:rsidRPr="00431DDA">
        <w:t>Seagrass leaf tissue nutrients</w:t>
      </w:r>
      <w:bookmarkEnd w:id="309"/>
      <w:bookmarkEnd w:id="310"/>
      <w:bookmarkEnd w:id="311"/>
    </w:p>
    <w:p w14:paraId="46A94C0D" w14:textId="3EDDAC02" w:rsidR="00884A13" w:rsidRPr="00FA314F" w:rsidRDefault="003611ED" w:rsidP="00CB5A6F">
      <w:pPr>
        <w:autoSpaceDE w:val="0"/>
        <w:autoSpaceDN w:val="0"/>
        <w:adjustRightInd w:val="0"/>
        <w:rPr>
          <w:rFonts w:cs="Arial"/>
          <w:iCs/>
          <w:color w:val="000000" w:themeColor="text1"/>
          <w:szCs w:val="22"/>
        </w:rPr>
      </w:pPr>
      <w:r w:rsidRPr="00FA314F">
        <w:rPr>
          <w:rFonts w:cs="Arial"/>
          <w:iCs/>
          <w:color w:val="000000" w:themeColor="text1"/>
          <w:szCs w:val="22"/>
        </w:rPr>
        <w:t xml:space="preserve">Seagrass leaf molar C:N ratios </w:t>
      </w:r>
      <w:r w:rsidR="00117900" w:rsidRPr="00FA314F">
        <w:rPr>
          <w:rFonts w:cs="Arial"/>
          <w:iCs/>
          <w:color w:val="000000" w:themeColor="text1"/>
          <w:szCs w:val="22"/>
        </w:rPr>
        <w:t>in 2018</w:t>
      </w:r>
      <w:r w:rsidR="00117900" w:rsidRPr="00FA314F">
        <w:rPr>
          <w:rFonts w:cs="Arial"/>
          <w:szCs w:val="22"/>
          <w:lang w:val="en-GB"/>
        </w:rPr>
        <w:t>–</w:t>
      </w:r>
      <w:r w:rsidR="00117900" w:rsidRPr="00FA314F">
        <w:rPr>
          <w:rFonts w:cs="Arial"/>
          <w:iCs/>
          <w:color w:val="000000" w:themeColor="text1"/>
          <w:szCs w:val="22"/>
        </w:rPr>
        <w:t>19 remained similar to the previous</w:t>
      </w:r>
      <w:r w:rsidR="00181CAC" w:rsidRPr="00FA314F">
        <w:rPr>
          <w:rFonts w:cs="Arial"/>
          <w:iCs/>
          <w:color w:val="000000" w:themeColor="text1"/>
          <w:szCs w:val="22"/>
        </w:rPr>
        <w:t xml:space="preserve"> year</w:t>
      </w:r>
      <w:r w:rsidR="00144CFB" w:rsidRPr="00FA314F">
        <w:rPr>
          <w:rFonts w:cs="Arial"/>
          <w:iCs/>
          <w:color w:val="000000" w:themeColor="text1"/>
          <w:szCs w:val="22"/>
        </w:rPr>
        <w:t xml:space="preserve"> and within range </w:t>
      </w:r>
      <w:r w:rsidR="00C00A7D">
        <w:rPr>
          <w:rFonts w:cs="Arial"/>
          <w:iCs/>
          <w:color w:val="000000" w:themeColor="text1"/>
          <w:szCs w:val="22"/>
        </w:rPr>
        <w:t>of</w:t>
      </w:r>
      <w:r w:rsidR="00C00A7D" w:rsidRPr="00FA314F">
        <w:rPr>
          <w:rFonts w:cs="Arial"/>
          <w:iCs/>
          <w:color w:val="000000" w:themeColor="text1"/>
          <w:szCs w:val="22"/>
        </w:rPr>
        <w:t xml:space="preserve"> </w:t>
      </w:r>
      <w:r w:rsidR="00144CFB" w:rsidRPr="00FA314F">
        <w:rPr>
          <w:rFonts w:cs="Arial"/>
          <w:iCs/>
          <w:color w:val="000000" w:themeColor="text1"/>
          <w:szCs w:val="22"/>
        </w:rPr>
        <w:t>those observed since the introduction of additional sites in 2012</w:t>
      </w:r>
      <w:r w:rsidR="00144CFB" w:rsidRPr="00FA314F">
        <w:rPr>
          <w:rFonts w:cs="Arial"/>
          <w:szCs w:val="22"/>
          <w:lang w:val="en-GB"/>
        </w:rPr>
        <w:t>–</w:t>
      </w:r>
      <w:r w:rsidR="00144CFB" w:rsidRPr="00FA314F">
        <w:rPr>
          <w:rFonts w:cs="Arial"/>
          <w:iCs/>
          <w:color w:val="000000" w:themeColor="text1"/>
          <w:szCs w:val="22"/>
        </w:rPr>
        <w:t>13</w:t>
      </w:r>
      <w:r w:rsidR="005F1B3F" w:rsidRPr="00FA314F">
        <w:rPr>
          <w:rFonts w:cs="Arial"/>
          <w:iCs/>
          <w:color w:val="000000" w:themeColor="text1"/>
          <w:szCs w:val="22"/>
        </w:rPr>
        <w:t xml:space="preserve"> (</w:t>
      </w:r>
      <w:r w:rsidR="00087D59" w:rsidRPr="00FA314F">
        <w:rPr>
          <w:rFonts w:cs="Arial"/>
          <w:iCs/>
          <w:color w:val="000000" w:themeColor="text1"/>
          <w:szCs w:val="22"/>
        </w:rPr>
        <w:fldChar w:fldCharType="begin"/>
      </w:r>
      <w:r w:rsidR="00087D59" w:rsidRPr="00FA314F">
        <w:rPr>
          <w:rFonts w:cs="Arial"/>
          <w:iCs/>
          <w:color w:val="000000" w:themeColor="text1"/>
          <w:szCs w:val="22"/>
        </w:rPr>
        <w:instrText xml:space="preserve"> REF _Ref380082962 \h  \* MERGEFORMAT </w:instrText>
      </w:r>
      <w:r w:rsidR="00087D59" w:rsidRPr="00FA314F">
        <w:rPr>
          <w:rFonts w:cs="Arial"/>
          <w:iCs/>
          <w:color w:val="000000" w:themeColor="text1"/>
          <w:szCs w:val="22"/>
        </w:rPr>
      </w:r>
      <w:r w:rsidR="00087D59" w:rsidRPr="00FA314F">
        <w:rPr>
          <w:rFonts w:cs="Arial"/>
          <w:iCs/>
          <w:color w:val="000000" w:themeColor="text1"/>
          <w:szCs w:val="22"/>
        </w:rPr>
        <w:fldChar w:fldCharType="separate"/>
      </w:r>
      <w:r w:rsidR="0067675D" w:rsidRPr="00FA314F">
        <w:rPr>
          <w:rFonts w:cs="Arial"/>
          <w:color w:val="000000"/>
          <w:szCs w:val="22"/>
        </w:rPr>
        <w:t xml:space="preserve">Figure </w:t>
      </w:r>
      <w:r w:rsidR="0067675D">
        <w:rPr>
          <w:rFonts w:cs="Arial"/>
          <w:noProof/>
          <w:color w:val="000000"/>
          <w:szCs w:val="22"/>
        </w:rPr>
        <w:t>33</w:t>
      </w:r>
      <w:r w:rsidR="00087D59" w:rsidRPr="00FA314F">
        <w:rPr>
          <w:rFonts w:cs="Arial"/>
          <w:iCs/>
          <w:color w:val="000000" w:themeColor="text1"/>
          <w:szCs w:val="22"/>
        </w:rPr>
        <w:fldChar w:fldCharType="end"/>
      </w:r>
      <w:r w:rsidR="005F1B3F" w:rsidRPr="00FA314F">
        <w:rPr>
          <w:rFonts w:cs="Arial"/>
          <w:iCs/>
          <w:color w:val="000000" w:themeColor="text1"/>
          <w:szCs w:val="22"/>
        </w:rPr>
        <w:t xml:space="preserve">). </w:t>
      </w:r>
      <w:r w:rsidR="00144CFB" w:rsidRPr="00FA314F">
        <w:rPr>
          <w:rFonts w:cs="Arial"/>
          <w:iCs/>
          <w:color w:val="000000" w:themeColor="text1"/>
          <w:szCs w:val="22"/>
        </w:rPr>
        <w:t xml:space="preserve">However; there was a very small decline in reef intertidal habitats resulting in </w:t>
      </w:r>
      <w:r w:rsidR="006C5F24">
        <w:rPr>
          <w:rFonts w:cs="Arial"/>
          <w:iCs/>
          <w:color w:val="000000" w:themeColor="text1"/>
          <w:szCs w:val="22"/>
        </w:rPr>
        <w:t xml:space="preserve">a </w:t>
      </w:r>
      <w:r w:rsidR="00144CFB" w:rsidRPr="00FA314F">
        <w:rPr>
          <w:rFonts w:cs="Arial"/>
          <w:iCs/>
          <w:color w:val="000000" w:themeColor="text1"/>
          <w:szCs w:val="22"/>
        </w:rPr>
        <w:t>small</w:t>
      </w:r>
      <w:r w:rsidR="006C5F24">
        <w:rPr>
          <w:rFonts w:cs="Arial"/>
          <w:iCs/>
          <w:color w:val="000000" w:themeColor="text1"/>
          <w:szCs w:val="22"/>
        </w:rPr>
        <w:t xml:space="preserve"> </w:t>
      </w:r>
      <w:r w:rsidR="00144CFB" w:rsidRPr="00FA314F">
        <w:rPr>
          <w:rFonts w:cs="Arial"/>
          <w:iCs/>
          <w:color w:val="000000" w:themeColor="text1"/>
          <w:szCs w:val="22"/>
        </w:rPr>
        <w:t>decline in the tissue nutrient score</w:t>
      </w:r>
      <w:r w:rsidR="0063025A" w:rsidRPr="00FA314F">
        <w:rPr>
          <w:rFonts w:cs="Arial"/>
          <w:iCs/>
          <w:color w:val="000000" w:themeColor="text1"/>
          <w:szCs w:val="22"/>
        </w:rPr>
        <w:t xml:space="preserve">. </w:t>
      </w:r>
      <w:r w:rsidR="00181CAC" w:rsidRPr="00FA314F">
        <w:rPr>
          <w:rFonts w:cs="Arial"/>
          <w:iCs/>
          <w:color w:val="000000" w:themeColor="text1"/>
          <w:szCs w:val="22"/>
        </w:rPr>
        <w:t xml:space="preserve">Leaf </w:t>
      </w:r>
      <w:r w:rsidR="0063025A" w:rsidRPr="00FA314F">
        <w:rPr>
          <w:rFonts w:cs="Arial"/>
          <w:iCs/>
          <w:color w:val="000000" w:themeColor="text1"/>
          <w:szCs w:val="22"/>
        </w:rPr>
        <w:t xml:space="preserve">N:P ratios </w:t>
      </w:r>
      <w:r w:rsidR="00D37158" w:rsidRPr="00FA314F">
        <w:rPr>
          <w:rFonts w:cs="Arial"/>
          <w:iCs/>
          <w:color w:val="000000" w:themeColor="text1"/>
          <w:szCs w:val="22"/>
        </w:rPr>
        <w:t>and</w:t>
      </w:r>
      <w:r w:rsidR="0042155C">
        <w:rPr>
          <w:rFonts w:cs="Arial"/>
          <w:iCs/>
          <w:color w:val="000000" w:themeColor="text1"/>
          <w:szCs w:val="22"/>
        </w:rPr>
        <w:t xml:space="preserve"> %</w:t>
      </w:r>
      <w:r w:rsidR="00D37158" w:rsidRPr="00FA314F">
        <w:rPr>
          <w:rFonts w:cs="Arial"/>
          <w:iCs/>
          <w:color w:val="000000" w:themeColor="text1"/>
          <w:szCs w:val="22"/>
        </w:rPr>
        <w:t xml:space="preserve">N </w:t>
      </w:r>
      <w:r w:rsidR="007C3C8A" w:rsidRPr="00FA314F">
        <w:rPr>
          <w:rFonts w:cs="Arial"/>
          <w:iCs/>
          <w:color w:val="000000" w:themeColor="text1"/>
          <w:szCs w:val="22"/>
        </w:rPr>
        <w:t xml:space="preserve">remained </w:t>
      </w:r>
      <w:r w:rsidR="003B61A8">
        <w:rPr>
          <w:rFonts w:cs="Arial"/>
          <w:iCs/>
          <w:color w:val="000000" w:themeColor="text1"/>
          <w:szCs w:val="22"/>
        </w:rPr>
        <w:t>above guideline and global median</w:t>
      </w:r>
      <w:r w:rsidR="007C3C8A" w:rsidRPr="00FA314F">
        <w:rPr>
          <w:rFonts w:cs="Arial"/>
          <w:iCs/>
          <w:color w:val="000000" w:themeColor="text1"/>
          <w:szCs w:val="22"/>
        </w:rPr>
        <w:t xml:space="preserve"> in 2018</w:t>
      </w:r>
      <w:r w:rsidR="007C3C8A" w:rsidRPr="00FA314F">
        <w:rPr>
          <w:rFonts w:cs="Arial"/>
          <w:szCs w:val="22"/>
          <w:lang w:val="en-GB"/>
        </w:rPr>
        <w:t>–</w:t>
      </w:r>
      <w:r w:rsidR="007C3C8A" w:rsidRPr="00FA314F">
        <w:rPr>
          <w:rFonts w:cs="Arial"/>
          <w:iCs/>
          <w:color w:val="000000" w:themeColor="text1"/>
          <w:szCs w:val="22"/>
        </w:rPr>
        <w:t xml:space="preserve">19 for the second year in a row </w:t>
      </w:r>
      <w:r w:rsidR="00D37158" w:rsidRPr="00FA314F">
        <w:rPr>
          <w:rFonts w:cs="Arial"/>
          <w:iCs/>
          <w:color w:val="000000" w:themeColor="text1"/>
          <w:szCs w:val="22"/>
        </w:rPr>
        <w:t>(</w:t>
      </w:r>
      <w:r w:rsidR="00D37158" w:rsidRPr="00FA314F">
        <w:rPr>
          <w:rFonts w:cs="Arial"/>
          <w:iCs/>
          <w:color w:val="000000" w:themeColor="text1"/>
          <w:szCs w:val="22"/>
        </w:rPr>
        <w:fldChar w:fldCharType="begin"/>
      </w:r>
      <w:r w:rsidR="00D37158" w:rsidRPr="00FA314F">
        <w:rPr>
          <w:rFonts w:cs="Arial"/>
          <w:iCs/>
          <w:color w:val="000000" w:themeColor="text1"/>
          <w:szCs w:val="22"/>
        </w:rPr>
        <w:instrText xml:space="preserve"> REF _Ref380082962 \h  \* MERGEFORMAT </w:instrText>
      </w:r>
      <w:r w:rsidR="00D37158" w:rsidRPr="00FA314F">
        <w:rPr>
          <w:rFonts w:cs="Arial"/>
          <w:iCs/>
          <w:color w:val="000000" w:themeColor="text1"/>
          <w:szCs w:val="22"/>
        </w:rPr>
      </w:r>
      <w:r w:rsidR="00D37158" w:rsidRPr="00FA314F">
        <w:rPr>
          <w:rFonts w:cs="Arial"/>
          <w:iCs/>
          <w:color w:val="000000" w:themeColor="text1"/>
          <w:szCs w:val="22"/>
        </w:rPr>
        <w:fldChar w:fldCharType="separate"/>
      </w:r>
      <w:r w:rsidR="0067675D" w:rsidRPr="00FA314F">
        <w:rPr>
          <w:rFonts w:cs="Arial"/>
          <w:color w:val="000000"/>
          <w:szCs w:val="22"/>
        </w:rPr>
        <w:t xml:space="preserve">Figure </w:t>
      </w:r>
      <w:r w:rsidR="0067675D">
        <w:rPr>
          <w:rFonts w:cs="Arial"/>
          <w:noProof/>
          <w:color w:val="000000"/>
          <w:szCs w:val="22"/>
        </w:rPr>
        <w:t>33</w:t>
      </w:r>
      <w:r w:rsidR="00D37158" w:rsidRPr="00FA314F">
        <w:rPr>
          <w:rFonts w:cs="Arial"/>
          <w:iCs/>
          <w:color w:val="000000" w:themeColor="text1"/>
          <w:szCs w:val="22"/>
        </w:rPr>
        <w:fldChar w:fldCharType="end"/>
      </w:r>
      <w:r w:rsidR="00D37158" w:rsidRPr="00FA314F">
        <w:rPr>
          <w:rFonts w:cs="Arial"/>
          <w:iCs/>
          <w:color w:val="000000" w:themeColor="text1"/>
          <w:szCs w:val="22"/>
        </w:rPr>
        <w:t>)</w:t>
      </w:r>
      <w:r w:rsidR="0063025A" w:rsidRPr="00FA314F">
        <w:rPr>
          <w:rFonts w:cs="Arial"/>
          <w:iCs/>
          <w:color w:val="000000" w:themeColor="text1"/>
          <w:szCs w:val="22"/>
        </w:rPr>
        <w:t xml:space="preserve">, </w:t>
      </w:r>
      <w:r w:rsidR="003B61A8">
        <w:rPr>
          <w:rFonts w:cs="Arial"/>
          <w:iCs/>
          <w:color w:val="000000" w:themeColor="text1"/>
          <w:szCs w:val="22"/>
        </w:rPr>
        <w:t>indicating</w:t>
      </w:r>
      <w:r w:rsidR="0063025A" w:rsidRPr="00FA314F">
        <w:rPr>
          <w:rFonts w:cs="Arial"/>
          <w:iCs/>
          <w:color w:val="000000" w:themeColor="text1"/>
          <w:szCs w:val="22"/>
        </w:rPr>
        <w:t xml:space="preserve"> that nitrogen </w:t>
      </w:r>
      <w:r w:rsidR="003B61A8">
        <w:rPr>
          <w:rFonts w:cs="Arial"/>
          <w:iCs/>
          <w:color w:val="000000" w:themeColor="text1"/>
          <w:szCs w:val="22"/>
        </w:rPr>
        <w:t>remains high</w:t>
      </w:r>
      <w:r w:rsidR="0063025A" w:rsidRPr="00FA314F">
        <w:rPr>
          <w:rFonts w:cs="Arial"/>
          <w:iCs/>
          <w:color w:val="000000" w:themeColor="text1"/>
          <w:szCs w:val="22"/>
        </w:rPr>
        <w:t xml:space="preserve"> in the seagrass habitats of Cape York</w:t>
      </w:r>
      <w:r w:rsidR="00087D59" w:rsidRPr="00FA314F">
        <w:rPr>
          <w:rFonts w:cs="Arial"/>
          <w:iCs/>
          <w:color w:val="000000" w:themeColor="text1"/>
          <w:szCs w:val="22"/>
        </w:rPr>
        <w:t>, but the low</w:t>
      </w:r>
      <w:r w:rsidR="003B61A8">
        <w:rPr>
          <w:rFonts w:cs="Arial"/>
          <w:iCs/>
          <w:color w:val="000000" w:themeColor="text1"/>
          <w:szCs w:val="22"/>
        </w:rPr>
        <w:t xml:space="preserve"> and/or negative</w:t>
      </w:r>
      <w:r w:rsidR="00087D59" w:rsidRPr="00FA314F">
        <w:rPr>
          <w:rFonts w:cs="Arial"/>
          <w:iCs/>
          <w:color w:val="000000" w:themeColor="text1"/>
          <w:szCs w:val="22"/>
        </w:rPr>
        <w:t xml:space="preserve"> </w:t>
      </w:r>
      <w:r w:rsidR="00D37158" w:rsidRPr="00FA314F">
        <w:rPr>
          <w:rFonts w:cs="Arial"/>
          <w:iCs/>
          <w:color w:val="000000" w:themeColor="text1"/>
          <w:szCs w:val="22"/>
        </w:rPr>
        <w:t>δ</w:t>
      </w:r>
      <w:r w:rsidR="00087D59" w:rsidRPr="00FA314F">
        <w:rPr>
          <w:rFonts w:cs="Arial"/>
          <w:iCs/>
          <w:color w:val="000000" w:themeColor="text1"/>
          <w:szCs w:val="22"/>
          <w:vertAlign w:val="superscript"/>
        </w:rPr>
        <w:t>15</w:t>
      </w:r>
      <w:r w:rsidR="00087D59" w:rsidRPr="00FA314F">
        <w:rPr>
          <w:rFonts w:cs="Arial"/>
          <w:iCs/>
          <w:color w:val="000000" w:themeColor="text1"/>
          <w:szCs w:val="22"/>
        </w:rPr>
        <w:t xml:space="preserve">N </w:t>
      </w:r>
      <w:r w:rsidR="00D37158" w:rsidRPr="00FA314F">
        <w:rPr>
          <w:rFonts w:cs="Arial"/>
          <w:iCs/>
          <w:color w:val="000000" w:themeColor="text1"/>
          <w:szCs w:val="22"/>
        </w:rPr>
        <w:t>(</w:t>
      </w:r>
      <w:r w:rsidR="00D37158" w:rsidRPr="00FA314F">
        <w:rPr>
          <w:rFonts w:cs="Arial"/>
          <w:iCs/>
          <w:color w:val="000000" w:themeColor="text1"/>
          <w:szCs w:val="22"/>
        </w:rPr>
        <w:fldChar w:fldCharType="begin"/>
      </w:r>
      <w:r w:rsidR="00D37158" w:rsidRPr="00FA314F">
        <w:rPr>
          <w:rFonts w:cs="Arial"/>
          <w:iCs/>
          <w:color w:val="000000" w:themeColor="text1"/>
          <w:szCs w:val="22"/>
        </w:rPr>
        <w:instrText xml:space="preserve"> REF _Ref380082962 \h  \* MERGEFORMAT </w:instrText>
      </w:r>
      <w:r w:rsidR="00D37158" w:rsidRPr="00FA314F">
        <w:rPr>
          <w:rFonts w:cs="Arial"/>
          <w:iCs/>
          <w:color w:val="000000" w:themeColor="text1"/>
          <w:szCs w:val="22"/>
        </w:rPr>
      </w:r>
      <w:r w:rsidR="00D37158" w:rsidRPr="00FA314F">
        <w:rPr>
          <w:rFonts w:cs="Arial"/>
          <w:iCs/>
          <w:color w:val="000000" w:themeColor="text1"/>
          <w:szCs w:val="22"/>
        </w:rPr>
        <w:fldChar w:fldCharType="separate"/>
      </w:r>
      <w:r w:rsidR="0067675D" w:rsidRPr="00FA314F">
        <w:rPr>
          <w:rFonts w:cs="Arial"/>
          <w:color w:val="000000"/>
          <w:szCs w:val="22"/>
        </w:rPr>
        <w:t xml:space="preserve">Figure </w:t>
      </w:r>
      <w:r w:rsidR="0067675D">
        <w:rPr>
          <w:rFonts w:cs="Arial"/>
          <w:noProof/>
          <w:color w:val="000000"/>
          <w:szCs w:val="22"/>
        </w:rPr>
        <w:t>33</w:t>
      </w:r>
      <w:r w:rsidR="00D37158" w:rsidRPr="00FA314F">
        <w:rPr>
          <w:rFonts w:cs="Arial"/>
          <w:iCs/>
          <w:color w:val="000000" w:themeColor="text1"/>
          <w:szCs w:val="22"/>
        </w:rPr>
        <w:fldChar w:fldCharType="end"/>
      </w:r>
      <w:r w:rsidR="00D37158" w:rsidRPr="00FA314F">
        <w:rPr>
          <w:rFonts w:cs="Arial"/>
          <w:iCs/>
          <w:color w:val="000000" w:themeColor="text1"/>
          <w:szCs w:val="22"/>
        </w:rPr>
        <w:t xml:space="preserve">) </w:t>
      </w:r>
      <w:r w:rsidR="00087D59" w:rsidRPr="00FA314F">
        <w:rPr>
          <w:rFonts w:cs="Arial"/>
          <w:iCs/>
          <w:color w:val="000000" w:themeColor="text1"/>
          <w:szCs w:val="22"/>
        </w:rPr>
        <w:t xml:space="preserve">suggests this is not an </w:t>
      </w:r>
      <w:r w:rsidR="007A70FE" w:rsidRPr="00FA314F">
        <w:rPr>
          <w:rFonts w:cs="Arial"/>
          <w:iCs/>
          <w:color w:val="000000" w:themeColor="text1"/>
          <w:szCs w:val="22"/>
        </w:rPr>
        <w:t>anthropogenic</w:t>
      </w:r>
      <w:r w:rsidR="00087D59" w:rsidRPr="00FA314F">
        <w:rPr>
          <w:rFonts w:cs="Arial"/>
          <w:iCs/>
          <w:color w:val="000000" w:themeColor="text1"/>
          <w:szCs w:val="22"/>
        </w:rPr>
        <w:t xml:space="preserve"> source of N.</w:t>
      </w:r>
    </w:p>
    <w:p w14:paraId="152C3065" w14:textId="467DCF41" w:rsidR="003611ED" w:rsidRPr="00FA314F" w:rsidRDefault="00087D59" w:rsidP="00CB5A6F">
      <w:pPr>
        <w:autoSpaceDE w:val="0"/>
        <w:autoSpaceDN w:val="0"/>
        <w:adjustRightInd w:val="0"/>
        <w:rPr>
          <w:rFonts w:cs="Arial"/>
          <w:iCs/>
          <w:color w:val="000000"/>
          <w:szCs w:val="22"/>
        </w:rPr>
      </w:pPr>
      <w:r w:rsidRPr="00FA314F">
        <w:rPr>
          <w:rFonts w:cs="Arial"/>
          <w:iCs/>
          <w:color w:val="000000" w:themeColor="text1"/>
          <w:szCs w:val="22"/>
        </w:rPr>
        <w:lastRenderedPageBreak/>
        <w:t xml:space="preserve"> </w:t>
      </w:r>
      <w:r w:rsidR="00665D56" w:rsidRPr="00FA314F">
        <w:rPr>
          <w:rFonts w:cs="Arial"/>
          <w:iCs/>
          <w:noProof/>
          <w:color w:val="000000"/>
          <w:szCs w:val="22"/>
          <w:lang w:eastAsia="en-AU"/>
        </w:rPr>
        <w:drawing>
          <wp:inline distT="0" distB="0" distL="0" distR="0" wp14:anchorId="17B8C237" wp14:editId="6AC8F9D2">
            <wp:extent cx="5560343" cy="6053667"/>
            <wp:effectExtent l="0" t="0" r="2540" b="4445"/>
            <wp:docPr id="251" name="Picture 251" descr="Set of fourteen scatter plots, displayed in seven by two matrix, with straight lines and markers showing annual elemental ratios (atomic) of seagrass leaf tissue C:N, N:P, C:P, percent Nitrogen, percent Phosphorous, delta 13 Carbon and delta 15 Nitrogen concentrations for the two seagrass habitats in the Cape York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CY_CN_yr_Dec16.png"/>
                    <pic:cNvPicPr/>
                  </pic:nvPicPr>
                  <pic:blipFill rotWithShape="1">
                    <a:blip r:embed="rId86"/>
                    <a:srcRect t="2673" b="4076"/>
                    <a:stretch/>
                  </pic:blipFill>
                  <pic:spPr bwMode="auto">
                    <a:xfrm>
                      <a:off x="0" y="0"/>
                      <a:ext cx="5560837" cy="6054205"/>
                    </a:xfrm>
                    <a:prstGeom prst="rect">
                      <a:avLst/>
                    </a:prstGeom>
                    <a:ln>
                      <a:noFill/>
                    </a:ln>
                    <a:extLst>
                      <a:ext uri="{53640926-AAD7-44D8-BBD7-CCE9431645EC}">
                        <a14:shadowObscured xmlns:a14="http://schemas.microsoft.com/office/drawing/2010/main"/>
                      </a:ext>
                    </a:extLst>
                  </pic:spPr>
                </pic:pic>
              </a:graphicData>
            </a:graphic>
          </wp:inline>
        </w:drawing>
      </w:r>
    </w:p>
    <w:p w14:paraId="49BBCC2A" w14:textId="362A90AE" w:rsidR="00930A4B" w:rsidRPr="00FA314F" w:rsidRDefault="00906FE6" w:rsidP="00930A4B">
      <w:pPr>
        <w:rPr>
          <w:rFonts w:cs="Arial"/>
          <w:i/>
          <w:vanish/>
          <w:color w:val="000000" w:themeColor="text1"/>
          <w:szCs w:val="22"/>
          <w:specVanish/>
        </w:rPr>
      </w:pPr>
      <w:bookmarkStart w:id="312" w:name="_Ref380082962"/>
      <w:bookmarkStart w:id="313" w:name="_Toc431493832"/>
      <w:bookmarkStart w:id="314" w:name="_Toc38634137"/>
      <w:r w:rsidRPr="00FA314F">
        <w:rPr>
          <w:rFonts w:cs="Arial"/>
          <w:color w:val="000000"/>
          <w:szCs w:val="22"/>
        </w:rPr>
        <w:t xml:space="preserve">Figure </w:t>
      </w:r>
      <w:r w:rsidR="0073595B" w:rsidRPr="00FA314F">
        <w:rPr>
          <w:rFonts w:cs="Arial"/>
          <w:color w:val="000000"/>
          <w:szCs w:val="22"/>
        </w:rPr>
        <w:fldChar w:fldCharType="begin"/>
      </w:r>
      <w:r w:rsidR="0073595B" w:rsidRPr="00FA314F">
        <w:rPr>
          <w:rFonts w:cs="Arial"/>
          <w:color w:val="000000"/>
          <w:szCs w:val="22"/>
        </w:rPr>
        <w:instrText xml:space="preserve"> SEQ Figure \* ARABIC </w:instrText>
      </w:r>
      <w:r w:rsidR="0073595B" w:rsidRPr="00FA314F">
        <w:rPr>
          <w:rFonts w:cs="Arial"/>
          <w:color w:val="000000"/>
          <w:szCs w:val="22"/>
        </w:rPr>
        <w:fldChar w:fldCharType="separate"/>
      </w:r>
      <w:r w:rsidR="0067675D">
        <w:rPr>
          <w:rFonts w:cs="Arial"/>
          <w:noProof/>
          <w:color w:val="000000"/>
          <w:szCs w:val="22"/>
        </w:rPr>
        <w:t>33</w:t>
      </w:r>
      <w:r w:rsidR="0073595B" w:rsidRPr="00FA314F">
        <w:rPr>
          <w:rFonts w:cs="Arial"/>
          <w:color w:val="000000"/>
          <w:szCs w:val="22"/>
        </w:rPr>
        <w:fldChar w:fldCharType="end"/>
      </w:r>
      <w:bookmarkEnd w:id="312"/>
      <w:r w:rsidRPr="00FA314F">
        <w:rPr>
          <w:rFonts w:cs="Arial"/>
          <w:color w:val="000000"/>
          <w:szCs w:val="22"/>
        </w:rPr>
        <w:t xml:space="preserve">. </w:t>
      </w:r>
      <w:bookmarkEnd w:id="313"/>
      <w:r w:rsidR="00930A4B" w:rsidRPr="00FA314F">
        <w:rPr>
          <w:rFonts w:cs="Arial"/>
          <w:i/>
          <w:color w:val="000000"/>
          <w:szCs w:val="22"/>
          <w:lang w:eastAsia="en-AU"/>
        </w:rPr>
        <w:t xml:space="preserve">Seagrass leaf tissue nutrient elemental ratios (C:N:P) and </w:t>
      </w:r>
      <w:r w:rsidR="00930A4B" w:rsidRPr="00FA314F">
        <w:rPr>
          <w:rFonts w:cs="Arial"/>
          <w:i/>
          <w:color w:val="000000"/>
          <w:szCs w:val="22"/>
          <w:lang w:val="en-US"/>
        </w:rPr>
        <w:t>concentrations (</w:t>
      </w:r>
      <w:r w:rsidR="003C311A">
        <w:rPr>
          <w:rFonts w:cs="Arial"/>
          <w:i/>
          <w:color w:val="000000"/>
          <w:szCs w:val="22"/>
          <w:lang w:eastAsia="en-AU"/>
        </w:rPr>
        <w:t>%</w:t>
      </w:r>
      <w:r w:rsidR="00930A4B" w:rsidRPr="00FA314F">
        <w:rPr>
          <w:rFonts w:cs="Arial"/>
          <w:i/>
          <w:color w:val="000000"/>
          <w:szCs w:val="22"/>
          <w:lang w:eastAsia="en-AU"/>
        </w:rPr>
        <w:t>N,</w:t>
      </w:r>
      <w:r w:rsidR="003C311A">
        <w:rPr>
          <w:rFonts w:cs="Arial"/>
          <w:i/>
          <w:color w:val="000000"/>
          <w:szCs w:val="22"/>
          <w:lang w:eastAsia="en-AU"/>
        </w:rPr>
        <w:t>%</w:t>
      </w:r>
      <w:r w:rsidR="00930A4B" w:rsidRPr="00FA314F">
        <w:rPr>
          <w:rFonts w:cs="Arial"/>
          <w:i/>
          <w:color w:val="000000"/>
          <w:szCs w:val="22"/>
          <w:lang w:eastAsia="en-AU"/>
        </w:rPr>
        <w:t xml:space="preserve">P, </w:t>
      </w:r>
      <w:r w:rsidR="00930A4B" w:rsidRPr="00FA314F">
        <w:rPr>
          <w:rFonts w:cs="Arial"/>
          <w:i/>
          <w:color w:val="000000"/>
          <w:szCs w:val="22"/>
        </w:rPr>
        <w:t>δ</w:t>
      </w:r>
      <w:r w:rsidR="00930A4B" w:rsidRPr="00FA314F">
        <w:rPr>
          <w:rFonts w:cs="Arial"/>
          <w:i/>
          <w:color w:val="000000"/>
          <w:szCs w:val="22"/>
          <w:vertAlign w:val="superscript"/>
        </w:rPr>
        <w:t>13</w:t>
      </w:r>
      <w:r w:rsidR="00930A4B" w:rsidRPr="00FA314F">
        <w:rPr>
          <w:rFonts w:cs="Arial"/>
          <w:i/>
          <w:color w:val="000000"/>
          <w:szCs w:val="22"/>
        </w:rPr>
        <w:t>C</w:t>
      </w:r>
      <w:r w:rsidR="00930A4B" w:rsidRPr="00FA314F">
        <w:rPr>
          <w:rFonts w:cs="Arial"/>
          <w:i/>
          <w:color w:val="000000"/>
          <w:szCs w:val="22"/>
          <w:lang w:val="en-US"/>
        </w:rPr>
        <w:t xml:space="preserve"> and </w:t>
      </w:r>
      <w:r w:rsidR="00930A4B" w:rsidRPr="00FA314F">
        <w:rPr>
          <w:rFonts w:cs="Arial"/>
          <w:i/>
          <w:color w:val="000000"/>
          <w:szCs w:val="22"/>
        </w:rPr>
        <w:t>δ</w:t>
      </w:r>
      <w:r w:rsidR="00930A4B" w:rsidRPr="00FA314F">
        <w:rPr>
          <w:rFonts w:cs="Arial"/>
          <w:i/>
          <w:color w:val="000000"/>
          <w:szCs w:val="22"/>
          <w:vertAlign w:val="superscript"/>
        </w:rPr>
        <w:t>15</w:t>
      </w:r>
      <w:r w:rsidR="00930A4B" w:rsidRPr="00FA314F">
        <w:rPr>
          <w:rFonts w:cs="Arial"/>
          <w:i/>
          <w:color w:val="000000"/>
          <w:szCs w:val="22"/>
        </w:rPr>
        <w:t>N)</w:t>
      </w:r>
      <w:r w:rsidR="00930A4B" w:rsidRPr="00FA314F">
        <w:rPr>
          <w:rFonts w:cs="Arial"/>
          <w:i/>
          <w:color w:val="000000"/>
          <w:szCs w:val="22"/>
          <w:lang w:val="en-US"/>
        </w:rPr>
        <w:t xml:space="preserve"> </w:t>
      </w:r>
      <w:r w:rsidR="00930A4B" w:rsidRPr="00FA314F">
        <w:rPr>
          <w:rFonts w:cs="Arial"/>
          <w:i/>
          <w:color w:val="000000"/>
          <w:szCs w:val="22"/>
          <w:lang w:eastAsia="en-AU"/>
        </w:rPr>
        <w:t>for each habitat in the Cape York NRM region</w:t>
      </w:r>
      <w:bookmarkEnd w:id="314"/>
    </w:p>
    <w:p w14:paraId="26A53F52" w14:textId="770548A9" w:rsidR="00906FE6" w:rsidRPr="00FA314F" w:rsidRDefault="00930A4B" w:rsidP="00930A4B">
      <w:pPr>
        <w:rPr>
          <w:rFonts w:cs="Arial"/>
          <w:i/>
          <w:color w:val="000000"/>
          <w:szCs w:val="22"/>
          <w:lang w:eastAsia="en-AU"/>
        </w:rPr>
      </w:pPr>
      <w:r w:rsidRPr="00FA314F">
        <w:rPr>
          <w:rFonts w:cs="Arial"/>
          <w:i/>
          <w:color w:val="000000"/>
          <w:szCs w:val="22"/>
          <w:lang w:eastAsia="en-AU"/>
        </w:rPr>
        <w:t xml:space="preserve"> (± SE) (foundation species pooled). Horizontal shaded bands or dashed lines represent the accepted seagrass </w:t>
      </w:r>
      <w:r w:rsidRPr="00FA314F">
        <w:rPr>
          <w:rFonts w:cs="Arial"/>
          <w:i/>
          <w:color w:val="000000"/>
          <w:szCs w:val="22"/>
        </w:rPr>
        <w:t xml:space="preserve">guideline </w:t>
      </w:r>
      <w:r w:rsidRPr="00FA314F">
        <w:rPr>
          <w:rFonts w:cs="Arial"/>
          <w:i/>
          <w:color w:val="000000"/>
          <w:szCs w:val="22"/>
          <w:lang w:eastAsia="en-AU"/>
        </w:rPr>
        <w:t xml:space="preserve">values, where: C:N ratios within the band may </w:t>
      </w:r>
      <w:r w:rsidRPr="00FA314F">
        <w:rPr>
          <w:rFonts w:cs="Arial"/>
          <w:i/>
          <w:color w:val="000000"/>
          <w:szCs w:val="22"/>
        </w:rPr>
        <w:t xml:space="preserve">indicate reduced light availability and/or N enrichment; </w:t>
      </w:r>
      <w:r w:rsidRPr="00FA314F">
        <w:rPr>
          <w:rFonts w:cs="Arial"/>
          <w:i/>
          <w:color w:val="000000"/>
          <w:szCs w:val="22"/>
          <w:lang w:eastAsia="en-AU"/>
        </w:rPr>
        <w:t xml:space="preserve">N:P ratios above the band indicate P limitation, below indicate N limitation and </w:t>
      </w:r>
      <w:r w:rsidRPr="00FA314F">
        <w:rPr>
          <w:rFonts w:cs="Arial"/>
          <w:i/>
          <w:color w:val="000000"/>
          <w:szCs w:val="22"/>
          <w:lang w:eastAsia="en-AU"/>
        </w:rPr>
        <w:lastRenderedPageBreak/>
        <w:t xml:space="preserve">within indicates replete, and; C:P ratios within the band may </w:t>
      </w:r>
      <w:r w:rsidRPr="00FA314F">
        <w:rPr>
          <w:rFonts w:cs="Arial"/>
          <w:i/>
          <w:color w:val="000000"/>
          <w:szCs w:val="22"/>
        </w:rPr>
        <w:t xml:space="preserve">indicate </w:t>
      </w:r>
      <w:r w:rsidRPr="00FA314F">
        <w:rPr>
          <w:rFonts w:cs="Arial"/>
          <w:i/>
          <w:color w:val="000000"/>
          <w:szCs w:val="22"/>
          <w:lang w:eastAsia="en-AU"/>
        </w:rPr>
        <w:t>nutrient rich habitats (large P pool).</w:t>
      </w:r>
      <w:r w:rsidRPr="00FA314F">
        <w:rPr>
          <w:rFonts w:cs="Arial"/>
          <w:color w:val="000000"/>
          <w:szCs w:val="22"/>
          <w:lang w:eastAsia="en-AU"/>
        </w:rPr>
        <w:t xml:space="preserve"> </w:t>
      </w:r>
      <w:r w:rsidRPr="00FA314F">
        <w:rPr>
          <w:rFonts w:cs="Arial"/>
          <w:i/>
          <w:color w:val="000000"/>
          <w:szCs w:val="22"/>
        </w:rPr>
        <w:t>Dashed lines in</w:t>
      </w:r>
      <w:r w:rsidR="003C311A">
        <w:rPr>
          <w:rFonts w:cs="Arial"/>
          <w:i/>
          <w:color w:val="000000"/>
          <w:szCs w:val="22"/>
        </w:rPr>
        <w:t xml:space="preserve"> %</w:t>
      </w:r>
      <w:r w:rsidRPr="00FA314F">
        <w:rPr>
          <w:rFonts w:cs="Arial"/>
          <w:i/>
          <w:color w:val="000000"/>
          <w:szCs w:val="22"/>
        </w:rPr>
        <w:t>N and</w:t>
      </w:r>
      <w:r w:rsidR="003C311A">
        <w:rPr>
          <w:rFonts w:cs="Arial"/>
          <w:i/>
          <w:color w:val="000000"/>
          <w:szCs w:val="22"/>
        </w:rPr>
        <w:t xml:space="preserve"> %</w:t>
      </w:r>
      <w:r w:rsidRPr="00FA314F">
        <w:rPr>
          <w:rFonts w:cs="Arial"/>
          <w:i/>
          <w:color w:val="000000"/>
          <w:szCs w:val="22"/>
        </w:rPr>
        <w:t>P indicate global median values of 1.8</w:t>
      </w:r>
      <w:r w:rsidR="003C311A">
        <w:rPr>
          <w:rFonts w:cs="Arial"/>
          <w:i/>
          <w:color w:val="000000"/>
          <w:szCs w:val="22"/>
        </w:rPr>
        <w:t xml:space="preserve">% </w:t>
      </w:r>
      <w:r w:rsidRPr="00FA314F">
        <w:rPr>
          <w:rFonts w:cs="Arial"/>
          <w:i/>
          <w:color w:val="000000"/>
          <w:szCs w:val="22"/>
        </w:rPr>
        <w:t>and 0.2</w:t>
      </w:r>
      <w:r w:rsidR="003C311A">
        <w:rPr>
          <w:rFonts w:cs="Arial"/>
          <w:i/>
          <w:color w:val="000000"/>
          <w:szCs w:val="22"/>
        </w:rPr>
        <w:t xml:space="preserve">% </w:t>
      </w:r>
      <w:r w:rsidRPr="00FA314F">
        <w:rPr>
          <w:rFonts w:cs="Arial"/>
          <w:i/>
          <w:color w:val="000000"/>
          <w:szCs w:val="22"/>
        </w:rPr>
        <w:t>for tissue nitrogen and phosphorus, respectively (</w:t>
      </w:r>
      <w:hyperlink w:anchor="_ENREF_53" w:tooltip="Duarte, 1990 #1954" w:history="1">
        <w:r w:rsidR="009A7AB4" w:rsidRPr="00FA314F">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FA314F">
          <w:rPr>
            <w:rFonts w:cs="Arial"/>
            <w:i/>
            <w:color w:val="000000"/>
            <w:szCs w:val="22"/>
          </w:rPr>
          <w:fldChar w:fldCharType="separate"/>
        </w:r>
        <w:r w:rsidR="009A7AB4">
          <w:rPr>
            <w:rFonts w:cs="Arial"/>
            <w:i/>
            <w:noProof/>
            <w:color w:val="000000"/>
            <w:szCs w:val="22"/>
          </w:rPr>
          <w:t>Duarte 1990</w:t>
        </w:r>
        <w:r w:rsidR="009A7AB4" w:rsidRPr="00FA314F">
          <w:rPr>
            <w:rFonts w:cs="Arial"/>
            <w:i/>
            <w:color w:val="000000"/>
            <w:szCs w:val="22"/>
          </w:rPr>
          <w:fldChar w:fldCharType="end"/>
        </w:r>
      </w:hyperlink>
      <w:r w:rsidRPr="00FA314F">
        <w:rPr>
          <w:rFonts w:cs="Arial"/>
          <w:i/>
          <w:color w:val="000000"/>
          <w:szCs w:val="22"/>
        </w:rPr>
        <w:t>).</w:t>
      </w:r>
    </w:p>
    <w:p w14:paraId="2F565465" w14:textId="6F49E1D5" w:rsidR="00906FE6" w:rsidRPr="00431DDA" w:rsidRDefault="00906FE6" w:rsidP="000150D8">
      <w:pPr>
        <w:pStyle w:val="Heading4"/>
      </w:pPr>
      <w:bookmarkStart w:id="315" w:name="_Toc232845908"/>
      <w:bookmarkStart w:id="316" w:name="_Toc184101976"/>
      <w:bookmarkStart w:id="317" w:name="_Toc37775074"/>
      <w:bookmarkStart w:id="318" w:name="_Toc43987049"/>
      <w:r w:rsidRPr="00431DDA">
        <w:t>Epiphytes and macroalgae</w:t>
      </w:r>
      <w:bookmarkEnd w:id="315"/>
      <w:bookmarkEnd w:id="316"/>
      <w:bookmarkEnd w:id="317"/>
      <w:bookmarkEnd w:id="318"/>
    </w:p>
    <w:p w14:paraId="107BF60D" w14:textId="0BB0DA01" w:rsidR="00363A3D" w:rsidRPr="00FA314F" w:rsidRDefault="00906FE6" w:rsidP="00906FE6">
      <w:pPr>
        <w:rPr>
          <w:rFonts w:cs="Arial"/>
          <w:szCs w:val="22"/>
          <w:lang w:val="en-US"/>
        </w:rPr>
      </w:pPr>
      <w:r w:rsidRPr="00FA314F">
        <w:rPr>
          <w:rFonts w:cs="Arial"/>
          <w:szCs w:val="22"/>
          <w:lang w:val="en-US"/>
        </w:rPr>
        <w:t xml:space="preserve">Epiphyte cover on seagrass leaf blades </w:t>
      </w:r>
      <w:r w:rsidR="00DA6AEE" w:rsidRPr="00FA314F">
        <w:rPr>
          <w:rFonts w:cs="Arial"/>
          <w:szCs w:val="22"/>
          <w:lang w:val="en-US"/>
        </w:rPr>
        <w:t xml:space="preserve">remained below the long-term average at coastal habitats, and fluctuated close to the long-term average at </w:t>
      </w:r>
      <w:r w:rsidRPr="00FA314F">
        <w:rPr>
          <w:rFonts w:cs="Arial"/>
          <w:szCs w:val="22"/>
          <w:lang w:val="en-US"/>
        </w:rPr>
        <w:t xml:space="preserve">reef </w:t>
      </w:r>
      <w:r w:rsidR="00DA6AEE" w:rsidRPr="00FA314F">
        <w:rPr>
          <w:rFonts w:cs="Arial"/>
          <w:szCs w:val="22"/>
          <w:lang w:val="en-US"/>
        </w:rPr>
        <w:t>habitats</w:t>
      </w:r>
      <w:r w:rsidRPr="00FA314F">
        <w:rPr>
          <w:rFonts w:cs="Arial"/>
          <w:szCs w:val="22"/>
          <w:lang w:val="en-US"/>
        </w:rPr>
        <w:t xml:space="preserve"> (</w:t>
      </w:r>
      <w:r w:rsidRPr="00FA314F">
        <w:rPr>
          <w:rFonts w:cs="Arial"/>
          <w:szCs w:val="22"/>
          <w:lang w:val="en-US"/>
        </w:rPr>
        <w:fldChar w:fldCharType="begin"/>
      </w:r>
      <w:r w:rsidRPr="00FA314F">
        <w:rPr>
          <w:rFonts w:cs="Arial"/>
          <w:szCs w:val="22"/>
          <w:lang w:val="en-US"/>
        </w:rPr>
        <w:instrText xml:space="preserve"> REF _Ref380084379 \h  \* MERGEFORMAT </w:instrText>
      </w:r>
      <w:r w:rsidRPr="00FA314F">
        <w:rPr>
          <w:rFonts w:cs="Arial"/>
          <w:szCs w:val="22"/>
          <w:lang w:val="en-US"/>
        </w:rPr>
      </w:r>
      <w:r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34</w:t>
      </w:r>
      <w:r w:rsidRPr="00FA314F">
        <w:rPr>
          <w:rFonts w:cs="Arial"/>
          <w:szCs w:val="22"/>
          <w:lang w:val="en-US"/>
        </w:rPr>
        <w:fldChar w:fldCharType="end"/>
      </w:r>
      <w:r w:rsidRPr="00FA314F">
        <w:rPr>
          <w:rFonts w:cs="Arial"/>
          <w:szCs w:val="22"/>
          <w:lang w:val="en-US"/>
        </w:rPr>
        <w:t>).</w:t>
      </w:r>
      <w:r w:rsidR="00A202F1" w:rsidRPr="00FA314F">
        <w:rPr>
          <w:rFonts w:cs="Arial"/>
          <w:szCs w:val="22"/>
          <w:lang w:val="en-US"/>
        </w:rPr>
        <w:t xml:space="preserve"> </w:t>
      </w:r>
    </w:p>
    <w:p w14:paraId="2C423CE1" w14:textId="30B2F557" w:rsidR="00906FE6" w:rsidRPr="00FA314F" w:rsidRDefault="00887319" w:rsidP="00906FE6">
      <w:pPr>
        <w:rPr>
          <w:rFonts w:cs="Arial"/>
          <w:szCs w:val="22"/>
          <w:lang w:val="en-US"/>
        </w:rPr>
      </w:pPr>
      <w:r>
        <w:rPr>
          <w:rFonts w:cs="Arial"/>
          <w:szCs w:val="22"/>
          <w:lang w:val="en-US"/>
        </w:rPr>
        <w:t xml:space="preserve">Per cent </w:t>
      </w:r>
      <w:r w:rsidR="00906FE6" w:rsidRPr="00FA314F">
        <w:rPr>
          <w:rFonts w:cs="Arial"/>
          <w:szCs w:val="22"/>
          <w:lang w:val="en-US"/>
        </w:rPr>
        <w:t xml:space="preserve">cover of macroalgae was variable between </w:t>
      </w:r>
      <w:r w:rsidR="00AB5998" w:rsidRPr="00FA314F">
        <w:rPr>
          <w:rFonts w:cs="Arial"/>
          <w:szCs w:val="22"/>
          <w:lang w:val="en-US"/>
        </w:rPr>
        <w:t>locations</w:t>
      </w:r>
      <w:r w:rsidR="00906FE6" w:rsidRPr="00FA314F">
        <w:rPr>
          <w:rFonts w:cs="Arial"/>
          <w:szCs w:val="22"/>
          <w:lang w:val="en-US"/>
        </w:rPr>
        <w:t xml:space="preserve">, and </w:t>
      </w:r>
      <w:r w:rsidR="00AB5998" w:rsidRPr="00FA314F">
        <w:rPr>
          <w:rFonts w:cs="Arial"/>
          <w:szCs w:val="22"/>
          <w:lang w:val="en-US"/>
        </w:rPr>
        <w:t>remained</w:t>
      </w:r>
      <w:r w:rsidR="00906FE6" w:rsidRPr="00FA314F">
        <w:rPr>
          <w:rFonts w:cs="Arial"/>
          <w:szCs w:val="22"/>
          <w:lang w:val="en-US"/>
        </w:rPr>
        <w:t xml:space="preserve"> above the </w:t>
      </w:r>
      <w:r w:rsidR="003158FC" w:rsidRPr="00FA314F">
        <w:rPr>
          <w:rFonts w:cs="Arial"/>
          <w:szCs w:val="22"/>
          <w:lang w:val="en-US"/>
        </w:rPr>
        <w:t>Reef</w:t>
      </w:r>
      <w:r w:rsidR="00906FE6" w:rsidRPr="00FA314F">
        <w:rPr>
          <w:rFonts w:cs="Arial"/>
          <w:szCs w:val="22"/>
          <w:lang w:val="en-US"/>
        </w:rPr>
        <w:t xml:space="preserve"> long-term average for reef habitats </w:t>
      </w:r>
      <w:r w:rsidR="00AB5998" w:rsidRPr="00FA314F">
        <w:rPr>
          <w:rFonts w:cs="Arial"/>
          <w:szCs w:val="22"/>
          <w:lang w:val="en-US"/>
        </w:rPr>
        <w:t xml:space="preserve">in the central and north of the region </w:t>
      </w:r>
      <w:r w:rsidR="00DA6AEE" w:rsidRPr="00FA314F">
        <w:rPr>
          <w:rFonts w:cs="Arial"/>
          <w:szCs w:val="22"/>
          <w:lang w:val="en-US"/>
        </w:rPr>
        <w:t>for the sixth consecutive year</w:t>
      </w:r>
      <w:r w:rsidR="00906FE6" w:rsidRPr="00FA314F">
        <w:rPr>
          <w:rFonts w:cs="Arial"/>
          <w:szCs w:val="22"/>
          <w:lang w:val="en-US"/>
        </w:rPr>
        <w:t xml:space="preserve"> (</w:t>
      </w:r>
      <w:r w:rsidR="00906FE6" w:rsidRPr="00FA314F">
        <w:rPr>
          <w:rFonts w:cs="Arial"/>
          <w:szCs w:val="22"/>
          <w:lang w:val="en-US"/>
        </w:rPr>
        <w:fldChar w:fldCharType="begin"/>
      </w:r>
      <w:r w:rsidR="00906FE6" w:rsidRPr="00FA314F">
        <w:rPr>
          <w:rFonts w:cs="Arial"/>
          <w:szCs w:val="22"/>
          <w:lang w:val="en-US"/>
        </w:rPr>
        <w:instrText xml:space="preserve"> REF _Ref380084379 \h  \* MERGEFORMAT </w:instrText>
      </w:r>
      <w:r w:rsidR="00906FE6" w:rsidRPr="00FA314F">
        <w:rPr>
          <w:rFonts w:cs="Arial"/>
          <w:szCs w:val="22"/>
          <w:lang w:val="en-US"/>
        </w:rPr>
      </w:r>
      <w:r w:rsidR="00906FE6"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34</w:t>
      </w:r>
      <w:r w:rsidR="00906FE6" w:rsidRPr="00FA314F">
        <w:rPr>
          <w:rFonts w:cs="Arial"/>
          <w:szCs w:val="22"/>
          <w:lang w:val="en-US"/>
        </w:rPr>
        <w:fldChar w:fldCharType="end"/>
      </w:r>
      <w:r w:rsidR="00906FE6" w:rsidRPr="00FA314F">
        <w:rPr>
          <w:rFonts w:cs="Arial"/>
          <w:szCs w:val="22"/>
          <w:lang w:val="en-US"/>
        </w:rPr>
        <w:t xml:space="preserve">). Macroalgae cover </w:t>
      </w:r>
      <w:r w:rsidR="00EB13D2" w:rsidRPr="00FA314F">
        <w:rPr>
          <w:rFonts w:cs="Arial"/>
          <w:szCs w:val="22"/>
          <w:lang w:val="en-US"/>
        </w:rPr>
        <w:t xml:space="preserve">at coastal sites has varied little and </w:t>
      </w:r>
      <w:r w:rsidR="00363A3D" w:rsidRPr="00FA314F">
        <w:rPr>
          <w:rFonts w:cs="Arial"/>
          <w:szCs w:val="22"/>
          <w:lang w:val="en-US"/>
        </w:rPr>
        <w:t>this year</w:t>
      </w:r>
      <w:r w:rsidR="00EB13D2" w:rsidRPr="00FA314F">
        <w:rPr>
          <w:rFonts w:cs="Arial"/>
          <w:szCs w:val="22"/>
          <w:lang w:val="en-US"/>
        </w:rPr>
        <w:t xml:space="preserve"> remained near to</w:t>
      </w:r>
      <w:r w:rsidR="00906FE6" w:rsidRPr="00FA314F">
        <w:rPr>
          <w:rFonts w:cs="Arial"/>
          <w:szCs w:val="22"/>
          <w:lang w:val="en-US"/>
        </w:rPr>
        <w:t xml:space="preserve"> the </w:t>
      </w:r>
      <w:r w:rsidR="00363A3D" w:rsidRPr="00FA314F">
        <w:rPr>
          <w:rFonts w:cs="Arial"/>
          <w:szCs w:val="22"/>
          <w:lang w:val="en-US"/>
        </w:rPr>
        <w:t xml:space="preserve">Reef-wide </w:t>
      </w:r>
      <w:r w:rsidR="00906FE6" w:rsidRPr="00FA314F">
        <w:rPr>
          <w:rFonts w:cs="Arial"/>
          <w:szCs w:val="22"/>
          <w:lang w:val="en-US"/>
        </w:rPr>
        <w:t>long-term average (</w:t>
      </w:r>
      <w:r w:rsidR="00906FE6" w:rsidRPr="00FA314F">
        <w:rPr>
          <w:rFonts w:cs="Arial"/>
          <w:szCs w:val="22"/>
          <w:lang w:val="en-US"/>
        </w:rPr>
        <w:fldChar w:fldCharType="begin"/>
      </w:r>
      <w:r w:rsidR="00906FE6" w:rsidRPr="00FA314F">
        <w:rPr>
          <w:rFonts w:cs="Arial"/>
          <w:szCs w:val="22"/>
          <w:lang w:val="en-US"/>
        </w:rPr>
        <w:instrText xml:space="preserve"> REF _Ref380084379 \h  \* MERGEFORMAT </w:instrText>
      </w:r>
      <w:r w:rsidR="00906FE6" w:rsidRPr="00FA314F">
        <w:rPr>
          <w:rFonts w:cs="Arial"/>
          <w:szCs w:val="22"/>
          <w:lang w:val="en-US"/>
        </w:rPr>
      </w:r>
      <w:r w:rsidR="00906FE6"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34</w:t>
      </w:r>
      <w:r w:rsidR="00906FE6" w:rsidRPr="00FA314F">
        <w:rPr>
          <w:rFonts w:cs="Arial"/>
          <w:szCs w:val="22"/>
          <w:lang w:val="en-US"/>
        </w:rPr>
        <w:fldChar w:fldCharType="end"/>
      </w:r>
      <w:r w:rsidR="00906FE6" w:rsidRPr="00FA314F">
        <w:rPr>
          <w:rFonts w:cs="Arial"/>
          <w:szCs w:val="22"/>
          <w:lang w:val="en-US"/>
        </w:rPr>
        <w:t>).</w:t>
      </w:r>
    </w:p>
    <w:p w14:paraId="04265A79" w14:textId="77777777" w:rsidR="00906FE6" w:rsidRPr="00FA314F" w:rsidRDefault="00665D56" w:rsidP="008579CD">
      <w:pPr>
        <w:keepNext/>
        <w:widowControl w:val="0"/>
        <w:jc w:val="center"/>
        <w:rPr>
          <w:rFonts w:cs="Arial"/>
          <w:szCs w:val="22"/>
          <w:lang w:val="en-US"/>
        </w:rPr>
      </w:pPr>
      <w:bookmarkStart w:id="319" w:name="_Ref211836184"/>
      <w:bookmarkStart w:id="320" w:name="_Toc232845960"/>
      <w:r w:rsidRPr="00FA314F">
        <w:rPr>
          <w:rFonts w:cs="Arial"/>
          <w:noProof/>
          <w:szCs w:val="22"/>
          <w:lang w:eastAsia="en-AU"/>
        </w:rPr>
        <w:drawing>
          <wp:inline distT="0" distB="0" distL="0" distR="0" wp14:anchorId="04B88AA4" wp14:editId="22FDEC49">
            <wp:extent cx="5352068" cy="2107976"/>
            <wp:effectExtent l="0" t="0" r="1270" b="6985"/>
            <wp:docPr id="290" name="Picture 290" descr="Set of four bar charts showing long-term trend in mean epiphyte and macroalgae abundance (% cover) at monitoring sites in the Cape York region, relative to the long-term average for each inshore GBR intertidal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CY_epi_algae_change_2016.png"/>
                    <pic:cNvPicPr/>
                  </pic:nvPicPr>
                  <pic:blipFill>
                    <a:blip r:embed="rId87"/>
                    <a:stretch>
                      <a:fillRect/>
                    </a:stretch>
                  </pic:blipFill>
                  <pic:spPr>
                    <a:xfrm>
                      <a:off x="0" y="0"/>
                      <a:ext cx="5352068" cy="2107976"/>
                    </a:xfrm>
                    <a:prstGeom prst="rect">
                      <a:avLst/>
                    </a:prstGeom>
                  </pic:spPr>
                </pic:pic>
              </a:graphicData>
            </a:graphic>
          </wp:inline>
        </w:drawing>
      </w:r>
    </w:p>
    <w:p w14:paraId="4E697DCE" w14:textId="6474AAC5" w:rsidR="00906FE6" w:rsidRPr="00FA314F" w:rsidRDefault="00906FE6" w:rsidP="00906FE6">
      <w:pPr>
        <w:rPr>
          <w:rFonts w:cs="Arial"/>
          <w:i/>
          <w:vanish/>
          <w:szCs w:val="22"/>
          <w:specVanish/>
        </w:rPr>
      </w:pPr>
      <w:bookmarkStart w:id="321" w:name="_Ref380084379"/>
      <w:bookmarkStart w:id="322" w:name="_Toc431493834"/>
      <w:bookmarkStart w:id="323" w:name="_Toc38634138"/>
      <w:r w:rsidRPr="00FA314F">
        <w:rPr>
          <w:rFonts w:cs="Arial"/>
          <w:szCs w:val="22"/>
        </w:rPr>
        <w:t xml:space="preserve">Figure </w:t>
      </w:r>
      <w:r w:rsidR="00C506C7" w:rsidRPr="00FA314F">
        <w:rPr>
          <w:rFonts w:cs="Arial"/>
          <w:noProof/>
          <w:szCs w:val="22"/>
        </w:rPr>
        <w:fldChar w:fldCharType="begin"/>
      </w:r>
      <w:r w:rsidR="00C506C7" w:rsidRPr="00FA314F">
        <w:rPr>
          <w:rFonts w:cs="Arial"/>
          <w:noProof/>
          <w:szCs w:val="22"/>
        </w:rPr>
        <w:instrText xml:space="preserve"> SEQ Figure \* ARABIC </w:instrText>
      </w:r>
      <w:r w:rsidR="00C506C7" w:rsidRPr="00FA314F">
        <w:rPr>
          <w:rFonts w:cs="Arial"/>
          <w:noProof/>
          <w:szCs w:val="22"/>
        </w:rPr>
        <w:fldChar w:fldCharType="separate"/>
      </w:r>
      <w:r w:rsidR="0067675D">
        <w:rPr>
          <w:rFonts w:cs="Arial"/>
          <w:noProof/>
          <w:szCs w:val="22"/>
        </w:rPr>
        <w:t>34</w:t>
      </w:r>
      <w:r w:rsidR="00C506C7" w:rsidRPr="00FA314F">
        <w:rPr>
          <w:rFonts w:cs="Arial"/>
          <w:noProof/>
          <w:szCs w:val="22"/>
        </w:rPr>
        <w:fldChar w:fldCharType="end"/>
      </w:r>
      <w:bookmarkEnd w:id="319"/>
      <w:bookmarkEnd w:id="321"/>
      <w:r w:rsidRPr="00FA314F">
        <w:rPr>
          <w:rFonts w:cs="Arial"/>
          <w:szCs w:val="22"/>
        </w:rPr>
        <w:t xml:space="preserve">. </w:t>
      </w:r>
      <w:bookmarkEnd w:id="320"/>
      <w:r w:rsidR="00257C1B" w:rsidRPr="00FA314F">
        <w:rPr>
          <w:rFonts w:cs="Arial"/>
          <w:i/>
          <w:szCs w:val="22"/>
        </w:rPr>
        <w:t>Deviations in mean epiphyte and macroalgae abundance (</w:t>
      </w:r>
      <w:r w:rsidR="00C47C94">
        <w:rPr>
          <w:rFonts w:cs="Arial"/>
          <w:i/>
          <w:szCs w:val="22"/>
        </w:rPr>
        <w:t>per cent</w:t>
      </w:r>
      <w:r w:rsidR="00257C1B" w:rsidRPr="00FA314F">
        <w:rPr>
          <w:rFonts w:cs="Arial"/>
          <w:i/>
          <w:szCs w:val="22"/>
        </w:rPr>
        <w:t xml:space="preserve"> cover) at monitoring habitats in the Cape York region</w:t>
      </w:r>
      <w:r w:rsidR="00F758CA" w:rsidRPr="00FA314F">
        <w:rPr>
          <w:rFonts w:cs="Arial"/>
          <w:i/>
          <w:szCs w:val="22"/>
        </w:rPr>
        <w:t xml:space="preserve">, </w:t>
      </w:r>
      <w:r w:rsidRPr="00FA314F">
        <w:rPr>
          <w:rFonts w:cs="Arial"/>
          <w:i/>
          <w:szCs w:val="22"/>
        </w:rPr>
        <w:t xml:space="preserve">relative to the </w:t>
      </w:r>
      <w:r w:rsidR="003158FC" w:rsidRPr="00FA314F">
        <w:rPr>
          <w:rFonts w:cs="Arial"/>
          <w:i/>
          <w:szCs w:val="22"/>
        </w:rPr>
        <w:t>Reef</w:t>
      </w:r>
      <w:r w:rsidR="00257C1B" w:rsidRPr="00FA314F">
        <w:rPr>
          <w:rFonts w:cs="Arial"/>
          <w:i/>
          <w:szCs w:val="22"/>
        </w:rPr>
        <w:t xml:space="preserve"> </w:t>
      </w:r>
      <w:r w:rsidRPr="00FA314F">
        <w:rPr>
          <w:rFonts w:cs="Arial"/>
          <w:i/>
          <w:szCs w:val="22"/>
        </w:rPr>
        <w:t>long-term average</w:t>
      </w:r>
      <w:bookmarkEnd w:id="322"/>
      <w:bookmarkEnd w:id="323"/>
    </w:p>
    <w:p w14:paraId="400C1F9D" w14:textId="4618E0F7" w:rsidR="00906FE6" w:rsidRPr="00FA314F" w:rsidRDefault="00906FE6" w:rsidP="00906FE6">
      <w:pPr>
        <w:rPr>
          <w:rFonts w:cs="Arial"/>
          <w:i/>
          <w:szCs w:val="22"/>
        </w:rPr>
      </w:pPr>
      <w:r w:rsidRPr="00FA314F">
        <w:rPr>
          <w:rFonts w:cs="Arial"/>
          <w:i/>
          <w:szCs w:val="22"/>
        </w:rPr>
        <w:t xml:space="preserve"> (sites pooled, ±SE). </w:t>
      </w:r>
      <w:r w:rsidR="00363A3D" w:rsidRPr="00FA314F">
        <w:rPr>
          <w:rFonts w:cs="Arial"/>
          <w:i/>
          <w:szCs w:val="22"/>
        </w:rPr>
        <w:t xml:space="preserve">Green bars indicate positive deviations for condition, red bars negative. </w:t>
      </w:r>
    </w:p>
    <w:p w14:paraId="50035C5B" w14:textId="77777777" w:rsidR="009A2C0F" w:rsidRPr="00FA314F" w:rsidRDefault="009A2C0F">
      <w:pPr>
        <w:rPr>
          <w:rFonts w:cs="Arial"/>
          <w:szCs w:val="22"/>
        </w:rPr>
      </w:pPr>
      <w:bookmarkStart w:id="324" w:name="_Toc175991066"/>
      <w:bookmarkStart w:id="325" w:name="_Toc232845911"/>
      <w:bookmarkStart w:id="326" w:name="_Toc184101981"/>
      <w:bookmarkStart w:id="327" w:name="_Toc431493763"/>
    </w:p>
    <w:p w14:paraId="347FD01A" w14:textId="77777777" w:rsidR="00F13465" w:rsidRPr="00CB093C" w:rsidRDefault="00F13465">
      <w:pPr>
        <w:rPr>
          <w:rFonts w:cs="Arial"/>
          <w:szCs w:val="22"/>
        </w:rPr>
      </w:pPr>
      <w:r w:rsidRPr="00CB093C">
        <w:rPr>
          <w:rFonts w:cs="Arial"/>
          <w:szCs w:val="22"/>
        </w:rPr>
        <w:br w:type="page"/>
      </w:r>
    </w:p>
    <w:p w14:paraId="575E9775" w14:textId="77777777" w:rsidR="00F13465" w:rsidRPr="00431DDA" w:rsidRDefault="00F13465" w:rsidP="000150D8">
      <w:pPr>
        <w:pStyle w:val="Heading2"/>
      </w:pPr>
      <w:bookmarkStart w:id="328" w:name="_Toc37775075"/>
      <w:bookmarkStart w:id="329" w:name="_Toc43987050"/>
      <w:r w:rsidRPr="00431DDA">
        <w:lastRenderedPageBreak/>
        <w:t>Wet Tropics</w:t>
      </w:r>
      <w:bookmarkEnd w:id="328"/>
      <w:bookmarkEnd w:id="329"/>
    </w:p>
    <w:p w14:paraId="75C3EA68" w14:textId="1A1757D1" w:rsidR="005132EF" w:rsidRPr="00431DDA" w:rsidRDefault="00956639" w:rsidP="000150D8">
      <w:pPr>
        <w:pStyle w:val="Heading3"/>
      </w:pPr>
      <w:bookmarkStart w:id="330" w:name="_Toc184101982"/>
      <w:bookmarkStart w:id="331" w:name="_Toc431493764"/>
      <w:bookmarkStart w:id="332" w:name="_Toc37775076"/>
      <w:bookmarkStart w:id="333" w:name="_Toc43987051"/>
      <w:bookmarkEnd w:id="324"/>
      <w:bookmarkEnd w:id="325"/>
      <w:bookmarkEnd w:id="326"/>
      <w:bookmarkEnd w:id="327"/>
      <w:r w:rsidRPr="00431DDA">
        <w:t>2018–19</w:t>
      </w:r>
      <w:r w:rsidR="00C81636" w:rsidRPr="00431DDA">
        <w:t xml:space="preserve"> </w:t>
      </w:r>
      <w:r w:rsidR="005132EF" w:rsidRPr="00431DDA">
        <w:t>Summary</w:t>
      </w:r>
      <w:bookmarkEnd w:id="330"/>
      <w:bookmarkEnd w:id="331"/>
      <w:bookmarkEnd w:id="332"/>
      <w:bookmarkEnd w:id="333"/>
    </w:p>
    <w:p w14:paraId="3B55E46A" w14:textId="5F0E097B" w:rsidR="00560329" w:rsidRPr="00FA314F" w:rsidRDefault="002A7E42" w:rsidP="002A7E42">
      <w:pPr>
        <w:rPr>
          <w:rFonts w:cs="Arial"/>
          <w:color w:val="000000" w:themeColor="text1"/>
          <w:szCs w:val="22"/>
        </w:rPr>
      </w:pPr>
      <w:bookmarkStart w:id="334" w:name="_Toc184101983"/>
      <w:bookmarkStart w:id="335" w:name="_Toc431493765"/>
      <w:r w:rsidRPr="00FA314F">
        <w:rPr>
          <w:rFonts w:cs="Arial"/>
          <w:color w:val="000000" w:themeColor="text1"/>
          <w:szCs w:val="22"/>
        </w:rPr>
        <w:t>Seagrass meadows within the Wet Tropics show</w:t>
      </w:r>
      <w:r w:rsidR="002226E6" w:rsidRPr="00FA314F">
        <w:rPr>
          <w:rFonts w:cs="Arial"/>
          <w:color w:val="000000" w:themeColor="text1"/>
          <w:szCs w:val="22"/>
        </w:rPr>
        <w:t>ed</w:t>
      </w:r>
      <w:r w:rsidRPr="00FA314F">
        <w:rPr>
          <w:rFonts w:cs="Arial"/>
          <w:color w:val="000000" w:themeColor="text1"/>
          <w:szCs w:val="22"/>
        </w:rPr>
        <w:t xml:space="preserve"> an overall improvement in seagrass condition index in </w:t>
      </w:r>
      <w:r w:rsidR="00956639" w:rsidRPr="00FA314F">
        <w:rPr>
          <w:rFonts w:cs="Arial"/>
          <w:color w:val="000000" w:themeColor="text1"/>
          <w:szCs w:val="22"/>
        </w:rPr>
        <w:t>2018–19</w:t>
      </w:r>
      <w:r w:rsidRPr="00FA314F">
        <w:rPr>
          <w:rFonts w:cs="Arial"/>
          <w:color w:val="000000" w:themeColor="text1"/>
          <w:szCs w:val="22"/>
        </w:rPr>
        <w:t>, but they remain in a vulnerable state</w:t>
      </w:r>
      <w:r w:rsidR="00560329" w:rsidRPr="00FA314F">
        <w:rPr>
          <w:rFonts w:cs="Arial"/>
          <w:color w:val="000000" w:themeColor="text1"/>
          <w:szCs w:val="22"/>
        </w:rPr>
        <w:t>, particularly</w:t>
      </w:r>
      <w:r w:rsidRPr="00FA314F">
        <w:rPr>
          <w:rFonts w:cs="Arial"/>
          <w:color w:val="000000" w:themeColor="text1"/>
          <w:szCs w:val="22"/>
        </w:rPr>
        <w:t xml:space="preserve"> in the southern Wet Tropics region</w:t>
      </w:r>
      <w:r w:rsidR="00560329" w:rsidRPr="00FA314F">
        <w:rPr>
          <w:rFonts w:cs="Arial"/>
          <w:color w:val="000000" w:themeColor="text1"/>
          <w:szCs w:val="22"/>
        </w:rPr>
        <w:t xml:space="preserve">. </w:t>
      </w:r>
      <w:r w:rsidR="00B704CE">
        <w:rPr>
          <w:rFonts w:cs="Arial"/>
          <w:color w:val="000000" w:themeColor="text1"/>
          <w:szCs w:val="22"/>
        </w:rPr>
        <w:t xml:space="preserve">Although </w:t>
      </w:r>
      <w:r w:rsidR="00560329" w:rsidRPr="00FA314F">
        <w:rPr>
          <w:rFonts w:cs="Arial"/>
          <w:color w:val="000000" w:themeColor="text1"/>
          <w:szCs w:val="22"/>
        </w:rPr>
        <w:t xml:space="preserve">the status of seagrass condition in the northern Wet Tropics NRM region </w:t>
      </w:r>
      <w:r w:rsidR="00B704CE">
        <w:rPr>
          <w:rFonts w:cs="Arial"/>
          <w:color w:val="000000" w:themeColor="text1"/>
          <w:szCs w:val="22"/>
        </w:rPr>
        <w:t xml:space="preserve">increased to the highest score since monitoring was established, it </w:t>
      </w:r>
      <w:r w:rsidR="00874987">
        <w:rPr>
          <w:rFonts w:cs="Arial"/>
          <w:color w:val="000000" w:themeColor="text1"/>
          <w:szCs w:val="22"/>
        </w:rPr>
        <w:t>remain</w:t>
      </w:r>
      <w:r w:rsidR="00B704CE">
        <w:rPr>
          <w:rFonts w:cs="Arial"/>
          <w:color w:val="000000" w:themeColor="text1"/>
          <w:szCs w:val="22"/>
        </w:rPr>
        <w:t>ed</w:t>
      </w:r>
      <w:r w:rsidR="00560329" w:rsidRPr="00FA314F">
        <w:rPr>
          <w:rFonts w:cs="Arial"/>
          <w:color w:val="000000" w:themeColor="text1"/>
          <w:szCs w:val="22"/>
        </w:rPr>
        <w:t xml:space="preserve"> </w:t>
      </w:r>
      <w:r w:rsidR="00560329" w:rsidRPr="00FA314F">
        <w:rPr>
          <w:rFonts w:cs="Arial"/>
          <w:b/>
          <w:color w:val="000000" w:themeColor="text1"/>
          <w:szCs w:val="22"/>
        </w:rPr>
        <w:t>moderate</w:t>
      </w:r>
      <w:r w:rsidR="00B704CE" w:rsidRPr="00B704CE">
        <w:rPr>
          <w:rFonts w:cs="Arial"/>
          <w:szCs w:val="22"/>
        </w:rPr>
        <w:t xml:space="preserve">. </w:t>
      </w:r>
      <w:r w:rsidR="00B704CE">
        <w:rPr>
          <w:rFonts w:cs="Arial"/>
          <w:szCs w:val="22"/>
        </w:rPr>
        <w:t>Similarly</w:t>
      </w:r>
      <w:r w:rsidR="00560329" w:rsidRPr="00B704CE">
        <w:rPr>
          <w:rFonts w:cs="Arial"/>
          <w:szCs w:val="22"/>
        </w:rPr>
        <w:t>,</w:t>
      </w:r>
      <w:r w:rsidR="00560329" w:rsidRPr="00FA314F">
        <w:rPr>
          <w:rFonts w:cs="Arial"/>
          <w:color w:val="000000" w:themeColor="text1"/>
          <w:szCs w:val="22"/>
        </w:rPr>
        <w:t xml:space="preserve"> </w:t>
      </w:r>
      <w:r w:rsidR="00B704CE" w:rsidRPr="00FA314F">
        <w:rPr>
          <w:rFonts w:cs="Arial"/>
          <w:color w:val="000000" w:themeColor="text1"/>
          <w:szCs w:val="22"/>
        </w:rPr>
        <w:t xml:space="preserve">seagrass condition </w:t>
      </w:r>
      <w:r w:rsidR="00874987">
        <w:rPr>
          <w:rFonts w:cs="Arial"/>
          <w:color w:val="000000" w:themeColor="text1"/>
          <w:szCs w:val="22"/>
        </w:rPr>
        <w:t xml:space="preserve">improved from very poor to </w:t>
      </w:r>
      <w:r w:rsidR="00560329" w:rsidRPr="00FA314F">
        <w:rPr>
          <w:rFonts w:cs="Arial"/>
          <w:b/>
          <w:szCs w:val="22"/>
        </w:rPr>
        <w:t>poor</w:t>
      </w:r>
      <w:r w:rsidR="00560329" w:rsidRPr="00FA314F">
        <w:rPr>
          <w:rFonts w:cs="Arial"/>
          <w:szCs w:val="22"/>
        </w:rPr>
        <w:t xml:space="preserve"> </w:t>
      </w:r>
      <w:r w:rsidR="00560329" w:rsidRPr="00FA314F">
        <w:rPr>
          <w:rFonts w:cs="Arial"/>
          <w:color w:val="000000" w:themeColor="text1"/>
          <w:szCs w:val="22"/>
        </w:rPr>
        <w:t>in the south</w:t>
      </w:r>
      <w:r w:rsidR="00B704CE">
        <w:rPr>
          <w:rFonts w:cs="Arial"/>
          <w:color w:val="000000" w:themeColor="text1"/>
          <w:szCs w:val="22"/>
        </w:rPr>
        <w:t xml:space="preserve">ern </w:t>
      </w:r>
      <w:r w:rsidR="00B704CE" w:rsidRPr="00FA314F">
        <w:rPr>
          <w:rFonts w:cs="Arial"/>
          <w:color w:val="000000" w:themeColor="text1"/>
          <w:szCs w:val="22"/>
        </w:rPr>
        <w:t>Wet Tropics</w:t>
      </w:r>
      <w:r w:rsidR="00560329" w:rsidRPr="00FA314F">
        <w:rPr>
          <w:rFonts w:cs="Arial"/>
          <w:color w:val="000000" w:themeColor="text1"/>
          <w:szCs w:val="22"/>
        </w:rPr>
        <w:t xml:space="preserve"> (</w:t>
      </w:r>
      <w:r w:rsidR="00560329" w:rsidRPr="00FA314F">
        <w:rPr>
          <w:rFonts w:cs="Arial"/>
          <w:color w:val="000000" w:themeColor="text1"/>
          <w:szCs w:val="22"/>
        </w:rPr>
        <w:fldChar w:fldCharType="begin"/>
      </w:r>
      <w:r w:rsidR="00560329" w:rsidRPr="00FA314F">
        <w:rPr>
          <w:rFonts w:cs="Arial"/>
          <w:color w:val="000000" w:themeColor="text1"/>
          <w:szCs w:val="22"/>
        </w:rPr>
        <w:instrText xml:space="preserve"> REF _Ref385233640 \h  \* MERGEFORMAT </w:instrText>
      </w:r>
      <w:r w:rsidR="00560329" w:rsidRPr="00FA314F">
        <w:rPr>
          <w:rFonts w:cs="Arial"/>
          <w:color w:val="000000" w:themeColor="text1"/>
          <w:szCs w:val="22"/>
        </w:rPr>
      </w:r>
      <w:r w:rsidR="00560329" w:rsidRPr="00FA314F">
        <w:rPr>
          <w:rFonts w:cs="Arial"/>
          <w:color w:val="000000" w:themeColor="text1"/>
          <w:szCs w:val="22"/>
        </w:rPr>
        <w:fldChar w:fldCharType="separate"/>
      </w:r>
      <w:r w:rsidR="0067675D" w:rsidRPr="00FA314F">
        <w:rPr>
          <w:rFonts w:cs="Arial"/>
          <w:color w:val="000000"/>
          <w:szCs w:val="22"/>
        </w:rPr>
        <w:t xml:space="preserve">Figure </w:t>
      </w:r>
      <w:r w:rsidR="0067675D">
        <w:rPr>
          <w:rFonts w:cs="Arial"/>
          <w:noProof/>
          <w:color w:val="000000"/>
          <w:szCs w:val="22"/>
        </w:rPr>
        <w:t>35</w:t>
      </w:r>
      <w:r w:rsidR="00560329" w:rsidRPr="00FA314F">
        <w:rPr>
          <w:rFonts w:cs="Arial"/>
          <w:color w:val="000000" w:themeColor="text1"/>
          <w:szCs w:val="22"/>
        </w:rPr>
        <w:fldChar w:fldCharType="end"/>
      </w:r>
      <w:r w:rsidR="00560329" w:rsidRPr="00FA314F">
        <w:rPr>
          <w:rFonts w:cs="Arial"/>
          <w:color w:val="000000" w:themeColor="text1"/>
          <w:szCs w:val="22"/>
        </w:rPr>
        <w:t>)</w:t>
      </w:r>
      <w:r w:rsidR="00B704CE">
        <w:rPr>
          <w:rFonts w:cs="Arial"/>
          <w:color w:val="000000" w:themeColor="text1"/>
          <w:szCs w:val="22"/>
        </w:rPr>
        <w:t>, although the c</w:t>
      </w:r>
      <w:r w:rsidR="00267443" w:rsidRPr="00FA314F">
        <w:rPr>
          <w:rFonts w:cs="Arial"/>
          <w:color w:val="000000" w:themeColor="text1"/>
          <w:szCs w:val="22"/>
        </w:rPr>
        <w:t xml:space="preserve">ombined regional condition was </w:t>
      </w:r>
      <w:r w:rsidR="00874987" w:rsidRPr="00B704CE">
        <w:rPr>
          <w:rFonts w:cs="Arial"/>
          <w:b/>
          <w:color w:val="000000" w:themeColor="text1"/>
          <w:szCs w:val="22"/>
        </w:rPr>
        <w:t>poor</w:t>
      </w:r>
      <w:r w:rsidR="00267443" w:rsidRPr="00FA314F">
        <w:rPr>
          <w:rFonts w:cs="Arial"/>
          <w:color w:val="000000" w:themeColor="text1"/>
          <w:szCs w:val="22"/>
        </w:rPr>
        <w:t xml:space="preserve"> (</w:t>
      </w:r>
      <w:r w:rsidR="00874987">
        <w:rPr>
          <w:rFonts w:cs="Arial"/>
          <w:color w:val="000000" w:themeColor="text1"/>
          <w:szCs w:val="22"/>
        </w:rPr>
        <w:fldChar w:fldCharType="begin"/>
      </w:r>
      <w:r w:rsidR="00874987">
        <w:rPr>
          <w:rFonts w:cs="Arial"/>
          <w:color w:val="000000" w:themeColor="text1"/>
          <w:szCs w:val="22"/>
        </w:rPr>
        <w:instrText xml:space="preserve"> REF _Ref536860481 \h </w:instrText>
      </w:r>
      <w:r w:rsidR="00874987">
        <w:rPr>
          <w:rFonts w:cs="Arial"/>
          <w:color w:val="000000" w:themeColor="text1"/>
          <w:szCs w:val="22"/>
        </w:rPr>
      </w:r>
      <w:r w:rsidR="00874987">
        <w:rPr>
          <w:rFonts w:cs="Arial"/>
          <w:color w:val="000000" w:themeColor="text1"/>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874987">
        <w:rPr>
          <w:rFonts w:cs="Arial"/>
          <w:color w:val="000000" w:themeColor="text1"/>
          <w:szCs w:val="22"/>
        </w:rPr>
        <w:fldChar w:fldCharType="end"/>
      </w:r>
      <w:r w:rsidR="00267443" w:rsidRPr="00FA314F">
        <w:rPr>
          <w:rFonts w:cs="Arial"/>
          <w:color w:val="000000" w:themeColor="text1"/>
          <w:szCs w:val="22"/>
        </w:rPr>
        <w:t xml:space="preserve">). </w:t>
      </w:r>
      <w:r w:rsidR="00A5072E" w:rsidRPr="00FA314F">
        <w:rPr>
          <w:rFonts w:cs="Arial"/>
          <w:color w:val="000000" w:themeColor="text1"/>
          <w:szCs w:val="22"/>
        </w:rPr>
        <w:t>Contributing indicators</w:t>
      </w:r>
      <w:r w:rsidR="00AC401F" w:rsidRPr="00FA314F">
        <w:rPr>
          <w:rFonts w:cs="Arial"/>
          <w:color w:val="000000" w:themeColor="text1"/>
          <w:szCs w:val="22"/>
        </w:rPr>
        <w:t xml:space="preserve"> in the north were:</w:t>
      </w:r>
    </w:p>
    <w:p w14:paraId="69EBFD65" w14:textId="1EB063F5" w:rsidR="00A5072E" w:rsidRPr="00FA314F" w:rsidRDefault="00A5072E" w:rsidP="003F4D32">
      <w:pPr>
        <w:numPr>
          <w:ilvl w:val="0"/>
          <w:numId w:val="18"/>
        </w:numPr>
        <w:spacing w:after="0"/>
        <w:rPr>
          <w:rFonts w:cs="Arial"/>
          <w:szCs w:val="22"/>
        </w:rPr>
      </w:pPr>
      <w:r w:rsidRPr="00FA314F">
        <w:rPr>
          <w:rFonts w:cs="Arial"/>
          <w:szCs w:val="22"/>
        </w:rPr>
        <w:t>abundance score</w:t>
      </w:r>
      <w:r w:rsidR="00AC401F" w:rsidRPr="00FA314F">
        <w:rPr>
          <w:rFonts w:cs="Arial"/>
          <w:szCs w:val="22"/>
        </w:rPr>
        <w:t xml:space="preserve"> was moderate</w:t>
      </w:r>
    </w:p>
    <w:p w14:paraId="0D366354" w14:textId="61E44401" w:rsidR="00A90D4E" w:rsidRPr="00FA314F" w:rsidRDefault="00A90D4E" w:rsidP="003F4D32">
      <w:pPr>
        <w:numPr>
          <w:ilvl w:val="0"/>
          <w:numId w:val="18"/>
        </w:numPr>
        <w:spacing w:after="0"/>
        <w:rPr>
          <w:rFonts w:cs="Arial"/>
          <w:szCs w:val="22"/>
        </w:rPr>
      </w:pPr>
      <w:r w:rsidRPr="00FA314F">
        <w:rPr>
          <w:rFonts w:cs="Arial"/>
          <w:szCs w:val="22"/>
        </w:rPr>
        <w:t xml:space="preserve">reproductive effort score was </w:t>
      </w:r>
      <w:r w:rsidR="005434FE" w:rsidRPr="00FA314F">
        <w:rPr>
          <w:rFonts w:cs="Arial"/>
          <w:szCs w:val="22"/>
        </w:rPr>
        <w:t>good</w:t>
      </w:r>
    </w:p>
    <w:p w14:paraId="44CC1E30" w14:textId="0F308BF6" w:rsidR="00A5072E" w:rsidRPr="00FA314F" w:rsidRDefault="00A5072E" w:rsidP="003F4D32">
      <w:pPr>
        <w:numPr>
          <w:ilvl w:val="0"/>
          <w:numId w:val="18"/>
        </w:numPr>
        <w:spacing w:after="0"/>
        <w:rPr>
          <w:rFonts w:cs="Arial"/>
          <w:szCs w:val="22"/>
        </w:rPr>
      </w:pPr>
      <w:r w:rsidRPr="00FA314F">
        <w:rPr>
          <w:rFonts w:cs="Arial"/>
          <w:szCs w:val="22"/>
        </w:rPr>
        <w:t>tissue nutrient score</w:t>
      </w:r>
      <w:r w:rsidR="0090169A" w:rsidRPr="00FA314F">
        <w:rPr>
          <w:rFonts w:cs="Arial"/>
          <w:szCs w:val="22"/>
        </w:rPr>
        <w:t xml:space="preserve"> was poor</w:t>
      </w:r>
      <w:r w:rsidR="008D1915" w:rsidRPr="00FA314F">
        <w:rPr>
          <w:rFonts w:cs="Arial"/>
          <w:szCs w:val="22"/>
        </w:rPr>
        <w:t>.</w:t>
      </w:r>
    </w:p>
    <w:p w14:paraId="09F0C318" w14:textId="70BEBEC2" w:rsidR="0090169A" w:rsidRPr="00FA314F" w:rsidRDefault="0090169A" w:rsidP="0090169A">
      <w:pPr>
        <w:rPr>
          <w:rFonts w:cs="Arial"/>
          <w:color w:val="000000" w:themeColor="text1"/>
          <w:szCs w:val="22"/>
        </w:rPr>
      </w:pPr>
      <w:r w:rsidRPr="00FA314F">
        <w:rPr>
          <w:rFonts w:cs="Arial"/>
          <w:color w:val="000000" w:themeColor="text1"/>
          <w:szCs w:val="22"/>
        </w:rPr>
        <w:t>Contributing indicators in the south were:</w:t>
      </w:r>
    </w:p>
    <w:p w14:paraId="74208818" w14:textId="67A8409A" w:rsidR="00F94043" w:rsidRPr="00FA314F" w:rsidRDefault="00F94043" w:rsidP="003F4D32">
      <w:pPr>
        <w:numPr>
          <w:ilvl w:val="0"/>
          <w:numId w:val="26"/>
        </w:numPr>
        <w:spacing w:after="0"/>
        <w:rPr>
          <w:rFonts w:cs="Arial"/>
          <w:szCs w:val="22"/>
        </w:rPr>
      </w:pPr>
      <w:r w:rsidRPr="00FA314F">
        <w:rPr>
          <w:rFonts w:cs="Arial"/>
          <w:szCs w:val="22"/>
        </w:rPr>
        <w:t>abundance score was poor</w:t>
      </w:r>
    </w:p>
    <w:p w14:paraId="72657AA7" w14:textId="77777777" w:rsidR="00A90D4E" w:rsidRPr="00FA314F" w:rsidRDefault="00F94043" w:rsidP="003F4D32">
      <w:pPr>
        <w:numPr>
          <w:ilvl w:val="0"/>
          <w:numId w:val="26"/>
        </w:numPr>
        <w:rPr>
          <w:rFonts w:cs="Arial"/>
          <w:color w:val="000000" w:themeColor="text1"/>
          <w:szCs w:val="22"/>
        </w:rPr>
      </w:pPr>
      <w:r w:rsidRPr="00FA314F">
        <w:rPr>
          <w:rFonts w:cs="Arial"/>
          <w:szCs w:val="22"/>
        </w:rPr>
        <w:t>reproductive effort score was very poor</w:t>
      </w:r>
    </w:p>
    <w:p w14:paraId="60A900A0" w14:textId="63604EFE" w:rsidR="0090169A" w:rsidRPr="00FA314F" w:rsidRDefault="00A90D4E" w:rsidP="003F4D32">
      <w:pPr>
        <w:numPr>
          <w:ilvl w:val="0"/>
          <w:numId w:val="26"/>
        </w:numPr>
        <w:spacing w:after="0"/>
        <w:rPr>
          <w:rFonts w:cs="Arial"/>
          <w:szCs w:val="22"/>
        </w:rPr>
      </w:pPr>
      <w:r w:rsidRPr="00FA314F">
        <w:rPr>
          <w:rFonts w:cs="Arial"/>
          <w:szCs w:val="22"/>
        </w:rPr>
        <w:t>tissue nutrient score was poor</w:t>
      </w:r>
      <w:r w:rsidR="00F94043" w:rsidRPr="00FA314F">
        <w:rPr>
          <w:rFonts w:cs="Arial"/>
          <w:szCs w:val="22"/>
        </w:rPr>
        <w:t>.</w:t>
      </w:r>
    </w:p>
    <w:p w14:paraId="11772119" w14:textId="48E28B2B" w:rsidR="00A5072E" w:rsidRPr="00B704CE" w:rsidRDefault="002A7E42" w:rsidP="00A5072E">
      <w:pPr>
        <w:rPr>
          <w:rFonts w:cs="Arial"/>
          <w:szCs w:val="22"/>
        </w:rPr>
      </w:pPr>
      <w:r w:rsidRPr="00B704CE">
        <w:rPr>
          <w:rFonts w:cs="Arial"/>
          <w:szCs w:val="22"/>
        </w:rPr>
        <w:t xml:space="preserve">Seagrass abundance </w:t>
      </w:r>
      <w:r w:rsidR="00C2086E" w:rsidRPr="00B704CE">
        <w:rPr>
          <w:rFonts w:cs="Arial"/>
          <w:szCs w:val="22"/>
        </w:rPr>
        <w:t>decreased slightly</w:t>
      </w:r>
      <w:r w:rsidR="00B704CE" w:rsidRPr="00B704CE">
        <w:rPr>
          <w:rFonts w:cs="Arial"/>
          <w:szCs w:val="22"/>
        </w:rPr>
        <w:t xml:space="preserve"> in 2018-19</w:t>
      </w:r>
      <w:r w:rsidRPr="00B704CE">
        <w:rPr>
          <w:rFonts w:cs="Arial"/>
          <w:szCs w:val="22"/>
        </w:rPr>
        <w:t xml:space="preserve"> relative to the previous period</w:t>
      </w:r>
      <w:r w:rsidR="00C2086E" w:rsidRPr="00B704CE">
        <w:rPr>
          <w:rFonts w:cs="Arial"/>
          <w:szCs w:val="22"/>
        </w:rPr>
        <w:t xml:space="preserve"> in the north</w:t>
      </w:r>
      <w:r w:rsidR="0044373B" w:rsidRPr="00B704CE">
        <w:rPr>
          <w:rFonts w:cs="Arial"/>
          <w:szCs w:val="22"/>
        </w:rPr>
        <w:t>ern Wet Tropics sites</w:t>
      </w:r>
      <w:r w:rsidR="00C2086E" w:rsidRPr="00B704CE">
        <w:rPr>
          <w:rFonts w:cs="Arial"/>
          <w:szCs w:val="22"/>
        </w:rPr>
        <w:t xml:space="preserve">, which is likely to </w:t>
      </w:r>
      <w:r w:rsidR="0044373B" w:rsidRPr="00B704CE">
        <w:rPr>
          <w:rFonts w:cs="Arial"/>
          <w:szCs w:val="22"/>
        </w:rPr>
        <w:t>have been affected</w:t>
      </w:r>
      <w:r w:rsidR="00C2086E" w:rsidRPr="00B704CE">
        <w:rPr>
          <w:rFonts w:cs="Arial"/>
          <w:szCs w:val="22"/>
        </w:rPr>
        <w:t xml:space="preserve"> </w:t>
      </w:r>
      <w:r w:rsidR="00CD61BA" w:rsidRPr="00B704CE">
        <w:rPr>
          <w:rFonts w:cs="Arial"/>
          <w:szCs w:val="22"/>
        </w:rPr>
        <w:t xml:space="preserve">by </w:t>
      </w:r>
      <w:r w:rsidR="00C2086E" w:rsidRPr="00B704CE">
        <w:rPr>
          <w:rFonts w:cs="Arial"/>
          <w:szCs w:val="22"/>
        </w:rPr>
        <w:t>above-aver</w:t>
      </w:r>
      <w:r w:rsidR="0044373B" w:rsidRPr="00B704CE">
        <w:rPr>
          <w:rFonts w:cs="Arial"/>
          <w:szCs w:val="22"/>
        </w:rPr>
        <w:t>a</w:t>
      </w:r>
      <w:r w:rsidR="00C2086E" w:rsidRPr="00B704CE">
        <w:rPr>
          <w:rFonts w:cs="Arial"/>
          <w:szCs w:val="22"/>
        </w:rPr>
        <w:t xml:space="preserve">ge discharge from rivers </w:t>
      </w:r>
      <w:r w:rsidR="00CD61BA" w:rsidRPr="00B704CE">
        <w:rPr>
          <w:rFonts w:cs="Arial"/>
          <w:szCs w:val="22"/>
        </w:rPr>
        <w:t xml:space="preserve">influencing </w:t>
      </w:r>
      <w:r w:rsidR="00C2086E" w:rsidRPr="00B704CE">
        <w:rPr>
          <w:rFonts w:cs="Arial"/>
          <w:szCs w:val="22"/>
        </w:rPr>
        <w:t>the northern Wet Tropics and lower than long-term average light levels</w:t>
      </w:r>
      <w:r w:rsidR="009E5F10" w:rsidRPr="00B704CE">
        <w:rPr>
          <w:rFonts w:cs="Arial"/>
          <w:szCs w:val="22"/>
        </w:rPr>
        <w:t xml:space="preserve"> for the second consecutive period</w:t>
      </w:r>
      <w:r w:rsidR="00C2086E" w:rsidRPr="00B704CE">
        <w:rPr>
          <w:rFonts w:cs="Arial"/>
          <w:szCs w:val="22"/>
        </w:rPr>
        <w:t xml:space="preserve">. </w:t>
      </w:r>
      <w:r w:rsidRPr="00B704CE">
        <w:rPr>
          <w:rFonts w:cs="Arial"/>
          <w:szCs w:val="22"/>
        </w:rPr>
        <w:t xml:space="preserve">In the south, </w:t>
      </w:r>
      <w:r w:rsidR="00942CCE" w:rsidRPr="00B704CE">
        <w:rPr>
          <w:rFonts w:cs="Arial"/>
          <w:szCs w:val="22"/>
        </w:rPr>
        <w:t xml:space="preserve">the </w:t>
      </w:r>
      <w:r w:rsidR="0044373B" w:rsidRPr="00B704CE">
        <w:rPr>
          <w:rFonts w:cs="Arial"/>
          <w:szCs w:val="22"/>
        </w:rPr>
        <w:t xml:space="preserve">seagrass abundance </w:t>
      </w:r>
      <w:r w:rsidR="00942CCE" w:rsidRPr="00B704CE">
        <w:rPr>
          <w:rFonts w:cs="Arial"/>
          <w:szCs w:val="22"/>
        </w:rPr>
        <w:t xml:space="preserve">score </w:t>
      </w:r>
      <w:r w:rsidR="0044373B" w:rsidRPr="00B704CE">
        <w:rPr>
          <w:rFonts w:cs="Arial"/>
          <w:szCs w:val="22"/>
        </w:rPr>
        <w:t xml:space="preserve">increased to the highest level observed for southern sites, which may have been facilitated by average river discharges from most of the rivers influencing the south and cooler water temperature for the second year in a row. </w:t>
      </w:r>
    </w:p>
    <w:p w14:paraId="4A5FE7CC" w14:textId="4AC24F56" w:rsidR="00A5072E" w:rsidRPr="00B704CE" w:rsidRDefault="002A7E42" w:rsidP="002A7E42">
      <w:pPr>
        <w:rPr>
          <w:rFonts w:cs="Arial"/>
          <w:szCs w:val="22"/>
        </w:rPr>
      </w:pPr>
      <w:r w:rsidRPr="00B704CE">
        <w:rPr>
          <w:rFonts w:cs="Arial"/>
          <w:szCs w:val="22"/>
        </w:rPr>
        <w:t>An examination of temporal trends in seagrass abundance across the region show</w:t>
      </w:r>
      <w:r w:rsidR="00073D77">
        <w:rPr>
          <w:rFonts w:cs="Arial"/>
          <w:szCs w:val="22"/>
        </w:rPr>
        <w:t>s</w:t>
      </w:r>
      <w:r w:rsidRPr="00B704CE">
        <w:rPr>
          <w:rFonts w:cs="Arial"/>
          <w:szCs w:val="22"/>
        </w:rPr>
        <w:t xml:space="preserve"> </w:t>
      </w:r>
      <w:r w:rsidR="00942CCE" w:rsidRPr="00B704CE">
        <w:rPr>
          <w:rFonts w:cs="Arial"/>
          <w:szCs w:val="22"/>
        </w:rPr>
        <w:t>a high degree of variability</w:t>
      </w:r>
      <w:r w:rsidRPr="00B704CE">
        <w:rPr>
          <w:rFonts w:cs="Arial"/>
          <w:szCs w:val="22"/>
        </w:rPr>
        <w:t xml:space="preserve"> reflecting a complex range of environmental and biological processes.</w:t>
      </w:r>
      <w:r w:rsidR="00942CCE" w:rsidRPr="00B704CE">
        <w:rPr>
          <w:rFonts w:cs="Arial"/>
          <w:szCs w:val="22"/>
        </w:rPr>
        <w:t xml:space="preserve"> </w:t>
      </w:r>
      <w:r w:rsidRPr="00B704CE">
        <w:rPr>
          <w:rFonts w:cs="Arial"/>
          <w:szCs w:val="22"/>
        </w:rPr>
        <w:t>In the north, 40</w:t>
      </w:r>
      <w:r w:rsidR="003C311A">
        <w:rPr>
          <w:rFonts w:cs="Arial"/>
          <w:szCs w:val="22"/>
        </w:rPr>
        <w:t xml:space="preserve">% </w:t>
      </w:r>
      <w:r w:rsidRPr="00B704CE">
        <w:rPr>
          <w:rFonts w:cs="Arial"/>
          <w:szCs w:val="22"/>
        </w:rPr>
        <w:t xml:space="preserve">of reef sites have significantly declined in abundance over the long-term, while no trend was apparent for the </w:t>
      </w:r>
      <w:r w:rsidRPr="00B704CE">
        <w:rPr>
          <w:rFonts w:cs="Arial"/>
          <w:szCs w:val="22"/>
        </w:rPr>
        <w:lastRenderedPageBreak/>
        <w:t>remaining sites or habitats. In the south, only sites in coastal habitats have significantly declined over the long-term.</w:t>
      </w:r>
      <w:r w:rsidR="005434FE" w:rsidRPr="00B704CE">
        <w:rPr>
          <w:rFonts w:cs="Arial"/>
          <w:szCs w:val="22"/>
        </w:rPr>
        <w:t xml:space="preserve"> </w:t>
      </w:r>
      <w:r w:rsidRPr="00B704CE">
        <w:rPr>
          <w:rFonts w:cs="Arial"/>
          <w:szCs w:val="22"/>
        </w:rPr>
        <w:t xml:space="preserve">The declines are a consequence of the significant losses that occurred from 2009 to 2011, the result of multiple years of above-average rainfall and severe weather events. Recovery of seagrass meadows post 2011 has been challenged, particularly in the south, by unstable substrates (legacy of </w:t>
      </w:r>
      <w:r w:rsidR="00A5072E" w:rsidRPr="00B704CE">
        <w:rPr>
          <w:rFonts w:cs="Arial"/>
          <w:szCs w:val="22"/>
        </w:rPr>
        <w:t xml:space="preserve">cyclone </w:t>
      </w:r>
      <w:r w:rsidRPr="00B704CE">
        <w:rPr>
          <w:rFonts w:cs="Arial"/>
          <w:szCs w:val="22"/>
        </w:rPr>
        <w:t xml:space="preserve">Yasi), chronic poor water quality (high turbidity, light limitation, elevated temperatures), and limited recruitment capacity. </w:t>
      </w:r>
    </w:p>
    <w:p w14:paraId="42C8EFE2" w14:textId="79047FA0" w:rsidR="002A7E42" w:rsidRPr="00B704CE" w:rsidRDefault="002A7E42" w:rsidP="002A7E42">
      <w:pPr>
        <w:rPr>
          <w:rFonts w:cs="Arial"/>
          <w:szCs w:val="22"/>
        </w:rPr>
      </w:pPr>
      <w:r w:rsidRPr="00B704CE">
        <w:rPr>
          <w:rFonts w:cs="Arial"/>
          <w:szCs w:val="22"/>
        </w:rPr>
        <w:t xml:space="preserve">While meadows in the north have maintained a healthy seed bank and </w:t>
      </w:r>
      <w:r w:rsidRPr="00B704CE">
        <w:rPr>
          <w:rFonts w:cs="Arial"/>
          <w:szCs w:val="22"/>
          <w:lang w:eastAsia="en-AU"/>
        </w:rPr>
        <w:t xml:space="preserve">reproductive effort </w:t>
      </w:r>
      <w:r w:rsidR="001B5E28" w:rsidRPr="00B704CE">
        <w:rPr>
          <w:rFonts w:cs="Arial"/>
          <w:szCs w:val="22"/>
          <w:lang w:eastAsia="en-AU"/>
        </w:rPr>
        <w:t>reached record high levels</w:t>
      </w:r>
      <w:r w:rsidRPr="00B704CE">
        <w:rPr>
          <w:rFonts w:cs="Arial"/>
          <w:szCs w:val="22"/>
          <w:lang w:eastAsia="en-AU"/>
        </w:rPr>
        <w:t xml:space="preserve"> during </w:t>
      </w:r>
      <w:r w:rsidR="00956639" w:rsidRPr="00B704CE">
        <w:rPr>
          <w:rFonts w:cs="Arial"/>
          <w:szCs w:val="22"/>
          <w:lang w:eastAsia="en-AU"/>
        </w:rPr>
        <w:t>2018–19</w:t>
      </w:r>
      <w:r w:rsidRPr="00B704CE">
        <w:rPr>
          <w:rFonts w:cs="Arial"/>
          <w:szCs w:val="22"/>
          <w:lang w:eastAsia="en-AU"/>
        </w:rPr>
        <w:t xml:space="preserve">, in the south reproductive structures </w:t>
      </w:r>
      <w:r w:rsidR="001B5E28" w:rsidRPr="00B704CE">
        <w:rPr>
          <w:rFonts w:cs="Arial"/>
          <w:szCs w:val="22"/>
          <w:lang w:eastAsia="en-AU"/>
        </w:rPr>
        <w:t xml:space="preserve">remain at very low levels </w:t>
      </w:r>
      <w:r w:rsidRPr="00B704CE">
        <w:rPr>
          <w:rFonts w:cs="Arial"/>
          <w:szCs w:val="22"/>
          <w:lang w:eastAsia="en-AU"/>
        </w:rPr>
        <w:t>and seed banks absent. This has limited recovery in the south to rely</w:t>
      </w:r>
      <w:r w:rsidR="00A5072E" w:rsidRPr="00B704CE">
        <w:rPr>
          <w:rFonts w:cs="Arial"/>
          <w:szCs w:val="22"/>
          <w:lang w:eastAsia="en-AU"/>
        </w:rPr>
        <w:t>ing</w:t>
      </w:r>
      <w:r w:rsidRPr="00B704CE">
        <w:rPr>
          <w:rFonts w:cs="Arial"/>
          <w:szCs w:val="22"/>
          <w:lang w:eastAsia="en-AU"/>
        </w:rPr>
        <w:t xml:space="preserve"> on expansion of </w:t>
      </w:r>
      <w:r w:rsidR="00A5072E" w:rsidRPr="00B704CE">
        <w:rPr>
          <w:rFonts w:cs="Arial"/>
          <w:szCs w:val="22"/>
          <w:lang w:eastAsia="en-AU"/>
        </w:rPr>
        <w:t xml:space="preserve">remnant </w:t>
      </w:r>
      <w:r w:rsidRPr="00B704CE">
        <w:rPr>
          <w:rFonts w:cs="Arial"/>
          <w:szCs w:val="22"/>
          <w:lang w:eastAsia="en-AU"/>
        </w:rPr>
        <w:t xml:space="preserve">plants or recruitment from </w:t>
      </w:r>
      <w:r w:rsidR="00A5072E" w:rsidRPr="00B704CE">
        <w:rPr>
          <w:rFonts w:cs="Arial"/>
          <w:szCs w:val="22"/>
          <w:lang w:eastAsia="en-AU"/>
        </w:rPr>
        <w:t xml:space="preserve">elsewhere </w:t>
      </w:r>
      <w:r w:rsidR="00CC6767" w:rsidRPr="00B704CE">
        <w:rPr>
          <w:rFonts w:cs="Arial"/>
          <w:szCs w:val="22"/>
          <w:lang w:eastAsia="en-AU"/>
        </w:rPr>
        <w:t xml:space="preserve">(e.g., vegetative </w:t>
      </w:r>
      <w:r w:rsidRPr="00B704CE">
        <w:rPr>
          <w:rFonts w:cs="Arial"/>
          <w:szCs w:val="22"/>
          <w:lang w:eastAsia="en-AU"/>
        </w:rPr>
        <w:t>fragments</w:t>
      </w:r>
      <w:r w:rsidR="00CC6767" w:rsidRPr="00B704CE">
        <w:rPr>
          <w:rFonts w:cs="Arial"/>
          <w:szCs w:val="22"/>
          <w:lang w:eastAsia="en-AU"/>
        </w:rPr>
        <w:t>)</w:t>
      </w:r>
      <w:r w:rsidRPr="00B704CE">
        <w:rPr>
          <w:rFonts w:cs="Arial"/>
          <w:szCs w:val="22"/>
          <w:lang w:eastAsia="en-AU"/>
        </w:rPr>
        <w:t xml:space="preserve">. </w:t>
      </w:r>
    </w:p>
    <w:p w14:paraId="31A79608" w14:textId="6A0176AC" w:rsidR="002A7E42" w:rsidRPr="00814D63" w:rsidRDefault="001B5E28" w:rsidP="002A7E42">
      <w:pPr>
        <w:rPr>
          <w:rFonts w:cs="Arial"/>
          <w:szCs w:val="22"/>
        </w:rPr>
      </w:pPr>
      <w:r w:rsidRPr="00814D63">
        <w:rPr>
          <w:rFonts w:cs="Arial"/>
          <w:szCs w:val="22"/>
        </w:rPr>
        <w:t>L</w:t>
      </w:r>
      <w:r w:rsidR="002A7E42" w:rsidRPr="00814D63">
        <w:rPr>
          <w:rFonts w:cs="Arial"/>
          <w:szCs w:val="22"/>
        </w:rPr>
        <w:t xml:space="preserve">eaf tissue nutrients (C:N) have remained </w:t>
      </w:r>
      <w:r w:rsidRPr="00814D63">
        <w:rPr>
          <w:rFonts w:cs="Arial"/>
          <w:szCs w:val="22"/>
        </w:rPr>
        <w:t xml:space="preserve">relatively </w:t>
      </w:r>
      <w:r w:rsidR="002A7E42" w:rsidRPr="00814D63">
        <w:rPr>
          <w:rFonts w:cs="Arial"/>
          <w:szCs w:val="22"/>
        </w:rPr>
        <w:t xml:space="preserve">unchanged </w:t>
      </w:r>
      <w:r w:rsidRPr="00814D63">
        <w:rPr>
          <w:rFonts w:cs="Arial"/>
          <w:szCs w:val="22"/>
        </w:rPr>
        <w:t xml:space="preserve">in the north </w:t>
      </w:r>
      <w:r w:rsidR="002A7E42" w:rsidRPr="00814D63">
        <w:rPr>
          <w:rFonts w:cs="Arial"/>
          <w:szCs w:val="22"/>
        </w:rPr>
        <w:t xml:space="preserve">for a number of years, and suggest an excess of nitrogen relative </w:t>
      </w:r>
      <w:r w:rsidR="000E53B4">
        <w:rPr>
          <w:rFonts w:cs="Arial"/>
          <w:szCs w:val="22"/>
        </w:rPr>
        <w:t xml:space="preserve">to </w:t>
      </w:r>
      <w:r w:rsidR="002A7E42" w:rsidRPr="00814D63">
        <w:rPr>
          <w:rFonts w:cs="Arial"/>
          <w:szCs w:val="22"/>
        </w:rPr>
        <w:t xml:space="preserve">photosynthetic C uptake (C:N &lt;20), </w:t>
      </w:r>
      <w:r w:rsidRPr="00814D63">
        <w:rPr>
          <w:rFonts w:cs="Arial"/>
          <w:szCs w:val="22"/>
        </w:rPr>
        <w:t xml:space="preserve">which is consistent with the high frequency of exposure to secondary water </w:t>
      </w:r>
      <w:r w:rsidR="00942CCE" w:rsidRPr="00814D63">
        <w:rPr>
          <w:rFonts w:cs="Arial"/>
          <w:szCs w:val="22"/>
        </w:rPr>
        <w:t>particularly in coastal habitat</w:t>
      </w:r>
      <w:r w:rsidR="002A7E42" w:rsidRPr="00814D63">
        <w:rPr>
          <w:rFonts w:cs="Arial"/>
          <w:szCs w:val="22"/>
        </w:rPr>
        <w:t xml:space="preserve">. Nutrient status therefore remained poor. </w:t>
      </w:r>
      <w:r w:rsidRPr="00814D63">
        <w:rPr>
          <w:rFonts w:cs="Arial"/>
          <w:szCs w:val="22"/>
        </w:rPr>
        <w:t xml:space="preserve">In the south, the nutrient status indicator </w:t>
      </w:r>
      <w:r w:rsidR="00814D63" w:rsidRPr="00814D63">
        <w:rPr>
          <w:rFonts w:cs="Arial"/>
          <w:szCs w:val="22"/>
        </w:rPr>
        <w:t xml:space="preserve">increased at coastal and reef intertidal sites, but </w:t>
      </w:r>
      <w:r w:rsidRPr="00814D63">
        <w:rPr>
          <w:rFonts w:cs="Arial"/>
          <w:szCs w:val="22"/>
        </w:rPr>
        <w:t xml:space="preserve">declined </w:t>
      </w:r>
      <w:r w:rsidR="005434FE" w:rsidRPr="00814D63">
        <w:rPr>
          <w:rFonts w:cs="Arial"/>
          <w:szCs w:val="22"/>
        </w:rPr>
        <w:t xml:space="preserve">at reef subtidal sites resulting in the </w:t>
      </w:r>
      <w:r w:rsidR="00814D63" w:rsidRPr="00814D63">
        <w:rPr>
          <w:rFonts w:cs="Arial"/>
          <w:szCs w:val="22"/>
        </w:rPr>
        <w:t>2018</w:t>
      </w:r>
      <w:r w:rsidR="00814D63" w:rsidRPr="00814D63">
        <w:rPr>
          <w:rFonts w:cs="Arial"/>
          <w:szCs w:val="22"/>
          <w:lang w:eastAsia="en-AU"/>
        </w:rPr>
        <w:t>–</w:t>
      </w:r>
      <w:r w:rsidR="00814D63" w:rsidRPr="00814D63">
        <w:rPr>
          <w:rFonts w:cs="Arial"/>
          <w:szCs w:val="22"/>
        </w:rPr>
        <w:t xml:space="preserve">19 </w:t>
      </w:r>
      <w:r w:rsidR="005434FE" w:rsidRPr="00814D63">
        <w:rPr>
          <w:rFonts w:cs="Arial"/>
          <w:szCs w:val="22"/>
        </w:rPr>
        <w:t>score remaining poor</w:t>
      </w:r>
      <w:r w:rsidR="00814D63">
        <w:rPr>
          <w:rFonts w:cs="Arial"/>
          <w:szCs w:val="22"/>
        </w:rPr>
        <w:t>.</w:t>
      </w:r>
    </w:p>
    <w:p w14:paraId="5032498D" w14:textId="77777777" w:rsidR="00334002" w:rsidRPr="00FA314F" w:rsidRDefault="00334002" w:rsidP="00F7114B">
      <w:pPr>
        <w:jc w:val="center"/>
        <w:rPr>
          <w:rFonts w:cs="Arial"/>
          <w:color w:val="000000"/>
          <w:szCs w:val="22"/>
        </w:rPr>
      </w:pPr>
      <w:r w:rsidRPr="00FA314F">
        <w:rPr>
          <w:rFonts w:cs="Arial"/>
          <w:noProof/>
          <w:color w:val="000000"/>
          <w:szCs w:val="22"/>
          <w:lang w:eastAsia="en-AU"/>
        </w:rPr>
        <w:drawing>
          <wp:inline distT="0" distB="0" distL="0" distR="0" wp14:anchorId="6854967B" wp14:editId="7CD6CA02">
            <wp:extent cx="5441456" cy="2080873"/>
            <wp:effectExtent l="0" t="0" r="6985" b="0"/>
            <wp:docPr id="291" name="Picture 291" descr="Paired scatter plot with straight lines and markers showing seagrass condition index (including standard errors), with contributing indicator scores for the northern and southern sections of the Wet Tropics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NDEX_WT_2016.png"/>
                    <pic:cNvPicPr/>
                  </pic:nvPicPr>
                  <pic:blipFill>
                    <a:blip r:embed="rId88"/>
                    <a:stretch>
                      <a:fillRect/>
                    </a:stretch>
                  </pic:blipFill>
                  <pic:spPr>
                    <a:xfrm>
                      <a:off x="0" y="0"/>
                      <a:ext cx="5441456" cy="2080873"/>
                    </a:xfrm>
                    <a:prstGeom prst="rect">
                      <a:avLst/>
                    </a:prstGeom>
                  </pic:spPr>
                </pic:pic>
              </a:graphicData>
            </a:graphic>
          </wp:inline>
        </w:drawing>
      </w:r>
    </w:p>
    <w:p w14:paraId="343C87B5" w14:textId="681D3C47" w:rsidR="00F7114B" w:rsidRPr="00FA314F" w:rsidRDefault="00F7114B" w:rsidP="00F7114B">
      <w:pPr>
        <w:rPr>
          <w:rFonts w:cs="Arial"/>
          <w:i/>
          <w:vanish/>
          <w:color w:val="000000"/>
          <w:szCs w:val="22"/>
          <w:specVanish/>
        </w:rPr>
      </w:pPr>
      <w:bookmarkStart w:id="336" w:name="_Ref385233640"/>
      <w:bookmarkStart w:id="337" w:name="_Toc431493839"/>
      <w:bookmarkStart w:id="338" w:name="_Toc38634139"/>
      <w:r w:rsidRPr="00FA314F">
        <w:rPr>
          <w:rFonts w:cs="Arial"/>
          <w:color w:val="000000"/>
          <w:szCs w:val="22"/>
        </w:rPr>
        <w:t xml:space="preserve">Figure </w:t>
      </w:r>
      <w:r w:rsidRPr="00FA314F">
        <w:rPr>
          <w:rFonts w:cs="Arial"/>
          <w:color w:val="000000"/>
          <w:szCs w:val="22"/>
        </w:rPr>
        <w:fldChar w:fldCharType="begin"/>
      </w:r>
      <w:r w:rsidRPr="00FA314F">
        <w:rPr>
          <w:rFonts w:cs="Arial"/>
          <w:color w:val="000000"/>
          <w:szCs w:val="22"/>
        </w:rPr>
        <w:instrText xml:space="preserve"> SEQ Figure \* ARABIC </w:instrText>
      </w:r>
      <w:r w:rsidRPr="00FA314F">
        <w:rPr>
          <w:rFonts w:cs="Arial"/>
          <w:color w:val="000000"/>
          <w:szCs w:val="22"/>
        </w:rPr>
        <w:fldChar w:fldCharType="separate"/>
      </w:r>
      <w:r w:rsidR="0067675D">
        <w:rPr>
          <w:rFonts w:cs="Arial"/>
          <w:noProof/>
          <w:color w:val="000000"/>
          <w:szCs w:val="22"/>
        </w:rPr>
        <w:t>35</w:t>
      </w:r>
      <w:r w:rsidRPr="00FA314F">
        <w:rPr>
          <w:rFonts w:cs="Arial"/>
          <w:color w:val="000000"/>
          <w:szCs w:val="22"/>
        </w:rPr>
        <w:fldChar w:fldCharType="end"/>
      </w:r>
      <w:bookmarkEnd w:id="336"/>
      <w:r w:rsidRPr="00FA314F">
        <w:rPr>
          <w:rFonts w:cs="Arial"/>
          <w:color w:val="000000"/>
          <w:szCs w:val="22"/>
        </w:rPr>
        <w:t xml:space="preserve">. </w:t>
      </w:r>
      <w:r w:rsidRPr="00FA314F">
        <w:rPr>
          <w:rFonts w:cs="Arial"/>
          <w:i/>
          <w:color w:val="000000"/>
          <w:szCs w:val="22"/>
        </w:rPr>
        <w:t xml:space="preserve">Report card of seagrass </w:t>
      </w:r>
      <w:r w:rsidR="0092788B" w:rsidRPr="00FA314F">
        <w:rPr>
          <w:rFonts w:cs="Arial"/>
          <w:i/>
          <w:color w:val="000000"/>
          <w:szCs w:val="22"/>
        </w:rPr>
        <w:t xml:space="preserve">index and </w:t>
      </w:r>
      <w:r w:rsidRPr="00FA314F">
        <w:rPr>
          <w:rFonts w:cs="Arial"/>
          <w:i/>
          <w:color w:val="000000"/>
          <w:szCs w:val="22"/>
        </w:rPr>
        <w:t xml:space="preserve">indicators for the </w:t>
      </w:r>
      <w:r w:rsidR="0092788B" w:rsidRPr="00FA314F">
        <w:rPr>
          <w:rFonts w:cs="Arial"/>
          <w:i/>
          <w:color w:val="000000"/>
          <w:szCs w:val="22"/>
        </w:rPr>
        <w:t xml:space="preserve">northern (a.) and southern (b.) </w:t>
      </w:r>
      <w:r w:rsidRPr="00FA314F">
        <w:rPr>
          <w:rFonts w:cs="Arial"/>
          <w:i/>
          <w:color w:val="000000"/>
          <w:szCs w:val="22"/>
        </w:rPr>
        <w:t>Wet Tropics NRM region</w:t>
      </w:r>
      <w:bookmarkEnd w:id="337"/>
      <w:bookmarkEnd w:id="338"/>
    </w:p>
    <w:p w14:paraId="112EEA4C" w14:textId="28E49B25" w:rsidR="00F7114B" w:rsidRDefault="00F7114B" w:rsidP="00F7114B">
      <w:pPr>
        <w:rPr>
          <w:rFonts w:cs="Arial"/>
          <w:i/>
          <w:szCs w:val="22"/>
        </w:rPr>
      </w:pPr>
      <w:r w:rsidRPr="00FA314F">
        <w:rPr>
          <w:rFonts w:cs="Arial"/>
          <w:i/>
          <w:color w:val="000000"/>
          <w:szCs w:val="22"/>
        </w:rPr>
        <w:t xml:space="preserve"> (average </w:t>
      </w:r>
      <w:r w:rsidRPr="00FA314F">
        <w:rPr>
          <w:rFonts w:cs="Arial"/>
          <w:i/>
          <w:szCs w:val="22"/>
        </w:rPr>
        <w:t xml:space="preserve">across habitats and sites). Values are indexed scores scaled </w:t>
      </w:r>
      <w:r w:rsidR="00884A13" w:rsidRPr="00FA314F">
        <w:rPr>
          <w:rFonts w:cs="Arial"/>
          <w:i/>
          <w:szCs w:val="22"/>
        </w:rPr>
        <w:t xml:space="preserve">0–100 and graded: </w:t>
      </w:r>
      <w:r w:rsidR="00884A13" w:rsidRPr="00FA314F">
        <w:rPr>
          <w:rFonts w:cs="Arial"/>
          <w:color w:val="008000"/>
          <w:szCs w:val="22"/>
        </w:rPr>
        <w:t>●</w:t>
      </w:r>
      <w:r w:rsidR="00884A13" w:rsidRPr="00FA314F">
        <w:rPr>
          <w:rFonts w:cs="Arial"/>
          <w:i/>
          <w:szCs w:val="22"/>
        </w:rPr>
        <w:t xml:space="preserve"> = very good </w:t>
      </w:r>
      <w:r w:rsidR="00884A13" w:rsidRPr="00FA314F">
        <w:rPr>
          <w:rFonts w:cs="Arial"/>
          <w:i/>
          <w:szCs w:val="22"/>
        </w:rPr>
        <w:lastRenderedPageBreak/>
        <w:t xml:space="preserve">(81-100), </w:t>
      </w:r>
      <w:r w:rsidR="00884A13" w:rsidRPr="00FA314F">
        <w:rPr>
          <w:rFonts w:cs="Arial"/>
          <w:color w:val="92D050"/>
          <w:szCs w:val="22"/>
        </w:rPr>
        <w:t>●</w:t>
      </w:r>
      <w:r w:rsidR="00884A13" w:rsidRPr="00FA314F">
        <w:rPr>
          <w:rFonts w:cs="Arial"/>
          <w:i/>
          <w:szCs w:val="22"/>
        </w:rPr>
        <w:t xml:space="preserve"> = good (61 - 80), </w:t>
      </w:r>
      <w:r w:rsidR="00884A13" w:rsidRPr="00FA314F">
        <w:rPr>
          <w:rFonts w:cs="Arial"/>
          <w:color w:val="FFFF00"/>
          <w:szCs w:val="22"/>
        </w:rPr>
        <w:t>●</w:t>
      </w:r>
      <w:r w:rsidR="00884A13" w:rsidRPr="00FA314F">
        <w:rPr>
          <w:rFonts w:cs="Arial"/>
          <w:i/>
          <w:szCs w:val="22"/>
        </w:rPr>
        <w:t xml:space="preserve"> = moderate (41 - 60), </w:t>
      </w:r>
      <w:r w:rsidR="00884A13" w:rsidRPr="00FA314F">
        <w:rPr>
          <w:rFonts w:cs="Arial"/>
          <w:i/>
          <w:color w:val="FFC000"/>
          <w:szCs w:val="22"/>
        </w:rPr>
        <w:t>●</w:t>
      </w:r>
      <w:r w:rsidR="00884A13" w:rsidRPr="00FA314F">
        <w:rPr>
          <w:rFonts w:cs="Arial"/>
          <w:i/>
          <w:szCs w:val="22"/>
        </w:rPr>
        <w:t xml:space="preserve"> = poor (21 - 40), </w:t>
      </w:r>
      <w:r w:rsidR="00884A13" w:rsidRPr="00FA314F">
        <w:rPr>
          <w:rFonts w:cs="Arial"/>
          <w:i/>
          <w:color w:val="FF0000"/>
          <w:szCs w:val="22"/>
        </w:rPr>
        <w:t>●</w:t>
      </w:r>
      <w:r w:rsidR="00884A13" w:rsidRPr="00FA314F">
        <w:rPr>
          <w:rFonts w:cs="Arial"/>
          <w:i/>
          <w:szCs w:val="22"/>
        </w:rPr>
        <w:t> = very poor (0 - 20).</w:t>
      </w:r>
      <w:r w:rsidR="00884A13" w:rsidRPr="00FA314F">
        <w:rPr>
          <w:rFonts w:cs="Arial"/>
          <w:i/>
          <w:color w:val="000000"/>
          <w:szCs w:val="22"/>
        </w:rPr>
        <w:t xml:space="preserve"> NB: Scores</w:t>
      </w:r>
      <w:r w:rsidR="00884A13" w:rsidRPr="00FA314F">
        <w:rPr>
          <w:rFonts w:cs="Arial"/>
          <w:i/>
          <w:szCs w:val="22"/>
        </w:rPr>
        <w:t xml:space="preserve"> are unitless.</w:t>
      </w:r>
    </w:p>
    <w:p w14:paraId="6520B0D5" w14:textId="77777777" w:rsidR="00571556" w:rsidRPr="00571556" w:rsidRDefault="00571556" w:rsidP="00F7114B">
      <w:pPr>
        <w:rPr>
          <w:rFonts w:cs="Arial"/>
          <w:color w:val="000000" w:themeColor="text1"/>
          <w:szCs w:val="22"/>
        </w:rPr>
      </w:pPr>
    </w:p>
    <w:p w14:paraId="3373D563" w14:textId="77777777" w:rsidR="001227E6" w:rsidRPr="00431DDA" w:rsidRDefault="001227E6" w:rsidP="000150D8">
      <w:pPr>
        <w:pStyle w:val="Heading3"/>
      </w:pPr>
      <w:bookmarkStart w:id="339" w:name="_Toc37775077"/>
      <w:bookmarkStart w:id="340" w:name="_Toc43987052"/>
      <w:r w:rsidRPr="00431DDA">
        <w:t>Climate and environmental pressures</w:t>
      </w:r>
      <w:bookmarkEnd w:id="339"/>
      <w:bookmarkEnd w:id="340"/>
    </w:p>
    <w:p w14:paraId="0EA30AD6" w14:textId="7D1354A3" w:rsidR="00B77D74" w:rsidRDefault="00635304" w:rsidP="004848CF">
      <w:pPr>
        <w:rPr>
          <w:rFonts w:cs="Arial"/>
          <w:color w:val="000000" w:themeColor="text1"/>
          <w:szCs w:val="22"/>
        </w:rPr>
      </w:pPr>
      <w:bookmarkStart w:id="341" w:name="_Toc431493766"/>
      <w:bookmarkStart w:id="342" w:name="_Toc170192305"/>
      <w:bookmarkEnd w:id="334"/>
      <w:bookmarkEnd w:id="335"/>
      <w:r>
        <w:rPr>
          <w:rFonts w:cs="Arial"/>
          <w:color w:val="000000" w:themeColor="text1"/>
          <w:szCs w:val="22"/>
        </w:rPr>
        <w:t>C</w:t>
      </w:r>
      <w:r w:rsidR="0033566A">
        <w:rPr>
          <w:rFonts w:cs="Arial"/>
          <w:color w:val="000000" w:themeColor="text1"/>
          <w:szCs w:val="22"/>
        </w:rPr>
        <w:t xml:space="preserve">yclone Owen </w:t>
      </w:r>
      <w:r w:rsidR="006F21F8">
        <w:rPr>
          <w:rFonts w:cs="Arial"/>
          <w:color w:val="000000" w:themeColor="text1"/>
          <w:szCs w:val="22"/>
        </w:rPr>
        <w:t xml:space="preserve">affected the Wet Tropics region when </w:t>
      </w:r>
      <w:r w:rsidR="00C7306D">
        <w:rPr>
          <w:rFonts w:cs="Arial"/>
          <w:color w:val="000000" w:themeColor="text1"/>
          <w:szCs w:val="22"/>
        </w:rPr>
        <w:t xml:space="preserve">it crossed back into the Reef near Cardwell as a tropical depression in December 2018 (Gruber et al 2020). </w:t>
      </w:r>
    </w:p>
    <w:p w14:paraId="3B670779" w14:textId="21BCB43A" w:rsidR="004848CF" w:rsidRDefault="004848CF" w:rsidP="004848CF">
      <w:pPr>
        <w:rPr>
          <w:rFonts w:cs="Arial"/>
          <w:color w:val="000000" w:themeColor="text1"/>
          <w:szCs w:val="22"/>
        </w:rPr>
      </w:pPr>
      <w:r w:rsidRPr="00FA314F">
        <w:rPr>
          <w:rFonts w:cs="Arial"/>
          <w:color w:val="000000" w:themeColor="text1"/>
          <w:szCs w:val="22"/>
        </w:rPr>
        <w:t>Annual rainfall</w:t>
      </w:r>
      <w:r w:rsidR="00D1288D" w:rsidRPr="00FA314F">
        <w:rPr>
          <w:rFonts w:cs="Arial"/>
          <w:color w:val="000000" w:themeColor="text1"/>
          <w:szCs w:val="22"/>
        </w:rPr>
        <w:t xml:space="preserve">, </w:t>
      </w:r>
      <w:r w:rsidRPr="00FA314F">
        <w:rPr>
          <w:rFonts w:cs="Arial"/>
          <w:color w:val="000000" w:themeColor="text1"/>
          <w:szCs w:val="22"/>
        </w:rPr>
        <w:t>river discharge</w:t>
      </w:r>
      <w:r w:rsidR="00643002" w:rsidRPr="00FA314F">
        <w:rPr>
          <w:rFonts w:cs="Arial"/>
          <w:color w:val="000000" w:themeColor="text1"/>
          <w:szCs w:val="22"/>
        </w:rPr>
        <w:t xml:space="preserve"> and</w:t>
      </w:r>
      <w:r w:rsidR="00563F30" w:rsidRPr="00FA314F">
        <w:rPr>
          <w:rFonts w:cs="Arial"/>
          <w:color w:val="000000" w:themeColor="text1"/>
          <w:szCs w:val="22"/>
        </w:rPr>
        <w:t xml:space="preserve"> </w:t>
      </w:r>
      <w:r w:rsidR="00D1288D" w:rsidRPr="00FA314F">
        <w:rPr>
          <w:rFonts w:cs="Arial"/>
          <w:color w:val="000000" w:themeColor="text1"/>
          <w:szCs w:val="22"/>
        </w:rPr>
        <w:t xml:space="preserve">exposure to primary (‘brown’ sediment laden) or secondary (‘green’, phytoplankton rich) turbid water </w:t>
      </w:r>
      <w:r w:rsidRPr="00FA314F">
        <w:rPr>
          <w:rFonts w:cs="Arial"/>
          <w:color w:val="000000" w:themeColor="text1"/>
          <w:szCs w:val="22"/>
        </w:rPr>
        <w:t xml:space="preserve">were </w:t>
      </w:r>
      <w:r w:rsidR="00A90D4E" w:rsidRPr="00FA314F">
        <w:rPr>
          <w:rFonts w:cs="Arial"/>
          <w:color w:val="000000" w:themeColor="text1"/>
          <w:szCs w:val="22"/>
        </w:rPr>
        <w:t>above</w:t>
      </w:r>
      <w:r w:rsidRPr="00FA314F">
        <w:rPr>
          <w:rFonts w:cs="Arial"/>
          <w:color w:val="000000" w:themeColor="text1"/>
          <w:szCs w:val="22"/>
        </w:rPr>
        <w:t xml:space="preserve"> </w:t>
      </w:r>
      <w:r w:rsidR="00C10A9F" w:rsidRPr="00FA314F">
        <w:rPr>
          <w:rFonts w:cs="Arial"/>
          <w:color w:val="000000" w:themeColor="text1"/>
          <w:szCs w:val="22"/>
        </w:rPr>
        <w:t xml:space="preserve">the long-term </w:t>
      </w:r>
      <w:r w:rsidRPr="00FA314F">
        <w:rPr>
          <w:rFonts w:cs="Arial"/>
          <w:color w:val="000000" w:themeColor="text1"/>
          <w:szCs w:val="22"/>
        </w:rPr>
        <w:t xml:space="preserve">average across the northern Wet Tropics during </w:t>
      </w:r>
      <w:r w:rsidR="00956639" w:rsidRPr="00FA314F">
        <w:rPr>
          <w:rFonts w:cs="Arial"/>
          <w:color w:val="000000" w:themeColor="text1"/>
          <w:szCs w:val="22"/>
        </w:rPr>
        <w:t>2018–19</w:t>
      </w:r>
      <w:r w:rsidR="00D1288D" w:rsidRPr="00FA314F">
        <w:rPr>
          <w:rFonts w:cs="Arial"/>
          <w:color w:val="000000" w:themeColor="text1"/>
          <w:szCs w:val="22"/>
        </w:rPr>
        <w:t xml:space="preserve"> </w:t>
      </w:r>
      <w:r w:rsidR="004554C1" w:rsidRPr="00FA314F">
        <w:rPr>
          <w:rFonts w:cs="Arial"/>
          <w:color w:val="000000" w:themeColor="text1"/>
          <w:szCs w:val="22"/>
        </w:rPr>
        <w:t>(</w:t>
      </w:r>
      <w:r w:rsidR="004554C1" w:rsidRPr="00FA314F">
        <w:rPr>
          <w:rFonts w:cs="Arial"/>
          <w:color w:val="000000" w:themeColor="text1"/>
          <w:szCs w:val="22"/>
        </w:rPr>
        <w:fldChar w:fldCharType="begin"/>
      </w:r>
      <w:r w:rsidR="004554C1" w:rsidRPr="00FA314F">
        <w:rPr>
          <w:rFonts w:cs="Arial"/>
          <w:color w:val="000000" w:themeColor="text1"/>
          <w:szCs w:val="22"/>
        </w:rPr>
        <w:instrText xml:space="preserve"> REF _Ref533507332 \h </w:instrText>
      </w:r>
      <w:r w:rsidR="00CB093C" w:rsidRPr="00FA314F">
        <w:rPr>
          <w:rFonts w:cs="Arial"/>
          <w:color w:val="000000" w:themeColor="text1"/>
          <w:szCs w:val="22"/>
        </w:rPr>
        <w:instrText xml:space="preserve"> \* MERGEFORMAT </w:instrText>
      </w:r>
      <w:r w:rsidR="004554C1" w:rsidRPr="00FA314F">
        <w:rPr>
          <w:rFonts w:cs="Arial"/>
          <w:color w:val="000000" w:themeColor="text1"/>
          <w:szCs w:val="22"/>
        </w:rPr>
      </w:r>
      <w:r w:rsidR="004554C1" w:rsidRPr="00FA314F">
        <w:rPr>
          <w:rFonts w:cs="Arial"/>
          <w:color w:val="000000" w:themeColor="text1"/>
          <w:szCs w:val="22"/>
        </w:rPr>
        <w:fldChar w:fldCharType="separate"/>
      </w:r>
      <w:r w:rsidR="0067675D" w:rsidRPr="00FA314F">
        <w:rPr>
          <w:rFonts w:cs="Arial"/>
          <w:szCs w:val="22"/>
        </w:rPr>
        <w:t xml:space="preserve">Figure </w:t>
      </w:r>
      <w:r w:rsidR="0067675D">
        <w:rPr>
          <w:rFonts w:cs="Arial"/>
          <w:noProof/>
          <w:szCs w:val="22"/>
        </w:rPr>
        <w:t>36</w:t>
      </w:r>
      <w:r w:rsidR="004554C1" w:rsidRPr="00FA314F">
        <w:rPr>
          <w:rFonts w:cs="Arial"/>
          <w:color w:val="000000" w:themeColor="text1"/>
          <w:szCs w:val="22"/>
        </w:rPr>
        <w:fldChar w:fldCharType="end"/>
      </w:r>
      <w:r w:rsidR="004554C1" w:rsidRPr="00FA314F">
        <w:rPr>
          <w:rFonts w:cs="Arial"/>
          <w:color w:val="000000" w:themeColor="text1"/>
          <w:szCs w:val="22"/>
        </w:rPr>
        <w:t xml:space="preserve">). </w:t>
      </w:r>
      <w:r w:rsidR="00635304" w:rsidRPr="00FA314F">
        <w:rPr>
          <w:rFonts w:cs="Arial"/>
          <w:color w:val="000000" w:themeColor="text1"/>
          <w:szCs w:val="22"/>
        </w:rPr>
        <w:t>Furthermore,</w:t>
      </w:r>
      <w:r w:rsidR="00563F30" w:rsidRPr="00FA314F">
        <w:rPr>
          <w:rFonts w:cs="Arial"/>
          <w:color w:val="000000" w:themeColor="text1"/>
          <w:szCs w:val="22"/>
        </w:rPr>
        <w:t xml:space="preserve"> benthic light levels (12.0 mol m</w:t>
      </w:r>
      <w:r w:rsidR="00563F30" w:rsidRPr="00FA314F">
        <w:rPr>
          <w:rFonts w:cs="Arial"/>
          <w:color w:val="000000" w:themeColor="text1"/>
          <w:szCs w:val="22"/>
          <w:vertAlign w:val="superscript"/>
        </w:rPr>
        <w:t>-2</w:t>
      </w:r>
      <w:r w:rsidR="00563F30" w:rsidRPr="00FA314F">
        <w:rPr>
          <w:rFonts w:cs="Arial"/>
          <w:color w:val="000000" w:themeColor="text1"/>
          <w:szCs w:val="22"/>
        </w:rPr>
        <w:t xml:space="preserve"> d</w:t>
      </w:r>
      <w:r w:rsidR="00563F30" w:rsidRPr="00FA314F">
        <w:rPr>
          <w:rFonts w:cs="Arial"/>
          <w:color w:val="000000" w:themeColor="text1"/>
          <w:szCs w:val="22"/>
          <w:vertAlign w:val="superscript"/>
        </w:rPr>
        <w:t>-1</w:t>
      </w:r>
      <w:r w:rsidR="00563F30" w:rsidRPr="00FA314F">
        <w:rPr>
          <w:rFonts w:cs="Arial"/>
          <w:color w:val="000000" w:themeColor="text1"/>
          <w:szCs w:val="22"/>
        </w:rPr>
        <w:t xml:space="preserve"> in 2018–19) were lower than the long-term average</w:t>
      </w:r>
      <w:r w:rsidR="00643002" w:rsidRPr="00FA314F">
        <w:rPr>
          <w:rFonts w:cs="Arial"/>
          <w:color w:val="000000" w:themeColor="text1"/>
          <w:szCs w:val="22"/>
        </w:rPr>
        <w:t xml:space="preserve"> in the northern Wet Tropics</w:t>
      </w:r>
      <w:r w:rsidR="00563F30" w:rsidRPr="00FA314F">
        <w:rPr>
          <w:rFonts w:cs="Arial"/>
          <w:color w:val="000000" w:themeColor="text1"/>
          <w:szCs w:val="22"/>
        </w:rPr>
        <w:t xml:space="preserve"> (12.7 mol m</w:t>
      </w:r>
      <w:r w:rsidR="00563F30" w:rsidRPr="00FA314F">
        <w:rPr>
          <w:rFonts w:cs="Arial"/>
          <w:color w:val="000000" w:themeColor="text1"/>
          <w:szCs w:val="22"/>
          <w:vertAlign w:val="superscript"/>
        </w:rPr>
        <w:t>-2</w:t>
      </w:r>
      <w:r w:rsidR="00563F30" w:rsidRPr="00FA314F">
        <w:rPr>
          <w:rFonts w:cs="Arial"/>
          <w:color w:val="000000" w:themeColor="text1"/>
          <w:szCs w:val="22"/>
        </w:rPr>
        <w:t xml:space="preserve"> d</w:t>
      </w:r>
      <w:r w:rsidR="00563F30" w:rsidRPr="00FA314F">
        <w:rPr>
          <w:rFonts w:cs="Arial"/>
          <w:color w:val="000000" w:themeColor="text1"/>
          <w:szCs w:val="22"/>
          <w:vertAlign w:val="superscript"/>
        </w:rPr>
        <w:t>-1</w:t>
      </w:r>
      <w:r w:rsidR="00563F30" w:rsidRPr="00FA314F">
        <w:rPr>
          <w:rFonts w:cs="Arial"/>
          <w:color w:val="000000" w:themeColor="text1"/>
          <w:szCs w:val="22"/>
        </w:rPr>
        <w:t>) (</w:t>
      </w:r>
      <w:r w:rsidR="00563F30" w:rsidRPr="00FA314F">
        <w:rPr>
          <w:rFonts w:cs="Arial"/>
          <w:color w:val="000000" w:themeColor="text1"/>
          <w:szCs w:val="22"/>
        </w:rPr>
        <w:fldChar w:fldCharType="begin"/>
      </w:r>
      <w:r w:rsidR="00563F30" w:rsidRPr="00FA314F">
        <w:rPr>
          <w:rFonts w:cs="Arial"/>
          <w:color w:val="000000" w:themeColor="text1"/>
          <w:szCs w:val="22"/>
        </w:rPr>
        <w:instrText xml:space="preserve"> REF _Ref533507332 \h  \* MERGEFORMAT </w:instrText>
      </w:r>
      <w:r w:rsidR="00563F30" w:rsidRPr="00FA314F">
        <w:rPr>
          <w:rFonts w:cs="Arial"/>
          <w:color w:val="000000" w:themeColor="text1"/>
          <w:szCs w:val="22"/>
        </w:rPr>
      </w:r>
      <w:r w:rsidR="00563F30" w:rsidRPr="00FA314F">
        <w:rPr>
          <w:rFonts w:cs="Arial"/>
          <w:color w:val="000000" w:themeColor="text1"/>
          <w:szCs w:val="22"/>
        </w:rPr>
        <w:fldChar w:fldCharType="separate"/>
      </w:r>
      <w:r w:rsidR="0067675D" w:rsidRPr="00FA314F">
        <w:rPr>
          <w:rFonts w:cs="Arial"/>
          <w:szCs w:val="22"/>
        </w:rPr>
        <w:t xml:space="preserve">Figure </w:t>
      </w:r>
      <w:r w:rsidR="0067675D">
        <w:rPr>
          <w:rFonts w:cs="Arial"/>
          <w:noProof/>
          <w:szCs w:val="22"/>
        </w:rPr>
        <w:t>36</w:t>
      </w:r>
      <w:r w:rsidR="00563F30" w:rsidRPr="00FA314F">
        <w:rPr>
          <w:rFonts w:cs="Arial"/>
          <w:color w:val="000000" w:themeColor="text1"/>
          <w:szCs w:val="22"/>
        </w:rPr>
        <w:fldChar w:fldCharType="end"/>
      </w:r>
      <w:r w:rsidR="00563F30" w:rsidRPr="00FA314F">
        <w:rPr>
          <w:rFonts w:cs="Arial"/>
          <w:color w:val="000000" w:themeColor="text1"/>
          <w:szCs w:val="22"/>
        </w:rPr>
        <w:t xml:space="preserve">). </w:t>
      </w:r>
      <w:r w:rsidR="00D1288D" w:rsidRPr="00FA314F">
        <w:rPr>
          <w:rFonts w:cs="Arial"/>
          <w:color w:val="000000" w:themeColor="text1"/>
          <w:szCs w:val="22"/>
        </w:rPr>
        <w:t>Sites were primarily exposed to ‘green’ water</w:t>
      </w:r>
      <w:r w:rsidR="00563F30" w:rsidRPr="00FA314F">
        <w:rPr>
          <w:rFonts w:cs="Arial"/>
          <w:color w:val="000000" w:themeColor="text1"/>
          <w:szCs w:val="22"/>
        </w:rPr>
        <w:t xml:space="preserve"> (class 5)</w:t>
      </w:r>
      <w:r w:rsidR="00D1288D" w:rsidRPr="00FA314F">
        <w:rPr>
          <w:rFonts w:cs="Arial"/>
          <w:color w:val="000000" w:themeColor="text1"/>
          <w:szCs w:val="22"/>
        </w:rPr>
        <w:t xml:space="preserve">, </w:t>
      </w:r>
      <w:r w:rsidR="00D1288D" w:rsidRPr="006C4C86">
        <w:rPr>
          <w:rFonts w:cs="Arial"/>
          <w:color w:val="000000" w:themeColor="text1"/>
          <w:szCs w:val="22"/>
        </w:rPr>
        <w:t xml:space="preserve">which </w:t>
      </w:r>
      <w:r w:rsidR="00563F30" w:rsidRPr="006C4C86">
        <w:rPr>
          <w:rFonts w:cs="Arial"/>
          <w:color w:val="000000" w:themeColor="text1"/>
          <w:szCs w:val="22"/>
        </w:rPr>
        <w:t>allows more light to reach the seagrass habitats</w:t>
      </w:r>
      <w:r w:rsidR="00D1288D" w:rsidRPr="006C4C86">
        <w:rPr>
          <w:rFonts w:cs="Arial"/>
          <w:color w:val="000000" w:themeColor="text1"/>
          <w:szCs w:val="22"/>
        </w:rPr>
        <w:t xml:space="preserve"> </w:t>
      </w:r>
      <w:r w:rsidR="000D4AD2" w:rsidRPr="006C4C86">
        <w:rPr>
          <w:rFonts w:cs="Arial"/>
          <w:color w:val="000000" w:themeColor="text1"/>
          <w:szCs w:val="22"/>
        </w:rPr>
        <w:t xml:space="preserve">than ‘brown’ water </w:t>
      </w:r>
      <w:r w:rsidR="00D1288D" w:rsidRPr="006C4C86">
        <w:rPr>
          <w:rFonts w:cs="Arial"/>
          <w:color w:val="000000" w:themeColor="text1"/>
          <w:szCs w:val="22"/>
        </w:rPr>
        <w:t>(</w:t>
      </w:r>
      <w:hyperlink w:anchor="_ENREF_69" w:tooltip="Gruber, 2020 #12283" w:history="1">
        <w:r w:rsidR="009A7AB4" w:rsidRPr="006C4C86">
          <w:rPr>
            <w:rFonts w:cs="Arial"/>
            <w:color w:val="000000" w:themeColor="text1"/>
            <w:szCs w:val="22"/>
          </w:rPr>
          <w:fldChar w:fldCharType="begin"/>
        </w:r>
        <w:r w:rsidR="009A7AB4" w:rsidRPr="006C4C86">
          <w:rPr>
            <w:rFonts w:cs="Arial"/>
            <w:color w:val="000000" w:themeColor="text1"/>
            <w:szCs w:val="22"/>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sidRPr="006C4C86">
          <w:rPr>
            <w:rFonts w:cs="Arial"/>
            <w:color w:val="000000" w:themeColor="text1"/>
            <w:szCs w:val="22"/>
          </w:rPr>
          <w:fldChar w:fldCharType="separate"/>
        </w:r>
        <w:r w:rsidR="009A7AB4" w:rsidRPr="006C4C86">
          <w:rPr>
            <w:rFonts w:cs="Arial"/>
            <w:noProof/>
            <w:color w:val="000000" w:themeColor="text1"/>
            <w:szCs w:val="22"/>
          </w:rPr>
          <w:t>Gruber</w:t>
        </w:r>
        <w:r w:rsidR="009A7AB4" w:rsidRPr="006C4C86">
          <w:rPr>
            <w:rFonts w:cs="Arial"/>
            <w:i/>
            <w:noProof/>
            <w:color w:val="000000" w:themeColor="text1"/>
            <w:szCs w:val="22"/>
          </w:rPr>
          <w:t xml:space="preserve"> et al.</w:t>
        </w:r>
        <w:r w:rsidR="009A7AB4" w:rsidRPr="006C4C86">
          <w:rPr>
            <w:rFonts w:cs="Arial"/>
            <w:noProof/>
            <w:color w:val="000000" w:themeColor="text1"/>
            <w:szCs w:val="22"/>
          </w:rPr>
          <w:t xml:space="preserve"> 2020</w:t>
        </w:r>
        <w:r w:rsidR="009A7AB4" w:rsidRPr="006C4C86">
          <w:rPr>
            <w:rFonts w:cs="Arial"/>
            <w:color w:val="000000" w:themeColor="text1"/>
            <w:szCs w:val="22"/>
          </w:rPr>
          <w:fldChar w:fldCharType="end"/>
        </w:r>
      </w:hyperlink>
      <w:r w:rsidR="00D1288D" w:rsidRPr="006C4C86">
        <w:rPr>
          <w:rFonts w:cs="Arial"/>
          <w:color w:val="000000" w:themeColor="text1"/>
          <w:szCs w:val="22"/>
        </w:rPr>
        <w:t>)</w:t>
      </w:r>
      <w:r w:rsidR="00563F30" w:rsidRPr="006C4C86">
        <w:rPr>
          <w:rFonts w:cs="Arial"/>
          <w:color w:val="000000" w:themeColor="text1"/>
          <w:szCs w:val="22"/>
        </w:rPr>
        <w:t>, and therefore although light levels were lower than usual, they were still, on average,</w:t>
      </w:r>
      <w:r w:rsidR="00D1288D" w:rsidRPr="00FA314F">
        <w:rPr>
          <w:rFonts w:cs="Arial"/>
          <w:color w:val="000000" w:themeColor="text1"/>
          <w:szCs w:val="22"/>
        </w:rPr>
        <w:t xml:space="preserve"> </w:t>
      </w:r>
      <w:r w:rsidR="003A41DB" w:rsidRPr="00FA314F">
        <w:rPr>
          <w:rFonts w:cs="Arial"/>
          <w:color w:val="000000" w:themeColor="text1"/>
          <w:szCs w:val="22"/>
        </w:rPr>
        <w:t>above 10 mol m</w:t>
      </w:r>
      <w:r w:rsidR="003A41DB" w:rsidRPr="00FA314F">
        <w:rPr>
          <w:rFonts w:cs="Arial"/>
          <w:color w:val="000000" w:themeColor="text1"/>
          <w:szCs w:val="22"/>
          <w:vertAlign w:val="superscript"/>
        </w:rPr>
        <w:t>-2</w:t>
      </w:r>
      <w:r w:rsidR="003A41DB" w:rsidRPr="00FA314F">
        <w:rPr>
          <w:rFonts w:cs="Arial"/>
          <w:color w:val="000000" w:themeColor="text1"/>
          <w:szCs w:val="22"/>
        </w:rPr>
        <w:t xml:space="preserve"> d</w:t>
      </w:r>
      <w:r w:rsidR="003A41DB" w:rsidRPr="00FA314F">
        <w:rPr>
          <w:rFonts w:cs="Arial"/>
          <w:color w:val="000000" w:themeColor="text1"/>
          <w:szCs w:val="22"/>
          <w:vertAlign w:val="superscript"/>
        </w:rPr>
        <w:t>-1</w:t>
      </w:r>
      <w:r w:rsidR="003A41DB" w:rsidRPr="00FA314F">
        <w:rPr>
          <w:rFonts w:cs="Arial"/>
          <w:color w:val="000000" w:themeColor="text1"/>
          <w:szCs w:val="22"/>
        </w:rPr>
        <w:t xml:space="preserve"> </w:t>
      </w:r>
      <w:r w:rsidR="00563F30" w:rsidRPr="00FA314F">
        <w:rPr>
          <w:rFonts w:cs="Arial"/>
          <w:color w:val="000000" w:themeColor="text1"/>
          <w:szCs w:val="22"/>
        </w:rPr>
        <w:t>long-term light threshold (Collier et al 2016)</w:t>
      </w:r>
      <w:r w:rsidR="00065F67">
        <w:rPr>
          <w:rFonts w:cs="Arial"/>
          <w:color w:val="000000" w:themeColor="text1"/>
          <w:szCs w:val="22"/>
        </w:rPr>
        <w:t>.</w:t>
      </w:r>
    </w:p>
    <w:p w14:paraId="73469C53" w14:textId="1E9D9642" w:rsidR="00571556" w:rsidRDefault="006C4C86" w:rsidP="00571556">
      <w:pPr>
        <w:rPr>
          <w:rFonts w:cs="Arial"/>
          <w:szCs w:val="22"/>
        </w:rPr>
      </w:pPr>
      <w:r w:rsidRPr="006C4C86">
        <w:rPr>
          <w:rFonts w:cs="Arial"/>
          <w:szCs w:val="22"/>
          <w:lang w:val="en-GB"/>
        </w:rPr>
        <w:t>I</w:t>
      </w:r>
      <w:r w:rsidR="00C93311" w:rsidRPr="006C4C86">
        <w:rPr>
          <w:rFonts w:cs="Arial"/>
          <w:szCs w:val="22"/>
        </w:rPr>
        <w:t xml:space="preserve">ntertidal </w:t>
      </w:r>
      <w:r w:rsidR="00C93311" w:rsidRPr="006C4C86">
        <w:rPr>
          <w:rFonts w:cs="Arial"/>
          <w:szCs w:val="22"/>
          <w:lang w:val="en-GB"/>
        </w:rPr>
        <w:t xml:space="preserve">within-canopy </w:t>
      </w:r>
      <w:r w:rsidR="00C93311" w:rsidRPr="006C4C86">
        <w:rPr>
          <w:rFonts w:cs="Arial"/>
          <w:szCs w:val="22"/>
        </w:rPr>
        <w:t xml:space="preserve">temperatures in the northern Wet Tropics were above the long-term average and </w:t>
      </w:r>
      <w:r w:rsidRPr="006C4C86">
        <w:rPr>
          <w:rFonts w:cs="Arial"/>
          <w:szCs w:val="22"/>
        </w:rPr>
        <w:t xml:space="preserve">this year were </w:t>
      </w:r>
      <w:r w:rsidR="00C93311" w:rsidRPr="006C4C86">
        <w:rPr>
          <w:rFonts w:cs="Arial"/>
          <w:szCs w:val="22"/>
        </w:rPr>
        <w:t xml:space="preserve">the </w:t>
      </w:r>
      <w:r w:rsidRPr="006C4C86">
        <w:rPr>
          <w:rFonts w:cs="Arial"/>
          <w:szCs w:val="22"/>
        </w:rPr>
        <w:t>sixth</w:t>
      </w:r>
      <w:r w:rsidR="00C93311" w:rsidRPr="006C4C86">
        <w:rPr>
          <w:rFonts w:cs="Arial"/>
          <w:szCs w:val="22"/>
        </w:rPr>
        <w:t xml:space="preserve"> </w:t>
      </w:r>
      <w:r w:rsidR="00C93311" w:rsidRPr="006C4C86">
        <w:rPr>
          <w:rFonts w:cs="Arial"/>
          <w:szCs w:val="22"/>
          <w:lang w:val="en-GB"/>
        </w:rPr>
        <w:t xml:space="preserve">highest average annual temperature </w:t>
      </w:r>
      <w:r w:rsidR="00C93311" w:rsidRPr="006C4C86">
        <w:rPr>
          <w:rFonts w:cs="Arial"/>
          <w:szCs w:val="22"/>
        </w:rPr>
        <w:t>(27.0</w:t>
      </w:r>
      <w:r w:rsidR="00C93311" w:rsidRPr="006C4C86">
        <w:rPr>
          <w:rFonts w:cs="Arial"/>
          <w:szCs w:val="22"/>
          <w:lang w:val="en-GB"/>
        </w:rPr>
        <w:t>°C</w:t>
      </w:r>
      <w:r w:rsidR="00C93311" w:rsidRPr="006C4C86">
        <w:rPr>
          <w:rFonts w:cs="Arial"/>
          <w:szCs w:val="22"/>
        </w:rPr>
        <w:t xml:space="preserve">) since </w:t>
      </w:r>
      <w:r w:rsidR="00C93311" w:rsidRPr="00F52477">
        <w:rPr>
          <w:rFonts w:cs="Arial"/>
          <w:szCs w:val="22"/>
        </w:rPr>
        <w:t>2003 (</w:t>
      </w:r>
      <w:r w:rsidR="00C93311" w:rsidRPr="00F52477">
        <w:rPr>
          <w:rFonts w:cs="Arial"/>
          <w:szCs w:val="22"/>
        </w:rPr>
        <w:fldChar w:fldCharType="begin"/>
      </w:r>
      <w:r w:rsidR="00C93311" w:rsidRPr="00F52477">
        <w:rPr>
          <w:rFonts w:cs="Arial"/>
          <w:szCs w:val="22"/>
        </w:rPr>
        <w:instrText xml:space="preserve"> REF _Ref533507332 \h  \* MERGEFORMAT </w:instrText>
      </w:r>
      <w:r w:rsidR="00C93311" w:rsidRPr="00F52477">
        <w:rPr>
          <w:rFonts w:cs="Arial"/>
          <w:szCs w:val="22"/>
        </w:rPr>
      </w:r>
      <w:r w:rsidR="00C93311" w:rsidRPr="00F52477">
        <w:rPr>
          <w:rFonts w:cs="Arial"/>
          <w:szCs w:val="22"/>
        </w:rPr>
        <w:fldChar w:fldCharType="separate"/>
      </w:r>
      <w:r w:rsidR="0067675D" w:rsidRPr="00FA314F">
        <w:rPr>
          <w:rFonts w:cs="Arial"/>
          <w:szCs w:val="22"/>
        </w:rPr>
        <w:t xml:space="preserve">Figure </w:t>
      </w:r>
      <w:r w:rsidR="0067675D">
        <w:rPr>
          <w:rFonts w:cs="Arial"/>
          <w:noProof/>
          <w:szCs w:val="22"/>
        </w:rPr>
        <w:t>36</w:t>
      </w:r>
      <w:r w:rsidR="00C93311" w:rsidRPr="00F52477">
        <w:rPr>
          <w:rFonts w:cs="Arial"/>
          <w:szCs w:val="22"/>
        </w:rPr>
        <w:fldChar w:fldCharType="end"/>
      </w:r>
      <w:r w:rsidR="00C93311" w:rsidRPr="00F52477">
        <w:rPr>
          <w:rFonts w:cs="Arial"/>
          <w:szCs w:val="22"/>
        </w:rPr>
        <w:t xml:space="preserve">). Maximum intertidal </w:t>
      </w:r>
      <w:r w:rsidR="00C93311" w:rsidRPr="00F52477">
        <w:rPr>
          <w:rFonts w:cs="Arial"/>
          <w:szCs w:val="22"/>
          <w:lang w:val="en-GB"/>
        </w:rPr>
        <w:t xml:space="preserve">within-canopy </w:t>
      </w:r>
      <w:r w:rsidR="00C93311" w:rsidRPr="00F52477">
        <w:rPr>
          <w:rFonts w:cs="Arial"/>
          <w:szCs w:val="22"/>
        </w:rPr>
        <w:t>temperatures exceeded 35</w:t>
      </w:r>
      <w:r w:rsidR="00C93311" w:rsidRPr="00F52477">
        <w:rPr>
          <w:rFonts w:cs="Arial"/>
          <w:szCs w:val="22"/>
          <w:lang w:val="en-GB"/>
        </w:rPr>
        <w:t>°C</w:t>
      </w:r>
      <w:r w:rsidR="00C93311" w:rsidRPr="00F52477">
        <w:rPr>
          <w:rFonts w:cs="Arial"/>
          <w:szCs w:val="22"/>
        </w:rPr>
        <w:t xml:space="preserve"> for a total of 5</w:t>
      </w:r>
      <w:r w:rsidRPr="00F52477">
        <w:rPr>
          <w:rFonts w:cs="Arial"/>
          <w:szCs w:val="22"/>
        </w:rPr>
        <w:t>8</w:t>
      </w:r>
      <w:r w:rsidR="00C93311" w:rsidRPr="00F52477">
        <w:rPr>
          <w:rFonts w:cs="Arial"/>
          <w:szCs w:val="22"/>
        </w:rPr>
        <w:t xml:space="preserve"> days during 2018–19, with the highest temperature recorded at 4</w:t>
      </w:r>
      <w:r w:rsidR="00F52477" w:rsidRPr="00F52477">
        <w:rPr>
          <w:rFonts w:cs="Arial"/>
          <w:szCs w:val="22"/>
        </w:rPr>
        <w:t>1</w:t>
      </w:r>
      <w:r w:rsidR="00C93311" w:rsidRPr="00F52477">
        <w:rPr>
          <w:rFonts w:cs="Arial"/>
          <w:szCs w:val="22"/>
          <w:lang w:val="en-GB"/>
        </w:rPr>
        <w:t>°C</w:t>
      </w:r>
      <w:r w:rsidR="00C93311" w:rsidRPr="00F52477">
        <w:rPr>
          <w:rFonts w:cs="Arial"/>
          <w:szCs w:val="22"/>
        </w:rPr>
        <w:t xml:space="preserve"> (YP</w:t>
      </w:r>
      <w:r w:rsidR="00F52477" w:rsidRPr="00F52477">
        <w:rPr>
          <w:rFonts w:cs="Arial"/>
          <w:szCs w:val="22"/>
        </w:rPr>
        <w:t>2</w:t>
      </w:r>
      <w:r w:rsidR="00C93311" w:rsidRPr="00F52477">
        <w:rPr>
          <w:rFonts w:cs="Arial"/>
          <w:szCs w:val="22"/>
        </w:rPr>
        <w:t xml:space="preserve">, 2pm </w:t>
      </w:r>
      <w:r w:rsidR="00F52477" w:rsidRPr="00F52477">
        <w:rPr>
          <w:rFonts w:cs="Arial"/>
          <w:szCs w:val="22"/>
        </w:rPr>
        <w:t>04Dec1</w:t>
      </w:r>
      <w:r w:rsidR="00C93311" w:rsidRPr="00F52477">
        <w:rPr>
          <w:rFonts w:cs="Arial"/>
          <w:szCs w:val="22"/>
        </w:rPr>
        <w:t>8).</w:t>
      </w:r>
    </w:p>
    <w:p w14:paraId="2FDCA314" w14:textId="77777777" w:rsidR="00571556" w:rsidRDefault="00C93311" w:rsidP="00571556">
      <w:pPr>
        <w:rPr>
          <w:rFonts w:cs="Arial"/>
          <w:szCs w:val="22"/>
        </w:rPr>
      </w:pPr>
      <w:r w:rsidRPr="00571556">
        <w:rPr>
          <w:rFonts w:cs="Arial"/>
          <w:szCs w:val="22"/>
        </w:rPr>
        <w:t xml:space="preserve">This was the </w:t>
      </w:r>
      <w:r w:rsidR="00B35EE7" w:rsidRPr="00571556">
        <w:rPr>
          <w:rFonts w:cs="Arial"/>
          <w:szCs w:val="22"/>
        </w:rPr>
        <w:t>second</w:t>
      </w:r>
      <w:r w:rsidRPr="00571556">
        <w:rPr>
          <w:rFonts w:cs="Arial"/>
          <w:szCs w:val="22"/>
        </w:rPr>
        <w:t xml:space="preserve"> year since 2014–15 where annual subtidal </w:t>
      </w:r>
      <w:r w:rsidRPr="00571556">
        <w:rPr>
          <w:rFonts w:cs="Arial"/>
          <w:szCs w:val="22"/>
          <w:lang w:val="en-GB"/>
        </w:rPr>
        <w:t xml:space="preserve">within-canopy </w:t>
      </w:r>
      <w:r w:rsidRPr="00571556">
        <w:rPr>
          <w:rFonts w:cs="Arial"/>
          <w:szCs w:val="22"/>
        </w:rPr>
        <w:t xml:space="preserve">temperatures in the north were below the long-term average and the fifth </w:t>
      </w:r>
      <w:r w:rsidR="006F189A" w:rsidRPr="00571556">
        <w:rPr>
          <w:rFonts w:cs="Arial"/>
          <w:szCs w:val="22"/>
        </w:rPr>
        <w:t>lowest</w:t>
      </w:r>
      <w:r w:rsidRPr="00571556">
        <w:rPr>
          <w:rFonts w:cs="Arial"/>
          <w:szCs w:val="22"/>
        </w:rPr>
        <w:t xml:space="preserve"> average annual temperature (26.</w:t>
      </w:r>
      <w:r w:rsidR="006F189A" w:rsidRPr="00571556">
        <w:rPr>
          <w:rFonts w:cs="Arial"/>
          <w:szCs w:val="22"/>
        </w:rPr>
        <w:t>5</w:t>
      </w:r>
      <w:r w:rsidRPr="00571556">
        <w:rPr>
          <w:rFonts w:cs="Arial"/>
          <w:szCs w:val="22"/>
          <w:lang w:val="en-GB"/>
        </w:rPr>
        <w:t>°C</w:t>
      </w:r>
      <w:r w:rsidRPr="00571556">
        <w:rPr>
          <w:rFonts w:cs="Arial"/>
          <w:szCs w:val="22"/>
        </w:rPr>
        <w:t>) since 2008. The maximum subtidal temperature recorded this year was 3</w:t>
      </w:r>
      <w:r w:rsidR="00571556" w:rsidRPr="00571556">
        <w:rPr>
          <w:rFonts w:cs="Arial"/>
          <w:szCs w:val="22"/>
        </w:rPr>
        <w:t>1</w:t>
      </w:r>
      <w:r w:rsidR="006F189A" w:rsidRPr="00571556">
        <w:rPr>
          <w:rFonts w:cs="Arial"/>
          <w:szCs w:val="22"/>
        </w:rPr>
        <w:t>.7</w:t>
      </w:r>
      <w:r w:rsidRPr="00571556">
        <w:rPr>
          <w:rFonts w:cs="Arial"/>
          <w:szCs w:val="22"/>
          <w:lang w:val="en-GB"/>
        </w:rPr>
        <w:t>°C</w:t>
      </w:r>
      <w:r w:rsidR="006F189A" w:rsidRPr="00571556">
        <w:rPr>
          <w:rFonts w:cs="Arial"/>
          <w:szCs w:val="22"/>
          <w:lang w:val="en-GB"/>
        </w:rPr>
        <w:t xml:space="preserve"> </w:t>
      </w:r>
      <w:r w:rsidR="00571556" w:rsidRPr="00571556">
        <w:rPr>
          <w:rFonts w:cs="Arial"/>
          <w:szCs w:val="22"/>
        </w:rPr>
        <w:t>(LI2, 6</w:t>
      </w:r>
      <w:r w:rsidR="006F189A" w:rsidRPr="00571556">
        <w:rPr>
          <w:rFonts w:cs="Arial"/>
          <w:szCs w:val="22"/>
        </w:rPr>
        <w:t xml:space="preserve">pm </w:t>
      </w:r>
      <w:r w:rsidR="00571556" w:rsidRPr="00571556">
        <w:rPr>
          <w:rFonts w:cs="Arial"/>
          <w:szCs w:val="22"/>
        </w:rPr>
        <w:t>21Feb19</w:t>
      </w:r>
      <w:r w:rsidR="006F189A" w:rsidRPr="00571556">
        <w:rPr>
          <w:rFonts w:cs="Arial"/>
          <w:szCs w:val="22"/>
        </w:rPr>
        <w:t>)</w:t>
      </w:r>
      <w:r w:rsidRPr="00571556">
        <w:rPr>
          <w:rFonts w:cs="Arial"/>
          <w:szCs w:val="22"/>
          <w:lang w:val="en-GB"/>
        </w:rPr>
        <w:t>, below temperatures expected to stress seagrass</w:t>
      </w:r>
      <w:r w:rsidR="006F189A" w:rsidRPr="00571556">
        <w:rPr>
          <w:rFonts w:cs="Arial"/>
          <w:szCs w:val="22"/>
        </w:rPr>
        <w:t>.</w:t>
      </w:r>
      <w:r w:rsidR="00571556" w:rsidRPr="00571556">
        <w:rPr>
          <w:rFonts w:cs="Arial"/>
          <w:szCs w:val="22"/>
        </w:rPr>
        <w:t xml:space="preserve"> </w:t>
      </w:r>
    </w:p>
    <w:p w14:paraId="268FA10F" w14:textId="28072976" w:rsidR="00C93311" w:rsidRPr="00FA314F" w:rsidRDefault="00571556" w:rsidP="00571556">
      <w:pPr>
        <w:rPr>
          <w:rFonts w:cs="Arial"/>
          <w:szCs w:val="22"/>
        </w:rPr>
      </w:pPr>
      <w:r w:rsidRPr="00571556">
        <w:rPr>
          <w:rFonts w:cs="Arial"/>
          <w:szCs w:val="22"/>
        </w:rPr>
        <w:t>D</w:t>
      </w:r>
      <w:r w:rsidR="00C93311" w:rsidRPr="00571556">
        <w:rPr>
          <w:rFonts w:cs="Arial"/>
          <w:szCs w:val="22"/>
          <w:lang w:eastAsia="en-AU"/>
        </w:rPr>
        <w:t xml:space="preserve">aily tide exposure </w:t>
      </w:r>
      <w:r w:rsidRPr="00571556">
        <w:rPr>
          <w:rFonts w:cs="Arial"/>
          <w:szCs w:val="22"/>
          <w:lang w:eastAsia="en-AU"/>
        </w:rPr>
        <w:t xml:space="preserve">in the north </w:t>
      </w:r>
      <w:r w:rsidR="00C93311" w:rsidRPr="00571556">
        <w:rPr>
          <w:rFonts w:cs="Arial"/>
          <w:szCs w:val="22"/>
          <w:lang w:eastAsia="en-AU"/>
        </w:rPr>
        <w:t>was below the long</w:t>
      </w:r>
      <w:r w:rsidR="00C93311" w:rsidRPr="00571556">
        <w:rPr>
          <w:rFonts w:ascii="Cambria Math" w:hAnsi="Cambria Math" w:cs="Cambria Math"/>
          <w:szCs w:val="22"/>
          <w:lang w:eastAsia="en-AU"/>
        </w:rPr>
        <w:t>‐</w:t>
      </w:r>
      <w:r w:rsidR="00C93311" w:rsidRPr="00571556">
        <w:rPr>
          <w:rFonts w:cs="Arial"/>
          <w:szCs w:val="22"/>
          <w:lang w:eastAsia="en-AU"/>
        </w:rPr>
        <w:t>term average for the second consecutive year (</w:t>
      </w:r>
      <w:r w:rsidR="00C93311" w:rsidRPr="00571556">
        <w:rPr>
          <w:rFonts w:cs="Arial"/>
          <w:szCs w:val="22"/>
        </w:rPr>
        <w:fldChar w:fldCharType="begin"/>
      </w:r>
      <w:r w:rsidR="00C93311" w:rsidRPr="00571556">
        <w:rPr>
          <w:rFonts w:cs="Arial"/>
          <w:szCs w:val="22"/>
        </w:rPr>
        <w:instrText xml:space="preserve"> REF _Ref533507332 \h  \* MERGEFORMAT </w:instrText>
      </w:r>
      <w:r w:rsidR="00C93311" w:rsidRPr="00571556">
        <w:rPr>
          <w:rFonts w:cs="Arial"/>
          <w:szCs w:val="22"/>
        </w:rPr>
      </w:r>
      <w:r w:rsidR="00C93311" w:rsidRPr="00571556">
        <w:rPr>
          <w:rFonts w:cs="Arial"/>
          <w:szCs w:val="22"/>
        </w:rPr>
        <w:fldChar w:fldCharType="separate"/>
      </w:r>
      <w:r w:rsidR="0067675D" w:rsidRPr="00FA314F">
        <w:rPr>
          <w:rFonts w:cs="Arial"/>
          <w:szCs w:val="22"/>
        </w:rPr>
        <w:t xml:space="preserve">Figure </w:t>
      </w:r>
      <w:r w:rsidR="0067675D">
        <w:rPr>
          <w:rFonts w:cs="Arial"/>
          <w:noProof/>
          <w:szCs w:val="22"/>
        </w:rPr>
        <w:t>36</w:t>
      </w:r>
      <w:r w:rsidR="00C93311" w:rsidRPr="00571556">
        <w:rPr>
          <w:rFonts w:cs="Arial"/>
          <w:szCs w:val="22"/>
        </w:rPr>
        <w:fldChar w:fldCharType="end"/>
      </w:r>
      <w:r w:rsidR="00C93311" w:rsidRPr="00571556">
        <w:rPr>
          <w:rFonts w:cs="Arial"/>
          <w:szCs w:val="22"/>
          <w:lang w:val="en-GB"/>
        </w:rPr>
        <w:t xml:space="preserve">, </w:t>
      </w:r>
      <w:r w:rsidR="00C93311" w:rsidRPr="00571556">
        <w:rPr>
          <w:rFonts w:cs="Arial"/>
          <w:szCs w:val="22"/>
          <w:lang w:val="en-GB"/>
        </w:rPr>
        <w:fldChar w:fldCharType="begin"/>
      </w:r>
      <w:r w:rsidR="00C93311" w:rsidRPr="00571556">
        <w:rPr>
          <w:rFonts w:cs="Arial"/>
          <w:szCs w:val="22"/>
          <w:lang w:val="en-GB"/>
        </w:rPr>
        <w:instrText xml:space="preserve"> REF _Ref410218142 \h  \* MERGEFORMAT </w:instrText>
      </w:r>
      <w:r w:rsidR="00C93311" w:rsidRPr="00571556">
        <w:rPr>
          <w:rFonts w:cs="Arial"/>
          <w:szCs w:val="22"/>
          <w:lang w:val="en-GB"/>
        </w:rPr>
      </w:r>
      <w:r w:rsidR="00C93311" w:rsidRPr="00571556">
        <w:rPr>
          <w:rFonts w:cs="Arial"/>
          <w:szCs w:val="22"/>
          <w:lang w:val="en-GB"/>
        </w:rPr>
        <w:fldChar w:fldCharType="separate"/>
      </w:r>
      <w:r w:rsidR="0067675D" w:rsidRPr="00867E8C">
        <w:rPr>
          <w:rFonts w:cs="Arial"/>
          <w:szCs w:val="22"/>
        </w:rPr>
        <w:t xml:space="preserve">Figure </w:t>
      </w:r>
      <w:r w:rsidR="0067675D">
        <w:rPr>
          <w:rFonts w:cs="Arial"/>
          <w:noProof/>
          <w:szCs w:val="22"/>
        </w:rPr>
        <w:t>92</w:t>
      </w:r>
      <w:r w:rsidR="00C93311" w:rsidRPr="00571556">
        <w:rPr>
          <w:rFonts w:cs="Arial"/>
          <w:szCs w:val="22"/>
          <w:lang w:val="en-GB"/>
        </w:rPr>
        <w:fldChar w:fldCharType="end"/>
      </w:r>
      <w:r w:rsidR="00C93311" w:rsidRPr="00571556">
        <w:rPr>
          <w:rFonts w:cs="Arial"/>
          <w:szCs w:val="22"/>
          <w:lang w:val="en-GB"/>
        </w:rPr>
        <w:t xml:space="preserve">, </w:t>
      </w:r>
      <w:r w:rsidR="00C93311" w:rsidRPr="00571556">
        <w:rPr>
          <w:rFonts w:cs="Arial"/>
          <w:szCs w:val="22"/>
          <w:lang w:val="en-GB"/>
        </w:rPr>
        <w:fldChar w:fldCharType="begin"/>
      </w:r>
      <w:r w:rsidR="00C93311" w:rsidRPr="00571556">
        <w:rPr>
          <w:rFonts w:cs="Arial"/>
          <w:szCs w:val="22"/>
          <w:lang w:val="en-GB"/>
        </w:rPr>
        <w:instrText xml:space="preserve"> REF _Ref410218196 \h  \* MERGEFORMAT </w:instrText>
      </w:r>
      <w:r w:rsidR="00C93311" w:rsidRPr="00571556">
        <w:rPr>
          <w:rFonts w:cs="Arial"/>
          <w:szCs w:val="22"/>
          <w:lang w:val="en-GB"/>
        </w:rPr>
      </w:r>
      <w:r w:rsidR="00C93311" w:rsidRPr="00571556">
        <w:rPr>
          <w:rFonts w:cs="Arial"/>
          <w:szCs w:val="22"/>
          <w:lang w:val="en-GB"/>
        </w:rPr>
        <w:fldChar w:fldCharType="separate"/>
      </w:r>
      <w:r w:rsidR="0067675D" w:rsidRPr="00867E8C">
        <w:rPr>
          <w:rFonts w:cs="Arial"/>
          <w:szCs w:val="22"/>
        </w:rPr>
        <w:t xml:space="preserve">Figure </w:t>
      </w:r>
      <w:r w:rsidR="0067675D">
        <w:rPr>
          <w:rFonts w:cs="Arial"/>
          <w:noProof/>
          <w:szCs w:val="22"/>
        </w:rPr>
        <w:t>93</w:t>
      </w:r>
      <w:r w:rsidR="00C93311" w:rsidRPr="00571556">
        <w:rPr>
          <w:rFonts w:cs="Arial"/>
          <w:szCs w:val="22"/>
          <w:lang w:val="en-GB"/>
        </w:rPr>
        <w:fldChar w:fldCharType="end"/>
      </w:r>
      <w:r w:rsidR="00C93311" w:rsidRPr="00571556">
        <w:rPr>
          <w:rFonts w:cs="Arial"/>
          <w:szCs w:val="22"/>
          <w:lang w:eastAsia="en-AU"/>
        </w:rPr>
        <w:t>), which may have provided some respite from the elevated temperatures, particularly in coastal habitats.</w:t>
      </w:r>
    </w:p>
    <w:p w14:paraId="5806FFF0" w14:textId="77777777" w:rsidR="00C93311" w:rsidRPr="00FA314F" w:rsidRDefault="00C93311" w:rsidP="004848CF">
      <w:pPr>
        <w:rPr>
          <w:rFonts w:cs="Arial"/>
          <w:color w:val="000000" w:themeColor="text1"/>
          <w:szCs w:val="22"/>
        </w:rPr>
      </w:pPr>
    </w:p>
    <w:p w14:paraId="274A1BDC" w14:textId="32F80F9E" w:rsidR="00FC219E" w:rsidRPr="00FA314F" w:rsidRDefault="00FC219E" w:rsidP="00FC219E">
      <w:pPr>
        <w:keepNext/>
        <w:widowControl w:val="0"/>
        <w:jc w:val="center"/>
        <w:rPr>
          <w:rFonts w:cs="Arial"/>
          <w:szCs w:val="22"/>
        </w:rPr>
      </w:pPr>
      <w:bookmarkStart w:id="343" w:name="_Ref442440216"/>
      <w:r w:rsidRPr="00FA314F">
        <w:rPr>
          <w:rFonts w:cs="Arial"/>
          <w:noProof/>
          <w:szCs w:val="22"/>
          <w:lang w:eastAsia="en-AU"/>
        </w:rPr>
        <w:lastRenderedPageBreak/>
        <w:drawing>
          <wp:inline distT="0" distB="0" distL="0" distR="0" wp14:anchorId="717BF78A" wp14:editId="7A46324A">
            <wp:extent cx="5111656" cy="7680891"/>
            <wp:effectExtent l="0" t="0" r="0" b="0"/>
            <wp:docPr id="7" name="Picture 7" descr="Figures show extent of plumes, colour class, light and temperate data" title="environmental pressures wet tropics north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T N Pressures page-02.png"/>
                    <pic:cNvPicPr/>
                  </pic:nvPicPr>
                  <pic:blipFill>
                    <a:blip r:embed="rId89">
                      <a:extLst>
                        <a:ext uri="{28A0092B-C50C-407E-A947-70E740481C1C}">
                          <a14:useLocalDpi xmlns:a14="http://schemas.microsoft.com/office/drawing/2010/main" val="0"/>
                        </a:ext>
                      </a:extLst>
                    </a:blip>
                    <a:stretch>
                      <a:fillRect/>
                    </a:stretch>
                  </pic:blipFill>
                  <pic:spPr>
                    <a:xfrm>
                      <a:off x="0" y="0"/>
                      <a:ext cx="5111656" cy="7680891"/>
                    </a:xfrm>
                    <a:prstGeom prst="rect">
                      <a:avLst/>
                    </a:prstGeom>
                  </pic:spPr>
                </pic:pic>
              </a:graphicData>
            </a:graphic>
          </wp:inline>
        </w:drawing>
      </w:r>
    </w:p>
    <w:p w14:paraId="3C67B350" w14:textId="041BEB34" w:rsidR="000C5E7B" w:rsidRPr="00FA314F" w:rsidRDefault="00F12EEC" w:rsidP="000C5E7B">
      <w:pPr>
        <w:rPr>
          <w:rFonts w:cs="Arial"/>
          <w:vanish/>
          <w:color w:val="000000"/>
          <w:szCs w:val="22"/>
          <w:specVanish/>
        </w:rPr>
      </w:pPr>
      <w:bookmarkStart w:id="344" w:name="_Ref533507332"/>
      <w:bookmarkStart w:id="345" w:name="_Toc38634140"/>
      <w:r w:rsidRPr="00FA314F">
        <w:rPr>
          <w:rFonts w:cs="Arial"/>
          <w:szCs w:val="22"/>
        </w:rPr>
        <w:lastRenderedPageBreak/>
        <w:t xml:space="preserve">Figure </w:t>
      </w:r>
      <w:r w:rsidR="000E4688" w:rsidRPr="00FA314F">
        <w:rPr>
          <w:rFonts w:cs="Arial"/>
          <w:noProof/>
          <w:szCs w:val="22"/>
        </w:rPr>
        <w:fldChar w:fldCharType="begin"/>
      </w:r>
      <w:r w:rsidR="000E4688" w:rsidRPr="00FA314F">
        <w:rPr>
          <w:rFonts w:cs="Arial"/>
          <w:noProof/>
          <w:szCs w:val="22"/>
        </w:rPr>
        <w:instrText xml:space="preserve"> SEQ Figure \* ARABIC </w:instrText>
      </w:r>
      <w:r w:rsidR="000E4688" w:rsidRPr="00FA314F">
        <w:rPr>
          <w:rFonts w:cs="Arial"/>
          <w:noProof/>
          <w:szCs w:val="22"/>
        </w:rPr>
        <w:fldChar w:fldCharType="separate"/>
      </w:r>
      <w:r w:rsidR="0067675D">
        <w:rPr>
          <w:rFonts w:cs="Arial"/>
          <w:noProof/>
          <w:szCs w:val="22"/>
        </w:rPr>
        <w:t>36</w:t>
      </w:r>
      <w:r w:rsidR="000E4688" w:rsidRPr="00FA314F">
        <w:rPr>
          <w:rFonts w:cs="Arial"/>
          <w:noProof/>
          <w:szCs w:val="22"/>
        </w:rPr>
        <w:fldChar w:fldCharType="end"/>
      </w:r>
      <w:bookmarkEnd w:id="344"/>
      <w:r w:rsidRPr="00FA314F">
        <w:rPr>
          <w:rFonts w:cs="Arial"/>
          <w:szCs w:val="22"/>
        </w:rPr>
        <w:t xml:space="preserve">. </w:t>
      </w:r>
      <w:r w:rsidRPr="00FA314F">
        <w:rPr>
          <w:rFonts w:cs="Arial"/>
          <w:i/>
          <w:szCs w:val="22"/>
        </w:rPr>
        <w:t xml:space="preserve">Environmental pressures in the </w:t>
      </w:r>
      <w:r w:rsidR="00FC219E" w:rsidRPr="00FA314F">
        <w:rPr>
          <w:rFonts w:cs="Arial"/>
          <w:i/>
          <w:szCs w:val="22"/>
        </w:rPr>
        <w:t xml:space="preserve">northern </w:t>
      </w:r>
      <w:r w:rsidRPr="00FA314F">
        <w:rPr>
          <w:rFonts w:cs="Arial"/>
          <w:i/>
          <w:szCs w:val="22"/>
        </w:rPr>
        <w:t>Wet Tropics region</w:t>
      </w:r>
      <w:bookmarkEnd w:id="345"/>
    </w:p>
    <w:p w14:paraId="275FCE89" w14:textId="2C0ED9B8" w:rsidR="00F12EEC" w:rsidRPr="00FA314F" w:rsidRDefault="00F12EEC" w:rsidP="00F12EEC">
      <w:pPr>
        <w:rPr>
          <w:rFonts w:cs="Arial"/>
          <w:i/>
          <w:color w:val="000000"/>
          <w:szCs w:val="22"/>
        </w:rPr>
      </w:pPr>
      <w:r w:rsidRPr="00FA314F">
        <w:rPr>
          <w:rFonts w:cs="Arial"/>
          <w:i/>
          <w:szCs w:val="22"/>
        </w:rPr>
        <w:t xml:space="preserve"> including</w:t>
      </w:r>
      <w:r w:rsidR="009156D8" w:rsidRPr="00FA314F">
        <w:rPr>
          <w:rFonts w:cs="Arial"/>
          <w:i/>
          <w:szCs w:val="22"/>
        </w:rPr>
        <w:t>:</w:t>
      </w:r>
      <w:r w:rsidRPr="00FA314F">
        <w:rPr>
          <w:rFonts w:cs="Arial"/>
          <w:i/>
          <w:szCs w:val="22"/>
        </w:rPr>
        <w:t xml:space="preserve"> a.</w:t>
      </w:r>
      <w:r w:rsidRPr="00FA314F">
        <w:rPr>
          <w:rFonts w:cs="Arial"/>
          <w:szCs w:val="22"/>
        </w:rPr>
        <w:t xml:space="preserve"> </w:t>
      </w:r>
      <w:r w:rsidRPr="00FA314F">
        <w:rPr>
          <w:rFonts w:cs="Arial"/>
          <w:i/>
          <w:szCs w:val="22"/>
        </w:rPr>
        <w:t>frequency of exposure to turbid water (colour classes 1</w:t>
      </w:r>
      <w:r w:rsidR="009203FC" w:rsidRPr="00FA314F">
        <w:rPr>
          <w:rFonts w:cs="Arial"/>
          <w:i/>
          <w:szCs w:val="22"/>
        </w:rPr>
        <w:t>–</w:t>
      </w:r>
      <w:r w:rsidRPr="00FA314F">
        <w:rPr>
          <w:rFonts w:cs="Arial"/>
          <w:i/>
          <w:szCs w:val="22"/>
        </w:rPr>
        <w:t xml:space="preserve">5) (from </w:t>
      </w:r>
      <w:hyperlink w:anchor="_ENREF_68" w:tooltip="Gruber, 2019 #11860" w:history="1">
        <w:r w:rsidR="009A7AB4" w:rsidRPr="00FA314F">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FA314F">
          <w:rPr>
            <w:rFonts w:cs="Arial"/>
            <w:i/>
            <w:szCs w:val="22"/>
          </w:rPr>
          <w:fldChar w:fldCharType="separate"/>
        </w:r>
        <w:r w:rsidR="009A7AB4">
          <w:rPr>
            <w:rFonts w:cs="Arial"/>
            <w:i/>
            <w:noProof/>
            <w:szCs w:val="22"/>
          </w:rPr>
          <w:t>Gruber et al. 2019b</w:t>
        </w:r>
        <w:r w:rsidR="009A7AB4" w:rsidRPr="00FA314F">
          <w:rPr>
            <w:rFonts w:cs="Arial"/>
            <w:i/>
            <w:szCs w:val="22"/>
          </w:rPr>
          <w:fldChar w:fldCharType="end"/>
        </w:r>
      </w:hyperlink>
      <w:r w:rsidRPr="00FA314F">
        <w:rPr>
          <w:rFonts w:cs="Arial"/>
          <w:i/>
          <w:szCs w:val="22"/>
        </w:rPr>
        <w:t>)</w:t>
      </w:r>
      <w:r w:rsidR="009156D8" w:rsidRPr="00FA314F">
        <w:rPr>
          <w:rFonts w:cs="Arial"/>
          <w:i/>
          <w:szCs w:val="22"/>
        </w:rPr>
        <w:t>;</w:t>
      </w:r>
      <w:r w:rsidRPr="00FA314F">
        <w:rPr>
          <w:rFonts w:cs="Arial"/>
          <w:i/>
          <w:szCs w:val="22"/>
        </w:rPr>
        <w:t xml:space="preserve"> b. wet season water type at each </w:t>
      </w:r>
      <w:r w:rsidR="00FC219E" w:rsidRPr="00FA314F">
        <w:rPr>
          <w:rFonts w:cs="Arial"/>
          <w:i/>
          <w:szCs w:val="22"/>
        </w:rPr>
        <w:t>site</w:t>
      </w:r>
      <w:r w:rsidR="009156D8" w:rsidRPr="00FA314F">
        <w:rPr>
          <w:rFonts w:cs="Arial"/>
          <w:i/>
          <w:szCs w:val="22"/>
        </w:rPr>
        <w:t>;</w:t>
      </w:r>
      <w:r w:rsidRPr="00FA314F">
        <w:rPr>
          <w:rFonts w:cs="Arial"/>
          <w:i/>
          <w:szCs w:val="22"/>
        </w:rPr>
        <w:t xml:space="preserve"> c. average conditions over the long-term and in </w:t>
      </w:r>
      <w:r w:rsidR="00956639" w:rsidRPr="00FA314F">
        <w:rPr>
          <w:rFonts w:cs="Arial"/>
          <w:i/>
          <w:szCs w:val="22"/>
        </w:rPr>
        <w:t>2018–19</w:t>
      </w:r>
      <w:r w:rsidR="009156D8" w:rsidRPr="00FA314F">
        <w:rPr>
          <w:rFonts w:cs="Arial"/>
          <w:i/>
          <w:szCs w:val="22"/>
        </w:rPr>
        <w:t>;</w:t>
      </w:r>
      <w:r w:rsidRPr="00FA314F">
        <w:rPr>
          <w:rFonts w:cs="Arial"/>
          <w:i/>
          <w:szCs w:val="22"/>
        </w:rPr>
        <w:t xml:space="preserve"> d. daily light and the 28-day rolling mean of daily light for all sites</w:t>
      </w:r>
      <w:r w:rsidR="009156D8" w:rsidRPr="00FA314F">
        <w:rPr>
          <w:rFonts w:cs="Arial"/>
          <w:i/>
          <w:szCs w:val="22"/>
        </w:rPr>
        <w:t>;</w:t>
      </w:r>
      <w:r w:rsidRPr="00FA314F">
        <w:rPr>
          <w:rFonts w:cs="Arial"/>
          <w:i/>
          <w:szCs w:val="22"/>
        </w:rPr>
        <w:t xml:space="preserve"> e. number of day</w:t>
      </w:r>
      <w:r w:rsidR="009156D8" w:rsidRPr="00FA314F">
        <w:rPr>
          <w:rFonts w:cs="Arial"/>
          <w:i/>
          <w:szCs w:val="22"/>
        </w:rPr>
        <w:t>s</w:t>
      </w:r>
      <w:r w:rsidRPr="00FA314F">
        <w:rPr>
          <w:rFonts w:cs="Arial"/>
          <w:i/>
          <w:szCs w:val="22"/>
        </w:rPr>
        <w:t xml:space="preserve"> temperature exceeded 35°C, 38°C, 40°C and 43°C</w:t>
      </w:r>
      <w:r w:rsidR="00FC219E" w:rsidRPr="00FA314F">
        <w:rPr>
          <w:rFonts w:cs="Arial"/>
          <w:i/>
          <w:szCs w:val="22"/>
        </w:rPr>
        <w:t>;</w:t>
      </w:r>
      <w:r w:rsidRPr="00FA314F">
        <w:rPr>
          <w:rFonts w:cs="Arial"/>
          <w:i/>
          <w:szCs w:val="22"/>
        </w:rPr>
        <w:t xml:space="preserve"> f. </w:t>
      </w:r>
      <w:r w:rsidR="00FC219E" w:rsidRPr="00FA314F">
        <w:rPr>
          <w:rFonts w:cs="Arial"/>
          <w:i/>
          <w:szCs w:val="22"/>
        </w:rPr>
        <w:t xml:space="preserve">intertidal </w:t>
      </w:r>
      <w:r w:rsidR="00FC219E" w:rsidRPr="00FA314F">
        <w:rPr>
          <w:rFonts w:cs="Arial"/>
          <w:i/>
          <w:color w:val="000000"/>
          <w:szCs w:val="22"/>
        </w:rPr>
        <w:t xml:space="preserve">temperature </w:t>
      </w:r>
      <w:r w:rsidRPr="00FA314F">
        <w:rPr>
          <w:rFonts w:cs="Arial"/>
          <w:i/>
          <w:szCs w:val="22"/>
        </w:rPr>
        <w:t xml:space="preserve">deviations from 13-year </w:t>
      </w:r>
      <w:r w:rsidRPr="00FA314F">
        <w:rPr>
          <w:rFonts w:cs="Arial"/>
          <w:i/>
          <w:color w:val="000000"/>
          <w:szCs w:val="22"/>
        </w:rPr>
        <w:t>mean weekly records</w:t>
      </w:r>
      <w:r w:rsidR="009156D8" w:rsidRPr="00FA314F">
        <w:rPr>
          <w:rFonts w:cs="Arial"/>
          <w:i/>
          <w:color w:val="000000"/>
          <w:szCs w:val="22"/>
        </w:rPr>
        <w:t>,</w:t>
      </w:r>
      <w:r w:rsidR="00FC219E" w:rsidRPr="00FA314F">
        <w:rPr>
          <w:rFonts w:cs="Arial"/>
          <w:i/>
          <w:color w:val="000000"/>
          <w:szCs w:val="22"/>
        </w:rPr>
        <w:t xml:space="preserve"> and</w:t>
      </w:r>
      <w:r w:rsidR="009156D8" w:rsidRPr="00FA314F">
        <w:rPr>
          <w:rFonts w:cs="Arial"/>
          <w:i/>
          <w:color w:val="000000"/>
          <w:szCs w:val="22"/>
        </w:rPr>
        <w:t>;</w:t>
      </w:r>
      <w:r w:rsidR="00FC219E" w:rsidRPr="00FA314F">
        <w:rPr>
          <w:rFonts w:cs="Arial"/>
          <w:i/>
          <w:color w:val="000000"/>
          <w:szCs w:val="22"/>
        </w:rPr>
        <w:t xml:space="preserve"> g. sub</w:t>
      </w:r>
      <w:r w:rsidR="00FC219E" w:rsidRPr="00FA314F">
        <w:rPr>
          <w:rFonts w:cs="Arial"/>
          <w:i/>
          <w:szCs w:val="22"/>
        </w:rPr>
        <w:t xml:space="preserve">tidal </w:t>
      </w:r>
      <w:r w:rsidR="00FC219E" w:rsidRPr="00FA314F">
        <w:rPr>
          <w:rFonts w:cs="Arial"/>
          <w:i/>
          <w:color w:val="000000"/>
          <w:szCs w:val="22"/>
        </w:rPr>
        <w:t xml:space="preserve">temperature </w:t>
      </w:r>
      <w:r w:rsidR="00FC219E" w:rsidRPr="00FA314F">
        <w:rPr>
          <w:rFonts w:cs="Arial"/>
          <w:i/>
          <w:szCs w:val="22"/>
        </w:rPr>
        <w:t xml:space="preserve">deviations from 13-year </w:t>
      </w:r>
      <w:r w:rsidR="00FC219E" w:rsidRPr="00FA314F">
        <w:rPr>
          <w:rFonts w:cs="Arial"/>
          <w:i/>
          <w:color w:val="000000"/>
          <w:szCs w:val="22"/>
        </w:rPr>
        <w:t>mean weekly records</w:t>
      </w:r>
      <w:r w:rsidR="009156D8" w:rsidRPr="00FA314F">
        <w:rPr>
          <w:rFonts w:cs="Arial"/>
          <w:i/>
          <w:color w:val="000000"/>
          <w:szCs w:val="22"/>
        </w:rPr>
        <w:t>.</w:t>
      </w:r>
    </w:p>
    <w:p w14:paraId="7D0E4E1C" w14:textId="741C1F20" w:rsidR="00571556" w:rsidRPr="00410B3F" w:rsidRDefault="00571556" w:rsidP="00571556">
      <w:pPr>
        <w:rPr>
          <w:rFonts w:cs="Arial"/>
          <w:szCs w:val="22"/>
          <w:lang w:val="en-GB"/>
        </w:rPr>
      </w:pPr>
      <w:r w:rsidRPr="00FA314F">
        <w:rPr>
          <w:rFonts w:cs="Arial"/>
          <w:szCs w:val="22"/>
          <w:lang w:val="en-GB"/>
        </w:rPr>
        <w:t>Annual rainfall and river discharge was slightly above-average across the southern Wet Tropics during 2018–19, while exposure to ‘brown’ or ‘green’ turbid water for the wet season  was similar to the long-term average with 100</w:t>
      </w:r>
      <w:r w:rsidR="003C311A">
        <w:rPr>
          <w:rFonts w:cs="Arial"/>
          <w:szCs w:val="22"/>
          <w:lang w:val="en-GB"/>
        </w:rPr>
        <w:t xml:space="preserve">% </w:t>
      </w:r>
      <w:r w:rsidRPr="00FA314F">
        <w:rPr>
          <w:rFonts w:cs="Arial"/>
          <w:szCs w:val="22"/>
          <w:lang w:val="en-GB"/>
        </w:rPr>
        <w:t>frequency of exposure</w:t>
      </w:r>
      <w:r>
        <w:rPr>
          <w:rFonts w:cs="Arial"/>
          <w:szCs w:val="22"/>
          <w:lang w:val="en-GB"/>
        </w:rPr>
        <w:t xml:space="preserve"> </w:t>
      </w:r>
      <w:r w:rsidRPr="00FA314F">
        <w:rPr>
          <w:rFonts w:cs="Arial"/>
          <w:szCs w:val="22"/>
          <w:lang w:val="en-GB"/>
        </w:rPr>
        <w:t>(</w:t>
      </w:r>
      <w:r w:rsidRPr="00FA314F">
        <w:rPr>
          <w:rFonts w:cs="Arial"/>
          <w:szCs w:val="22"/>
        </w:rPr>
        <w:fldChar w:fldCharType="begin"/>
      </w:r>
      <w:r w:rsidRPr="00FA314F">
        <w:rPr>
          <w:rFonts w:cs="Arial"/>
          <w:szCs w:val="22"/>
        </w:rPr>
        <w:instrText xml:space="preserve"> REF _Ref533507345 \h  \* MERGEFORMAT </w:instrText>
      </w:r>
      <w:r w:rsidRPr="00FA314F">
        <w:rPr>
          <w:rFonts w:cs="Arial"/>
          <w:szCs w:val="22"/>
        </w:rPr>
      </w:r>
      <w:r w:rsidRPr="00FA314F">
        <w:rPr>
          <w:rFonts w:cs="Arial"/>
          <w:szCs w:val="22"/>
        </w:rPr>
        <w:fldChar w:fldCharType="separate"/>
      </w:r>
      <w:r w:rsidR="0067675D" w:rsidRPr="00FA314F">
        <w:rPr>
          <w:rFonts w:cs="Arial"/>
          <w:szCs w:val="22"/>
        </w:rPr>
        <w:t xml:space="preserve">Figure </w:t>
      </w:r>
      <w:r w:rsidR="0067675D">
        <w:rPr>
          <w:rFonts w:cs="Arial"/>
          <w:noProof/>
          <w:szCs w:val="22"/>
        </w:rPr>
        <w:t>37</w:t>
      </w:r>
      <w:r w:rsidRPr="00FA314F">
        <w:rPr>
          <w:rFonts w:cs="Arial"/>
          <w:szCs w:val="22"/>
        </w:rPr>
        <w:fldChar w:fldCharType="end"/>
      </w:r>
      <w:r w:rsidRPr="00FA314F">
        <w:rPr>
          <w:rFonts w:cs="Arial"/>
          <w:szCs w:val="22"/>
          <w:lang w:val="en-GB"/>
        </w:rPr>
        <w:t xml:space="preserve">). Coastal sites at Lugger Bay (LB1 and LB2) and Missionary Bay (MS1 and MS2) experienced the highest exposure to ‘brown’ turbid water, while the remaining reef sites were exposed predominately to ‘green’ water. Light levels are only measured at Dunk Island in the southern Wet Tropics, where they were </w:t>
      </w:r>
      <w:r w:rsidRPr="00FA314F">
        <w:rPr>
          <w:rFonts w:cs="Arial"/>
          <w:color w:val="000000" w:themeColor="text1"/>
          <w:szCs w:val="22"/>
        </w:rPr>
        <w:t>lower than the long-term average. At the subtidal site, the annual average (5.5 mol m</w:t>
      </w:r>
      <w:r w:rsidRPr="00FA314F">
        <w:rPr>
          <w:rFonts w:cs="Arial"/>
          <w:color w:val="000000" w:themeColor="text1"/>
          <w:szCs w:val="22"/>
          <w:vertAlign w:val="superscript"/>
        </w:rPr>
        <w:t>-2</w:t>
      </w:r>
      <w:r w:rsidRPr="00FA314F">
        <w:rPr>
          <w:rFonts w:cs="Arial"/>
          <w:color w:val="000000" w:themeColor="text1"/>
          <w:szCs w:val="22"/>
        </w:rPr>
        <w:t xml:space="preserve"> d</w:t>
      </w:r>
      <w:r w:rsidRPr="00FA314F">
        <w:rPr>
          <w:rFonts w:cs="Arial"/>
          <w:color w:val="000000" w:themeColor="text1"/>
          <w:szCs w:val="22"/>
          <w:vertAlign w:val="superscript"/>
        </w:rPr>
        <w:t>-1</w:t>
      </w:r>
      <w:r w:rsidRPr="00FA314F">
        <w:rPr>
          <w:rFonts w:cs="Arial"/>
          <w:color w:val="000000" w:themeColor="text1"/>
          <w:szCs w:val="22"/>
        </w:rPr>
        <w:t xml:space="preserve">) was </w:t>
      </w:r>
      <w:r w:rsidRPr="00FA314F">
        <w:rPr>
          <w:rFonts w:cs="Arial"/>
          <w:szCs w:val="22"/>
          <w:lang w:val="en-GB"/>
        </w:rPr>
        <w:t xml:space="preserve">below both acute (6 </w:t>
      </w:r>
      <w:r w:rsidRPr="00FA314F">
        <w:rPr>
          <w:rFonts w:cs="Arial"/>
          <w:color w:val="000000" w:themeColor="text1"/>
          <w:szCs w:val="22"/>
        </w:rPr>
        <w:t>mol m</w:t>
      </w:r>
      <w:r w:rsidRPr="00FA314F">
        <w:rPr>
          <w:rFonts w:cs="Arial"/>
          <w:color w:val="000000" w:themeColor="text1"/>
          <w:szCs w:val="22"/>
          <w:vertAlign w:val="superscript"/>
        </w:rPr>
        <w:t>-2</w:t>
      </w:r>
      <w:r w:rsidRPr="00FA314F">
        <w:rPr>
          <w:rFonts w:cs="Arial"/>
          <w:color w:val="000000" w:themeColor="text1"/>
          <w:szCs w:val="22"/>
        </w:rPr>
        <w:t xml:space="preserve"> d</w:t>
      </w:r>
      <w:r w:rsidRPr="00FA314F">
        <w:rPr>
          <w:rFonts w:cs="Arial"/>
          <w:color w:val="000000" w:themeColor="text1"/>
          <w:szCs w:val="22"/>
          <w:vertAlign w:val="superscript"/>
        </w:rPr>
        <w:t>-1</w:t>
      </w:r>
      <w:r w:rsidRPr="00FA314F">
        <w:rPr>
          <w:rFonts w:cs="Arial"/>
          <w:szCs w:val="22"/>
          <w:lang w:val="en-GB"/>
        </w:rPr>
        <w:t xml:space="preserve">) and long-term light </w:t>
      </w:r>
      <w:r w:rsidRPr="00410B3F">
        <w:rPr>
          <w:rFonts w:cs="Arial"/>
          <w:szCs w:val="22"/>
          <w:lang w:val="en-GB"/>
        </w:rPr>
        <w:t xml:space="preserve">thresholds (10 </w:t>
      </w:r>
      <w:r w:rsidRPr="00410B3F">
        <w:rPr>
          <w:rFonts w:cs="Arial"/>
          <w:color w:val="000000" w:themeColor="text1"/>
          <w:szCs w:val="22"/>
        </w:rPr>
        <w:t>mol m</w:t>
      </w:r>
      <w:r w:rsidRPr="00410B3F">
        <w:rPr>
          <w:rFonts w:cs="Arial"/>
          <w:color w:val="000000" w:themeColor="text1"/>
          <w:szCs w:val="22"/>
          <w:vertAlign w:val="superscript"/>
        </w:rPr>
        <w:t>-2</w:t>
      </w:r>
      <w:r w:rsidRPr="00410B3F">
        <w:rPr>
          <w:rFonts w:cs="Arial"/>
          <w:color w:val="000000" w:themeColor="text1"/>
          <w:szCs w:val="22"/>
        </w:rPr>
        <w:t xml:space="preserve"> d</w:t>
      </w:r>
      <w:r w:rsidRPr="00410B3F">
        <w:rPr>
          <w:rFonts w:cs="Arial"/>
          <w:color w:val="000000" w:themeColor="text1"/>
          <w:szCs w:val="22"/>
          <w:vertAlign w:val="superscript"/>
        </w:rPr>
        <w:t>-1</w:t>
      </w:r>
      <w:r w:rsidRPr="00410B3F">
        <w:rPr>
          <w:rFonts w:cs="Arial"/>
          <w:color w:val="000000" w:themeColor="text1"/>
          <w:szCs w:val="22"/>
        </w:rPr>
        <w:t xml:space="preserve">), particularly during the wet season </w:t>
      </w:r>
      <w:r w:rsidRPr="00410B3F">
        <w:rPr>
          <w:rFonts w:cs="Arial"/>
          <w:szCs w:val="22"/>
          <w:lang w:val="en-GB"/>
        </w:rPr>
        <w:t>(</w:t>
      </w:r>
      <w:r w:rsidRPr="00410B3F">
        <w:rPr>
          <w:rFonts w:cs="Arial"/>
          <w:szCs w:val="22"/>
        </w:rPr>
        <w:fldChar w:fldCharType="begin"/>
      </w:r>
      <w:r w:rsidRPr="00410B3F">
        <w:rPr>
          <w:rFonts w:cs="Arial"/>
          <w:szCs w:val="22"/>
        </w:rPr>
        <w:instrText xml:space="preserve"> REF _Ref533507345 \h  \* MERGEFORMAT </w:instrText>
      </w:r>
      <w:r w:rsidRPr="00410B3F">
        <w:rPr>
          <w:rFonts w:cs="Arial"/>
          <w:szCs w:val="22"/>
        </w:rPr>
      </w:r>
      <w:r w:rsidRPr="00410B3F">
        <w:rPr>
          <w:rFonts w:cs="Arial"/>
          <w:szCs w:val="22"/>
        </w:rPr>
        <w:fldChar w:fldCharType="separate"/>
      </w:r>
      <w:r w:rsidR="0067675D" w:rsidRPr="00FA314F">
        <w:rPr>
          <w:rFonts w:cs="Arial"/>
          <w:szCs w:val="22"/>
        </w:rPr>
        <w:t xml:space="preserve">Figure </w:t>
      </w:r>
      <w:r w:rsidR="0067675D">
        <w:rPr>
          <w:rFonts w:cs="Arial"/>
          <w:noProof/>
          <w:szCs w:val="22"/>
        </w:rPr>
        <w:t>37</w:t>
      </w:r>
      <w:r w:rsidRPr="00410B3F">
        <w:rPr>
          <w:rFonts w:cs="Arial"/>
          <w:szCs w:val="22"/>
        </w:rPr>
        <w:fldChar w:fldCharType="end"/>
      </w:r>
      <w:r w:rsidRPr="00410B3F">
        <w:rPr>
          <w:rFonts w:cs="Arial"/>
          <w:szCs w:val="22"/>
        </w:rPr>
        <w:t xml:space="preserve">, </w:t>
      </w:r>
      <w:r w:rsidRPr="00410B3F">
        <w:rPr>
          <w:rFonts w:cs="Arial"/>
          <w:szCs w:val="22"/>
          <w:lang w:val="en-GB"/>
        </w:rPr>
        <w:fldChar w:fldCharType="begin"/>
      </w:r>
      <w:r w:rsidRPr="00410B3F">
        <w:rPr>
          <w:rFonts w:cs="Arial"/>
          <w:szCs w:val="22"/>
          <w:lang w:val="en-GB"/>
        </w:rPr>
        <w:instrText xml:space="preserve"> REF _Ref410218397 \h  \* MERGEFORMAT </w:instrText>
      </w:r>
      <w:r w:rsidRPr="00410B3F">
        <w:rPr>
          <w:rFonts w:cs="Arial"/>
          <w:szCs w:val="22"/>
          <w:lang w:val="en-GB"/>
        </w:rPr>
      </w:r>
      <w:r w:rsidRPr="00410B3F">
        <w:rPr>
          <w:rFonts w:cs="Arial"/>
          <w:szCs w:val="22"/>
          <w:lang w:val="en-GB"/>
        </w:rPr>
        <w:fldChar w:fldCharType="separate"/>
      </w:r>
      <w:r w:rsidR="0067675D" w:rsidRPr="00867E8C">
        <w:rPr>
          <w:rFonts w:cs="Arial"/>
          <w:szCs w:val="22"/>
        </w:rPr>
        <w:t xml:space="preserve">Figure </w:t>
      </w:r>
      <w:r w:rsidR="0067675D">
        <w:rPr>
          <w:rFonts w:cs="Arial"/>
          <w:noProof/>
          <w:szCs w:val="22"/>
        </w:rPr>
        <w:t>101</w:t>
      </w:r>
      <w:r w:rsidRPr="00410B3F">
        <w:rPr>
          <w:rFonts w:cs="Arial"/>
          <w:szCs w:val="22"/>
          <w:lang w:val="en-GB"/>
        </w:rPr>
        <w:fldChar w:fldCharType="end"/>
      </w:r>
      <w:r w:rsidRPr="00410B3F">
        <w:rPr>
          <w:rFonts w:cs="Arial"/>
          <w:szCs w:val="22"/>
          <w:lang w:val="en-GB"/>
        </w:rPr>
        <w:t xml:space="preserve">). </w:t>
      </w:r>
    </w:p>
    <w:p w14:paraId="016CEB50" w14:textId="2FDB2379" w:rsidR="0094354F" w:rsidRDefault="00C93311" w:rsidP="00C93311">
      <w:pPr>
        <w:rPr>
          <w:rFonts w:cs="Arial"/>
          <w:szCs w:val="22"/>
        </w:rPr>
      </w:pPr>
      <w:r w:rsidRPr="00410B3F">
        <w:rPr>
          <w:rFonts w:cs="Arial"/>
          <w:szCs w:val="22"/>
        </w:rPr>
        <w:t xml:space="preserve">In the southern Wet Tropics, </w:t>
      </w:r>
      <w:r w:rsidRPr="00410B3F">
        <w:rPr>
          <w:rFonts w:cs="Arial"/>
          <w:szCs w:val="22"/>
          <w:lang w:val="en-GB"/>
        </w:rPr>
        <w:t xml:space="preserve">within-canopy </w:t>
      </w:r>
      <w:r w:rsidRPr="00410B3F">
        <w:rPr>
          <w:rFonts w:cs="Arial"/>
          <w:szCs w:val="22"/>
        </w:rPr>
        <w:t xml:space="preserve">temperatures in 2018–19 </w:t>
      </w:r>
      <w:r w:rsidR="00B36C5C" w:rsidRPr="00410B3F">
        <w:rPr>
          <w:rFonts w:cs="Arial"/>
          <w:szCs w:val="22"/>
        </w:rPr>
        <w:t>remained</w:t>
      </w:r>
      <w:r w:rsidRPr="00410B3F">
        <w:rPr>
          <w:rFonts w:cs="Arial"/>
          <w:szCs w:val="22"/>
        </w:rPr>
        <w:t xml:space="preserve"> </w:t>
      </w:r>
      <w:r w:rsidR="00410B3F" w:rsidRPr="00410B3F">
        <w:rPr>
          <w:rFonts w:cs="Arial"/>
          <w:szCs w:val="22"/>
        </w:rPr>
        <w:t xml:space="preserve">similar to </w:t>
      </w:r>
      <w:r w:rsidR="00B36C5C" w:rsidRPr="00410B3F">
        <w:rPr>
          <w:rFonts w:cs="Arial"/>
          <w:szCs w:val="22"/>
        </w:rPr>
        <w:t xml:space="preserve">the </w:t>
      </w:r>
      <w:r w:rsidR="00B36C5C" w:rsidRPr="002D350C">
        <w:rPr>
          <w:rFonts w:cs="Arial"/>
          <w:szCs w:val="22"/>
        </w:rPr>
        <w:t>long-term average for the second</w:t>
      </w:r>
      <w:r w:rsidRPr="002D350C">
        <w:rPr>
          <w:rFonts w:cs="Arial"/>
          <w:szCs w:val="22"/>
        </w:rPr>
        <w:t xml:space="preserve"> year since 2014–15 (</w:t>
      </w:r>
      <w:r w:rsidRPr="002D350C">
        <w:rPr>
          <w:rFonts w:cs="Arial"/>
          <w:szCs w:val="22"/>
        </w:rPr>
        <w:fldChar w:fldCharType="begin"/>
      </w:r>
      <w:r w:rsidRPr="002D350C">
        <w:rPr>
          <w:rFonts w:cs="Arial"/>
          <w:szCs w:val="22"/>
        </w:rPr>
        <w:instrText xml:space="preserve"> REF _Ref533507345 \h  \* MERGEFORMAT </w:instrText>
      </w:r>
      <w:r w:rsidRPr="002D350C">
        <w:rPr>
          <w:rFonts w:cs="Arial"/>
          <w:szCs w:val="22"/>
        </w:rPr>
      </w:r>
      <w:r w:rsidRPr="002D350C">
        <w:rPr>
          <w:rFonts w:cs="Arial"/>
          <w:szCs w:val="22"/>
        </w:rPr>
        <w:fldChar w:fldCharType="separate"/>
      </w:r>
      <w:r w:rsidR="0067675D" w:rsidRPr="00FA314F">
        <w:rPr>
          <w:rFonts w:cs="Arial"/>
          <w:szCs w:val="22"/>
        </w:rPr>
        <w:t xml:space="preserve">Figure </w:t>
      </w:r>
      <w:r w:rsidR="0067675D">
        <w:rPr>
          <w:rFonts w:cs="Arial"/>
          <w:noProof/>
          <w:szCs w:val="22"/>
        </w:rPr>
        <w:t>37</w:t>
      </w:r>
      <w:r w:rsidRPr="002D350C">
        <w:rPr>
          <w:rFonts w:cs="Arial"/>
          <w:szCs w:val="22"/>
        </w:rPr>
        <w:fldChar w:fldCharType="end"/>
      </w:r>
      <w:r w:rsidRPr="002D350C">
        <w:rPr>
          <w:rFonts w:cs="Arial"/>
          <w:szCs w:val="22"/>
        </w:rPr>
        <w:t xml:space="preserve">). Maximum intertidal </w:t>
      </w:r>
      <w:r w:rsidRPr="002D350C">
        <w:rPr>
          <w:rFonts w:cs="Arial"/>
          <w:szCs w:val="22"/>
          <w:lang w:val="en-GB"/>
        </w:rPr>
        <w:t xml:space="preserve">within-canopy </w:t>
      </w:r>
      <w:r w:rsidRPr="002D350C">
        <w:rPr>
          <w:rFonts w:cs="Arial"/>
          <w:szCs w:val="22"/>
        </w:rPr>
        <w:t>temperatures exceeded 35</w:t>
      </w:r>
      <w:r w:rsidRPr="002D350C">
        <w:rPr>
          <w:rFonts w:cs="Arial"/>
          <w:szCs w:val="22"/>
          <w:lang w:val="en-GB"/>
        </w:rPr>
        <w:t>°C</w:t>
      </w:r>
      <w:r w:rsidRPr="002D350C">
        <w:rPr>
          <w:rFonts w:cs="Arial"/>
          <w:szCs w:val="22"/>
        </w:rPr>
        <w:t xml:space="preserve"> for </w:t>
      </w:r>
      <w:r w:rsidR="00410B3F" w:rsidRPr="002D350C">
        <w:rPr>
          <w:rFonts w:cs="Arial"/>
          <w:szCs w:val="22"/>
        </w:rPr>
        <w:t>only one</w:t>
      </w:r>
      <w:r w:rsidRPr="002D350C">
        <w:rPr>
          <w:rFonts w:cs="Arial"/>
          <w:szCs w:val="22"/>
        </w:rPr>
        <w:t xml:space="preserve"> day during 2018–19, with the highest temperature recorded at </w:t>
      </w:r>
      <w:r w:rsidR="002D350C" w:rsidRPr="002D350C">
        <w:rPr>
          <w:rFonts w:cs="Arial"/>
          <w:szCs w:val="22"/>
        </w:rPr>
        <w:t>35.1</w:t>
      </w:r>
      <w:r w:rsidRPr="002D350C">
        <w:rPr>
          <w:rFonts w:cs="Arial"/>
          <w:szCs w:val="22"/>
          <w:lang w:val="en-GB"/>
        </w:rPr>
        <w:t>°C</w:t>
      </w:r>
      <w:r w:rsidRPr="002D350C">
        <w:rPr>
          <w:rFonts w:cs="Arial"/>
          <w:szCs w:val="22"/>
        </w:rPr>
        <w:t xml:space="preserve"> (DI2, </w:t>
      </w:r>
      <w:r w:rsidR="00410B3F" w:rsidRPr="002D350C">
        <w:rPr>
          <w:rFonts w:cs="Arial"/>
          <w:szCs w:val="22"/>
        </w:rPr>
        <w:t>4</w:t>
      </w:r>
      <w:r w:rsidRPr="002D350C">
        <w:rPr>
          <w:rFonts w:cs="Arial"/>
          <w:szCs w:val="22"/>
        </w:rPr>
        <w:t xml:space="preserve">pm </w:t>
      </w:r>
      <w:r w:rsidR="00410B3F" w:rsidRPr="002D350C">
        <w:rPr>
          <w:rFonts w:cs="Arial"/>
          <w:szCs w:val="22"/>
        </w:rPr>
        <w:t>19</w:t>
      </w:r>
      <w:r w:rsidR="00571070">
        <w:rPr>
          <w:rFonts w:cs="Arial"/>
          <w:szCs w:val="22"/>
        </w:rPr>
        <w:t xml:space="preserve"> </w:t>
      </w:r>
      <w:r w:rsidR="00410B3F" w:rsidRPr="002D350C">
        <w:rPr>
          <w:rFonts w:cs="Arial"/>
          <w:szCs w:val="22"/>
        </w:rPr>
        <w:t>Feb</w:t>
      </w:r>
      <w:r w:rsidR="00571070">
        <w:rPr>
          <w:rFonts w:cs="Arial"/>
          <w:szCs w:val="22"/>
        </w:rPr>
        <w:t xml:space="preserve"> </w:t>
      </w:r>
      <w:r w:rsidR="00410B3F" w:rsidRPr="002D350C">
        <w:rPr>
          <w:rFonts w:cs="Arial"/>
          <w:szCs w:val="22"/>
        </w:rPr>
        <w:t>19</w:t>
      </w:r>
      <w:r w:rsidRPr="002D350C">
        <w:rPr>
          <w:rFonts w:cs="Arial"/>
          <w:szCs w:val="22"/>
        </w:rPr>
        <w:t xml:space="preserve">). The maximum subtidal </w:t>
      </w:r>
      <w:r w:rsidRPr="002D350C">
        <w:rPr>
          <w:rFonts w:cs="Arial"/>
          <w:szCs w:val="22"/>
          <w:lang w:val="en-GB"/>
        </w:rPr>
        <w:t xml:space="preserve">within-canopy </w:t>
      </w:r>
      <w:r w:rsidRPr="002D350C">
        <w:rPr>
          <w:rFonts w:cs="Arial"/>
          <w:szCs w:val="22"/>
        </w:rPr>
        <w:t>temperature recorded during 201</w:t>
      </w:r>
      <w:r w:rsidR="00410B3F" w:rsidRPr="002D350C">
        <w:rPr>
          <w:rFonts w:cs="Arial"/>
          <w:szCs w:val="22"/>
        </w:rPr>
        <w:t>8</w:t>
      </w:r>
      <w:r w:rsidRPr="002D350C">
        <w:rPr>
          <w:rFonts w:cs="Arial"/>
          <w:szCs w:val="22"/>
        </w:rPr>
        <w:t>-1</w:t>
      </w:r>
      <w:r w:rsidR="00410B3F" w:rsidRPr="002D350C">
        <w:rPr>
          <w:rFonts w:cs="Arial"/>
          <w:szCs w:val="22"/>
        </w:rPr>
        <w:t>9</w:t>
      </w:r>
      <w:r w:rsidRPr="002D350C">
        <w:rPr>
          <w:rFonts w:cs="Arial"/>
          <w:szCs w:val="22"/>
        </w:rPr>
        <w:t xml:space="preserve"> was 31.</w:t>
      </w:r>
      <w:r w:rsidR="00410B3F" w:rsidRPr="002D350C">
        <w:rPr>
          <w:rFonts w:cs="Arial"/>
          <w:szCs w:val="22"/>
        </w:rPr>
        <w:t>5</w:t>
      </w:r>
      <w:r w:rsidRPr="002D350C">
        <w:rPr>
          <w:rFonts w:cs="Arial"/>
          <w:szCs w:val="22"/>
          <w:lang w:val="en-GB"/>
        </w:rPr>
        <w:t>°C</w:t>
      </w:r>
      <w:r w:rsidRPr="002D350C">
        <w:rPr>
          <w:rFonts w:cs="Arial"/>
          <w:szCs w:val="22"/>
        </w:rPr>
        <w:t xml:space="preserve"> (</w:t>
      </w:r>
      <w:r w:rsidR="00410B3F" w:rsidRPr="002D350C">
        <w:rPr>
          <w:rFonts w:cs="Arial"/>
          <w:szCs w:val="22"/>
        </w:rPr>
        <w:t>1</w:t>
      </w:r>
      <w:r w:rsidRPr="002D350C">
        <w:rPr>
          <w:rFonts w:cs="Arial"/>
          <w:szCs w:val="22"/>
        </w:rPr>
        <w:t xml:space="preserve">pm </w:t>
      </w:r>
      <w:r w:rsidR="00410B3F" w:rsidRPr="002D350C">
        <w:rPr>
          <w:rFonts w:cs="Arial"/>
          <w:szCs w:val="22"/>
        </w:rPr>
        <w:t>19</w:t>
      </w:r>
      <w:r w:rsidR="00571070">
        <w:rPr>
          <w:rFonts w:cs="Arial"/>
          <w:szCs w:val="22"/>
        </w:rPr>
        <w:t xml:space="preserve"> </w:t>
      </w:r>
      <w:r w:rsidR="00410B3F" w:rsidRPr="002D350C">
        <w:rPr>
          <w:rFonts w:cs="Arial"/>
          <w:szCs w:val="22"/>
        </w:rPr>
        <w:t>Dec</w:t>
      </w:r>
      <w:r w:rsidR="00571070">
        <w:rPr>
          <w:rFonts w:cs="Arial"/>
          <w:szCs w:val="22"/>
        </w:rPr>
        <w:t xml:space="preserve"> </w:t>
      </w:r>
      <w:r w:rsidR="00410B3F" w:rsidRPr="002D350C">
        <w:rPr>
          <w:rFonts w:cs="Arial"/>
          <w:szCs w:val="22"/>
        </w:rPr>
        <w:t>18</w:t>
      </w:r>
      <w:r w:rsidRPr="002D350C">
        <w:rPr>
          <w:rFonts w:cs="Arial"/>
          <w:szCs w:val="22"/>
        </w:rPr>
        <w:t xml:space="preserve">). </w:t>
      </w:r>
    </w:p>
    <w:p w14:paraId="6ACFEE73" w14:textId="0ADCEF59" w:rsidR="00C93311" w:rsidRPr="002D350C" w:rsidRDefault="00C93311" w:rsidP="00C93311">
      <w:pPr>
        <w:rPr>
          <w:rFonts w:cs="Arial"/>
          <w:szCs w:val="22"/>
        </w:rPr>
      </w:pPr>
      <w:r w:rsidRPr="002D350C">
        <w:rPr>
          <w:rFonts w:cs="Arial"/>
          <w:szCs w:val="22"/>
          <w:lang w:eastAsia="en-AU"/>
        </w:rPr>
        <w:t xml:space="preserve">Daily tide exposure was </w:t>
      </w:r>
      <w:r w:rsidR="002D350C" w:rsidRPr="002D350C">
        <w:rPr>
          <w:rFonts w:cs="Arial"/>
          <w:szCs w:val="22"/>
          <w:lang w:eastAsia="en-AU"/>
        </w:rPr>
        <w:t>above</w:t>
      </w:r>
      <w:r w:rsidRPr="002D350C">
        <w:rPr>
          <w:rFonts w:cs="Arial"/>
          <w:szCs w:val="22"/>
          <w:lang w:eastAsia="en-AU"/>
        </w:rPr>
        <w:t xml:space="preserve"> the long</w:t>
      </w:r>
      <w:r w:rsidRPr="002D350C">
        <w:rPr>
          <w:rFonts w:ascii="Cambria Math" w:hAnsi="Cambria Math" w:cs="Cambria Math"/>
          <w:szCs w:val="22"/>
          <w:lang w:eastAsia="en-AU"/>
        </w:rPr>
        <w:t>‐</w:t>
      </w:r>
      <w:r w:rsidRPr="002D350C">
        <w:rPr>
          <w:rFonts w:cs="Arial"/>
          <w:szCs w:val="22"/>
          <w:lang w:eastAsia="en-AU"/>
        </w:rPr>
        <w:t xml:space="preserve">term average for the </w:t>
      </w:r>
      <w:r w:rsidR="002D350C" w:rsidRPr="002D350C">
        <w:rPr>
          <w:rFonts w:cs="Arial"/>
          <w:szCs w:val="22"/>
          <w:lang w:eastAsia="en-AU"/>
        </w:rPr>
        <w:t>first time in three</w:t>
      </w:r>
      <w:r w:rsidRPr="002D350C">
        <w:rPr>
          <w:rFonts w:cs="Arial"/>
          <w:szCs w:val="22"/>
          <w:lang w:eastAsia="en-AU"/>
        </w:rPr>
        <w:t xml:space="preserve"> year</w:t>
      </w:r>
      <w:r w:rsidR="0094354F">
        <w:rPr>
          <w:rFonts w:cs="Arial"/>
          <w:szCs w:val="22"/>
          <w:lang w:eastAsia="en-AU"/>
        </w:rPr>
        <w:t>s</w:t>
      </w:r>
      <w:r w:rsidRPr="002D350C">
        <w:rPr>
          <w:rFonts w:cs="Arial"/>
          <w:szCs w:val="22"/>
          <w:lang w:eastAsia="en-AU"/>
        </w:rPr>
        <w:t xml:space="preserve"> (</w:t>
      </w:r>
      <w:r w:rsidRPr="002D350C">
        <w:rPr>
          <w:rFonts w:cs="Arial"/>
          <w:szCs w:val="22"/>
        </w:rPr>
        <w:fldChar w:fldCharType="begin"/>
      </w:r>
      <w:r w:rsidRPr="002D350C">
        <w:rPr>
          <w:rFonts w:cs="Arial"/>
          <w:szCs w:val="22"/>
        </w:rPr>
        <w:instrText xml:space="preserve"> REF _Ref533507332 \h  \* MERGEFORMAT </w:instrText>
      </w:r>
      <w:r w:rsidRPr="002D350C">
        <w:rPr>
          <w:rFonts w:cs="Arial"/>
          <w:szCs w:val="22"/>
        </w:rPr>
      </w:r>
      <w:r w:rsidRPr="002D350C">
        <w:rPr>
          <w:rFonts w:cs="Arial"/>
          <w:szCs w:val="22"/>
        </w:rPr>
        <w:fldChar w:fldCharType="separate"/>
      </w:r>
      <w:r w:rsidR="0067675D" w:rsidRPr="00FA314F">
        <w:rPr>
          <w:rFonts w:cs="Arial"/>
          <w:szCs w:val="22"/>
        </w:rPr>
        <w:t xml:space="preserve">Figure </w:t>
      </w:r>
      <w:r w:rsidR="0067675D">
        <w:rPr>
          <w:rFonts w:cs="Arial"/>
          <w:noProof/>
          <w:szCs w:val="22"/>
        </w:rPr>
        <w:t>36</w:t>
      </w:r>
      <w:r w:rsidRPr="002D350C">
        <w:rPr>
          <w:rFonts w:cs="Arial"/>
          <w:szCs w:val="22"/>
        </w:rPr>
        <w:fldChar w:fldCharType="end"/>
      </w:r>
      <w:r w:rsidRPr="002D350C">
        <w:rPr>
          <w:rFonts w:cs="Arial"/>
          <w:szCs w:val="22"/>
          <w:lang w:val="en-GB"/>
        </w:rPr>
        <w:t xml:space="preserve">, </w:t>
      </w:r>
      <w:r w:rsidRPr="002D350C">
        <w:rPr>
          <w:rFonts w:cs="Arial"/>
          <w:szCs w:val="22"/>
          <w:lang w:val="en-GB"/>
        </w:rPr>
        <w:fldChar w:fldCharType="begin"/>
      </w:r>
      <w:r w:rsidRPr="002D350C">
        <w:rPr>
          <w:rFonts w:cs="Arial"/>
          <w:szCs w:val="22"/>
          <w:lang w:val="en-GB"/>
        </w:rPr>
        <w:instrText xml:space="preserve"> REF _Ref410218142 \h  \* MERGEFORMAT </w:instrText>
      </w:r>
      <w:r w:rsidRPr="002D350C">
        <w:rPr>
          <w:rFonts w:cs="Arial"/>
          <w:szCs w:val="22"/>
          <w:lang w:val="en-GB"/>
        </w:rPr>
      </w:r>
      <w:r w:rsidRPr="002D350C">
        <w:rPr>
          <w:rFonts w:cs="Arial"/>
          <w:szCs w:val="22"/>
          <w:lang w:val="en-GB"/>
        </w:rPr>
        <w:fldChar w:fldCharType="separate"/>
      </w:r>
      <w:r w:rsidR="0067675D" w:rsidRPr="00867E8C">
        <w:rPr>
          <w:rFonts w:cs="Arial"/>
          <w:szCs w:val="22"/>
        </w:rPr>
        <w:t xml:space="preserve">Figure </w:t>
      </w:r>
      <w:r w:rsidR="0067675D">
        <w:rPr>
          <w:rFonts w:cs="Arial"/>
          <w:noProof/>
          <w:szCs w:val="22"/>
        </w:rPr>
        <w:t>92</w:t>
      </w:r>
      <w:r w:rsidRPr="002D350C">
        <w:rPr>
          <w:rFonts w:cs="Arial"/>
          <w:szCs w:val="22"/>
          <w:lang w:val="en-GB"/>
        </w:rPr>
        <w:fldChar w:fldCharType="end"/>
      </w:r>
      <w:r w:rsidRPr="002D350C">
        <w:rPr>
          <w:rFonts w:cs="Arial"/>
          <w:szCs w:val="22"/>
          <w:lang w:val="en-GB"/>
        </w:rPr>
        <w:t xml:space="preserve">, </w:t>
      </w:r>
      <w:r w:rsidRPr="002D350C">
        <w:rPr>
          <w:rFonts w:cs="Arial"/>
          <w:szCs w:val="22"/>
          <w:lang w:val="en-GB"/>
        </w:rPr>
        <w:fldChar w:fldCharType="begin"/>
      </w:r>
      <w:r w:rsidRPr="002D350C">
        <w:rPr>
          <w:rFonts w:cs="Arial"/>
          <w:szCs w:val="22"/>
          <w:lang w:val="en-GB"/>
        </w:rPr>
        <w:instrText xml:space="preserve"> REF _Ref410218196 \h  \* MERGEFORMAT </w:instrText>
      </w:r>
      <w:r w:rsidRPr="002D350C">
        <w:rPr>
          <w:rFonts w:cs="Arial"/>
          <w:szCs w:val="22"/>
          <w:lang w:val="en-GB"/>
        </w:rPr>
      </w:r>
      <w:r w:rsidRPr="002D350C">
        <w:rPr>
          <w:rFonts w:cs="Arial"/>
          <w:szCs w:val="22"/>
          <w:lang w:val="en-GB"/>
        </w:rPr>
        <w:fldChar w:fldCharType="separate"/>
      </w:r>
      <w:r w:rsidR="0067675D" w:rsidRPr="00867E8C">
        <w:rPr>
          <w:rFonts w:cs="Arial"/>
          <w:szCs w:val="22"/>
        </w:rPr>
        <w:t xml:space="preserve">Figure </w:t>
      </w:r>
      <w:r w:rsidR="0067675D">
        <w:rPr>
          <w:rFonts w:cs="Arial"/>
          <w:noProof/>
          <w:szCs w:val="22"/>
        </w:rPr>
        <w:t>93</w:t>
      </w:r>
      <w:r w:rsidRPr="002D350C">
        <w:rPr>
          <w:rFonts w:cs="Arial"/>
          <w:szCs w:val="22"/>
          <w:lang w:val="en-GB"/>
        </w:rPr>
        <w:fldChar w:fldCharType="end"/>
      </w:r>
      <w:r w:rsidRPr="002D350C">
        <w:rPr>
          <w:rFonts w:cs="Arial"/>
          <w:szCs w:val="22"/>
          <w:lang w:eastAsia="en-AU"/>
        </w:rPr>
        <w:t xml:space="preserve">), which may have </w:t>
      </w:r>
      <w:r w:rsidR="003A03FE" w:rsidRPr="002D350C">
        <w:rPr>
          <w:rFonts w:cs="Arial"/>
          <w:szCs w:val="22"/>
          <w:lang w:eastAsia="en-AU"/>
        </w:rPr>
        <w:t>exerted</w:t>
      </w:r>
      <w:r w:rsidR="002D350C" w:rsidRPr="002D350C">
        <w:rPr>
          <w:rFonts w:cs="Arial"/>
          <w:szCs w:val="22"/>
          <w:lang w:eastAsia="en-AU"/>
        </w:rPr>
        <w:t xml:space="preserve"> additional stress on plant growth by carbon limitation</w:t>
      </w:r>
      <w:r w:rsidRPr="002D350C">
        <w:rPr>
          <w:rFonts w:cs="Arial"/>
          <w:szCs w:val="22"/>
          <w:lang w:eastAsia="en-AU"/>
        </w:rPr>
        <w:t>.</w:t>
      </w:r>
    </w:p>
    <w:p w14:paraId="45FB9D4D" w14:textId="77777777" w:rsidR="00C93311" w:rsidRPr="00FA314F" w:rsidRDefault="00C93311" w:rsidP="00C93311">
      <w:pPr>
        <w:rPr>
          <w:rFonts w:cs="Arial"/>
          <w:szCs w:val="22"/>
          <w:lang w:val="en-GB"/>
        </w:rPr>
      </w:pPr>
      <w:r w:rsidRPr="002D350C">
        <w:rPr>
          <w:rFonts w:cs="Arial"/>
          <w:szCs w:val="22"/>
          <w:lang w:val="en-GB"/>
        </w:rPr>
        <w:t>Overall, the inshore seagrass habitats throughout the southern Wet Tropics experienced much greater environmental pressures in 2018–19 than those in the northern Wet Tropics, and the previous monitoring period.</w:t>
      </w:r>
      <w:r w:rsidRPr="00FA314F">
        <w:rPr>
          <w:rFonts w:cs="Arial"/>
          <w:szCs w:val="22"/>
          <w:lang w:val="en-GB"/>
        </w:rPr>
        <w:t xml:space="preserve"> </w:t>
      </w:r>
    </w:p>
    <w:p w14:paraId="44A53F28" w14:textId="3F7EA376" w:rsidR="00C93311" w:rsidRPr="00FA314F" w:rsidRDefault="00C93311" w:rsidP="00C93311">
      <w:pPr>
        <w:rPr>
          <w:rFonts w:cs="Arial"/>
          <w:i/>
          <w:color w:val="000000"/>
          <w:szCs w:val="22"/>
        </w:rPr>
      </w:pPr>
      <w:r w:rsidRPr="00FA314F">
        <w:rPr>
          <w:rFonts w:cs="Arial"/>
          <w:szCs w:val="22"/>
          <w:lang w:val="en-GB"/>
        </w:rPr>
        <w:lastRenderedPageBreak/>
        <w:t>In 2018–19, sediments appeared similar to the long-term and the proportion of fine sediments (i.e. mud) was well below the Reef-wide long-term average across all habitats (</w:t>
      </w:r>
      <w:r w:rsidRPr="00FA314F">
        <w:rPr>
          <w:rFonts w:cs="Arial"/>
          <w:szCs w:val="22"/>
          <w:lang w:val="en-GB"/>
        </w:rPr>
        <w:fldChar w:fldCharType="begin"/>
      </w:r>
      <w:r w:rsidRPr="00FA314F">
        <w:rPr>
          <w:rFonts w:cs="Arial"/>
          <w:szCs w:val="22"/>
          <w:lang w:val="en-GB"/>
        </w:rPr>
        <w:instrText xml:space="preserve"> REF _Ref511131260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108</w:t>
      </w:r>
      <w:r w:rsidRPr="00FA314F">
        <w:rPr>
          <w:rFonts w:cs="Arial"/>
          <w:szCs w:val="22"/>
          <w:lang w:val="en-GB"/>
        </w:rPr>
        <w:fldChar w:fldCharType="end"/>
      </w:r>
      <w:r w:rsidRPr="00FA314F">
        <w:rPr>
          <w:rFonts w:cs="Arial"/>
          <w:szCs w:val="22"/>
          <w:lang w:val="en-GB"/>
        </w:rPr>
        <w:t xml:space="preserve">, </w:t>
      </w:r>
      <w:r w:rsidRPr="00FA314F">
        <w:rPr>
          <w:rFonts w:cs="Arial"/>
          <w:szCs w:val="22"/>
          <w:lang w:val="en-GB"/>
        </w:rPr>
        <w:fldChar w:fldCharType="begin"/>
      </w:r>
      <w:r w:rsidRPr="00FA314F">
        <w:rPr>
          <w:rFonts w:cs="Arial"/>
          <w:szCs w:val="22"/>
          <w:lang w:val="en-GB"/>
        </w:rPr>
        <w:instrText xml:space="preserve"> REF _Ref511131261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109</w:t>
      </w:r>
      <w:r w:rsidRPr="00FA314F">
        <w:rPr>
          <w:rFonts w:cs="Arial"/>
          <w:szCs w:val="22"/>
          <w:lang w:val="en-GB"/>
        </w:rPr>
        <w:fldChar w:fldCharType="end"/>
      </w:r>
      <w:r w:rsidRPr="00FA314F">
        <w:rPr>
          <w:rFonts w:cs="Arial"/>
          <w:szCs w:val="22"/>
          <w:lang w:val="en-GB"/>
        </w:rPr>
        <w:t>). Across the Wet Tropics region, coastal sediments were composed primarily of fine sand, while reef habitats were composed of sand and coarser sediments (</w:t>
      </w:r>
      <w:r w:rsidRPr="00FA314F">
        <w:rPr>
          <w:rFonts w:cs="Arial"/>
          <w:szCs w:val="22"/>
          <w:lang w:val="en-GB"/>
        </w:rPr>
        <w:fldChar w:fldCharType="begin"/>
      </w:r>
      <w:r w:rsidRPr="00FA314F">
        <w:rPr>
          <w:rFonts w:cs="Arial"/>
          <w:szCs w:val="22"/>
          <w:lang w:val="en-GB"/>
        </w:rPr>
        <w:instrText xml:space="preserve"> REF _Ref511131260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108</w:t>
      </w:r>
      <w:r w:rsidRPr="00FA314F">
        <w:rPr>
          <w:rFonts w:cs="Arial"/>
          <w:szCs w:val="22"/>
          <w:lang w:val="en-GB"/>
        </w:rPr>
        <w:fldChar w:fldCharType="end"/>
      </w:r>
      <w:r w:rsidRPr="00FA314F">
        <w:rPr>
          <w:rFonts w:cs="Arial"/>
          <w:szCs w:val="22"/>
          <w:lang w:val="en-GB"/>
        </w:rPr>
        <w:t xml:space="preserve">, </w:t>
      </w:r>
      <w:r w:rsidRPr="00FA314F">
        <w:rPr>
          <w:rFonts w:cs="Arial"/>
          <w:szCs w:val="22"/>
          <w:lang w:val="en-GB"/>
        </w:rPr>
        <w:fldChar w:fldCharType="begin"/>
      </w:r>
      <w:r w:rsidRPr="00FA314F">
        <w:rPr>
          <w:rFonts w:cs="Arial"/>
          <w:szCs w:val="22"/>
          <w:lang w:val="en-GB"/>
        </w:rPr>
        <w:instrText xml:space="preserve"> REF _Ref511131261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109</w:t>
      </w:r>
      <w:r w:rsidRPr="00FA314F">
        <w:rPr>
          <w:rFonts w:cs="Arial"/>
          <w:szCs w:val="22"/>
          <w:lang w:val="en-GB"/>
        </w:rPr>
        <w:fldChar w:fldCharType="end"/>
      </w:r>
      <w:r w:rsidRPr="00FA314F">
        <w:rPr>
          <w:rFonts w:cs="Arial"/>
          <w:szCs w:val="22"/>
          <w:lang w:val="en-GB"/>
        </w:rPr>
        <w:t>). Subtidal reef sediments were predominately sand, which in the southern region often included coarser grains (</w:t>
      </w:r>
      <w:r w:rsidRPr="00FA314F">
        <w:rPr>
          <w:rFonts w:cs="Arial"/>
          <w:szCs w:val="22"/>
          <w:lang w:val="en-GB"/>
        </w:rPr>
        <w:fldChar w:fldCharType="begin"/>
      </w:r>
      <w:r w:rsidRPr="00FA314F">
        <w:rPr>
          <w:rFonts w:cs="Arial"/>
          <w:szCs w:val="22"/>
          <w:lang w:val="en-GB"/>
        </w:rPr>
        <w:instrText xml:space="preserve"> REF _Ref511131267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110</w:t>
      </w:r>
      <w:r w:rsidRPr="00FA314F">
        <w:rPr>
          <w:rFonts w:cs="Arial"/>
          <w:szCs w:val="22"/>
          <w:lang w:val="en-GB"/>
        </w:rPr>
        <w:fldChar w:fldCharType="end"/>
      </w:r>
      <w:r w:rsidRPr="00FA314F">
        <w:rPr>
          <w:rFonts w:cs="Arial"/>
          <w:szCs w:val="22"/>
          <w:lang w:val="en-GB"/>
        </w:rPr>
        <w:t xml:space="preserve">). </w:t>
      </w:r>
    </w:p>
    <w:p w14:paraId="4F345EA9" w14:textId="77777777" w:rsidR="00924553" w:rsidRPr="00FA314F" w:rsidRDefault="00924553" w:rsidP="004848CF">
      <w:pPr>
        <w:rPr>
          <w:rFonts w:cs="Arial"/>
          <w:szCs w:val="22"/>
          <w:lang w:val="en-GB"/>
        </w:rPr>
      </w:pPr>
    </w:p>
    <w:p w14:paraId="3E272C91" w14:textId="15AE349D" w:rsidR="007A63C8" w:rsidRPr="00FA314F" w:rsidRDefault="00991C44" w:rsidP="00991C44">
      <w:pPr>
        <w:jc w:val="center"/>
        <w:rPr>
          <w:rFonts w:cs="Arial"/>
          <w:szCs w:val="22"/>
          <w:lang w:val="en-GB"/>
        </w:rPr>
      </w:pPr>
      <w:r w:rsidRPr="00FA314F">
        <w:rPr>
          <w:rFonts w:cs="Arial"/>
          <w:noProof/>
          <w:szCs w:val="22"/>
          <w:lang w:eastAsia="en-AU"/>
        </w:rPr>
        <w:lastRenderedPageBreak/>
        <w:drawing>
          <wp:inline distT="0" distB="0" distL="0" distR="0" wp14:anchorId="57253357" wp14:editId="36B1113E">
            <wp:extent cx="5096481" cy="7686136"/>
            <wp:effectExtent l="0" t="0" r="9525" b="0"/>
            <wp:docPr id="10" name="Picture 10" descr="Figures show extent of plumes, colour class, light and temperate data" title="environmental pressures wet tropics sourth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T S Pressures page-02.png"/>
                    <pic:cNvPicPr/>
                  </pic:nvPicPr>
                  <pic:blipFill>
                    <a:blip r:embed="rId90">
                      <a:extLst>
                        <a:ext uri="{28A0092B-C50C-407E-A947-70E740481C1C}">
                          <a14:useLocalDpi xmlns:a14="http://schemas.microsoft.com/office/drawing/2010/main" val="0"/>
                        </a:ext>
                      </a:extLst>
                    </a:blip>
                    <a:stretch>
                      <a:fillRect/>
                    </a:stretch>
                  </pic:blipFill>
                  <pic:spPr>
                    <a:xfrm>
                      <a:off x="0" y="0"/>
                      <a:ext cx="5096481" cy="7686136"/>
                    </a:xfrm>
                    <a:prstGeom prst="rect">
                      <a:avLst/>
                    </a:prstGeom>
                  </pic:spPr>
                </pic:pic>
              </a:graphicData>
            </a:graphic>
          </wp:inline>
        </w:drawing>
      </w:r>
    </w:p>
    <w:p w14:paraId="75DA4574" w14:textId="171230A3" w:rsidR="00991C44" w:rsidRPr="00FA314F" w:rsidRDefault="007A63C8" w:rsidP="00991C44">
      <w:pPr>
        <w:rPr>
          <w:rFonts w:cs="Arial"/>
          <w:vanish/>
          <w:color w:val="000000"/>
          <w:szCs w:val="22"/>
          <w:specVanish/>
        </w:rPr>
      </w:pPr>
      <w:bookmarkStart w:id="346" w:name="_Ref533507345"/>
      <w:bookmarkStart w:id="347" w:name="_Toc38634141"/>
      <w:r w:rsidRPr="00FA314F">
        <w:rPr>
          <w:rFonts w:cs="Arial"/>
          <w:szCs w:val="22"/>
        </w:rPr>
        <w:lastRenderedPageBreak/>
        <w:t xml:space="preserve">Figure </w:t>
      </w:r>
      <w:r w:rsidR="000E4688" w:rsidRPr="00FA314F">
        <w:rPr>
          <w:rFonts w:cs="Arial"/>
          <w:noProof/>
          <w:szCs w:val="22"/>
        </w:rPr>
        <w:fldChar w:fldCharType="begin"/>
      </w:r>
      <w:r w:rsidR="000E4688" w:rsidRPr="00FA314F">
        <w:rPr>
          <w:rFonts w:cs="Arial"/>
          <w:noProof/>
          <w:szCs w:val="22"/>
        </w:rPr>
        <w:instrText xml:space="preserve"> SEQ Figure \* ARABIC </w:instrText>
      </w:r>
      <w:r w:rsidR="000E4688" w:rsidRPr="00FA314F">
        <w:rPr>
          <w:rFonts w:cs="Arial"/>
          <w:noProof/>
          <w:szCs w:val="22"/>
        </w:rPr>
        <w:fldChar w:fldCharType="separate"/>
      </w:r>
      <w:r w:rsidR="0067675D">
        <w:rPr>
          <w:rFonts w:cs="Arial"/>
          <w:noProof/>
          <w:szCs w:val="22"/>
        </w:rPr>
        <w:t>37</w:t>
      </w:r>
      <w:r w:rsidR="000E4688" w:rsidRPr="00FA314F">
        <w:rPr>
          <w:rFonts w:cs="Arial"/>
          <w:noProof/>
          <w:szCs w:val="22"/>
        </w:rPr>
        <w:fldChar w:fldCharType="end"/>
      </w:r>
      <w:bookmarkEnd w:id="346"/>
      <w:r w:rsidRPr="00FA314F">
        <w:rPr>
          <w:rFonts w:cs="Arial"/>
          <w:szCs w:val="22"/>
        </w:rPr>
        <w:t xml:space="preserve">. </w:t>
      </w:r>
      <w:r w:rsidR="00991C44" w:rsidRPr="00FA314F">
        <w:rPr>
          <w:rFonts w:cs="Arial"/>
          <w:i/>
          <w:szCs w:val="22"/>
        </w:rPr>
        <w:t>Environmental pressures in the southern Wet Tropics region</w:t>
      </w:r>
      <w:bookmarkEnd w:id="347"/>
    </w:p>
    <w:p w14:paraId="14AF3864" w14:textId="52C87221" w:rsidR="007A63C8" w:rsidRPr="00FA314F" w:rsidRDefault="00991C44" w:rsidP="00991C44">
      <w:pPr>
        <w:rPr>
          <w:rFonts w:cs="Arial"/>
          <w:i/>
          <w:color w:val="000000"/>
          <w:szCs w:val="22"/>
        </w:rPr>
      </w:pPr>
      <w:r w:rsidRPr="00FA314F">
        <w:rPr>
          <w:rFonts w:cs="Arial"/>
          <w:i/>
          <w:szCs w:val="22"/>
        </w:rPr>
        <w:t xml:space="preserve"> including: a.</w:t>
      </w:r>
      <w:r w:rsidRPr="00FA314F">
        <w:rPr>
          <w:rFonts w:cs="Arial"/>
          <w:szCs w:val="22"/>
        </w:rPr>
        <w:t xml:space="preserve"> </w:t>
      </w:r>
      <w:r w:rsidRPr="00FA314F">
        <w:rPr>
          <w:rFonts w:cs="Arial"/>
          <w:i/>
          <w:szCs w:val="22"/>
        </w:rPr>
        <w:t>frequency of exposure to turbid water (colour classes 1</w:t>
      </w:r>
      <w:r w:rsidR="009203FC" w:rsidRPr="00FA314F">
        <w:rPr>
          <w:rFonts w:cs="Arial"/>
          <w:i/>
          <w:szCs w:val="22"/>
        </w:rPr>
        <w:t>–</w:t>
      </w:r>
      <w:r w:rsidRPr="00FA314F">
        <w:rPr>
          <w:rFonts w:cs="Arial"/>
          <w:i/>
          <w:szCs w:val="22"/>
        </w:rPr>
        <w:t xml:space="preserve">5) (from </w:t>
      </w:r>
      <w:hyperlink w:anchor="_ENREF_68" w:tooltip="Gruber, 2019 #11860" w:history="1">
        <w:r w:rsidR="009A7AB4" w:rsidRPr="00FA314F">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FA314F">
          <w:rPr>
            <w:rFonts w:cs="Arial"/>
            <w:i/>
            <w:szCs w:val="22"/>
          </w:rPr>
          <w:fldChar w:fldCharType="separate"/>
        </w:r>
        <w:r w:rsidR="009A7AB4">
          <w:rPr>
            <w:rFonts w:cs="Arial"/>
            <w:i/>
            <w:noProof/>
            <w:szCs w:val="22"/>
          </w:rPr>
          <w:t>Gruber et al. 2019b</w:t>
        </w:r>
        <w:r w:rsidR="009A7AB4" w:rsidRPr="00FA314F">
          <w:rPr>
            <w:rFonts w:cs="Arial"/>
            <w:i/>
            <w:szCs w:val="22"/>
          </w:rPr>
          <w:fldChar w:fldCharType="end"/>
        </w:r>
      </w:hyperlink>
      <w:r w:rsidRPr="00FA314F">
        <w:rPr>
          <w:rFonts w:cs="Arial"/>
          <w:i/>
          <w:szCs w:val="22"/>
        </w:rPr>
        <w:t xml:space="preserve">); b. wet season water type at each site; c. average conditions over the long-term and in </w:t>
      </w:r>
      <w:r w:rsidR="00956639" w:rsidRPr="00FA314F">
        <w:rPr>
          <w:rFonts w:cs="Arial"/>
          <w:i/>
          <w:szCs w:val="22"/>
        </w:rPr>
        <w:t>2018–19</w:t>
      </w:r>
      <w:r w:rsidRPr="00FA314F">
        <w:rPr>
          <w:rFonts w:cs="Arial"/>
          <w:i/>
          <w:szCs w:val="22"/>
        </w:rPr>
        <w:t xml:space="preserve">; d. daily light and the 28-day rolling mean of daily light for all sites; e. number of days temperature exceeded 35°C, 38°C, 40°C and 43°C; f. intertidal </w:t>
      </w:r>
      <w:r w:rsidRPr="00FA314F">
        <w:rPr>
          <w:rFonts w:cs="Arial"/>
          <w:i/>
          <w:color w:val="000000"/>
          <w:szCs w:val="22"/>
        </w:rPr>
        <w:t xml:space="preserve">temperature </w:t>
      </w:r>
      <w:r w:rsidRPr="00FA314F">
        <w:rPr>
          <w:rFonts w:cs="Arial"/>
          <w:i/>
          <w:szCs w:val="22"/>
        </w:rPr>
        <w:t xml:space="preserve">deviations from 13-year </w:t>
      </w:r>
      <w:r w:rsidRPr="00FA314F">
        <w:rPr>
          <w:rFonts w:cs="Arial"/>
          <w:i/>
          <w:color w:val="000000"/>
          <w:szCs w:val="22"/>
        </w:rPr>
        <w:t>mean weekly records, and; g. sub</w:t>
      </w:r>
      <w:r w:rsidRPr="00FA314F">
        <w:rPr>
          <w:rFonts w:cs="Arial"/>
          <w:i/>
          <w:szCs w:val="22"/>
        </w:rPr>
        <w:t xml:space="preserve">tidal </w:t>
      </w:r>
      <w:r w:rsidRPr="00FA314F">
        <w:rPr>
          <w:rFonts w:cs="Arial"/>
          <w:i/>
          <w:color w:val="000000"/>
          <w:szCs w:val="22"/>
        </w:rPr>
        <w:t xml:space="preserve">temperature </w:t>
      </w:r>
      <w:r w:rsidRPr="00FA314F">
        <w:rPr>
          <w:rFonts w:cs="Arial"/>
          <w:i/>
          <w:szCs w:val="22"/>
        </w:rPr>
        <w:t xml:space="preserve">deviations from 13-year </w:t>
      </w:r>
      <w:r w:rsidRPr="00FA314F">
        <w:rPr>
          <w:rFonts w:cs="Arial"/>
          <w:i/>
          <w:color w:val="000000"/>
          <w:szCs w:val="22"/>
        </w:rPr>
        <w:t>mean weekly records.</w:t>
      </w:r>
    </w:p>
    <w:p w14:paraId="3B9D25C4" w14:textId="77777777" w:rsidR="008F5FCE" w:rsidRPr="00431DDA" w:rsidRDefault="008F5FCE" w:rsidP="000150D8">
      <w:pPr>
        <w:pStyle w:val="Heading3"/>
      </w:pPr>
      <w:bookmarkStart w:id="348" w:name="_Toc37775078"/>
      <w:bookmarkStart w:id="349" w:name="_Toc43987053"/>
      <w:bookmarkEnd w:id="341"/>
      <w:bookmarkEnd w:id="343"/>
      <w:r w:rsidRPr="00431DDA">
        <w:t>Inshore seagrass and habitat condition</w:t>
      </w:r>
      <w:bookmarkEnd w:id="348"/>
      <w:bookmarkEnd w:id="349"/>
    </w:p>
    <w:p w14:paraId="16BEAF84" w14:textId="54D07464" w:rsidR="008F5FCE" w:rsidRPr="00CB093C" w:rsidRDefault="00C80D81" w:rsidP="008F5FCE">
      <w:pPr>
        <w:rPr>
          <w:rFonts w:cs="Arial"/>
          <w:szCs w:val="22"/>
        </w:rPr>
      </w:pPr>
      <w:r>
        <w:rPr>
          <w:rFonts w:cs="Arial"/>
          <w:color w:val="000000" w:themeColor="text1"/>
          <w:szCs w:val="22"/>
          <w:lang w:eastAsia="x-none"/>
        </w:rPr>
        <w:t>There are 12 seagrass monitoring sites in the Wet Tropics from 7 locations</w:t>
      </w:r>
      <w:r w:rsidR="00F97113">
        <w:rPr>
          <w:rFonts w:cs="Arial"/>
          <w:color w:val="000000" w:themeColor="text1"/>
          <w:szCs w:val="22"/>
          <w:lang w:eastAsia="x-none"/>
        </w:rPr>
        <w:t xml:space="preserve"> </w:t>
      </w:r>
      <w:r w:rsidR="00F97113" w:rsidRPr="00CB093C">
        <w:rPr>
          <w:rFonts w:cs="Arial"/>
          <w:szCs w:val="22"/>
        </w:rPr>
        <w:t>(</w:t>
      </w:r>
      <w:r w:rsidR="00F97113" w:rsidRPr="00CB093C">
        <w:rPr>
          <w:rFonts w:cs="Arial"/>
          <w:szCs w:val="22"/>
        </w:rPr>
        <w:fldChar w:fldCharType="begin"/>
      </w:r>
      <w:r w:rsidR="00F97113" w:rsidRPr="00CB093C">
        <w:rPr>
          <w:rFonts w:cs="Arial"/>
          <w:szCs w:val="22"/>
        </w:rPr>
        <w:instrText xml:space="preserve"> REF _Ref473897322 \h  \* MERGEFORMAT </w:instrText>
      </w:r>
      <w:r w:rsidR="00F97113" w:rsidRPr="00CB093C">
        <w:rPr>
          <w:rFonts w:cs="Arial"/>
          <w:szCs w:val="22"/>
        </w:rPr>
      </w:r>
      <w:r w:rsidR="00F97113" w:rsidRPr="00CB093C">
        <w:rPr>
          <w:rFonts w:cs="Arial"/>
          <w:szCs w:val="22"/>
        </w:rPr>
        <w:fldChar w:fldCharType="separate"/>
      </w:r>
      <w:r w:rsidR="0067675D" w:rsidRPr="00CB093C">
        <w:rPr>
          <w:rFonts w:cs="Arial"/>
          <w:szCs w:val="22"/>
        </w:rPr>
        <w:t xml:space="preserve">Table </w:t>
      </w:r>
      <w:r w:rsidR="0067675D">
        <w:rPr>
          <w:rFonts w:cs="Arial"/>
          <w:noProof/>
          <w:szCs w:val="22"/>
        </w:rPr>
        <w:t>12</w:t>
      </w:r>
      <w:r w:rsidR="00F97113" w:rsidRPr="00CB093C">
        <w:rPr>
          <w:rFonts w:cs="Arial"/>
          <w:szCs w:val="22"/>
        </w:rPr>
        <w:fldChar w:fldCharType="end"/>
      </w:r>
      <w:r w:rsidR="00F97113">
        <w:rPr>
          <w:rFonts w:cs="Arial"/>
          <w:szCs w:val="22"/>
        </w:rPr>
        <w:t>)</w:t>
      </w:r>
      <w:r>
        <w:rPr>
          <w:rFonts w:cs="Arial"/>
          <w:szCs w:val="22"/>
        </w:rPr>
        <w:t xml:space="preserve">. </w:t>
      </w:r>
      <w:r w:rsidR="008F5FCE" w:rsidRPr="00CB093C">
        <w:rPr>
          <w:rFonts w:cs="Arial"/>
          <w:szCs w:val="22"/>
        </w:rPr>
        <w:t>Three seagrass habitat types were assessed across the region (</w:t>
      </w:r>
      <w:r w:rsidR="008F5FCE" w:rsidRPr="00CB093C">
        <w:rPr>
          <w:rFonts w:cs="Arial"/>
          <w:szCs w:val="22"/>
        </w:rPr>
        <w:fldChar w:fldCharType="begin"/>
      </w:r>
      <w:r w:rsidR="008F5FCE" w:rsidRPr="00CB093C">
        <w:rPr>
          <w:rFonts w:cs="Arial"/>
          <w:szCs w:val="22"/>
        </w:rPr>
        <w:instrText xml:space="preserve"> REF _Ref473897322 \h  \* MERGEFORMAT </w:instrText>
      </w:r>
      <w:r w:rsidR="008F5FCE" w:rsidRPr="00CB093C">
        <w:rPr>
          <w:rFonts w:cs="Arial"/>
          <w:szCs w:val="22"/>
        </w:rPr>
      </w:r>
      <w:r w:rsidR="008F5FCE" w:rsidRPr="00CB093C">
        <w:rPr>
          <w:rFonts w:cs="Arial"/>
          <w:szCs w:val="22"/>
        </w:rPr>
        <w:fldChar w:fldCharType="separate"/>
      </w:r>
      <w:r w:rsidR="0067675D" w:rsidRPr="00CB093C">
        <w:rPr>
          <w:rFonts w:cs="Arial"/>
          <w:szCs w:val="22"/>
        </w:rPr>
        <w:t xml:space="preserve">Table </w:t>
      </w:r>
      <w:r w:rsidR="0067675D">
        <w:rPr>
          <w:rFonts w:cs="Arial"/>
          <w:noProof/>
          <w:szCs w:val="22"/>
        </w:rPr>
        <w:t>12</w:t>
      </w:r>
      <w:r w:rsidR="008F5FCE" w:rsidRPr="00CB093C">
        <w:rPr>
          <w:rFonts w:cs="Arial"/>
          <w:szCs w:val="22"/>
        </w:rPr>
        <w:fldChar w:fldCharType="end"/>
      </w:r>
      <w:r w:rsidR="008F5FCE" w:rsidRPr="00CB093C">
        <w:rPr>
          <w:rFonts w:cs="Arial"/>
          <w:szCs w:val="22"/>
        </w:rPr>
        <w:t>).</w:t>
      </w:r>
    </w:p>
    <w:p w14:paraId="2C60103B" w14:textId="5AE7A6D1" w:rsidR="008F5FCE" w:rsidRPr="00CB093C" w:rsidRDefault="008F5FCE" w:rsidP="008F5FCE">
      <w:pPr>
        <w:rPr>
          <w:rFonts w:cs="Arial"/>
          <w:i/>
          <w:vanish/>
          <w:szCs w:val="22"/>
          <w:specVanish/>
        </w:rPr>
      </w:pPr>
      <w:bookmarkStart w:id="350" w:name="_Ref473897322"/>
      <w:bookmarkStart w:id="351" w:name="_Toc5616040"/>
      <w:bookmarkStart w:id="352" w:name="_Toc37787064"/>
      <w:bookmarkStart w:id="353" w:name="_Toc47600686"/>
      <w:r w:rsidRPr="00CB093C">
        <w:rPr>
          <w:rFonts w:cs="Arial"/>
          <w:szCs w:val="22"/>
        </w:rPr>
        <w:t xml:space="preserve">Table </w:t>
      </w:r>
      <w:r w:rsidRPr="00CB093C">
        <w:rPr>
          <w:rFonts w:cs="Arial"/>
          <w:noProof/>
          <w:szCs w:val="22"/>
        </w:rPr>
        <w:fldChar w:fldCharType="begin"/>
      </w:r>
      <w:r w:rsidRPr="00CB093C">
        <w:rPr>
          <w:rFonts w:cs="Arial"/>
          <w:noProof/>
          <w:szCs w:val="22"/>
        </w:rPr>
        <w:instrText xml:space="preserve"> SEQ Table \* ARABIC </w:instrText>
      </w:r>
      <w:r w:rsidRPr="00CB093C">
        <w:rPr>
          <w:rFonts w:cs="Arial"/>
          <w:noProof/>
          <w:szCs w:val="22"/>
        </w:rPr>
        <w:fldChar w:fldCharType="separate"/>
      </w:r>
      <w:r w:rsidR="0067675D">
        <w:rPr>
          <w:rFonts w:cs="Arial"/>
          <w:noProof/>
          <w:szCs w:val="22"/>
        </w:rPr>
        <w:t>12</w:t>
      </w:r>
      <w:r w:rsidRPr="00CB093C">
        <w:rPr>
          <w:rFonts w:cs="Arial"/>
          <w:noProof/>
          <w:szCs w:val="22"/>
        </w:rPr>
        <w:fldChar w:fldCharType="end"/>
      </w:r>
      <w:bookmarkEnd w:id="350"/>
      <w:r w:rsidRPr="00CB093C">
        <w:rPr>
          <w:rFonts w:cs="Arial"/>
          <w:szCs w:val="22"/>
        </w:rPr>
        <w:t xml:space="preserve">. </w:t>
      </w:r>
      <w:r w:rsidRPr="00CB093C">
        <w:rPr>
          <w:rFonts w:cs="Arial"/>
          <w:i/>
          <w:szCs w:val="22"/>
        </w:rPr>
        <w:t>List of data sources of seagrass and environmental condition indicators for each seagrass habitat type in the Wet Tropics NRM region.</w:t>
      </w:r>
      <w:bookmarkEnd w:id="351"/>
      <w:bookmarkEnd w:id="352"/>
      <w:bookmarkEnd w:id="353"/>
    </w:p>
    <w:p w14:paraId="7C5B6087" w14:textId="27DE59CE" w:rsidR="008F5FCE" w:rsidRPr="00CB093C" w:rsidRDefault="008F5FCE" w:rsidP="008F5FCE">
      <w:pPr>
        <w:rPr>
          <w:rFonts w:cs="Arial"/>
          <w:szCs w:val="22"/>
        </w:rPr>
      </w:pPr>
      <w:r w:rsidRPr="00CB093C">
        <w:rPr>
          <w:rFonts w:cs="Arial"/>
          <w:i/>
          <w:szCs w:val="22"/>
        </w:rPr>
        <w:t xml:space="preserve"> </w:t>
      </w:r>
      <w:r w:rsidRPr="00CB093C">
        <w:rPr>
          <w:rFonts w:cs="Arial"/>
          <w:i/>
          <w:color w:val="000000"/>
          <w:szCs w:val="22"/>
          <w:vertAlign w:val="superscript"/>
        </w:rPr>
        <w:sym w:font="Wingdings 2" w:char="F085"/>
      </w:r>
      <w:r w:rsidRPr="00CB093C">
        <w:rPr>
          <w:rFonts w:cs="Arial"/>
          <w:i/>
          <w:color w:val="000000"/>
          <w:szCs w:val="22"/>
        </w:rPr>
        <w:t xml:space="preserve"> drop camera sampling (QPWS), *Seagrass-Watch.</w:t>
      </w:r>
      <w:r w:rsidRPr="00CB093C">
        <w:rPr>
          <w:rFonts w:cs="Arial"/>
          <w:i/>
          <w:szCs w:val="22"/>
        </w:rPr>
        <w:t xml:space="preserve"> For site details see </w:t>
      </w:r>
      <w:r w:rsidRPr="00CB093C">
        <w:rPr>
          <w:rFonts w:cs="Arial"/>
          <w:i/>
          <w:szCs w:val="22"/>
        </w:rPr>
        <w:fldChar w:fldCharType="begin"/>
      </w:r>
      <w:r w:rsidRPr="00CB093C">
        <w:rPr>
          <w:rFonts w:cs="Arial"/>
          <w:i/>
          <w:szCs w:val="22"/>
        </w:rPr>
        <w:instrText xml:space="preserve"> REF _Ref236539751 \h  \* MERGEFORMAT </w:instrText>
      </w:r>
      <w:r w:rsidRPr="00CB093C">
        <w:rPr>
          <w:rFonts w:cs="Arial"/>
          <w:i/>
          <w:szCs w:val="22"/>
        </w:rPr>
      </w:r>
      <w:r w:rsidRPr="00CB093C">
        <w:rPr>
          <w:rFonts w:cs="Arial"/>
          <w:i/>
          <w:szCs w:val="22"/>
        </w:rPr>
        <w:fldChar w:fldCharType="separate"/>
      </w:r>
      <w:r w:rsidR="0067675D" w:rsidRPr="00D051A4">
        <w:rPr>
          <w:rFonts w:cs="Arial"/>
          <w:color w:val="000000"/>
          <w:szCs w:val="22"/>
        </w:rPr>
        <w:t xml:space="preserve">Table </w:t>
      </w:r>
      <w:r w:rsidR="0067675D">
        <w:rPr>
          <w:rFonts w:cs="Arial"/>
          <w:noProof/>
          <w:color w:val="000000"/>
          <w:szCs w:val="22"/>
        </w:rPr>
        <w:t>2</w:t>
      </w:r>
      <w:r w:rsidRPr="00CB093C">
        <w:rPr>
          <w:rFonts w:cs="Arial"/>
          <w:i/>
          <w:szCs w:val="22"/>
        </w:rPr>
        <w:fldChar w:fldCharType="end"/>
      </w:r>
      <w:r w:rsidRPr="00CB093C">
        <w:rPr>
          <w:rFonts w:cs="Arial"/>
          <w:i/>
          <w:szCs w:val="22"/>
        </w:rPr>
        <w:t xml:space="preserve"> and </w:t>
      </w:r>
      <w:r w:rsidRPr="00CB093C">
        <w:rPr>
          <w:rFonts w:cs="Arial"/>
          <w:i/>
          <w:szCs w:val="22"/>
        </w:rPr>
        <w:fldChar w:fldCharType="begin"/>
      </w:r>
      <w:r w:rsidRPr="00CB093C">
        <w:rPr>
          <w:rFonts w:cs="Arial"/>
          <w:i/>
          <w:szCs w:val="22"/>
        </w:rPr>
        <w:instrText xml:space="preserve"> REF _Ref461186562 \h  \* MERGEFORMAT </w:instrText>
      </w:r>
      <w:r w:rsidRPr="00CB093C">
        <w:rPr>
          <w:rFonts w:cs="Arial"/>
          <w:i/>
          <w:szCs w:val="22"/>
        </w:rPr>
      </w:r>
      <w:r w:rsidRPr="00CB093C">
        <w:rPr>
          <w:rFonts w:cs="Arial"/>
          <w:i/>
          <w:szCs w:val="22"/>
        </w:rPr>
        <w:fldChar w:fldCharType="separate"/>
      </w:r>
      <w:r w:rsidR="0067675D" w:rsidRPr="00CB093C">
        <w:rPr>
          <w:rFonts w:cs="Arial"/>
          <w:color w:val="000000"/>
          <w:szCs w:val="22"/>
        </w:rPr>
        <w:t xml:space="preserve">Table </w:t>
      </w:r>
      <w:r w:rsidR="0067675D">
        <w:rPr>
          <w:rFonts w:cs="Arial"/>
          <w:noProof/>
          <w:color w:val="000000"/>
          <w:szCs w:val="22"/>
        </w:rPr>
        <w:t>3</w:t>
      </w:r>
      <w:r w:rsidRPr="00CB093C">
        <w:rPr>
          <w:rFonts w:cs="Arial"/>
          <w:i/>
          <w:szCs w:val="22"/>
        </w:rPr>
        <w:fldChar w:fldCharType="end"/>
      </w:r>
      <w:r w:rsidRPr="00CB093C">
        <w:rPr>
          <w:rFonts w:cs="Arial"/>
          <w:i/>
          <w:szCs w:val="22"/>
        </w:rPr>
        <w:t>.</w:t>
      </w:r>
    </w:p>
    <w:tbl>
      <w:tblPr>
        <w:tblW w:w="9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
        <w:gridCol w:w="1683"/>
        <w:gridCol w:w="676"/>
        <w:gridCol w:w="1542"/>
        <w:gridCol w:w="467"/>
        <w:gridCol w:w="467"/>
        <w:gridCol w:w="467"/>
        <w:gridCol w:w="467"/>
        <w:gridCol w:w="467"/>
        <w:gridCol w:w="467"/>
        <w:gridCol w:w="467"/>
        <w:gridCol w:w="467"/>
        <w:gridCol w:w="467"/>
      </w:tblGrid>
      <w:tr w:rsidR="008F5FCE" w:rsidRPr="00DB1ACE" w14:paraId="5574A0FE" w14:textId="77777777" w:rsidTr="0085733C">
        <w:trPr>
          <w:cantSplit/>
          <w:trHeight w:val="1803"/>
          <w:jc w:val="center"/>
        </w:trPr>
        <w:tc>
          <w:tcPr>
            <w:tcW w:w="1063" w:type="dxa"/>
            <w:shd w:val="clear" w:color="auto" w:fill="BBE0E3"/>
            <w:vAlign w:val="center"/>
          </w:tcPr>
          <w:p w14:paraId="5893049E" w14:textId="77777777" w:rsidR="008F5FCE" w:rsidRPr="00DB1ACE" w:rsidRDefault="008F5FCE" w:rsidP="0085733C">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Sub region</w:t>
            </w:r>
          </w:p>
        </w:tc>
        <w:tc>
          <w:tcPr>
            <w:tcW w:w="1683" w:type="dxa"/>
            <w:shd w:val="clear" w:color="auto" w:fill="BBE0E3"/>
            <w:vAlign w:val="center"/>
          </w:tcPr>
          <w:p w14:paraId="1B24F8B1" w14:textId="77777777" w:rsidR="008F5FCE" w:rsidRPr="00DB1ACE" w:rsidRDefault="008F5FCE" w:rsidP="0085733C">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Habitat</w:t>
            </w:r>
          </w:p>
        </w:tc>
        <w:tc>
          <w:tcPr>
            <w:tcW w:w="2218" w:type="dxa"/>
            <w:gridSpan w:val="2"/>
            <w:shd w:val="clear" w:color="auto" w:fill="BBE0E3"/>
            <w:noWrap/>
            <w:vAlign w:val="center"/>
          </w:tcPr>
          <w:p w14:paraId="7465693A" w14:textId="77777777" w:rsidR="008F5FCE" w:rsidRPr="00DB1ACE" w:rsidRDefault="008F5FCE" w:rsidP="0085733C">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Site</w:t>
            </w:r>
          </w:p>
        </w:tc>
        <w:tc>
          <w:tcPr>
            <w:tcW w:w="467" w:type="dxa"/>
            <w:shd w:val="clear" w:color="auto" w:fill="BBE0E3"/>
            <w:textDirection w:val="btLr"/>
            <w:vAlign w:val="center"/>
          </w:tcPr>
          <w:p w14:paraId="7182C87C"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abundance</w:t>
            </w:r>
          </w:p>
        </w:tc>
        <w:tc>
          <w:tcPr>
            <w:tcW w:w="467" w:type="dxa"/>
            <w:shd w:val="clear" w:color="auto" w:fill="BBE0E3"/>
            <w:textDirection w:val="btLr"/>
            <w:vAlign w:val="center"/>
          </w:tcPr>
          <w:p w14:paraId="415224F9"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 xml:space="preserve">composition </w:t>
            </w:r>
          </w:p>
        </w:tc>
        <w:tc>
          <w:tcPr>
            <w:tcW w:w="467" w:type="dxa"/>
            <w:shd w:val="clear" w:color="auto" w:fill="BBE0E3"/>
            <w:textDirection w:val="btLr"/>
            <w:vAlign w:val="center"/>
          </w:tcPr>
          <w:p w14:paraId="07613BE7"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distribution</w:t>
            </w:r>
          </w:p>
        </w:tc>
        <w:tc>
          <w:tcPr>
            <w:tcW w:w="467" w:type="dxa"/>
            <w:shd w:val="clear" w:color="auto" w:fill="BBE0E3"/>
            <w:textDirection w:val="btLr"/>
            <w:vAlign w:val="center"/>
          </w:tcPr>
          <w:p w14:paraId="3843BF6C"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Reproductive effort</w:t>
            </w:r>
          </w:p>
        </w:tc>
        <w:tc>
          <w:tcPr>
            <w:tcW w:w="467" w:type="dxa"/>
            <w:shd w:val="clear" w:color="auto" w:fill="BBE0E3"/>
            <w:textDirection w:val="btLr"/>
            <w:vAlign w:val="center"/>
          </w:tcPr>
          <w:p w14:paraId="1A13560C"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seed banks</w:t>
            </w:r>
          </w:p>
        </w:tc>
        <w:tc>
          <w:tcPr>
            <w:tcW w:w="467" w:type="dxa"/>
            <w:shd w:val="clear" w:color="auto" w:fill="BBE0E3"/>
            <w:textDirection w:val="btLr"/>
            <w:vAlign w:val="center"/>
          </w:tcPr>
          <w:p w14:paraId="72D8CC98"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Leaf tissue nutrients</w:t>
            </w:r>
          </w:p>
        </w:tc>
        <w:tc>
          <w:tcPr>
            <w:tcW w:w="467" w:type="dxa"/>
            <w:shd w:val="clear" w:color="auto" w:fill="BBE0E3"/>
            <w:textDirection w:val="btLr"/>
            <w:vAlign w:val="center"/>
          </w:tcPr>
          <w:p w14:paraId="022DD2F1"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Meadow sediments</w:t>
            </w:r>
          </w:p>
        </w:tc>
        <w:tc>
          <w:tcPr>
            <w:tcW w:w="467" w:type="dxa"/>
            <w:shd w:val="clear" w:color="auto" w:fill="BBE0E3"/>
            <w:textDirection w:val="btLr"/>
            <w:vAlign w:val="center"/>
          </w:tcPr>
          <w:p w14:paraId="3302146F"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Epiphytes</w:t>
            </w:r>
          </w:p>
        </w:tc>
        <w:tc>
          <w:tcPr>
            <w:tcW w:w="467" w:type="dxa"/>
            <w:shd w:val="clear" w:color="auto" w:fill="BBE0E3"/>
            <w:textDirection w:val="btLr"/>
          </w:tcPr>
          <w:p w14:paraId="71D6B898" w14:textId="77777777" w:rsidR="008F5FCE" w:rsidRPr="00DB1ACE" w:rsidRDefault="008F5FCE" w:rsidP="0085733C">
            <w:pPr>
              <w:spacing w:before="0" w:after="0"/>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Macroalgae</w:t>
            </w:r>
          </w:p>
        </w:tc>
      </w:tr>
      <w:tr w:rsidR="008F5FCE" w:rsidRPr="00DB1ACE" w14:paraId="5C6E6392" w14:textId="77777777" w:rsidTr="0085733C">
        <w:trPr>
          <w:trHeight w:val="170"/>
          <w:jc w:val="center"/>
        </w:trPr>
        <w:tc>
          <w:tcPr>
            <w:tcW w:w="1063" w:type="dxa"/>
            <w:vMerge w:val="restart"/>
            <w:shd w:val="clear" w:color="auto" w:fill="auto"/>
            <w:vAlign w:val="center"/>
          </w:tcPr>
          <w:p w14:paraId="7651213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north</w:t>
            </w:r>
          </w:p>
        </w:tc>
        <w:tc>
          <w:tcPr>
            <w:tcW w:w="1683" w:type="dxa"/>
            <w:vMerge w:val="restart"/>
            <w:shd w:val="clear" w:color="auto" w:fill="E7F3F4"/>
            <w:vAlign w:val="center"/>
          </w:tcPr>
          <w:p w14:paraId="2173246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intertidal</w:t>
            </w:r>
          </w:p>
        </w:tc>
        <w:tc>
          <w:tcPr>
            <w:tcW w:w="676" w:type="dxa"/>
            <w:shd w:val="clear" w:color="auto" w:fill="E7F3F4"/>
            <w:noWrap/>
            <w:vAlign w:val="center"/>
          </w:tcPr>
          <w:p w14:paraId="59474D1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YP1</w:t>
            </w:r>
          </w:p>
        </w:tc>
        <w:tc>
          <w:tcPr>
            <w:tcW w:w="1542" w:type="dxa"/>
            <w:shd w:val="clear" w:color="auto" w:fill="E7F3F4"/>
            <w:noWrap/>
            <w:vAlign w:val="center"/>
          </w:tcPr>
          <w:p w14:paraId="1F66545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Yule Point</w:t>
            </w:r>
          </w:p>
        </w:tc>
        <w:tc>
          <w:tcPr>
            <w:tcW w:w="467" w:type="dxa"/>
            <w:shd w:val="clear" w:color="auto" w:fill="E7F3F4"/>
            <w:vAlign w:val="center"/>
          </w:tcPr>
          <w:p w14:paraId="33BF2CC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826BD7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13E736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3DD86E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048D92B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641D91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732D93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4C40F3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0886A9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6CCC2910" w14:textId="77777777" w:rsidTr="0085733C">
        <w:trPr>
          <w:trHeight w:val="170"/>
          <w:jc w:val="center"/>
        </w:trPr>
        <w:tc>
          <w:tcPr>
            <w:tcW w:w="1063" w:type="dxa"/>
            <w:vMerge/>
            <w:shd w:val="clear" w:color="auto" w:fill="auto"/>
            <w:vAlign w:val="center"/>
          </w:tcPr>
          <w:p w14:paraId="11EEB8C6"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E7F3F4"/>
            <w:vAlign w:val="center"/>
          </w:tcPr>
          <w:p w14:paraId="0E334A84"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E7F3F4"/>
            <w:noWrap/>
            <w:vAlign w:val="center"/>
          </w:tcPr>
          <w:p w14:paraId="60BE617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YP2</w:t>
            </w:r>
          </w:p>
        </w:tc>
        <w:tc>
          <w:tcPr>
            <w:tcW w:w="1542" w:type="dxa"/>
            <w:shd w:val="clear" w:color="auto" w:fill="E7F3F4"/>
            <w:noWrap/>
            <w:vAlign w:val="center"/>
          </w:tcPr>
          <w:p w14:paraId="02AE4FA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Yule Point</w:t>
            </w:r>
          </w:p>
        </w:tc>
        <w:tc>
          <w:tcPr>
            <w:tcW w:w="467" w:type="dxa"/>
            <w:shd w:val="clear" w:color="auto" w:fill="E7F3F4"/>
            <w:vAlign w:val="center"/>
          </w:tcPr>
          <w:p w14:paraId="7432745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EA5E9B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E035C8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200B0F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F9176A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A81C1C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EF4CD3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0714E2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5CF4D1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13D63282" w14:textId="77777777" w:rsidTr="0085733C">
        <w:trPr>
          <w:trHeight w:val="170"/>
          <w:jc w:val="center"/>
        </w:trPr>
        <w:tc>
          <w:tcPr>
            <w:tcW w:w="1063" w:type="dxa"/>
            <w:vMerge/>
            <w:shd w:val="clear" w:color="auto" w:fill="auto"/>
            <w:vAlign w:val="center"/>
          </w:tcPr>
          <w:p w14:paraId="6F504B3D"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val="restart"/>
            <w:shd w:val="clear" w:color="auto" w:fill="F3F9FA"/>
            <w:vAlign w:val="center"/>
          </w:tcPr>
          <w:p w14:paraId="766349E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intertidal</w:t>
            </w:r>
          </w:p>
        </w:tc>
        <w:tc>
          <w:tcPr>
            <w:tcW w:w="676" w:type="dxa"/>
            <w:shd w:val="clear" w:color="auto" w:fill="F3F9FA"/>
            <w:noWrap/>
            <w:vAlign w:val="center"/>
          </w:tcPr>
          <w:p w14:paraId="5A16648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LI1</w:t>
            </w:r>
          </w:p>
        </w:tc>
        <w:tc>
          <w:tcPr>
            <w:tcW w:w="1542" w:type="dxa"/>
            <w:shd w:val="clear" w:color="auto" w:fill="F3F9FA"/>
            <w:noWrap/>
            <w:vAlign w:val="center"/>
          </w:tcPr>
          <w:p w14:paraId="281A770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Low Isles</w:t>
            </w:r>
          </w:p>
        </w:tc>
        <w:tc>
          <w:tcPr>
            <w:tcW w:w="467" w:type="dxa"/>
            <w:shd w:val="clear" w:color="auto" w:fill="F3F9FA"/>
            <w:vAlign w:val="center"/>
          </w:tcPr>
          <w:p w14:paraId="1A54993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A87894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CA9897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F0C321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1EA605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77DD39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12B7C0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C431F7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61A23A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26E15D7D" w14:textId="77777777" w:rsidTr="0085733C">
        <w:trPr>
          <w:trHeight w:val="170"/>
          <w:jc w:val="center"/>
        </w:trPr>
        <w:tc>
          <w:tcPr>
            <w:tcW w:w="1063" w:type="dxa"/>
            <w:vMerge/>
            <w:shd w:val="clear" w:color="auto" w:fill="auto"/>
            <w:vAlign w:val="center"/>
          </w:tcPr>
          <w:p w14:paraId="1B5C563B"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F3F9FA"/>
            <w:vAlign w:val="center"/>
          </w:tcPr>
          <w:p w14:paraId="4064E755"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F3F9FA"/>
            <w:noWrap/>
            <w:vAlign w:val="center"/>
          </w:tcPr>
          <w:p w14:paraId="7A0B6FC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GI1</w:t>
            </w:r>
          </w:p>
        </w:tc>
        <w:tc>
          <w:tcPr>
            <w:tcW w:w="1542" w:type="dxa"/>
            <w:shd w:val="clear" w:color="auto" w:fill="F3F9FA"/>
            <w:noWrap/>
            <w:vAlign w:val="center"/>
          </w:tcPr>
          <w:p w14:paraId="23CD406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Green Island</w:t>
            </w:r>
          </w:p>
        </w:tc>
        <w:tc>
          <w:tcPr>
            <w:tcW w:w="467" w:type="dxa"/>
            <w:shd w:val="clear" w:color="auto" w:fill="F3F9FA"/>
            <w:vAlign w:val="center"/>
          </w:tcPr>
          <w:p w14:paraId="142D628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C2A839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607969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C2A05E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331A5A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2AD6BC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20CCF9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085B2E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42CD48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04B0F603" w14:textId="77777777" w:rsidTr="0085733C">
        <w:trPr>
          <w:trHeight w:val="170"/>
          <w:jc w:val="center"/>
        </w:trPr>
        <w:tc>
          <w:tcPr>
            <w:tcW w:w="1063" w:type="dxa"/>
            <w:vMerge/>
            <w:shd w:val="clear" w:color="auto" w:fill="auto"/>
            <w:vAlign w:val="center"/>
          </w:tcPr>
          <w:p w14:paraId="2ECC4B38"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F3F9FA"/>
            <w:vAlign w:val="center"/>
          </w:tcPr>
          <w:p w14:paraId="6E6E6FC5"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F3F9FA"/>
            <w:noWrap/>
            <w:vAlign w:val="center"/>
          </w:tcPr>
          <w:p w14:paraId="1DC2BCE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GI2</w:t>
            </w:r>
          </w:p>
        </w:tc>
        <w:tc>
          <w:tcPr>
            <w:tcW w:w="1542" w:type="dxa"/>
            <w:shd w:val="clear" w:color="auto" w:fill="F3F9FA"/>
            <w:noWrap/>
            <w:vAlign w:val="center"/>
          </w:tcPr>
          <w:p w14:paraId="52D57F6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Green Island</w:t>
            </w:r>
          </w:p>
        </w:tc>
        <w:tc>
          <w:tcPr>
            <w:tcW w:w="467" w:type="dxa"/>
            <w:shd w:val="clear" w:color="auto" w:fill="F3F9FA"/>
            <w:vAlign w:val="center"/>
          </w:tcPr>
          <w:p w14:paraId="6386311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E163DE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651E57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EDCED8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C924CE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39E395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80A108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528C9A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8CE12B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58DD85F0" w14:textId="77777777" w:rsidTr="0085733C">
        <w:trPr>
          <w:trHeight w:val="170"/>
          <w:jc w:val="center"/>
        </w:trPr>
        <w:tc>
          <w:tcPr>
            <w:tcW w:w="1063" w:type="dxa"/>
            <w:vMerge/>
            <w:shd w:val="clear" w:color="auto" w:fill="auto"/>
            <w:vAlign w:val="center"/>
          </w:tcPr>
          <w:p w14:paraId="13DA8A6A"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val="restart"/>
            <w:shd w:val="clear" w:color="auto" w:fill="E7F3F4"/>
            <w:vAlign w:val="center"/>
          </w:tcPr>
          <w:p w14:paraId="41FCB64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subtidal</w:t>
            </w:r>
          </w:p>
        </w:tc>
        <w:tc>
          <w:tcPr>
            <w:tcW w:w="676" w:type="dxa"/>
            <w:shd w:val="clear" w:color="auto" w:fill="E7F3F4"/>
            <w:noWrap/>
            <w:vAlign w:val="center"/>
          </w:tcPr>
          <w:p w14:paraId="16E8F33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LI2</w:t>
            </w:r>
          </w:p>
        </w:tc>
        <w:tc>
          <w:tcPr>
            <w:tcW w:w="1542" w:type="dxa"/>
            <w:shd w:val="clear" w:color="auto" w:fill="E7F3F4"/>
            <w:noWrap/>
            <w:vAlign w:val="center"/>
          </w:tcPr>
          <w:p w14:paraId="01C68A4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Low Isles</w:t>
            </w:r>
          </w:p>
        </w:tc>
        <w:tc>
          <w:tcPr>
            <w:tcW w:w="467" w:type="dxa"/>
            <w:shd w:val="clear" w:color="auto" w:fill="E7F3F4"/>
            <w:vAlign w:val="center"/>
          </w:tcPr>
          <w:p w14:paraId="38B27ED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2B98DF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3876D7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D7EF49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A7A7C4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7FEA2C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EB8B21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E94325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65BBFE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320B3A65" w14:textId="77777777" w:rsidTr="0085733C">
        <w:trPr>
          <w:trHeight w:val="170"/>
          <w:jc w:val="center"/>
        </w:trPr>
        <w:tc>
          <w:tcPr>
            <w:tcW w:w="1063" w:type="dxa"/>
            <w:vMerge/>
            <w:shd w:val="clear" w:color="auto" w:fill="auto"/>
            <w:vAlign w:val="center"/>
          </w:tcPr>
          <w:p w14:paraId="4568288C"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E7F3F4"/>
            <w:vAlign w:val="center"/>
          </w:tcPr>
          <w:p w14:paraId="47E84CF7"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E7F3F4"/>
            <w:noWrap/>
            <w:vAlign w:val="center"/>
          </w:tcPr>
          <w:p w14:paraId="35DD6BD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GI3</w:t>
            </w:r>
          </w:p>
        </w:tc>
        <w:tc>
          <w:tcPr>
            <w:tcW w:w="1542" w:type="dxa"/>
            <w:shd w:val="clear" w:color="auto" w:fill="E7F3F4"/>
            <w:noWrap/>
            <w:vAlign w:val="center"/>
          </w:tcPr>
          <w:p w14:paraId="0A7F9F6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Green Island</w:t>
            </w:r>
          </w:p>
        </w:tc>
        <w:tc>
          <w:tcPr>
            <w:tcW w:w="467" w:type="dxa"/>
            <w:shd w:val="clear" w:color="auto" w:fill="E7F3F4"/>
            <w:vAlign w:val="center"/>
          </w:tcPr>
          <w:p w14:paraId="5D12188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A43565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454585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2CEE54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63F2B3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06A977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441243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21835F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5DB1D9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3D5C18C4" w14:textId="77777777" w:rsidTr="0085733C">
        <w:trPr>
          <w:trHeight w:val="170"/>
          <w:jc w:val="center"/>
        </w:trPr>
        <w:tc>
          <w:tcPr>
            <w:tcW w:w="1063" w:type="dxa"/>
            <w:vMerge w:val="restart"/>
            <w:shd w:val="clear" w:color="auto" w:fill="auto"/>
            <w:vAlign w:val="center"/>
          </w:tcPr>
          <w:p w14:paraId="73CBF6E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south</w:t>
            </w:r>
          </w:p>
        </w:tc>
        <w:tc>
          <w:tcPr>
            <w:tcW w:w="1683" w:type="dxa"/>
            <w:vMerge w:val="restart"/>
            <w:shd w:val="clear" w:color="auto" w:fill="F3F9FA"/>
            <w:vAlign w:val="center"/>
          </w:tcPr>
          <w:p w14:paraId="72CCD1D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intertidal</w:t>
            </w:r>
          </w:p>
        </w:tc>
        <w:tc>
          <w:tcPr>
            <w:tcW w:w="676" w:type="dxa"/>
            <w:shd w:val="clear" w:color="auto" w:fill="F3F9FA"/>
            <w:noWrap/>
            <w:vAlign w:val="center"/>
          </w:tcPr>
          <w:p w14:paraId="369A122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LB1</w:t>
            </w:r>
          </w:p>
        </w:tc>
        <w:tc>
          <w:tcPr>
            <w:tcW w:w="1542" w:type="dxa"/>
            <w:shd w:val="clear" w:color="auto" w:fill="F3F9FA"/>
            <w:noWrap/>
            <w:vAlign w:val="center"/>
          </w:tcPr>
          <w:p w14:paraId="4FB7F45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Lugger Bay</w:t>
            </w:r>
          </w:p>
        </w:tc>
        <w:tc>
          <w:tcPr>
            <w:tcW w:w="467" w:type="dxa"/>
            <w:shd w:val="clear" w:color="auto" w:fill="F3F9FA"/>
            <w:vAlign w:val="center"/>
          </w:tcPr>
          <w:p w14:paraId="5F252C4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01FAF7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A9BAA7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0E6AA0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C16E8B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5EA006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D1E666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24B685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1EEB32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3A7EEBAF" w14:textId="77777777" w:rsidTr="0085733C">
        <w:trPr>
          <w:trHeight w:val="170"/>
          <w:jc w:val="center"/>
        </w:trPr>
        <w:tc>
          <w:tcPr>
            <w:tcW w:w="1063" w:type="dxa"/>
            <w:vMerge/>
            <w:shd w:val="clear" w:color="auto" w:fill="auto"/>
          </w:tcPr>
          <w:p w14:paraId="112EEE20"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F3F9FA"/>
            <w:vAlign w:val="center"/>
          </w:tcPr>
          <w:p w14:paraId="507200B7"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F3F9FA"/>
            <w:noWrap/>
            <w:vAlign w:val="center"/>
          </w:tcPr>
          <w:p w14:paraId="40924412" w14:textId="77777777" w:rsidR="008F5FCE" w:rsidRPr="00DB1ACE" w:rsidRDefault="008F5FCE" w:rsidP="0085733C">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LB2</w:t>
            </w:r>
          </w:p>
        </w:tc>
        <w:tc>
          <w:tcPr>
            <w:tcW w:w="1542" w:type="dxa"/>
            <w:shd w:val="clear" w:color="auto" w:fill="F3F9FA"/>
            <w:noWrap/>
            <w:vAlign w:val="center"/>
          </w:tcPr>
          <w:p w14:paraId="464A4D5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Lugger Bay</w:t>
            </w:r>
          </w:p>
        </w:tc>
        <w:tc>
          <w:tcPr>
            <w:tcW w:w="467" w:type="dxa"/>
            <w:shd w:val="clear" w:color="auto" w:fill="F3F9FA"/>
            <w:vAlign w:val="center"/>
          </w:tcPr>
          <w:p w14:paraId="2B85E48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A9D451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E71789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22B6FB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76A019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8CCFC7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AFD400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08F647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80D8A4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5BE99D77" w14:textId="77777777" w:rsidTr="0085733C">
        <w:trPr>
          <w:trHeight w:val="170"/>
          <w:jc w:val="center"/>
        </w:trPr>
        <w:tc>
          <w:tcPr>
            <w:tcW w:w="1063" w:type="dxa"/>
            <w:vMerge/>
            <w:shd w:val="clear" w:color="auto" w:fill="auto"/>
          </w:tcPr>
          <w:p w14:paraId="32247869"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val="restart"/>
            <w:shd w:val="clear" w:color="auto" w:fill="E7F3F4"/>
            <w:vAlign w:val="center"/>
          </w:tcPr>
          <w:p w14:paraId="3C2C13D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subtidal</w:t>
            </w:r>
          </w:p>
        </w:tc>
        <w:tc>
          <w:tcPr>
            <w:tcW w:w="676" w:type="dxa"/>
            <w:shd w:val="clear" w:color="auto" w:fill="E7F3F4"/>
            <w:noWrap/>
            <w:vAlign w:val="center"/>
          </w:tcPr>
          <w:p w14:paraId="0201BB5C"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MS1</w:t>
            </w:r>
            <w:r w:rsidRPr="00DB1ACE">
              <w:rPr>
                <w:rFonts w:asciiTheme="minorHAnsi" w:hAnsiTheme="minorHAnsi" w:cstheme="minorHAnsi"/>
                <w:color w:val="000000"/>
                <w:sz w:val="20"/>
                <w:szCs w:val="20"/>
                <w:vertAlign w:val="superscript"/>
              </w:rPr>
              <w:sym w:font="Wingdings 2" w:char="F085"/>
            </w:r>
          </w:p>
        </w:tc>
        <w:tc>
          <w:tcPr>
            <w:tcW w:w="1542" w:type="dxa"/>
            <w:shd w:val="clear" w:color="auto" w:fill="E7F3F4"/>
            <w:noWrap/>
            <w:vAlign w:val="center"/>
          </w:tcPr>
          <w:p w14:paraId="177D57E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Missionary Bay</w:t>
            </w:r>
          </w:p>
        </w:tc>
        <w:tc>
          <w:tcPr>
            <w:tcW w:w="467" w:type="dxa"/>
            <w:shd w:val="clear" w:color="auto" w:fill="E7F3F4"/>
            <w:vAlign w:val="center"/>
          </w:tcPr>
          <w:p w14:paraId="3EA1AAC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B20B8A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158D941"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18934C63"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65E62729"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49794EBF"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4DCEE315"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14EA7379"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15CB07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1CDFAB37" w14:textId="77777777" w:rsidTr="0085733C">
        <w:trPr>
          <w:trHeight w:val="170"/>
          <w:jc w:val="center"/>
        </w:trPr>
        <w:tc>
          <w:tcPr>
            <w:tcW w:w="1063" w:type="dxa"/>
            <w:vMerge/>
            <w:shd w:val="clear" w:color="auto" w:fill="auto"/>
          </w:tcPr>
          <w:p w14:paraId="2C4AC3D6"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E7F3F4"/>
            <w:vAlign w:val="center"/>
          </w:tcPr>
          <w:p w14:paraId="4B47B35F"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E7F3F4"/>
            <w:noWrap/>
            <w:vAlign w:val="center"/>
          </w:tcPr>
          <w:p w14:paraId="18B91A0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MS2</w:t>
            </w:r>
            <w:r w:rsidRPr="00DB1ACE">
              <w:rPr>
                <w:rFonts w:asciiTheme="minorHAnsi" w:hAnsiTheme="minorHAnsi" w:cstheme="minorHAnsi"/>
                <w:color w:val="000000"/>
                <w:sz w:val="20"/>
                <w:szCs w:val="20"/>
                <w:vertAlign w:val="superscript"/>
              </w:rPr>
              <w:sym w:font="Wingdings 2" w:char="F085"/>
            </w:r>
          </w:p>
        </w:tc>
        <w:tc>
          <w:tcPr>
            <w:tcW w:w="1542" w:type="dxa"/>
            <w:shd w:val="clear" w:color="auto" w:fill="E7F3F4"/>
            <w:noWrap/>
            <w:vAlign w:val="center"/>
          </w:tcPr>
          <w:p w14:paraId="10295D1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Missionary Bay</w:t>
            </w:r>
          </w:p>
        </w:tc>
        <w:tc>
          <w:tcPr>
            <w:tcW w:w="467" w:type="dxa"/>
            <w:shd w:val="clear" w:color="auto" w:fill="E7F3F4"/>
            <w:vAlign w:val="center"/>
          </w:tcPr>
          <w:p w14:paraId="1DE3D75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8C9557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EDF76F0"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0DE2B972"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4DF0FF63"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318262EA"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72197EB3"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571E951C"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E7F3F4"/>
            <w:vAlign w:val="center"/>
          </w:tcPr>
          <w:p w14:paraId="4B4B253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1D3FF270" w14:textId="77777777" w:rsidTr="0085733C">
        <w:trPr>
          <w:trHeight w:val="170"/>
          <w:jc w:val="center"/>
        </w:trPr>
        <w:tc>
          <w:tcPr>
            <w:tcW w:w="1063" w:type="dxa"/>
            <w:vMerge/>
            <w:shd w:val="clear" w:color="auto" w:fill="auto"/>
          </w:tcPr>
          <w:p w14:paraId="4BB8169A"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val="restart"/>
            <w:shd w:val="clear" w:color="auto" w:fill="F3F9FA"/>
            <w:vAlign w:val="center"/>
          </w:tcPr>
          <w:p w14:paraId="7047DF9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intertidal</w:t>
            </w:r>
          </w:p>
        </w:tc>
        <w:tc>
          <w:tcPr>
            <w:tcW w:w="676" w:type="dxa"/>
            <w:shd w:val="clear" w:color="auto" w:fill="F3F9FA"/>
            <w:noWrap/>
            <w:vAlign w:val="center"/>
          </w:tcPr>
          <w:p w14:paraId="1058C4C6" w14:textId="77777777" w:rsidR="008F5FCE" w:rsidRPr="00DB1ACE" w:rsidRDefault="008F5FCE" w:rsidP="0085733C">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DI1</w:t>
            </w:r>
          </w:p>
        </w:tc>
        <w:tc>
          <w:tcPr>
            <w:tcW w:w="1542" w:type="dxa"/>
            <w:shd w:val="clear" w:color="auto" w:fill="F3F9FA"/>
            <w:noWrap/>
            <w:vAlign w:val="center"/>
          </w:tcPr>
          <w:p w14:paraId="3881A69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Dunk Island</w:t>
            </w:r>
          </w:p>
        </w:tc>
        <w:tc>
          <w:tcPr>
            <w:tcW w:w="467" w:type="dxa"/>
            <w:shd w:val="clear" w:color="auto" w:fill="F3F9FA"/>
            <w:vAlign w:val="center"/>
          </w:tcPr>
          <w:p w14:paraId="60E0AD5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666F58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6E6908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643DD11"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484B455"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20714F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4BB494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FF6051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C2D9F2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6E54B4F4" w14:textId="77777777" w:rsidTr="0085733C">
        <w:trPr>
          <w:trHeight w:val="170"/>
          <w:jc w:val="center"/>
        </w:trPr>
        <w:tc>
          <w:tcPr>
            <w:tcW w:w="1063" w:type="dxa"/>
            <w:vMerge/>
            <w:shd w:val="clear" w:color="auto" w:fill="auto"/>
          </w:tcPr>
          <w:p w14:paraId="394486E8"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F3F9FA"/>
            <w:vAlign w:val="center"/>
          </w:tcPr>
          <w:p w14:paraId="14F8526B"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F3F9FA"/>
            <w:noWrap/>
            <w:vAlign w:val="center"/>
          </w:tcPr>
          <w:p w14:paraId="157E8813" w14:textId="77777777" w:rsidR="008F5FCE" w:rsidRPr="00DB1ACE" w:rsidRDefault="008F5FCE" w:rsidP="0085733C">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DI2</w:t>
            </w:r>
          </w:p>
        </w:tc>
        <w:tc>
          <w:tcPr>
            <w:tcW w:w="1542" w:type="dxa"/>
            <w:shd w:val="clear" w:color="auto" w:fill="F3F9FA"/>
            <w:noWrap/>
            <w:vAlign w:val="center"/>
          </w:tcPr>
          <w:p w14:paraId="3236F30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Dunk Island</w:t>
            </w:r>
          </w:p>
        </w:tc>
        <w:tc>
          <w:tcPr>
            <w:tcW w:w="467" w:type="dxa"/>
            <w:shd w:val="clear" w:color="auto" w:fill="F3F9FA"/>
            <w:vAlign w:val="center"/>
          </w:tcPr>
          <w:p w14:paraId="0116413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4DD19800"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CC125D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8D5BFB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B2886DA"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CCA3BF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56AC28D"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BB67CE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2E38AE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8F5FCE" w:rsidRPr="00DB1ACE" w14:paraId="39A972C3" w14:textId="77777777" w:rsidTr="0085733C">
        <w:trPr>
          <w:trHeight w:val="170"/>
          <w:jc w:val="center"/>
        </w:trPr>
        <w:tc>
          <w:tcPr>
            <w:tcW w:w="1063" w:type="dxa"/>
            <w:vMerge/>
            <w:shd w:val="clear" w:color="auto" w:fill="auto"/>
          </w:tcPr>
          <w:p w14:paraId="42AEEA35"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vMerge/>
            <w:shd w:val="clear" w:color="auto" w:fill="F3F9FA"/>
            <w:vAlign w:val="center"/>
          </w:tcPr>
          <w:p w14:paraId="4B5BBD82"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676" w:type="dxa"/>
            <w:shd w:val="clear" w:color="auto" w:fill="F3F9FA"/>
            <w:noWrap/>
            <w:vAlign w:val="center"/>
          </w:tcPr>
          <w:p w14:paraId="1981FE4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GO1*</w:t>
            </w:r>
          </w:p>
        </w:tc>
        <w:tc>
          <w:tcPr>
            <w:tcW w:w="1542" w:type="dxa"/>
            <w:shd w:val="clear" w:color="auto" w:fill="F3F9FA"/>
            <w:noWrap/>
            <w:vAlign w:val="center"/>
          </w:tcPr>
          <w:p w14:paraId="2B05437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Goold Island</w:t>
            </w:r>
          </w:p>
        </w:tc>
        <w:tc>
          <w:tcPr>
            <w:tcW w:w="467" w:type="dxa"/>
            <w:shd w:val="clear" w:color="auto" w:fill="F3F9FA"/>
            <w:vAlign w:val="center"/>
          </w:tcPr>
          <w:p w14:paraId="03F9D2E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c>
          <w:tcPr>
            <w:tcW w:w="467" w:type="dxa"/>
            <w:shd w:val="clear" w:color="auto" w:fill="F3F9FA"/>
            <w:vAlign w:val="center"/>
          </w:tcPr>
          <w:p w14:paraId="221C6A8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c>
          <w:tcPr>
            <w:tcW w:w="467" w:type="dxa"/>
            <w:shd w:val="clear" w:color="auto" w:fill="F3F9FA"/>
            <w:vAlign w:val="center"/>
          </w:tcPr>
          <w:p w14:paraId="373017AF"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B096F76"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4405E85F"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c>
          <w:tcPr>
            <w:tcW w:w="467" w:type="dxa"/>
            <w:shd w:val="clear" w:color="auto" w:fill="F3F9FA"/>
            <w:vAlign w:val="center"/>
          </w:tcPr>
          <w:p w14:paraId="31B04A92"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467" w:type="dxa"/>
            <w:shd w:val="clear" w:color="auto" w:fill="F3F9FA"/>
            <w:vAlign w:val="center"/>
          </w:tcPr>
          <w:p w14:paraId="5329968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c>
          <w:tcPr>
            <w:tcW w:w="467" w:type="dxa"/>
            <w:shd w:val="clear" w:color="auto" w:fill="F3F9FA"/>
            <w:vAlign w:val="center"/>
          </w:tcPr>
          <w:p w14:paraId="7D7FE066"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c>
          <w:tcPr>
            <w:tcW w:w="467" w:type="dxa"/>
            <w:shd w:val="clear" w:color="auto" w:fill="F3F9FA"/>
            <w:vAlign w:val="center"/>
          </w:tcPr>
          <w:p w14:paraId="2DD0ADD4"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A8"/>
            </w:r>
          </w:p>
        </w:tc>
      </w:tr>
      <w:tr w:rsidR="008F5FCE" w:rsidRPr="00DB1ACE" w14:paraId="7C3174DB" w14:textId="77777777" w:rsidTr="0085733C">
        <w:trPr>
          <w:trHeight w:val="170"/>
          <w:jc w:val="center"/>
        </w:trPr>
        <w:tc>
          <w:tcPr>
            <w:tcW w:w="1063" w:type="dxa"/>
            <w:vMerge/>
            <w:shd w:val="clear" w:color="auto" w:fill="auto"/>
          </w:tcPr>
          <w:p w14:paraId="34A46707" w14:textId="77777777" w:rsidR="008F5FCE" w:rsidRPr="00DB1ACE" w:rsidRDefault="008F5FCE" w:rsidP="0085733C">
            <w:pPr>
              <w:spacing w:before="0" w:after="0"/>
              <w:jc w:val="center"/>
              <w:rPr>
                <w:rFonts w:asciiTheme="minorHAnsi" w:hAnsiTheme="minorHAnsi" w:cstheme="minorHAnsi"/>
                <w:color w:val="000000"/>
                <w:sz w:val="20"/>
                <w:szCs w:val="20"/>
              </w:rPr>
            </w:pPr>
          </w:p>
        </w:tc>
        <w:tc>
          <w:tcPr>
            <w:tcW w:w="1683" w:type="dxa"/>
            <w:shd w:val="clear" w:color="auto" w:fill="E7F3F4"/>
            <w:vAlign w:val="center"/>
          </w:tcPr>
          <w:p w14:paraId="2211364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subtidal</w:t>
            </w:r>
          </w:p>
        </w:tc>
        <w:tc>
          <w:tcPr>
            <w:tcW w:w="676" w:type="dxa"/>
            <w:shd w:val="clear" w:color="auto" w:fill="E7F3F4"/>
            <w:noWrap/>
            <w:vAlign w:val="center"/>
          </w:tcPr>
          <w:p w14:paraId="095B5D18" w14:textId="77777777" w:rsidR="008F5FCE" w:rsidRPr="00DB1ACE" w:rsidRDefault="008F5FCE" w:rsidP="0085733C">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DI3</w:t>
            </w:r>
          </w:p>
        </w:tc>
        <w:tc>
          <w:tcPr>
            <w:tcW w:w="1542" w:type="dxa"/>
            <w:shd w:val="clear" w:color="auto" w:fill="E7F3F4"/>
            <w:noWrap/>
            <w:vAlign w:val="center"/>
          </w:tcPr>
          <w:p w14:paraId="110F106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Dunk Island</w:t>
            </w:r>
          </w:p>
        </w:tc>
        <w:tc>
          <w:tcPr>
            <w:tcW w:w="467" w:type="dxa"/>
            <w:shd w:val="clear" w:color="auto" w:fill="E7F3F4"/>
            <w:vAlign w:val="center"/>
          </w:tcPr>
          <w:p w14:paraId="09F4F91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605A22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129A899"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635E2E7"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C4E925B"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D51901E"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D128752"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ADE2603"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7651708" w14:textId="77777777" w:rsidR="008F5FCE" w:rsidRPr="00DB1ACE" w:rsidRDefault="008F5FCE" w:rsidP="0085733C">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bl>
    <w:p w14:paraId="105CE594" w14:textId="77777777" w:rsidR="008F5FCE" w:rsidRPr="00CB093C" w:rsidRDefault="008F5FCE" w:rsidP="000150D8">
      <w:pPr>
        <w:pStyle w:val="Heading4"/>
      </w:pPr>
      <w:r w:rsidRPr="00CB093C">
        <w:lastRenderedPageBreak/>
        <w:t xml:space="preserve"> </w:t>
      </w:r>
      <w:bookmarkStart w:id="354" w:name="_Toc37775079"/>
      <w:bookmarkStart w:id="355" w:name="_Toc43987054"/>
      <w:r w:rsidRPr="00CB093C">
        <w:t>Seagrass index and indicator scores</w:t>
      </w:r>
      <w:bookmarkEnd w:id="354"/>
      <w:bookmarkEnd w:id="355"/>
    </w:p>
    <w:p w14:paraId="3E89DE60" w14:textId="618EB4A4" w:rsidR="00EF544A" w:rsidRPr="00FA314F" w:rsidRDefault="005D6BC8" w:rsidP="005D6BC8">
      <w:pPr>
        <w:rPr>
          <w:rFonts w:cs="Arial"/>
          <w:szCs w:val="22"/>
          <w:lang w:val="en-GB"/>
        </w:rPr>
      </w:pPr>
      <w:r w:rsidRPr="00FA314F">
        <w:rPr>
          <w:rFonts w:cs="Arial"/>
          <w:szCs w:val="22"/>
          <w:lang w:val="en-GB"/>
        </w:rPr>
        <w:t>In the 201</w:t>
      </w:r>
      <w:r w:rsidR="002D350C">
        <w:rPr>
          <w:rFonts w:cs="Arial"/>
          <w:szCs w:val="22"/>
          <w:lang w:val="en-GB"/>
        </w:rPr>
        <w:t>8</w:t>
      </w:r>
      <w:r w:rsidRPr="00FA314F">
        <w:rPr>
          <w:rFonts w:cs="Arial"/>
          <w:szCs w:val="22"/>
          <w:lang w:val="en-GB"/>
        </w:rPr>
        <w:t>-1</w:t>
      </w:r>
      <w:r w:rsidR="002D350C">
        <w:rPr>
          <w:rFonts w:cs="Arial"/>
          <w:szCs w:val="22"/>
          <w:lang w:val="en-GB"/>
        </w:rPr>
        <w:t>9</w:t>
      </w:r>
      <w:r w:rsidRPr="00FA314F">
        <w:rPr>
          <w:rFonts w:cs="Arial"/>
          <w:szCs w:val="22"/>
          <w:lang w:val="en-GB"/>
        </w:rPr>
        <w:t xml:space="preserve"> monitoring period, the seagrass condition index for the overall Wet Tropics region increased to the highest score since reporting was established, but the overall grade remained poor </w:t>
      </w:r>
      <w:r w:rsidRPr="00FA314F">
        <w:rPr>
          <w:rFonts w:cs="Arial"/>
          <w:szCs w:val="22"/>
        </w:rPr>
        <w:t>(</w:t>
      </w:r>
      <w:r w:rsidR="002D350C">
        <w:rPr>
          <w:rFonts w:cs="Arial"/>
          <w:szCs w:val="22"/>
        </w:rPr>
        <w:fldChar w:fldCharType="begin"/>
      </w:r>
      <w:r w:rsidR="002D350C">
        <w:rPr>
          <w:rFonts w:cs="Arial"/>
          <w:szCs w:val="22"/>
        </w:rPr>
        <w:instrText xml:space="preserve"> REF _Ref536860481 \h </w:instrText>
      </w:r>
      <w:r w:rsidR="002D350C">
        <w:rPr>
          <w:rFonts w:cs="Arial"/>
          <w:szCs w:val="22"/>
        </w:rPr>
      </w:r>
      <w:r w:rsidR="002D350C">
        <w:rPr>
          <w:rFonts w:cs="Arial"/>
          <w:szCs w:val="22"/>
        </w:rPr>
        <w:fldChar w:fldCharType="separate"/>
      </w:r>
      <w:r w:rsidR="0067675D" w:rsidRPr="009C55E1">
        <w:rPr>
          <w:rFonts w:cs="Arial"/>
          <w:color w:val="000000"/>
          <w:szCs w:val="22"/>
        </w:rPr>
        <w:t xml:space="preserve">Figure </w:t>
      </w:r>
      <w:r w:rsidR="0067675D">
        <w:rPr>
          <w:rFonts w:cs="Arial"/>
          <w:noProof/>
          <w:color w:val="000000"/>
          <w:szCs w:val="22"/>
        </w:rPr>
        <w:t>16</w:t>
      </w:r>
      <w:r w:rsidR="002D350C">
        <w:rPr>
          <w:rFonts w:cs="Arial"/>
          <w:szCs w:val="22"/>
        </w:rPr>
        <w:fldChar w:fldCharType="end"/>
      </w:r>
      <w:r w:rsidR="00AC1659" w:rsidRPr="00FA314F">
        <w:rPr>
          <w:rFonts w:cs="Arial"/>
          <w:szCs w:val="22"/>
        </w:rPr>
        <w:t>)</w:t>
      </w:r>
      <w:r w:rsidRPr="00FA314F">
        <w:rPr>
          <w:rFonts w:cs="Arial"/>
          <w:szCs w:val="22"/>
          <w:lang w:val="en-GB"/>
        </w:rPr>
        <w:t>. The increase was due to improved scores in two indicators: abundance and reproductive effort. The only indicator to change grade from the previous year was reproductive effort</w:t>
      </w:r>
      <w:r w:rsidRPr="00FA314F">
        <w:rPr>
          <w:rFonts w:cs="Arial"/>
          <w:szCs w:val="22"/>
        </w:rPr>
        <w:t xml:space="preserve">, which increased from very poor to poor. </w:t>
      </w:r>
      <w:r w:rsidR="007A70FE" w:rsidRPr="00FA314F">
        <w:rPr>
          <w:rFonts w:cs="Arial"/>
          <w:szCs w:val="22"/>
        </w:rPr>
        <w:t>Examination</w:t>
      </w:r>
      <w:r w:rsidR="00EF544A" w:rsidRPr="00FA314F">
        <w:rPr>
          <w:rFonts w:cs="Arial"/>
          <w:szCs w:val="22"/>
        </w:rPr>
        <w:t xml:space="preserve"> of </w:t>
      </w:r>
      <w:r w:rsidR="00FD5559" w:rsidRPr="00FA314F">
        <w:rPr>
          <w:rFonts w:cs="Arial"/>
          <w:szCs w:val="22"/>
        </w:rPr>
        <w:t xml:space="preserve">the </w:t>
      </w:r>
      <w:r w:rsidR="00EF544A" w:rsidRPr="00FA314F">
        <w:rPr>
          <w:rFonts w:cs="Arial"/>
          <w:szCs w:val="22"/>
        </w:rPr>
        <w:t>sub-regional scores highlights the differences between seagrass condition in the north and south of the Wet Tropics (</w:t>
      </w:r>
      <w:r w:rsidR="00EF544A" w:rsidRPr="00FA314F">
        <w:rPr>
          <w:rFonts w:cs="Arial"/>
          <w:szCs w:val="22"/>
        </w:rPr>
        <w:fldChar w:fldCharType="begin"/>
      </w:r>
      <w:r w:rsidR="00EF544A" w:rsidRPr="00FA314F">
        <w:rPr>
          <w:rFonts w:cs="Arial"/>
          <w:szCs w:val="22"/>
        </w:rPr>
        <w:instrText xml:space="preserve"> REF _Ref385233640 \h </w:instrText>
      </w:r>
      <w:r w:rsidR="00CB093C" w:rsidRPr="00FA314F">
        <w:rPr>
          <w:rFonts w:cs="Arial"/>
          <w:szCs w:val="22"/>
        </w:rPr>
        <w:instrText xml:space="preserve"> \* MERGEFORMAT </w:instrText>
      </w:r>
      <w:r w:rsidR="00EF544A" w:rsidRPr="00FA314F">
        <w:rPr>
          <w:rFonts w:cs="Arial"/>
          <w:szCs w:val="22"/>
        </w:rPr>
      </w:r>
      <w:r w:rsidR="00EF544A" w:rsidRPr="00FA314F">
        <w:rPr>
          <w:rFonts w:cs="Arial"/>
          <w:szCs w:val="22"/>
        </w:rPr>
        <w:fldChar w:fldCharType="separate"/>
      </w:r>
      <w:r w:rsidR="0067675D" w:rsidRPr="00FA314F">
        <w:rPr>
          <w:rFonts w:cs="Arial"/>
          <w:color w:val="000000"/>
          <w:szCs w:val="22"/>
        </w:rPr>
        <w:t xml:space="preserve">Figure </w:t>
      </w:r>
      <w:r w:rsidR="0067675D">
        <w:rPr>
          <w:rFonts w:cs="Arial"/>
          <w:noProof/>
          <w:color w:val="000000"/>
          <w:szCs w:val="22"/>
        </w:rPr>
        <w:t>35</w:t>
      </w:r>
      <w:r w:rsidR="00EF544A" w:rsidRPr="00FA314F">
        <w:rPr>
          <w:rFonts w:cs="Arial"/>
          <w:szCs w:val="22"/>
        </w:rPr>
        <w:fldChar w:fldCharType="end"/>
      </w:r>
      <w:r w:rsidR="00EF544A" w:rsidRPr="00FA314F">
        <w:rPr>
          <w:rFonts w:cs="Arial"/>
          <w:szCs w:val="22"/>
        </w:rPr>
        <w:t>).</w:t>
      </w:r>
    </w:p>
    <w:p w14:paraId="14259D31" w14:textId="47B4E965" w:rsidR="00267443" w:rsidRPr="00FA314F" w:rsidRDefault="00EF544A" w:rsidP="00FD5559">
      <w:pPr>
        <w:rPr>
          <w:rFonts w:cs="Arial"/>
          <w:szCs w:val="22"/>
          <w:lang w:val="en-GB"/>
        </w:rPr>
      </w:pPr>
      <w:r w:rsidRPr="00FA314F">
        <w:rPr>
          <w:rFonts w:cs="Arial"/>
          <w:szCs w:val="22"/>
        </w:rPr>
        <w:t xml:space="preserve">In the northern Wet Tropics, </w:t>
      </w:r>
      <w:r w:rsidR="00173C6C" w:rsidRPr="00FA314F">
        <w:rPr>
          <w:rFonts w:cs="Arial"/>
          <w:szCs w:val="22"/>
          <w:lang w:val="en-GB"/>
        </w:rPr>
        <w:t xml:space="preserve">the seagrass condition index increased to the highest score since reporting was established, improving to a moderate grading </w:t>
      </w:r>
      <w:r w:rsidR="00173C6C" w:rsidRPr="00FA314F">
        <w:rPr>
          <w:rFonts w:cs="Arial"/>
          <w:szCs w:val="22"/>
        </w:rPr>
        <w:t>(</w:t>
      </w:r>
      <w:r w:rsidR="00173C6C" w:rsidRPr="00FA314F">
        <w:rPr>
          <w:rFonts w:cs="Arial"/>
          <w:szCs w:val="22"/>
        </w:rPr>
        <w:fldChar w:fldCharType="begin"/>
      </w:r>
      <w:r w:rsidR="00173C6C" w:rsidRPr="00FA314F">
        <w:rPr>
          <w:rFonts w:cs="Arial"/>
          <w:szCs w:val="22"/>
        </w:rPr>
        <w:instrText xml:space="preserve"> REF _Ref179412965 \h </w:instrText>
      </w:r>
      <w:r w:rsidR="00CB093C" w:rsidRPr="00FA314F">
        <w:rPr>
          <w:rFonts w:cs="Arial"/>
          <w:szCs w:val="22"/>
        </w:rPr>
        <w:instrText xml:space="preserve"> \* MERGEFORMAT </w:instrText>
      </w:r>
      <w:r w:rsidR="00173C6C" w:rsidRPr="00FA314F">
        <w:rPr>
          <w:rFonts w:cs="Arial"/>
          <w:szCs w:val="22"/>
        </w:rPr>
      </w:r>
      <w:r w:rsidR="00173C6C" w:rsidRPr="00FA314F">
        <w:rPr>
          <w:rFonts w:cs="Arial"/>
          <w:szCs w:val="22"/>
        </w:rPr>
        <w:fldChar w:fldCharType="separate"/>
      </w:r>
      <w:r w:rsidR="0067675D" w:rsidRPr="00FA314F">
        <w:rPr>
          <w:rFonts w:cs="Arial"/>
          <w:color w:val="000000"/>
          <w:szCs w:val="22"/>
        </w:rPr>
        <w:t xml:space="preserve">Figure </w:t>
      </w:r>
      <w:r w:rsidR="0067675D">
        <w:rPr>
          <w:rFonts w:cs="Arial"/>
          <w:noProof/>
          <w:color w:val="000000"/>
          <w:szCs w:val="22"/>
        </w:rPr>
        <w:t>38</w:t>
      </w:r>
      <w:r w:rsidR="00173C6C" w:rsidRPr="00FA314F">
        <w:rPr>
          <w:rFonts w:cs="Arial"/>
          <w:szCs w:val="22"/>
        </w:rPr>
        <w:fldChar w:fldCharType="end"/>
      </w:r>
      <w:r w:rsidR="00173C6C" w:rsidRPr="00FA314F">
        <w:rPr>
          <w:rFonts w:cs="Arial"/>
          <w:szCs w:val="22"/>
        </w:rPr>
        <w:t>)</w:t>
      </w:r>
      <w:r w:rsidR="00173C6C" w:rsidRPr="00FA314F">
        <w:rPr>
          <w:rFonts w:cs="Arial"/>
          <w:szCs w:val="22"/>
          <w:lang w:val="en-GB"/>
        </w:rPr>
        <w:t xml:space="preserve">. </w:t>
      </w:r>
      <w:r w:rsidR="00F66F2B">
        <w:rPr>
          <w:rFonts w:cs="Arial"/>
          <w:szCs w:val="22"/>
          <w:lang w:val="en-GB"/>
        </w:rPr>
        <w:t>Similar</w:t>
      </w:r>
      <w:r w:rsidR="00173C6C" w:rsidRPr="00FA314F">
        <w:rPr>
          <w:rFonts w:cs="Arial"/>
          <w:szCs w:val="22"/>
          <w:lang w:val="en-GB"/>
        </w:rPr>
        <w:t xml:space="preserve"> to the overall </w:t>
      </w:r>
      <w:r w:rsidR="00381338" w:rsidRPr="00FA314F">
        <w:rPr>
          <w:rFonts w:cs="Arial"/>
          <w:szCs w:val="22"/>
          <w:lang w:val="en-GB"/>
        </w:rPr>
        <w:t xml:space="preserve">NRM </w:t>
      </w:r>
      <w:r w:rsidR="00173C6C" w:rsidRPr="00FA314F">
        <w:rPr>
          <w:rFonts w:cs="Arial"/>
          <w:szCs w:val="22"/>
          <w:lang w:val="en-GB"/>
        </w:rPr>
        <w:t xml:space="preserve">regional grade, the increase appears </w:t>
      </w:r>
      <w:r w:rsidR="007A70FE" w:rsidRPr="00FA314F">
        <w:rPr>
          <w:rFonts w:cs="Arial"/>
          <w:szCs w:val="22"/>
          <w:lang w:val="en-GB"/>
        </w:rPr>
        <w:t>primarily</w:t>
      </w:r>
      <w:r w:rsidR="00173C6C" w:rsidRPr="00FA314F">
        <w:rPr>
          <w:rFonts w:cs="Arial"/>
          <w:szCs w:val="22"/>
          <w:lang w:val="en-GB"/>
        </w:rPr>
        <w:t xml:space="preserve"> due to improved </w:t>
      </w:r>
      <w:r w:rsidR="00F66F2B">
        <w:rPr>
          <w:rFonts w:cs="Arial"/>
          <w:szCs w:val="22"/>
          <w:lang w:val="en-GB"/>
        </w:rPr>
        <w:t>reproductive effort</w:t>
      </w:r>
      <w:r w:rsidR="00173C6C" w:rsidRPr="00FA314F">
        <w:rPr>
          <w:rFonts w:cs="Arial"/>
          <w:szCs w:val="22"/>
          <w:lang w:val="en-GB"/>
        </w:rPr>
        <w:t xml:space="preserve"> score</w:t>
      </w:r>
      <w:r w:rsidR="00F66F2B">
        <w:rPr>
          <w:rFonts w:cs="Arial"/>
          <w:szCs w:val="22"/>
          <w:lang w:val="en-GB"/>
        </w:rPr>
        <w:t>s</w:t>
      </w:r>
      <w:r w:rsidR="00173C6C" w:rsidRPr="00FA314F">
        <w:rPr>
          <w:rFonts w:cs="Arial"/>
          <w:szCs w:val="22"/>
          <w:lang w:val="en-GB"/>
        </w:rPr>
        <w:t xml:space="preserve">. </w:t>
      </w:r>
    </w:p>
    <w:p w14:paraId="686C700B" w14:textId="37F4C8D7" w:rsidR="00267443" w:rsidRPr="00F66F2B" w:rsidRDefault="00173C6C" w:rsidP="00FD5559">
      <w:pPr>
        <w:rPr>
          <w:rFonts w:cs="Arial"/>
          <w:szCs w:val="22"/>
        </w:rPr>
      </w:pPr>
      <w:r w:rsidRPr="00F66F2B">
        <w:rPr>
          <w:rFonts w:cs="Arial"/>
          <w:szCs w:val="22"/>
          <w:lang w:val="en-GB"/>
        </w:rPr>
        <w:t>T</w:t>
      </w:r>
      <w:r w:rsidR="00EF544A" w:rsidRPr="00F66F2B">
        <w:rPr>
          <w:rFonts w:cs="Arial"/>
          <w:szCs w:val="22"/>
        </w:rPr>
        <w:t xml:space="preserve">he </w:t>
      </w:r>
      <w:r w:rsidR="001B6AA0" w:rsidRPr="00F66F2B">
        <w:rPr>
          <w:rFonts w:cs="Arial"/>
          <w:szCs w:val="22"/>
        </w:rPr>
        <w:t xml:space="preserve">seagrass abundance </w:t>
      </w:r>
      <w:r w:rsidR="00EF544A" w:rsidRPr="00F66F2B">
        <w:rPr>
          <w:rFonts w:cs="Arial"/>
          <w:szCs w:val="22"/>
        </w:rPr>
        <w:t xml:space="preserve">score has </w:t>
      </w:r>
      <w:r w:rsidR="00FD5559" w:rsidRPr="00F66F2B">
        <w:rPr>
          <w:rFonts w:cs="Arial"/>
          <w:szCs w:val="22"/>
        </w:rPr>
        <w:t>progressively</w:t>
      </w:r>
      <w:r w:rsidR="00EF544A" w:rsidRPr="00F66F2B">
        <w:rPr>
          <w:rFonts w:cs="Arial"/>
          <w:szCs w:val="22"/>
        </w:rPr>
        <w:t xml:space="preserve"> </w:t>
      </w:r>
      <w:r w:rsidR="00FD5559" w:rsidRPr="00F66F2B">
        <w:rPr>
          <w:rFonts w:cs="Arial"/>
          <w:szCs w:val="22"/>
        </w:rPr>
        <w:t>improved</w:t>
      </w:r>
      <w:r w:rsidR="00EF544A" w:rsidRPr="00F66F2B">
        <w:rPr>
          <w:rFonts w:cs="Arial"/>
          <w:szCs w:val="22"/>
        </w:rPr>
        <w:t xml:space="preserve"> since 201</w:t>
      </w:r>
      <w:r w:rsidR="003F3000" w:rsidRPr="00F66F2B">
        <w:rPr>
          <w:rFonts w:cs="Arial"/>
          <w:szCs w:val="22"/>
        </w:rPr>
        <w:t>3</w:t>
      </w:r>
      <w:r w:rsidR="009203FC" w:rsidRPr="00F66F2B">
        <w:rPr>
          <w:rFonts w:cs="Arial"/>
          <w:szCs w:val="22"/>
        </w:rPr>
        <w:t>–</w:t>
      </w:r>
      <w:r w:rsidR="0070001C" w:rsidRPr="00F66F2B">
        <w:rPr>
          <w:rFonts w:cs="Arial"/>
          <w:szCs w:val="22"/>
        </w:rPr>
        <w:t>20</w:t>
      </w:r>
      <w:r w:rsidR="00EF544A" w:rsidRPr="00F66F2B">
        <w:rPr>
          <w:rFonts w:cs="Arial"/>
          <w:szCs w:val="22"/>
        </w:rPr>
        <w:t>1</w:t>
      </w:r>
      <w:r w:rsidR="003F3000" w:rsidRPr="00F66F2B">
        <w:rPr>
          <w:rFonts w:cs="Arial"/>
          <w:szCs w:val="22"/>
        </w:rPr>
        <w:t>4</w:t>
      </w:r>
      <w:r w:rsidR="00EF544A" w:rsidRPr="00F66F2B">
        <w:rPr>
          <w:rFonts w:cs="Arial"/>
          <w:szCs w:val="22"/>
        </w:rPr>
        <w:t xml:space="preserve">, </w:t>
      </w:r>
      <w:r w:rsidR="003F3000" w:rsidRPr="00F66F2B">
        <w:rPr>
          <w:rFonts w:cs="Arial"/>
          <w:szCs w:val="22"/>
        </w:rPr>
        <w:t xml:space="preserve">peaking in 2017-18, </w:t>
      </w:r>
      <w:r w:rsidR="00FD5559" w:rsidRPr="00F66F2B">
        <w:rPr>
          <w:rFonts w:cs="Arial"/>
          <w:szCs w:val="22"/>
        </w:rPr>
        <w:t>and</w:t>
      </w:r>
      <w:r w:rsidR="00EF544A" w:rsidRPr="00F66F2B">
        <w:rPr>
          <w:rFonts w:cs="Arial"/>
          <w:szCs w:val="22"/>
        </w:rPr>
        <w:t xml:space="preserve"> </w:t>
      </w:r>
      <w:r w:rsidRPr="00F66F2B">
        <w:rPr>
          <w:rFonts w:cs="Arial"/>
          <w:szCs w:val="22"/>
        </w:rPr>
        <w:t xml:space="preserve">although </w:t>
      </w:r>
      <w:r w:rsidR="003F3000" w:rsidRPr="00F66F2B">
        <w:rPr>
          <w:rFonts w:cs="Arial"/>
          <w:szCs w:val="22"/>
        </w:rPr>
        <w:t>declining slightly</w:t>
      </w:r>
      <w:r w:rsidRPr="00F66F2B">
        <w:rPr>
          <w:rFonts w:cs="Arial"/>
          <w:szCs w:val="22"/>
        </w:rPr>
        <w:t xml:space="preserve"> </w:t>
      </w:r>
      <w:r w:rsidR="00EF544A" w:rsidRPr="00F66F2B">
        <w:rPr>
          <w:rFonts w:cs="Arial"/>
          <w:szCs w:val="22"/>
        </w:rPr>
        <w:t>remain</w:t>
      </w:r>
      <w:r w:rsidR="00FD5559" w:rsidRPr="00F66F2B">
        <w:rPr>
          <w:rFonts w:cs="Arial"/>
          <w:szCs w:val="22"/>
        </w:rPr>
        <w:t>s</w:t>
      </w:r>
      <w:r w:rsidR="00EF544A" w:rsidRPr="00F66F2B">
        <w:rPr>
          <w:rFonts w:cs="Arial"/>
          <w:szCs w:val="22"/>
        </w:rPr>
        <w:t xml:space="preserve"> </w:t>
      </w:r>
      <w:r w:rsidR="00754C3C" w:rsidRPr="00F66F2B">
        <w:rPr>
          <w:rFonts w:cs="Arial"/>
          <w:szCs w:val="22"/>
        </w:rPr>
        <w:t>graded</w:t>
      </w:r>
      <w:r w:rsidR="001B6AA0" w:rsidRPr="00F66F2B">
        <w:rPr>
          <w:rFonts w:cs="Arial"/>
          <w:szCs w:val="22"/>
        </w:rPr>
        <w:t xml:space="preserve"> as </w:t>
      </w:r>
      <w:r w:rsidR="00EF544A" w:rsidRPr="00F66F2B">
        <w:rPr>
          <w:rFonts w:cs="Arial"/>
          <w:szCs w:val="22"/>
        </w:rPr>
        <w:t>moderate</w:t>
      </w:r>
      <w:r w:rsidR="00F37E11" w:rsidRPr="00F66F2B">
        <w:rPr>
          <w:rFonts w:cs="Arial"/>
          <w:szCs w:val="22"/>
        </w:rPr>
        <w:t xml:space="preserve"> in </w:t>
      </w:r>
      <w:r w:rsidR="00956639" w:rsidRPr="00F66F2B">
        <w:rPr>
          <w:rFonts w:cs="Arial"/>
          <w:szCs w:val="22"/>
        </w:rPr>
        <w:t>2018–19</w:t>
      </w:r>
      <w:r w:rsidR="001B6AA0" w:rsidRPr="00F66F2B">
        <w:rPr>
          <w:rFonts w:cs="Arial"/>
          <w:szCs w:val="22"/>
        </w:rPr>
        <w:t xml:space="preserve"> (</w:t>
      </w:r>
      <w:r w:rsidR="00EF544A" w:rsidRPr="00F66F2B">
        <w:rPr>
          <w:rFonts w:cs="Arial"/>
          <w:szCs w:val="22"/>
        </w:rPr>
        <w:fldChar w:fldCharType="begin"/>
      </w:r>
      <w:r w:rsidR="00EF544A" w:rsidRPr="00F66F2B">
        <w:rPr>
          <w:rFonts w:cs="Arial"/>
          <w:szCs w:val="22"/>
        </w:rPr>
        <w:instrText xml:space="preserve"> REF _Ref179412965 \h </w:instrText>
      </w:r>
      <w:r w:rsidR="00CB093C" w:rsidRPr="00F66F2B">
        <w:rPr>
          <w:rFonts w:cs="Arial"/>
          <w:szCs w:val="22"/>
        </w:rPr>
        <w:instrText xml:space="preserve"> \* MERGEFORMAT </w:instrText>
      </w:r>
      <w:r w:rsidR="00EF544A" w:rsidRPr="00F66F2B">
        <w:rPr>
          <w:rFonts w:cs="Arial"/>
          <w:szCs w:val="22"/>
        </w:rPr>
      </w:r>
      <w:r w:rsidR="00EF544A" w:rsidRPr="00F66F2B">
        <w:rPr>
          <w:rFonts w:cs="Arial"/>
          <w:szCs w:val="22"/>
        </w:rPr>
        <w:fldChar w:fldCharType="separate"/>
      </w:r>
      <w:r w:rsidR="0067675D" w:rsidRPr="0067675D">
        <w:rPr>
          <w:rFonts w:cs="Arial"/>
          <w:szCs w:val="22"/>
        </w:rPr>
        <w:t xml:space="preserve">Figure </w:t>
      </w:r>
      <w:r w:rsidR="0067675D" w:rsidRPr="0067675D">
        <w:rPr>
          <w:rFonts w:cs="Arial"/>
          <w:noProof/>
          <w:szCs w:val="22"/>
        </w:rPr>
        <w:t>38</w:t>
      </w:r>
      <w:r w:rsidR="00EF544A" w:rsidRPr="00F66F2B">
        <w:rPr>
          <w:rFonts w:cs="Arial"/>
          <w:szCs w:val="22"/>
        </w:rPr>
        <w:fldChar w:fldCharType="end"/>
      </w:r>
      <w:r w:rsidR="001B6AA0" w:rsidRPr="00F66F2B">
        <w:rPr>
          <w:rFonts w:cs="Arial"/>
          <w:szCs w:val="22"/>
        </w:rPr>
        <w:t xml:space="preserve">). </w:t>
      </w:r>
      <w:r w:rsidR="00097E34" w:rsidRPr="00F66F2B">
        <w:rPr>
          <w:rFonts w:cs="Arial"/>
          <w:szCs w:val="22"/>
        </w:rPr>
        <w:t xml:space="preserve">The long-term trend in seagrass </w:t>
      </w:r>
      <w:r w:rsidR="00C47C94">
        <w:rPr>
          <w:rFonts w:cs="Arial"/>
          <w:szCs w:val="22"/>
        </w:rPr>
        <w:t>per cent</w:t>
      </w:r>
      <w:r w:rsidR="00097E34" w:rsidRPr="00F66F2B">
        <w:rPr>
          <w:rFonts w:cs="Arial"/>
          <w:szCs w:val="22"/>
        </w:rPr>
        <w:t xml:space="preserve"> cover is variable between monitoring locations</w:t>
      </w:r>
      <w:r w:rsidR="001631E1" w:rsidRPr="00F66F2B">
        <w:rPr>
          <w:rFonts w:cs="Arial"/>
          <w:szCs w:val="22"/>
        </w:rPr>
        <w:t xml:space="preserve"> (</w:t>
      </w:r>
      <w:r w:rsidR="001631E1" w:rsidRPr="00F66F2B">
        <w:rPr>
          <w:rFonts w:cs="Arial"/>
          <w:szCs w:val="22"/>
        </w:rPr>
        <w:fldChar w:fldCharType="begin"/>
      </w:r>
      <w:r w:rsidR="001631E1" w:rsidRPr="00F66F2B">
        <w:rPr>
          <w:rFonts w:cs="Arial"/>
          <w:szCs w:val="22"/>
        </w:rPr>
        <w:instrText xml:space="preserve"> REF _Ref511310045 \h </w:instrText>
      </w:r>
      <w:r w:rsidR="001631E1" w:rsidRPr="00F66F2B">
        <w:rPr>
          <w:rFonts w:cs="Arial"/>
          <w:szCs w:val="22"/>
        </w:rPr>
      </w:r>
      <w:r w:rsidR="001631E1" w:rsidRPr="00F66F2B">
        <w:rPr>
          <w:rFonts w:cs="Arial"/>
          <w:szCs w:val="22"/>
        </w:rPr>
        <w:fldChar w:fldCharType="separate"/>
      </w:r>
      <w:r w:rsidR="0067675D" w:rsidRPr="00867E8C">
        <w:rPr>
          <w:rFonts w:cs="Arial"/>
          <w:szCs w:val="22"/>
        </w:rPr>
        <w:t xml:space="preserve">Table </w:t>
      </w:r>
      <w:r w:rsidR="0067675D">
        <w:rPr>
          <w:rFonts w:cs="Arial"/>
          <w:noProof/>
          <w:szCs w:val="22"/>
        </w:rPr>
        <w:t>20</w:t>
      </w:r>
      <w:r w:rsidR="001631E1" w:rsidRPr="00F66F2B">
        <w:rPr>
          <w:rFonts w:cs="Arial"/>
          <w:szCs w:val="22"/>
        </w:rPr>
        <w:fldChar w:fldCharType="end"/>
      </w:r>
      <w:r w:rsidR="001631E1" w:rsidRPr="00F66F2B">
        <w:rPr>
          <w:rFonts w:cs="Arial"/>
          <w:szCs w:val="22"/>
        </w:rPr>
        <w:t>)</w:t>
      </w:r>
      <w:r w:rsidR="00097E34" w:rsidRPr="00F66F2B">
        <w:rPr>
          <w:rFonts w:cs="Arial"/>
          <w:szCs w:val="22"/>
        </w:rPr>
        <w:t xml:space="preserve">, but closely reflects the </w:t>
      </w:r>
      <w:r w:rsidRPr="00F66F2B">
        <w:rPr>
          <w:rFonts w:cs="Arial"/>
          <w:szCs w:val="22"/>
        </w:rPr>
        <w:t>sub-regional</w:t>
      </w:r>
      <w:r w:rsidR="00097E34" w:rsidRPr="00F66F2B">
        <w:rPr>
          <w:rFonts w:cs="Arial"/>
          <w:szCs w:val="22"/>
        </w:rPr>
        <w:t xml:space="preserve"> scores</w:t>
      </w:r>
      <w:r w:rsidR="00F66F2B">
        <w:rPr>
          <w:rFonts w:cs="Arial"/>
          <w:szCs w:val="22"/>
        </w:rPr>
        <w:t xml:space="preserve"> with improved cover from 2015.</w:t>
      </w:r>
    </w:p>
    <w:p w14:paraId="35CDCBFF" w14:textId="4D8D14F3" w:rsidR="00267443" w:rsidRPr="00F66F2B" w:rsidRDefault="00FD5559" w:rsidP="00FD5559">
      <w:pPr>
        <w:rPr>
          <w:rFonts w:cs="Arial"/>
          <w:szCs w:val="22"/>
        </w:rPr>
      </w:pPr>
      <w:r w:rsidRPr="00F66F2B">
        <w:rPr>
          <w:rFonts w:cs="Arial"/>
          <w:szCs w:val="22"/>
        </w:rPr>
        <w:t>Rep</w:t>
      </w:r>
      <w:r w:rsidR="000D1BFF" w:rsidRPr="00F66F2B">
        <w:rPr>
          <w:rFonts w:cs="Arial"/>
          <w:szCs w:val="22"/>
        </w:rPr>
        <w:t>r</w:t>
      </w:r>
      <w:r w:rsidRPr="00F66F2B">
        <w:rPr>
          <w:rFonts w:cs="Arial"/>
          <w:szCs w:val="22"/>
        </w:rPr>
        <w:t xml:space="preserve">oductive effort has fluctuated the most of the three condition indicators, and in </w:t>
      </w:r>
      <w:r w:rsidR="00956639" w:rsidRPr="00F66F2B">
        <w:rPr>
          <w:rFonts w:cs="Arial"/>
          <w:szCs w:val="22"/>
        </w:rPr>
        <w:t>2018–19</w:t>
      </w:r>
      <w:r w:rsidRPr="00F66F2B">
        <w:rPr>
          <w:rFonts w:cs="Arial"/>
          <w:szCs w:val="22"/>
        </w:rPr>
        <w:t xml:space="preserve"> was the highest score since monitoring was </w:t>
      </w:r>
      <w:r w:rsidR="007A70FE" w:rsidRPr="00F66F2B">
        <w:rPr>
          <w:rFonts w:cs="Arial"/>
          <w:szCs w:val="22"/>
        </w:rPr>
        <w:t>established</w:t>
      </w:r>
      <w:r w:rsidRPr="00F66F2B">
        <w:rPr>
          <w:rFonts w:cs="Arial"/>
          <w:szCs w:val="22"/>
        </w:rPr>
        <w:t xml:space="preserve"> (</w:t>
      </w:r>
      <w:r w:rsidRPr="00F66F2B">
        <w:rPr>
          <w:rFonts w:cs="Arial"/>
          <w:szCs w:val="22"/>
        </w:rPr>
        <w:fldChar w:fldCharType="begin"/>
      </w:r>
      <w:r w:rsidRPr="00F66F2B">
        <w:rPr>
          <w:rFonts w:cs="Arial"/>
          <w:szCs w:val="22"/>
        </w:rPr>
        <w:instrText xml:space="preserve"> REF _Ref179412965 \h </w:instrText>
      </w:r>
      <w:r w:rsidR="00CB093C" w:rsidRPr="00F66F2B">
        <w:rPr>
          <w:rFonts w:cs="Arial"/>
          <w:szCs w:val="22"/>
        </w:rPr>
        <w:instrText xml:space="preserve"> \* MERGEFORMAT </w:instrText>
      </w:r>
      <w:r w:rsidRPr="00F66F2B">
        <w:rPr>
          <w:rFonts w:cs="Arial"/>
          <w:szCs w:val="22"/>
        </w:rPr>
      </w:r>
      <w:r w:rsidRPr="00F66F2B">
        <w:rPr>
          <w:rFonts w:cs="Arial"/>
          <w:szCs w:val="22"/>
        </w:rPr>
        <w:fldChar w:fldCharType="separate"/>
      </w:r>
      <w:r w:rsidR="0067675D" w:rsidRPr="0067675D">
        <w:rPr>
          <w:rFonts w:cs="Arial"/>
          <w:szCs w:val="22"/>
        </w:rPr>
        <w:t xml:space="preserve">Figure </w:t>
      </w:r>
      <w:r w:rsidR="0067675D" w:rsidRPr="0067675D">
        <w:rPr>
          <w:rFonts w:cs="Arial"/>
          <w:noProof/>
          <w:szCs w:val="22"/>
        </w:rPr>
        <w:t>38</w:t>
      </w:r>
      <w:r w:rsidRPr="00F66F2B">
        <w:rPr>
          <w:rFonts w:cs="Arial"/>
          <w:szCs w:val="22"/>
        </w:rPr>
        <w:fldChar w:fldCharType="end"/>
      </w:r>
      <w:r w:rsidRPr="00F66F2B">
        <w:rPr>
          <w:rFonts w:cs="Arial"/>
          <w:szCs w:val="22"/>
        </w:rPr>
        <w:t>).</w:t>
      </w:r>
      <w:r w:rsidR="00097E34" w:rsidRPr="00F66F2B">
        <w:rPr>
          <w:rFonts w:cs="Arial"/>
          <w:szCs w:val="22"/>
        </w:rPr>
        <w:t xml:space="preserve"> Due to the variable nature of sexual reproduction in seagrass systems, no long term trends are </w:t>
      </w:r>
      <w:r w:rsidR="007A70FE" w:rsidRPr="00F66F2B">
        <w:rPr>
          <w:rFonts w:cs="Arial"/>
          <w:szCs w:val="22"/>
        </w:rPr>
        <w:t>apparent</w:t>
      </w:r>
      <w:r w:rsidR="00097E34" w:rsidRPr="00F66F2B">
        <w:rPr>
          <w:rFonts w:cs="Arial"/>
          <w:szCs w:val="22"/>
        </w:rPr>
        <w:t xml:space="preserve">. </w:t>
      </w:r>
    </w:p>
    <w:p w14:paraId="500265D5" w14:textId="723E1370" w:rsidR="00FD5559" w:rsidRPr="00F66F2B" w:rsidRDefault="00097E34" w:rsidP="00FD5559">
      <w:pPr>
        <w:rPr>
          <w:rFonts w:cs="Arial"/>
          <w:szCs w:val="22"/>
        </w:rPr>
      </w:pPr>
      <w:r w:rsidRPr="00F66F2B">
        <w:rPr>
          <w:rFonts w:cs="Arial"/>
          <w:szCs w:val="22"/>
        </w:rPr>
        <w:t>In contract, s</w:t>
      </w:r>
      <w:r w:rsidR="00FD5559" w:rsidRPr="00F66F2B">
        <w:rPr>
          <w:rFonts w:cs="Arial"/>
          <w:szCs w:val="22"/>
        </w:rPr>
        <w:t xml:space="preserve">eagrass leaf nutrient (C:N) status has varied the least of all indicators, and although declined marginally in </w:t>
      </w:r>
      <w:r w:rsidR="00956639" w:rsidRPr="00F66F2B">
        <w:rPr>
          <w:rFonts w:cs="Arial"/>
          <w:szCs w:val="22"/>
        </w:rPr>
        <w:t>2018–19</w:t>
      </w:r>
      <w:r w:rsidR="00FD5559" w:rsidRPr="00F66F2B">
        <w:rPr>
          <w:rFonts w:cs="Arial"/>
          <w:szCs w:val="22"/>
        </w:rPr>
        <w:t xml:space="preserve">, </w:t>
      </w:r>
      <w:r w:rsidRPr="00F66F2B">
        <w:rPr>
          <w:rFonts w:cs="Arial"/>
          <w:szCs w:val="22"/>
        </w:rPr>
        <w:t xml:space="preserve">has </w:t>
      </w:r>
      <w:r w:rsidR="00FD5559" w:rsidRPr="00F66F2B">
        <w:rPr>
          <w:rFonts w:cs="Arial"/>
          <w:szCs w:val="22"/>
        </w:rPr>
        <w:t>remained in a poor grade (</w:t>
      </w:r>
      <w:r w:rsidR="00FD5559" w:rsidRPr="00F66F2B">
        <w:rPr>
          <w:rFonts w:cs="Arial"/>
          <w:szCs w:val="22"/>
        </w:rPr>
        <w:fldChar w:fldCharType="begin"/>
      </w:r>
      <w:r w:rsidR="00FD5559" w:rsidRPr="00F66F2B">
        <w:rPr>
          <w:rFonts w:cs="Arial"/>
          <w:szCs w:val="22"/>
        </w:rPr>
        <w:instrText xml:space="preserve"> REF _Ref179412965 \h </w:instrText>
      </w:r>
      <w:r w:rsidR="00CB093C" w:rsidRPr="00F66F2B">
        <w:rPr>
          <w:rFonts w:cs="Arial"/>
          <w:szCs w:val="22"/>
        </w:rPr>
        <w:instrText xml:space="preserve"> \* MERGEFORMAT </w:instrText>
      </w:r>
      <w:r w:rsidR="00FD5559" w:rsidRPr="00F66F2B">
        <w:rPr>
          <w:rFonts w:cs="Arial"/>
          <w:szCs w:val="22"/>
        </w:rPr>
      </w:r>
      <w:r w:rsidR="00FD5559" w:rsidRPr="00F66F2B">
        <w:rPr>
          <w:rFonts w:cs="Arial"/>
          <w:szCs w:val="22"/>
        </w:rPr>
        <w:fldChar w:fldCharType="separate"/>
      </w:r>
      <w:r w:rsidR="0067675D" w:rsidRPr="0067675D">
        <w:rPr>
          <w:rFonts w:cs="Arial"/>
          <w:szCs w:val="22"/>
        </w:rPr>
        <w:t xml:space="preserve">Figure </w:t>
      </w:r>
      <w:r w:rsidR="0067675D" w:rsidRPr="0067675D">
        <w:rPr>
          <w:rFonts w:cs="Arial"/>
          <w:noProof/>
          <w:szCs w:val="22"/>
        </w:rPr>
        <w:t>38</w:t>
      </w:r>
      <w:r w:rsidR="00FD5559" w:rsidRPr="00F66F2B">
        <w:rPr>
          <w:rFonts w:cs="Arial"/>
          <w:szCs w:val="22"/>
        </w:rPr>
        <w:fldChar w:fldCharType="end"/>
      </w:r>
      <w:r w:rsidR="00FD5559" w:rsidRPr="00F66F2B">
        <w:rPr>
          <w:rFonts w:cs="Arial"/>
          <w:szCs w:val="22"/>
        </w:rPr>
        <w:t>).</w:t>
      </w:r>
      <w:r w:rsidRPr="00F66F2B">
        <w:rPr>
          <w:rFonts w:cs="Arial"/>
          <w:szCs w:val="22"/>
        </w:rPr>
        <w:t xml:space="preserve"> Examination of the long-term trend in nutrient status, </w:t>
      </w:r>
      <w:r w:rsidR="00173C6C" w:rsidRPr="00F66F2B">
        <w:rPr>
          <w:rFonts w:cs="Arial"/>
          <w:szCs w:val="22"/>
        </w:rPr>
        <w:t>suggests</w:t>
      </w:r>
      <w:r w:rsidRPr="00F66F2B">
        <w:rPr>
          <w:rFonts w:cs="Arial"/>
          <w:szCs w:val="22"/>
        </w:rPr>
        <w:t xml:space="preserve"> a significant increase for a period between 2006 and 2009</w:t>
      </w:r>
      <w:r w:rsidR="00173C6C" w:rsidRPr="00F66F2B">
        <w:rPr>
          <w:rFonts w:cs="Arial"/>
          <w:szCs w:val="22"/>
        </w:rPr>
        <w:t xml:space="preserve"> (</w:t>
      </w:r>
      <w:r w:rsidR="00173C6C" w:rsidRPr="00F66F2B">
        <w:rPr>
          <w:rFonts w:cs="Arial"/>
          <w:szCs w:val="22"/>
        </w:rPr>
        <w:fldChar w:fldCharType="begin"/>
      </w:r>
      <w:r w:rsidR="00173C6C" w:rsidRPr="00F66F2B">
        <w:rPr>
          <w:rFonts w:cs="Arial"/>
          <w:szCs w:val="22"/>
        </w:rPr>
        <w:instrText xml:space="preserve"> REF _Ref179412965 \h </w:instrText>
      </w:r>
      <w:r w:rsidR="00CB093C" w:rsidRPr="00F66F2B">
        <w:rPr>
          <w:rFonts w:cs="Arial"/>
          <w:szCs w:val="22"/>
        </w:rPr>
        <w:instrText xml:space="preserve"> \* MERGEFORMAT </w:instrText>
      </w:r>
      <w:r w:rsidR="00173C6C" w:rsidRPr="00F66F2B">
        <w:rPr>
          <w:rFonts w:cs="Arial"/>
          <w:szCs w:val="22"/>
        </w:rPr>
      </w:r>
      <w:r w:rsidR="00173C6C" w:rsidRPr="00F66F2B">
        <w:rPr>
          <w:rFonts w:cs="Arial"/>
          <w:szCs w:val="22"/>
        </w:rPr>
        <w:fldChar w:fldCharType="separate"/>
      </w:r>
      <w:r w:rsidR="0067675D" w:rsidRPr="0067675D">
        <w:rPr>
          <w:rFonts w:cs="Arial"/>
          <w:szCs w:val="22"/>
        </w:rPr>
        <w:t xml:space="preserve">Figure </w:t>
      </w:r>
      <w:r w:rsidR="0067675D" w:rsidRPr="0067675D">
        <w:rPr>
          <w:rFonts w:cs="Arial"/>
          <w:noProof/>
          <w:szCs w:val="22"/>
        </w:rPr>
        <w:t>38</w:t>
      </w:r>
      <w:r w:rsidR="00173C6C" w:rsidRPr="00F66F2B">
        <w:rPr>
          <w:rFonts w:cs="Arial"/>
          <w:szCs w:val="22"/>
        </w:rPr>
        <w:fldChar w:fldCharType="end"/>
      </w:r>
      <w:r w:rsidR="00173C6C" w:rsidRPr="00F66F2B">
        <w:rPr>
          <w:rFonts w:cs="Arial"/>
          <w:szCs w:val="22"/>
        </w:rPr>
        <w:t>).</w:t>
      </w:r>
    </w:p>
    <w:p w14:paraId="0B6711F2" w14:textId="61D235FE" w:rsidR="0058085D" w:rsidRPr="00FA314F" w:rsidRDefault="0058085D" w:rsidP="0085733C">
      <w:pPr>
        <w:keepNext/>
        <w:jc w:val="center"/>
        <w:rPr>
          <w:rFonts w:cs="Arial"/>
          <w:color w:val="000000"/>
          <w:szCs w:val="22"/>
        </w:rPr>
      </w:pPr>
      <w:r w:rsidRPr="00FA314F">
        <w:rPr>
          <w:rFonts w:cs="Arial"/>
          <w:noProof/>
          <w:color w:val="000000"/>
          <w:szCs w:val="22"/>
          <w:lang w:eastAsia="en-AU"/>
        </w:rPr>
        <w:lastRenderedPageBreak/>
        <w:drawing>
          <wp:inline distT="0" distB="0" distL="0" distR="0" wp14:anchorId="586E4C4E" wp14:editId="1B8EA773">
            <wp:extent cx="5285440" cy="4949041"/>
            <wp:effectExtent l="0" t="0" r="0" b="4445"/>
            <wp:docPr id="538" name="Picture 538" descr="Composite figure of four graphs showing temporal trends in the northern Wet Tropics seagrass condition index and each of the individual indicators used to calculate the index, represented by GAM plots and coloured lines representing location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B combined plots-01.png"/>
                    <pic:cNvPicPr/>
                  </pic:nvPicPr>
                  <pic:blipFill>
                    <a:blip r:embed="rId91"/>
                    <a:stretch>
                      <a:fillRect/>
                    </a:stretch>
                  </pic:blipFill>
                  <pic:spPr>
                    <a:xfrm>
                      <a:off x="0" y="0"/>
                      <a:ext cx="5285440" cy="4949041"/>
                    </a:xfrm>
                    <a:prstGeom prst="rect">
                      <a:avLst/>
                    </a:prstGeom>
                  </pic:spPr>
                </pic:pic>
              </a:graphicData>
            </a:graphic>
          </wp:inline>
        </w:drawing>
      </w:r>
    </w:p>
    <w:p w14:paraId="76C0F7D0" w14:textId="7E11643C" w:rsidR="00076C1A" w:rsidRPr="00FA314F" w:rsidRDefault="005132EF" w:rsidP="00076C1A">
      <w:pPr>
        <w:rPr>
          <w:rFonts w:cs="Arial"/>
          <w:vanish/>
          <w:color w:val="000000"/>
          <w:szCs w:val="22"/>
          <w:specVanish/>
        </w:rPr>
      </w:pPr>
      <w:bookmarkStart w:id="356" w:name="_Ref179412965"/>
      <w:bookmarkStart w:id="357" w:name="_Toc176158861"/>
      <w:bookmarkStart w:id="358" w:name="_Toc232845966"/>
      <w:bookmarkStart w:id="359" w:name="_Toc431493840"/>
      <w:bookmarkStart w:id="360" w:name="_Toc38634142"/>
      <w:bookmarkEnd w:id="342"/>
      <w:r w:rsidRPr="00FA314F">
        <w:rPr>
          <w:rFonts w:cs="Arial"/>
          <w:color w:val="000000"/>
          <w:szCs w:val="22"/>
        </w:rPr>
        <w:t xml:space="preserve">Figure </w:t>
      </w:r>
      <w:r w:rsidR="0073595B" w:rsidRPr="00FA314F">
        <w:rPr>
          <w:rFonts w:cs="Arial"/>
          <w:color w:val="000000"/>
          <w:szCs w:val="22"/>
        </w:rPr>
        <w:fldChar w:fldCharType="begin"/>
      </w:r>
      <w:r w:rsidR="0073595B" w:rsidRPr="00FA314F">
        <w:rPr>
          <w:rFonts w:cs="Arial"/>
          <w:color w:val="000000"/>
          <w:szCs w:val="22"/>
        </w:rPr>
        <w:instrText xml:space="preserve"> SEQ Figure \* ARABIC </w:instrText>
      </w:r>
      <w:r w:rsidR="0073595B" w:rsidRPr="00FA314F">
        <w:rPr>
          <w:rFonts w:cs="Arial"/>
          <w:color w:val="000000"/>
          <w:szCs w:val="22"/>
        </w:rPr>
        <w:fldChar w:fldCharType="separate"/>
      </w:r>
      <w:r w:rsidR="0067675D">
        <w:rPr>
          <w:rFonts w:cs="Arial"/>
          <w:noProof/>
          <w:color w:val="000000"/>
          <w:szCs w:val="22"/>
        </w:rPr>
        <w:t>38</w:t>
      </w:r>
      <w:r w:rsidR="0073595B" w:rsidRPr="00FA314F">
        <w:rPr>
          <w:rFonts w:cs="Arial"/>
          <w:color w:val="000000"/>
          <w:szCs w:val="22"/>
        </w:rPr>
        <w:fldChar w:fldCharType="end"/>
      </w:r>
      <w:bookmarkEnd w:id="356"/>
      <w:r w:rsidRPr="00FA314F">
        <w:rPr>
          <w:rFonts w:cs="Arial"/>
          <w:color w:val="000000"/>
          <w:szCs w:val="22"/>
        </w:rPr>
        <w:t xml:space="preserve">. </w:t>
      </w:r>
      <w:bookmarkEnd w:id="357"/>
      <w:bookmarkEnd w:id="358"/>
      <w:bookmarkEnd w:id="359"/>
      <w:r w:rsidR="00076C1A" w:rsidRPr="00FA314F">
        <w:rPr>
          <w:rFonts w:cs="Arial"/>
          <w:i/>
          <w:szCs w:val="22"/>
        </w:rPr>
        <w:t>Temporal trends in the northern Wet Tropics seagrass condition index and the indicators used to calculate the index</w:t>
      </w:r>
      <w:bookmarkEnd w:id="360"/>
    </w:p>
    <w:p w14:paraId="04496599" w14:textId="445B5C98" w:rsidR="00AE3499" w:rsidRPr="00FA314F" w:rsidRDefault="00076C1A" w:rsidP="00076C1A">
      <w:pPr>
        <w:rPr>
          <w:rFonts w:cs="Arial"/>
          <w:i/>
          <w:szCs w:val="22"/>
          <w:lang w:val="en-GB"/>
        </w:rPr>
      </w:pPr>
      <w:r w:rsidRPr="00FA314F">
        <w:rPr>
          <w:rFonts w:cs="Arial"/>
          <w:i/>
          <w:szCs w:val="22"/>
        </w:rPr>
        <w:t>: a. seagrass condition index (circles) and indicator trends (lines); b. GAM plots of seagrass abundance (</w:t>
      </w:r>
      <w:r w:rsidR="00C47C94">
        <w:rPr>
          <w:rFonts w:cs="Arial"/>
          <w:i/>
          <w:szCs w:val="22"/>
        </w:rPr>
        <w:t>per cent</w:t>
      </w:r>
      <w:r w:rsidRPr="00FA314F">
        <w:rPr>
          <w:rFonts w:cs="Arial"/>
          <w:i/>
          <w:szCs w:val="22"/>
        </w:rPr>
        <w:t xml:space="preserve"> cover) trends for each location (coloured lines) and the region (black line with grey shaded area defining 95</w:t>
      </w:r>
      <w:r w:rsidR="003C311A">
        <w:rPr>
          <w:rFonts w:cs="Arial"/>
          <w:i/>
          <w:szCs w:val="22"/>
        </w:rPr>
        <w:t xml:space="preserve">% </w:t>
      </w:r>
      <w:r w:rsidRPr="00FA314F">
        <w:rPr>
          <w:rFonts w:cs="Arial"/>
          <w:i/>
          <w:szCs w:val="22"/>
        </w:rPr>
        <w:t>confidence intervals); c. average number of reproductive structures (±SE) (GAM not possible due to high count of zero values); and d. elemental ratios (atomic) of leaf tissue C:N nutrient content at each site (coloured circles) and regional trend represented by a GAM plot as dark line with shaded areas defining 95</w:t>
      </w:r>
      <w:r w:rsidR="003C311A">
        <w:rPr>
          <w:rFonts w:cs="Arial"/>
          <w:i/>
          <w:szCs w:val="22"/>
        </w:rPr>
        <w:t xml:space="preserve">% </w:t>
      </w:r>
      <w:r w:rsidRPr="00FA314F">
        <w:rPr>
          <w:rFonts w:cs="Arial"/>
          <w:i/>
          <w:szCs w:val="22"/>
        </w:rPr>
        <w:t>confidence intervals of the trend.</w:t>
      </w:r>
      <w:r w:rsidR="00AE3499" w:rsidRPr="00FA314F">
        <w:rPr>
          <w:rFonts w:cs="Arial"/>
          <w:i/>
          <w:szCs w:val="22"/>
          <w:lang w:val="en-GB"/>
        </w:rPr>
        <w:t xml:space="preserve"> </w:t>
      </w:r>
    </w:p>
    <w:p w14:paraId="2C831BA9" w14:textId="77777777" w:rsidR="00F66F2B" w:rsidRDefault="00F66F2B" w:rsidP="00267443">
      <w:pPr>
        <w:rPr>
          <w:rFonts w:cs="Arial"/>
          <w:szCs w:val="22"/>
        </w:rPr>
      </w:pPr>
    </w:p>
    <w:p w14:paraId="7F353958" w14:textId="4107B162" w:rsidR="00267443" w:rsidRPr="00FA314F" w:rsidRDefault="00267443" w:rsidP="00267443">
      <w:pPr>
        <w:rPr>
          <w:rFonts w:cs="Arial"/>
          <w:szCs w:val="22"/>
          <w:lang w:val="en-GB"/>
        </w:rPr>
      </w:pPr>
      <w:r w:rsidRPr="00FA314F">
        <w:rPr>
          <w:rFonts w:cs="Arial"/>
          <w:szCs w:val="22"/>
        </w:rPr>
        <w:lastRenderedPageBreak/>
        <w:t xml:space="preserve">In the southern Wet Tropics, </w:t>
      </w:r>
      <w:r w:rsidRPr="00FA314F">
        <w:rPr>
          <w:rFonts w:cs="Arial"/>
          <w:szCs w:val="22"/>
          <w:lang w:val="en-GB"/>
        </w:rPr>
        <w:t xml:space="preserve">the seagrass condition index </w:t>
      </w:r>
      <w:r w:rsidR="00F66F2B">
        <w:rPr>
          <w:rFonts w:cs="Arial"/>
          <w:szCs w:val="22"/>
          <w:lang w:val="en-GB"/>
        </w:rPr>
        <w:t xml:space="preserve">improved from </w:t>
      </w:r>
      <w:r w:rsidRPr="00FA314F">
        <w:rPr>
          <w:rFonts w:cs="Arial"/>
          <w:szCs w:val="22"/>
          <w:lang w:val="en-GB"/>
        </w:rPr>
        <w:t>very poor</w:t>
      </w:r>
      <w:r w:rsidR="00F66F2B">
        <w:rPr>
          <w:rFonts w:cs="Arial"/>
          <w:szCs w:val="22"/>
          <w:lang w:val="en-GB"/>
        </w:rPr>
        <w:t xml:space="preserve"> to poor in 2018</w:t>
      </w:r>
      <w:r w:rsidR="00C47C94" w:rsidRPr="00F66F2B">
        <w:rPr>
          <w:rFonts w:cs="Arial"/>
          <w:szCs w:val="22"/>
        </w:rPr>
        <w:t>–</w:t>
      </w:r>
      <w:r w:rsidR="00F66F2B">
        <w:rPr>
          <w:rFonts w:cs="Arial"/>
          <w:szCs w:val="22"/>
          <w:lang w:val="en-GB"/>
        </w:rPr>
        <w:t>19</w:t>
      </w:r>
      <w:r w:rsidR="00BD44E5" w:rsidRPr="00FA314F">
        <w:rPr>
          <w:rFonts w:cs="Arial"/>
          <w:szCs w:val="22"/>
          <w:lang w:val="en-GB"/>
        </w:rPr>
        <w:t xml:space="preserve">, </w:t>
      </w:r>
      <w:r w:rsidR="00F66F2B">
        <w:rPr>
          <w:rFonts w:cs="Arial"/>
          <w:szCs w:val="22"/>
          <w:lang w:val="en-GB"/>
        </w:rPr>
        <w:t xml:space="preserve">a consequence of improved abundance and reproductive effort scores </w:t>
      </w:r>
      <w:r w:rsidRPr="00FA314F">
        <w:rPr>
          <w:rFonts w:cs="Arial"/>
          <w:szCs w:val="22"/>
        </w:rPr>
        <w:t>(</w:t>
      </w:r>
      <w:r w:rsidRPr="00FA314F">
        <w:rPr>
          <w:rFonts w:cs="Arial"/>
          <w:szCs w:val="22"/>
        </w:rPr>
        <w:fldChar w:fldCharType="begin"/>
      </w:r>
      <w:r w:rsidRPr="00FA314F">
        <w:rPr>
          <w:rFonts w:cs="Arial"/>
          <w:szCs w:val="22"/>
        </w:rPr>
        <w:instrText xml:space="preserve"> REF _Ref533675817 \h  \* MERGEFORMAT </w:instrText>
      </w:r>
      <w:r w:rsidRPr="00FA314F">
        <w:rPr>
          <w:rFonts w:cs="Arial"/>
          <w:szCs w:val="22"/>
        </w:rPr>
      </w:r>
      <w:r w:rsidRPr="00FA314F">
        <w:rPr>
          <w:rFonts w:cs="Arial"/>
          <w:szCs w:val="22"/>
        </w:rPr>
        <w:fldChar w:fldCharType="separate"/>
      </w:r>
      <w:r w:rsidR="0067675D" w:rsidRPr="00FA314F">
        <w:rPr>
          <w:rFonts w:cs="Arial"/>
          <w:szCs w:val="22"/>
        </w:rPr>
        <w:t xml:space="preserve">Figure </w:t>
      </w:r>
      <w:r w:rsidR="0067675D">
        <w:rPr>
          <w:rFonts w:cs="Arial"/>
          <w:noProof/>
          <w:szCs w:val="22"/>
        </w:rPr>
        <w:t>39</w:t>
      </w:r>
      <w:r w:rsidRPr="00FA314F">
        <w:rPr>
          <w:rFonts w:cs="Arial"/>
          <w:szCs w:val="22"/>
        </w:rPr>
        <w:fldChar w:fldCharType="end"/>
      </w:r>
      <w:r w:rsidRPr="00FA314F">
        <w:rPr>
          <w:rFonts w:cs="Arial"/>
          <w:szCs w:val="22"/>
        </w:rPr>
        <w:t>)</w:t>
      </w:r>
      <w:r w:rsidR="00F66F2B">
        <w:rPr>
          <w:rFonts w:cs="Arial"/>
          <w:szCs w:val="22"/>
          <w:lang w:val="en-GB"/>
        </w:rPr>
        <w:t>.</w:t>
      </w:r>
    </w:p>
    <w:p w14:paraId="4AE35586" w14:textId="0E54CB2D" w:rsidR="00831D8A" w:rsidRPr="00FA314F" w:rsidRDefault="00831D8A" w:rsidP="00AE3499">
      <w:pPr>
        <w:rPr>
          <w:rFonts w:cs="Arial"/>
          <w:i/>
          <w:szCs w:val="22"/>
          <w:lang w:val="en-GB"/>
        </w:rPr>
      </w:pPr>
    </w:p>
    <w:p w14:paraId="43C10C6E" w14:textId="7E5B1A8F" w:rsidR="00831D8A" w:rsidRPr="00FA314F" w:rsidRDefault="00831D8A" w:rsidP="0085733C">
      <w:pPr>
        <w:keepNext/>
        <w:rPr>
          <w:rFonts w:cs="Arial"/>
          <w:szCs w:val="22"/>
        </w:rPr>
      </w:pPr>
      <w:r w:rsidRPr="00FA314F">
        <w:rPr>
          <w:rFonts w:cs="Arial"/>
          <w:noProof/>
          <w:szCs w:val="22"/>
          <w:lang w:eastAsia="en-AU"/>
        </w:rPr>
        <w:drawing>
          <wp:inline distT="0" distB="0" distL="0" distR="0" wp14:anchorId="0816E9AC" wp14:editId="0C9E7F67">
            <wp:extent cx="5586996" cy="5245188"/>
            <wp:effectExtent l="0" t="0" r="0" b="0"/>
            <wp:docPr id="43" name="Picture 43" descr="Composite figure of four graphs showing temporal trends in the southern Wet Tropics seagrass condition index and each of the individual indicators used to calculate the index, represented by GAM plots and coloured lines representing location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WT combined plots-01.png"/>
                    <pic:cNvPicPr/>
                  </pic:nvPicPr>
                  <pic:blipFill>
                    <a:blip r:embed="rId92"/>
                    <a:stretch>
                      <a:fillRect/>
                    </a:stretch>
                  </pic:blipFill>
                  <pic:spPr>
                    <a:xfrm>
                      <a:off x="0" y="0"/>
                      <a:ext cx="5586996" cy="5245188"/>
                    </a:xfrm>
                    <a:prstGeom prst="rect">
                      <a:avLst/>
                    </a:prstGeom>
                  </pic:spPr>
                </pic:pic>
              </a:graphicData>
            </a:graphic>
          </wp:inline>
        </w:drawing>
      </w:r>
    </w:p>
    <w:p w14:paraId="61873119" w14:textId="70B3EA97" w:rsidR="000C5E7B" w:rsidRPr="00FA314F" w:rsidRDefault="00831D8A" w:rsidP="000C5E7B">
      <w:pPr>
        <w:rPr>
          <w:rFonts w:cs="Arial"/>
          <w:vanish/>
          <w:color w:val="000000"/>
          <w:szCs w:val="22"/>
          <w:specVanish/>
        </w:rPr>
      </w:pPr>
      <w:bookmarkStart w:id="361" w:name="_Ref533675817"/>
      <w:bookmarkStart w:id="362" w:name="_Toc38634143"/>
      <w:r w:rsidRPr="00FA314F">
        <w:rPr>
          <w:rFonts w:cs="Arial"/>
          <w:szCs w:val="22"/>
        </w:rPr>
        <w:t xml:space="preserve">Figure </w:t>
      </w:r>
      <w:r w:rsidR="000E4688" w:rsidRPr="00FA314F">
        <w:rPr>
          <w:rFonts w:cs="Arial"/>
          <w:noProof/>
          <w:szCs w:val="22"/>
        </w:rPr>
        <w:fldChar w:fldCharType="begin"/>
      </w:r>
      <w:r w:rsidR="000E4688" w:rsidRPr="00FA314F">
        <w:rPr>
          <w:rFonts w:cs="Arial"/>
          <w:noProof/>
          <w:szCs w:val="22"/>
        </w:rPr>
        <w:instrText xml:space="preserve"> SEQ Figure \* ARABIC </w:instrText>
      </w:r>
      <w:r w:rsidR="000E4688" w:rsidRPr="00FA314F">
        <w:rPr>
          <w:rFonts w:cs="Arial"/>
          <w:noProof/>
          <w:szCs w:val="22"/>
        </w:rPr>
        <w:fldChar w:fldCharType="separate"/>
      </w:r>
      <w:r w:rsidR="0067675D">
        <w:rPr>
          <w:rFonts w:cs="Arial"/>
          <w:noProof/>
          <w:szCs w:val="22"/>
        </w:rPr>
        <w:t>39</w:t>
      </w:r>
      <w:r w:rsidR="000E4688" w:rsidRPr="00FA314F">
        <w:rPr>
          <w:rFonts w:cs="Arial"/>
          <w:noProof/>
          <w:szCs w:val="22"/>
        </w:rPr>
        <w:fldChar w:fldCharType="end"/>
      </w:r>
      <w:bookmarkEnd w:id="361"/>
      <w:r w:rsidRPr="00FA314F">
        <w:rPr>
          <w:rFonts w:cs="Arial"/>
          <w:szCs w:val="22"/>
        </w:rPr>
        <w:t xml:space="preserve">. </w:t>
      </w:r>
      <w:r w:rsidRPr="00FA314F">
        <w:rPr>
          <w:rFonts w:cs="Arial"/>
          <w:i/>
          <w:szCs w:val="22"/>
        </w:rPr>
        <w:t>T</w:t>
      </w:r>
      <w:r w:rsidR="00BB4AB0" w:rsidRPr="00FA314F">
        <w:rPr>
          <w:rFonts w:cs="Arial"/>
          <w:i/>
          <w:szCs w:val="22"/>
        </w:rPr>
        <w:t>emporal t</w:t>
      </w:r>
      <w:r w:rsidRPr="00FA314F">
        <w:rPr>
          <w:rFonts w:cs="Arial"/>
          <w:i/>
          <w:szCs w:val="22"/>
        </w:rPr>
        <w:t xml:space="preserve">rends in the </w:t>
      </w:r>
      <w:r w:rsidR="00BB4AB0" w:rsidRPr="00FA314F">
        <w:rPr>
          <w:rFonts w:cs="Arial"/>
          <w:i/>
          <w:szCs w:val="22"/>
        </w:rPr>
        <w:t xml:space="preserve">southern </w:t>
      </w:r>
      <w:r w:rsidR="000C5E7B" w:rsidRPr="00FA314F">
        <w:rPr>
          <w:rFonts w:cs="Arial"/>
          <w:i/>
          <w:szCs w:val="22"/>
        </w:rPr>
        <w:t xml:space="preserve">Wet Tropics seagrass </w:t>
      </w:r>
      <w:r w:rsidR="00BB4AB0" w:rsidRPr="00FA314F">
        <w:rPr>
          <w:rFonts w:cs="Arial"/>
          <w:i/>
          <w:szCs w:val="22"/>
        </w:rPr>
        <w:t xml:space="preserve">condition </w:t>
      </w:r>
      <w:r w:rsidR="000C5E7B" w:rsidRPr="00FA314F">
        <w:rPr>
          <w:rFonts w:cs="Arial"/>
          <w:i/>
          <w:szCs w:val="22"/>
        </w:rPr>
        <w:t xml:space="preserve">index </w:t>
      </w:r>
      <w:r w:rsidRPr="00FA314F">
        <w:rPr>
          <w:rFonts w:cs="Arial"/>
          <w:i/>
          <w:szCs w:val="22"/>
        </w:rPr>
        <w:t>and the indicators used to calculate the index</w:t>
      </w:r>
      <w:bookmarkEnd w:id="362"/>
    </w:p>
    <w:p w14:paraId="66033A7D" w14:textId="5E885783" w:rsidR="00831D8A" w:rsidRPr="00FA314F" w:rsidRDefault="00BB4AB0" w:rsidP="000C5E7B">
      <w:pPr>
        <w:rPr>
          <w:rFonts w:cs="Arial"/>
          <w:i/>
          <w:szCs w:val="22"/>
        </w:rPr>
      </w:pPr>
      <w:r w:rsidRPr="00FA314F">
        <w:rPr>
          <w:rFonts w:cs="Arial"/>
          <w:i/>
          <w:szCs w:val="22"/>
        </w:rPr>
        <w:t>:</w:t>
      </w:r>
      <w:r w:rsidR="00831D8A" w:rsidRPr="00FA314F">
        <w:rPr>
          <w:rFonts w:cs="Arial"/>
          <w:i/>
          <w:szCs w:val="22"/>
        </w:rPr>
        <w:t xml:space="preserve"> a. seagrass </w:t>
      </w:r>
      <w:r w:rsidRPr="00FA314F">
        <w:rPr>
          <w:rFonts w:cs="Arial"/>
          <w:i/>
          <w:szCs w:val="22"/>
        </w:rPr>
        <w:t xml:space="preserve">condition </w:t>
      </w:r>
      <w:r w:rsidR="00831D8A" w:rsidRPr="00FA314F">
        <w:rPr>
          <w:rFonts w:cs="Arial"/>
          <w:i/>
          <w:szCs w:val="22"/>
        </w:rPr>
        <w:t xml:space="preserve">index (circles) and </w:t>
      </w:r>
      <w:r w:rsidRPr="00FA314F">
        <w:rPr>
          <w:rFonts w:cs="Arial"/>
          <w:i/>
          <w:szCs w:val="22"/>
        </w:rPr>
        <w:t>indicator</w:t>
      </w:r>
      <w:r w:rsidR="00831D8A" w:rsidRPr="00FA314F">
        <w:rPr>
          <w:rFonts w:cs="Arial"/>
          <w:i/>
          <w:szCs w:val="22"/>
        </w:rPr>
        <w:t xml:space="preserve"> trends (lines); b. </w:t>
      </w:r>
      <w:r w:rsidR="009F60C8" w:rsidRPr="00FA314F">
        <w:rPr>
          <w:rFonts w:cs="Arial"/>
          <w:i/>
          <w:szCs w:val="22"/>
        </w:rPr>
        <w:t xml:space="preserve">GAM plots of </w:t>
      </w:r>
      <w:r w:rsidR="00831D8A" w:rsidRPr="00FA314F">
        <w:rPr>
          <w:rFonts w:cs="Arial"/>
          <w:i/>
          <w:szCs w:val="22"/>
        </w:rPr>
        <w:t>seagrass abundance (</w:t>
      </w:r>
      <w:r w:rsidR="00C47C94">
        <w:rPr>
          <w:rFonts w:cs="Arial"/>
          <w:i/>
          <w:szCs w:val="22"/>
        </w:rPr>
        <w:t>per cent</w:t>
      </w:r>
      <w:r w:rsidR="00831D8A" w:rsidRPr="00FA314F">
        <w:rPr>
          <w:rFonts w:cs="Arial"/>
          <w:i/>
          <w:szCs w:val="22"/>
        </w:rPr>
        <w:t xml:space="preserve"> cover)</w:t>
      </w:r>
      <w:r w:rsidR="009F60C8" w:rsidRPr="00FA314F">
        <w:rPr>
          <w:rFonts w:cs="Arial"/>
          <w:i/>
          <w:szCs w:val="22"/>
        </w:rPr>
        <w:t xml:space="preserve"> trends for each</w:t>
      </w:r>
      <w:r w:rsidR="00831D8A" w:rsidRPr="00FA314F">
        <w:rPr>
          <w:rFonts w:cs="Arial"/>
          <w:i/>
          <w:szCs w:val="22"/>
        </w:rPr>
        <w:t xml:space="preserve"> </w:t>
      </w:r>
      <w:r w:rsidR="009F60C8" w:rsidRPr="00FA314F">
        <w:rPr>
          <w:rFonts w:cs="Arial"/>
          <w:i/>
          <w:szCs w:val="22"/>
        </w:rPr>
        <w:t>location (coloured lines) and the region (black line with grey shaded area defining 95</w:t>
      </w:r>
      <w:r w:rsidR="003C311A">
        <w:rPr>
          <w:rFonts w:cs="Arial"/>
          <w:i/>
          <w:szCs w:val="22"/>
        </w:rPr>
        <w:t xml:space="preserve">% </w:t>
      </w:r>
      <w:r w:rsidR="009F60C8" w:rsidRPr="00FA314F">
        <w:rPr>
          <w:rFonts w:cs="Arial"/>
          <w:i/>
          <w:szCs w:val="22"/>
        </w:rPr>
        <w:t>confidence intervals)</w:t>
      </w:r>
      <w:r w:rsidR="00831D8A" w:rsidRPr="00FA314F">
        <w:rPr>
          <w:rFonts w:cs="Arial"/>
          <w:i/>
          <w:szCs w:val="22"/>
        </w:rPr>
        <w:t xml:space="preserve">; c. </w:t>
      </w:r>
      <w:r w:rsidR="009F60C8" w:rsidRPr="00FA314F">
        <w:rPr>
          <w:rFonts w:cs="Arial"/>
          <w:i/>
          <w:szCs w:val="22"/>
        </w:rPr>
        <w:t xml:space="preserve">average number </w:t>
      </w:r>
      <w:r w:rsidR="009F60C8" w:rsidRPr="00FA314F">
        <w:rPr>
          <w:rFonts w:cs="Arial"/>
          <w:i/>
          <w:szCs w:val="22"/>
        </w:rPr>
        <w:lastRenderedPageBreak/>
        <w:t xml:space="preserve">of </w:t>
      </w:r>
      <w:r w:rsidR="00831D8A" w:rsidRPr="00FA314F">
        <w:rPr>
          <w:rFonts w:cs="Arial"/>
          <w:i/>
          <w:szCs w:val="22"/>
        </w:rPr>
        <w:t>reproductive structures</w:t>
      </w:r>
      <w:r w:rsidR="00076C1A" w:rsidRPr="00FA314F">
        <w:rPr>
          <w:rFonts w:cs="Arial"/>
          <w:i/>
          <w:szCs w:val="22"/>
        </w:rPr>
        <w:t xml:space="preserve"> (±SE)</w:t>
      </w:r>
      <w:r w:rsidR="00831D8A" w:rsidRPr="00FA314F">
        <w:rPr>
          <w:rFonts w:cs="Arial"/>
          <w:i/>
          <w:szCs w:val="22"/>
        </w:rPr>
        <w:t xml:space="preserve"> (</w:t>
      </w:r>
      <w:r w:rsidR="009F60C8" w:rsidRPr="00FA314F">
        <w:rPr>
          <w:rFonts w:cs="Arial"/>
          <w:i/>
          <w:szCs w:val="22"/>
        </w:rPr>
        <w:t>GAM</w:t>
      </w:r>
      <w:r w:rsidR="00831D8A" w:rsidRPr="00FA314F">
        <w:rPr>
          <w:rFonts w:cs="Arial"/>
          <w:i/>
          <w:szCs w:val="22"/>
        </w:rPr>
        <w:t xml:space="preserve"> not possible due to high count of zero</w:t>
      </w:r>
      <w:r w:rsidR="009F60C8" w:rsidRPr="00FA314F">
        <w:rPr>
          <w:rFonts w:cs="Arial"/>
          <w:i/>
          <w:szCs w:val="22"/>
        </w:rPr>
        <w:t xml:space="preserve"> values</w:t>
      </w:r>
      <w:r w:rsidR="00831D8A" w:rsidRPr="00FA314F">
        <w:rPr>
          <w:rFonts w:cs="Arial"/>
          <w:i/>
          <w:szCs w:val="22"/>
        </w:rPr>
        <w:t xml:space="preserve">); and d. </w:t>
      </w:r>
      <w:r w:rsidR="00076C1A" w:rsidRPr="00FA314F">
        <w:rPr>
          <w:rFonts w:cs="Arial"/>
          <w:i/>
          <w:szCs w:val="22"/>
        </w:rPr>
        <w:t xml:space="preserve">elemental ratios (atomic) of </w:t>
      </w:r>
      <w:r w:rsidR="009F60C8" w:rsidRPr="00FA314F">
        <w:rPr>
          <w:rFonts w:cs="Arial"/>
          <w:i/>
          <w:szCs w:val="22"/>
        </w:rPr>
        <w:t xml:space="preserve">leaf </w:t>
      </w:r>
      <w:r w:rsidR="00831D8A" w:rsidRPr="00FA314F">
        <w:rPr>
          <w:rFonts w:cs="Arial"/>
          <w:i/>
          <w:szCs w:val="22"/>
        </w:rPr>
        <w:t xml:space="preserve">tissue </w:t>
      </w:r>
      <w:r w:rsidR="00076C1A" w:rsidRPr="00FA314F">
        <w:rPr>
          <w:rFonts w:cs="Arial"/>
          <w:i/>
          <w:szCs w:val="22"/>
        </w:rPr>
        <w:t xml:space="preserve">C:N </w:t>
      </w:r>
      <w:r w:rsidR="00831D8A" w:rsidRPr="00FA314F">
        <w:rPr>
          <w:rFonts w:cs="Arial"/>
          <w:i/>
          <w:szCs w:val="22"/>
        </w:rPr>
        <w:t xml:space="preserve">nutrient content </w:t>
      </w:r>
      <w:r w:rsidR="009F60C8" w:rsidRPr="00FA314F">
        <w:rPr>
          <w:rFonts w:cs="Arial"/>
          <w:i/>
          <w:szCs w:val="22"/>
        </w:rPr>
        <w:t xml:space="preserve">at each site (coloured circles) and regional trend </w:t>
      </w:r>
      <w:r w:rsidR="00831D8A" w:rsidRPr="00FA314F">
        <w:rPr>
          <w:rFonts w:cs="Arial"/>
          <w:i/>
          <w:szCs w:val="22"/>
        </w:rPr>
        <w:t>represented by a GAM plot as dark line with shaded areas defining 95</w:t>
      </w:r>
      <w:r w:rsidR="003C311A">
        <w:rPr>
          <w:rFonts w:cs="Arial"/>
          <w:i/>
          <w:szCs w:val="22"/>
        </w:rPr>
        <w:t xml:space="preserve">% </w:t>
      </w:r>
      <w:r w:rsidR="00831D8A" w:rsidRPr="00FA314F">
        <w:rPr>
          <w:rFonts w:cs="Arial"/>
          <w:i/>
          <w:szCs w:val="22"/>
        </w:rPr>
        <w:t>confidence intervals of th</w:t>
      </w:r>
      <w:r w:rsidR="009F60C8" w:rsidRPr="00FA314F">
        <w:rPr>
          <w:rFonts w:cs="Arial"/>
          <w:i/>
          <w:szCs w:val="22"/>
        </w:rPr>
        <w:t>e</w:t>
      </w:r>
      <w:r w:rsidR="00831D8A" w:rsidRPr="00FA314F">
        <w:rPr>
          <w:rFonts w:cs="Arial"/>
          <w:i/>
          <w:szCs w:val="22"/>
        </w:rPr>
        <w:t xml:space="preserve"> trend.</w:t>
      </w:r>
    </w:p>
    <w:p w14:paraId="2C369F7D" w14:textId="7B443F9D" w:rsidR="00CB5A6F" w:rsidRPr="00FA314F" w:rsidRDefault="00CB5A6F" w:rsidP="00907D11">
      <w:pPr>
        <w:rPr>
          <w:rFonts w:cs="Arial"/>
          <w:szCs w:val="22"/>
        </w:rPr>
      </w:pPr>
    </w:p>
    <w:p w14:paraId="01A68F3F" w14:textId="2CF638CA" w:rsidR="00BB7FB9" w:rsidRPr="00FA314F" w:rsidRDefault="00BB7FB9" w:rsidP="000150D8">
      <w:pPr>
        <w:pStyle w:val="Heading4"/>
      </w:pPr>
      <w:bookmarkStart w:id="363" w:name="_Toc37775080"/>
      <w:bookmarkStart w:id="364" w:name="_Toc43987055"/>
      <w:r w:rsidRPr="00FA314F">
        <w:t>Seagrass abundance, community and extent</w:t>
      </w:r>
      <w:bookmarkEnd w:id="363"/>
      <w:bookmarkEnd w:id="364"/>
    </w:p>
    <w:p w14:paraId="603AAC52" w14:textId="75A35914" w:rsidR="00EC7C5F" w:rsidRPr="00FA314F" w:rsidRDefault="00336A58" w:rsidP="00255512">
      <w:pPr>
        <w:rPr>
          <w:rFonts w:cs="Arial"/>
          <w:szCs w:val="22"/>
        </w:rPr>
      </w:pPr>
      <w:r w:rsidRPr="00FA314F">
        <w:rPr>
          <w:rFonts w:cs="Arial"/>
          <w:szCs w:val="22"/>
        </w:rPr>
        <w:t xml:space="preserve">Seagrass </w:t>
      </w:r>
      <w:r w:rsidR="00C63FF1" w:rsidRPr="00FA314F">
        <w:rPr>
          <w:rFonts w:cs="Arial"/>
          <w:szCs w:val="22"/>
        </w:rPr>
        <w:t xml:space="preserve">meadows </w:t>
      </w:r>
      <w:r w:rsidR="00DC5B6F" w:rsidRPr="00FA314F">
        <w:rPr>
          <w:rFonts w:cs="Arial"/>
          <w:szCs w:val="22"/>
        </w:rPr>
        <w:t>are</w:t>
      </w:r>
      <w:r w:rsidRPr="00FA314F">
        <w:rPr>
          <w:rFonts w:cs="Arial"/>
          <w:szCs w:val="22"/>
        </w:rPr>
        <w:t xml:space="preserve"> more abundant across all habitats in the northern than the southern Wet Tropics</w:t>
      </w:r>
      <w:r w:rsidR="00DC5B6F" w:rsidRPr="00FA314F">
        <w:rPr>
          <w:rFonts w:cs="Arial"/>
          <w:szCs w:val="22"/>
        </w:rPr>
        <w:t xml:space="preserve"> (</w:t>
      </w:r>
      <w:r w:rsidR="00DC5B6F" w:rsidRPr="00FA314F">
        <w:rPr>
          <w:rFonts w:cs="Arial"/>
          <w:szCs w:val="22"/>
        </w:rPr>
        <w:fldChar w:fldCharType="begin"/>
      </w:r>
      <w:r w:rsidR="00DC5B6F" w:rsidRPr="00FA314F">
        <w:rPr>
          <w:rFonts w:cs="Arial"/>
          <w:szCs w:val="22"/>
        </w:rPr>
        <w:instrText xml:space="preserve"> REF _Ref348439596 \h </w:instrText>
      </w:r>
      <w:r w:rsidR="00CB093C" w:rsidRPr="00FA314F">
        <w:rPr>
          <w:rFonts w:cs="Arial"/>
          <w:szCs w:val="22"/>
        </w:rPr>
        <w:instrText xml:space="preserve"> \* MERGEFORMAT </w:instrText>
      </w:r>
      <w:r w:rsidR="00DC5B6F" w:rsidRPr="00FA314F">
        <w:rPr>
          <w:rFonts w:cs="Arial"/>
          <w:szCs w:val="22"/>
        </w:rPr>
      </w:r>
      <w:r w:rsidR="00DC5B6F" w:rsidRPr="00FA314F">
        <w:rPr>
          <w:rFonts w:cs="Arial"/>
          <w:szCs w:val="22"/>
        </w:rPr>
        <w:fldChar w:fldCharType="separate"/>
      </w:r>
      <w:r w:rsidR="0067675D" w:rsidRPr="00FA314F">
        <w:rPr>
          <w:rFonts w:cs="Arial"/>
          <w:color w:val="000000"/>
          <w:szCs w:val="22"/>
        </w:rPr>
        <w:t xml:space="preserve">Figure </w:t>
      </w:r>
      <w:r w:rsidR="0067675D">
        <w:rPr>
          <w:rFonts w:cs="Arial"/>
          <w:noProof/>
          <w:color w:val="000000"/>
          <w:szCs w:val="22"/>
        </w:rPr>
        <w:t>40</w:t>
      </w:r>
      <w:r w:rsidR="00DC5B6F" w:rsidRPr="00FA314F">
        <w:rPr>
          <w:rFonts w:cs="Arial"/>
          <w:szCs w:val="22"/>
        </w:rPr>
        <w:fldChar w:fldCharType="end"/>
      </w:r>
      <w:r w:rsidR="00DC5B6F" w:rsidRPr="00FA314F">
        <w:rPr>
          <w:rFonts w:cs="Arial"/>
          <w:szCs w:val="22"/>
        </w:rPr>
        <w:t xml:space="preserve">, </w:t>
      </w:r>
      <w:r w:rsidR="00DC5B6F" w:rsidRPr="00FA314F">
        <w:rPr>
          <w:rFonts w:cs="Arial"/>
          <w:szCs w:val="22"/>
        </w:rPr>
        <w:fldChar w:fldCharType="begin"/>
      </w:r>
      <w:r w:rsidR="00DC5B6F" w:rsidRPr="00FA314F">
        <w:rPr>
          <w:rFonts w:cs="Arial"/>
          <w:szCs w:val="22"/>
        </w:rPr>
        <w:instrText xml:space="preserve"> REF _Ref533677820 \h </w:instrText>
      </w:r>
      <w:r w:rsidR="00CB093C" w:rsidRPr="00FA314F">
        <w:rPr>
          <w:rFonts w:cs="Arial"/>
          <w:szCs w:val="22"/>
        </w:rPr>
        <w:instrText xml:space="preserve"> \* MERGEFORMAT </w:instrText>
      </w:r>
      <w:r w:rsidR="00DC5B6F" w:rsidRPr="00FA314F">
        <w:rPr>
          <w:rFonts w:cs="Arial"/>
          <w:szCs w:val="22"/>
        </w:rPr>
      </w:r>
      <w:r w:rsidR="00DC5B6F" w:rsidRPr="00FA314F">
        <w:rPr>
          <w:rFonts w:cs="Arial"/>
          <w:szCs w:val="22"/>
        </w:rPr>
        <w:fldChar w:fldCharType="separate"/>
      </w:r>
      <w:r w:rsidR="0067675D" w:rsidRPr="00FA314F">
        <w:rPr>
          <w:rFonts w:cs="Arial"/>
          <w:szCs w:val="22"/>
        </w:rPr>
        <w:t xml:space="preserve">Figure </w:t>
      </w:r>
      <w:r w:rsidR="0067675D">
        <w:rPr>
          <w:rFonts w:cs="Arial"/>
          <w:noProof/>
          <w:szCs w:val="22"/>
        </w:rPr>
        <w:t>41</w:t>
      </w:r>
      <w:r w:rsidR="00DC5B6F" w:rsidRPr="00FA314F">
        <w:rPr>
          <w:rFonts w:cs="Arial"/>
          <w:szCs w:val="22"/>
        </w:rPr>
        <w:fldChar w:fldCharType="end"/>
      </w:r>
      <w:r w:rsidR="00DC5B6F" w:rsidRPr="00FA314F">
        <w:rPr>
          <w:rFonts w:cs="Arial"/>
          <w:szCs w:val="22"/>
        </w:rPr>
        <w:t>)</w:t>
      </w:r>
      <w:r w:rsidRPr="00FA314F">
        <w:rPr>
          <w:rFonts w:cs="Arial"/>
          <w:szCs w:val="22"/>
        </w:rPr>
        <w:t>.</w:t>
      </w:r>
      <w:r w:rsidR="00DC5B6F" w:rsidRPr="00FA314F">
        <w:rPr>
          <w:rFonts w:cs="Arial"/>
          <w:szCs w:val="22"/>
        </w:rPr>
        <w:t xml:space="preserve"> </w:t>
      </w:r>
      <w:r w:rsidR="00E87E87" w:rsidRPr="00FA314F">
        <w:rPr>
          <w:rFonts w:cs="Arial"/>
          <w:szCs w:val="22"/>
        </w:rPr>
        <w:t xml:space="preserve">In the northern Wet Tropics, </w:t>
      </w:r>
      <w:r w:rsidR="00135A74" w:rsidRPr="00FA314F">
        <w:rPr>
          <w:rFonts w:cs="Arial"/>
          <w:szCs w:val="22"/>
        </w:rPr>
        <w:t>seagrass abundance over the long-term is higher at intertidal reef (</w:t>
      </w:r>
      <w:r w:rsidR="00E25FCB" w:rsidRPr="00E25FCB">
        <w:rPr>
          <w:rFonts w:cs="Arial"/>
          <w:szCs w:val="22"/>
        </w:rPr>
        <w:t>28.0</w:t>
      </w:r>
      <w:r w:rsidR="00E25FCB">
        <w:rPr>
          <w:rFonts w:cs="Arial"/>
          <w:szCs w:val="22"/>
        </w:rPr>
        <w:t xml:space="preserve"> </w:t>
      </w:r>
      <w:r w:rsidR="00135A74" w:rsidRPr="00FA314F">
        <w:rPr>
          <w:rFonts w:cs="Arial"/>
          <w:szCs w:val="22"/>
        </w:rPr>
        <w:t>±</w:t>
      </w:r>
      <w:r w:rsidR="00E25FCB" w:rsidRPr="00E25FCB">
        <w:rPr>
          <w:rFonts w:cs="Arial"/>
          <w:szCs w:val="22"/>
        </w:rPr>
        <w:t>2.</w:t>
      </w:r>
      <w:r w:rsidR="00E25FCB">
        <w:rPr>
          <w:rFonts w:cs="Arial"/>
          <w:szCs w:val="22"/>
        </w:rPr>
        <w:t>2</w:t>
      </w:r>
      <w:r w:rsidR="006D2E41">
        <w:rPr>
          <w:rFonts w:cs="Arial"/>
          <w:szCs w:val="22"/>
        </w:rPr>
        <w:t>%</w:t>
      </w:r>
      <w:r w:rsidR="00135A74" w:rsidRPr="00FA314F">
        <w:rPr>
          <w:rFonts w:cs="Arial"/>
          <w:szCs w:val="22"/>
        </w:rPr>
        <w:t>) than subtidal reef (</w:t>
      </w:r>
      <w:r w:rsidR="00E25FCB" w:rsidRPr="00E25FCB">
        <w:rPr>
          <w:rFonts w:cs="Arial"/>
          <w:szCs w:val="22"/>
        </w:rPr>
        <w:t>1</w:t>
      </w:r>
      <w:r w:rsidR="00E25FCB">
        <w:rPr>
          <w:rFonts w:cs="Arial"/>
          <w:szCs w:val="22"/>
        </w:rPr>
        <w:t>7.0</w:t>
      </w:r>
      <w:r w:rsidR="008626FF" w:rsidRPr="00FA314F">
        <w:rPr>
          <w:rFonts w:cs="Arial"/>
          <w:szCs w:val="22"/>
        </w:rPr>
        <w:t xml:space="preserve"> </w:t>
      </w:r>
      <w:r w:rsidR="00135A74" w:rsidRPr="00FA314F">
        <w:rPr>
          <w:rFonts w:cs="Arial"/>
          <w:szCs w:val="22"/>
        </w:rPr>
        <w:t>±2.5</w:t>
      </w:r>
      <w:r w:rsidR="006D2E41">
        <w:rPr>
          <w:rFonts w:cs="Arial"/>
          <w:szCs w:val="22"/>
        </w:rPr>
        <w:t>%</w:t>
      </w:r>
      <w:r w:rsidR="00135A74" w:rsidRPr="00FA314F">
        <w:rPr>
          <w:rFonts w:cs="Arial"/>
          <w:szCs w:val="22"/>
        </w:rPr>
        <w:t>) or coastal habitats (</w:t>
      </w:r>
      <w:r w:rsidR="00E25FCB" w:rsidRPr="00E25FCB">
        <w:rPr>
          <w:rFonts w:cs="Arial"/>
          <w:szCs w:val="22"/>
        </w:rPr>
        <w:t>14.5</w:t>
      </w:r>
      <w:r w:rsidR="008626FF" w:rsidRPr="00FA314F">
        <w:rPr>
          <w:rFonts w:cs="Arial"/>
          <w:szCs w:val="22"/>
        </w:rPr>
        <w:t xml:space="preserve"> </w:t>
      </w:r>
      <w:r w:rsidR="00E25FCB">
        <w:rPr>
          <w:rFonts w:cs="Arial"/>
          <w:szCs w:val="22"/>
        </w:rPr>
        <w:t>±1.6</w:t>
      </w:r>
      <w:r w:rsidR="006D2E41">
        <w:rPr>
          <w:rFonts w:cs="Arial"/>
          <w:szCs w:val="22"/>
        </w:rPr>
        <w:t>%</w:t>
      </w:r>
      <w:r w:rsidR="00E25FCB">
        <w:rPr>
          <w:rFonts w:cs="Arial"/>
          <w:szCs w:val="22"/>
        </w:rPr>
        <w:t>).</w:t>
      </w:r>
      <w:r w:rsidR="009E5F10">
        <w:rPr>
          <w:rFonts w:cs="Arial"/>
          <w:szCs w:val="22"/>
        </w:rPr>
        <w:t xml:space="preserve"> In 2018</w:t>
      </w:r>
      <w:r w:rsidR="00C47C94" w:rsidRPr="00F66F2B">
        <w:rPr>
          <w:rFonts w:cs="Arial"/>
          <w:szCs w:val="22"/>
        </w:rPr>
        <w:t>–</w:t>
      </w:r>
      <w:r w:rsidR="009E5F10">
        <w:rPr>
          <w:rFonts w:cs="Arial"/>
          <w:szCs w:val="22"/>
        </w:rPr>
        <w:t>19, although seagrass abundances remained steady at 14% of sites, the increase in abundance observed at approximately 43</w:t>
      </w:r>
      <w:r w:rsidR="003C311A">
        <w:rPr>
          <w:rFonts w:cs="Arial"/>
          <w:szCs w:val="22"/>
        </w:rPr>
        <w:t xml:space="preserve">% </w:t>
      </w:r>
      <w:r w:rsidR="009E5F10">
        <w:rPr>
          <w:rFonts w:cs="Arial"/>
          <w:szCs w:val="22"/>
        </w:rPr>
        <w:t xml:space="preserve">of sites, was offset </w:t>
      </w:r>
      <w:r w:rsidR="003F3999">
        <w:rPr>
          <w:rFonts w:cs="Arial"/>
          <w:szCs w:val="22"/>
        </w:rPr>
        <w:t xml:space="preserve">by </w:t>
      </w:r>
      <w:r w:rsidR="009E5F10">
        <w:rPr>
          <w:rFonts w:cs="Arial"/>
          <w:szCs w:val="22"/>
        </w:rPr>
        <w:t>declines experienced at the remaining sites, resulting in a slight decrease in abundance overall.</w:t>
      </w:r>
    </w:p>
    <w:p w14:paraId="03F9A737" w14:textId="373ACA40" w:rsidR="00146652" w:rsidRDefault="00135A74" w:rsidP="00255512">
      <w:pPr>
        <w:rPr>
          <w:rFonts w:cs="Arial"/>
          <w:szCs w:val="22"/>
        </w:rPr>
      </w:pPr>
      <w:r w:rsidRPr="00FA314F">
        <w:rPr>
          <w:rFonts w:cs="Arial"/>
          <w:szCs w:val="22"/>
        </w:rPr>
        <w:t xml:space="preserve">Although seagrass </w:t>
      </w:r>
      <w:r w:rsidR="00146652" w:rsidRPr="00FA314F">
        <w:rPr>
          <w:rFonts w:cs="Arial"/>
          <w:szCs w:val="22"/>
        </w:rPr>
        <w:t>losses have occurred at the local level (e.g. individual site</w:t>
      </w:r>
      <w:r w:rsidR="009E5F10">
        <w:rPr>
          <w:rFonts w:cs="Arial"/>
          <w:szCs w:val="22"/>
        </w:rPr>
        <w:t>s</w:t>
      </w:r>
      <w:r w:rsidR="00146652" w:rsidRPr="00FA314F">
        <w:rPr>
          <w:rFonts w:cs="Arial"/>
          <w:szCs w:val="22"/>
        </w:rPr>
        <w:t>) for some period</w:t>
      </w:r>
      <w:r w:rsidRPr="00FA314F">
        <w:rPr>
          <w:rFonts w:cs="Arial"/>
          <w:szCs w:val="22"/>
        </w:rPr>
        <w:t xml:space="preserve"> over the duration of the monitoring, </w:t>
      </w:r>
      <w:r w:rsidR="00146652" w:rsidRPr="00FA314F">
        <w:rPr>
          <w:rFonts w:cs="Arial"/>
          <w:szCs w:val="22"/>
        </w:rPr>
        <w:t xml:space="preserve">complete </w:t>
      </w:r>
      <w:r w:rsidRPr="00FA314F">
        <w:rPr>
          <w:rFonts w:cs="Arial"/>
          <w:szCs w:val="22"/>
        </w:rPr>
        <w:t>los</w:t>
      </w:r>
      <w:r w:rsidR="00146652" w:rsidRPr="00FA314F">
        <w:rPr>
          <w:rFonts w:cs="Arial"/>
          <w:szCs w:val="22"/>
        </w:rPr>
        <w:t>s has not occurred at</w:t>
      </w:r>
      <w:r w:rsidRPr="00FA314F">
        <w:rPr>
          <w:rFonts w:cs="Arial"/>
          <w:szCs w:val="22"/>
        </w:rPr>
        <w:t xml:space="preserve"> </w:t>
      </w:r>
      <w:r w:rsidR="00146652" w:rsidRPr="00FA314F">
        <w:rPr>
          <w:rFonts w:cs="Arial"/>
          <w:szCs w:val="22"/>
        </w:rPr>
        <w:t>the</w:t>
      </w:r>
      <w:r w:rsidRPr="00FA314F">
        <w:rPr>
          <w:rFonts w:cs="Arial"/>
          <w:szCs w:val="22"/>
        </w:rPr>
        <w:t xml:space="preserve"> habitat</w:t>
      </w:r>
      <w:r w:rsidR="008626FF" w:rsidRPr="00FA314F">
        <w:rPr>
          <w:rFonts w:cs="Arial"/>
          <w:szCs w:val="22"/>
        </w:rPr>
        <w:t xml:space="preserve"> level</w:t>
      </w:r>
      <w:r w:rsidR="00146652" w:rsidRPr="00FA314F">
        <w:rPr>
          <w:rFonts w:cs="Arial"/>
          <w:szCs w:val="22"/>
        </w:rPr>
        <w:t>. Nevertheless</w:t>
      </w:r>
      <w:r w:rsidRPr="00FA314F">
        <w:rPr>
          <w:rFonts w:cs="Arial"/>
          <w:szCs w:val="22"/>
        </w:rPr>
        <w:t xml:space="preserve">, abundance </w:t>
      </w:r>
      <w:r w:rsidR="008355EC" w:rsidRPr="00FA314F">
        <w:rPr>
          <w:rFonts w:cs="Arial"/>
          <w:szCs w:val="22"/>
        </w:rPr>
        <w:t xml:space="preserve">has </w:t>
      </w:r>
      <w:r w:rsidRPr="00FA314F">
        <w:rPr>
          <w:rFonts w:cs="Arial"/>
          <w:szCs w:val="22"/>
        </w:rPr>
        <w:t>fluctuate</w:t>
      </w:r>
      <w:r w:rsidR="008355EC" w:rsidRPr="00FA314F">
        <w:rPr>
          <w:rFonts w:cs="Arial"/>
          <w:szCs w:val="22"/>
        </w:rPr>
        <w:t>d</w:t>
      </w:r>
      <w:r w:rsidRPr="00FA314F">
        <w:rPr>
          <w:rFonts w:cs="Arial"/>
          <w:szCs w:val="22"/>
        </w:rPr>
        <w:t xml:space="preserve"> between and within years. For example, </w:t>
      </w:r>
      <w:r w:rsidR="00255512" w:rsidRPr="00FA314F">
        <w:rPr>
          <w:rFonts w:cs="Arial"/>
          <w:szCs w:val="22"/>
        </w:rPr>
        <w:t xml:space="preserve">seagrass cover at coastal habitats </w:t>
      </w:r>
      <w:r w:rsidR="00E67AFD" w:rsidRPr="00FA314F">
        <w:rPr>
          <w:rFonts w:cs="Arial"/>
          <w:szCs w:val="22"/>
        </w:rPr>
        <w:t>differs</w:t>
      </w:r>
      <w:r w:rsidR="00255512" w:rsidRPr="00FA314F">
        <w:rPr>
          <w:rFonts w:cs="Arial"/>
          <w:szCs w:val="22"/>
        </w:rPr>
        <w:t xml:space="preserve"> between seasons</w:t>
      </w:r>
      <w:r w:rsidRPr="00FA314F">
        <w:rPr>
          <w:rFonts w:cs="Arial"/>
          <w:szCs w:val="22"/>
        </w:rPr>
        <w:t xml:space="preserve"> (</w:t>
      </w:r>
      <w:r w:rsidR="00196262">
        <w:rPr>
          <w:rFonts w:cs="Arial"/>
          <w:szCs w:val="22"/>
        </w:rPr>
        <w:t>9.7</w:t>
      </w:r>
      <w:r w:rsidR="00255512" w:rsidRPr="00FA314F">
        <w:rPr>
          <w:rFonts w:cs="Arial"/>
          <w:szCs w:val="22"/>
        </w:rPr>
        <w:t xml:space="preserve"> ±</w:t>
      </w:r>
      <w:r w:rsidR="00E67AFD" w:rsidRPr="00FA314F">
        <w:rPr>
          <w:rFonts w:cs="Arial"/>
          <w:szCs w:val="22"/>
        </w:rPr>
        <w:t>1.</w:t>
      </w:r>
      <w:r w:rsidR="00196262">
        <w:rPr>
          <w:rFonts w:cs="Arial"/>
          <w:szCs w:val="22"/>
        </w:rPr>
        <w:t>3</w:t>
      </w:r>
      <w:r w:rsidR="003C311A">
        <w:rPr>
          <w:rFonts w:cs="Arial"/>
          <w:szCs w:val="22"/>
        </w:rPr>
        <w:t xml:space="preserve">% </w:t>
      </w:r>
      <w:r w:rsidR="00255512" w:rsidRPr="00FA314F">
        <w:rPr>
          <w:rFonts w:cs="Arial"/>
          <w:szCs w:val="22"/>
        </w:rPr>
        <w:t>in the dry and 1</w:t>
      </w:r>
      <w:r w:rsidR="00196262">
        <w:rPr>
          <w:rFonts w:cs="Arial"/>
          <w:szCs w:val="22"/>
        </w:rPr>
        <w:t>9.8</w:t>
      </w:r>
      <w:r w:rsidR="00255512" w:rsidRPr="00FA314F">
        <w:rPr>
          <w:rFonts w:cs="Arial"/>
          <w:szCs w:val="22"/>
        </w:rPr>
        <w:t xml:space="preserve"> ±</w:t>
      </w:r>
      <w:r w:rsidR="00196262">
        <w:rPr>
          <w:rFonts w:cs="Arial"/>
          <w:szCs w:val="22"/>
        </w:rPr>
        <w:t>2.1</w:t>
      </w:r>
      <w:r w:rsidR="003C311A">
        <w:rPr>
          <w:rFonts w:cs="Arial"/>
          <w:szCs w:val="22"/>
        </w:rPr>
        <w:t xml:space="preserve">% </w:t>
      </w:r>
      <w:r w:rsidR="00255512" w:rsidRPr="00FA314F">
        <w:rPr>
          <w:rFonts w:cs="Arial"/>
          <w:szCs w:val="22"/>
        </w:rPr>
        <w:t xml:space="preserve">in the </w:t>
      </w:r>
      <w:r w:rsidR="00196262">
        <w:rPr>
          <w:rFonts w:cs="Arial"/>
          <w:szCs w:val="22"/>
        </w:rPr>
        <w:t>late dry-monsoon</w:t>
      </w:r>
      <w:r w:rsidRPr="00FA314F">
        <w:rPr>
          <w:rFonts w:cs="Arial"/>
          <w:szCs w:val="22"/>
        </w:rPr>
        <w:t>) and years (from 3.</w:t>
      </w:r>
      <w:r w:rsidR="0026536A">
        <w:rPr>
          <w:rFonts w:cs="Arial"/>
          <w:szCs w:val="22"/>
        </w:rPr>
        <w:t>9</w:t>
      </w:r>
      <w:r w:rsidR="003C311A">
        <w:rPr>
          <w:rFonts w:cs="Arial"/>
          <w:szCs w:val="22"/>
        </w:rPr>
        <w:t xml:space="preserve">% </w:t>
      </w:r>
      <w:r w:rsidRPr="00FA314F">
        <w:rPr>
          <w:rFonts w:cs="Arial"/>
          <w:szCs w:val="22"/>
        </w:rPr>
        <w:t>to 24.</w:t>
      </w:r>
      <w:r w:rsidR="0026536A">
        <w:rPr>
          <w:rFonts w:cs="Arial"/>
          <w:szCs w:val="22"/>
        </w:rPr>
        <w:t>9</w:t>
      </w:r>
      <w:r w:rsidR="003C311A">
        <w:rPr>
          <w:rFonts w:cs="Arial"/>
          <w:szCs w:val="22"/>
        </w:rPr>
        <w:t xml:space="preserve">% </w:t>
      </w:r>
      <w:r w:rsidR="008355EC" w:rsidRPr="00FA314F">
        <w:rPr>
          <w:rFonts w:cs="Arial"/>
          <w:szCs w:val="22"/>
        </w:rPr>
        <w:t>annual average</w:t>
      </w:r>
      <w:r w:rsidRPr="00FA314F">
        <w:rPr>
          <w:rFonts w:cs="Arial"/>
          <w:szCs w:val="22"/>
        </w:rPr>
        <w:t>)</w:t>
      </w:r>
      <w:r w:rsidR="0026536A">
        <w:rPr>
          <w:rFonts w:cs="Arial"/>
          <w:szCs w:val="22"/>
        </w:rPr>
        <w:t>.</w:t>
      </w:r>
    </w:p>
    <w:p w14:paraId="14CF31B0" w14:textId="244C7905" w:rsidR="00146652" w:rsidRPr="0026536A" w:rsidRDefault="00146652" w:rsidP="00255512">
      <w:pPr>
        <w:rPr>
          <w:rFonts w:cs="Arial"/>
          <w:szCs w:val="22"/>
        </w:rPr>
      </w:pPr>
      <w:r w:rsidRPr="0026536A">
        <w:rPr>
          <w:rFonts w:cs="Arial"/>
          <w:szCs w:val="22"/>
        </w:rPr>
        <w:t xml:space="preserve">In the southern Wet Tropics, </w:t>
      </w:r>
      <w:r w:rsidR="008626FF" w:rsidRPr="0026536A">
        <w:rPr>
          <w:rFonts w:cs="Arial"/>
          <w:szCs w:val="22"/>
        </w:rPr>
        <w:t>although seagrass abundance is similarly higher at intertidal reef (</w:t>
      </w:r>
      <w:r w:rsidR="0026536A" w:rsidRPr="0026536A">
        <w:rPr>
          <w:rFonts w:cs="Arial"/>
          <w:szCs w:val="22"/>
        </w:rPr>
        <w:t>5.1</w:t>
      </w:r>
      <w:r w:rsidR="008626FF" w:rsidRPr="0026536A">
        <w:rPr>
          <w:rFonts w:cs="Arial"/>
          <w:szCs w:val="22"/>
        </w:rPr>
        <w:t xml:space="preserve"> ±1.</w:t>
      </w:r>
      <w:r w:rsidR="0026536A" w:rsidRPr="0026536A">
        <w:rPr>
          <w:rFonts w:cs="Arial"/>
          <w:szCs w:val="22"/>
        </w:rPr>
        <w:t>1</w:t>
      </w:r>
      <w:r w:rsidR="006D2E41">
        <w:rPr>
          <w:rFonts w:cs="Arial"/>
          <w:szCs w:val="22"/>
        </w:rPr>
        <w:t>%</w:t>
      </w:r>
      <w:r w:rsidR="008626FF" w:rsidRPr="0026536A">
        <w:rPr>
          <w:rFonts w:cs="Arial"/>
          <w:szCs w:val="22"/>
        </w:rPr>
        <w:t>) than subtidal reef (1.</w:t>
      </w:r>
      <w:r w:rsidR="0026536A" w:rsidRPr="0026536A">
        <w:rPr>
          <w:rFonts w:cs="Arial"/>
          <w:szCs w:val="22"/>
        </w:rPr>
        <w:t>9</w:t>
      </w:r>
      <w:r w:rsidR="008626FF" w:rsidRPr="0026536A">
        <w:rPr>
          <w:rFonts w:cs="Arial"/>
          <w:szCs w:val="22"/>
        </w:rPr>
        <w:t xml:space="preserve"> ±0.</w:t>
      </w:r>
      <w:r w:rsidR="0026536A" w:rsidRPr="0026536A">
        <w:rPr>
          <w:rFonts w:cs="Arial"/>
          <w:szCs w:val="22"/>
        </w:rPr>
        <w:t>8</w:t>
      </w:r>
      <w:r w:rsidR="006D2E41">
        <w:rPr>
          <w:rFonts w:cs="Arial"/>
          <w:szCs w:val="22"/>
        </w:rPr>
        <w:t>%</w:t>
      </w:r>
      <w:r w:rsidR="008626FF" w:rsidRPr="0026536A">
        <w:rPr>
          <w:rFonts w:cs="Arial"/>
          <w:szCs w:val="22"/>
        </w:rPr>
        <w:t>) or coastal habitats (1.</w:t>
      </w:r>
      <w:r w:rsidR="0026536A" w:rsidRPr="0026536A">
        <w:rPr>
          <w:rFonts w:cs="Arial"/>
          <w:szCs w:val="22"/>
        </w:rPr>
        <w:t>9</w:t>
      </w:r>
      <w:r w:rsidR="008626FF" w:rsidRPr="0026536A">
        <w:rPr>
          <w:rFonts w:cs="Arial"/>
          <w:szCs w:val="22"/>
        </w:rPr>
        <w:t xml:space="preserve"> ±0.</w:t>
      </w:r>
      <w:r w:rsidR="0026536A" w:rsidRPr="0026536A">
        <w:rPr>
          <w:rFonts w:cs="Arial"/>
          <w:szCs w:val="22"/>
        </w:rPr>
        <w:t>6</w:t>
      </w:r>
      <w:r w:rsidR="006D2E41">
        <w:rPr>
          <w:rFonts w:cs="Arial"/>
          <w:szCs w:val="22"/>
        </w:rPr>
        <w:t>%</w:t>
      </w:r>
      <w:r w:rsidR="008626FF" w:rsidRPr="0026536A">
        <w:rPr>
          <w:rFonts w:cs="Arial"/>
          <w:szCs w:val="22"/>
        </w:rPr>
        <w:t xml:space="preserve">), the abundances are a </w:t>
      </w:r>
      <w:r w:rsidR="008355EC" w:rsidRPr="0026536A">
        <w:rPr>
          <w:rFonts w:cs="Arial"/>
          <w:szCs w:val="22"/>
        </w:rPr>
        <w:t>mere</w:t>
      </w:r>
      <w:r w:rsidR="008626FF" w:rsidRPr="0026536A">
        <w:rPr>
          <w:rFonts w:cs="Arial"/>
          <w:szCs w:val="22"/>
        </w:rPr>
        <w:t xml:space="preserve"> tenth of those to the north. This is a consequence of periods of complete loss occurring at all habitats for at least 3-6 months since early 2011. At coastal habitats in Lugger Bay, complete loss has been sustained for periods of years. </w:t>
      </w:r>
      <w:r w:rsidR="00EF746E" w:rsidRPr="0026536A">
        <w:rPr>
          <w:rFonts w:cs="Arial"/>
          <w:szCs w:val="22"/>
        </w:rPr>
        <w:t xml:space="preserve">Although recovery is very slow, </w:t>
      </w:r>
      <w:r w:rsidR="008626FF" w:rsidRPr="0026536A">
        <w:rPr>
          <w:rFonts w:cs="Arial"/>
          <w:szCs w:val="22"/>
        </w:rPr>
        <w:t xml:space="preserve">isolated </w:t>
      </w:r>
      <w:r w:rsidR="00C63FF1" w:rsidRPr="0026536A">
        <w:rPr>
          <w:rFonts w:cs="Arial"/>
          <w:szCs w:val="22"/>
        </w:rPr>
        <w:t xml:space="preserve">seagrass </w:t>
      </w:r>
      <w:r w:rsidR="008626FF" w:rsidRPr="0026536A">
        <w:rPr>
          <w:rFonts w:cs="Arial"/>
          <w:szCs w:val="22"/>
        </w:rPr>
        <w:t xml:space="preserve">shoots appeared at Lugger Bay sites </w:t>
      </w:r>
      <w:r w:rsidR="00EF746E" w:rsidRPr="0026536A">
        <w:rPr>
          <w:rFonts w:cs="Arial"/>
          <w:szCs w:val="22"/>
        </w:rPr>
        <w:t>in 2016</w:t>
      </w:r>
      <w:r w:rsidR="009203FC" w:rsidRPr="0026536A">
        <w:rPr>
          <w:rFonts w:cs="Arial"/>
          <w:szCs w:val="22"/>
        </w:rPr>
        <w:t>–</w:t>
      </w:r>
      <w:r w:rsidR="00EF746E" w:rsidRPr="0026536A">
        <w:rPr>
          <w:rFonts w:cs="Arial"/>
          <w:szCs w:val="22"/>
        </w:rPr>
        <w:t xml:space="preserve">17, </w:t>
      </w:r>
      <w:r w:rsidR="008626FF" w:rsidRPr="0026536A">
        <w:rPr>
          <w:rFonts w:cs="Arial"/>
          <w:szCs w:val="22"/>
        </w:rPr>
        <w:t xml:space="preserve">and </w:t>
      </w:r>
      <w:r w:rsidR="00C63FF1" w:rsidRPr="0026536A">
        <w:rPr>
          <w:rFonts w:cs="Arial"/>
          <w:szCs w:val="22"/>
        </w:rPr>
        <w:t>by</w:t>
      </w:r>
      <w:r w:rsidR="008626FF" w:rsidRPr="0026536A">
        <w:rPr>
          <w:rFonts w:cs="Arial"/>
          <w:szCs w:val="22"/>
        </w:rPr>
        <w:t xml:space="preserve"> </w:t>
      </w:r>
      <w:r w:rsidR="00956639" w:rsidRPr="0026536A">
        <w:rPr>
          <w:rFonts w:cs="Arial"/>
          <w:szCs w:val="22"/>
        </w:rPr>
        <w:t>2018–19</w:t>
      </w:r>
      <w:r w:rsidR="008626FF" w:rsidRPr="0026536A">
        <w:rPr>
          <w:rFonts w:cs="Arial"/>
          <w:szCs w:val="22"/>
        </w:rPr>
        <w:t xml:space="preserve"> small patches had established</w:t>
      </w:r>
      <w:r w:rsidR="008355EC" w:rsidRPr="0026536A">
        <w:rPr>
          <w:rFonts w:cs="Arial"/>
          <w:szCs w:val="22"/>
        </w:rPr>
        <w:t>. Abundances similarly improved at the reef intertidal habitats</w:t>
      </w:r>
      <w:r w:rsidR="00EF746E" w:rsidRPr="0026536A">
        <w:rPr>
          <w:rFonts w:cs="Arial"/>
          <w:szCs w:val="22"/>
        </w:rPr>
        <w:t>, but remain well below historical levels.</w:t>
      </w:r>
    </w:p>
    <w:p w14:paraId="3CFD42CB" w14:textId="49A476C7" w:rsidR="005D74D4" w:rsidRPr="0026536A" w:rsidRDefault="00EF746E" w:rsidP="00EF544A">
      <w:pPr>
        <w:rPr>
          <w:rFonts w:cs="Arial"/>
          <w:szCs w:val="22"/>
        </w:rPr>
      </w:pPr>
      <w:r w:rsidRPr="0026536A">
        <w:rPr>
          <w:rFonts w:cs="Arial"/>
          <w:szCs w:val="22"/>
        </w:rPr>
        <w:t>An e</w:t>
      </w:r>
      <w:r w:rsidR="008355EC" w:rsidRPr="0026536A">
        <w:rPr>
          <w:rFonts w:cs="Arial"/>
          <w:szCs w:val="22"/>
        </w:rPr>
        <w:t xml:space="preserve">xamination of temporal trends in seagrass abundance across the Wet Tropics NRM </w:t>
      </w:r>
      <w:r w:rsidR="008355EC" w:rsidRPr="00196262">
        <w:rPr>
          <w:rFonts w:cs="Arial"/>
          <w:szCs w:val="22"/>
        </w:rPr>
        <w:t xml:space="preserve">region show </w:t>
      </w:r>
      <w:r w:rsidR="0026536A" w:rsidRPr="00196262">
        <w:rPr>
          <w:rFonts w:cs="Arial"/>
          <w:szCs w:val="22"/>
        </w:rPr>
        <w:t xml:space="preserve">no </w:t>
      </w:r>
      <w:r w:rsidR="008355EC" w:rsidRPr="00196262">
        <w:rPr>
          <w:rFonts w:cs="Arial"/>
          <w:szCs w:val="22"/>
        </w:rPr>
        <w:t xml:space="preserve">significant </w:t>
      </w:r>
      <w:r w:rsidR="0026536A" w:rsidRPr="00196262">
        <w:rPr>
          <w:rFonts w:cs="Arial"/>
          <w:szCs w:val="22"/>
        </w:rPr>
        <w:t>trend</w:t>
      </w:r>
      <w:r w:rsidR="008355EC" w:rsidRPr="00196262">
        <w:rPr>
          <w:rFonts w:cs="Arial"/>
          <w:szCs w:val="22"/>
        </w:rPr>
        <w:t xml:space="preserve"> over the long-term (</w:t>
      </w:r>
      <w:r w:rsidR="008355EC" w:rsidRPr="00196262">
        <w:rPr>
          <w:rFonts w:cs="Arial"/>
          <w:szCs w:val="22"/>
        </w:rPr>
        <w:fldChar w:fldCharType="begin"/>
      </w:r>
      <w:r w:rsidR="008355EC" w:rsidRPr="00196262">
        <w:rPr>
          <w:rFonts w:cs="Arial"/>
          <w:szCs w:val="22"/>
        </w:rPr>
        <w:instrText xml:space="preserve"> REF _Ref511310045 \h </w:instrText>
      </w:r>
      <w:r w:rsidR="00CB093C" w:rsidRPr="00196262">
        <w:rPr>
          <w:rFonts w:cs="Arial"/>
          <w:szCs w:val="22"/>
        </w:rPr>
        <w:instrText xml:space="preserve"> \* MERGEFORMAT </w:instrText>
      </w:r>
      <w:r w:rsidR="008355EC" w:rsidRPr="00196262">
        <w:rPr>
          <w:rFonts w:cs="Arial"/>
          <w:szCs w:val="22"/>
        </w:rPr>
      </w:r>
      <w:r w:rsidR="008355EC" w:rsidRPr="00196262">
        <w:rPr>
          <w:rFonts w:cs="Arial"/>
          <w:szCs w:val="22"/>
        </w:rPr>
        <w:fldChar w:fldCharType="separate"/>
      </w:r>
      <w:r w:rsidR="0067675D" w:rsidRPr="00867E8C">
        <w:rPr>
          <w:rFonts w:cs="Arial"/>
          <w:szCs w:val="22"/>
        </w:rPr>
        <w:t xml:space="preserve">Table </w:t>
      </w:r>
      <w:r w:rsidR="0067675D">
        <w:rPr>
          <w:rFonts w:cs="Arial"/>
          <w:noProof/>
          <w:szCs w:val="22"/>
        </w:rPr>
        <w:t>20</w:t>
      </w:r>
      <w:r w:rsidR="008355EC" w:rsidRPr="00196262">
        <w:rPr>
          <w:rFonts w:cs="Arial"/>
          <w:szCs w:val="22"/>
        </w:rPr>
        <w:fldChar w:fldCharType="end"/>
      </w:r>
      <w:r w:rsidR="008355EC" w:rsidRPr="00196262">
        <w:rPr>
          <w:rFonts w:cs="Arial"/>
          <w:szCs w:val="22"/>
        </w:rPr>
        <w:t xml:space="preserve">). </w:t>
      </w:r>
      <w:r w:rsidR="008355EC" w:rsidRPr="00196262">
        <w:rPr>
          <w:rFonts w:cs="Arial"/>
          <w:szCs w:val="22"/>
        </w:rPr>
        <w:lastRenderedPageBreak/>
        <w:t>In the northern Wet Tropics, c</w:t>
      </w:r>
      <w:r w:rsidR="00255512" w:rsidRPr="00196262">
        <w:rPr>
          <w:rFonts w:cs="Arial"/>
          <w:szCs w:val="22"/>
        </w:rPr>
        <w:t xml:space="preserve">hanges in seagrass abundance </w:t>
      </w:r>
      <w:r w:rsidR="00146652" w:rsidRPr="00196262">
        <w:rPr>
          <w:rFonts w:cs="Arial"/>
          <w:szCs w:val="22"/>
        </w:rPr>
        <w:t>were variable among habitats, with 29</w:t>
      </w:r>
      <w:r w:rsidR="003C311A">
        <w:rPr>
          <w:rFonts w:cs="Arial"/>
          <w:szCs w:val="22"/>
        </w:rPr>
        <w:t xml:space="preserve">% </w:t>
      </w:r>
      <w:r w:rsidR="00146652" w:rsidRPr="00196262">
        <w:rPr>
          <w:rFonts w:cs="Arial"/>
          <w:szCs w:val="22"/>
        </w:rPr>
        <w:t xml:space="preserve">of sites significantly declining over the long-term, while no trend was apparent for the remaining sites. The declines in the north </w:t>
      </w:r>
      <w:r w:rsidR="00EC7C5F" w:rsidRPr="00196262">
        <w:rPr>
          <w:rFonts w:cs="Arial"/>
          <w:szCs w:val="22"/>
        </w:rPr>
        <w:t>are all</w:t>
      </w:r>
      <w:r w:rsidR="00146652" w:rsidRPr="00196262">
        <w:rPr>
          <w:rFonts w:cs="Arial"/>
          <w:szCs w:val="22"/>
        </w:rPr>
        <w:t xml:space="preserve"> in reef habitats; 33</w:t>
      </w:r>
      <w:r w:rsidR="003C311A">
        <w:rPr>
          <w:rFonts w:cs="Arial"/>
          <w:szCs w:val="22"/>
        </w:rPr>
        <w:t xml:space="preserve">% </w:t>
      </w:r>
      <w:r w:rsidR="00146652" w:rsidRPr="00196262">
        <w:rPr>
          <w:rFonts w:cs="Arial"/>
          <w:szCs w:val="22"/>
        </w:rPr>
        <w:t>of intertidal and 50</w:t>
      </w:r>
      <w:r w:rsidR="003C311A">
        <w:rPr>
          <w:rFonts w:cs="Arial"/>
          <w:szCs w:val="22"/>
        </w:rPr>
        <w:t xml:space="preserve">% </w:t>
      </w:r>
      <w:r w:rsidR="00146652" w:rsidRPr="00196262">
        <w:rPr>
          <w:rFonts w:cs="Arial"/>
          <w:szCs w:val="22"/>
        </w:rPr>
        <w:t>subtidal.</w:t>
      </w:r>
      <w:r w:rsidR="008355EC" w:rsidRPr="00196262">
        <w:rPr>
          <w:rFonts w:cs="Arial"/>
          <w:szCs w:val="22"/>
        </w:rPr>
        <w:t xml:space="preserve"> </w:t>
      </w:r>
      <w:r w:rsidR="00E87E87" w:rsidRPr="00196262">
        <w:rPr>
          <w:rFonts w:cs="Arial"/>
          <w:szCs w:val="22"/>
        </w:rPr>
        <w:t xml:space="preserve">In the southern </w:t>
      </w:r>
      <w:r w:rsidR="005D74D4" w:rsidRPr="00196262">
        <w:rPr>
          <w:rFonts w:cs="Arial"/>
          <w:szCs w:val="22"/>
        </w:rPr>
        <w:t xml:space="preserve">sub-region, </w:t>
      </w:r>
      <w:r w:rsidR="00196262" w:rsidRPr="00196262">
        <w:rPr>
          <w:rFonts w:cs="Arial"/>
          <w:szCs w:val="22"/>
        </w:rPr>
        <w:t>25</w:t>
      </w:r>
      <w:r w:rsidR="003C311A">
        <w:rPr>
          <w:rFonts w:cs="Arial"/>
          <w:szCs w:val="22"/>
        </w:rPr>
        <w:t xml:space="preserve">% </w:t>
      </w:r>
      <w:r w:rsidR="005D74D4" w:rsidRPr="00196262">
        <w:rPr>
          <w:rFonts w:cs="Arial"/>
          <w:szCs w:val="22"/>
        </w:rPr>
        <w:t xml:space="preserve">of sites have significantly declined over the long-term, but these only </w:t>
      </w:r>
      <w:r w:rsidR="00912BC6" w:rsidRPr="00196262">
        <w:rPr>
          <w:rFonts w:cs="Arial"/>
          <w:szCs w:val="22"/>
        </w:rPr>
        <w:t>occurred at</w:t>
      </w:r>
      <w:r w:rsidR="005D74D4" w:rsidRPr="00196262">
        <w:rPr>
          <w:rFonts w:cs="Arial"/>
          <w:szCs w:val="22"/>
        </w:rPr>
        <w:t xml:space="preserve"> coastal </w:t>
      </w:r>
      <w:r w:rsidR="00912BC6" w:rsidRPr="00196262">
        <w:rPr>
          <w:rFonts w:cs="Arial"/>
          <w:szCs w:val="22"/>
        </w:rPr>
        <w:t>sites (</w:t>
      </w:r>
      <w:r w:rsidR="005D74D4" w:rsidRPr="00196262">
        <w:rPr>
          <w:rFonts w:cs="Arial"/>
          <w:szCs w:val="22"/>
        </w:rPr>
        <w:t>Lugger Bay</w:t>
      </w:r>
      <w:r w:rsidR="00912BC6" w:rsidRPr="00196262">
        <w:rPr>
          <w:rFonts w:cs="Arial"/>
          <w:szCs w:val="22"/>
        </w:rPr>
        <w:t>)</w:t>
      </w:r>
      <w:r w:rsidR="005D74D4" w:rsidRPr="00196262">
        <w:rPr>
          <w:rFonts w:cs="Arial"/>
          <w:szCs w:val="22"/>
        </w:rPr>
        <w:t>. No long-term trend was apparent in the reef habitats</w:t>
      </w:r>
      <w:r w:rsidR="00912BC6" w:rsidRPr="00196262">
        <w:rPr>
          <w:rFonts w:cs="Arial"/>
          <w:szCs w:val="22"/>
        </w:rPr>
        <w:t xml:space="preserve"> of the southern sub-region</w:t>
      </w:r>
      <w:r w:rsidR="005D74D4" w:rsidRPr="00196262">
        <w:rPr>
          <w:rFonts w:cs="Arial"/>
          <w:szCs w:val="22"/>
        </w:rPr>
        <w:t>.</w:t>
      </w:r>
    </w:p>
    <w:p w14:paraId="524F35EA" w14:textId="316B9CDE" w:rsidR="00E87E87" w:rsidRPr="00FA314F" w:rsidRDefault="00E87E87" w:rsidP="00EF544A">
      <w:pPr>
        <w:rPr>
          <w:rFonts w:cs="Arial"/>
          <w:szCs w:val="22"/>
        </w:rPr>
      </w:pPr>
    </w:p>
    <w:p w14:paraId="3F8B0A19" w14:textId="77777777" w:rsidR="001B6AA0" w:rsidRPr="00FA314F" w:rsidRDefault="00DC7715" w:rsidP="00907D11">
      <w:pPr>
        <w:keepNext/>
        <w:widowControl w:val="0"/>
        <w:jc w:val="center"/>
        <w:rPr>
          <w:rFonts w:cs="Arial"/>
          <w:szCs w:val="22"/>
          <w:lang w:val="en-GB"/>
        </w:rPr>
      </w:pPr>
      <w:r w:rsidRPr="00FA314F">
        <w:rPr>
          <w:rFonts w:cs="Arial"/>
          <w:noProof/>
          <w:szCs w:val="22"/>
          <w:lang w:eastAsia="en-AU"/>
        </w:rPr>
        <w:drawing>
          <wp:inline distT="0" distB="0" distL="0" distR="0" wp14:anchorId="2E52013D" wp14:editId="540284AE">
            <wp:extent cx="5331028" cy="3283701"/>
            <wp:effectExtent l="0" t="0" r="3175" b="0"/>
            <wp:docPr id="48" name="Picture 48" descr="Panel of six graphs, displayed in three by two matrix, showing seagrass percent cover measures per quadrat (sites pooled) for each habitat monitored from June 2005 to May 2019 in the northern Wet Tropics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T_reef_SG16.png"/>
                    <pic:cNvPicPr/>
                  </pic:nvPicPr>
                  <pic:blipFill>
                    <a:blip r:embed="rId93"/>
                    <a:stretch>
                      <a:fillRect/>
                    </a:stretch>
                  </pic:blipFill>
                  <pic:spPr>
                    <a:xfrm>
                      <a:off x="0" y="0"/>
                      <a:ext cx="5331028" cy="3283701"/>
                    </a:xfrm>
                    <a:prstGeom prst="rect">
                      <a:avLst/>
                    </a:prstGeom>
                  </pic:spPr>
                </pic:pic>
              </a:graphicData>
            </a:graphic>
          </wp:inline>
        </w:drawing>
      </w:r>
    </w:p>
    <w:p w14:paraId="11BD1AB3" w14:textId="67EAEEE2" w:rsidR="009F0873" w:rsidRPr="00FA314F" w:rsidRDefault="00ED32CE" w:rsidP="009F0873">
      <w:pPr>
        <w:rPr>
          <w:rFonts w:cs="Arial"/>
          <w:i/>
          <w:vanish/>
          <w:szCs w:val="22"/>
          <w:specVanish/>
        </w:rPr>
      </w:pPr>
      <w:bookmarkStart w:id="365" w:name="_Ref348439596"/>
      <w:bookmarkStart w:id="366" w:name="_Toc431493841"/>
      <w:bookmarkStart w:id="367" w:name="_Toc38634144"/>
      <w:r w:rsidRPr="00FA314F">
        <w:rPr>
          <w:rFonts w:cs="Arial"/>
          <w:color w:val="000000"/>
          <w:szCs w:val="22"/>
        </w:rPr>
        <w:t xml:space="preserve">Figure </w:t>
      </w:r>
      <w:r w:rsidR="0073595B" w:rsidRPr="00FA314F">
        <w:rPr>
          <w:rFonts w:cs="Arial"/>
          <w:color w:val="000000"/>
          <w:szCs w:val="22"/>
        </w:rPr>
        <w:fldChar w:fldCharType="begin"/>
      </w:r>
      <w:r w:rsidR="0073595B" w:rsidRPr="00FA314F">
        <w:rPr>
          <w:rFonts w:cs="Arial"/>
          <w:color w:val="000000"/>
          <w:szCs w:val="22"/>
        </w:rPr>
        <w:instrText xml:space="preserve"> SEQ Figure \* ARABIC </w:instrText>
      </w:r>
      <w:r w:rsidR="0073595B" w:rsidRPr="00FA314F">
        <w:rPr>
          <w:rFonts w:cs="Arial"/>
          <w:color w:val="000000"/>
          <w:szCs w:val="22"/>
        </w:rPr>
        <w:fldChar w:fldCharType="separate"/>
      </w:r>
      <w:r w:rsidR="0067675D">
        <w:rPr>
          <w:rFonts w:cs="Arial"/>
          <w:noProof/>
          <w:color w:val="000000"/>
          <w:szCs w:val="22"/>
        </w:rPr>
        <w:t>40</w:t>
      </w:r>
      <w:r w:rsidR="0073595B" w:rsidRPr="00FA314F">
        <w:rPr>
          <w:rFonts w:cs="Arial"/>
          <w:color w:val="000000"/>
          <w:szCs w:val="22"/>
        </w:rPr>
        <w:fldChar w:fldCharType="end"/>
      </w:r>
      <w:bookmarkEnd w:id="365"/>
      <w:r w:rsidRPr="00FA314F">
        <w:rPr>
          <w:rFonts w:cs="Arial"/>
          <w:color w:val="000000"/>
          <w:szCs w:val="22"/>
        </w:rPr>
        <w:t>.</w:t>
      </w:r>
      <w:r w:rsidRPr="00FA314F">
        <w:rPr>
          <w:rFonts w:cs="Arial"/>
          <w:i/>
          <w:color w:val="000000"/>
          <w:szCs w:val="22"/>
        </w:rPr>
        <w:t xml:space="preserve"> </w:t>
      </w:r>
      <w:bookmarkEnd w:id="366"/>
      <w:r w:rsidR="009F0873" w:rsidRPr="00FA314F">
        <w:rPr>
          <w:rFonts w:cs="Arial"/>
          <w:i/>
          <w:szCs w:val="22"/>
        </w:rPr>
        <w:t xml:space="preserve">Seagrass </w:t>
      </w:r>
      <w:r w:rsidR="00887319">
        <w:rPr>
          <w:rFonts w:cs="Arial"/>
          <w:i/>
          <w:szCs w:val="22"/>
        </w:rPr>
        <w:t xml:space="preserve">per cent </w:t>
      </w:r>
      <w:r w:rsidR="009F0873" w:rsidRPr="00FA314F">
        <w:rPr>
          <w:rFonts w:cs="Arial"/>
          <w:i/>
          <w:szCs w:val="22"/>
        </w:rPr>
        <w:t xml:space="preserve">cover measures per quadrat (sites pooled) and long-term trends, for each habitat monitored in the </w:t>
      </w:r>
      <w:r w:rsidR="009F0873" w:rsidRPr="00FA314F">
        <w:rPr>
          <w:rFonts w:cs="Arial"/>
          <w:i/>
          <w:color w:val="000000"/>
          <w:szCs w:val="22"/>
        </w:rPr>
        <w:t xml:space="preserve">northern Wet Tropics NRM </w:t>
      </w:r>
      <w:r w:rsidR="009F0873" w:rsidRPr="00FA314F">
        <w:rPr>
          <w:rFonts w:cs="Arial"/>
          <w:i/>
          <w:szCs w:val="22"/>
        </w:rPr>
        <w:t>region from 2001 to 201</w:t>
      </w:r>
      <w:r w:rsidR="00C22804" w:rsidRPr="00FA314F">
        <w:rPr>
          <w:rFonts w:cs="Arial"/>
          <w:i/>
          <w:szCs w:val="22"/>
        </w:rPr>
        <w:t>9</w:t>
      </w:r>
      <w:r w:rsidR="009F0873" w:rsidRPr="00FA314F">
        <w:rPr>
          <w:rFonts w:cs="Arial"/>
          <w:i/>
          <w:szCs w:val="22"/>
        </w:rPr>
        <w:t>.</w:t>
      </w:r>
      <w:bookmarkEnd w:id="367"/>
    </w:p>
    <w:p w14:paraId="66BBE842" w14:textId="1EB5F057" w:rsidR="00574C5B" w:rsidRPr="00FA314F" w:rsidRDefault="009F0873" w:rsidP="009F0873">
      <w:pPr>
        <w:rPr>
          <w:rFonts w:cs="Arial"/>
          <w:i/>
          <w:color w:val="000000"/>
          <w:szCs w:val="22"/>
        </w:rPr>
      </w:pPr>
      <w:r w:rsidRPr="00FA314F">
        <w:rPr>
          <w:rFonts w:cs="Arial"/>
          <w:i/>
          <w:szCs w:val="22"/>
          <w:lang w:val="en-GB"/>
        </w:rPr>
        <w:t xml:space="preserve"> Whisker plots (top) show th</w:t>
      </w:r>
      <w:r w:rsidRPr="00FA314F">
        <w:rPr>
          <w:rFonts w:cs="Arial"/>
          <w:i/>
          <w:szCs w:val="22"/>
        </w:rPr>
        <w:t>e box representing the interquartile range of values, where the boundary of the box closest to zero indicates the 25</w:t>
      </w:r>
      <w:r w:rsidRPr="00FA314F">
        <w:rPr>
          <w:rFonts w:cs="Arial"/>
          <w:i/>
          <w:szCs w:val="22"/>
          <w:vertAlign w:val="superscript"/>
        </w:rPr>
        <w:t>th</w:t>
      </w:r>
      <w:r w:rsidRPr="00FA314F">
        <w:rPr>
          <w:rFonts w:cs="Arial"/>
          <w:i/>
          <w:szCs w:val="22"/>
        </w:rPr>
        <w:t xml:space="preserve"> percentile, a line within the box marks the median, and the boundary of the box farthest from zero indicates the 75</w:t>
      </w:r>
      <w:r w:rsidRPr="00FA314F">
        <w:rPr>
          <w:rFonts w:cs="Arial"/>
          <w:i/>
          <w:szCs w:val="22"/>
          <w:vertAlign w:val="superscript"/>
        </w:rPr>
        <w:t>th</w:t>
      </w:r>
      <w:r w:rsidRPr="00FA314F">
        <w:rPr>
          <w:rFonts w:cs="Arial"/>
          <w:i/>
          <w:szCs w:val="22"/>
        </w:rPr>
        <w:t xml:space="preserve"> percentile. Whiskers (error bars) above and below the box indicate the 90</w:t>
      </w:r>
      <w:r w:rsidRPr="00FA314F">
        <w:rPr>
          <w:rFonts w:cs="Arial"/>
          <w:i/>
          <w:szCs w:val="22"/>
          <w:vertAlign w:val="superscript"/>
        </w:rPr>
        <w:t>th</w:t>
      </w:r>
      <w:r w:rsidRPr="00FA314F">
        <w:rPr>
          <w:rFonts w:cs="Arial"/>
          <w:i/>
          <w:szCs w:val="22"/>
        </w:rPr>
        <w:t xml:space="preserve"> and 10</w:t>
      </w:r>
      <w:r w:rsidRPr="00FA314F">
        <w:rPr>
          <w:rFonts w:cs="Arial"/>
          <w:i/>
          <w:szCs w:val="22"/>
          <w:vertAlign w:val="superscript"/>
        </w:rPr>
        <w:t>th</w:t>
      </w:r>
      <w:r w:rsidRPr="00FA314F">
        <w:rPr>
          <w:rFonts w:cs="Arial"/>
          <w:i/>
          <w:szCs w:val="22"/>
        </w:rPr>
        <w:t xml:space="preserve"> percentiles, and the dots represent outlying points.</w:t>
      </w:r>
      <w:r w:rsidRPr="00FA314F">
        <w:rPr>
          <w:rFonts w:cs="Arial"/>
          <w:i/>
          <w:szCs w:val="22"/>
          <w:lang w:val="en-GB"/>
        </w:rPr>
        <w:t xml:space="preserve"> </w:t>
      </w:r>
      <w:r w:rsidRPr="00FA314F">
        <w:rPr>
          <w:rFonts w:cs="Arial"/>
          <w:i/>
          <w:szCs w:val="22"/>
        </w:rPr>
        <w:t>GAMM plots (bottom), show trends for each habitat and coloured lines represent individual site trends.</w:t>
      </w:r>
    </w:p>
    <w:p w14:paraId="54AC3878" w14:textId="41FCAACA" w:rsidR="00CB5A6F" w:rsidRPr="00FA314F" w:rsidRDefault="00432814" w:rsidP="00255512">
      <w:pPr>
        <w:keepNext/>
        <w:widowControl w:val="0"/>
        <w:jc w:val="center"/>
        <w:rPr>
          <w:rFonts w:cs="Arial"/>
          <w:noProof/>
          <w:szCs w:val="22"/>
          <w:lang w:eastAsia="en-AU"/>
        </w:rPr>
      </w:pPr>
      <w:r w:rsidRPr="00FA314F">
        <w:rPr>
          <w:rFonts w:cs="Arial"/>
          <w:noProof/>
          <w:szCs w:val="22"/>
          <w:lang w:eastAsia="en-AU"/>
        </w:rPr>
        <w:lastRenderedPageBreak/>
        <w:drawing>
          <wp:inline distT="0" distB="0" distL="0" distR="0" wp14:anchorId="1530CF04" wp14:editId="2CF0D5F8">
            <wp:extent cx="5727700" cy="3079408"/>
            <wp:effectExtent l="0" t="0" r="6350" b="6985"/>
            <wp:docPr id="529" name="Picture 529" descr="Panel of six graphs, displayed in three by two matrix, showing seagrass percent cover measures per quadrat (sites pooled) for each habitat monitored from June 2005 to May 2019 in the southern Wet Tropics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per MMP_period boxplot_SWT_perHab_newformat-01.png"/>
                    <pic:cNvPicPr/>
                  </pic:nvPicPr>
                  <pic:blipFill>
                    <a:blip r:embed="rId94"/>
                    <a:stretch>
                      <a:fillRect/>
                    </a:stretch>
                  </pic:blipFill>
                  <pic:spPr>
                    <a:xfrm>
                      <a:off x="0" y="0"/>
                      <a:ext cx="5727700" cy="3079408"/>
                    </a:xfrm>
                    <a:prstGeom prst="rect">
                      <a:avLst/>
                    </a:prstGeom>
                  </pic:spPr>
                </pic:pic>
              </a:graphicData>
            </a:graphic>
          </wp:inline>
        </w:drawing>
      </w:r>
    </w:p>
    <w:p w14:paraId="73C30C58" w14:textId="3A88ABE1" w:rsidR="00A355AB" w:rsidRPr="00FA314F" w:rsidRDefault="00432814" w:rsidP="00A355AB">
      <w:pPr>
        <w:rPr>
          <w:rFonts w:cs="Arial"/>
          <w:i/>
          <w:vanish/>
          <w:szCs w:val="22"/>
          <w:specVanish/>
        </w:rPr>
      </w:pPr>
      <w:bookmarkStart w:id="368" w:name="_Ref533677820"/>
      <w:bookmarkStart w:id="369" w:name="_Toc38634145"/>
      <w:r w:rsidRPr="00FA314F">
        <w:rPr>
          <w:rFonts w:cs="Arial"/>
          <w:szCs w:val="22"/>
        </w:rPr>
        <w:t xml:space="preserve">Figure </w:t>
      </w:r>
      <w:r w:rsidR="00C47E25" w:rsidRPr="00FA314F">
        <w:rPr>
          <w:rFonts w:cs="Arial"/>
          <w:noProof/>
          <w:szCs w:val="22"/>
        </w:rPr>
        <w:fldChar w:fldCharType="begin"/>
      </w:r>
      <w:r w:rsidR="00C47E25" w:rsidRPr="00FA314F">
        <w:rPr>
          <w:rFonts w:cs="Arial"/>
          <w:noProof/>
          <w:szCs w:val="22"/>
        </w:rPr>
        <w:instrText xml:space="preserve"> SEQ Figure \* ARABIC </w:instrText>
      </w:r>
      <w:r w:rsidR="00C47E25" w:rsidRPr="00FA314F">
        <w:rPr>
          <w:rFonts w:cs="Arial"/>
          <w:noProof/>
          <w:szCs w:val="22"/>
        </w:rPr>
        <w:fldChar w:fldCharType="separate"/>
      </w:r>
      <w:r w:rsidR="0067675D">
        <w:rPr>
          <w:rFonts w:cs="Arial"/>
          <w:noProof/>
          <w:szCs w:val="22"/>
        </w:rPr>
        <w:t>41</w:t>
      </w:r>
      <w:r w:rsidR="00C47E25" w:rsidRPr="00FA314F">
        <w:rPr>
          <w:rFonts w:cs="Arial"/>
          <w:noProof/>
          <w:szCs w:val="22"/>
        </w:rPr>
        <w:fldChar w:fldCharType="end"/>
      </w:r>
      <w:bookmarkEnd w:id="368"/>
      <w:r w:rsidRPr="00FA314F">
        <w:rPr>
          <w:rFonts w:cs="Arial"/>
          <w:szCs w:val="22"/>
        </w:rPr>
        <w:t>.</w:t>
      </w:r>
      <w:r w:rsidR="00CB5A6F" w:rsidRPr="00FA314F">
        <w:rPr>
          <w:rFonts w:cs="Arial"/>
          <w:i/>
          <w:szCs w:val="22"/>
        </w:rPr>
        <w:t xml:space="preserve"> </w:t>
      </w:r>
      <w:r w:rsidR="00A355AB" w:rsidRPr="00FA314F">
        <w:rPr>
          <w:rFonts w:cs="Arial"/>
          <w:i/>
          <w:szCs w:val="22"/>
        </w:rPr>
        <w:t xml:space="preserve">Seagrass </w:t>
      </w:r>
      <w:r w:rsidR="00887319">
        <w:rPr>
          <w:rFonts w:cs="Arial"/>
          <w:i/>
          <w:szCs w:val="22"/>
        </w:rPr>
        <w:t xml:space="preserve">per cent </w:t>
      </w:r>
      <w:r w:rsidR="00A355AB" w:rsidRPr="00FA314F">
        <w:rPr>
          <w:rFonts w:cs="Arial"/>
          <w:i/>
          <w:szCs w:val="22"/>
        </w:rPr>
        <w:t>cover measures per quadrat (sites pooled) and long-term trends, for each habitat monitored in the sou</w:t>
      </w:r>
      <w:r w:rsidR="00A355AB" w:rsidRPr="00FA314F">
        <w:rPr>
          <w:rFonts w:cs="Arial"/>
          <w:i/>
          <w:color w:val="000000"/>
          <w:szCs w:val="22"/>
        </w:rPr>
        <w:t xml:space="preserve">thern Wet Tropics NRM </w:t>
      </w:r>
      <w:r w:rsidR="00A355AB" w:rsidRPr="00FA314F">
        <w:rPr>
          <w:rFonts w:cs="Arial"/>
          <w:i/>
          <w:szCs w:val="22"/>
        </w:rPr>
        <w:t>region from 2001 to 201</w:t>
      </w:r>
      <w:r w:rsidR="00C22804" w:rsidRPr="00FA314F">
        <w:rPr>
          <w:rFonts w:cs="Arial"/>
          <w:i/>
          <w:szCs w:val="22"/>
        </w:rPr>
        <w:t>9</w:t>
      </w:r>
      <w:r w:rsidR="00A355AB" w:rsidRPr="00FA314F">
        <w:rPr>
          <w:rFonts w:cs="Arial"/>
          <w:i/>
          <w:szCs w:val="22"/>
        </w:rPr>
        <w:t>.</w:t>
      </w:r>
      <w:bookmarkEnd w:id="369"/>
    </w:p>
    <w:p w14:paraId="6D8AA08C" w14:textId="1CBD8402" w:rsidR="00CB5A6F" w:rsidRPr="00FA314F" w:rsidRDefault="00A355AB" w:rsidP="00A355AB">
      <w:pPr>
        <w:rPr>
          <w:rFonts w:cs="Arial"/>
          <w:i/>
          <w:szCs w:val="22"/>
        </w:rPr>
      </w:pPr>
      <w:r w:rsidRPr="00FA314F">
        <w:rPr>
          <w:rFonts w:cs="Arial"/>
          <w:i/>
          <w:szCs w:val="22"/>
        </w:rPr>
        <w:t xml:space="preserve"> Whisker plots (top) show the box representing the interquartile range of values, where the boundary of the box closest to zero indicates the 25</w:t>
      </w:r>
      <w:r w:rsidRPr="00FA314F">
        <w:rPr>
          <w:rFonts w:cs="Arial"/>
          <w:i/>
          <w:szCs w:val="22"/>
          <w:vertAlign w:val="superscript"/>
        </w:rPr>
        <w:t>th</w:t>
      </w:r>
      <w:r w:rsidRPr="00FA314F">
        <w:rPr>
          <w:rFonts w:cs="Arial"/>
          <w:i/>
          <w:szCs w:val="22"/>
        </w:rPr>
        <w:t xml:space="preserve"> percentile, a line within the box marks the median, and the boundary of the box farthest from zero indicates the 75</w:t>
      </w:r>
      <w:r w:rsidRPr="00FA314F">
        <w:rPr>
          <w:rFonts w:cs="Arial"/>
          <w:i/>
          <w:szCs w:val="22"/>
          <w:vertAlign w:val="superscript"/>
        </w:rPr>
        <w:t>th</w:t>
      </w:r>
      <w:r w:rsidRPr="00FA314F">
        <w:rPr>
          <w:rFonts w:cs="Arial"/>
          <w:i/>
          <w:szCs w:val="22"/>
        </w:rPr>
        <w:t xml:space="preserve"> percentile. Whiskers (error bars) above and below the box indicate the 90</w:t>
      </w:r>
      <w:r w:rsidRPr="00FA314F">
        <w:rPr>
          <w:rFonts w:cs="Arial"/>
          <w:i/>
          <w:szCs w:val="22"/>
          <w:vertAlign w:val="superscript"/>
        </w:rPr>
        <w:t>th</w:t>
      </w:r>
      <w:r w:rsidRPr="00FA314F">
        <w:rPr>
          <w:rFonts w:cs="Arial"/>
          <w:i/>
          <w:szCs w:val="22"/>
        </w:rPr>
        <w:t xml:space="preserve"> and 10</w:t>
      </w:r>
      <w:r w:rsidRPr="00FA314F">
        <w:rPr>
          <w:rFonts w:cs="Arial"/>
          <w:i/>
          <w:szCs w:val="22"/>
          <w:vertAlign w:val="superscript"/>
        </w:rPr>
        <w:t>th</w:t>
      </w:r>
      <w:r w:rsidRPr="00FA314F">
        <w:rPr>
          <w:rFonts w:cs="Arial"/>
          <w:i/>
          <w:szCs w:val="22"/>
        </w:rPr>
        <w:t xml:space="preserve"> percentiles, and the dots represent outlying points. GAMM plots (bottom), show trends for each habitat and coloured lines represent individual site trends</w:t>
      </w:r>
      <w:r w:rsidR="00CB5A6F" w:rsidRPr="00FA314F">
        <w:rPr>
          <w:rFonts w:cs="Arial"/>
          <w:i/>
          <w:szCs w:val="22"/>
        </w:rPr>
        <w:t>.</w:t>
      </w:r>
    </w:p>
    <w:p w14:paraId="5AA76B41" w14:textId="1044CA3F" w:rsidR="00255512" w:rsidRPr="00FA314F" w:rsidRDefault="00255512" w:rsidP="00A50DBF">
      <w:pPr>
        <w:rPr>
          <w:rFonts w:cs="Arial"/>
          <w:szCs w:val="22"/>
        </w:rPr>
      </w:pPr>
      <w:r w:rsidRPr="00FA314F">
        <w:rPr>
          <w:rFonts w:cs="Arial"/>
          <w:szCs w:val="22"/>
        </w:rPr>
        <w:t xml:space="preserve">The proportion of seagrass species displaying colonising traits varied </w:t>
      </w:r>
      <w:r w:rsidR="00A50DBF" w:rsidRPr="00FA314F">
        <w:rPr>
          <w:rFonts w:cs="Arial"/>
          <w:szCs w:val="22"/>
        </w:rPr>
        <w:t>across</w:t>
      </w:r>
      <w:r w:rsidRPr="00FA314F">
        <w:rPr>
          <w:rFonts w:cs="Arial"/>
          <w:szCs w:val="22"/>
        </w:rPr>
        <w:t xml:space="preserve"> habitats in the northern Wet Tropics</w:t>
      </w:r>
      <w:r w:rsidR="00A50DBF" w:rsidRPr="00FA314F">
        <w:rPr>
          <w:rFonts w:cs="Arial"/>
          <w:szCs w:val="22"/>
        </w:rPr>
        <w:t xml:space="preserve"> (</w:t>
      </w:r>
      <w:r w:rsidR="00A50DBF" w:rsidRPr="00FA314F">
        <w:rPr>
          <w:rFonts w:cs="Arial"/>
          <w:szCs w:val="22"/>
        </w:rPr>
        <w:fldChar w:fldCharType="begin"/>
      </w:r>
      <w:r w:rsidR="00A50DBF" w:rsidRPr="00FA314F">
        <w:rPr>
          <w:rFonts w:cs="Arial"/>
          <w:szCs w:val="22"/>
        </w:rPr>
        <w:instrText xml:space="preserve"> REF _Ref380401548 \h </w:instrText>
      </w:r>
      <w:r w:rsidR="00CB093C" w:rsidRPr="00FA314F">
        <w:rPr>
          <w:rFonts w:cs="Arial"/>
          <w:szCs w:val="22"/>
        </w:rPr>
        <w:instrText xml:space="preserve"> \* MERGEFORMAT </w:instrText>
      </w:r>
      <w:r w:rsidR="00A50DBF" w:rsidRPr="00FA314F">
        <w:rPr>
          <w:rFonts w:cs="Arial"/>
          <w:szCs w:val="22"/>
        </w:rPr>
      </w:r>
      <w:r w:rsidR="00A50DBF" w:rsidRPr="00FA314F">
        <w:rPr>
          <w:rFonts w:cs="Arial"/>
          <w:szCs w:val="22"/>
        </w:rPr>
        <w:fldChar w:fldCharType="separate"/>
      </w:r>
      <w:r w:rsidR="0067675D" w:rsidRPr="00FA314F">
        <w:rPr>
          <w:rFonts w:cs="Arial"/>
          <w:szCs w:val="22"/>
        </w:rPr>
        <w:t xml:space="preserve">Figure </w:t>
      </w:r>
      <w:r w:rsidR="0067675D">
        <w:rPr>
          <w:rFonts w:cs="Arial"/>
          <w:noProof/>
          <w:szCs w:val="22"/>
        </w:rPr>
        <w:t>42</w:t>
      </w:r>
      <w:r w:rsidR="00A50DBF" w:rsidRPr="00FA314F">
        <w:rPr>
          <w:rFonts w:cs="Arial"/>
          <w:szCs w:val="22"/>
        </w:rPr>
        <w:fldChar w:fldCharType="end"/>
      </w:r>
      <w:r w:rsidR="00A50DBF" w:rsidRPr="00FA314F">
        <w:rPr>
          <w:rFonts w:cs="Arial"/>
          <w:szCs w:val="22"/>
        </w:rPr>
        <w:t>)</w:t>
      </w:r>
      <w:r w:rsidRPr="00FA314F">
        <w:rPr>
          <w:rFonts w:cs="Arial"/>
          <w:szCs w:val="22"/>
        </w:rPr>
        <w:t xml:space="preserve">. </w:t>
      </w:r>
      <w:r w:rsidR="00EC7C5F" w:rsidRPr="00FA314F">
        <w:rPr>
          <w:rFonts w:cs="Arial"/>
          <w:szCs w:val="22"/>
        </w:rPr>
        <w:t xml:space="preserve">In </w:t>
      </w:r>
      <w:r w:rsidR="00956639" w:rsidRPr="00FA314F">
        <w:rPr>
          <w:rFonts w:cs="Arial"/>
          <w:szCs w:val="22"/>
        </w:rPr>
        <w:t>2018–19</w:t>
      </w:r>
      <w:r w:rsidR="001E0C9A">
        <w:rPr>
          <w:rFonts w:cs="Arial"/>
          <w:szCs w:val="22"/>
        </w:rPr>
        <w:t xml:space="preserve"> the proportion de</w:t>
      </w:r>
      <w:r w:rsidR="00EC7C5F" w:rsidRPr="00FA314F">
        <w:rPr>
          <w:rFonts w:cs="Arial"/>
          <w:szCs w:val="22"/>
        </w:rPr>
        <w:t xml:space="preserve">creased slightly at coastal intertidal habitats (Yule Point), suggesting </w:t>
      </w:r>
      <w:r w:rsidR="001E0C9A">
        <w:rPr>
          <w:rFonts w:cs="Arial"/>
          <w:szCs w:val="22"/>
        </w:rPr>
        <w:t>some recovery and reduced</w:t>
      </w:r>
      <w:r w:rsidR="00EC7C5F" w:rsidRPr="00FA314F">
        <w:rPr>
          <w:rFonts w:cs="Arial"/>
          <w:szCs w:val="22"/>
        </w:rPr>
        <w:t xml:space="preserve"> physical disturbance. </w:t>
      </w:r>
      <w:r w:rsidRPr="00FA314F">
        <w:rPr>
          <w:rFonts w:cs="Arial"/>
          <w:szCs w:val="22"/>
        </w:rPr>
        <w:t>Between 2010 and 2014, all habitats were either dominated or had higher tha</w:t>
      </w:r>
      <w:r w:rsidR="00A50DBF" w:rsidRPr="00FA314F">
        <w:rPr>
          <w:rFonts w:cs="Arial"/>
          <w:szCs w:val="22"/>
        </w:rPr>
        <w:t xml:space="preserve">n the </w:t>
      </w:r>
      <w:r w:rsidR="003158FC" w:rsidRPr="00FA314F">
        <w:rPr>
          <w:rFonts w:cs="Arial"/>
          <w:szCs w:val="22"/>
        </w:rPr>
        <w:t>Reef</w:t>
      </w:r>
      <w:r w:rsidR="00C63FF1" w:rsidRPr="00FA314F">
        <w:rPr>
          <w:rFonts w:cs="Arial"/>
          <w:szCs w:val="22"/>
        </w:rPr>
        <w:t>-</w:t>
      </w:r>
      <w:r w:rsidR="00A50DBF" w:rsidRPr="00FA314F">
        <w:rPr>
          <w:rFonts w:cs="Arial"/>
          <w:szCs w:val="22"/>
        </w:rPr>
        <w:t xml:space="preserve">average of species displaying colonising traits. Post 2014, the composition of species displaying colonising traits has fallen below the </w:t>
      </w:r>
      <w:r w:rsidR="00EC7C5F" w:rsidRPr="00FA314F">
        <w:rPr>
          <w:rFonts w:cs="Arial"/>
          <w:szCs w:val="22"/>
        </w:rPr>
        <w:t xml:space="preserve">Reef-wide </w:t>
      </w:r>
      <w:r w:rsidR="00A50DBF" w:rsidRPr="00FA314F">
        <w:rPr>
          <w:rFonts w:cs="Arial"/>
          <w:szCs w:val="22"/>
        </w:rPr>
        <w:t xml:space="preserve">average, with the exception of reef subtidal habitats. </w:t>
      </w:r>
    </w:p>
    <w:p w14:paraId="4E7A0579" w14:textId="77777777" w:rsidR="001E0C9A" w:rsidRPr="001E0C9A" w:rsidRDefault="001E0C9A" w:rsidP="001E0C9A">
      <w:pPr>
        <w:keepNext/>
        <w:widowControl w:val="0"/>
        <w:jc w:val="center"/>
        <w:rPr>
          <w:rFonts w:cs="Arial"/>
          <w:color w:val="000000"/>
          <w:szCs w:val="22"/>
        </w:rPr>
      </w:pPr>
      <w:r w:rsidRPr="00FA314F">
        <w:rPr>
          <w:rFonts w:cs="Arial"/>
          <w:noProof/>
          <w:color w:val="000000"/>
          <w:szCs w:val="22"/>
          <w:lang w:eastAsia="en-AU"/>
        </w:rPr>
        <w:lastRenderedPageBreak/>
        <w:drawing>
          <wp:inline distT="0" distB="0" distL="0" distR="0" wp14:anchorId="3C424418" wp14:editId="1BE5EB5F">
            <wp:extent cx="5190360" cy="1864800"/>
            <wp:effectExtent l="0" t="0" r="0" b="2540"/>
            <wp:docPr id="315" name="Picture 315" descr="Panel of three graphs showing proportion of total seagrass abundance composed of species displaying colonising traits (e.g. Halophila ovalis) in each inshore seagrass habitat (sites pooled) in the northern Wet Tropics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WT_colonising_2016.png"/>
                    <pic:cNvPicPr/>
                  </pic:nvPicPr>
                  <pic:blipFill>
                    <a:blip r:embed="rId95"/>
                    <a:stretch>
                      <a:fillRect/>
                    </a:stretch>
                  </pic:blipFill>
                  <pic:spPr>
                    <a:xfrm>
                      <a:off x="0" y="0"/>
                      <a:ext cx="5190360" cy="1864800"/>
                    </a:xfrm>
                    <a:prstGeom prst="rect">
                      <a:avLst/>
                    </a:prstGeom>
                  </pic:spPr>
                </pic:pic>
              </a:graphicData>
            </a:graphic>
          </wp:inline>
        </w:drawing>
      </w:r>
    </w:p>
    <w:p w14:paraId="7FBB4860" w14:textId="78978A69" w:rsidR="001E0C9A" w:rsidRPr="00FA314F" w:rsidRDefault="001E0C9A" w:rsidP="001E0C9A">
      <w:pPr>
        <w:rPr>
          <w:rFonts w:cs="Arial"/>
          <w:i/>
          <w:iCs/>
          <w:vanish/>
          <w:szCs w:val="22"/>
          <w:lang w:eastAsia="en-AU"/>
          <w:specVanish/>
        </w:rPr>
      </w:pPr>
      <w:bookmarkStart w:id="370" w:name="_Ref380401548"/>
      <w:bookmarkStart w:id="371" w:name="_Toc38634146"/>
      <w:r w:rsidRPr="00FA314F">
        <w:rPr>
          <w:rFonts w:cs="Arial"/>
          <w:szCs w:val="22"/>
        </w:rPr>
        <w:t xml:space="preserve">Figure </w:t>
      </w:r>
      <w:r w:rsidRPr="00FA314F">
        <w:rPr>
          <w:rFonts w:cs="Arial"/>
          <w:noProof/>
          <w:szCs w:val="22"/>
        </w:rPr>
        <w:fldChar w:fldCharType="begin"/>
      </w:r>
      <w:r w:rsidRPr="00FA314F">
        <w:rPr>
          <w:rFonts w:cs="Arial"/>
          <w:noProof/>
          <w:szCs w:val="22"/>
        </w:rPr>
        <w:instrText xml:space="preserve"> SEQ Figure \* ARABIC </w:instrText>
      </w:r>
      <w:r w:rsidRPr="00FA314F">
        <w:rPr>
          <w:rFonts w:cs="Arial"/>
          <w:noProof/>
          <w:szCs w:val="22"/>
        </w:rPr>
        <w:fldChar w:fldCharType="separate"/>
      </w:r>
      <w:r w:rsidR="0067675D">
        <w:rPr>
          <w:rFonts w:cs="Arial"/>
          <w:noProof/>
          <w:szCs w:val="22"/>
        </w:rPr>
        <w:t>42</w:t>
      </w:r>
      <w:r w:rsidRPr="00FA314F">
        <w:rPr>
          <w:rFonts w:cs="Arial"/>
          <w:noProof/>
          <w:szCs w:val="22"/>
        </w:rPr>
        <w:fldChar w:fldCharType="end"/>
      </w:r>
      <w:bookmarkEnd w:id="370"/>
      <w:r w:rsidRPr="00FA314F">
        <w:rPr>
          <w:rFonts w:cs="Arial"/>
          <w:szCs w:val="22"/>
        </w:rPr>
        <w:t xml:space="preserve">. </w:t>
      </w:r>
      <w:r w:rsidRPr="00FA314F">
        <w:rPr>
          <w:rFonts w:cs="Arial"/>
          <w:i/>
          <w:szCs w:val="22"/>
        </w:rPr>
        <w:t>Proportion of seagrass abundance composed of colonising species at inshore habitats in the northern Wet Tropics region, from the 2000–2001 to the 2018–19 reporting periods.</w:t>
      </w:r>
      <w:bookmarkEnd w:id="371"/>
      <w:r w:rsidRPr="00FA314F">
        <w:rPr>
          <w:rFonts w:cs="Arial"/>
          <w:i/>
          <w:szCs w:val="22"/>
          <w:lang w:eastAsia="en-AU"/>
        </w:rPr>
        <w:t xml:space="preserve"> </w:t>
      </w:r>
    </w:p>
    <w:p w14:paraId="4ED48887" w14:textId="7C20227F" w:rsidR="001E0C9A" w:rsidRPr="00FA314F" w:rsidRDefault="001E0C9A" w:rsidP="001E0C9A">
      <w:pPr>
        <w:rPr>
          <w:rFonts w:cs="Arial"/>
          <w:szCs w:val="22"/>
        </w:rPr>
      </w:pPr>
      <w:r w:rsidRPr="00FA314F">
        <w:rPr>
          <w:rFonts w:cs="Arial"/>
          <w:i/>
          <w:szCs w:val="22"/>
          <w:lang w:eastAsia="en-AU"/>
        </w:rPr>
        <w:t xml:space="preserve"> </w:t>
      </w:r>
      <w:r w:rsidRPr="00FA314F">
        <w:rPr>
          <w:rFonts w:cs="Arial"/>
          <w:i/>
          <w:szCs w:val="22"/>
        </w:rPr>
        <w:t>The dashed line represents the Reef-wide average for each habitat type.</w:t>
      </w:r>
    </w:p>
    <w:p w14:paraId="5A372C18" w14:textId="77777777" w:rsidR="001E0C9A" w:rsidRDefault="001E0C9A" w:rsidP="00D03E97">
      <w:pPr>
        <w:rPr>
          <w:rFonts w:cs="Arial"/>
          <w:szCs w:val="22"/>
        </w:rPr>
      </w:pPr>
    </w:p>
    <w:p w14:paraId="0A5822DF" w14:textId="103E8FF1" w:rsidR="00A50DBF" w:rsidRPr="00FA314F" w:rsidRDefault="00A50DBF" w:rsidP="001E0C9A">
      <w:pPr>
        <w:rPr>
          <w:rFonts w:cs="Arial"/>
          <w:szCs w:val="22"/>
        </w:rPr>
      </w:pPr>
      <w:r w:rsidRPr="00FA314F">
        <w:rPr>
          <w:rFonts w:cs="Arial"/>
          <w:szCs w:val="22"/>
        </w:rPr>
        <w:t>In the southern Wet Tropics, the proportion of seagrass species displaying colonising traits has similarly varied across habitats (</w:t>
      </w:r>
      <w:r w:rsidRPr="00FA314F">
        <w:rPr>
          <w:rFonts w:cs="Arial"/>
          <w:szCs w:val="22"/>
        </w:rPr>
        <w:fldChar w:fldCharType="begin"/>
      </w:r>
      <w:r w:rsidRPr="00FA314F">
        <w:rPr>
          <w:rFonts w:cs="Arial"/>
          <w:szCs w:val="22"/>
        </w:rPr>
        <w:instrText xml:space="preserve"> REF _Ref533679340 \h </w:instrText>
      </w:r>
      <w:r w:rsidR="00CB093C" w:rsidRPr="00FA314F">
        <w:rPr>
          <w:rFonts w:cs="Arial"/>
          <w:szCs w:val="22"/>
        </w:rPr>
        <w:instrText xml:space="preserve"> \* MERGEFORMAT </w:instrText>
      </w:r>
      <w:r w:rsidRPr="00FA314F">
        <w:rPr>
          <w:rFonts w:cs="Arial"/>
          <w:szCs w:val="22"/>
        </w:rPr>
      </w:r>
      <w:r w:rsidRPr="00FA314F">
        <w:rPr>
          <w:rFonts w:cs="Arial"/>
          <w:szCs w:val="22"/>
        </w:rPr>
        <w:fldChar w:fldCharType="separate"/>
      </w:r>
      <w:r w:rsidR="0067675D" w:rsidRPr="00FA314F">
        <w:rPr>
          <w:rFonts w:cs="Arial"/>
          <w:szCs w:val="22"/>
        </w:rPr>
        <w:t xml:space="preserve">Figure </w:t>
      </w:r>
      <w:r w:rsidR="0067675D">
        <w:rPr>
          <w:rFonts w:cs="Arial"/>
          <w:noProof/>
          <w:szCs w:val="22"/>
        </w:rPr>
        <w:t>43</w:t>
      </w:r>
      <w:r w:rsidRPr="00FA314F">
        <w:rPr>
          <w:rFonts w:cs="Arial"/>
          <w:szCs w:val="22"/>
        </w:rPr>
        <w:fldChar w:fldCharType="end"/>
      </w:r>
      <w:r w:rsidRPr="00FA314F">
        <w:rPr>
          <w:rFonts w:cs="Arial"/>
          <w:szCs w:val="22"/>
        </w:rPr>
        <w:t xml:space="preserve">). In </w:t>
      </w:r>
      <w:r w:rsidR="00635304" w:rsidRPr="00FA314F">
        <w:rPr>
          <w:rFonts w:cs="Arial"/>
          <w:szCs w:val="22"/>
        </w:rPr>
        <w:t>2018–19</w:t>
      </w:r>
      <w:r w:rsidRPr="00FA314F">
        <w:rPr>
          <w:rFonts w:cs="Arial"/>
          <w:szCs w:val="22"/>
        </w:rPr>
        <w:t xml:space="preserve"> the proportion of seagrass species displaying colonising traits increased </w:t>
      </w:r>
      <w:r w:rsidR="001E0C9A">
        <w:rPr>
          <w:rFonts w:cs="Arial"/>
          <w:szCs w:val="22"/>
        </w:rPr>
        <w:t xml:space="preserve">at coastal intertidal </w:t>
      </w:r>
      <w:r w:rsidR="007A70FE" w:rsidRPr="00FA314F">
        <w:rPr>
          <w:rFonts w:cs="Arial"/>
          <w:szCs w:val="22"/>
        </w:rPr>
        <w:t>habitats</w:t>
      </w:r>
      <w:r w:rsidR="00FB30BA">
        <w:rPr>
          <w:rFonts w:cs="Arial"/>
          <w:szCs w:val="22"/>
        </w:rPr>
        <w:t>,</w:t>
      </w:r>
      <w:r w:rsidRPr="00FA314F">
        <w:rPr>
          <w:rFonts w:cs="Arial"/>
          <w:szCs w:val="22"/>
        </w:rPr>
        <w:t xml:space="preserve"> </w:t>
      </w:r>
      <w:r w:rsidR="001E0C9A" w:rsidRPr="00FA314F">
        <w:rPr>
          <w:rFonts w:cs="Arial"/>
          <w:szCs w:val="22"/>
        </w:rPr>
        <w:t xml:space="preserve">suggesting </w:t>
      </w:r>
      <w:r w:rsidR="003A03FE">
        <w:rPr>
          <w:rFonts w:cs="Arial"/>
          <w:szCs w:val="22"/>
        </w:rPr>
        <w:t>increase</w:t>
      </w:r>
      <w:r w:rsidR="00FB30BA">
        <w:rPr>
          <w:rFonts w:cs="Arial"/>
          <w:szCs w:val="22"/>
        </w:rPr>
        <w:t>d levels of</w:t>
      </w:r>
      <w:r w:rsidR="001E0C9A" w:rsidRPr="00FA314F">
        <w:rPr>
          <w:rFonts w:cs="Arial"/>
          <w:szCs w:val="22"/>
        </w:rPr>
        <w:t xml:space="preserve"> physical disturbance</w:t>
      </w:r>
      <w:r w:rsidR="001E0C9A">
        <w:rPr>
          <w:rFonts w:cs="Arial"/>
          <w:szCs w:val="22"/>
        </w:rPr>
        <w:t xml:space="preserve">. However, at all other habitats the proportion of colonisers remained below the </w:t>
      </w:r>
      <w:r w:rsidR="001E0C9A" w:rsidRPr="00FA314F">
        <w:rPr>
          <w:rFonts w:cs="Arial"/>
          <w:szCs w:val="22"/>
        </w:rPr>
        <w:t>Reef-wide average</w:t>
      </w:r>
      <w:r w:rsidR="001E0C9A">
        <w:rPr>
          <w:rFonts w:cs="Arial"/>
          <w:szCs w:val="22"/>
        </w:rPr>
        <w:t xml:space="preserve"> indicating a recovery </w:t>
      </w:r>
      <w:r w:rsidR="003371EC">
        <w:rPr>
          <w:rFonts w:cs="Arial"/>
          <w:szCs w:val="22"/>
        </w:rPr>
        <w:t>trajectory</w:t>
      </w:r>
      <w:r w:rsidR="00D03E97" w:rsidRPr="00FA314F">
        <w:rPr>
          <w:rFonts w:cs="Arial"/>
          <w:szCs w:val="22"/>
        </w:rPr>
        <w:t>.</w:t>
      </w:r>
    </w:p>
    <w:p w14:paraId="789E92B4" w14:textId="2A32FFC5" w:rsidR="00135537" w:rsidRPr="00FA314F" w:rsidRDefault="00135537" w:rsidP="0015251F">
      <w:pPr>
        <w:rPr>
          <w:rFonts w:cs="Arial"/>
          <w:szCs w:val="22"/>
        </w:rPr>
      </w:pPr>
    </w:p>
    <w:p w14:paraId="499267DD" w14:textId="77777777" w:rsidR="00135537" w:rsidRPr="00FA314F" w:rsidRDefault="00135537" w:rsidP="00135537">
      <w:pPr>
        <w:keepNext/>
        <w:widowControl w:val="0"/>
        <w:jc w:val="center"/>
        <w:rPr>
          <w:rFonts w:cs="Arial"/>
          <w:color w:val="000000"/>
          <w:szCs w:val="22"/>
        </w:rPr>
      </w:pPr>
      <w:r w:rsidRPr="00FA314F">
        <w:rPr>
          <w:rFonts w:cs="Arial"/>
          <w:noProof/>
          <w:color w:val="000000"/>
          <w:szCs w:val="22"/>
          <w:lang w:eastAsia="en-AU"/>
        </w:rPr>
        <w:drawing>
          <wp:inline distT="0" distB="0" distL="0" distR="0" wp14:anchorId="62E70D39" wp14:editId="50EE19F2">
            <wp:extent cx="5948358" cy="1629687"/>
            <wp:effectExtent l="0" t="0" r="0" b="8890"/>
            <wp:docPr id="531" name="Picture 531" descr="Panel of four graphs showing proportion of total seagrass abundance composed of species displaying colonising traits (e.g. Halophila ovalis) in each inshore seagrass habitat (sites pooled) in the southern Wet Tropics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WT_colonising_2016.png"/>
                    <pic:cNvPicPr/>
                  </pic:nvPicPr>
                  <pic:blipFill>
                    <a:blip r:embed="rId96"/>
                    <a:stretch>
                      <a:fillRect/>
                    </a:stretch>
                  </pic:blipFill>
                  <pic:spPr>
                    <a:xfrm>
                      <a:off x="0" y="0"/>
                      <a:ext cx="5948358" cy="1629687"/>
                    </a:xfrm>
                    <a:prstGeom prst="rect">
                      <a:avLst/>
                    </a:prstGeom>
                  </pic:spPr>
                </pic:pic>
              </a:graphicData>
            </a:graphic>
          </wp:inline>
        </w:drawing>
      </w:r>
    </w:p>
    <w:p w14:paraId="10A75F02" w14:textId="35CFF27A" w:rsidR="00135537" w:rsidRPr="00FA314F" w:rsidRDefault="00135537" w:rsidP="00135537">
      <w:pPr>
        <w:rPr>
          <w:rFonts w:cs="Arial"/>
          <w:i/>
          <w:iCs/>
          <w:vanish/>
          <w:szCs w:val="22"/>
          <w:lang w:eastAsia="en-AU"/>
          <w:specVanish/>
        </w:rPr>
      </w:pPr>
      <w:bookmarkStart w:id="372" w:name="_Ref533679340"/>
      <w:bookmarkStart w:id="373" w:name="_Toc38634147"/>
      <w:r w:rsidRPr="00FA314F">
        <w:rPr>
          <w:rFonts w:cs="Arial"/>
          <w:szCs w:val="22"/>
        </w:rPr>
        <w:t xml:space="preserve">Figure </w:t>
      </w:r>
      <w:r w:rsidRPr="00FA314F">
        <w:rPr>
          <w:rFonts w:cs="Arial"/>
          <w:szCs w:val="22"/>
        </w:rPr>
        <w:fldChar w:fldCharType="begin"/>
      </w:r>
      <w:r w:rsidRPr="00FA314F">
        <w:rPr>
          <w:rFonts w:cs="Arial"/>
          <w:szCs w:val="22"/>
        </w:rPr>
        <w:instrText xml:space="preserve"> SEQ Figure \* ARABIC </w:instrText>
      </w:r>
      <w:r w:rsidRPr="00FA314F">
        <w:rPr>
          <w:rFonts w:cs="Arial"/>
          <w:szCs w:val="22"/>
        </w:rPr>
        <w:fldChar w:fldCharType="separate"/>
      </w:r>
      <w:r w:rsidR="0067675D">
        <w:rPr>
          <w:rFonts w:cs="Arial"/>
          <w:noProof/>
          <w:szCs w:val="22"/>
        </w:rPr>
        <w:t>43</w:t>
      </w:r>
      <w:r w:rsidRPr="00FA314F">
        <w:rPr>
          <w:rFonts w:cs="Arial"/>
          <w:szCs w:val="22"/>
        </w:rPr>
        <w:fldChar w:fldCharType="end"/>
      </w:r>
      <w:bookmarkEnd w:id="372"/>
      <w:r w:rsidRPr="00FA314F">
        <w:rPr>
          <w:rFonts w:cs="Arial"/>
          <w:szCs w:val="22"/>
        </w:rPr>
        <w:t xml:space="preserve">. </w:t>
      </w:r>
      <w:r w:rsidRPr="00FA314F">
        <w:rPr>
          <w:rFonts w:cs="Arial"/>
          <w:i/>
          <w:szCs w:val="22"/>
        </w:rPr>
        <w:t xml:space="preserve">Proportion of seagrass abundance composed of colonising species at inshore habitats in the </w:t>
      </w:r>
      <w:r w:rsidR="00255512" w:rsidRPr="00FA314F">
        <w:rPr>
          <w:rFonts w:cs="Arial"/>
          <w:i/>
          <w:szCs w:val="22"/>
        </w:rPr>
        <w:t xml:space="preserve">southern </w:t>
      </w:r>
      <w:r w:rsidRPr="00FA314F">
        <w:rPr>
          <w:rFonts w:cs="Arial"/>
          <w:i/>
          <w:szCs w:val="22"/>
        </w:rPr>
        <w:t>Wet Tropics region, from the 2000</w:t>
      </w:r>
      <w:r w:rsidR="009203FC" w:rsidRPr="00FA314F">
        <w:rPr>
          <w:rFonts w:cs="Arial"/>
          <w:i/>
          <w:szCs w:val="22"/>
        </w:rPr>
        <w:t>–20</w:t>
      </w:r>
      <w:r w:rsidRPr="00FA314F">
        <w:rPr>
          <w:rFonts w:cs="Arial"/>
          <w:i/>
          <w:szCs w:val="22"/>
        </w:rPr>
        <w:t xml:space="preserve">01 to the </w:t>
      </w:r>
      <w:r w:rsidR="003654C6" w:rsidRPr="00FA314F">
        <w:rPr>
          <w:rFonts w:cs="Arial"/>
          <w:i/>
          <w:szCs w:val="22"/>
        </w:rPr>
        <w:t>201</w:t>
      </w:r>
      <w:r w:rsidR="00C22804" w:rsidRPr="00FA314F">
        <w:rPr>
          <w:rFonts w:cs="Arial"/>
          <w:i/>
          <w:szCs w:val="22"/>
        </w:rPr>
        <w:t>8</w:t>
      </w:r>
      <w:r w:rsidR="003654C6" w:rsidRPr="00FA314F">
        <w:rPr>
          <w:rFonts w:cs="Arial"/>
          <w:i/>
          <w:szCs w:val="22"/>
        </w:rPr>
        <w:t>–1</w:t>
      </w:r>
      <w:r w:rsidR="00C22804" w:rsidRPr="00FA314F">
        <w:rPr>
          <w:rFonts w:cs="Arial"/>
          <w:i/>
          <w:szCs w:val="22"/>
        </w:rPr>
        <w:t>9</w:t>
      </w:r>
      <w:r w:rsidRPr="00FA314F">
        <w:rPr>
          <w:rFonts w:cs="Arial"/>
          <w:i/>
          <w:szCs w:val="22"/>
        </w:rPr>
        <w:t xml:space="preserve"> reporting periods.</w:t>
      </w:r>
      <w:bookmarkEnd w:id="373"/>
      <w:r w:rsidRPr="00FA314F">
        <w:rPr>
          <w:rFonts w:cs="Arial"/>
          <w:i/>
          <w:szCs w:val="22"/>
          <w:lang w:eastAsia="en-AU"/>
        </w:rPr>
        <w:t xml:space="preserve"> </w:t>
      </w:r>
    </w:p>
    <w:p w14:paraId="7FF486DF" w14:textId="5A00D188" w:rsidR="00135537" w:rsidRPr="00FA314F" w:rsidRDefault="00135537" w:rsidP="00135537">
      <w:pPr>
        <w:rPr>
          <w:rFonts w:cs="Arial"/>
          <w:i/>
          <w:vanish/>
          <w:szCs w:val="22"/>
        </w:rPr>
      </w:pPr>
      <w:r w:rsidRPr="00FA314F">
        <w:rPr>
          <w:rFonts w:cs="Arial"/>
          <w:i/>
          <w:szCs w:val="22"/>
          <w:lang w:eastAsia="en-AU"/>
        </w:rPr>
        <w:t xml:space="preserve"> </w:t>
      </w:r>
      <w:r w:rsidRPr="00FA314F">
        <w:rPr>
          <w:rFonts w:cs="Arial"/>
          <w:i/>
          <w:szCs w:val="22"/>
        </w:rPr>
        <w:t xml:space="preserve">The dashed line represents the </w:t>
      </w:r>
      <w:r w:rsidR="003158FC" w:rsidRPr="00FA314F">
        <w:rPr>
          <w:rFonts w:cs="Arial"/>
          <w:i/>
          <w:szCs w:val="22"/>
        </w:rPr>
        <w:t>Reef</w:t>
      </w:r>
      <w:r w:rsidRPr="00FA314F">
        <w:rPr>
          <w:rFonts w:cs="Arial"/>
          <w:i/>
          <w:szCs w:val="22"/>
        </w:rPr>
        <w:t>-wide average for each habitat type.</w:t>
      </w:r>
      <w:r w:rsidRPr="00FA314F">
        <w:rPr>
          <w:rFonts w:cs="Arial"/>
          <w:szCs w:val="22"/>
        </w:rPr>
        <w:t xml:space="preserve"> </w:t>
      </w:r>
    </w:p>
    <w:p w14:paraId="018AEC28" w14:textId="77777777" w:rsidR="00135537" w:rsidRPr="00FA314F" w:rsidRDefault="00135537" w:rsidP="0015251F">
      <w:pPr>
        <w:rPr>
          <w:rFonts w:cs="Arial"/>
          <w:szCs w:val="22"/>
        </w:rPr>
      </w:pPr>
    </w:p>
    <w:p w14:paraId="598F853C" w14:textId="600ED8CF" w:rsidR="001B6AA0" w:rsidRPr="00FA314F" w:rsidRDefault="005373CC" w:rsidP="00907D11">
      <w:pPr>
        <w:rPr>
          <w:rFonts w:cs="Arial"/>
          <w:szCs w:val="22"/>
          <w:lang w:val="en-US"/>
        </w:rPr>
      </w:pPr>
      <w:r w:rsidRPr="00FA314F">
        <w:rPr>
          <w:rFonts w:cs="Arial"/>
          <w:szCs w:val="22"/>
          <w:lang w:val="en-GB"/>
        </w:rPr>
        <w:lastRenderedPageBreak/>
        <w:t>S</w:t>
      </w:r>
      <w:r w:rsidR="005132EF" w:rsidRPr="00FA314F">
        <w:rPr>
          <w:rFonts w:cs="Arial"/>
          <w:szCs w:val="22"/>
          <w:lang w:val="en-US"/>
        </w:rPr>
        <w:t xml:space="preserve">eagrass meadow </w:t>
      </w:r>
      <w:r w:rsidR="00B07165" w:rsidRPr="00FA314F">
        <w:rPr>
          <w:rFonts w:cs="Arial"/>
          <w:szCs w:val="22"/>
          <w:lang w:val="en-US"/>
        </w:rPr>
        <w:t>extent</w:t>
      </w:r>
      <w:r w:rsidR="005132EF" w:rsidRPr="00FA314F">
        <w:rPr>
          <w:rFonts w:cs="Arial"/>
          <w:szCs w:val="22"/>
          <w:lang w:val="en-US"/>
        </w:rPr>
        <w:t xml:space="preserve"> within all monitoring sites </w:t>
      </w:r>
      <w:r w:rsidR="00B07165" w:rsidRPr="00FA314F">
        <w:rPr>
          <w:rFonts w:cs="Arial"/>
          <w:szCs w:val="22"/>
          <w:lang w:val="en-US"/>
        </w:rPr>
        <w:t>has</w:t>
      </w:r>
      <w:r w:rsidR="00A14B33" w:rsidRPr="00FA314F">
        <w:rPr>
          <w:rFonts w:cs="Arial"/>
          <w:szCs w:val="22"/>
          <w:lang w:val="en-US"/>
        </w:rPr>
        <w:t xml:space="preserve"> fluctuated within and between years (</w:t>
      </w:r>
      <w:r w:rsidR="004A743E" w:rsidRPr="00FA314F">
        <w:rPr>
          <w:rFonts w:cs="Arial"/>
          <w:szCs w:val="22"/>
          <w:lang w:val="en-US"/>
        </w:rPr>
        <w:fldChar w:fldCharType="begin"/>
      </w:r>
      <w:r w:rsidR="004A743E" w:rsidRPr="00FA314F">
        <w:rPr>
          <w:rFonts w:cs="Arial"/>
          <w:szCs w:val="22"/>
          <w:lang w:val="en-US"/>
        </w:rPr>
        <w:instrText xml:space="preserve"> REF _Ref382149718 \h </w:instrText>
      </w:r>
      <w:r w:rsidR="00015190" w:rsidRPr="00FA314F">
        <w:rPr>
          <w:rFonts w:cs="Arial"/>
          <w:szCs w:val="22"/>
          <w:lang w:val="en-US"/>
        </w:rPr>
        <w:instrText xml:space="preserve"> \* MERGEFORMAT </w:instrText>
      </w:r>
      <w:r w:rsidR="004A743E" w:rsidRPr="00FA314F">
        <w:rPr>
          <w:rFonts w:cs="Arial"/>
          <w:szCs w:val="22"/>
          <w:lang w:val="en-US"/>
        </w:rPr>
      </w:r>
      <w:r w:rsidR="004A743E"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44</w:t>
      </w:r>
      <w:r w:rsidR="004A743E" w:rsidRPr="00FA314F">
        <w:rPr>
          <w:rFonts w:cs="Arial"/>
          <w:szCs w:val="22"/>
          <w:lang w:val="en-US"/>
        </w:rPr>
        <w:fldChar w:fldCharType="end"/>
      </w:r>
      <w:r w:rsidR="00A14B33" w:rsidRPr="00FA314F">
        <w:rPr>
          <w:rFonts w:cs="Arial"/>
          <w:szCs w:val="22"/>
          <w:lang w:val="en-US"/>
        </w:rPr>
        <w:t>)</w:t>
      </w:r>
      <w:r w:rsidR="00B07165" w:rsidRPr="00FA314F">
        <w:rPr>
          <w:rFonts w:cs="Arial"/>
          <w:szCs w:val="22"/>
          <w:lang w:val="en-US"/>
        </w:rPr>
        <w:t xml:space="preserve">. At </w:t>
      </w:r>
      <w:r w:rsidR="00367DBD" w:rsidRPr="00FA314F">
        <w:rPr>
          <w:rFonts w:cs="Arial"/>
          <w:szCs w:val="22"/>
          <w:lang w:val="en-US"/>
        </w:rPr>
        <w:t>intertidal coastal and reef</w:t>
      </w:r>
      <w:r w:rsidR="004D138D" w:rsidRPr="00FA314F">
        <w:rPr>
          <w:rFonts w:cs="Arial"/>
          <w:szCs w:val="22"/>
          <w:lang w:val="en-US"/>
        </w:rPr>
        <w:t xml:space="preserve"> </w:t>
      </w:r>
      <w:r w:rsidR="005E471F" w:rsidRPr="00FA314F">
        <w:rPr>
          <w:rFonts w:cs="Arial"/>
          <w:szCs w:val="22"/>
          <w:lang w:val="en-US"/>
        </w:rPr>
        <w:t xml:space="preserve">habitats </w:t>
      </w:r>
      <w:r w:rsidR="00C63FF1" w:rsidRPr="00FA314F">
        <w:rPr>
          <w:rFonts w:cs="Arial"/>
          <w:szCs w:val="22"/>
          <w:lang w:val="en-US"/>
        </w:rPr>
        <w:t>in</w:t>
      </w:r>
      <w:r w:rsidR="005E471F" w:rsidRPr="00FA314F">
        <w:rPr>
          <w:rFonts w:cs="Arial"/>
          <w:szCs w:val="22"/>
          <w:lang w:val="en-US"/>
        </w:rPr>
        <w:t xml:space="preserve"> the northern Wet Tropics</w:t>
      </w:r>
      <w:r w:rsidR="00B07165" w:rsidRPr="00FA314F">
        <w:rPr>
          <w:rFonts w:cs="Arial"/>
          <w:szCs w:val="22"/>
          <w:lang w:val="en-US"/>
        </w:rPr>
        <w:t xml:space="preserve">, </w:t>
      </w:r>
      <w:r w:rsidR="005E471F" w:rsidRPr="00FA314F">
        <w:rPr>
          <w:rFonts w:cs="Arial"/>
          <w:szCs w:val="22"/>
          <w:lang w:val="en-US"/>
        </w:rPr>
        <w:t>meadow</w:t>
      </w:r>
      <w:r w:rsidR="00B07165" w:rsidRPr="00FA314F">
        <w:rPr>
          <w:rFonts w:cs="Arial"/>
          <w:szCs w:val="22"/>
          <w:lang w:val="en-US"/>
        </w:rPr>
        <w:t xml:space="preserve"> extent has gradual</w:t>
      </w:r>
      <w:r w:rsidR="004D138D" w:rsidRPr="00FA314F">
        <w:rPr>
          <w:rFonts w:cs="Arial"/>
          <w:szCs w:val="22"/>
          <w:lang w:val="en-US"/>
        </w:rPr>
        <w:t xml:space="preserve">ly improved since 2011 and </w:t>
      </w:r>
      <w:r w:rsidR="00D03E97" w:rsidRPr="00FA314F">
        <w:rPr>
          <w:rFonts w:cs="Arial"/>
          <w:szCs w:val="22"/>
          <w:lang w:val="en-US"/>
        </w:rPr>
        <w:t xml:space="preserve">although relatively stable on reefs since 2015, has increased to </w:t>
      </w:r>
      <w:r w:rsidR="00B07165" w:rsidRPr="00FA314F">
        <w:rPr>
          <w:rFonts w:cs="Arial"/>
          <w:szCs w:val="22"/>
          <w:lang w:val="en-US"/>
        </w:rPr>
        <w:t xml:space="preserve">the greatest extent </w:t>
      </w:r>
      <w:r w:rsidR="00D03E97" w:rsidRPr="00FA314F">
        <w:rPr>
          <w:rFonts w:cs="Arial"/>
          <w:szCs w:val="22"/>
          <w:lang w:val="en-US"/>
        </w:rPr>
        <w:t>at coastal habitats</w:t>
      </w:r>
      <w:r w:rsidR="00A76A80" w:rsidRPr="00FA314F">
        <w:rPr>
          <w:rFonts w:cs="Arial"/>
          <w:szCs w:val="22"/>
          <w:lang w:val="en-US"/>
        </w:rPr>
        <w:t>.</w:t>
      </w:r>
      <w:r w:rsidR="00791A68" w:rsidRPr="00FA314F">
        <w:rPr>
          <w:rFonts w:cs="Arial"/>
          <w:szCs w:val="22"/>
          <w:lang w:val="en-US"/>
        </w:rPr>
        <w:t xml:space="preserve"> </w:t>
      </w:r>
      <w:r w:rsidR="007A70FE" w:rsidRPr="00FA314F">
        <w:rPr>
          <w:rFonts w:cs="Arial"/>
          <w:szCs w:val="22"/>
          <w:lang w:val="en-US"/>
        </w:rPr>
        <w:t>Subtidal</w:t>
      </w:r>
      <w:r w:rsidR="005E471F" w:rsidRPr="00FA314F">
        <w:rPr>
          <w:rFonts w:cs="Arial"/>
          <w:szCs w:val="22"/>
          <w:lang w:val="en-US"/>
        </w:rPr>
        <w:t xml:space="preserve"> reef meadows in</w:t>
      </w:r>
      <w:r w:rsidR="007A70FE" w:rsidRPr="00FA314F">
        <w:rPr>
          <w:rFonts w:cs="Arial"/>
          <w:szCs w:val="22"/>
          <w:lang w:val="en-US"/>
        </w:rPr>
        <w:t xml:space="preserve"> </w:t>
      </w:r>
      <w:r w:rsidR="005E471F" w:rsidRPr="00FA314F">
        <w:rPr>
          <w:rFonts w:cs="Arial"/>
          <w:szCs w:val="22"/>
          <w:lang w:val="en-US"/>
        </w:rPr>
        <w:t>t</w:t>
      </w:r>
      <w:r w:rsidR="007A70FE" w:rsidRPr="00FA314F">
        <w:rPr>
          <w:rFonts w:cs="Arial"/>
          <w:szCs w:val="22"/>
          <w:lang w:val="en-US"/>
        </w:rPr>
        <w:t>he</w:t>
      </w:r>
      <w:r w:rsidR="005E471F" w:rsidRPr="00FA314F">
        <w:rPr>
          <w:rFonts w:cs="Arial"/>
          <w:szCs w:val="22"/>
          <w:lang w:val="en-US"/>
        </w:rPr>
        <w:t xml:space="preserve"> north </w:t>
      </w:r>
      <w:r w:rsidR="00FB30BA">
        <w:rPr>
          <w:rFonts w:cs="Arial"/>
          <w:szCs w:val="22"/>
          <w:lang w:val="en-US"/>
        </w:rPr>
        <w:t>had been increasing in extent from 2015, but dec</w:t>
      </w:r>
      <w:r w:rsidR="005E471F" w:rsidRPr="00FA314F">
        <w:rPr>
          <w:rFonts w:cs="Arial"/>
          <w:szCs w:val="22"/>
          <w:lang w:val="en-US"/>
        </w:rPr>
        <w:t xml:space="preserve">reased in </w:t>
      </w:r>
      <w:r w:rsidR="001E7CB5">
        <w:rPr>
          <w:rFonts w:cs="Arial"/>
          <w:szCs w:val="22"/>
          <w:lang w:val="en-US"/>
        </w:rPr>
        <w:t>early 2019 to the smallest area since 2014</w:t>
      </w:r>
      <w:r w:rsidR="005E471F" w:rsidRPr="00FA314F">
        <w:rPr>
          <w:rFonts w:cs="Arial"/>
          <w:szCs w:val="22"/>
          <w:lang w:val="en-US"/>
        </w:rPr>
        <w:t>.</w:t>
      </w:r>
    </w:p>
    <w:p w14:paraId="71F72D6E" w14:textId="77777777" w:rsidR="001B6AA0" w:rsidRPr="00FA314F" w:rsidRDefault="001E0449" w:rsidP="00907D11">
      <w:pPr>
        <w:keepNext/>
        <w:widowControl w:val="0"/>
        <w:jc w:val="center"/>
        <w:rPr>
          <w:rFonts w:cs="Arial"/>
          <w:szCs w:val="22"/>
          <w:lang w:val="en-US"/>
        </w:rPr>
      </w:pPr>
      <w:r w:rsidRPr="00FA314F">
        <w:rPr>
          <w:rFonts w:cs="Arial"/>
          <w:noProof/>
          <w:szCs w:val="22"/>
          <w:lang w:eastAsia="en-AU"/>
        </w:rPr>
        <w:drawing>
          <wp:inline distT="0" distB="0" distL="0" distR="0" wp14:anchorId="5B51717E" wp14:editId="14613736">
            <wp:extent cx="4092267" cy="1825123"/>
            <wp:effectExtent l="0" t="0" r="3810" b="3810"/>
            <wp:docPr id="229" name="Picture 229" descr="Line graph showing spatial extent of seagrass meadows within a 100m radius of monitoring sites for each habitat and monitoring period across the northern Wet Tropics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WT_extent_avg_2016.png"/>
                    <pic:cNvPicPr/>
                  </pic:nvPicPr>
                  <pic:blipFill>
                    <a:blip r:embed="rId97"/>
                    <a:stretch>
                      <a:fillRect/>
                    </a:stretch>
                  </pic:blipFill>
                  <pic:spPr>
                    <a:xfrm>
                      <a:off x="0" y="0"/>
                      <a:ext cx="4092267" cy="1825123"/>
                    </a:xfrm>
                    <a:prstGeom prst="rect">
                      <a:avLst/>
                    </a:prstGeom>
                  </pic:spPr>
                </pic:pic>
              </a:graphicData>
            </a:graphic>
          </wp:inline>
        </w:drawing>
      </w:r>
    </w:p>
    <w:p w14:paraId="3296BE9C" w14:textId="4B08F523" w:rsidR="003A14DB" w:rsidRPr="00FA314F" w:rsidRDefault="006307D2" w:rsidP="00907D11">
      <w:pPr>
        <w:rPr>
          <w:rFonts w:cs="Arial"/>
          <w:i/>
          <w:szCs w:val="22"/>
        </w:rPr>
      </w:pPr>
      <w:bookmarkStart w:id="374" w:name="_Ref382149718"/>
      <w:bookmarkStart w:id="375" w:name="_Toc431493843"/>
      <w:bookmarkStart w:id="376" w:name="_Toc38634148"/>
      <w:r w:rsidRPr="00FA314F">
        <w:rPr>
          <w:rFonts w:cs="Arial"/>
          <w:szCs w:val="22"/>
        </w:rPr>
        <w:t xml:space="preserve">Figure </w:t>
      </w:r>
      <w:r w:rsidR="0073595B" w:rsidRPr="00FA314F">
        <w:rPr>
          <w:rFonts w:cs="Arial"/>
          <w:szCs w:val="22"/>
        </w:rPr>
        <w:fldChar w:fldCharType="begin"/>
      </w:r>
      <w:r w:rsidR="0073595B" w:rsidRPr="00FA314F">
        <w:rPr>
          <w:rFonts w:cs="Arial"/>
          <w:szCs w:val="22"/>
        </w:rPr>
        <w:instrText xml:space="preserve"> SEQ Figure \* ARABIC </w:instrText>
      </w:r>
      <w:r w:rsidR="0073595B" w:rsidRPr="00FA314F">
        <w:rPr>
          <w:rFonts w:cs="Arial"/>
          <w:szCs w:val="22"/>
        </w:rPr>
        <w:fldChar w:fldCharType="separate"/>
      </w:r>
      <w:r w:rsidR="0067675D">
        <w:rPr>
          <w:rFonts w:cs="Arial"/>
          <w:noProof/>
          <w:szCs w:val="22"/>
        </w:rPr>
        <w:t>44</w:t>
      </w:r>
      <w:r w:rsidR="0073595B" w:rsidRPr="00FA314F">
        <w:rPr>
          <w:rFonts w:cs="Arial"/>
          <w:szCs w:val="22"/>
        </w:rPr>
        <w:fldChar w:fldCharType="end"/>
      </w:r>
      <w:bookmarkEnd w:id="374"/>
      <w:r w:rsidRPr="00FA314F">
        <w:rPr>
          <w:rFonts w:cs="Arial"/>
          <w:szCs w:val="22"/>
        </w:rPr>
        <w:t xml:space="preserve">. </w:t>
      </w:r>
      <w:r w:rsidRPr="00FA314F">
        <w:rPr>
          <w:rFonts w:cs="Arial"/>
          <w:i/>
          <w:szCs w:val="22"/>
        </w:rPr>
        <w:t xml:space="preserve">Change in </w:t>
      </w:r>
      <w:r w:rsidR="00DB7C40" w:rsidRPr="00FA314F">
        <w:rPr>
          <w:rFonts w:cs="Arial"/>
          <w:i/>
          <w:szCs w:val="22"/>
        </w:rPr>
        <w:t xml:space="preserve">relative </w:t>
      </w:r>
      <w:r w:rsidRPr="00FA314F">
        <w:rPr>
          <w:rFonts w:cs="Arial"/>
          <w:i/>
          <w:szCs w:val="22"/>
        </w:rPr>
        <w:t xml:space="preserve">spatial extent </w:t>
      </w:r>
      <w:r w:rsidR="001661BD" w:rsidRPr="00FA314F">
        <w:rPr>
          <w:rFonts w:cs="Arial"/>
          <w:i/>
          <w:szCs w:val="22"/>
        </w:rPr>
        <w:t xml:space="preserve">(±SE) </w:t>
      </w:r>
      <w:r w:rsidRPr="00FA314F">
        <w:rPr>
          <w:rFonts w:cs="Arial"/>
          <w:i/>
          <w:szCs w:val="22"/>
        </w:rPr>
        <w:t xml:space="preserve">of seagrass meadows within monitoring sites for each habitat and monitoring period across the </w:t>
      </w:r>
      <w:r w:rsidR="00367DBD" w:rsidRPr="00FA314F">
        <w:rPr>
          <w:rFonts w:cs="Arial"/>
          <w:i/>
          <w:szCs w:val="22"/>
        </w:rPr>
        <w:t xml:space="preserve">northern </w:t>
      </w:r>
      <w:r w:rsidRPr="00FA314F">
        <w:rPr>
          <w:rFonts w:cs="Arial"/>
          <w:i/>
          <w:szCs w:val="22"/>
        </w:rPr>
        <w:t xml:space="preserve">Wet Tropics </w:t>
      </w:r>
      <w:r w:rsidR="00DB7C40" w:rsidRPr="00FA314F">
        <w:rPr>
          <w:rFonts w:cs="Arial"/>
          <w:i/>
          <w:szCs w:val="22"/>
        </w:rPr>
        <w:t xml:space="preserve">NRM </w:t>
      </w:r>
      <w:r w:rsidRPr="00FA314F">
        <w:rPr>
          <w:rFonts w:cs="Arial"/>
          <w:i/>
          <w:szCs w:val="22"/>
        </w:rPr>
        <w:t>region.</w:t>
      </w:r>
      <w:bookmarkEnd w:id="375"/>
      <w:bookmarkEnd w:id="376"/>
    </w:p>
    <w:p w14:paraId="1D200BCD" w14:textId="1166C788" w:rsidR="005E471F" w:rsidRPr="00FA314F" w:rsidRDefault="005E471F" w:rsidP="00907D11">
      <w:pPr>
        <w:rPr>
          <w:rFonts w:cs="Arial"/>
          <w:szCs w:val="22"/>
        </w:rPr>
      </w:pPr>
    </w:p>
    <w:p w14:paraId="5B69FF66" w14:textId="79C40701" w:rsidR="005E471F" w:rsidRPr="00FA314F" w:rsidRDefault="005E471F" w:rsidP="00907D11">
      <w:pPr>
        <w:rPr>
          <w:rFonts w:cs="Arial"/>
          <w:szCs w:val="22"/>
          <w:lang w:val="en-GB"/>
        </w:rPr>
      </w:pPr>
      <w:r w:rsidRPr="00FA314F">
        <w:rPr>
          <w:rFonts w:cs="Arial"/>
          <w:szCs w:val="22"/>
          <w:lang w:val="en-GB"/>
        </w:rPr>
        <w:t xml:space="preserve">In the southern Wet Tropics, all seagrass meadows were lost in early 2011 as a consequence of </w:t>
      </w:r>
      <w:r w:rsidR="002122EA" w:rsidRPr="00FA314F">
        <w:rPr>
          <w:rFonts w:cs="Arial"/>
          <w:szCs w:val="22"/>
          <w:lang w:val="en-GB"/>
        </w:rPr>
        <w:t xml:space="preserve">cyclone </w:t>
      </w:r>
      <w:r w:rsidRPr="00FA314F">
        <w:rPr>
          <w:rFonts w:cs="Arial"/>
          <w:szCs w:val="22"/>
          <w:lang w:val="en-GB"/>
        </w:rPr>
        <w:t>Yasi</w:t>
      </w:r>
      <w:r w:rsidR="00757B75" w:rsidRPr="00FA314F">
        <w:rPr>
          <w:rFonts w:cs="Arial"/>
          <w:szCs w:val="22"/>
          <w:lang w:val="en-GB"/>
        </w:rPr>
        <w:t xml:space="preserve"> (</w:t>
      </w:r>
      <w:r w:rsidR="00757B75" w:rsidRPr="00FA314F">
        <w:rPr>
          <w:rFonts w:cs="Arial"/>
          <w:szCs w:val="22"/>
          <w:lang w:val="en-GB"/>
        </w:rPr>
        <w:fldChar w:fldCharType="begin"/>
      </w:r>
      <w:r w:rsidR="00757B75" w:rsidRPr="00FA314F">
        <w:rPr>
          <w:rFonts w:cs="Arial"/>
          <w:szCs w:val="22"/>
          <w:lang w:val="en-GB"/>
        </w:rPr>
        <w:instrText xml:space="preserve"> REF _Ref533680846 \h </w:instrText>
      </w:r>
      <w:r w:rsidR="00CB093C" w:rsidRPr="00FA314F">
        <w:rPr>
          <w:rFonts w:cs="Arial"/>
          <w:szCs w:val="22"/>
          <w:lang w:val="en-GB"/>
        </w:rPr>
        <w:instrText xml:space="preserve"> \* MERGEFORMAT </w:instrText>
      </w:r>
      <w:r w:rsidR="00757B75" w:rsidRPr="00FA314F">
        <w:rPr>
          <w:rFonts w:cs="Arial"/>
          <w:szCs w:val="22"/>
          <w:lang w:val="en-GB"/>
        </w:rPr>
      </w:r>
      <w:r w:rsidR="00757B75" w:rsidRPr="00FA314F">
        <w:rPr>
          <w:rFonts w:cs="Arial"/>
          <w:szCs w:val="22"/>
          <w:lang w:val="en-GB"/>
        </w:rPr>
        <w:fldChar w:fldCharType="separate"/>
      </w:r>
      <w:r w:rsidR="0067675D" w:rsidRPr="00FA314F">
        <w:rPr>
          <w:rFonts w:cs="Arial"/>
          <w:szCs w:val="22"/>
        </w:rPr>
        <w:t xml:space="preserve">Figure </w:t>
      </w:r>
      <w:r w:rsidR="0067675D">
        <w:rPr>
          <w:rFonts w:cs="Arial"/>
          <w:noProof/>
          <w:szCs w:val="22"/>
        </w:rPr>
        <w:t>45</w:t>
      </w:r>
      <w:r w:rsidR="00757B75" w:rsidRPr="00FA314F">
        <w:rPr>
          <w:rFonts w:cs="Arial"/>
          <w:szCs w:val="22"/>
          <w:lang w:val="en-GB"/>
        </w:rPr>
        <w:fldChar w:fldCharType="end"/>
      </w:r>
      <w:r w:rsidR="00757B75" w:rsidRPr="00FA314F">
        <w:rPr>
          <w:rFonts w:cs="Arial"/>
          <w:szCs w:val="22"/>
          <w:lang w:val="en-GB"/>
        </w:rPr>
        <w:t>)</w:t>
      </w:r>
      <w:r w:rsidRPr="00FA314F">
        <w:rPr>
          <w:rFonts w:cs="Arial"/>
          <w:szCs w:val="22"/>
          <w:lang w:val="en-GB"/>
        </w:rPr>
        <w:t xml:space="preserve">. Since then, intertidal reef meadows have progressively improved, with the greatest extent </w:t>
      </w:r>
      <w:r w:rsidR="00C63FF1" w:rsidRPr="00FA314F">
        <w:rPr>
          <w:rFonts w:cs="Arial"/>
          <w:szCs w:val="22"/>
          <w:lang w:val="en-GB"/>
        </w:rPr>
        <w:t xml:space="preserve">since 2011 </w:t>
      </w:r>
      <w:r w:rsidRPr="00FA314F">
        <w:rPr>
          <w:rFonts w:cs="Arial"/>
          <w:szCs w:val="22"/>
          <w:lang w:val="en-GB"/>
        </w:rPr>
        <w:t xml:space="preserve">measured in </w:t>
      </w:r>
      <w:r w:rsidR="00956639" w:rsidRPr="00FA314F">
        <w:rPr>
          <w:rFonts w:cs="Arial"/>
          <w:szCs w:val="22"/>
          <w:lang w:val="en-GB"/>
        </w:rPr>
        <w:t>2018–19</w:t>
      </w:r>
      <w:r w:rsidRPr="00FA314F">
        <w:rPr>
          <w:rFonts w:cs="Arial"/>
          <w:szCs w:val="22"/>
          <w:lang w:val="en-GB"/>
        </w:rPr>
        <w:t>. At intertidal coastal habitats, the meadows have not improved</w:t>
      </w:r>
      <w:r w:rsidR="001E7CB5">
        <w:rPr>
          <w:rFonts w:cs="Arial"/>
          <w:szCs w:val="22"/>
          <w:lang w:val="en-GB"/>
        </w:rPr>
        <w:t xml:space="preserve"> greatly</w:t>
      </w:r>
      <w:r w:rsidRPr="00FA314F">
        <w:rPr>
          <w:rFonts w:cs="Arial"/>
          <w:szCs w:val="22"/>
          <w:lang w:val="en-GB"/>
        </w:rPr>
        <w:t xml:space="preserve">, </w:t>
      </w:r>
      <w:r w:rsidR="001E7CB5">
        <w:rPr>
          <w:rFonts w:cs="Arial"/>
          <w:szCs w:val="22"/>
          <w:lang w:val="en-GB"/>
        </w:rPr>
        <w:t xml:space="preserve">but a few </w:t>
      </w:r>
      <w:r w:rsidRPr="00FA314F">
        <w:rPr>
          <w:rFonts w:cs="Arial"/>
          <w:szCs w:val="22"/>
          <w:lang w:val="en-GB"/>
        </w:rPr>
        <w:t xml:space="preserve">isolated patches </w:t>
      </w:r>
      <w:r w:rsidR="001E7CB5">
        <w:rPr>
          <w:rFonts w:cs="Arial"/>
          <w:szCs w:val="22"/>
          <w:lang w:val="en-GB"/>
        </w:rPr>
        <w:t xml:space="preserve">which </w:t>
      </w:r>
      <w:r w:rsidR="001E7CB5" w:rsidRPr="00FA314F">
        <w:rPr>
          <w:rFonts w:cs="Arial"/>
          <w:szCs w:val="22"/>
          <w:lang w:val="en-GB"/>
        </w:rPr>
        <w:t>colonis</w:t>
      </w:r>
      <w:r w:rsidR="001E7CB5">
        <w:rPr>
          <w:rFonts w:cs="Arial"/>
          <w:szCs w:val="22"/>
          <w:lang w:val="en-GB"/>
        </w:rPr>
        <w:t xml:space="preserve">ed in </w:t>
      </w:r>
      <w:r w:rsidR="003F3999">
        <w:rPr>
          <w:rFonts w:cs="Arial"/>
          <w:szCs w:val="22"/>
          <w:lang w:val="en-GB"/>
        </w:rPr>
        <w:t>mid-</w:t>
      </w:r>
      <w:r w:rsidR="001E7CB5">
        <w:rPr>
          <w:rFonts w:cs="Arial"/>
          <w:szCs w:val="22"/>
          <w:lang w:val="en-GB"/>
        </w:rPr>
        <w:t>2018 appear to have established</w:t>
      </w:r>
      <w:r w:rsidRPr="00FA314F">
        <w:rPr>
          <w:rFonts w:cs="Arial"/>
          <w:szCs w:val="22"/>
          <w:lang w:val="en-GB"/>
        </w:rPr>
        <w:t xml:space="preserve">. The greatest fluctuation in extent has occurred in subtidal reef meadows, which established in 2014, but after rapidly </w:t>
      </w:r>
      <w:r w:rsidR="00635304" w:rsidRPr="00FA314F">
        <w:rPr>
          <w:rFonts w:cs="Arial"/>
          <w:szCs w:val="22"/>
          <w:lang w:val="en-GB"/>
        </w:rPr>
        <w:t>expanding,</w:t>
      </w:r>
      <w:r w:rsidRPr="00FA314F">
        <w:rPr>
          <w:rFonts w:cs="Arial"/>
          <w:szCs w:val="22"/>
          <w:lang w:val="en-GB"/>
        </w:rPr>
        <w:t xml:space="preserve"> have sharply declined. In </w:t>
      </w:r>
      <w:r w:rsidR="00956639" w:rsidRPr="00FA314F">
        <w:rPr>
          <w:rFonts w:cs="Arial"/>
          <w:szCs w:val="22"/>
          <w:lang w:val="en-GB"/>
        </w:rPr>
        <w:t>2018–19</w:t>
      </w:r>
      <w:r w:rsidRPr="00FA314F">
        <w:rPr>
          <w:rFonts w:cs="Arial"/>
          <w:szCs w:val="22"/>
          <w:lang w:val="en-GB"/>
        </w:rPr>
        <w:t>, only a few small isolated patches of seagrass remained of the subtidal reef meadows.</w:t>
      </w:r>
    </w:p>
    <w:p w14:paraId="38BBED63" w14:textId="77777777" w:rsidR="00367DBD" w:rsidRPr="00FA314F" w:rsidRDefault="00367DBD" w:rsidP="00762BDE">
      <w:pPr>
        <w:keepNext/>
        <w:widowControl w:val="0"/>
        <w:jc w:val="center"/>
        <w:rPr>
          <w:rFonts w:cs="Arial"/>
          <w:szCs w:val="22"/>
          <w:lang w:val="en-US"/>
        </w:rPr>
      </w:pPr>
      <w:bookmarkStart w:id="377" w:name="_Toc184101986"/>
      <w:r w:rsidRPr="00FA314F">
        <w:rPr>
          <w:rFonts w:cs="Arial"/>
          <w:noProof/>
          <w:szCs w:val="22"/>
          <w:lang w:eastAsia="en-AU"/>
        </w:rPr>
        <w:lastRenderedPageBreak/>
        <w:drawing>
          <wp:inline distT="0" distB="0" distL="0" distR="0" wp14:anchorId="2E63C55E" wp14:editId="2C2A4F64">
            <wp:extent cx="4060542" cy="1825122"/>
            <wp:effectExtent l="0" t="0" r="0" b="3810"/>
            <wp:docPr id="2" name="Picture 2" descr="Line graph showing spatial extent of seagrass meadows within a 100m radius of monitoring sites for each habitat and monitoring period across the southern Wet Tropics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WT_extent_avg_2016.png"/>
                    <pic:cNvPicPr/>
                  </pic:nvPicPr>
                  <pic:blipFill>
                    <a:blip r:embed="rId98"/>
                    <a:stretch>
                      <a:fillRect/>
                    </a:stretch>
                  </pic:blipFill>
                  <pic:spPr>
                    <a:xfrm>
                      <a:off x="0" y="0"/>
                      <a:ext cx="4060542" cy="1825122"/>
                    </a:xfrm>
                    <a:prstGeom prst="rect">
                      <a:avLst/>
                    </a:prstGeom>
                  </pic:spPr>
                </pic:pic>
              </a:graphicData>
            </a:graphic>
          </wp:inline>
        </w:drawing>
      </w:r>
    </w:p>
    <w:p w14:paraId="1C8ED3E5" w14:textId="1CBF55E0" w:rsidR="00367DBD" w:rsidRPr="00FA314F" w:rsidRDefault="00367DBD" w:rsidP="00367DBD">
      <w:pPr>
        <w:rPr>
          <w:rFonts w:cs="Arial"/>
          <w:i/>
          <w:szCs w:val="22"/>
        </w:rPr>
      </w:pPr>
      <w:bookmarkStart w:id="378" w:name="_Ref533680846"/>
      <w:bookmarkStart w:id="379" w:name="_Toc38634149"/>
      <w:r w:rsidRPr="00FA314F">
        <w:rPr>
          <w:rFonts w:cs="Arial"/>
          <w:szCs w:val="22"/>
        </w:rPr>
        <w:t xml:space="preserve">Figure </w:t>
      </w:r>
      <w:r w:rsidRPr="00FA314F">
        <w:rPr>
          <w:rFonts w:cs="Arial"/>
          <w:szCs w:val="22"/>
        </w:rPr>
        <w:fldChar w:fldCharType="begin"/>
      </w:r>
      <w:r w:rsidRPr="00FA314F">
        <w:rPr>
          <w:rFonts w:cs="Arial"/>
          <w:szCs w:val="22"/>
        </w:rPr>
        <w:instrText xml:space="preserve"> SEQ Figure \* ARABIC </w:instrText>
      </w:r>
      <w:r w:rsidRPr="00FA314F">
        <w:rPr>
          <w:rFonts w:cs="Arial"/>
          <w:szCs w:val="22"/>
        </w:rPr>
        <w:fldChar w:fldCharType="separate"/>
      </w:r>
      <w:r w:rsidR="0067675D">
        <w:rPr>
          <w:rFonts w:cs="Arial"/>
          <w:noProof/>
          <w:szCs w:val="22"/>
        </w:rPr>
        <w:t>45</w:t>
      </w:r>
      <w:r w:rsidRPr="00FA314F">
        <w:rPr>
          <w:rFonts w:cs="Arial"/>
          <w:szCs w:val="22"/>
        </w:rPr>
        <w:fldChar w:fldCharType="end"/>
      </w:r>
      <w:bookmarkEnd w:id="378"/>
      <w:r w:rsidRPr="00FA314F">
        <w:rPr>
          <w:rFonts w:cs="Arial"/>
          <w:szCs w:val="22"/>
        </w:rPr>
        <w:t xml:space="preserve">. </w:t>
      </w:r>
      <w:r w:rsidRPr="00FA314F">
        <w:rPr>
          <w:rFonts w:cs="Arial"/>
          <w:i/>
          <w:szCs w:val="22"/>
        </w:rPr>
        <w:t>Change in relative spatial extent (±SE) of seagrass meadows within monitoring sites for each habitat and monitoring period across the southern Wet Tropics NRM region.</w:t>
      </w:r>
      <w:bookmarkEnd w:id="379"/>
    </w:p>
    <w:p w14:paraId="59BC8F45" w14:textId="77777777" w:rsidR="00367DBD" w:rsidRPr="00FA314F" w:rsidRDefault="00367DBD" w:rsidP="00907D11">
      <w:pPr>
        <w:rPr>
          <w:rFonts w:cs="Arial"/>
          <w:szCs w:val="22"/>
          <w:lang w:val="en-GB"/>
        </w:rPr>
      </w:pPr>
    </w:p>
    <w:p w14:paraId="62ADD996" w14:textId="7CF5996F" w:rsidR="00F35D52" w:rsidRPr="00FA314F" w:rsidRDefault="00F35D52" w:rsidP="000150D8">
      <w:pPr>
        <w:pStyle w:val="Heading4"/>
      </w:pPr>
      <w:bookmarkStart w:id="380" w:name="_Toc37775081"/>
      <w:bookmarkStart w:id="381" w:name="_Toc43987056"/>
      <w:bookmarkEnd w:id="377"/>
      <w:r w:rsidRPr="00FA314F">
        <w:t>Seagrass reproductive status</w:t>
      </w:r>
      <w:bookmarkEnd w:id="380"/>
      <w:bookmarkEnd w:id="381"/>
    </w:p>
    <w:p w14:paraId="67F959CC" w14:textId="1E4A9F5F" w:rsidR="001B6AA0" w:rsidRPr="00FA314F" w:rsidRDefault="00747DB8" w:rsidP="00EF746E">
      <w:pPr>
        <w:rPr>
          <w:rFonts w:cs="Arial"/>
          <w:szCs w:val="22"/>
        </w:rPr>
      </w:pPr>
      <w:r w:rsidRPr="00FA314F">
        <w:rPr>
          <w:rFonts w:cs="Arial"/>
          <w:szCs w:val="22"/>
          <w:lang w:val="en-GB"/>
        </w:rPr>
        <w:t xml:space="preserve">Reproductive effort varies across habitats in the Wet Tropics, and is higher in the northern sub-region than the south. </w:t>
      </w:r>
      <w:r w:rsidRPr="00FA314F">
        <w:rPr>
          <w:rFonts w:cs="Arial"/>
          <w:szCs w:val="22"/>
          <w:lang w:eastAsia="en-AU"/>
        </w:rPr>
        <w:t>In the northern Wet Tropics, r</w:t>
      </w:r>
      <w:r w:rsidR="001B6AA0" w:rsidRPr="00FA314F">
        <w:rPr>
          <w:rFonts w:cs="Arial"/>
          <w:szCs w:val="22"/>
          <w:lang w:eastAsia="en-AU"/>
        </w:rPr>
        <w:t xml:space="preserve">eproductive effort </w:t>
      </w:r>
      <w:r w:rsidRPr="00FA314F">
        <w:rPr>
          <w:rFonts w:cs="Arial"/>
          <w:szCs w:val="22"/>
          <w:lang w:eastAsia="en-AU"/>
        </w:rPr>
        <w:t xml:space="preserve">peaked during </w:t>
      </w:r>
      <w:r w:rsidR="00956639" w:rsidRPr="00FA314F">
        <w:rPr>
          <w:rFonts w:cs="Arial"/>
          <w:szCs w:val="22"/>
          <w:lang w:eastAsia="en-AU"/>
        </w:rPr>
        <w:t>2018–19</w:t>
      </w:r>
      <w:r w:rsidRPr="00FA314F">
        <w:rPr>
          <w:rFonts w:cs="Arial"/>
          <w:szCs w:val="22"/>
          <w:lang w:eastAsia="en-AU"/>
        </w:rPr>
        <w:t xml:space="preserve"> in </w:t>
      </w:r>
      <w:r w:rsidR="001B6AA0" w:rsidRPr="00FA314F">
        <w:rPr>
          <w:rFonts w:cs="Arial"/>
          <w:szCs w:val="22"/>
          <w:lang w:eastAsia="en-AU"/>
        </w:rPr>
        <w:t xml:space="preserve">coastal intertidal habitats </w:t>
      </w:r>
      <w:r w:rsidR="00C747CD" w:rsidRPr="00FA314F">
        <w:rPr>
          <w:rFonts w:cs="Arial"/>
          <w:szCs w:val="22"/>
          <w:lang w:eastAsia="en-AU"/>
        </w:rPr>
        <w:t>(Yule Point)</w:t>
      </w:r>
      <w:r w:rsidR="000E5300" w:rsidRPr="00FA314F">
        <w:rPr>
          <w:rFonts w:cs="Arial"/>
          <w:szCs w:val="22"/>
          <w:lang w:eastAsia="en-AU"/>
        </w:rPr>
        <w:t xml:space="preserve"> (</w:t>
      </w:r>
      <w:r w:rsidR="000E5300" w:rsidRPr="00FA314F">
        <w:rPr>
          <w:rFonts w:cs="Arial"/>
          <w:szCs w:val="22"/>
          <w:lang w:eastAsia="en-AU"/>
        </w:rPr>
        <w:fldChar w:fldCharType="begin"/>
      </w:r>
      <w:r w:rsidR="000E5300" w:rsidRPr="00FA314F">
        <w:rPr>
          <w:rFonts w:cs="Arial"/>
          <w:szCs w:val="22"/>
          <w:lang w:eastAsia="en-AU"/>
        </w:rPr>
        <w:instrText xml:space="preserve"> REF _Ref271530838 \h </w:instrText>
      </w:r>
      <w:r w:rsidR="00CB093C" w:rsidRPr="00FA314F">
        <w:rPr>
          <w:rFonts w:cs="Arial"/>
          <w:szCs w:val="22"/>
          <w:lang w:eastAsia="en-AU"/>
        </w:rPr>
        <w:instrText xml:space="preserve"> \* MERGEFORMAT </w:instrText>
      </w:r>
      <w:r w:rsidR="000E5300" w:rsidRPr="00FA314F">
        <w:rPr>
          <w:rFonts w:cs="Arial"/>
          <w:szCs w:val="22"/>
          <w:lang w:eastAsia="en-AU"/>
        </w:rPr>
      </w:r>
      <w:r w:rsidR="000E5300" w:rsidRPr="00FA314F">
        <w:rPr>
          <w:rFonts w:cs="Arial"/>
          <w:szCs w:val="22"/>
          <w:lang w:eastAsia="en-AU"/>
        </w:rPr>
        <w:fldChar w:fldCharType="separate"/>
      </w:r>
      <w:r w:rsidR="0067675D" w:rsidRPr="00FA314F">
        <w:rPr>
          <w:rFonts w:cs="Arial"/>
          <w:szCs w:val="22"/>
        </w:rPr>
        <w:t xml:space="preserve">Figure </w:t>
      </w:r>
      <w:r w:rsidR="0067675D">
        <w:rPr>
          <w:rFonts w:cs="Arial"/>
          <w:noProof/>
          <w:szCs w:val="22"/>
        </w:rPr>
        <w:t>46</w:t>
      </w:r>
      <w:r w:rsidR="000E5300" w:rsidRPr="00FA314F">
        <w:rPr>
          <w:rFonts w:cs="Arial"/>
          <w:szCs w:val="22"/>
          <w:lang w:eastAsia="en-AU"/>
        </w:rPr>
        <w:fldChar w:fldCharType="end"/>
      </w:r>
      <w:r w:rsidR="000E5300" w:rsidRPr="00FA314F">
        <w:rPr>
          <w:rFonts w:cs="Arial"/>
          <w:szCs w:val="22"/>
          <w:lang w:eastAsia="en-AU"/>
        </w:rPr>
        <w:t>)</w:t>
      </w:r>
      <w:r w:rsidR="00110359" w:rsidRPr="00FA314F">
        <w:rPr>
          <w:rFonts w:cs="Arial"/>
          <w:szCs w:val="22"/>
          <w:lang w:eastAsia="en-AU"/>
        </w:rPr>
        <w:t>. The density of seeds in the</w:t>
      </w:r>
      <w:r w:rsidR="00070712" w:rsidRPr="00FA314F">
        <w:rPr>
          <w:rFonts w:cs="Arial"/>
          <w:szCs w:val="22"/>
          <w:lang w:eastAsia="en-AU"/>
        </w:rPr>
        <w:t xml:space="preserve"> </w:t>
      </w:r>
      <w:r w:rsidR="000E5300" w:rsidRPr="00FA314F">
        <w:rPr>
          <w:rFonts w:cs="Arial"/>
          <w:szCs w:val="22"/>
          <w:lang w:eastAsia="en-AU"/>
        </w:rPr>
        <w:t xml:space="preserve">coastal </w:t>
      </w:r>
      <w:r w:rsidR="00070712" w:rsidRPr="00FA314F">
        <w:rPr>
          <w:rFonts w:cs="Arial"/>
          <w:szCs w:val="22"/>
          <w:lang w:eastAsia="en-AU"/>
        </w:rPr>
        <w:t>seedbank</w:t>
      </w:r>
      <w:r w:rsidR="00110359" w:rsidRPr="00FA314F">
        <w:rPr>
          <w:rFonts w:cs="Arial"/>
          <w:szCs w:val="22"/>
          <w:lang w:eastAsia="en-AU"/>
        </w:rPr>
        <w:t xml:space="preserve"> remained higher on average than it has been since 2011</w:t>
      </w:r>
      <w:r w:rsidR="00635304">
        <w:rPr>
          <w:rFonts w:cs="Arial"/>
          <w:szCs w:val="22"/>
          <w:lang w:eastAsia="en-AU"/>
        </w:rPr>
        <w:t>,</w:t>
      </w:r>
      <w:r w:rsidR="00070712" w:rsidRPr="00FA314F">
        <w:rPr>
          <w:rFonts w:cs="Arial"/>
          <w:szCs w:val="22"/>
          <w:lang w:eastAsia="en-AU"/>
        </w:rPr>
        <w:t xml:space="preserve"> </w:t>
      </w:r>
      <w:r w:rsidR="00343CDF" w:rsidRPr="00FA314F">
        <w:rPr>
          <w:rFonts w:cs="Arial"/>
          <w:szCs w:val="22"/>
          <w:lang w:eastAsia="en-AU"/>
        </w:rPr>
        <w:t>although</w:t>
      </w:r>
      <w:r w:rsidR="00070712" w:rsidRPr="00FA314F">
        <w:rPr>
          <w:rFonts w:cs="Arial"/>
          <w:szCs w:val="22"/>
          <w:lang w:eastAsia="en-AU"/>
        </w:rPr>
        <w:t xml:space="preserve"> </w:t>
      </w:r>
      <w:r w:rsidR="00C747CD" w:rsidRPr="00FA314F">
        <w:rPr>
          <w:rFonts w:cs="Arial"/>
          <w:szCs w:val="22"/>
          <w:lang w:eastAsia="en-AU"/>
        </w:rPr>
        <w:t xml:space="preserve">below historical peaks. </w:t>
      </w:r>
      <w:r w:rsidRPr="00FA314F">
        <w:rPr>
          <w:rFonts w:cs="Arial"/>
          <w:szCs w:val="22"/>
          <w:lang w:eastAsia="en-AU"/>
        </w:rPr>
        <w:t xml:space="preserve">At </w:t>
      </w:r>
      <w:r w:rsidR="00C747CD" w:rsidRPr="00FA314F">
        <w:rPr>
          <w:rFonts w:cs="Arial"/>
          <w:szCs w:val="22"/>
          <w:lang w:eastAsia="en-AU"/>
        </w:rPr>
        <w:t xml:space="preserve">intertidal and subtidal </w:t>
      </w:r>
      <w:r w:rsidRPr="00FA314F">
        <w:rPr>
          <w:rFonts w:cs="Arial"/>
          <w:szCs w:val="22"/>
          <w:lang w:eastAsia="en-AU"/>
        </w:rPr>
        <w:t xml:space="preserve">reef </w:t>
      </w:r>
      <w:r w:rsidR="00C747CD" w:rsidRPr="00FA314F">
        <w:rPr>
          <w:rFonts w:cs="Arial"/>
          <w:szCs w:val="22"/>
          <w:lang w:eastAsia="en-AU"/>
        </w:rPr>
        <w:t xml:space="preserve">habitats </w:t>
      </w:r>
      <w:r w:rsidRPr="00FA314F">
        <w:rPr>
          <w:rFonts w:cs="Arial"/>
          <w:szCs w:val="22"/>
          <w:lang w:eastAsia="en-AU"/>
        </w:rPr>
        <w:t>reproductive effort remained</w:t>
      </w:r>
      <w:r w:rsidR="00C747CD" w:rsidRPr="00FA314F">
        <w:rPr>
          <w:rFonts w:cs="Arial"/>
          <w:szCs w:val="22"/>
          <w:lang w:eastAsia="en-AU"/>
        </w:rPr>
        <w:t xml:space="preserve"> low</w:t>
      </w:r>
      <w:r w:rsidRPr="00FA314F">
        <w:rPr>
          <w:rFonts w:cs="Arial"/>
          <w:szCs w:val="22"/>
          <w:lang w:eastAsia="en-AU"/>
        </w:rPr>
        <w:t xml:space="preserve"> but increased </w:t>
      </w:r>
      <w:r w:rsidR="007A70FE" w:rsidRPr="00FA314F">
        <w:rPr>
          <w:rFonts w:cs="Arial"/>
          <w:szCs w:val="22"/>
          <w:lang w:eastAsia="en-AU"/>
        </w:rPr>
        <w:t>slightly</w:t>
      </w:r>
      <w:r w:rsidRPr="00FA314F">
        <w:rPr>
          <w:rFonts w:cs="Arial"/>
          <w:szCs w:val="22"/>
          <w:lang w:eastAsia="en-AU"/>
        </w:rPr>
        <w:t xml:space="preserve"> from the previous period. </w:t>
      </w:r>
      <w:r w:rsidR="00C747CD" w:rsidRPr="00FA314F">
        <w:rPr>
          <w:rFonts w:cs="Arial"/>
          <w:szCs w:val="22"/>
          <w:lang w:eastAsia="en-AU"/>
        </w:rPr>
        <w:t xml:space="preserve">To date, </w:t>
      </w:r>
      <w:r w:rsidR="001B6AA0" w:rsidRPr="00FA314F">
        <w:rPr>
          <w:rFonts w:cs="Arial"/>
          <w:szCs w:val="22"/>
          <w:lang w:eastAsia="en-AU"/>
        </w:rPr>
        <w:t>seed bank</w:t>
      </w:r>
      <w:r w:rsidR="00C747CD" w:rsidRPr="00FA314F">
        <w:rPr>
          <w:rFonts w:cs="Arial"/>
          <w:szCs w:val="22"/>
          <w:lang w:eastAsia="en-AU"/>
        </w:rPr>
        <w:t xml:space="preserve">s </w:t>
      </w:r>
      <w:r w:rsidR="000E5300" w:rsidRPr="00FA314F">
        <w:rPr>
          <w:rFonts w:cs="Arial"/>
          <w:szCs w:val="22"/>
          <w:lang w:eastAsia="en-AU"/>
        </w:rPr>
        <w:t xml:space="preserve">have </w:t>
      </w:r>
      <w:r w:rsidR="001B6AA0" w:rsidRPr="00FA314F">
        <w:rPr>
          <w:rFonts w:cs="Arial"/>
          <w:szCs w:val="22"/>
          <w:lang w:eastAsia="en-AU"/>
        </w:rPr>
        <w:t>remained very low across the region</w:t>
      </w:r>
      <w:r w:rsidR="00C747CD" w:rsidRPr="00FA314F">
        <w:rPr>
          <w:rFonts w:cs="Arial"/>
          <w:szCs w:val="22"/>
          <w:lang w:eastAsia="en-AU"/>
        </w:rPr>
        <w:t xml:space="preserve"> in reef habitat</w:t>
      </w:r>
      <w:r w:rsidR="001B6AA0" w:rsidRPr="00FA314F">
        <w:rPr>
          <w:rFonts w:cs="Arial"/>
          <w:szCs w:val="22"/>
          <w:lang w:eastAsia="en-AU"/>
        </w:rPr>
        <w:t xml:space="preserve"> </w:t>
      </w:r>
      <w:r w:rsidR="001B6AA0" w:rsidRPr="00FA314F">
        <w:rPr>
          <w:rFonts w:cs="Arial"/>
          <w:szCs w:val="22"/>
        </w:rPr>
        <w:t>(</w:t>
      </w:r>
      <w:r w:rsidR="001B6AA0" w:rsidRPr="00FA314F">
        <w:rPr>
          <w:rFonts w:cs="Arial"/>
          <w:szCs w:val="22"/>
        </w:rPr>
        <w:fldChar w:fldCharType="begin"/>
      </w:r>
      <w:r w:rsidR="001B6AA0" w:rsidRPr="00FA314F">
        <w:rPr>
          <w:rFonts w:cs="Arial"/>
          <w:szCs w:val="22"/>
        </w:rPr>
        <w:instrText xml:space="preserve"> REF _Ref271530838 \h  \* MERGEFORMAT </w:instrText>
      </w:r>
      <w:r w:rsidR="001B6AA0" w:rsidRPr="00FA314F">
        <w:rPr>
          <w:rFonts w:cs="Arial"/>
          <w:szCs w:val="22"/>
        </w:rPr>
      </w:r>
      <w:r w:rsidR="001B6AA0" w:rsidRPr="00FA314F">
        <w:rPr>
          <w:rFonts w:cs="Arial"/>
          <w:szCs w:val="22"/>
        </w:rPr>
        <w:fldChar w:fldCharType="separate"/>
      </w:r>
      <w:r w:rsidR="0067675D" w:rsidRPr="00FA314F">
        <w:rPr>
          <w:rFonts w:cs="Arial"/>
          <w:szCs w:val="22"/>
        </w:rPr>
        <w:t xml:space="preserve">Figure </w:t>
      </w:r>
      <w:r w:rsidR="0067675D">
        <w:rPr>
          <w:rFonts w:cs="Arial"/>
          <w:noProof/>
          <w:szCs w:val="22"/>
        </w:rPr>
        <w:t>46</w:t>
      </w:r>
      <w:r w:rsidR="001B6AA0" w:rsidRPr="00FA314F">
        <w:rPr>
          <w:rFonts w:cs="Arial"/>
          <w:szCs w:val="22"/>
        </w:rPr>
        <w:fldChar w:fldCharType="end"/>
      </w:r>
      <w:r w:rsidR="001B6AA0" w:rsidRPr="00FA314F">
        <w:rPr>
          <w:rFonts w:cs="Arial"/>
          <w:szCs w:val="22"/>
        </w:rPr>
        <w:t xml:space="preserve">). </w:t>
      </w:r>
      <w:r w:rsidR="00070712" w:rsidRPr="00FA314F">
        <w:rPr>
          <w:rFonts w:cs="Arial"/>
          <w:szCs w:val="22"/>
        </w:rPr>
        <w:t xml:space="preserve">Some possible explanations </w:t>
      </w:r>
      <w:r w:rsidR="00390FEB" w:rsidRPr="00FA314F">
        <w:rPr>
          <w:rFonts w:cs="Arial"/>
          <w:szCs w:val="22"/>
        </w:rPr>
        <w:t xml:space="preserve">for the low seed bank </w:t>
      </w:r>
      <w:r w:rsidR="00070712" w:rsidRPr="00FA314F">
        <w:rPr>
          <w:rFonts w:cs="Arial"/>
          <w:szCs w:val="22"/>
        </w:rPr>
        <w:t>include failure to set seed</w:t>
      </w:r>
      <w:r w:rsidR="00390FEB" w:rsidRPr="00FA314F">
        <w:rPr>
          <w:rFonts w:cs="Arial"/>
          <w:szCs w:val="22"/>
        </w:rPr>
        <w:t>, particularly in low density dioecious species (</w:t>
      </w:r>
      <w:hyperlink w:anchor="_ENREF_139" w:tooltip="Shelton, 2008 #10877" w:history="1">
        <w:r w:rsidR="009A7AB4" w:rsidRPr="00FA314F">
          <w:rPr>
            <w:rFonts w:cs="Arial"/>
            <w:szCs w:val="22"/>
          </w:rPr>
          <w:fldChar w:fldCharType="begin"/>
        </w:r>
        <w:r w:rsidR="009A7AB4" w:rsidRPr="00FA314F">
          <w:rPr>
            <w:rFonts w:cs="Arial"/>
            <w:szCs w:val="22"/>
          </w:rPr>
          <w:instrText xml:space="preserve"> ADDIN EN.CITE &lt;EndNote&gt;&lt;Cite&gt;&lt;Author&gt;Shelton&lt;/Author&gt;&lt;Year&gt;2008&lt;/Year&gt;&lt;RecNum&gt;10877&lt;/RecNum&gt;&lt;DisplayText&gt;Shelton 2008&lt;/DisplayText&gt;&lt;record&gt;&lt;rec-number&gt;10877&lt;/rec-number&gt;&lt;foreign-keys&gt;&lt;key app="EN" db-id="0eve55x9y5vfd6e9dacxtew4eatve2dzds9a" timestamp="1486085870"&gt;10877&lt;/key&gt;&lt;/foreign-keys&gt;&lt;ref-type name="Journal Article"&gt;17&lt;/ref-type&gt;&lt;contributors&gt;&lt;authors&gt;&lt;author&gt;Shelton, A O&lt;/author&gt;&lt;/authors&gt;&lt;/contributors&gt;&lt;titles&gt;&lt;title&gt;&lt;style face="normal" font="default" size="100%"&gt;Skewed sex ratios, pollen limitation, and reproductive failure in the dioecious seagrass &lt;/style&gt;&lt;style face="italic" font="default" size="100%"&gt;Phyllospadix&lt;/style&gt;&lt;/title&gt;&lt;secondary-title&gt;Ecology&lt;/secondary-title&gt;&lt;/titles&gt;&lt;periodical&gt;&lt;full-title&gt;Ecology&lt;/full-title&gt;&lt;/periodical&gt;&lt;pages&gt;3020-3029&lt;/pages&gt;&lt;volume&gt;89&lt;/volume&gt;&lt;dates&gt;&lt;year&gt;2008&lt;/year&gt;&lt;/dates&gt;&lt;urls&gt;&lt;/urls&gt;&lt;/record&gt;&lt;/Cite&gt;&lt;/EndNote&gt;</w:instrText>
        </w:r>
        <w:r w:rsidR="009A7AB4" w:rsidRPr="00FA314F">
          <w:rPr>
            <w:rFonts w:cs="Arial"/>
            <w:szCs w:val="22"/>
          </w:rPr>
          <w:fldChar w:fldCharType="separate"/>
        </w:r>
        <w:r w:rsidR="009A7AB4" w:rsidRPr="00FA314F">
          <w:rPr>
            <w:rFonts w:cs="Arial"/>
            <w:noProof/>
            <w:szCs w:val="22"/>
          </w:rPr>
          <w:t>Shelton 2008</w:t>
        </w:r>
        <w:r w:rsidR="009A7AB4" w:rsidRPr="00FA314F">
          <w:rPr>
            <w:rFonts w:cs="Arial"/>
            <w:szCs w:val="22"/>
          </w:rPr>
          <w:fldChar w:fldCharType="end"/>
        </w:r>
      </w:hyperlink>
      <w:r w:rsidR="00390FEB" w:rsidRPr="00FA314F">
        <w:rPr>
          <w:rFonts w:cs="Arial"/>
          <w:szCs w:val="22"/>
        </w:rPr>
        <w:t>)</w:t>
      </w:r>
      <w:r w:rsidR="00070712" w:rsidRPr="00FA314F">
        <w:rPr>
          <w:rFonts w:cs="Arial"/>
          <w:szCs w:val="22"/>
        </w:rPr>
        <w:t>, or rap</w:t>
      </w:r>
      <w:r w:rsidR="00390FEB" w:rsidRPr="00FA314F">
        <w:rPr>
          <w:rFonts w:cs="Arial"/>
          <w:szCs w:val="22"/>
        </w:rPr>
        <w:t>id loss of seeds after release from germination or grazing</w:t>
      </w:r>
      <w:r w:rsidR="005634B8" w:rsidRPr="00FA314F">
        <w:rPr>
          <w:rFonts w:cs="Arial"/>
          <w:szCs w:val="22"/>
        </w:rPr>
        <w:t xml:space="preserve"> (</w:t>
      </w:r>
      <w:hyperlink w:anchor="_ENREF_73" w:tooltip="Heck, 2006 #7367" w:history="1">
        <w:r w:rsidR="009A7AB4" w:rsidRPr="00FA314F">
          <w:rPr>
            <w:rFonts w:cs="Arial"/>
            <w:szCs w:val="22"/>
          </w:rPr>
          <w:fldChar w:fldCharType="begin"/>
        </w:r>
        <w:r w:rsidR="009A7AB4" w:rsidRPr="00FA314F">
          <w:rPr>
            <w:rFonts w:cs="Arial"/>
            <w:szCs w:val="22"/>
          </w:rPr>
          <w:instrText xml:space="preserve"> ADDIN EN.CITE &lt;EndNote&gt;&lt;Cite&gt;&lt;Author&gt;Heck&lt;/Author&gt;&lt;Year&gt;2006&lt;/Year&gt;&lt;RecNum&gt;7367&lt;/RecNum&gt;&lt;DisplayText&gt;Heck and Orth 2006&lt;/DisplayText&gt;&lt;record&gt;&lt;rec-number&gt;7367&lt;/rec-number&gt;&lt;foreign-keys&gt;&lt;key app="EN" db-id="0eve55x9y5vfd6e9dacxtew4eatve2dzds9a" timestamp="0"&gt;7367&lt;/key&gt;&lt;/foreign-keys&gt;&lt;ref-type name="Book Section"&gt;5&lt;/ref-type&gt;&lt;contributors&gt;&lt;authors&gt;&lt;author&gt;Heck, K.L.&lt;/author&gt;&lt;author&gt;Orth, R.J.&lt;/author&gt;&lt;/authors&gt;&lt;secondary-authors&gt;&lt;author&gt;Larkum, W.D.&lt;/author&gt;&lt;author&gt;Orth, R.J.&lt;/author&gt;&lt;author&gt;Duarte, C.M.&lt;/author&gt;&lt;/secondary-authors&gt;&lt;/contributors&gt;&lt;titles&gt;&lt;title&gt;Predation in seagrass beds&lt;/title&gt;&lt;secondary-title&gt;Seagrasses: biology, ecology and conservation&lt;/secondary-title&gt;&lt;/titles&gt;&lt;periodical&gt;&lt;full-title&gt;Seagrasses: Biology, Ecology and Conservation&lt;/full-title&gt;&lt;/periodical&gt;&lt;dates&gt;&lt;year&gt;2006&lt;/year&gt;&lt;/dates&gt;&lt;pub-location&gt;Dordrecht&lt;/pub-location&gt;&lt;publisher&gt;Springer&lt;/publisher&gt;&lt;isbn&gt;10 1-4020-2942-X&lt;/isbn&gt;&lt;urls&gt;&lt;/urls&gt;&lt;/record&gt;&lt;/Cite&gt;&lt;/EndNote&gt;</w:instrText>
        </w:r>
        <w:r w:rsidR="009A7AB4" w:rsidRPr="00FA314F">
          <w:rPr>
            <w:rFonts w:cs="Arial"/>
            <w:szCs w:val="22"/>
          </w:rPr>
          <w:fldChar w:fldCharType="separate"/>
        </w:r>
        <w:r w:rsidR="009A7AB4" w:rsidRPr="00FA314F">
          <w:rPr>
            <w:rFonts w:cs="Arial"/>
            <w:noProof/>
            <w:szCs w:val="22"/>
          </w:rPr>
          <w:t>Heck and Orth 2006</w:t>
        </w:r>
        <w:r w:rsidR="009A7AB4" w:rsidRPr="00FA314F">
          <w:rPr>
            <w:rFonts w:cs="Arial"/>
            <w:szCs w:val="22"/>
          </w:rPr>
          <w:fldChar w:fldCharType="end"/>
        </w:r>
      </w:hyperlink>
      <w:r w:rsidR="005634B8" w:rsidRPr="00FA314F">
        <w:rPr>
          <w:rFonts w:cs="Arial"/>
          <w:szCs w:val="22"/>
        </w:rPr>
        <w:t>)</w:t>
      </w:r>
      <w:r w:rsidR="00070712" w:rsidRPr="00FA314F">
        <w:rPr>
          <w:rFonts w:cs="Arial"/>
          <w:szCs w:val="22"/>
        </w:rPr>
        <w:t xml:space="preserve">. </w:t>
      </w:r>
    </w:p>
    <w:p w14:paraId="1159E225" w14:textId="77777777" w:rsidR="001B6AA0" w:rsidRPr="00FA314F" w:rsidRDefault="00AA7BCE" w:rsidP="002242D2">
      <w:pPr>
        <w:autoSpaceDE w:val="0"/>
        <w:autoSpaceDN w:val="0"/>
        <w:adjustRightInd w:val="0"/>
        <w:rPr>
          <w:rFonts w:cs="Arial"/>
          <w:color w:val="000000"/>
          <w:szCs w:val="22"/>
        </w:rPr>
      </w:pPr>
      <w:r w:rsidRPr="00FA314F">
        <w:rPr>
          <w:rFonts w:cs="Arial"/>
          <w:noProof/>
          <w:color w:val="000000"/>
          <w:szCs w:val="22"/>
          <w:lang w:eastAsia="en-AU"/>
        </w:rPr>
        <w:drawing>
          <wp:inline distT="0" distB="0" distL="0" distR="0" wp14:anchorId="723DCAC2" wp14:editId="225BF866">
            <wp:extent cx="5524588" cy="1373241"/>
            <wp:effectExtent l="0" t="0" r="0" b="0"/>
            <wp:docPr id="314" name="Picture 314" descr="Panel of three composite bar and scatter plot graphs showing seed banks (bars) and reproductive effort (dots) at inshore seagrass habitats in the northern Wet Tropics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WT_repro16.png"/>
                    <pic:cNvPicPr/>
                  </pic:nvPicPr>
                  <pic:blipFill>
                    <a:blip r:embed="rId99"/>
                    <a:stretch>
                      <a:fillRect/>
                    </a:stretch>
                  </pic:blipFill>
                  <pic:spPr>
                    <a:xfrm>
                      <a:off x="0" y="0"/>
                      <a:ext cx="5524588" cy="1373241"/>
                    </a:xfrm>
                    <a:prstGeom prst="rect">
                      <a:avLst/>
                    </a:prstGeom>
                  </pic:spPr>
                </pic:pic>
              </a:graphicData>
            </a:graphic>
          </wp:inline>
        </w:drawing>
      </w:r>
    </w:p>
    <w:p w14:paraId="404557CB" w14:textId="1685B9EB" w:rsidR="001876B8" w:rsidRPr="00FA314F" w:rsidRDefault="005132EF" w:rsidP="001876B8">
      <w:pPr>
        <w:keepLines/>
        <w:rPr>
          <w:rFonts w:cs="Arial"/>
          <w:i/>
          <w:vanish/>
          <w:szCs w:val="22"/>
          <w:specVanish/>
        </w:rPr>
      </w:pPr>
      <w:bookmarkStart w:id="382" w:name="_Ref271530838"/>
      <w:bookmarkStart w:id="383" w:name="_Toc431493844"/>
      <w:bookmarkStart w:id="384" w:name="_Toc38634150"/>
      <w:r w:rsidRPr="00FA314F">
        <w:rPr>
          <w:rFonts w:cs="Arial"/>
          <w:szCs w:val="22"/>
        </w:rPr>
        <w:lastRenderedPageBreak/>
        <w:t xml:space="preserve">Figure </w:t>
      </w:r>
      <w:r w:rsidR="00C506C7" w:rsidRPr="00FA314F">
        <w:rPr>
          <w:rFonts w:cs="Arial"/>
          <w:noProof/>
          <w:szCs w:val="22"/>
        </w:rPr>
        <w:fldChar w:fldCharType="begin"/>
      </w:r>
      <w:r w:rsidR="00C506C7" w:rsidRPr="00FA314F">
        <w:rPr>
          <w:rFonts w:cs="Arial"/>
          <w:noProof/>
          <w:szCs w:val="22"/>
        </w:rPr>
        <w:instrText xml:space="preserve"> SEQ Figure \* ARABIC </w:instrText>
      </w:r>
      <w:r w:rsidR="00C506C7" w:rsidRPr="00FA314F">
        <w:rPr>
          <w:rFonts w:cs="Arial"/>
          <w:noProof/>
          <w:szCs w:val="22"/>
        </w:rPr>
        <w:fldChar w:fldCharType="separate"/>
      </w:r>
      <w:r w:rsidR="0067675D">
        <w:rPr>
          <w:rFonts w:cs="Arial"/>
          <w:noProof/>
          <w:szCs w:val="22"/>
        </w:rPr>
        <w:t>46</w:t>
      </w:r>
      <w:r w:rsidR="00C506C7" w:rsidRPr="00FA314F">
        <w:rPr>
          <w:rFonts w:cs="Arial"/>
          <w:noProof/>
          <w:szCs w:val="22"/>
        </w:rPr>
        <w:fldChar w:fldCharType="end"/>
      </w:r>
      <w:bookmarkEnd w:id="382"/>
      <w:r w:rsidRPr="00FA314F">
        <w:rPr>
          <w:rFonts w:cs="Arial"/>
          <w:szCs w:val="22"/>
        </w:rPr>
        <w:t xml:space="preserve">. </w:t>
      </w:r>
      <w:r w:rsidR="009110CE" w:rsidRPr="00FA314F">
        <w:rPr>
          <w:rFonts w:cs="Arial"/>
          <w:i/>
          <w:szCs w:val="22"/>
        </w:rPr>
        <w:t>R</w:t>
      </w:r>
      <w:r w:rsidR="00CC60D9" w:rsidRPr="00FA314F">
        <w:rPr>
          <w:rFonts w:cs="Arial"/>
          <w:i/>
          <w:szCs w:val="22"/>
        </w:rPr>
        <w:t xml:space="preserve">eproductive effort </w:t>
      </w:r>
      <w:r w:rsidR="00B330DD">
        <w:rPr>
          <w:rFonts w:cs="Arial"/>
          <w:i/>
          <w:szCs w:val="22"/>
        </w:rPr>
        <w:t xml:space="preserve">and seed banks </w:t>
      </w:r>
      <w:r w:rsidR="00CC60D9" w:rsidRPr="00FA314F">
        <w:rPr>
          <w:rFonts w:cs="Arial"/>
          <w:i/>
          <w:szCs w:val="22"/>
        </w:rPr>
        <w:t xml:space="preserve">for inshore intertidal coast and reef habitats in the </w:t>
      </w:r>
      <w:r w:rsidR="009110CE" w:rsidRPr="00FA314F">
        <w:rPr>
          <w:rFonts w:cs="Arial"/>
          <w:i/>
          <w:szCs w:val="22"/>
        </w:rPr>
        <w:t xml:space="preserve">northern </w:t>
      </w:r>
      <w:r w:rsidR="003509A0" w:rsidRPr="00FA314F">
        <w:rPr>
          <w:rFonts w:cs="Arial"/>
          <w:i/>
          <w:szCs w:val="22"/>
        </w:rPr>
        <w:t xml:space="preserve">Wet Tropics </w:t>
      </w:r>
      <w:r w:rsidR="00CC60D9" w:rsidRPr="00FA314F">
        <w:rPr>
          <w:rFonts w:cs="Arial"/>
          <w:i/>
          <w:szCs w:val="22"/>
        </w:rPr>
        <w:t>region, 2001</w:t>
      </w:r>
      <w:r w:rsidR="009203FC" w:rsidRPr="00FA314F">
        <w:rPr>
          <w:rFonts w:cs="Arial"/>
          <w:i/>
          <w:szCs w:val="22"/>
        </w:rPr>
        <w:t>–</w:t>
      </w:r>
      <w:r w:rsidR="00CC60D9" w:rsidRPr="00FA314F">
        <w:rPr>
          <w:rFonts w:cs="Arial"/>
          <w:i/>
          <w:szCs w:val="22"/>
        </w:rPr>
        <w:t>201</w:t>
      </w:r>
      <w:r w:rsidR="00D84FBE" w:rsidRPr="00FA314F">
        <w:rPr>
          <w:rFonts w:cs="Arial"/>
          <w:i/>
          <w:szCs w:val="22"/>
        </w:rPr>
        <w:t>9</w:t>
      </w:r>
      <w:r w:rsidR="003509A0" w:rsidRPr="00FA314F">
        <w:rPr>
          <w:rFonts w:cs="Arial"/>
          <w:i/>
          <w:szCs w:val="22"/>
        </w:rPr>
        <w:t>.</w:t>
      </w:r>
      <w:bookmarkEnd w:id="383"/>
      <w:bookmarkEnd w:id="384"/>
      <w:r w:rsidR="00CC60D9" w:rsidRPr="00FA314F">
        <w:rPr>
          <w:rFonts w:cs="Arial"/>
          <w:i/>
          <w:vanish/>
          <w:szCs w:val="22"/>
          <w:specVanish/>
        </w:rPr>
        <w:t xml:space="preserve"> </w:t>
      </w:r>
    </w:p>
    <w:p w14:paraId="3F45E2FC" w14:textId="7D03CF2C" w:rsidR="00A27EC0" w:rsidRPr="00FA314F" w:rsidRDefault="00CC60D9" w:rsidP="001876B8">
      <w:pPr>
        <w:keepLines/>
        <w:rPr>
          <w:rFonts w:cs="Arial"/>
          <w:i/>
          <w:szCs w:val="22"/>
        </w:rPr>
      </w:pPr>
      <w:r w:rsidRPr="00FA314F">
        <w:rPr>
          <w:rFonts w:cs="Arial"/>
          <w:i/>
          <w:szCs w:val="22"/>
        </w:rPr>
        <w:t>Seed banks presented as the total number of seeds per m</w:t>
      </w:r>
      <w:r w:rsidRPr="00FA314F">
        <w:rPr>
          <w:rFonts w:cs="Arial"/>
          <w:i/>
          <w:szCs w:val="22"/>
          <w:vertAlign w:val="superscript"/>
        </w:rPr>
        <w:t>2</w:t>
      </w:r>
      <w:r w:rsidRPr="00FA314F">
        <w:rPr>
          <w:rFonts w:cs="Arial"/>
          <w:i/>
          <w:szCs w:val="22"/>
        </w:rPr>
        <w:t xml:space="preserve"> sediment surface</w:t>
      </w:r>
      <w:r w:rsidR="003523A5" w:rsidRPr="00FA314F">
        <w:rPr>
          <w:rFonts w:cs="Arial"/>
          <w:i/>
          <w:szCs w:val="22"/>
        </w:rPr>
        <w:t xml:space="preserve"> (bars ±SE)</w:t>
      </w:r>
      <w:r w:rsidRPr="00FA314F">
        <w:rPr>
          <w:rFonts w:cs="Arial"/>
          <w:i/>
          <w:szCs w:val="22"/>
        </w:rPr>
        <w:t>, and reproductive effort presented as the average number of reproductive structures per core (species and sites pooled)</w:t>
      </w:r>
      <w:r w:rsidR="003523A5" w:rsidRPr="00FA314F">
        <w:rPr>
          <w:rFonts w:cs="Arial"/>
          <w:i/>
          <w:szCs w:val="22"/>
        </w:rPr>
        <w:t xml:space="preserve"> (dots ±SE)</w:t>
      </w:r>
      <w:r w:rsidRPr="00FA314F">
        <w:rPr>
          <w:rFonts w:cs="Arial"/>
          <w:i/>
          <w:szCs w:val="22"/>
        </w:rPr>
        <w:t xml:space="preserve">. </w:t>
      </w:r>
    </w:p>
    <w:p w14:paraId="41820C72" w14:textId="49E94551" w:rsidR="000E5300" w:rsidRPr="00FA314F" w:rsidRDefault="000E5300" w:rsidP="000E5300">
      <w:pPr>
        <w:autoSpaceDE w:val="0"/>
        <w:autoSpaceDN w:val="0"/>
        <w:adjustRightInd w:val="0"/>
        <w:rPr>
          <w:rFonts w:cs="Arial"/>
          <w:szCs w:val="22"/>
          <w:lang w:eastAsia="en-AU"/>
        </w:rPr>
      </w:pPr>
      <w:r w:rsidRPr="00FA314F">
        <w:rPr>
          <w:rFonts w:cs="Arial"/>
          <w:szCs w:val="22"/>
          <w:lang w:eastAsia="en-AU"/>
        </w:rPr>
        <w:t xml:space="preserve">In the southern Wet Tropics, sexually reproductive structures and seed banks were absent from seagrass in </w:t>
      </w:r>
      <w:r w:rsidR="007218B6" w:rsidRPr="00FA314F">
        <w:rPr>
          <w:rFonts w:cs="Arial"/>
          <w:szCs w:val="22"/>
          <w:lang w:eastAsia="en-AU"/>
        </w:rPr>
        <w:t>the coastal intertidal and reef subtidal habitats</w:t>
      </w:r>
      <w:r w:rsidR="00474C15" w:rsidRPr="00FA314F">
        <w:rPr>
          <w:rFonts w:cs="Arial"/>
          <w:szCs w:val="22"/>
          <w:lang w:eastAsia="en-AU"/>
        </w:rPr>
        <w:t xml:space="preserve"> (</w:t>
      </w:r>
      <w:r w:rsidR="00474C15" w:rsidRPr="00FA314F">
        <w:rPr>
          <w:rFonts w:cs="Arial"/>
          <w:szCs w:val="22"/>
          <w:lang w:eastAsia="en-AU"/>
        </w:rPr>
        <w:fldChar w:fldCharType="begin"/>
      </w:r>
      <w:r w:rsidR="00474C15" w:rsidRPr="00FA314F">
        <w:rPr>
          <w:rFonts w:cs="Arial"/>
          <w:szCs w:val="22"/>
          <w:lang w:eastAsia="en-AU"/>
        </w:rPr>
        <w:instrText xml:space="preserve"> REF _Ref533681674 \h  \* MERGEFORMAT </w:instrText>
      </w:r>
      <w:r w:rsidR="00474C15" w:rsidRPr="00FA314F">
        <w:rPr>
          <w:rFonts w:cs="Arial"/>
          <w:szCs w:val="22"/>
          <w:lang w:eastAsia="en-AU"/>
        </w:rPr>
      </w:r>
      <w:r w:rsidR="00474C15" w:rsidRPr="00FA314F">
        <w:rPr>
          <w:rFonts w:cs="Arial"/>
          <w:szCs w:val="22"/>
          <w:lang w:eastAsia="en-AU"/>
        </w:rPr>
        <w:fldChar w:fldCharType="separate"/>
      </w:r>
      <w:r w:rsidR="0067675D" w:rsidRPr="00FA314F">
        <w:rPr>
          <w:rFonts w:cs="Arial"/>
          <w:szCs w:val="22"/>
        </w:rPr>
        <w:t xml:space="preserve">Figure </w:t>
      </w:r>
      <w:r w:rsidR="0067675D">
        <w:rPr>
          <w:rFonts w:cs="Arial"/>
          <w:noProof/>
          <w:szCs w:val="22"/>
        </w:rPr>
        <w:t>47</w:t>
      </w:r>
      <w:r w:rsidR="00474C15" w:rsidRPr="00FA314F">
        <w:rPr>
          <w:rFonts w:cs="Arial"/>
          <w:szCs w:val="22"/>
          <w:lang w:eastAsia="en-AU"/>
        </w:rPr>
        <w:fldChar w:fldCharType="end"/>
      </w:r>
      <w:r w:rsidR="00474C15" w:rsidRPr="00FA314F">
        <w:rPr>
          <w:rFonts w:cs="Arial"/>
          <w:szCs w:val="22"/>
          <w:lang w:eastAsia="en-AU"/>
        </w:rPr>
        <w:t>)</w:t>
      </w:r>
      <w:r w:rsidR="007218B6" w:rsidRPr="00FA314F">
        <w:rPr>
          <w:rFonts w:cs="Arial"/>
          <w:szCs w:val="22"/>
          <w:lang w:eastAsia="en-AU"/>
        </w:rPr>
        <w:t xml:space="preserve">. </w:t>
      </w:r>
      <w:r w:rsidR="00474C15" w:rsidRPr="00FA314F">
        <w:rPr>
          <w:rFonts w:cs="Arial"/>
          <w:szCs w:val="22"/>
          <w:lang w:eastAsia="en-AU"/>
        </w:rPr>
        <w:t xml:space="preserve">The absence of reproductive structures and seed banks may render the seagrass at risk from further disturbances, as recovery potential remains extremely low without a seed bank. </w:t>
      </w:r>
      <w:r w:rsidR="007218B6" w:rsidRPr="00FA314F">
        <w:rPr>
          <w:rFonts w:cs="Arial"/>
          <w:szCs w:val="22"/>
          <w:lang w:eastAsia="en-AU"/>
        </w:rPr>
        <w:t xml:space="preserve">However, the second highest level of reproductive effort recorded in reef intertidal </w:t>
      </w:r>
      <w:r w:rsidR="003371EC" w:rsidRPr="00FA314F">
        <w:rPr>
          <w:rFonts w:cs="Arial"/>
          <w:szCs w:val="22"/>
          <w:lang w:eastAsia="en-AU"/>
        </w:rPr>
        <w:t>habitats</w:t>
      </w:r>
      <w:r w:rsidR="007218B6" w:rsidRPr="00FA314F">
        <w:rPr>
          <w:rFonts w:cs="Arial"/>
          <w:szCs w:val="22"/>
          <w:lang w:eastAsia="en-AU"/>
        </w:rPr>
        <w:t xml:space="preserve"> occurred in conjunction with small increases in abundance and extent</w:t>
      </w:r>
      <w:r w:rsidRPr="00FA314F">
        <w:rPr>
          <w:rFonts w:cs="Arial"/>
          <w:szCs w:val="22"/>
          <w:lang w:eastAsia="en-AU"/>
        </w:rPr>
        <w:t xml:space="preserve"> (</w:t>
      </w:r>
      <w:r w:rsidRPr="00FA314F">
        <w:rPr>
          <w:rFonts w:cs="Arial"/>
          <w:szCs w:val="22"/>
          <w:lang w:eastAsia="en-AU"/>
        </w:rPr>
        <w:fldChar w:fldCharType="begin"/>
      </w:r>
      <w:r w:rsidRPr="00FA314F">
        <w:rPr>
          <w:rFonts w:cs="Arial"/>
          <w:szCs w:val="22"/>
          <w:lang w:eastAsia="en-AU"/>
        </w:rPr>
        <w:instrText xml:space="preserve"> REF _Ref533681674 \h </w:instrText>
      </w:r>
      <w:r w:rsidR="00CB093C" w:rsidRPr="00FA314F">
        <w:rPr>
          <w:rFonts w:cs="Arial"/>
          <w:szCs w:val="22"/>
          <w:lang w:eastAsia="en-AU"/>
        </w:rPr>
        <w:instrText xml:space="preserve"> \* MERGEFORMAT </w:instrText>
      </w:r>
      <w:r w:rsidRPr="00FA314F">
        <w:rPr>
          <w:rFonts w:cs="Arial"/>
          <w:szCs w:val="22"/>
          <w:lang w:eastAsia="en-AU"/>
        </w:rPr>
      </w:r>
      <w:r w:rsidRPr="00FA314F">
        <w:rPr>
          <w:rFonts w:cs="Arial"/>
          <w:szCs w:val="22"/>
          <w:lang w:eastAsia="en-AU"/>
        </w:rPr>
        <w:fldChar w:fldCharType="separate"/>
      </w:r>
      <w:r w:rsidR="0067675D" w:rsidRPr="00FA314F">
        <w:rPr>
          <w:rFonts w:cs="Arial"/>
          <w:szCs w:val="22"/>
        </w:rPr>
        <w:t xml:space="preserve">Figure </w:t>
      </w:r>
      <w:r w:rsidR="0067675D">
        <w:rPr>
          <w:rFonts w:cs="Arial"/>
          <w:noProof/>
          <w:szCs w:val="22"/>
        </w:rPr>
        <w:t>47</w:t>
      </w:r>
      <w:r w:rsidRPr="00FA314F">
        <w:rPr>
          <w:rFonts w:cs="Arial"/>
          <w:szCs w:val="22"/>
          <w:lang w:eastAsia="en-AU"/>
        </w:rPr>
        <w:fldChar w:fldCharType="end"/>
      </w:r>
      <w:r w:rsidRPr="00FA314F">
        <w:rPr>
          <w:rFonts w:cs="Arial"/>
          <w:szCs w:val="22"/>
          <w:lang w:eastAsia="en-AU"/>
        </w:rPr>
        <w:t xml:space="preserve">). </w:t>
      </w:r>
    </w:p>
    <w:p w14:paraId="14F9B74F" w14:textId="77777777" w:rsidR="00343CDF" w:rsidRPr="00FA314F" w:rsidRDefault="00343CDF" w:rsidP="000E5300">
      <w:pPr>
        <w:autoSpaceDE w:val="0"/>
        <w:autoSpaceDN w:val="0"/>
        <w:adjustRightInd w:val="0"/>
        <w:rPr>
          <w:rFonts w:cs="Arial"/>
          <w:szCs w:val="22"/>
        </w:rPr>
      </w:pPr>
    </w:p>
    <w:p w14:paraId="74C4CEAA" w14:textId="153A0232" w:rsidR="009110CE" w:rsidRPr="00FA314F" w:rsidRDefault="009110CE" w:rsidP="001876B8">
      <w:pPr>
        <w:keepLines/>
        <w:rPr>
          <w:rFonts w:cs="Arial"/>
          <w:i/>
          <w:szCs w:val="22"/>
        </w:rPr>
      </w:pPr>
      <w:r w:rsidRPr="00FA314F">
        <w:rPr>
          <w:rFonts w:cs="Arial"/>
          <w:i/>
          <w:noProof/>
          <w:szCs w:val="22"/>
          <w:lang w:eastAsia="en-AU"/>
        </w:rPr>
        <w:drawing>
          <wp:inline distT="0" distB="0" distL="0" distR="0" wp14:anchorId="6D72FB13" wp14:editId="2926C439">
            <wp:extent cx="5708229" cy="1427057"/>
            <wp:effectExtent l="0" t="0" r="6985" b="1905"/>
            <wp:docPr id="534" name="Picture 534" descr="Panel of three composite bar and scatter plot graphs showing seed banks (bars) and reproductive effort (dots) at inshore seagrass habitats in the southern Wet Tropics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Repro_SWT per Habitat.eps"/>
                    <pic:cNvPicPr/>
                  </pic:nvPicPr>
                  <pic:blipFill>
                    <a:blip r:embed="rId100"/>
                    <a:stretch>
                      <a:fillRect/>
                    </a:stretch>
                  </pic:blipFill>
                  <pic:spPr>
                    <a:xfrm>
                      <a:off x="0" y="0"/>
                      <a:ext cx="5708229" cy="1427057"/>
                    </a:xfrm>
                    <a:prstGeom prst="rect">
                      <a:avLst/>
                    </a:prstGeom>
                  </pic:spPr>
                </pic:pic>
              </a:graphicData>
            </a:graphic>
          </wp:inline>
        </w:drawing>
      </w:r>
    </w:p>
    <w:p w14:paraId="34F56AF7" w14:textId="1C873146" w:rsidR="009110CE" w:rsidRPr="00FA314F" w:rsidRDefault="009110CE" w:rsidP="009110CE">
      <w:pPr>
        <w:rPr>
          <w:rFonts w:cs="Arial"/>
          <w:i/>
          <w:vanish/>
          <w:szCs w:val="22"/>
          <w:specVanish/>
        </w:rPr>
      </w:pPr>
      <w:bookmarkStart w:id="385" w:name="_Ref533681674"/>
      <w:bookmarkStart w:id="386" w:name="_Toc38634151"/>
      <w:r w:rsidRPr="00FA314F">
        <w:rPr>
          <w:rFonts w:cs="Arial"/>
          <w:szCs w:val="22"/>
        </w:rPr>
        <w:t xml:space="preserve">Figure </w:t>
      </w:r>
      <w:r w:rsidRPr="00FA314F">
        <w:rPr>
          <w:rFonts w:cs="Arial"/>
          <w:szCs w:val="22"/>
        </w:rPr>
        <w:fldChar w:fldCharType="begin"/>
      </w:r>
      <w:r w:rsidRPr="00FA314F">
        <w:rPr>
          <w:rFonts w:cs="Arial"/>
          <w:szCs w:val="22"/>
        </w:rPr>
        <w:instrText xml:space="preserve"> SEQ Figure \* ARABIC </w:instrText>
      </w:r>
      <w:r w:rsidRPr="00FA314F">
        <w:rPr>
          <w:rFonts w:cs="Arial"/>
          <w:szCs w:val="22"/>
        </w:rPr>
        <w:fldChar w:fldCharType="separate"/>
      </w:r>
      <w:r w:rsidR="0067675D">
        <w:rPr>
          <w:rFonts w:cs="Arial"/>
          <w:noProof/>
          <w:szCs w:val="22"/>
        </w:rPr>
        <w:t>47</w:t>
      </w:r>
      <w:r w:rsidRPr="00FA314F">
        <w:rPr>
          <w:rFonts w:cs="Arial"/>
          <w:szCs w:val="22"/>
        </w:rPr>
        <w:fldChar w:fldCharType="end"/>
      </w:r>
      <w:bookmarkEnd w:id="385"/>
      <w:r w:rsidRPr="00FA314F">
        <w:rPr>
          <w:rFonts w:cs="Arial"/>
          <w:szCs w:val="22"/>
        </w:rPr>
        <w:t xml:space="preserve">. </w:t>
      </w:r>
      <w:r w:rsidRPr="00FA314F">
        <w:rPr>
          <w:rFonts w:cs="Arial"/>
          <w:i/>
          <w:szCs w:val="22"/>
        </w:rPr>
        <w:t xml:space="preserve">Reproductive effort </w:t>
      </w:r>
      <w:r w:rsidR="00B330DD">
        <w:rPr>
          <w:rFonts w:cs="Arial"/>
          <w:i/>
          <w:szCs w:val="22"/>
        </w:rPr>
        <w:t xml:space="preserve">and seed banks </w:t>
      </w:r>
      <w:r w:rsidRPr="00FA314F">
        <w:rPr>
          <w:rFonts w:cs="Arial"/>
          <w:i/>
          <w:szCs w:val="22"/>
        </w:rPr>
        <w:t xml:space="preserve">for inshore intertidal coast and reef habitats in the </w:t>
      </w:r>
      <w:r w:rsidR="007218B6" w:rsidRPr="00FA314F">
        <w:rPr>
          <w:rFonts w:cs="Arial"/>
          <w:i/>
          <w:szCs w:val="22"/>
        </w:rPr>
        <w:t>southern</w:t>
      </w:r>
      <w:r w:rsidRPr="00FA314F">
        <w:rPr>
          <w:rFonts w:cs="Arial"/>
          <w:i/>
          <w:szCs w:val="22"/>
        </w:rPr>
        <w:t xml:space="preserve"> Wet Tropics region, 2001</w:t>
      </w:r>
      <w:r w:rsidR="009203FC" w:rsidRPr="00FA314F">
        <w:rPr>
          <w:rFonts w:cs="Arial"/>
          <w:i/>
          <w:szCs w:val="22"/>
        </w:rPr>
        <w:t>–</w:t>
      </w:r>
      <w:r w:rsidRPr="00FA314F">
        <w:rPr>
          <w:rFonts w:cs="Arial"/>
          <w:i/>
          <w:szCs w:val="22"/>
        </w:rPr>
        <w:t>18.</w:t>
      </w:r>
      <w:bookmarkEnd w:id="386"/>
      <w:r w:rsidRPr="00FA314F">
        <w:rPr>
          <w:rFonts w:cs="Arial"/>
          <w:i/>
          <w:vanish/>
          <w:szCs w:val="22"/>
          <w:specVanish/>
        </w:rPr>
        <w:t xml:space="preserve"> </w:t>
      </w:r>
    </w:p>
    <w:p w14:paraId="4615450B" w14:textId="4E54E12D" w:rsidR="009110CE" w:rsidRPr="00FA314F" w:rsidRDefault="009110CE" w:rsidP="009110CE">
      <w:pPr>
        <w:keepLines/>
        <w:rPr>
          <w:rFonts w:cs="Arial"/>
          <w:i/>
          <w:szCs w:val="22"/>
        </w:rPr>
      </w:pPr>
      <w:r w:rsidRPr="00FA314F">
        <w:rPr>
          <w:rFonts w:cs="Arial"/>
          <w:i/>
          <w:szCs w:val="22"/>
        </w:rPr>
        <w:t>Seed banks presented as the total number of seeds per m</w:t>
      </w:r>
      <w:r w:rsidRPr="00FA314F">
        <w:rPr>
          <w:rFonts w:cs="Arial"/>
          <w:i/>
          <w:szCs w:val="22"/>
          <w:vertAlign w:val="superscript"/>
        </w:rPr>
        <w:t>2</w:t>
      </w:r>
      <w:r w:rsidRPr="00FA314F">
        <w:rPr>
          <w:rFonts w:cs="Arial"/>
          <w:i/>
          <w:szCs w:val="22"/>
        </w:rPr>
        <w:t xml:space="preserve"> sediment surface (bars ±SE), and reproductive effort presented as the average number of reproductive structures per core (species and sites pooled) (dots ±SE). </w:t>
      </w:r>
    </w:p>
    <w:p w14:paraId="2C766622" w14:textId="77777777" w:rsidR="00F35D52" w:rsidRPr="00FA314F" w:rsidRDefault="00F35D52" w:rsidP="000150D8">
      <w:pPr>
        <w:pStyle w:val="Heading4"/>
      </w:pPr>
      <w:bookmarkStart w:id="387" w:name="_Toc37775082"/>
      <w:bookmarkStart w:id="388" w:name="_Toc43987057"/>
      <w:bookmarkStart w:id="389" w:name="_Toc175991069"/>
      <w:bookmarkStart w:id="390" w:name="_Toc232845913"/>
      <w:r w:rsidRPr="00FA314F">
        <w:t>Seagrass leaf tissue nutrients</w:t>
      </w:r>
      <w:bookmarkEnd w:id="387"/>
      <w:bookmarkEnd w:id="388"/>
    </w:p>
    <w:p w14:paraId="78FDCEC4" w14:textId="65600BFC" w:rsidR="001B6AA0" w:rsidRPr="000F3149" w:rsidRDefault="000E5300" w:rsidP="000F3149">
      <w:pPr>
        <w:rPr>
          <w:rFonts w:cs="Arial"/>
          <w:color w:val="000000" w:themeColor="text1"/>
          <w:szCs w:val="22"/>
        </w:rPr>
      </w:pPr>
      <w:r w:rsidRPr="00FA314F">
        <w:rPr>
          <w:rFonts w:cs="Arial"/>
          <w:szCs w:val="22"/>
        </w:rPr>
        <w:t xml:space="preserve">Seagrass leaf tissue molar C:N ratios </w:t>
      </w:r>
      <w:r w:rsidR="001B6AA0" w:rsidRPr="00FA314F">
        <w:rPr>
          <w:rFonts w:cs="Arial"/>
          <w:szCs w:val="22"/>
          <w:lang w:val="en-GB"/>
        </w:rPr>
        <w:t>of the foundation seagrass spec</w:t>
      </w:r>
      <w:r w:rsidR="0005499A" w:rsidRPr="00FA314F">
        <w:rPr>
          <w:rFonts w:cs="Arial"/>
          <w:szCs w:val="22"/>
          <w:lang w:val="en-GB"/>
        </w:rPr>
        <w:t>ies (in the late dry season 201</w:t>
      </w:r>
      <w:r w:rsidRPr="00FA314F">
        <w:rPr>
          <w:rFonts w:cs="Arial"/>
          <w:szCs w:val="22"/>
          <w:lang w:val="en-GB"/>
        </w:rPr>
        <w:t>7</w:t>
      </w:r>
      <w:r w:rsidR="001B6AA0" w:rsidRPr="00FA314F">
        <w:rPr>
          <w:rFonts w:cs="Arial"/>
          <w:szCs w:val="22"/>
          <w:lang w:val="en-GB"/>
        </w:rPr>
        <w:t xml:space="preserve">) </w:t>
      </w:r>
      <w:r w:rsidR="005A64FB" w:rsidRPr="00FA314F">
        <w:rPr>
          <w:rFonts w:cs="Arial"/>
          <w:szCs w:val="22"/>
          <w:lang w:val="en-GB"/>
        </w:rPr>
        <w:t xml:space="preserve">have </w:t>
      </w:r>
      <w:r w:rsidRPr="00FA314F">
        <w:rPr>
          <w:rFonts w:cs="Arial"/>
          <w:szCs w:val="22"/>
          <w:lang w:val="en-GB"/>
        </w:rPr>
        <w:t xml:space="preserve">remained relatively stable across the </w:t>
      </w:r>
      <w:r w:rsidR="005A64FB" w:rsidRPr="00FA314F">
        <w:rPr>
          <w:rFonts w:cs="Arial"/>
          <w:szCs w:val="22"/>
          <w:lang w:val="en-GB"/>
        </w:rPr>
        <w:t xml:space="preserve">northern </w:t>
      </w:r>
      <w:r w:rsidRPr="00FA314F">
        <w:rPr>
          <w:rFonts w:cs="Arial"/>
          <w:szCs w:val="22"/>
          <w:lang w:val="en-GB"/>
        </w:rPr>
        <w:t>Wet Tropics</w:t>
      </w:r>
      <w:r w:rsidR="005A64FB" w:rsidRPr="00FA314F">
        <w:rPr>
          <w:rFonts w:cs="Arial"/>
          <w:szCs w:val="22"/>
          <w:lang w:val="en-GB"/>
        </w:rPr>
        <w:t xml:space="preserve"> over the last few years (</w:t>
      </w:r>
      <w:r w:rsidR="005A64FB" w:rsidRPr="00FA314F">
        <w:rPr>
          <w:rFonts w:cs="Arial"/>
          <w:szCs w:val="22"/>
          <w:lang w:val="en-GB"/>
        </w:rPr>
        <w:fldChar w:fldCharType="begin"/>
      </w:r>
      <w:r w:rsidR="005A64FB" w:rsidRPr="00FA314F">
        <w:rPr>
          <w:rFonts w:cs="Arial"/>
          <w:szCs w:val="22"/>
          <w:lang w:val="en-GB"/>
        </w:rPr>
        <w:instrText xml:space="preserve"> REF _Ref304271974 \h </w:instrText>
      </w:r>
      <w:r w:rsidR="00CB093C" w:rsidRPr="00FA314F">
        <w:rPr>
          <w:rFonts w:cs="Arial"/>
          <w:szCs w:val="22"/>
          <w:lang w:val="en-GB"/>
        </w:rPr>
        <w:instrText xml:space="preserve"> \* MERGEFORMAT </w:instrText>
      </w:r>
      <w:r w:rsidR="005A64FB" w:rsidRPr="00FA314F">
        <w:rPr>
          <w:rFonts w:cs="Arial"/>
          <w:szCs w:val="22"/>
          <w:lang w:val="en-GB"/>
        </w:rPr>
      </w:r>
      <w:r w:rsidR="005A64FB"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48</w:t>
      </w:r>
      <w:r w:rsidR="005A64FB" w:rsidRPr="00FA314F">
        <w:rPr>
          <w:rFonts w:cs="Arial"/>
          <w:szCs w:val="22"/>
          <w:lang w:val="en-GB"/>
        </w:rPr>
        <w:fldChar w:fldCharType="end"/>
      </w:r>
      <w:r w:rsidR="005A64FB" w:rsidRPr="00FA314F">
        <w:rPr>
          <w:rFonts w:cs="Arial"/>
          <w:szCs w:val="22"/>
          <w:lang w:val="en-GB"/>
        </w:rPr>
        <w:t>). At intertidal coastal and reef habitats, the ratio has remained below the guideline value (20) and C:N ratios at the coastal sites were lower than other habitats in the north (</w:t>
      </w:r>
      <w:r w:rsidR="005A64FB" w:rsidRPr="00FA314F">
        <w:rPr>
          <w:rFonts w:cs="Arial"/>
          <w:szCs w:val="22"/>
          <w:lang w:val="en-GB"/>
        </w:rPr>
        <w:fldChar w:fldCharType="begin"/>
      </w:r>
      <w:r w:rsidR="005A64FB" w:rsidRPr="00FA314F">
        <w:rPr>
          <w:rFonts w:cs="Arial"/>
          <w:szCs w:val="22"/>
          <w:lang w:val="en-GB"/>
        </w:rPr>
        <w:instrText xml:space="preserve"> REF _Ref304271974 \h </w:instrText>
      </w:r>
      <w:r w:rsidR="00CB093C" w:rsidRPr="00FA314F">
        <w:rPr>
          <w:rFonts w:cs="Arial"/>
          <w:szCs w:val="22"/>
          <w:lang w:val="en-GB"/>
        </w:rPr>
        <w:instrText xml:space="preserve"> \* MERGEFORMAT </w:instrText>
      </w:r>
      <w:r w:rsidR="005A64FB" w:rsidRPr="00FA314F">
        <w:rPr>
          <w:rFonts w:cs="Arial"/>
          <w:szCs w:val="22"/>
          <w:lang w:val="en-GB"/>
        </w:rPr>
      </w:r>
      <w:r w:rsidR="005A64FB"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48</w:t>
      </w:r>
      <w:r w:rsidR="005A64FB" w:rsidRPr="00FA314F">
        <w:rPr>
          <w:rFonts w:cs="Arial"/>
          <w:szCs w:val="22"/>
          <w:lang w:val="en-GB"/>
        </w:rPr>
        <w:fldChar w:fldCharType="end"/>
      </w:r>
      <w:r w:rsidR="005A64FB" w:rsidRPr="00FA314F">
        <w:rPr>
          <w:rFonts w:cs="Arial"/>
          <w:szCs w:val="22"/>
          <w:lang w:val="en-GB"/>
        </w:rPr>
        <w:t xml:space="preserve">). This indicates that nitrogen loads are in excess of growth requirements, due </w:t>
      </w:r>
      <w:r w:rsidR="005A64FB" w:rsidRPr="00FA314F">
        <w:rPr>
          <w:rFonts w:cs="Arial"/>
          <w:szCs w:val="22"/>
          <w:lang w:val="en-GB"/>
        </w:rPr>
        <w:lastRenderedPageBreak/>
        <w:t xml:space="preserve">possibly to </w:t>
      </w:r>
      <w:r w:rsidR="00E27762" w:rsidRPr="00FA314F">
        <w:rPr>
          <w:rFonts w:cs="Arial"/>
          <w:szCs w:val="22"/>
          <w:lang w:val="en-GB"/>
        </w:rPr>
        <w:t>elevated N or light limitation</w:t>
      </w:r>
      <w:r w:rsidR="005A64FB" w:rsidRPr="00FA314F">
        <w:rPr>
          <w:rFonts w:cs="Arial"/>
          <w:szCs w:val="22"/>
          <w:lang w:val="en-GB"/>
        </w:rPr>
        <w:t xml:space="preserve">. High N:P ratios </w:t>
      </w:r>
      <w:r w:rsidR="000B3542" w:rsidRPr="00FA314F">
        <w:rPr>
          <w:rFonts w:cs="Arial"/>
          <w:szCs w:val="22"/>
          <w:lang w:val="en-GB"/>
        </w:rPr>
        <w:t xml:space="preserve">and </w:t>
      </w:r>
      <w:r w:rsidR="003C311A">
        <w:rPr>
          <w:rFonts w:cs="Arial"/>
          <w:szCs w:val="22"/>
          <w:lang w:val="en-GB"/>
        </w:rPr>
        <w:t>%</w:t>
      </w:r>
      <w:r w:rsidR="000B3542" w:rsidRPr="00FA314F">
        <w:rPr>
          <w:rFonts w:cs="Arial"/>
          <w:szCs w:val="22"/>
          <w:lang w:val="en-GB"/>
        </w:rPr>
        <w:t xml:space="preserve">N </w:t>
      </w:r>
      <w:r w:rsidR="005A64FB" w:rsidRPr="00FA314F">
        <w:rPr>
          <w:rFonts w:cs="Arial"/>
          <w:szCs w:val="22"/>
          <w:lang w:val="en-GB"/>
        </w:rPr>
        <w:t>in coastal habitats (</w:t>
      </w:r>
      <w:r w:rsidR="005A64FB" w:rsidRPr="00FA314F">
        <w:rPr>
          <w:rFonts w:cs="Arial"/>
          <w:szCs w:val="22"/>
          <w:lang w:val="en-GB"/>
        </w:rPr>
        <w:fldChar w:fldCharType="begin"/>
      </w:r>
      <w:r w:rsidR="005A64FB" w:rsidRPr="00FA314F">
        <w:rPr>
          <w:rFonts w:cs="Arial"/>
          <w:szCs w:val="22"/>
          <w:lang w:val="en-GB"/>
        </w:rPr>
        <w:instrText xml:space="preserve"> REF _Ref304271974 \h </w:instrText>
      </w:r>
      <w:r w:rsidR="00CB093C" w:rsidRPr="00FA314F">
        <w:rPr>
          <w:rFonts w:cs="Arial"/>
          <w:szCs w:val="22"/>
          <w:lang w:val="en-GB"/>
        </w:rPr>
        <w:instrText xml:space="preserve"> \* MERGEFORMAT </w:instrText>
      </w:r>
      <w:r w:rsidR="005A64FB" w:rsidRPr="00FA314F">
        <w:rPr>
          <w:rFonts w:cs="Arial"/>
          <w:szCs w:val="22"/>
          <w:lang w:val="en-GB"/>
        </w:rPr>
      </w:r>
      <w:r w:rsidR="005A64FB"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48</w:t>
      </w:r>
      <w:r w:rsidR="005A64FB" w:rsidRPr="00FA314F">
        <w:rPr>
          <w:rFonts w:cs="Arial"/>
          <w:szCs w:val="22"/>
          <w:lang w:val="en-GB"/>
        </w:rPr>
        <w:fldChar w:fldCharType="end"/>
      </w:r>
      <w:r w:rsidR="005A64FB" w:rsidRPr="00FA314F">
        <w:rPr>
          <w:rFonts w:cs="Arial"/>
          <w:szCs w:val="22"/>
          <w:lang w:val="en-GB"/>
        </w:rPr>
        <w:t>) also provides evidence of excess nitrogen loads at these sites</w:t>
      </w:r>
      <w:r w:rsidR="000F3149">
        <w:rPr>
          <w:rFonts w:cs="Arial"/>
          <w:szCs w:val="22"/>
          <w:lang w:val="en-GB"/>
        </w:rPr>
        <w:t xml:space="preserve">, </w:t>
      </w:r>
      <w:r w:rsidR="00635304">
        <w:rPr>
          <w:rFonts w:cs="Arial"/>
          <w:szCs w:val="22"/>
          <w:lang w:val="en-GB"/>
        </w:rPr>
        <w:t>however</w:t>
      </w:r>
      <w:r w:rsidR="000F3149">
        <w:rPr>
          <w:rFonts w:cs="Arial"/>
          <w:szCs w:val="22"/>
          <w:lang w:val="en-GB"/>
        </w:rPr>
        <w:t>, both values appear to have been declining over the past 4 to 5 years</w:t>
      </w:r>
      <w:r w:rsidR="005A64FB" w:rsidRPr="00FA314F">
        <w:rPr>
          <w:rFonts w:cs="Arial"/>
          <w:szCs w:val="22"/>
          <w:lang w:val="en-GB"/>
        </w:rPr>
        <w:t xml:space="preserve">. </w:t>
      </w:r>
      <w:r w:rsidR="001B6AA0" w:rsidRPr="00FA314F">
        <w:rPr>
          <w:rFonts w:cs="Arial"/>
          <w:szCs w:val="22"/>
          <w:lang w:val="en-GB"/>
        </w:rPr>
        <w:t xml:space="preserve">Seagrasses in </w:t>
      </w:r>
      <w:r w:rsidR="000B3542" w:rsidRPr="00FA314F">
        <w:rPr>
          <w:rFonts w:cs="Arial"/>
          <w:szCs w:val="22"/>
          <w:lang w:val="en-GB"/>
        </w:rPr>
        <w:t xml:space="preserve">subtidal </w:t>
      </w:r>
      <w:r w:rsidR="001B6AA0" w:rsidRPr="00FA314F">
        <w:rPr>
          <w:rFonts w:cs="Arial"/>
          <w:szCs w:val="22"/>
          <w:lang w:val="en-GB"/>
        </w:rPr>
        <w:t xml:space="preserve">reef habitats had higher leaf molar C:N ratios than those in </w:t>
      </w:r>
      <w:r w:rsidR="000B3542" w:rsidRPr="00FA314F">
        <w:rPr>
          <w:rFonts w:cs="Arial"/>
          <w:szCs w:val="22"/>
          <w:lang w:val="en-GB"/>
        </w:rPr>
        <w:t>intertidal</w:t>
      </w:r>
      <w:r w:rsidR="001B6AA0" w:rsidRPr="00FA314F">
        <w:rPr>
          <w:rFonts w:cs="Arial"/>
          <w:szCs w:val="22"/>
          <w:lang w:val="en-GB"/>
        </w:rPr>
        <w:t xml:space="preserve"> habitats, </w:t>
      </w:r>
      <w:r w:rsidR="00DD3003" w:rsidRPr="00FA314F">
        <w:rPr>
          <w:rFonts w:cs="Arial"/>
          <w:szCs w:val="22"/>
          <w:lang w:val="en-GB"/>
        </w:rPr>
        <w:t xml:space="preserve">and higher leaf C:P ratios </w:t>
      </w:r>
      <w:r w:rsidR="000B3542" w:rsidRPr="00FA314F">
        <w:rPr>
          <w:rFonts w:cs="Arial"/>
          <w:szCs w:val="22"/>
          <w:lang w:val="en-GB"/>
        </w:rPr>
        <w:t>(</w:t>
      </w:r>
      <w:r w:rsidR="000B3542" w:rsidRPr="00FA314F">
        <w:rPr>
          <w:rFonts w:cs="Arial"/>
          <w:szCs w:val="22"/>
          <w:lang w:val="en-GB"/>
        </w:rPr>
        <w:fldChar w:fldCharType="begin"/>
      </w:r>
      <w:r w:rsidR="000B3542" w:rsidRPr="00FA314F">
        <w:rPr>
          <w:rFonts w:cs="Arial"/>
          <w:szCs w:val="22"/>
          <w:lang w:val="en-GB"/>
        </w:rPr>
        <w:instrText xml:space="preserve"> REF _Ref304271974 \h </w:instrText>
      </w:r>
      <w:r w:rsidR="00CB093C" w:rsidRPr="00FA314F">
        <w:rPr>
          <w:rFonts w:cs="Arial"/>
          <w:szCs w:val="22"/>
          <w:lang w:val="en-GB"/>
        </w:rPr>
        <w:instrText xml:space="preserve"> \* MERGEFORMAT </w:instrText>
      </w:r>
      <w:r w:rsidR="000B3542" w:rsidRPr="00FA314F">
        <w:rPr>
          <w:rFonts w:cs="Arial"/>
          <w:szCs w:val="22"/>
          <w:lang w:val="en-GB"/>
        </w:rPr>
      </w:r>
      <w:r w:rsidR="000B3542"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48</w:t>
      </w:r>
      <w:r w:rsidR="000B3542" w:rsidRPr="00FA314F">
        <w:rPr>
          <w:rFonts w:cs="Arial"/>
          <w:szCs w:val="22"/>
          <w:lang w:val="en-GB"/>
        </w:rPr>
        <w:fldChar w:fldCharType="end"/>
      </w:r>
      <w:r w:rsidR="000B3542" w:rsidRPr="00FA314F">
        <w:rPr>
          <w:rFonts w:cs="Arial"/>
          <w:szCs w:val="22"/>
          <w:lang w:val="en-GB"/>
        </w:rPr>
        <w:t>)</w:t>
      </w:r>
      <w:r w:rsidR="001B6AA0" w:rsidRPr="00FA314F">
        <w:rPr>
          <w:rFonts w:cs="Arial"/>
          <w:szCs w:val="22"/>
          <w:lang w:val="en-GB"/>
        </w:rPr>
        <w:t xml:space="preserve">. </w:t>
      </w:r>
      <w:r w:rsidR="000F3149">
        <w:rPr>
          <w:rFonts w:cs="Arial"/>
          <w:szCs w:val="22"/>
          <w:lang w:val="en-GB"/>
        </w:rPr>
        <w:t xml:space="preserve">The slightly higher </w:t>
      </w:r>
      <w:r w:rsidR="000F3149" w:rsidRPr="000F3149">
        <w:rPr>
          <w:rFonts w:cs="Arial"/>
          <w:szCs w:val="22"/>
          <w:lang w:val="en-GB"/>
        </w:rPr>
        <w:t>δ</w:t>
      </w:r>
      <w:r w:rsidR="000F3149" w:rsidRPr="000F3149">
        <w:rPr>
          <w:rFonts w:cs="Arial"/>
          <w:szCs w:val="22"/>
          <w:vertAlign w:val="superscript"/>
          <w:lang w:val="en-GB"/>
        </w:rPr>
        <w:t>15</w:t>
      </w:r>
      <w:r w:rsidR="000F3149" w:rsidRPr="000F3149">
        <w:rPr>
          <w:rFonts w:cs="Arial"/>
          <w:szCs w:val="22"/>
          <w:lang w:val="en-GB"/>
        </w:rPr>
        <w:t>N</w:t>
      </w:r>
      <w:r w:rsidR="000F3149">
        <w:rPr>
          <w:rFonts w:cs="Arial"/>
          <w:szCs w:val="22"/>
          <w:lang w:val="en-GB"/>
        </w:rPr>
        <w:t xml:space="preserve"> values at coastal habitats suggests </w:t>
      </w:r>
      <w:r w:rsidR="000F3149" w:rsidRPr="009C55E1">
        <w:rPr>
          <w:rFonts w:cs="Arial"/>
          <w:color w:val="000000" w:themeColor="text1"/>
          <w:szCs w:val="22"/>
        </w:rPr>
        <w:t>multiple sources of nitrogen</w:t>
      </w:r>
      <w:r w:rsidR="000F3149">
        <w:rPr>
          <w:rFonts w:cs="Arial"/>
          <w:color w:val="000000" w:themeColor="text1"/>
          <w:szCs w:val="22"/>
        </w:rPr>
        <w:t xml:space="preserve">, possibly including some </w:t>
      </w:r>
      <w:r w:rsidR="000F3149" w:rsidRPr="000F3149">
        <w:rPr>
          <w:rFonts w:cs="Arial"/>
          <w:color w:val="000000" w:themeColor="text1"/>
          <w:szCs w:val="22"/>
        </w:rPr>
        <w:t>anthropogenic point sources</w:t>
      </w:r>
      <w:r w:rsidR="000F3149">
        <w:rPr>
          <w:rFonts w:cs="Arial"/>
          <w:color w:val="000000" w:themeColor="text1"/>
          <w:szCs w:val="22"/>
        </w:rPr>
        <w:t xml:space="preserve"> </w:t>
      </w:r>
      <w:r w:rsidR="000F3149" w:rsidRPr="00FA314F">
        <w:rPr>
          <w:rFonts w:cs="Arial"/>
          <w:szCs w:val="22"/>
          <w:lang w:val="en-GB"/>
        </w:rPr>
        <w:t>(</w:t>
      </w:r>
      <w:r w:rsidR="000F3149" w:rsidRPr="00FA314F">
        <w:rPr>
          <w:rFonts w:cs="Arial"/>
          <w:szCs w:val="22"/>
          <w:lang w:val="en-GB"/>
        </w:rPr>
        <w:fldChar w:fldCharType="begin"/>
      </w:r>
      <w:r w:rsidR="000F3149" w:rsidRPr="00FA314F">
        <w:rPr>
          <w:rFonts w:cs="Arial"/>
          <w:szCs w:val="22"/>
          <w:lang w:val="en-GB"/>
        </w:rPr>
        <w:instrText xml:space="preserve"> REF _Ref304271974 \h  \* MERGEFORMAT </w:instrText>
      </w:r>
      <w:r w:rsidR="000F3149" w:rsidRPr="00FA314F">
        <w:rPr>
          <w:rFonts w:cs="Arial"/>
          <w:szCs w:val="22"/>
          <w:lang w:val="en-GB"/>
        </w:rPr>
      </w:r>
      <w:r w:rsidR="000F3149"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48</w:t>
      </w:r>
      <w:r w:rsidR="000F3149" w:rsidRPr="00FA314F">
        <w:rPr>
          <w:rFonts w:cs="Arial"/>
          <w:szCs w:val="22"/>
          <w:lang w:val="en-GB"/>
        </w:rPr>
        <w:fldChar w:fldCharType="end"/>
      </w:r>
      <w:r w:rsidR="000F3149" w:rsidRPr="00FA314F">
        <w:rPr>
          <w:rFonts w:cs="Arial"/>
          <w:szCs w:val="22"/>
          <w:lang w:val="en-GB"/>
        </w:rPr>
        <w:t>)</w:t>
      </w:r>
      <w:r w:rsidR="000F3149">
        <w:rPr>
          <w:rFonts w:cs="Arial"/>
          <w:szCs w:val="22"/>
          <w:lang w:val="en-GB"/>
        </w:rPr>
        <w:t>.</w:t>
      </w:r>
    </w:p>
    <w:p w14:paraId="3F5F3102" w14:textId="04584A08" w:rsidR="000B3542" w:rsidRPr="00FA314F" w:rsidRDefault="006F5C82" w:rsidP="006F5C82">
      <w:pPr>
        <w:rPr>
          <w:rFonts w:cs="Arial"/>
          <w:szCs w:val="22"/>
          <w:lang w:val="en-GB"/>
        </w:rPr>
      </w:pPr>
      <w:r w:rsidRPr="00FA314F">
        <w:rPr>
          <w:rFonts w:cs="Arial"/>
          <w:szCs w:val="22"/>
        </w:rPr>
        <w:t xml:space="preserve">In the southern Wet Tropics, </w:t>
      </w:r>
      <w:r w:rsidR="00635304">
        <w:rPr>
          <w:rFonts w:cs="Arial"/>
          <w:szCs w:val="22"/>
          <w:lang w:val="en-GB"/>
        </w:rPr>
        <w:t>similar</w:t>
      </w:r>
      <w:r>
        <w:rPr>
          <w:rFonts w:cs="Arial"/>
          <w:szCs w:val="22"/>
          <w:lang w:val="en-GB"/>
        </w:rPr>
        <w:t xml:space="preserve"> to </w:t>
      </w:r>
      <w:r w:rsidR="00B56945">
        <w:rPr>
          <w:rFonts w:cs="Arial"/>
          <w:szCs w:val="22"/>
          <w:lang w:val="en-GB"/>
        </w:rPr>
        <w:t xml:space="preserve">the </w:t>
      </w:r>
      <w:r w:rsidR="00B56945" w:rsidRPr="00FA314F">
        <w:rPr>
          <w:rFonts w:cs="Arial"/>
          <w:szCs w:val="22"/>
          <w:lang w:val="en-GB"/>
        </w:rPr>
        <w:t>northern sub-region</w:t>
      </w:r>
      <w:r>
        <w:rPr>
          <w:rFonts w:cs="Arial"/>
          <w:szCs w:val="22"/>
          <w:lang w:val="en-GB"/>
        </w:rPr>
        <w:t xml:space="preserve">, </w:t>
      </w:r>
      <w:r w:rsidRPr="00FA314F">
        <w:rPr>
          <w:rFonts w:cs="Arial"/>
          <w:szCs w:val="22"/>
          <w:lang w:val="en-GB"/>
        </w:rPr>
        <w:t>C:N ratios at coastal sites were lower than other habitats</w:t>
      </w:r>
      <w:r>
        <w:rPr>
          <w:rFonts w:cs="Arial"/>
          <w:szCs w:val="22"/>
          <w:lang w:val="en-GB"/>
        </w:rPr>
        <w:t xml:space="preserve">, indicating </w:t>
      </w:r>
      <w:r w:rsidRPr="00FA314F">
        <w:rPr>
          <w:rFonts w:cs="Arial"/>
          <w:szCs w:val="22"/>
          <w:lang w:val="en-GB"/>
        </w:rPr>
        <w:t>nitrogen loads in excess of growth requirements</w:t>
      </w:r>
      <w:r>
        <w:rPr>
          <w:rFonts w:cs="Arial"/>
          <w:szCs w:val="22"/>
          <w:lang w:val="en-GB"/>
        </w:rPr>
        <w:t xml:space="preserve">; </w:t>
      </w:r>
      <w:r w:rsidR="000F3149">
        <w:rPr>
          <w:rFonts w:cs="Arial"/>
          <w:szCs w:val="22"/>
          <w:lang w:val="en-GB"/>
        </w:rPr>
        <w:t xml:space="preserve">similarly </w:t>
      </w:r>
      <w:r>
        <w:rPr>
          <w:rFonts w:cs="Arial"/>
          <w:szCs w:val="22"/>
          <w:lang w:val="en-GB"/>
        </w:rPr>
        <w:t>supported by</w:t>
      </w:r>
      <w:r w:rsidRPr="00FA314F">
        <w:rPr>
          <w:rFonts w:cs="Arial"/>
          <w:szCs w:val="22"/>
          <w:lang w:val="en-GB"/>
        </w:rPr>
        <w:t xml:space="preserve"> </w:t>
      </w:r>
      <w:r>
        <w:rPr>
          <w:rFonts w:cs="Arial"/>
          <w:szCs w:val="22"/>
          <w:lang w:val="en-GB"/>
        </w:rPr>
        <w:t>h</w:t>
      </w:r>
      <w:r w:rsidRPr="00FA314F">
        <w:rPr>
          <w:rFonts w:cs="Arial"/>
          <w:szCs w:val="22"/>
          <w:lang w:val="en-GB"/>
        </w:rPr>
        <w:t>igh</w:t>
      </w:r>
      <w:r>
        <w:rPr>
          <w:rFonts w:cs="Arial"/>
          <w:szCs w:val="22"/>
          <w:lang w:val="en-GB"/>
        </w:rPr>
        <w:t>er</w:t>
      </w:r>
      <w:r w:rsidRPr="00FA314F">
        <w:rPr>
          <w:rFonts w:cs="Arial"/>
          <w:szCs w:val="22"/>
          <w:lang w:val="en-GB"/>
        </w:rPr>
        <w:t xml:space="preserve"> N:P ratios and </w:t>
      </w:r>
      <w:r w:rsidR="003C311A">
        <w:rPr>
          <w:rFonts w:cs="Arial"/>
          <w:szCs w:val="22"/>
          <w:lang w:val="en-GB"/>
        </w:rPr>
        <w:t>%</w:t>
      </w:r>
      <w:r w:rsidRPr="00FA314F">
        <w:rPr>
          <w:rFonts w:cs="Arial"/>
          <w:szCs w:val="22"/>
          <w:lang w:val="en-GB"/>
        </w:rPr>
        <w:t>N</w:t>
      </w:r>
      <w:r w:rsidR="00B56945">
        <w:rPr>
          <w:rFonts w:cs="Arial"/>
          <w:szCs w:val="22"/>
          <w:lang w:val="en-GB"/>
        </w:rPr>
        <w:t xml:space="preserve"> </w:t>
      </w:r>
      <w:r w:rsidR="00B56945" w:rsidRPr="00FA314F">
        <w:rPr>
          <w:rFonts w:cs="Arial"/>
          <w:szCs w:val="22"/>
          <w:lang w:val="en-GB"/>
        </w:rPr>
        <w:t>(</w:t>
      </w:r>
      <w:r w:rsidR="00B56945" w:rsidRPr="00FA314F">
        <w:rPr>
          <w:rFonts w:cs="Arial"/>
          <w:szCs w:val="22"/>
          <w:lang w:val="en-GB"/>
        </w:rPr>
        <w:fldChar w:fldCharType="begin"/>
      </w:r>
      <w:r w:rsidR="00B56945" w:rsidRPr="00FA314F">
        <w:rPr>
          <w:rFonts w:cs="Arial"/>
          <w:szCs w:val="22"/>
          <w:lang w:val="en-GB"/>
        </w:rPr>
        <w:instrText xml:space="preserve"> REF _Ref533683174 \h  \* MERGEFORMAT </w:instrText>
      </w:r>
      <w:r w:rsidR="00B56945" w:rsidRPr="00FA314F">
        <w:rPr>
          <w:rFonts w:cs="Arial"/>
          <w:szCs w:val="22"/>
          <w:lang w:val="en-GB"/>
        </w:rPr>
      </w:r>
      <w:r w:rsidR="00B56945"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49</w:t>
      </w:r>
      <w:r w:rsidR="00B56945" w:rsidRPr="00FA314F">
        <w:rPr>
          <w:rFonts w:cs="Arial"/>
          <w:szCs w:val="22"/>
          <w:lang w:val="en-GB"/>
        </w:rPr>
        <w:fldChar w:fldCharType="end"/>
      </w:r>
      <w:r w:rsidR="00B56945" w:rsidRPr="00FA314F">
        <w:rPr>
          <w:rFonts w:cs="Arial"/>
          <w:szCs w:val="22"/>
          <w:lang w:val="en-GB"/>
        </w:rPr>
        <w:t>)</w:t>
      </w:r>
      <w:r w:rsidRPr="00FA314F">
        <w:rPr>
          <w:rFonts w:cs="Arial"/>
          <w:szCs w:val="22"/>
          <w:lang w:val="en-GB"/>
        </w:rPr>
        <w:t>.</w:t>
      </w:r>
      <w:r w:rsidRPr="006F5C82">
        <w:rPr>
          <w:rFonts w:cs="Arial"/>
          <w:szCs w:val="22"/>
        </w:rPr>
        <w:t xml:space="preserve"> </w:t>
      </w:r>
      <w:r w:rsidRPr="00FA314F">
        <w:rPr>
          <w:rFonts w:cs="Arial"/>
          <w:szCs w:val="22"/>
        </w:rPr>
        <w:t xml:space="preserve">At the reef habitats, seagrass leaf tissue molar C:N ratios </w:t>
      </w:r>
      <w:r w:rsidRPr="00FA314F">
        <w:rPr>
          <w:rFonts w:cs="Arial"/>
          <w:szCs w:val="22"/>
          <w:lang w:val="en-GB"/>
        </w:rPr>
        <w:t>of the foundation seagrass species (in the late dry season 201</w:t>
      </w:r>
      <w:r>
        <w:rPr>
          <w:rFonts w:cs="Arial"/>
          <w:szCs w:val="22"/>
          <w:lang w:val="en-GB"/>
        </w:rPr>
        <w:t>8</w:t>
      </w:r>
      <w:r w:rsidRPr="00FA314F">
        <w:rPr>
          <w:rFonts w:cs="Arial"/>
          <w:szCs w:val="22"/>
          <w:lang w:val="en-GB"/>
        </w:rPr>
        <w:t>) have remained relatively stable below the guideline value (20) over the last few years (</w:t>
      </w:r>
      <w:r w:rsidRPr="00FA314F">
        <w:rPr>
          <w:rFonts w:cs="Arial"/>
          <w:szCs w:val="22"/>
          <w:lang w:val="en-GB"/>
        </w:rPr>
        <w:fldChar w:fldCharType="begin"/>
      </w:r>
      <w:r w:rsidRPr="00FA314F">
        <w:rPr>
          <w:rFonts w:cs="Arial"/>
          <w:szCs w:val="22"/>
          <w:lang w:val="en-GB"/>
        </w:rPr>
        <w:instrText xml:space="preserve"> REF _Ref533683174 \h  \* MERGEFORMAT </w:instrText>
      </w:r>
      <w:r w:rsidRPr="00FA314F">
        <w:rPr>
          <w:rFonts w:cs="Arial"/>
          <w:szCs w:val="22"/>
          <w:lang w:val="en-GB"/>
        </w:rPr>
      </w:r>
      <w:r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49</w:t>
      </w:r>
      <w:r w:rsidRPr="00FA314F">
        <w:rPr>
          <w:rFonts w:cs="Arial"/>
          <w:szCs w:val="22"/>
          <w:lang w:val="en-GB"/>
        </w:rPr>
        <w:fldChar w:fldCharType="end"/>
      </w:r>
      <w:r w:rsidRPr="00FA314F">
        <w:rPr>
          <w:rFonts w:cs="Arial"/>
          <w:szCs w:val="22"/>
          <w:lang w:val="en-GB"/>
        </w:rPr>
        <w:t xml:space="preserve">). </w:t>
      </w:r>
      <w:r w:rsidR="000F3149" w:rsidRPr="000F3149">
        <w:rPr>
          <w:rFonts w:cs="Arial"/>
          <w:szCs w:val="22"/>
          <w:lang w:val="en-GB"/>
        </w:rPr>
        <w:t xml:space="preserve">Similar to the north, this indicates that nitrogen loads are in excess of growth requirements, due possibly to elevated N and/or light limitation. </w:t>
      </w:r>
      <w:r w:rsidR="00AE6B4C">
        <w:rPr>
          <w:rFonts w:cs="Arial"/>
          <w:szCs w:val="22"/>
          <w:lang w:val="en-GB"/>
        </w:rPr>
        <w:t>T</w:t>
      </w:r>
      <w:r w:rsidR="000F3149" w:rsidRPr="000F3149">
        <w:rPr>
          <w:rFonts w:cs="Arial"/>
          <w:szCs w:val="22"/>
          <w:lang w:val="en-GB"/>
        </w:rPr>
        <w:t>he low C:N ratios combined with</w:t>
      </w:r>
      <w:r w:rsidR="0042155C">
        <w:rPr>
          <w:rFonts w:cs="Arial"/>
          <w:szCs w:val="22"/>
          <w:lang w:val="en-GB"/>
        </w:rPr>
        <w:t xml:space="preserve"> %</w:t>
      </w:r>
      <w:r w:rsidR="00AE6B4C" w:rsidRPr="000F3149">
        <w:rPr>
          <w:rFonts w:cs="Arial"/>
          <w:szCs w:val="22"/>
          <w:lang w:val="en-GB"/>
        </w:rPr>
        <w:t xml:space="preserve">N </w:t>
      </w:r>
      <w:r w:rsidR="00AE6B4C">
        <w:rPr>
          <w:rFonts w:cs="Arial"/>
          <w:szCs w:val="22"/>
          <w:lang w:val="en-GB"/>
        </w:rPr>
        <w:t xml:space="preserve">and </w:t>
      </w:r>
      <w:r w:rsidR="000F3149" w:rsidRPr="000F3149">
        <w:rPr>
          <w:rFonts w:cs="Arial"/>
          <w:szCs w:val="22"/>
          <w:lang w:val="en-GB"/>
        </w:rPr>
        <w:t xml:space="preserve">N:P </w:t>
      </w:r>
      <w:r w:rsidR="00AE6B4C">
        <w:rPr>
          <w:rFonts w:cs="Arial"/>
          <w:szCs w:val="22"/>
          <w:lang w:val="en-GB"/>
        </w:rPr>
        <w:t>values</w:t>
      </w:r>
      <w:r w:rsidR="000F3149" w:rsidRPr="000F3149">
        <w:rPr>
          <w:rFonts w:cs="Arial"/>
          <w:szCs w:val="22"/>
          <w:lang w:val="en-GB"/>
        </w:rPr>
        <w:t xml:space="preserve"> marginally above </w:t>
      </w:r>
      <w:r w:rsidR="00AE6B4C">
        <w:rPr>
          <w:rFonts w:cs="Arial"/>
          <w:szCs w:val="22"/>
          <w:lang w:val="en-GB"/>
        </w:rPr>
        <w:t xml:space="preserve">the </w:t>
      </w:r>
      <w:r w:rsidR="00AE6B4C" w:rsidRPr="000F3149">
        <w:rPr>
          <w:rFonts w:cs="Arial"/>
          <w:szCs w:val="22"/>
          <w:lang w:val="en-GB"/>
        </w:rPr>
        <w:t>global guideline</w:t>
      </w:r>
      <w:r w:rsidR="00AE6B4C">
        <w:rPr>
          <w:rFonts w:cs="Arial"/>
          <w:szCs w:val="22"/>
          <w:lang w:val="en-GB"/>
        </w:rPr>
        <w:t>s,</w:t>
      </w:r>
      <w:r w:rsidR="000F3149" w:rsidRPr="000F3149">
        <w:rPr>
          <w:rFonts w:cs="Arial"/>
          <w:szCs w:val="22"/>
          <w:lang w:val="en-GB"/>
        </w:rPr>
        <w:t xml:space="preserve"> suggest some level of excess N</w:t>
      </w:r>
      <w:r w:rsidR="00AE6B4C">
        <w:rPr>
          <w:rFonts w:cs="Arial"/>
          <w:szCs w:val="22"/>
          <w:lang w:val="en-GB"/>
        </w:rPr>
        <w:t>. Also,</w:t>
      </w:r>
      <w:r w:rsidR="000F3149" w:rsidRPr="000F3149">
        <w:rPr>
          <w:rFonts w:cs="Arial"/>
          <w:szCs w:val="22"/>
          <w:lang w:val="en-GB"/>
        </w:rPr>
        <w:t xml:space="preserve"> lower </w:t>
      </w:r>
      <w:r w:rsidR="00AE6B4C" w:rsidRPr="000F3149">
        <w:rPr>
          <w:rFonts w:cs="Arial"/>
          <w:szCs w:val="22"/>
          <w:lang w:val="en-GB"/>
        </w:rPr>
        <w:t>δ</w:t>
      </w:r>
      <w:r w:rsidR="000F3149" w:rsidRPr="00AE6B4C">
        <w:rPr>
          <w:rFonts w:cs="Arial"/>
          <w:szCs w:val="22"/>
          <w:vertAlign w:val="superscript"/>
          <w:lang w:val="en-GB"/>
        </w:rPr>
        <w:t>13</w:t>
      </w:r>
      <w:r w:rsidR="000F3149" w:rsidRPr="000F3149">
        <w:rPr>
          <w:rFonts w:cs="Arial"/>
          <w:szCs w:val="22"/>
          <w:lang w:val="en-GB"/>
        </w:rPr>
        <w:t xml:space="preserve">C </w:t>
      </w:r>
      <w:r w:rsidR="00635304" w:rsidRPr="000F3149">
        <w:rPr>
          <w:rFonts w:cs="Arial"/>
          <w:szCs w:val="22"/>
          <w:lang w:val="en-GB"/>
        </w:rPr>
        <w:t>suggests</w:t>
      </w:r>
      <w:r w:rsidR="000F3149" w:rsidRPr="000F3149">
        <w:rPr>
          <w:rFonts w:cs="Arial"/>
          <w:szCs w:val="22"/>
          <w:lang w:val="en-GB"/>
        </w:rPr>
        <w:t xml:space="preserve"> some </w:t>
      </w:r>
      <w:r w:rsidR="00AE6B4C">
        <w:rPr>
          <w:rFonts w:cs="Arial"/>
          <w:szCs w:val="22"/>
          <w:lang w:val="en-GB"/>
        </w:rPr>
        <w:t xml:space="preserve">degree of </w:t>
      </w:r>
      <w:r w:rsidR="000F3149" w:rsidRPr="000F3149">
        <w:rPr>
          <w:rFonts w:cs="Arial"/>
          <w:szCs w:val="22"/>
          <w:lang w:val="en-GB"/>
        </w:rPr>
        <w:t xml:space="preserve">light limitation, particularly in coastal and subtidal reef habitats (Figure 49). </w:t>
      </w:r>
      <w:r w:rsidR="00AE6B4C">
        <w:rPr>
          <w:rFonts w:cs="Arial"/>
          <w:szCs w:val="22"/>
          <w:lang w:val="en-GB"/>
        </w:rPr>
        <w:t xml:space="preserve">The range </w:t>
      </w:r>
      <w:r w:rsidR="00AE6B4C" w:rsidRPr="000F3149">
        <w:rPr>
          <w:rFonts w:cs="Arial"/>
          <w:szCs w:val="22"/>
          <w:lang w:val="en-GB"/>
        </w:rPr>
        <w:t>δ</w:t>
      </w:r>
      <w:r w:rsidR="00AE6B4C" w:rsidRPr="000F3149">
        <w:rPr>
          <w:rFonts w:cs="Arial"/>
          <w:szCs w:val="22"/>
          <w:vertAlign w:val="superscript"/>
          <w:lang w:val="en-GB"/>
        </w:rPr>
        <w:t>15</w:t>
      </w:r>
      <w:r w:rsidR="00AE6B4C" w:rsidRPr="000F3149">
        <w:rPr>
          <w:rFonts w:cs="Arial"/>
          <w:szCs w:val="22"/>
          <w:lang w:val="en-GB"/>
        </w:rPr>
        <w:t>N</w:t>
      </w:r>
      <w:r w:rsidR="00AE6B4C">
        <w:rPr>
          <w:rFonts w:cs="Arial"/>
          <w:szCs w:val="22"/>
          <w:lang w:val="en-GB"/>
        </w:rPr>
        <w:t xml:space="preserve"> values below 4 across all habitats suggests </w:t>
      </w:r>
      <w:r w:rsidR="00AE6B4C" w:rsidRPr="009C55E1">
        <w:rPr>
          <w:rFonts w:cs="Arial"/>
          <w:color w:val="000000" w:themeColor="text1"/>
          <w:szCs w:val="22"/>
        </w:rPr>
        <w:t>multiple sources of nitrogen</w:t>
      </w:r>
      <w:r w:rsidR="00AE6B4C">
        <w:rPr>
          <w:rFonts w:cs="Arial"/>
          <w:color w:val="000000" w:themeColor="text1"/>
          <w:szCs w:val="22"/>
        </w:rPr>
        <w:t xml:space="preserve">, possibly including some </w:t>
      </w:r>
      <w:r w:rsidR="00AE6B4C" w:rsidRPr="000F3149">
        <w:rPr>
          <w:rFonts w:cs="Arial"/>
          <w:color w:val="000000" w:themeColor="text1"/>
          <w:szCs w:val="22"/>
        </w:rPr>
        <w:t>anthropogenic point sources</w:t>
      </w:r>
      <w:r w:rsidR="00AE6B4C">
        <w:rPr>
          <w:rFonts w:cs="Arial"/>
          <w:color w:val="000000" w:themeColor="text1"/>
          <w:szCs w:val="22"/>
        </w:rPr>
        <w:t xml:space="preserve"> </w:t>
      </w:r>
      <w:r w:rsidR="00AE6B4C" w:rsidRPr="00FA314F">
        <w:rPr>
          <w:rFonts w:cs="Arial"/>
          <w:szCs w:val="22"/>
          <w:lang w:val="en-GB"/>
        </w:rPr>
        <w:t>(</w:t>
      </w:r>
      <w:r w:rsidR="00AE6B4C" w:rsidRPr="00FA314F">
        <w:rPr>
          <w:rFonts w:cs="Arial"/>
          <w:szCs w:val="22"/>
          <w:lang w:val="en-GB"/>
        </w:rPr>
        <w:fldChar w:fldCharType="begin"/>
      </w:r>
      <w:r w:rsidR="00AE6B4C" w:rsidRPr="00FA314F">
        <w:rPr>
          <w:rFonts w:cs="Arial"/>
          <w:szCs w:val="22"/>
          <w:lang w:val="en-GB"/>
        </w:rPr>
        <w:instrText xml:space="preserve"> REF _Ref533683174 \h  \* MERGEFORMAT </w:instrText>
      </w:r>
      <w:r w:rsidR="00AE6B4C" w:rsidRPr="00FA314F">
        <w:rPr>
          <w:rFonts w:cs="Arial"/>
          <w:szCs w:val="22"/>
          <w:lang w:val="en-GB"/>
        </w:rPr>
      </w:r>
      <w:r w:rsidR="00AE6B4C" w:rsidRPr="00FA314F">
        <w:rPr>
          <w:rFonts w:cs="Arial"/>
          <w:szCs w:val="22"/>
          <w:lang w:val="en-GB"/>
        </w:rPr>
        <w:fldChar w:fldCharType="separate"/>
      </w:r>
      <w:r w:rsidR="0067675D" w:rsidRPr="00FA314F">
        <w:rPr>
          <w:rFonts w:cs="Arial"/>
          <w:color w:val="000000"/>
          <w:szCs w:val="22"/>
        </w:rPr>
        <w:t xml:space="preserve">Figure </w:t>
      </w:r>
      <w:r w:rsidR="0067675D">
        <w:rPr>
          <w:rFonts w:cs="Arial"/>
          <w:noProof/>
          <w:color w:val="000000"/>
          <w:szCs w:val="22"/>
        </w:rPr>
        <w:t>49</w:t>
      </w:r>
      <w:r w:rsidR="00AE6B4C" w:rsidRPr="00FA314F">
        <w:rPr>
          <w:rFonts w:cs="Arial"/>
          <w:szCs w:val="22"/>
          <w:lang w:val="en-GB"/>
        </w:rPr>
        <w:fldChar w:fldCharType="end"/>
      </w:r>
      <w:r w:rsidR="00AE6B4C" w:rsidRPr="00FA314F">
        <w:rPr>
          <w:rFonts w:cs="Arial"/>
          <w:szCs w:val="22"/>
          <w:lang w:val="en-GB"/>
        </w:rPr>
        <w:t>)</w:t>
      </w:r>
      <w:r w:rsidR="00AE6B4C">
        <w:rPr>
          <w:rFonts w:cs="Arial"/>
          <w:color w:val="000000" w:themeColor="text1"/>
          <w:szCs w:val="22"/>
        </w:rPr>
        <w:t>. However, t</w:t>
      </w:r>
      <w:r w:rsidR="000F3149" w:rsidRPr="000F3149">
        <w:rPr>
          <w:rFonts w:cs="Arial"/>
          <w:szCs w:val="22"/>
          <w:lang w:val="en-GB"/>
        </w:rPr>
        <w:t>here is currently no indication or concern that anthropogenic point sources are strongly influencing seagrass N supply overall.</w:t>
      </w:r>
    </w:p>
    <w:p w14:paraId="3BF22C0A" w14:textId="77777777" w:rsidR="001B6AA0" w:rsidRPr="00FA314F" w:rsidRDefault="00AA7BCE" w:rsidP="00526A6D">
      <w:pPr>
        <w:keepNext/>
        <w:widowControl w:val="0"/>
        <w:jc w:val="center"/>
        <w:rPr>
          <w:rFonts w:cs="Arial"/>
          <w:color w:val="000000"/>
          <w:szCs w:val="22"/>
          <w:lang w:val="en-GB"/>
        </w:rPr>
      </w:pPr>
      <w:r w:rsidRPr="00FA314F">
        <w:rPr>
          <w:rFonts w:cs="Arial"/>
          <w:noProof/>
          <w:color w:val="000000"/>
          <w:szCs w:val="22"/>
          <w:lang w:eastAsia="en-AU"/>
        </w:rPr>
        <w:lastRenderedPageBreak/>
        <w:drawing>
          <wp:inline distT="0" distB="0" distL="0" distR="0" wp14:anchorId="3FA9DE68" wp14:editId="6C4EF12C">
            <wp:extent cx="5483398" cy="6490257"/>
            <wp:effectExtent l="0" t="0" r="3175" b="6350"/>
            <wp:docPr id="313" name="Picture 313" descr="Set of twenty one scatter plots, displayed in seven by three matrix, with straight lines and markers showing annual elemental ratios (atomic) of seagrass leaf tissue C:N, N:P, C:P, percent Nitrogen, percent Phosphorous, delta 13 Carbon and delta 15 Nitrogen concentrations for the three seagrass habitats in the northern Wet Tropics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WT_CN_yr_Dec16.png"/>
                    <pic:cNvPicPr/>
                  </pic:nvPicPr>
                  <pic:blipFill>
                    <a:blip r:embed="rId101"/>
                    <a:stretch>
                      <a:fillRect/>
                    </a:stretch>
                  </pic:blipFill>
                  <pic:spPr>
                    <a:xfrm>
                      <a:off x="0" y="0"/>
                      <a:ext cx="5483398" cy="6490257"/>
                    </a:xfrm>
                    <a:prstGeom prst="rect">
                      <a:avLst/>
                    </a:prstGeom>
                  </pic:spPr>
                </pic:pic>
              </a:graphicData>
            </a:graphic>
          </wp:inline>
        </w:drawing>
      </w:r>
    </w:p>
    <w:p w14:paraId="211210A8" w14:textId="2ED7CC34" w:rsidR="00930A4B" w:rsidRPr="00FA314F" w:rsidRDefault="00D15580" w:rsidP="00930A4B">
      <w:pPr>
        <w:rPr>
          <w:rFonts w:cs="Arial"/>
          <w:i/>
          <w:vanish/>
          <w:color w:val="000000" w:themeColor="text1"/>
          <w:szCs w:val="22"/>
          <w:specVanish/>
        </w:rPr>
      </w:pPr>
      <w:bookmarkStart w:id="391" w:name="_Ref304271974"/>
      <w:bookmarkStart w:id="392" w:name="_Toc431493846"/>
      <w:bookmarkStart w:id="393" w:name="_Toc38634152"/>
      <w:r w:rsidRPr="00FA314F">
        <w:rPr>
          <w:rFonts w:cs="Arial"/>
          <w:color w:val="000000"/>
          <w:szCs w:val="22"/>
        </w:rPr>
        <w:t xml:space="preserve">Figure </w:t>
      </w:r>
      <w:r w:rsidR="0073595B" w:rsidRPr="00FA314F">
        <w:rPr>
          <w:rFonts w:cs="Arial"/>
          <w:color w:val="000000"/>
          <w:szCs w:val="22"/>
        </w:rPr>
        <w:fldChar w:fldCharType="begin"/>
      </w:r>
      <w:r w:rsidR="0073595B" w:rsidRPr="00FA314F">
        <w:rPr>
          <w:rFonts w:cs="Arial"/>
          <w:color w:val="000000"/>
          <w:szCs w:val="22"/>
        </w:rPr>
        <w:instrText xml:space="preserve"> SEQ Figure \* ARABIC </w:instrText>
      </w:r>
      <w:r w:rsidR="0073595B" w:rsidRPr="00FA314F">
        <w:rPr>
          <w:rFonts w:cs="Arial"/>
          <w:color w:val="000000"/>
          <w:szCs w:val="22"/>
        </w:rPr>
        <w:fldChar w:fldCharType="separate"/>
      </w:r>
      <w:r w:rsidR="0067675D">
        <w:rPr>
          <w:rFonts w:cs="Arial"/>
          <w:noProof/>
          <w:color w:val="000000"/>
          <w:szCs w:val="22"/>
        </w:rPr>
        <w:t>48</w:t>
      </w:r>
      <w:r w:rsidR="0073595B" w:rsidRPr="00FA314F">
        <w:rPr>
          <w:rFonts w:cs="Arial"/>
          <w:color w:val="000000"/>
          <w:szCs w:val="22"/>
        </w:rPr>
        <w:fldChar w:fldCharType="end"/>
      </w:r>
      <w:bookmarkEnd w:id="391"/>
      <w:r w:rsidRPr="00FA314F">
        <w:rPr>
          <w:rFonts w:cs="Arial"/>
          <w:color w:val="000000"/>
          <w:szCs w:val="22"/>
        </w:rPr>
        <w:t xml:space="preserve">. </w:t>
      </w:r>
      <w:bookmarkEnd w:id="392"/>
      <w:r w:rsidR="00930A4B" w:rsidRPr="00FA314F">
        <w:rPr>
          <w:rFonts w:cs="Arial"/>
          <w:i/>
          <w:color w:val="000000"/>
          <w:szCs w:val="22"/>
          <w:lang w:eastAsia="en-AU"/>
        </w:rPr>
        <w:t xml:space="preserve">Seagrass leaf tissue nutrient elemental ratios (C:N:P) and </w:t>
      </w:r>
      <w:r w:rsidR="00930A4B" w:rsidRPr="00FA314F">
        <w:rPr>
          <w:rFonts w:cs="Arial"/>
          <w:i/>
          <w:color w:val="000000"/>
          <w:szCs w:val="22"/>
          <w:lang w:val="en-US"/>
        </w:rPr>
        <w:t>concentrations (</w:t>
      </w:r>
      <w:r w:rsidR="003C311A">
        <w:rPr>
          <w:rFonts w:cs="Arial"/>
          <w:i/>
          <w:color w:val="000000"/>
          <w:szCs w:val="22"/>
          <w:lang w:eastAsia="en-AU"/>
        </w:rPr>
        <w:t>%</w:t>
      </w:r>
      <w:r w:rsidR="00930A4B" w:rsidRPr="00FA314F">
        <w:rPr>
          <w:rFonts w:cs="Arial"/>
          <w:i/>
          <w:color w:val="000000"/>
          <w:szCs w:val="22"/>
          <w:lang w:eastAsia="en-AU"/>
        </w:rPr>
        <w:t xml:space="preserve">N, </w:t>
      </w:r>
      <w:r w:rsidR="003C311A">
        <w:rPr>
          <w:rFonts w:cs="Arial"/>
          <w:i/>
          <w:color w:val="000000"/>
          <w:szCs w:val="22"/>
          <w:lang w:eastAsia="en-AU"/>
        </w:rPr>
        <w:t>%</w:t>
      </w:r>
      <w:r w:rsidR="00930A4B" w:rsidRPr="00FA314F">
        <w:rPr>
          <w:rFonts w:cs="Arial"/>
          <w:i/>
          <w:color w:val="000000"/>
          <w:szCs w:val="22"/>
          <w:lang w:eastAsia="en-AU"/>
        </w:rPr>
        <w:t xml:space="preserve">P, </w:t>
      </w:r>
      <w:r w:rsidR="00930A4B" w:rsidRPr="00FA314F">
        <w:rPr>
          <w:rFonts w:cs="Arial"/>
          <w:i/>
          <w:color w:val="000000"/>
          <w:szCs w:val="22"/>
        </w:rPr>
        <w:t>δ</w:t>
      </w:r>
      <w:r w:rsidR="00930A4B" w:rsidRPr="00FA314F">
        <w:rPr>
          <w:rFonts w:cs="Arial"/>
          <w:i/>
          <w:color w:val="000000"/>
          <w:szCs w:val="22"/>
          <w:vertAlign w:val="superscript"/>
        </w:rPr>
        <w:t>13</w:t>
      </w:r>
      <w:r w:rsidR="00930A4B" w:rsidRPr="00FA314F">
        <w:rPr>
          <w:rFonts w:cs="Arial"/>
          <w:i/>
          <w:color w:val="000000"/>
          <w:szCs w:val="22"/>
        </w:rPr>
        <w:t>C</w:t>
      </w:r>
      <w:r w:rsidR="00930A4B" w:rsidRPr="00FA314F">
        <w:rPr>
          <w:rFonts w:cs="Arial"/>
          <w:i/>
          <w:color w:val="000000"/>
          <w:szCs w:val="22"/>
          <w:lang w:val="en-US"/>
        </w:rPr>
        <w:t xml:space="preserve"> and </w:t>
      </w:r>
      <w:r w:rsidR="00930A4B" w:rsidRPr="00FA314F">
        <w:rPr>
          <w:rFonts w:cs="Arial"/>
          <w:i/>
          <w:color w:val="000000"/>
          <w:szCs w:val="22"/>
        </w:rPr>
        <w:t>δ</w:t>
      </w:r>
      <w:r w:rsidR="00930A4B" w:rsidRPr="00FA314F">
        <w:rPr>
          <w:rFonts w:cs="Arial"/>
          <w:i/>
          <w:color w:val="000000"/>
          <w:szCs w:val="22"/>
          <w:vertAlign w:val="superscript"/>
        </w:rPr>
        <w:t>15</w:t>
      </w:r>
      <w:r w:rsidR="00930A4B" w:rsidRPr="00FA314F">
        <w:rPr>
          <w:rFonts w:cs="Arial"/>
          <w:i/>
          <w:color w:val="000000"/>
          <w:szCs w:val="22"/>
        </w:rPr>
        <w:t>N)</w:t>
      </w:r>
      <w:r w:rsidR="00930A4B" w:rsidRPr="00FA314F">
        <w:rPr>
          <w:rFonts w:cs="Arial"/>
          <w:i/>
          <w:color w:val="000000"/>
          <w:szCs w:val="22"/>
          <w:lang w:val="en-US"/>
        </w:rPr>
        <w:t xml:space="preserve"> </w:t>
      </w:r>
      <w:r w:rsidR="00930A4B" w:rsidRPr="00FA314F">
        <w:rPr>
          <w:rFonts w:cs="Arial"/>
          <w:i/>
          <w:color w:val="000000"/>
          <w:szCs w:val="22"/>
          <w:lang w:eastAsia="en-AU"/>
        </w:rPr>
        <w:t>for each habitat in the northern Wet Tropics region</w:t>
      </w:r>
      <w:bookmarkEnd w:id="393"/>
    </w:p>
    <w:p w14:paraId="40AA4EF0" w14:textId="3F7D3AFA" w:rsidR="00AA24EC" w:rsidRPr="00FA314F" w:rsidRDefault="00930A4B" w:rsidP="00930A4B">
      <w:pPr>
        <w:rPr>
          <w:rFonts w:cs="Arial"/>
          <w:i/>
          <w:color w:val="000000"/>
          <w:szCs w:val="22"/>
          <w:lang w:eastAsia="en-AU"/>
        </w:rPr>
      </w:pPr>
      <w:r w:rsidRPr="00FA314F">
        <w:rPr>
          <w:rFonts w:cs="Arial"/>
          <w:i/>
          <w:color w:val="000000"/>
          <w:szCs w:val="22"/>
          <w:lang w:eastAsia="en-AU"/>
        </w:rPr>
        <w:t xml:space="preserve"> (± SE) (foundation species pooled). Horizontal shaded bands or dashed lines represents the accepted seagrass </w:t>
      </w:r>
      <w:r w:rsidRPr="00FA314F">
        <w:rPr>
          <w:rFonts w:cs="Arial"/>
          <w:i/>
          <w:color w:val="000000"/>
          <w:szCs w:val="22"/>
        </w:rPr>
        <w:t xml:space="preserve">guideline </w:t>
      </w:r>
      <w:r w:rsidRPr="00FA314F">
        <w:rPr>
          <w:rFonts w:cs="Arial"/>
          <w:i/>
          <w:color w:val="000000"/>
          <w:szCs w:val="22"/>
          <w:lang w:eastAsia="en-AU"/>
        </w:rPr>
        <w:t xml:space="preserve">values, where: C:N ratios within the band may </w:t>
      </w:r>
      <w:r w:rsidRPr="00FA314F">
        <w:rPr>
          <w:rFonts w:cs="Arial"/>
          <w:i/>
          <w:color w:val="000000"/>
          <w:szCs w:val="22"/>
        </w:rPr>
        <w:t xml:space="preserve">indicate reduced light availability and/or N enrichment; </w:t>
      </w:r>
      <w:r w:rsidRPr="00FA314F">
        <w:rPr>
          <w:rFonts w:cs="Arial"/>
          <w:i/>
          <w:color w:val="000000"/>
          <w:szCs w:val="22"/>
          <w:lang w:eastAsia="en-AU"/>
        </w:rPr>
        <w:lastRenderedPageBreak/>
        <w:t xml:space="preserve">N:P ratios above the band indicate P limitation, below indicate N limitation and within indicates replete, and; C:P ratios within the band may </w:t>
      </w:r>
      <w:r w:rsidRPr="00FA314F">
        <w:rPr>
          <w:rFonts w:cs="Arial"/>
          <w:i/>
          <w:color w:val="000000"/>
          <w:szCs w:val="22"/>
        </w:rPr>
        <w:t xml:space="preserve">indicate </w:t>
      </w:r>
      <w:r w:rsidRPr="00FA314F">
        <w:rPr>
          <w:rFonts w:cs="Arial"/>
          <w:i/>
          <w:color w:val="000000"/>
          <w:szCs w:val="22"/>
          <w:lang w:eastAsia="en-AU"/>
        </w:rPr>
        <w:t>nutrient rich habitats (large P pool).</w:t>
      </w:r>
      <w:r w:rsidRPr="00FA314F">
        <w:rPr>
          <w:rFonts w:cs="Arial"/>
          <w:color w:val="000000"/>
          <w:szCs w:val="22"/>
          <w:lang w:eastAsia="en-AU"/>
        </w:rPr>
        <w:t xml:space="preserve"> </w:t>
      </w:r>
      <w:r w:rsidRPr="00FA314F">
        <w:rPr>
          <w:rFonts w:cs="Arial"/>
          <w:i/>
          <w:color w:val="000000"/>
          <w:szCs w:val="22"/>
        </w:rPr>
        <w:t xml:space="preserve">Dashed lines in </w:t>
      </w:r>
      <w:r w:rsidR="003C311A">
        <w:rPr>
          <w:rFonts w:cs="Arial"/>
          <w:i/>
          <w:color w:val="000000"/>
          <w:szCs w:val="22"/>
        </w:rPr>
        <w:t>%</w:t>
      </w:r>
      <w:r w:rsidRPr="00FA314F">
        <w:rPr>
          <w:rFonts w:cs="Arial"/>
          <w:i/>
          <w:color w:val="000000"/>
          <w:szCs w:val="22"/>
        </w:rPr>
        <w:t xml:space="preserve">N and </w:t>
      </w:r>
      <w:r w:rsidR="003C311A">
        <w:rPr>
          <w:rFonts w:cs="Arial"/>
          <w:i/>
          <w:color w:val="000000"/>
          <w:szCs w:val="22"/>
        </w:rPr>
        <w:t>%</w:t>
      </w:r>
      <w:r w:rsidRPr="00FA314F">
        <w:rPr>
          <w:rFonts w:cs="Arial"/>
          <w:i/>
          <w:color w:val="000000"/>
          <w:szCs w:val="22"/>
        </w:rPr>
        <w:t>P indicate global median values of 1.8</w:t>
      </w:r>
      <w:r w:rsidR="003C311A">
        <w:rPr>
          <w:rFonts w:cs="Arial"/>
          <w:i/>
          <w:color w:val="000000"/>
          <w:szCs w:val="22"/>
        </w:rPr>
        <w:t xml:space="preserve">% </w:t>
      </w:r>
      <w:r w:rsidRPr="00FA314F">
        <w:rPr>
          <w:rFonts w:cs="Arial"/>
          <w:i/>
          <w:color w:val="000000"/>
          <w:szCs w:val="22"/>
        </w:rPr>
        <w:t>and 0.2</w:t>
      </w:r>
      <w:r w:rsidR="003C311A">
        <w:rPr>
          <w:rFonts w:cs="Arial"/>
          <w:i/>
          <w:color w:val="000000"/>
          <w:szCs w:val="22"/>
        </w:rPr>
        <w:t xml:space="preserve">% </w:t>
      </w:r>
      <w:r w:rsidRPr="00FA314F">
        <w:rPr>
          <w:rFonts w:cs="Arial"/>
          <w:i/>
          <w:color w:val="000000"/>
          <w:szCs w:val="22"/>
        </w:rPr>
        <w:t>for tissue nitrogen and phosphorus, respectively (</w:t>
      </w:r>
      <w:hyperlink w:anchor="_ENREF_53" w:tooltip="Duarte, 1990 #1954" w:history="1">
        <w:r w:rsidR="009A7AB4" w:rsidRPr="00FA314F">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FA314F">
          <w:rPr>
            <w:rFonts w:cs="Arial"/>
            <w:i/>
            <w:color w:val="000000"/>
            <w:szCs w:val="22"/>
          </w:rPr>
          <w:fldChar w:fldCharType="separate"/>
        </w:r>
        <w:r w:rsidR="009A7AB4">
          <w:rPr>
            <w:rFonts w:cs="Arial"/>
            <w:i/>
            <w:noProof/>
            <w:color w:val="000000"/>
            <w:szCs w:val="22"/>
          </w:rPr>
          <w:t>Duarte 1990</w:t>
        </w:r>
        <w:r w:rsidR="009A7AB4" w:rsidRPr="00FA314F">
          <w:rPr>
            <w:rFonts w:cs="Arial"/>
            <w:i/>
            <w:color w:val="000000"/>
            <w:szCs w:val="22"/>
          </w:rPr>
          <w:fldChar w:fldCharType="end"/>
        </w:r>
      </w:hyperlink>
      <w:r w:rsidRPr="00FA314F">
        <w:rPr>
          <w:rFonts w:cs="Arial"/>
          <w:i/>
          <w:color w:val="000000"/>
          <w:szCs w:val="22"/>
        </w:rPr>
        <w:t>).</w:t>
      </w:r>
    </w:p>
    <w:p w14:paraId="3F13BBDD" w14:textId="01967E7B" w:rsidR="00AA24EC" w:rsidRPr="00FA314F" w:rsidRDefault="00AA24EC" w:rsidP="008A59C6">
      <w:pPr>
        <w:rPr>
          <w:rFonts w:cs="Arial"/>
          <w:color w:val="000000"/>
          <w:szCs w:val="22"/>
          <w:lang w:val="en-GB"/>
        </w:rPr>
      </w:pPr>
      <w:r w:rsidRPr="00FA314F">
        <w:rPr>
          <w:rFonts w:cs="Arial"/>
          <w:i/>
          <w:color w:val="000000"/>
          <w:szCs w:val="22"/>
          <w:lang w:eastAsia="en-AU"/>
        </w:rPr>
        <w:br w:type="column"/>
      </w:r>
      <w:r w:rsidRPr="00FA314F">
        <w:rPr>
          <w:rFonts w:cs="Arial"/>
          <w:noProof/>
          <w:color w:val="000000"/>
          <w:szCs w:val="22"/>
          <w:lang w:eastAsia="en-AU"/>
        </w:rPr>
        <w:lastRenderedPageBreak/>
        <w:drawing>
          <wp:inline distT="0" distB="0" distL="0" distR="0" wp14:anchorId="6225DBB8" wp14:editId="2B0E9632">
            <wp:extent cx="5700493" cy="6649321"/>
            <wp:effectExtent l="0" t="0" r="0" b="0"/>
            <wp:docPr id="536" name="Picture 536" descr="Set of twenty one scatter plots, displayed in seven by three matrix, with straight lines and markers showing annual elemental ratios (atomic) of seagrass leaf tissue C:N, N:P, C:P, percent Nitrogen, percent Phosphorous, delta 13 Carbon and delta 15 Nitrogen concentrations for the three seagrass habitats in the southern Wet Tropics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WT_CN_yr_Dec16.png"/>
                    <pic:cNvPicPr/>
                  </pic:nvPicPr>
                  <pic:blipFill>
                    <a:blip r:embed="rId102"/>
                    <a:stretch>
                      <a:fillRect/>
                    </a:stretch>
                  </pic:blipFill>
                  <pic:spPr>
                    <a:xfrm>
                      <a:off x="0" y="0"/>
                      <a:ext cx="5700493" cy="6649321"/>
                    </a:xfrm>
                    <a:prstGeom prst="rect">
                      <a:avLst/>
                    </a:prstGeom>
                  </pic:spPr>
                </pic:pic>
              </a:graphicData>
            </a:graphic>
          </wp:inline>
        </w:drawing>
      </w:r>
    </w:p>
    <w:p w14:paraId="1913B855" w14:textId="03533F9A" w:rsidR="00930A4B" w:rsidRPr="00FA314F" w:rsidRDefault="00AA24EC" w:rsidP="00930A4B">
      <w:pPr>
        <w:rPr>
          <w:rFonts w:cs="Arial"/>
          <w:i/>
          <w:vanish/>
          <w:color w:val="000000" w:themeColor="text1"/>
          <w:szCs w:val="22"/>
          <w:specVanish/>
        </w:rPr>
      </w:pPr>
      <w:bookmarkStart w:id="394" w:name="_Ref533683174"/>
      <w:bookmarkStart w:id="395" w:name="_Toc38634153"/>
      <w:r w:rsidRPr="00FA314F">
        <w:rPr>
          <w:rFonts w:cs="Arial"/>
          <w:color w:val="000000"/>
          <w:szCs w:val="22"/>
        </w:rPr>
        <w:t xml:space="preserve">Figure </w:t>
      </w:r>
      <w:r w:rsidRPr="00FA314F">
        <w:rPr>
          <w:rFonts w:cs="Arial"/>
          <w:color w:val="000000"/>
          <w:szCs w:val="22"/>
        </w:rPr>
        <w:fldChar w:fldCharType="begin"/>
      </w:r>
      <w:r w:rsidRPr="00FA314F">
        <w:rPr>
          <w:rFonts w:cs="Arial"/>
          <w:color w:val="000000"/>
          <w:szCs w:val="22"/>
        </w:rPr>
        <w:instrText xml:space="preserve"> SEQ Figure \* ARABIC </w:instrText>
      </w:r>
      <w:r w:rsidRPr="00FA314F">
        <w:rPr>
          <w:rFonts w:cs="Arial"/>
          <w:color w:val="000000"/>
          <w:szCs w:val="22"/>
        </w:rPr>
        <w:fldChar w:fldCharType="separate"/>
      </w:r>
      <w:r w:rsidR="0067675D">
        <w:rPr>
          <w:rFonts w:cs="Arial"/>
          <w:noProof/>
          <w:color w:val="000000"/>
          <w:szCs w:val="22"/>
        </w:rPr>
        <w:t>49</w:t>
      </w:r>
      <w:r w:rsidRPr="00FA314F">
        <w:rPr>
          <w:rFonts w:cs="Arial"/>
          <w:color w:val="000000"/>
          <w:szCs w:val="22"/>
        </w:rPr>
        <w:fldChar w:fldCharType="end"/>
      </w:r>
      <w:bookmarkEnd w:id="394"/>
      <w:r w:rsidRPr="00FA314F">
        <w:rPr>
          <w:rFonts w:cs="Arial"/>
          <w:color w:val="000000"/>
          <w:szCs w:val="22"/>
        </w:rPr>
        <w:t xml:space="preserve">. </w:t>
      </w:r>
      <w:r w:rsidR="00930A4B" w:rsidRPr="00FA314F">
        <w:rPr>
          <w:rFonts w:cs="Arial"/>
          <w:i/>
          <w:color w:val="000000"/>
          <w:szCs w:val="22"/>
          <w:lang w:eastAsia="en-AU"/>
        </w:rPr>
        <w:t xml:space="preserve">Seagrass leaf tissue nutrient elemental ratios (C:N:P) and </w:t>
      </w:r>
      <w:r w:rsidR="00930A4B" w:rsidRPr="00FA314F">
        <w:rPr>
          <w:rFonts w:cs="Arial"/>
          <w:i/>
          <w:color w:val="000000"/>
          <w:szCs w:val="22"/>
          <w:lang w:val="en-US"/>
        </w:rPr>
        <w:t>concentrations (</w:t>
      </w:r>
      <w:r w:rsidR="003C311A">
        <w:rPr>
          <w:rFonts w:cs="Arial"/>
          <w:i/>
          <w:color w:val="000000"/>
          <w:szCs w:val="22"/>
          <w:lang w:eastAsia="en-AU"/>
        </w:rPr>
        <w:t>%</w:t>
      </w:r>
      <w:r w:rsidR="00930A4B" w:rsidRPr="00FA314F">
        <w:rPr>
          <w:rFonts w:cs="Arial"/>
          <w:i/>
          <w:color w:val="000000"/>
          <w:szCs w:val="22"/>
          <w:lang w:eastAsia="en-AU"/>
        </w:rPr>
        <w:t xml:space="preserve">N, </w:t>
      </w:r>
      <w:r w:rsidR="003C311A">
        <w:rPr>
          <w:rFonts w:cs="Arial"/>
          <w:i/>
          <w:color w:val="000000"/>
          <w:szCs w:val="22"/>
          <w:lang w:eastAsia="en-AU"/>
        </w:rPr>
        <w:t>%</w:t>
      </w:r>
      <w:r w:rsidR="00930A4B" w:rsidRPr="00FA314F">
        <w:rPr>
          <w:rFonts w:cs="Arial"/>
          <w:i/>
          <w:color w:val="000000"/>
          <w:szCs w:val="22"/>
          <w:lang w:eastAsia="en-AU"/>
        </w:rPr>
        <w:t xml:space="preserve">P, </w:t>
      </w:r>
      <w:r w:rsidR="00930A4B" w:rsidRPr="00FA314F">
        <w:rPr>
          <w:rFonts w:cs="Arial"/>
          <w:i/>
          <w:color w:val="000000"/>
          <w:szCs w:val="22"/>
        </w:rPr>
        <w:t>δ</w:t>
      </w:r>
      <w:r w:rsidR="00930A4B" w:rsidRPr="00FA314F">
        <w:rPr>
          <w:rFonts w:cs="Arial"/>
          <w:i/>
          <w:color w:val="000000"/>
          <w:szCs w:val="22"/>
          <w:vertAlign w:val="superscript"/>
        </w:rPr>
        <w:t>13</w:t>
      </w:r>
      <w:r w:rsidR="00930A4B" w:rsidRPr="00FA314F">
        <w:rPr>
          <w:rFonts w:cs="Arial"/>
          <w:i/>
          <w:color w:val="000000"/>
          <w:szCs w:val="22"/>
        </w:rPr>
        <w:t>C</w:t>
      </w:r>
      <w:r w:rsidR="00930A4B" w:rsidRPr="00FA314F">
        <w:rPr>
          <w:rFonts w:cs="Arial"/>
          <w:i/>
          <w:color w:val="000000"/>
          <w:szCs w:val="22"/>
          <w:lang w:val="en-US"/>
        </w:rPr>
        <w:t xml:space="preserve"> and </w:t>
      </w:r>
      <w:r w:rsidR="00930A4B" w:rsidRPr="00FA314F">
        <w:rPr>
          <w:rFonts w:cs="Arial"/>
          <w:i/>
          <w:color w:val="000000"/>
          <w:szCs w:val="22"/>
        </w:rPr>
        <w:t>δ</w:t>
      </w:r>
      <w:r w:rsidR="00930A4B" w:rsidRPr="00FA314F">
        <w:rPr>
          <w:rFonts w:cs="Arial"/>
          <w:i/>
          <w:color w:val="000000"/>
          <w:szCs w:val="22"/>
          <w:vertAlign w:val="superscript"/>
        </w:rPr>
        <w:t>15</w:t>
      </w:r>
      <w:r w:rsidR="00930A4B" w:rsidRPr="00FA314F">
        <w:rPr>
          <w:rFonts w:cs="Arial"/>
          <w:i/>
          <w:color w:val="000000"/>
          <w:szCs w:val="22"/>
        </w:rPr>
        <w:t>N)</w:t>
      </w:r>
      <w:r w:rsidR="00930A4B" w:rsidRPr="00FA314F">
        <w:rPr>
          <w:rFonts w:cs="Arial"/>
          <w:i/>
          <w:color w:val="000000"/>
          <w:szCs w:val="22"/>
          <w:lang w:val="en-US"/>
        </w:rPr>
        <w:t xml:space="preserve"> </w:t>
      </w:r>
      <w:r w:rsidR="00930A4B" w:rsidRPr="00FA314F">
        <w:rPr>
          <w:rFonts w:cs="Arial"/>
          <w:i/>
          <w:color w:val="000000"/>
          <w:szCs w:val="22"/>
          <w:lang w:eastAsia="en-AU"/>
        </w:rPr>
        <w:t>for each habitat in the southern Wet Tropics region</w:t>
      </w:r>
      <w:bookmarkEnd w:id="395"/>
    </w:p>
    <w:p w14:paraId="6C1E5167" w14:textId="24A3A996" w:rsidR="00AA24EC" w:rsidRPr="00FA314F" w:rsidRDefault="00930A4B" w:rsidP="00930A4B">
      <w:pPr>
        <w:rPr>
          <w:rFonts w:cs="Arial"/>
          <w:i/>
          <w:iCs/>
          <w:vanish/>
          <w:color w:val="000000"/>
          <w:szCs w:val="22"/>
          <w:lang w:eastAsia="en-AU"/>
        </w:rPr>
      </w:pPr>
      <w:r w:rsidRPr="00FA314F">
        <w:rPr>
          <w:rFonts w:cs="Arial"/>
          <w:i/>
          <w:color w:val="000000"/>
          <w:szCs w:val="22"/>
          <w:lang w:eastAsia="en-AU"/>
        </w:rPr>
        <w:t xml:space="preserve"> (± SE) (foundation species pooled). Horizontal shaded bands or dashed lines represents the accepted seagrass </w:t>
      </w:r>
      <w:r w:rsidRPr="00FA314F">
        <w:rPr>
          <w:rFonts w:cs="Arial"/>
          <w:i/>
          <w:color w:val="000000"/>
          <w:szCs w:val="22"/>
        </w:rPr>
        <w:t xml:space="preserve">guideline </w:t>
      </w:r>
      <w:r w:rsidRPr="00FA314F">
        <w:rPr>
          <w:rFonts w:cs="Arial"/>
          <w:i/>
          <w:color w:val="000000"/>
          <w:szCs w:val="22"/>
          <w:lang w:eastAsia="en-AU"/>
        </w:rPr>
        <w:t xml:space="preserve">values, where: C:N ratios </w:t>
      </w:r>
      <w:r w:rsidRPr="00FA314F">
        <w:rPr>
          <w:rFonts w:cs="Arial"/>
          <w:i/>
          <w:color w:val="000000"/>
          <w:szCs w:val="22"/>
          <w:lang w:eastAsia="en-AU"/>
        </w:rPr>
        <w:lastRenderedPageBreak/>
        <w:t xml:space="preserve">within the band may </w:t>
      </w:r>
      <w:r w:rsidRPr="00FA314F">
        <w:rPr>
          <w:rFonts w:cs="Arial"/>
          <w:i/>
          <w:color w:val="000000"/>
          <w:szCs w:val="22"/>
        </w:rPr>
        <w:t xml:space="preserve">indicate reduced light availability and/or N enrichment; </w:t>
      </w:r>
      <w:r w:rsidRPr="00FA314F">
        <w:rPr>
          <w:rFonts w:cs="Arial"/>
          <w:i/>
          <w:color w:val="000000"/>
          <w:szCs w:val="22"/>
          <w:lang w:eastAsia="en-AU"/>
        </w:rPr>
        <w:t xml:space="preserve">N:P ratios above the band indicate P limitation, below indicate N limitation and within indicates replete, and; C:P ratios within the band may </w:t>
      </w:r>
      <w:r w:rsidRPr="00FA314F">
        <w:rPr>
          <w:rFonts w:cs="Arial"/>
          <w:i/>
          <w:color w:val="000000"/>
          <w:szCs w:val="22"/>
        </w:rPr>
        <w:t xml:space="preserve">indicate </w:t>
      </w:r>
      <w:r w:rsidRPr="00FA314F">
        <w:rPr>
          <w:rFonts w:cs="Arial"/>
          <w:i/>
          <w:color w:val="000000"/>
          <w:szCs w:val="22"/>
          <w:lang w:eastAsia="en-AU"/>
        </w:rPr>
        <w:t>nutrient rich habitats (large P pool).</w:t>
      </w:r>
      <w:r w:rsidRPr="00FA314F">
        <w:rPr>
          <w:rFonts w:cs="Arial"/>
          <w:color w:val="000000"/>
          <w:szCs w:val="22"/>
          <w:lang w:eastAsia="en-AU"/>
        </w:rPr>
        <w:t xml:space="preserve"> </w:t>
      </w:r>
      <w:r w:rsidRPr="00FA314F">
        <w:rPr>
          <w:rFonts w:cs="Arial"/>
          <w:i/>
          <w:color w:val="000000"/>
          <w:szCs w:val="22"/>
        </w:rPr>
        <w:t xml:space="preserve">Dashed lines in </w:t>
      </w:r>
      <w:r w:rsidR="003C311A">
        <w:rPr>
          <w:rFonts w:cs="Arial"/>
          <w:i/>
          <w:color w:val="000000"/>
          <w:szCs w:val="22"/>
        </w:rPr>
        <w:t>%</w:t>
      </w:r>
      <w:r w:rsidRPr="00FA314F">
        <w:rPr>
          <w:rFonts w:cs="Arial"/>
          <w:i/>
          <w:color w:val="000000"/>
          <w:szCs w:val="22"/>
        </w:rPr>
        <w:t xml:space="preserve">N and </w:t>
      </w:r>
      <w:r w:rsidR="003C311A">
        <w:rPr>
          <w:rFonts w:cs="Arial"/>
          <w:i/>
          <w:color w:val="000000"/>
          <w:szCs w:val="22"/>
        </w:rPr>
        <w:t>%</w:t>
      </w:r>
      <w:r w:rsidRPr="00FA314F">
        <w:rPr>
          <w:rFonts w:cs="Arial"/>
          <w:i/>
          <w:color w:val="000000"/>
          <w:szCs w:val="22"/>
        </w:rPr>
        <w:t>P indicate global median values of 1.8</w:t>
      </w:r>
      <w:r w:rsidR="003C311A">
        <w:rPr>
          <w:rFonts w:cs="Arial"/>
          <w:i/>
          <w:color w:val="000000"/>
          <w:szCs w:val="22"/>
        </w:rPr>
        <w:t xml:space="preserve">% </w:t>
      </w:r>
      <w:r w:rsidRPr="00FA314F">
        <w:rPr>
          <w:rFonts w:cs="Arial"/>
          <w:i/>
          <w:color w:val="000000"/>
          <w:szCs w:val="22"/>
        </w:rPr>
        <w:t>and 0.2</w:t>
      </w:r>
      <w:r w:rsidR="003C311A">
        <w:rPr>
          <w:rFonts w:cs="Arial"/>
          <w:i/>
          <w:color w:val="000000"/>
          <w:szCs w:val="22"/>
        </w:rPr>
        <w:t xml:space="preserve">% </w:t>
      </w:r>
      <w:r w:rsidRPr="00FA314F">
        <w:rPr>
          <w:rFonts w:cs="Arial"/>
          <w:i/>
          <w:color w:val="000000"/>
          <w:szCs w:val="22"/>
        </w:rPr>
        <w:t>for tissue nitrogen and phosphorus, respectively (</w:t>
      </w:r>
      <w:hyperlink w:anchor="_ENREF_53" w:tooltip="Duarte, 1990 #1954" w:history="1">
        <w:r w:rsidR="009A7AB4" w:rsidRPr="00FA314F">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FA314F">
          <w:rPr>
            <w:rFonts w:cs="Arial"/>
            <w:i/>
            <w:color w:val="000000"/>
            <w:szCs w:val="22"/>
          </w:rPr>
          <w:fldChar w:fldCharType="separate"/>
        </w:r>
        <w:r w:rsidR="009A7AB4">
          <w:rPr>
            <w:rFonts w:cs="Arial"/>
            <w:i/>
            <w:noProof/>
            <w:color w:val="000000"/>
            <w:szCs w:val="22"/>
          </w:rPr>
          <w:t>Duarte 1990</w:t>
        </w:r>
        <w:r w:rsidR="009A7AB4" w:rsidRPr="00FA314F">
          <w:rPr>
            <w:rFonts w:cs="Arial"/>
            <w:i/>
            <w:color w:val="000000"/>
            <w:szCs w:val="22"/>
          </w:rPr>
          <w:fldChar w:fldCharType="end"/>
        </w:r>
      </w:hyperlink>
      <w:r w:rsidRPr="00FA314F">
        <w:rPr>
          <w:rFonts w:cs="Arial"/>
          <w:i/>
          <w:color w:val="000000"/>
          <w:szCs w:val="22"/>
        </w:rPr>
        <w:t>).</w:t>
      </w:r>
    </w:p>
    <w:p w14:paraId="4DD6A8BA" w14:textId="77777777" w:rsidR="00AA24EC" w:rsidRPr="00FA314F" w:rsidRDefault="00AA24EC" w:rsidP="0015251F">
      <w:pPr>
        <w:rPr>
          <w:rFonts w:cs="Arial"/>
          <w:szCs w:val="22"/>
          <w:lang w:val="en-GB"/>
        </w:rPr>
      </w:pPr>
    </w:p>
    <w:p w14:paraId="76436CD4" w14:textId="02A68BD8" w:rsidR="005132EF" w:rsidRPr="00FA314F" w:rsidRDefault="005132EF" w:rsidP="000150D8">
      <w:pPr>
        <w:pStyle w:val="Heading4"/>
      </w:pPr>
      <w:bookmarkStart w:id="396" w:name="_Toc232845914"/>
      <w:bookmarkStart w:id="397" w:name="_Toc184101989"/>
      <w:bookmarkStart w:id="398" w:name="_Toc37775083"/>
      <w:bookmarkStart w:id="399" w:name="_Toc43987058"/>
      <w:bookmarkEnd w:id="389"/>
      <w:bookmarkEnd w:id="390"/>
      <w:r w:rsidRPr="00FA314F">
        <w:t>Epiphytes and macroalgae</w:t>
      </w:r>
      <w:bookmarkEnd w:id="396"/>
      <w:bookmarkEnd w:id="397"/>
      <w:bookmarkEnd w:id="398"/>
      <w:bookmarkEnd w:id="399"/>
    </w:p>
    <w:p w14:paraId="7EE432B8" w14:textId="4569B670" w:rsidR="002071D5" w:rsidRPr="00FA314F" w:rsidRDefault="00F12530" w:rsidP="00F12530">
      <w:pPr>
        <w:rPr>
          <w:rFonts w:cs="Arial"/>
          <w:szCs w:val="22"/>
          <w:lang w:val="en-US"/>
        </w:rPr>
      </w:pPr>
      <w:r w:rsidRPr="00FA314F">
        <w:rPr>
          <w:rFonts w:cs="Arial"/>
          <w:szCs w:val="22"/>
          <w:lang w:val="en-US"/>
        </w:rPr>
        <w:t>Epiphyte cover on seagrass leaf blades has historically been higher in the wet season across all habitats in the Wet Tropics region (</w:t>
      </w:r>
      <w:r w:rsidRPr="00FA314F">
        <w:rPr>
          <w:rFonts w:cs="Arial"/>
          <w:szCs w:val="22"/>
          <w:lang w:val="en-US"/>
        </w:rPr>
        <w:fldChar w:fldCharType="begin"/>
      </w:r>
      <w:r w:rsidRPr="00FA314F">
        <w:rPr>
          <w:rFonts w:cs="Arial"/>
          <w:szCs w:val="22"/>
          <w:lang w:val="en-US"/>
        </w:rPr>
        <w:instrText xml:space="preserve"> REF _Ref380413215 \h  \* MERGEFORMAT </w:instrText>
      </w:r>
      <w:r w:rsidRPr="00FA314F">
        <w:rPr>
          <w:rFonts w:cs="Arial"/>
          <w:szCs w:val="22"/>
          <w:lang w:val="en-US"/>
        </w:rPr>
      </w:r>
      <w:r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50</w:t>
      </w:r>
      <w:r w:rsidRPr="00FA314F">
        <w:rPr>
          <w:rFonts w:cs="Arial"/>
          <w:szCs w:val="22"/>
          <w:lang w:val="en-US"/>
        </w:rPr>
        <w:fldChar w:fldCharType="end"/>
      </w:r>
      <w:r w:rsidRPr="00FA314F">
        <w:rPr>
          <w:rFonts w:cs="Arial"/>
          <w:szCs w:val="22"/>
          <w:lang w:val="en-US"/>
        </w:rPr>
        <w:t xml:space="preserve">). Epiphyte cover remained above the </w:t>
      </w:r>
      <w:r w:rsidR="002071D5" w:rsidRPr="00FA314F">
        <w:rPr>
          <w:rFonts w:cs="Arial"/>
          <w:szCs w:val="22"/>
          <w:lang w:val="en-US"/>
        </w:rPr>
        <w:t xml:space="preserve">Reef-wide </w:t>
      </w:r>
      <w:r w:rsidRPr="00FA314F">
        <w:rPr>
          <w:rFonts w:cs="Arial"/>
          <w:szCs w:val="22"/>
          <w:lang w:val="en-US"/>
        </w:rPr>
        <w:t xml:space="preserve">long-term average across all </w:t>
      </w:r>
      <w:r w:rsidR="00AA3FE2" w:rsidRPr="00FA314F">
        <w:rPr>
          <w:rFonts w:cs="Arial"/>
          <w:szCs w:val="22"/>
          <w:lang w:val="en-US"/>
        </w:rPr>
        <w:t xml:space="preserve">intertidal </w:t>
      </w:r>
      <w:r w:rsidRPr="00FA314F">
        <w:rPr>
          <w:rFonts w:cs="Arial"/>
          <w:szCs w:val="22"/>
          <w:lang w:val="en-US"/>
        </w:rPr>
        <w:t xml:space="preserve">habitats in the northern Wet Tropics in </w:t>
      </w:r>
      <w:r w:rsidR="00956639" w:rsidRPr="00FA314F">
        <w:rPr>
          <w:rFonts w:cs="Arial"/>
          <w:szCs w:val="22"/>
          <w:lang w:val="en-US"/>
        </w:rPr>
        <w:t>2018–19</w:t>
      </w:r>
      <w:r w:rsidRPr="00FA314F">
        <w:rPr>
          <w:rFonts w:cs="Arial"/>
          <w:szCs w:val="22"/>
          <w:lang w:val="en-US"/>
        </w:rPr>
        <w:t xml:space="preserve"> (</w:t>
      </w:r>
      <w:r w:rsidRPr="00FA314F">
        <w:rPr>
          <w:rFonts w:cs="Arial"/>
          <w:szCs w:val="22"/>
          <w:lang w:val="en-US"/>
        </w:rPr>
        <w:fldChar w:fldCharType="begin"/>
      </w:r>
      <w:r w:rsidRPr="00FA314F">
        <w:rPr>
          <w:rFonts w:cs="Arial"/>
          <w:szCs w:val="22"/>
          <w:lang w:val="en-US"/>
        </w:rPr>
        <w:instrText xml:space="preserve"> REF _Ref380413215 \h </w:instrText>
      </w:r>
      <w:r w:rsidR="00CB093C" w:rsidRPr="00FA314F">
        <w:rPr>
          <w:rFonts w:cs="Arial"/>
          <w:szCs w:val="22"/>
          <w:lang w:val="en-US"/>
        </w:rPr>
        <w:instrText xml:space="preserve"> \* MERGEFORMAT </w:instrText>
      </w:r>
      <w:r w:rsidRPr="00FA314F">
        <w:rPr>
          <w:rFonts w:cs="Arial"/>
          <w:szCs w:val="22"/>
          <w:lang w:val="en-US"/>
        </w:rPr>
      </w:r>
      <w:r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50</w:t>
      </w:r>
      <w:r w:rsidRPr="00FA314F">
        <w:rPr>
          <w:rFonts w:cs="Arial"/>
          <w:szCs w:val="22"/>
          <w:lang w:val="en-US"/>
        </w:rPr>
        <w:fldChar w:fldCharType="end"/>
      </w:r>
      <w:r w:rsidRPr="00FA314F">
        <w:rPr>
          <w:rFonts w:cs="Arial"/>
          <w:szCs w:val="22"/>
          <w:lang w:val="en-US"/>
        </w:rPr>
        <w:t>)</w:t>
      </w:r>
      <w:r w:rsidR="00AA3FE2" w:rsidRPr="00FA314F">
        <w:rPr>
          <w:rFonts w:cs="Arial"/>
          <w:szCs w:val="22"/>
          <w:lang w:val="en-US"/>
        </w:rPr>
        <w:t>, but below average in the subtidal habitats</w:t>
      </w:r>
      <w:r w:rsidRPr="00FA314F">
        <w:rPr>
          <w:rFonts w:cs="Arial"/>
          <w:szCs w:val="22"/>
          <w:lang w:val="en-US"/>
        </w:rPr>
        <w:t xml:space="preserve">. </w:t>
      </w:r>
    </w:p>
    <w:p w14:paraId="56374495" w14:textId="09EE1903" w:rsidR="00F12530" w:rsidRPr="00FA314F" w:rsidRDefault="00F12530" w:rsidP="00F12530">
      <w:pPr>
        <w:rPr>
          <w:rFonts w:cs="Arial"/>
          <w:szCs w:val="22"/>
          <w:lang w:val="en-US"/>
        </w:rPr>
      </w:pPr>
      <w:r w:rsidRPr="00FA314F">
        <w:rPr>
          <w:rFonts w:cs="Arial"/>
          <w:szCs w:val="22"/>
          <w:lang w:val="en-US"/>
        </w:rPr>
        <w:t>Macroalgae cover</w:t>
      </w:r>
      <w:r w:rsidR="00AA3FE2" w:rsidRPr="00FA314F">
        <w:rPr>
          <w:rFonts w:cs="Arial"/>
          <w:szCs w:val="22"/>
          <w:lang w:val="en-US"/>
        </w:rPr>
        <w:t xml:space="preserve"> was lower than </w:t>
      </w:r>
      <w:r w:rsidR="007B0173" w:rsidRPr="00FA314F">
        <w:rPr>
          <w:rFonts w:cs="Arial"/>
          <w:szCs w:val="22"/>
          <w:lang w:val="en-US"/>
        </w:rPr>
        <w:t>the Reef long-term average</w:t>
      </w:r>
      <w:r w:rsidR="00AA3FE2" w:rsidRPr="00FA314F">
        <w:rPr>
          <w:rFonts w:cs="Arial"/>
          <w:szCs w:val="22"/>
          <w:lang w:val="en-US"/>
        </w:rPr>
        <w:t xml:space="preserve"> in all habitats in the wet season</w:t>
      </w:r>
      <w:r w:rsidR="00F43490" w:rsidRPr="00FA314F">
        <w:rPr>
          <w:rFonts w:cs="Arial"/>
          <w:szCs w:val="22"/>
          <w:lang w:val="en-US"/>
        </w:rPr>
        <w:t xml:space="preserve"> (</w:t>
      </w:r>
      <w:r w:rsidR="00F43490" w:rsidRPr="00FA314F">
        <w:rPr>
          <w:rFonts w:cs="Arial"/>
          <w:szCs w:val="22"/>
          <w:lang w:val="en-US"/>
        </w:rPr>
        <w:fldChar w:fldCharType="begin"/>
      </w:r>
      <w:r w:rsidR="00F43490" w:rsidRPr="00FA314F">
        <w:rPr>
          <w:rFonts w:cs="Arial"/>
          <w:szCs w:val="22"/>
          <w:lang w:val="en-US"/>
        </w:rPr>
        <w:instrText xml:space="preserve"> REF _Ref380413215 \h </w:instrText>
      </w:r>
      <w:r w:rsidR="00FA314F">
        <w:rPr>
          <w:rFonts w:cs="Arial"/>
          <w:szCs w:val="22"/>
          <w:lang w:val="en-US"/>
        </w:rPr>
        <w:instrText xml:space="preserve"> \* MERGEFORMAT </w:instrText>
      </w:r>
      <w:r w:rsidR="00F43490" w:rsidRPr="00FA314F">
        <w:rPr>
          <w:rFonts w:cs="Arial"/>
          <w:szCs w:val="22"/>
          <w:lang w:val="en-US"/>
        </w:rPr>
      </w:r>
      <w:r w:rsidR="00F43490"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50</w:t>
      </w:r>
      <w:r w:rsidR="00F43490" w:rsidRPr="00FA314F">
        <w:rPr>
          <w:rFonts w:cs="Arial"/>
          <w:szCs w:val="22"/>
          <w:lang w:val="en-US"/>
        </w:rPr>
        <w:fldChar w:fldCharType="end"/>
      </w:r>
      <w:r w:rsidR="00F43490" w:rsidRPr="00FA314F">
        <w:rPr>
          <w:rFonts w:cs="Arial"/>
          <w:szCs w:val="22"/>
          <w:lang w:val="en-US"/>
        </w:rPr>
        <w:t>). Macroalgae cover was</w:t>
      </w:r>
      <w:r w:rsidR="00AA3FE2" w:rsidRPr="00FA314F">
        <w:rPr>
          <w:rFonts w:cs="Arial"/>
          <w:szCs w:val="22"/>
          <w:lang w:val="en-US"/>
        </w:rPr>
        <w:t xml:space="preserve"> </w:t>
      </w:r>
      <w:r w:rsidR="00F43490" w:rsidRPr="00FA314F">
        <w:rPr>
          <w:rFonts w:cs="Arial"/>
          <w:szCs w:val="22"/>
          <w:lang w:val="en-US"/>
        </w:rPr>
        <w:t xml:space="preserve">also below the Reef long-term average </w:t>
      </w:r>
      <w:r w:rsidR="00AA3FE2" w:rsidRPr="00FA314F">
        <w:rPr>
          <w:rFonts w:cs="Arial"/>
          <w:szCs w:val="22"/>
          <w:lang w:val="en-US"/>
        </w:rPr>
        <w:t>in the dry season</w:t>
      </w:r>
      <w:r w:rsidR="00F43490" w:rsidRPr="00FA314F">
        <w:rPr>
          <w:rFonts w:cs="Arial"/>
          <w:szCs w:val="22"/>
          <w:lang w:val="en-US"/>
        </w:rPr>
        <w:t>, except</w:t>
      </w:r>
      <w:r w:rsidR="00AA3FE2" w:rsidRPr="00FA314F">
        <w:rPr>
          <w:rFonts w:cs="Arial"/>
          <w:szCs w:val="22"/>
          <w:lang w:val="en-US"/>
        </w:rPr>
        <w:t xml:space="preserve"> in reef intertidal habitats</w:t>
      </w:r>
      <w:r w:rsidR="00F43490" w:rsidRPr="00FA314F">
        <w:rPr>
          <w:rFonts w:cs="Arial"/>
          <w:szCs w:val="22"/>
          <w:lang w:val="en-US"/>
        </w:rPr>
        <w:t xml:space="preserve"> where it was slightly above-average</w:t>
      </w:r>
      <w:r w:rsidRPr="00FA314F">
        <w:rPr>
          <w:rFonts w:cs="Arial"/>
          <w:szCs w:val="22"/>
          <w:lang w:val="en-US"/>
        </w:rPr>
        <w:t xml:space="preserve">. </w:t>
      </w:r>
    </w:p>
    <w:p w14:paraId="5109C3B7" w14:textId="77777777" w:rsidR="00DF06E4" w:rsidRPr="00FA314F" w:rsidRDefault="00AA7BCE" w:rsidP="002E37BF">
      <w:pPr>
        <w:keepNext/>
        <w:jc w:val="center"/>
        <w:rPr>
          <w:rFonts w:cs="Arial"/>
          <w:szCs w:val="22"/>
          <w:lang w:val="en-GB"/>
        </w:rPr>
      </w:pPr>
      <w:r w:rsidRPr="00FA314F">
        <w:rPr>
          <w:rFonts w:cs="Arial"/>
          <w:noProof/>
          <w:szCs w:val="22"/>
          <w:lang w:eastAsia="en-AU"/>
        </w:rPr>
        <w:lastRenderedPageBreak/>
        <w:drawing>
          <wp:inline distT="0" distB="0" distL="0" distR="0" wp14:anchorId="7FD1CD61" wp14:editId="661ABBB2">
            <wp:extent cx="5757784" cy="3254400"/>
            <wp:effectExtent l="0" t="0" r="0" b="3175"/>
            <wp:docPr id="310" name="Picture 310" descr="Set of six bar charts showing long-term trend in mean epiphyte and macroalgae abundance (% cover) at each inshore seagrass habitats in the northern Wet Tropics NRM region, relative to the long-term average for each inshore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WT_epi_algae_change_2016.png"/>
                    <pic:cNvPicPr/>
                  </pic:nvPicPr>
                  <pic:blipFill>
                    <a:blip r:embed="rId103"/>
                    <a:stretch>
                      <a:fillRect/>
                    </a:stretch>
                  </pic:blipFill>
                  <pic:spPr>
                    <a:xfrm>
                      <a:off x="0" y="0"/>
                      <a:ext cx="5757784" cy="3254400"/>
                    </a:xfrm>
                    <a:prstGeom prst="rect">
                      <a:avLst/>
                    </a:prstGeom>
                  </pic:spPr>
                </pic:pic>
              </a:graphicData>
            </a:graphic>
          </wp:inline>
        </w:drawing>
      </w:r>
    </w:p>
    <w:p w14:paraId="7EA632D2" w14:textId="3647F8BE" w:rsidR="00CC60D9" w:rsidRPr="00FA314F" w:rsidRDefault="006307D2" w:rsidP="00CC60D9">
      <w:pPr>
        <w:rPr>
          <w:rFonts w:cs="Arial"/>
          <w:i/>
          <w:vanish/>
          <w:szCs w:val="22"/>
          <w:specVanish/>
        </w:rPr>
      </w:pPr>
      <w:bookmarkStart w:id="400" w:name="_Ref380413215"/>
      <w:bookmarkStart w:id="401" w:name="_Toc431493848"/>
      <w:bookmarkStart w:id="402" w:name="_Toc38634154"/>
      <w:r w:rsidRPr="00FA314F">
        <w:rPr>
          <w:rFonts w:cs="Arial"/>
          <w:szCs w:val="22"/>
        </w:rPr>
        <w:t xml:space="preserve">Figure </w:t>
      </w:r>
      <w:r w:rsidR="0073595B" w:rsidRPr="00FA314F">
        <w:rPr>
          <w:rFonts w:cs="Arial"/>
          <w:szCs w:val="22"/>
        </w:rPr>
        <w:fldChar w:fldCharType="begin"/>
      </w:r>
      <w:r w:rsidR="0073595B" w:rsidRPr="00FA314F">
        <w:rPr>
          <w:rFonts w:cs="Arial"/>
          <w:szCs w:val="22"/>
        </w:rPr>
        <w:instrText xml:space="preserve"> SEQ Figure \* ARABIC </w:instrText>
      </w:r>
      <w:r w:rsidR="0073595B" w:rsidRPr="00FA314F">
        <w:rPr>
          <w:rFonts w:cs="Arial"/>
          <w:szCs w:val="22"/>
        </w:rPr>
        <w:fldChar w:fldCharType="separate"/>
      </w:r>
      <w:r w:rsidR="0067675D">
        <w:rPr>
          <w:rFonts w:cs="Arial"/>
          <w:noProof/>
          <w:szCs w:val="22"/>
        </w:rPr>
        <w:t>50</w:t>
      </w:r>
      <w:r w:rsidR="0073595B" w:rsidRPr="00FA314F">
        <w:rPr>
          <w:rFonts w:cs="Arial"/>
          <w:szCs w:val="22"/>
        </w:rPr>
        <w:fldChar w:fldCharType="end"/>
      </w:r>
      <w:bookmarkEnd w:id="400"/>
      <w:r w:rsidRPr="00FA314F">
        <w:rPr>
          <w:rFonts w:cs="Arial"/>
          <w:szCs w:val="22"/>
        </w:rPr>
        <w:t xml:space="preserve">. </w:t>
      </w:r>
      <w:r w:rsidRPr="00FA314F">
        <w:rPr>
          <w:rFonts w:cs="Arial"/>
          <w:i/>
          <w:szCs w:val="22"/>
        </w:rPr>
        <w:t>Long-term trend in mean epiphyte and macroalgae abundance (</w:t>
      </w:r>
      <w:r w:rsidR="004916B0">
        <w:rPr>
          <w:rFonts w:cs="Arial"/>
          <w:i/>
          <w:szCs w:val="22"/>
        </w:rPr>
        <w:t>per cent</w:t>
      </w:r>
      <w:r w:rsidRPr="00FA314F">
        <w:rPr>
          <w:rFonts w:cs="Arial"/>
          <w:i/>
          <w:szCs w:val="22"/>
        </w:rPr>
        <w:t xml:space="preserve"> cover) relative to the long-term average for each </w:t>
      </w:r>
      <w:r w:rsidR="00CC60D9" w:rsidRPr="00FA314F">
        <w:rPr>
          <w:rFonts w:cs="Arial"/>
          <w:i/>
          <w:szCs w:val="22"/>
        </w:rPr>
        <w:t xml:space="preserve">inshore </w:t>
      </w:r>
      <w:r w:rsidRPr="00FA314F">
        <w:rPr>
          <w:rFonts w:cs="Arial"/>
          <w:i/>
          <w:szCs w:val="22"/>
        </w:rPr>
        <w:t>seagrass habitat</w:t>
      </w:r>
      <w:r w:rsidR="00CC60D9" w:rsidRPr="00FA314F">
        <w:rPr>
          <w:rFonts w:cs="Arial"/>
          <w:i/>
          <w:szCs w:val="22"/>
        </w:rPr>
        <w:t xml:space="preserve"> in the </w:t>
      </w:r>
      <w:r w:rsidR="00A60EFC" w:rsidRPr="00FA314F">
        <w:rPr>
          <w:rFonts w:cs="Arial"/>
          <w:i/>
          <w:szCs w:val="22"/>
        </w:rPr>
        <w:t xml:space="preserve">northern </w:t>
      </w:r>
      <w:r w:rsidR="00CC60D9" w:rsidRPr="00FA314F">
        <w:rPr>
          <w:rFonts w:cs="Arial"/>
          <w:i/>
          <w:szCs w:val="22"/>
        </w:rPr>
        <w:t>Wet Tropics region, 2001</w:t>
      </w:r>
      <w:r w:rsidR="009203FC" w:rsidRPr="00FA314F">
        <w:rPr>
          <w:rFonts w:cs="Arial"/>
          <w:i/>
          <w:szCs w:val="22"/>
        </w:rPr>
        <w:t>–</w:t>
      </w:r>
      <w:r w:rsidR="00CC60D9" w:rsidRPr="00FA314F">
        <w:rPr>
          <w:rFonts w:cs="Arial"/>
          <w:i/>
          <w:szCs w:val="22"/>
        </w:rPr>
        <w:t>201</w:t>
      </w:r>
      <w:bookmarkEnd w:id="401"/>
      <w:r w:rsidR="00974324" w:rsidRPr="00FA314F">
        <w:rPr>
          <w:rFonts w:cs="Arial"/>
          <w:i/>
          <w:szCs w:val="22"/>
        </w:rPr>
        <w:t>9</w:t>
      </w:r>
      <w:bookmarkEnd w:id="402"/>
      <w:r w:rsidRPr="00FA314F">
        <w:rPr>
          <w:rFonts w:cs="Arial"/>
          <w:i/>
          <w:szCs w:val="22"/>
        </w:rPr>
        <w:t xml:space="preserve"> </w:t>
      </w:r>
    </w:p>
    <w:p w14:paraId="48F89F58" w14:textId="0C2E2283" w:rsidR="00CC60D9" w:rsidRPr="00FA314F" w:rsidRDefault="00CC60D9" w:rsidP="00CC60D9">
      <w:pPr>
        <w:rPr>
          <w:rFonts w:cs="Arial"/>
          <w:i/>
          <w:szCs w:val="22"/>
        </w:rPr>
      </w:pPr>
      <w:r w:rsidRPr="00FA314F">
        <w:rPr>
          <w:rFonts w:cs="Arial"/>
          <w:i/>
          <w:szCs w:val="22"/>
        </w:rPr>
        <w:t xml:space="preserve"> </w:t>
      </w:r>
      <w:r w:rsidR="006307D2" w:rsidRPr="00FA314F">
        <w:rPr>
          <w:rFonts w:cs="Arial"/>
          <w:i/>
          <w:szCs w:val="22"/>
        </w:rPr>
        <w:t xml:space="preserve">(sites pooled, ±SE). </w:t>
      </w:r>
      <w:r w:rsidR="002071D5" w:rsidRPr="00FA314F">
        <w:rPr>
          <w:rFonts w:cs="Arial"/>
          <w:i/>
          <w:szCs w:val="22"/>
        </w:rPr>
        <w:t>Red/green words</w:t>
      </w:r>
    </w:p>
    <w:p w14:paraId="60EEC0AC" w14:textId="42627275" w:rsidR="00706008" w:rsidRPr="00FA314F" w:rsidRDefault="00706008" w:rsidP="00CC60D9">
      <w:pPr>
        <w:rPr>
          <w:rFonts w:cs="Arial"/>
          <w:i/>
          <w:szCs w:val="22"/>
        </w:rPr>
      </w:pPr>
    </w:p>
    <w:p w14:paraId="51AC8E95" w14:textId="2B26D339" w:rsidR="00706008" w:rsidRPr="00FA314F" w:rsidRDefault="00706008" w:rsidP="00706008">
      <w:pPr>
        <w:rPr>
          <w:rFonts w:cs="Arial"/>
          <w:szCs w:val="22"/>
          <w:lang w:val="en-US"/>
        </w:rPr>
      </w:pPr>
      <w:r w:rsidRPr="00FA314F">
        <w:rPr>
          <w:rFonts w:cs="Arial"/>
          <w:szCs w:val="22"/>
          <w:lang w:val="en-US"/>
        </w:rPr>
        <w:t>In the southern Wet Tropics, epiphyte cover in 2018–19 was below the Reef long-term average in the wet season, but above the Reef long-term average in the dry season at reef habitats (</w:t>
      </w:r>
      <w:r w:rsidRPr="00FA314F">
        <w:rPr>
          <w:rFonts w:cs="Arial"/>
          <w:szCs w:val="22"/>
          <w:lang w:val="en-US"/>
        </w:rPr>
        <w:fldChar w:fldCharType="begin"/>
      </w:r>
      <w:r w:rsidRPr="00FA314F">
        <w:rPr>
          <w:rFonts w:cs="Arial"/>
          <w:szCs w:val="22"/>
          <w:lang w:val="en-US"/>
        </w:rPr>
        <w:instrText xml:space="preserve"> REF _Ref380413215 \h  \* MERGEFORMAT </w:instrText>
      </w:r>
      <w:r w:rsidRPr="00FA314F">
        <w:rPr>
          <w:rFonts w:cs="Arial"/>
          <w:szCs w:val="22"/>
          <w:lang w:val="en-US"/>
        </w:rPr>
      </w:r>
      <w:r w:rsidRPr="00FA314F">
        <w:rPr>
          <w:rFonts w:cs="Arial"/>
          <w:szCs w:val="22"/>
          <w:lang w:val="en-US"/>
        </w:rPr>
        <w:fldChar w:fldCharType="separate"/>
      </w:r>
      <w:r w:rsidR="0067675D" w:rsidRPr="00FA314F">
        <w:rPr>
          <w:rFonts w:cs="Arial"/>
          <w:szCs w:val="22"/>
        </w:rPr>
        <w:t xml:space="preserve">Figure </w:t>
      </w:r>
      <w:r w:rsidR="0067675D">
        <w:rPr>
          <w:rFonts w:cs="Arial"/>
          <w:noProof/>
          <w:szCs w:val="22"/>
        </w:rPr>
        <w:t>50</w:t>
      </w:r>
      <w:r w:rsidRPr="00FA314F">
        <w:rPr>
          <w:rFonts w:cs="Arial"/>
          <w:szCs w:val="22"/>
          <w:lang w:val="en-US"/>
        </w:rPr>
        <w:fldChar w:fldCharType="end"/>
      </w:r>
      <w:r w:rsidRPr="00FA314F">
        <w:rPr>
          <w:rFonts w:cs="Arial"/>
          <w:szCs w:val="22"/>
          <w:lang w:val="en-US"/>
        </w:rPr>
        <w:t xml:space="preserve">). </w:t>
      </w:r>
    </w:p>
    <w:p w14:paraId="63E6C64A" w14:textId="4D5503B7" w:rsidR="00706008" w:rsidRPr="00FA314F" w:rsidRDefault="00706008" w:rsidP="00706008">
      <w:pPr>
        <w:rPr>
          <w:rFonts w:cs="Arial"/>
          <w:szCs w:val="22"/>
          <w:lang w:val="en-US"/>
        </w:rPr>
      </w:pPr>
      <w:r w:rsidRPr="00FA314F">
        <w:rPr>
          <w:rFonts w:cs="Arial"/>
          <w:szCs w:val="22"/>
          <w:lang w:val="en-US"/>
        </w:rPr>
        <w:t xml:space="preserve">Macroalgae cover continued to remain below the Reef long-term average for the tenth year at intertidal reef habitats, and was also below average at subtidal reef habitats. Macroalgae cover remained near absent at coastal habitats. </w:t>
      </w:r>
    </w:p>
    <w:p w14:paraId="55CDC287" w14:textId="77777777" w:rsidR="00706008" w:rsidRPr="00FA314F" w:rsidRDefault="00706008" w:rsidP="00CC60D9">
      <w:pPr>
        <w:rPr>
          <w:rFonts w:cs="Arial"/>
          <w:szCs w:val="22"/>
        </w:rPr>
      </w:pPr>
    </w:p>
    <w:p w14:paraId="5DC38CD8" w14:textId="77777777" w:rsidR="00A60EFC" w:rsidRPr="00FA314F" w:rsidRDefault="00A60EFC" w:rsidP="00A60EFC">
      <w:pPr>
        <w:keepNext/>
        <w:jc w:val="center"/>
        <w:rPr>
          <w:rFonts w:cs="Arial"/>
          <w:szCs w:val="22"/>
          <w:lang w:val="en-GB"/>
        </w:rPr>
      </w:pPr>
      <w:r w:rsidRPr="00FA314F">
        <w:rPr>
          <w:rFonts w:cs="Arial"/>
          <w:noProof/>
          <w:szCs w:val="22"/>
          <w:lang w:eastAsia="en-AU"/>
        </w:rPr>
        <w:lastRenderedPageBreak/>
        <w:drawing>
          <wp:inline distT="0" distB="0" distL="0" distR="0" wp14:anchorId="04E7E222" wp14:editId="6F0120B1">
            <wp:extent cx="5757784" cy="3254400"/>
            <wp:effectExtent l="0" t="0" r="0" b="3175"/>
            <wp:docPr id="4" name="Picture 4" descr="Set of six bar charts showing long-term trend in mean epiphyte and macroalgae abundance (% cover) at each inshore seagrass habitats in the southern Wet Tropics NRM region, relative to the long-term average for each inshore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WT_epi_algae_change_2016.png"/>
                    <pic:cNvPicPr/>
                  </pic:nvPicPr>
                  <pic:blipFill>
                    <a:blip r:embed="rId104"/>
                    <a:stretch>
                      <a:fillRect/>
                    </a:stretch>
                  </pic:blipFill>
                  <pic:spPr>
                    <a:xfrm>
                      <a:off x="0" y="0"/>
                      <a:ext cx="5757784" cy="3254400"/>
                    </a:xfrm>
                    <a:prstGeom prst="rect">
                      <a:avLst/>
                    </a:prstGeom>
                  </pic:spPr>
                </pic:pic>
              </a:graphicData>
            </a:graphic>
          </wp:inline>
        </w:drawing>
      </w:r>
    </w:p>
    <w:p w14:paraId="31FF2757" w14:textId="02B9DAEC" w:rsidR="00A60EFC" w:rsidRPr="00FA314F" w:rsidRDefault="00A60EFC" w:rsidP="00A60EFC">
      <w:pPr>
        <w:rPr>
          <w:rFonts w:cs="Arial"/>
          <w:i/>
          <w:vanish/>
          <w:szCs w:val="22"/>
          <w:specVanish/>
        </w:rPr>
      </w:pPr>
      <w:bookmarkStart w:id="403" w:name="_Toc38634155"/>
      <w:r w:rsidRPr="00FA314F">
        <w:rPr>
          <w:rFonts w:cs="Arial"/>
          <w:szCs w:val="22"/>
        </w:rPr>
        <w:t xml:space="preserve">Figure </w:t>
      </w:r>
      <w:r w:rsidRPr="00FA314F">
        <w:rPr>
          <w:rFonts w:cs="Arial"/>
          <w:szCs w:val="22"/>
        </w:rPr>
        <w:fldChar w:fldCharType="begin"/>
      </w:r>
      <w:r w:rsidRPr="00FA314F">
        <w:rPr>
          <w:rFonts w:cs="Arial"/>
          <w:szCs w:val="22"/>
        </w:rPr>
        <w:instrText xml:space="preserve"> SEQ Figure \* ARABIC </w:instrText>
      </w:r>
      <w:r w:rsidRPr="00FA314F">
        <w:rPr>
          <w:rFonts w:cs="Arial"/>
          <w:szCs w:val="22"/>
        </w:rPr>
        <w:fldChar w:fldCharType="separate"/>
      </w:r>
      <w:r w:rsidR="0067675D">
        <w:rPr>
          <w:rFonts w:cs="Arial"/>
          <w:noProof/>
          <w:szCs w:val="22"/>
        </w:rPr>
        <w:t>51</w:t>
      </w:r>
      <w:r w:rsidRPr="00FA314F">
        <w:rPr>
          <w:rFonts w:cs="Arial"/>
          <w:szCs w:val="22"/>
        </w:rPr>
        <w:fldChar w:fldCharType="end"/>
      </w:r>
      <w:r w:rsidRPr="00FA314F">
        <w:rPr>
          <w:rFonts w:cs="Arial"/>
          <w:szCs w:val="22"/>
        </w:rPr>
        <w:t xml:space="preserve">. </w:t>
      </w:r>
      <w:r w:rsidRPr="00FA314F">
        <w:rPr>
          <w:rFonts w:cs="Arial"/>
          <w:i/>
          <w:szCs w:val="22"/>
        </w:rPr>
        <w:t>Long-term trend in mean epiphyte and macroalgae abundance (</w:t>
      </w:r>
      <w:r w:rsidR="004916B0">
        <w:rPr>
          <w:rFonts w:cs="Arial"/>
          <w:i/>
          <w:szCs w:val="22"/>
        </w:rPr>
        <w:t>per cent</w:t>
      </w:r>
      <w:r w:rsidRPr="00FA314F">
        <w:rPr>
          <w:rFonts w:cs="Arial"/>
          <w:i/>
          <w:szCs w:val="22"/>
        </w:rPr>
        <w:t xml:space="preserve"> cover) relative to the long-term average for each inshore seagrass habitat in the southern Wet Tropics region, 2001</w:t>
      </w:r>
      <w:r w:rsidR="009203FC" w:rsidRPr="00FA314F">
        <w:rPr>
          <w:rFonts w:cs="Arial"/>
          <w:i/>
          <w:szCs w:val="22"/>
        </w:rPr>
        <w:t>–</w:t>
      </w:r>
      <w:r w:rsidRPr="00FA314F">
        <w:rPr>
          <w:rFonts w:cs="Arial"/>
          <w:i/>
          <w:szCs w:val="22"/>
        </w:rPr>
        <w:t>1</w:t>
      </w:r>
      <w:r w:rsidR="00974324" w:rsidRPr="00FA314F">
        <w:rPr>
          <w:rFonts w:cs="Arial"/>
          <w:i/>
          <w:szCs w:val="22"/>
        </w:rPr>
        <w:t>9</w:t>
      </w:r>
      <w:bookmarkEnd w:id="403"/>
      <w:r w:rsidRPr="00FA314F">
        <w:rPr>
          <w:rFonts w:cs="Arial"/>
          <w:i/>
          <w:szCs w:val="22"/>
        </w:rPr>
        <w:t xml:space="preserve"> </w:t>
      </w:r>
    </w:p>
    <w:p w14:paraId="7FEF1222" w14:textId="7728A95F" w:rsidR="00A60EFC" w:rsidRPr="00FA314F" w:rsidRDefault="00A60EFC" w:rsidP="00CC60D9">
      <w:pPr>
        <w:rPr>
          <w:rFonts w:cs="Arial"/>
          <w:color w:val="000000" w:themeColor="text1"/>
          <w:szCs w:val="22"/>
          <w:lang w:val="en-GB"/>
        </w:rPr>
      </w:pPr>
      <w:r w:rsidRPr="00FA314F">
        <w:rPr>
          <w:rFonts w:cs="Arial"/>
          <w:i/>
          <w:szCs w:val="22"/>
        </w:rPr>
        <w:t xml:space="preserve"> (sites pooled, ±SE). </w:t>
      </w:r>
    </w:p>
    <w:p w14:paraId="59AC924F" w14:textId="77777777" w:rsidR="005D1A37" w:rsidRPr="00431DDA" w:rsidRDefault="005132EF" w:rsidP="000150D8">
      <w:pPr>
        <w:pStyle w:val="Heading2"/>
      </w:pPr>
      <w:r w:rsidRPr="00CB093C">
        <w:br w:type="page"/>
      </w:r>
      <w:bookmarkStart w:id="404" w:name="_Toc175991073"/>
      <w:bookmarkStart w:id="405" w:name="_Toc232845917"/>
      <w:bookmarkStart w:id="406" w:name="_Toc184101995"/>
      <w:bookmarkStart w:id="407" w:name="_Toc431493768"/>
      <w:bookmarkStart w:id="408" w:name="_Toc37775084"/>
      <w:bookmarkStart w:id="409" w:name="_Toc43987059"/>
      <w:bookmarkStart w:id="410" w:name="_Toc170191629"/>
      <w:r w:rsidR="005D1A37" w:rsidRPr="00431DDA">
        <w:lastRenderedPageBreak/>
        <w:t>Burdekin</w:t>
      </w:r>
      <w:bookmarkEnd w:id="404"/>
      <w:bookmarkEnd w:id="405"/>
      <w:bookmarkEnd w:id="406"/>
      <w:bookmarkEnd w:id="407"/>
      <w:bookmarkEnd w:id="408"/>
      <w:bookmarkEnd w:id="409"/>
    </w:p>
    <w:p w14:paraId="4C75C9AC" w14:textId="3B8F57CB" w:rsidR="005132EF" w:rsidRPr="00431DDA" w:rsidRDefault="00956639" w:rsidP="000150D8">
      <w:pPr>
        <w:pStyle w:val="Heading3"/>
      </w:pPr>
      <w:bookmarkStart w:id="411" w:name="_Toc184101996"/>
      <w:bookmarkStart w:id="412" w:name="_Toc431493769"/>
      <w:bookmarkStart w:id="413" w:name="_Toc37775085"/>
      <w:bookmarkStart w:id="414" w:name="_Toc43987060"/>
      <w:bookmarkStart w:id="415" w:name="_Toc170191630"/>
      <w:bookmarkStart w:id="416" w:name="_Toc175991074"/>
      <w:bookmarkStart w:id="417" w:name="_Toc232845918"/>
      <w:bookmarkEnd w:id="410"/>
      <w:r w:rsidRPr="00431DDA">
        <w:t>2018–19</w:t>
      </w:r>
      <w:r w:rsidR="005132EF" w:rsidRPr="00431DDA">
        <w:t xml:space="preserve"> Summary</w:t>
      </w:r>
      <w:bookmarkEnd w:id="411"/>
      <w:bookmarkEnd w:id="412"/>
      <w:bookmarkEnd w:id="413"/>
      <w:bookmarkEnd w:id="414"/>
    </w:p>
    <w:p w14:paraId="48E045DD" w14:textId="43405FE1" w:rsidR="00150F82" w:rsidRPr="00FA314F" w:rsidRDefault="003878AA" w:rsidP="00065F67">
      <w:pPr>
        <w:spacing w:after="60"/>
        <w:rPr>
          <w:rFonts w:cs="Arial"/>
          <w:szCs w:val="22"/>
        </w:rPr>
      </w:pPr>
      <w:bookmarkStart w:id="418" w:name="_Toc184101997"/>
      <w:bookmarkStart w:id="419" w:name="_Toc431493770"/>
      <w:r w:rsidRPr="00FA314F">
        <w:rPr>
          <w:rFonts w:cs="Arial"/>
          <w:szCs w:val="22"/>
        </w:rPr>
        <w:t xml:space="preserve">Seagrass meadows across the Burdekin NRM region declined in overall condition in </w:t>
      </w:r>
      <w:r w:rsidR="00956639" w:rsidRPr="00FA314F">
        <w:rPr>
          <w:rFonts w:cs="Arial"/>
          <w:szCs w:val="22"/>
        </w:rPr>
        <w:t>2018–19</w:t>
      </w:r>
      <w:r w:rsidR="0049489A">
        <w:rPr>
          <w:rFonts w:cs="Arial"/>
          <w:szCs w:val="22"/>
        </w:rPr>
        <w:t xml:space="preserve"> from moderate to </w:t>
      </w:r>
      <w:r w:rsidR="0049489A">
        <w:rPr>
          <w:rFonts w:cs="Arial"/>
          <w:b/>
          <w:szCs w:val="22"/>
        </w:rPr>
        <w:t>poor</w:t>
      </w:r>
      <w:r w:rsidR="00150F82" w:rsidRPr="00FA314F">
        <w:rPr>
          <w:rFonts w:cs="Arial"/>
          <w:szCs w:val="22"/>
        </w:rPr>
        <w:t xml:space="preserve"> (</w:t>
      </w:r>
      <w:r w:rsidR="00150F82" w:rsidRPr="00FA314F">
        <w:rPr>
          <w:rFonts w:cs="Arial"/>
          <w:szCs w:val="22"/>
        </w:rPr>
        <w:fldChar w:fldCharType="begin"/>
      </w:r>
      <w:r w:rsidR="00150F82" w:rsidRPr="00FA314F">
        <w:rPr>
          <w:rFonts w:cs="Arial"/>
          <w:szCs w:val="22"/>
        </w:rPr>
        <w:instrText xml:space="preserve"> REF _Ref410385306 \h  \* MERGEFORMAT </w:instrText>
      </w:r>
      <w:r w:rsidR="00150F82" w:rsidRPr="00FA314F">
        <w:rPr>
          <w:rFonts w:cs="Arial"/>
          <w:szCs w:val="22"/>
        </w:rPr>
      </w:r>
      <w:r w:rsidR="00150F82" w:rsidRPr="00FA314F">
        <w:rPr>
          <w:rFonts w:cs="Arial"/>
          <w:szCs w:val="22"/>
        </w:rPr>
        <w:fldChar w:fldCharType="separate"/>
      </w:r>
      <w:r w:rsidR="0067675D" w:rsidRPr="0067675D">
        <w:rPr>
          <w:rFonts w:cs="Arial"/>
          <w:szCs w:val="22"/>
        </w:rPr>
        <w:t xml:space="preserve">Figure </w:t>
      </w:r>
      <w:r w:rsidR="0067675D" w:rsidRPr="0067675D">
        <w:rPr>
          <w:rFonts w:cs="Arial"/>
          <w:noProof/>
          <w:szCs w:val="22"/>
        </w:rPr>
        <w:t>52</w:t>
      </w:r>
      <w:r w:rsidR="00150F82" w:rsidRPr="00FA314F">
        <w:rPr>
          <w:rFonts w:cs="Arial"/>
          <w:szCs w:val="22"/>
        </w:rPr>
        <w:fldChar w:fldCharType="end"/>
      </w:r>
      <w:r w:rsidR="00150F82" w:rsidRPr="00FA314F">
        <w:rPr>
          <w:rFonts w:cs="Arial"/>
          <w:szCs w:val="22"/>
        </w:rPr>
        <w:t>). All</w:t>
      </w:r>
      <w:r w:rsidR="00065F67">
        <w:rPr>
          <w:rFonts w:cs="Arial"/>
          <w:szCs w:val="22"/>
        </w:rPr>
        <w:t xml:space="preserve"> condition indicators declined:</w:t>
      </w:r>
    </w:p>
    <w:p w14:paraId="3AB9639D" w14:textId="57C3ADB2" w:rsidR="002D6C62" w:rsidRPr="00FA314F" w:rsidRDefault="002D6C62" w:rsidP="00065F67">
      <w:pPr>
        <w:numPr>
          <w:ilvl w:val="0"/>
          <w:numId w:val="18"/>
        </w:numPr>
        <w:spacing w:before="60" w:after="0"/>
        <w:ind w:left="714" w:hanging="357"/>
        <w:rPr>
          <w:rFonts w:cs="Arial"/>
          <w:szCs w:val="22"/>
        </w:rPr>
      </w:pPr>
      <w:r w:rsidRPr="00FA314F">
        <w:rPr>
          <w:rFonts w:cs="Arial"/>
          <w:szCs w:val="22"/>
        </w:rPr>
        <w:t xml:space="preserve">abundance score was </w:t>
      </w:r>
      <w:r w:rsidR="00B102F7" w:rsidRPr="00FA314F">
        <w:rPr>
          <w:rFonts w:cs="Arial"/>
          <w:szCs w:val="22"/>
        </w:rPr>
        <w:t>moderate</w:t>
      </w:r>
    </w:p>
    <w:p w14:paraId="752F6210" w14:textId="11C9988A" w:rsidR="002D6C62" w:rsidRPr="00FA314F" w:rsidRDefault="002D6C62" w:rsidP="00065F67">
      <w:pPr>
        <w:numPr>
          <w:ilvl w:val="0"/>
          <w:numId w:val="18"/>
        </w:numPr>
        <w:spacing w:before="60" w:after="0"/>
        <w:ind w:left="714" w:hanging="357"/>
        <w:rPr>
          <w:rFonts w:cs="Arial"/>
          <w:szCs w:val="22"/>
        </w:rPr>
      </w:pPr>
      <w:r w:rsidRPr="00FA314F">
        <w:rPr>
          <w:rFonts w:cs="Arial"/>
          <w:szCs w:val="22"/>
        </w:rPr>
        <w:t xml:space="preserve">reproductive effort score was </w:t>
      </w:r>
      <w:r w:rsidR="00B102F7" w:rsidRPr="00FA314F">
        <w:rPr>
          <w:rFonts w:cs="Arial"/>
          <w:szCs w:val="22"/>
        </w:rPr>
        <w:t xml:space="preserve">very </w:t>
      </w:r>
      <w:r w:rsidR="00065F67">
        <w:rPr>
          <w:rFonts w:cs="Arial"/>
          <w:szCs w:val="22"/>
        </w:rPr>
        <w:t>poor</w:t>
      </w:r>
    </w:p>
    <w:p w14:paraId="43F6959E" w14:textId="60C5E8D0" w:rsidR="002D6C62" w:rsidRPr="00FA314F" w:rsidRDefault="002D6C62" w:rsidP="00065F67">
      <w:pPr>
        <w:numPr>
          <w:ilvl w:val="0"/>
          <w:numId w:val="18"/>
        </w:numPr>
        <w:spacing w:before="60" w:after="0"/>
        <w:ind w:left="714" w:hanging="357"/>
        <w:rPr>
          <w:rFonts w:cs="Arial"/>
          <w:szCs w:val="22"/>
        </w:rPr>
      </w:pPr>
      <w:r w:rsidRPr="00FA314F">
        <w:rPr>
          <w:rFonts w:cs="Arial"/>
          <w:szCs w:val="22"/>
        </w:rPr>
        <w:t xml:space="preserve">tissue nutrient score was </w:t>
      </w:r>
      <w:r w:rsidR="00342A6B" w:rsidRPr="00FA314F">
        <w:rPr>
          <w:rFonts w:cs="Arial"/>
          <w:szCs w:val="22"/>
        </w:rPr>
        <w:t>moderate</w:t>
      </w:r>
      <w:r w:rsidRPr="00FA314F">
        <w:rPr>
          <w:rFonts w:cs="Arial"/>
          <w:szCs w:val="22"/>
        </w:rPr>
        <w:t>.</w:t>
      </w:r>
    </w:p>
    <w:p w14:paraId="451A84C4" w14:textId="489924DC" w:rsidR="003878AA" w:rsidRPr="0049489A" w:rsidRDefault="003878AA" w:rsidP="003878AA">
      <w:pPr>
        <w:rPr>
          <w:rFonts w:cs="Arial"/>
          <w:szCs w:val="22"/>
        </w:rPr>
      </w:pPr>
      <w:r w:rsidRPr="00FA314F">
        <w:rPr>
          <w:rFonts w:cs="Arial"/>
          <w:szCs w:val="22"/>
        </w:rPr>
        <w:t xml:space="preserve">Seagrass abundance decreased relative to the previous period, due to declines in </w:t>
      </w:r>
      <w:r w:rsidR="004916B0">
        <w:rPr>
          <w:rFonts w:cs="Arial"/>
          <w:szCs w:val="22"/>
        </w:rPr>
        <w:t>per cent</w:t>
      </w:r>
      <w:r w:rsidRPr="00FA314F">
        <w:rPr>
          <w:rFonts w:cs="Arial"/>
          <w:szCs w:val="22"/>
        </w:rPr>
        <w:t xml:space="preserve"> cover at </w:t>
      </w:r>
      <w:r w:rsidR="0049489A">
        <w:rPr>
          <w:rFonts w:cs="Arial"/>
          <w:szCs w:val="22"/>
        </w:rPr>
        <w:t xml:space="preserve">three quarters </w:t>
      </w:r>
      <w:r w:rsidRPr="00FA314F">
        <w:rPr>
          <w:rFonts w:cs="Arial"/>
          <w:szCs w:val="22"/>
        </w:rPr>
        <w:t xml:space="preserve">of sites, </w:t>
      </w:r>
      <w:r w:rsidR="00B102F7" w:rsidRPr="00FA314F">
        <w:rPr>
          <w:rFonts w:cs="Arial"/>
          <w:szCs w:val="22"/>
        </w:rPr>
        <w:t>with the largest declines found in reef subtidal habitats</w:t>
      </w:r>
      <w:r w:rsidRPr="00FA314F">
        <w:rPr>
          <w:rFonts w:cs="Arial"/>
          <w:szCs w:val="22"/>
        </w:rPr>
        <w:t xml:space="preserve">. The declines </w:t>
      </w:r>
      <w:r w:rsidR="00501D97" w:rsidRPr="00FA314F">
        <w:rPr>
          <w:rFonts w:cs="Arial"/>
          <w:szCs w:val="22"/>
        </w:rPr>
        <w:t xml:space="preserve">in abundance </w:t>
      </w:r>
      <w:r w:rsidRPr="00FA314F">
        <w:rPr>
          <w:rFonts w:cs="Arial"/>
          <w:szCs w:val="22"/>
        </w:rPr>
        <w:t xml:space="preserve">were likely the result of </w:t>
      </w:r>
      <w:r w:rsidR="007F0153" w:rsidRPr="00FA314F">
        <w:rPr>
          <w:rFonts w:cs="Arial"/>
          <w:szCs w:val="22"/>
        </w:rPr>
        <w:t xml:space="preserve">river discharge events from the Burdekin River as well as unusually large events from the smaller rivers discharging into Cleveland Bay. Sediment loads in the discharge and resuspension elevates turbidity and reduces benthic light </w:t>
      </w:r>
      <w:r w:rsidR="007C1A97" w:rsidRPr="00FA314F">
        <w:rPr>
          <w:rFonts w:cs="Arial"/>
          <w:szCs w:val="22"/>
        </w:rPr>
        <w:t xml:space="preserve">during the wet season. However, these events followed a period of unusually high light levels during </w:t>
      </w:r>
      <w:r w:rsidR="007C1A97" w:rsidRPr="0049489A">
        <w:rPr>
          <w:rFonts w:cs="Arial"/>
          <w:szCs w:val="22"/>
        </w:rPr>
        <w:t xml:space="preserve">the growing season (September to November) of 2018, leading to above-average light levels </w:t>
      </w:r>
      <w:r w:rsidR="006F53BE" w:rsidRPr="0049489A">
        <w:rPr>
          <w:rFonts w:cs="Arial"/>
          <w:szCs w:val="22"/>
        </w:rPr>
        <w:t xml:space="preserve">on average </w:t>
      </w:r>
      <w:r w:rsidR="007C1A97" w:rsidRPr="0049489A">
        <w:rPr>
          <w:rFonts w:cs="Arial"/>
          <w:szCs w:val="22"/>
        </w:rPr>
        <w:t xml:space="preserve">for the whole year. There was a return to average water temperature following </w:t>
      </w:r>
      <w:r w:rsidRPr="0049489A">
        <w:rPr>
          <w:rFonts w:cs="Arial"/>
          <w:szCs w:val="22"/>
        </w:rPr>
        <w:t>four consecutive year</w:t>
      </w:r>
      <w:r w:rsidR="007C1A97" w:rsidRPr="0049489A">
        <w:rPr>
          <w:rFonts w:cs="Arial"/>
          <w:szCs w:val="22"/>
        </w:rPr>
        <w:t>s</w:t>
      </w:r>
      <w:r w:rsidRPr="0049489A">
        <w:rPr>
          <w:rFonts w:cs="Arial"/>
          <w:szCs w:val="22"/>
        </w:rPr>
        <w:t xml:space="preserve"> </w:t>
      </w:r>
      <w:r w:rsidR="007C1A97" w:rsidRPr="0049489A">
        <w:rPr>
          <w:rFonts w:cs="Arial"/>
          <w:szCs w:val="22"/>
        </w:rPr>
        <w:t xml:space="preserve">when </w:t>
      </w:r>
      <w:r w:rsidRPr="0049489A">
        <w:rPr>
          <w:rFonts w:cs="Arial"/>
          <w:szCs w:val="22"/>
        </w:rPr>
        <w:t>intertidal within-canopy temperatures we</w:t>
      </w:r>
      <w:r w:rsidR="00065F67">
        <w:rPr>
          <w:rFonts w:cs="Arial"/>
          <w:szCs w:val="22"/>
        </w:rPr>
        <w:t>re above the long-term average.</w:t>
      </w:r>
    </w:p>
    <w:p w14:paraId="5A8E6609" w14:textId="38D71C0D" w:rsidR="00501D97" w:rsidRPr="00FA314F" w:rsidRDefault="00A133F8" w:rsidP="00501D97">
      <w:pPr>
        <w:rPr>
          <w:rFonts w:cs="Arial"/>
          <w:szCs w:val="22"/>
        </w:rPr>
      </w:pPr>
      <w:r w:rsidRPr="00FA314F">
        <w:rPr>
          <w:rFonts w:cs="Arial"/>
          <w:szCs w:val="22"/>
          <w:lang w:eastAsia="en-AU"/>
        </w:rPr>
        <w:t xml:space="preserve">Reproductive effort was </w:t>
      </w:r>
      <w:r w:rsidR="006F53BE" w:rsidRPr="00FA314F">
        <w:rPr>
          <w:rFonts w:cs="Arial"/>
          <w:szCs w:val="22"/>
          <w:lang w:eastAsia="en-AU"/>
        </w:rPr>
        <w:t>low</w:t>
      </w:r>
      <w:r w:rsidRPr="00FA314F">
        <w:rPr>
          <w:rFonts w:cs="Arial"/>
          <w:szCs w:val="22"/>
          <w:lang w:eastAsia="en-AU"/>
        </w:rPr>
        <w:t xml:space="preserve"> across Burdekin region habitats</w:t>
      </w:r>
      <w:r w:rsidR="006F53BE" w:rsidRPr="00FA314F">
        <w:rPr>
          <w:rFonts w:cs="Arial"/>
          <w:szCs w:val="22"/>
          <w:lang w:eastAsia="en-AU"/>
        </w:rPr>
        <w:t xml:space="preserve"> in 2018</w:t>
      </w:r>
      <w:r w:rsidR="00065F6F" w:rsidRPr="00FA314F">
        <w:rPr>
          <w:rFonts w:cs="Arial"/>
          <w:szCs w:val="22"/>
        </w:rPr>
        <w:t>–</w:t>
      </w:r>
      <w:r w:rsidR="006F53BE" w:rsidRPr="00FA314F">
        <w:rPr>
          <w:rFonts w:cs="Arial"/>
          <w:szCs w:val="22"/>
          <w:lang w:eastAsia="en-AU"/>
        </w:rPr>
        <w:t>19</w:t>
      </w:r>
      <w:r w:rsidRPr="00FA314F">
        <w:rPr>
          <w:rFonts w:cs="Arial"/>
          <w:szCs w:val="22"/>
          <w:lang w:eastAsia="en-AU"/>
        </w:rPr>
        <w:t xml:space="preserve">. </w:t>
      </w:r>
      <w:r w:rsidR="000C1447" w:rsidRPr="00FA314F">
        <w:rPr>
          <w:rFonts w:cs="Arial"/>
          <w:iCs/>
          <w:szCs w:val="22"/>
        </w:rPr>
        <w:t xml:space="preserve">Reproductive effort </w:t>
      </w:r>
      <w:r w:rsidR="00106C59" w:rsidRPr="00FA314F">
        <w:rPr>
          <w:rFonts w:cs="Arial"/>
          <w:iCs/>
          <w:szCs w:val="22"/>
        </w:rPr>
        <w:t>and seed banks declined at coastal and reef subtidal sites, particularly in the wet season</w:t>
      </w:r>
      <w:r w:rsidR="00635304">
        <w:rPr>
          <w:rFonts w:cs="Arial"/>
          <w:iCs/>
          <w:szCs w:val="22"/>
        </w:rPr>
        <w:t>,</w:t>
      </w:r>
      <w:r w:rsidR="00106C59" w:rsidRPr="00FA314F">
        <w:rPr>
          <w:rFonts w:cs="Arial"/>
          <w:iCs/>
          <w:szCs w:val="22"/>
        </w:rPr>
        <w:t xml:space="preserve"> and </w:t>
      </w:r>
      <w:r w:rsidR="00BC309A" w:rsidRPr="00FA314F">
        <w:rPr>
          <w:rFonts w:cs="Arial"/>
          <w:iCs/>
          <w:szCs w:val="22"/>
        </w:rPr>
        <w:t xml:space="preserve">remained </w:t>
      </w:r>
      <w:r w:rsidR="00106C59" w:rsidRPr="00FA314F">
        <w:rPr>
          <w:rFonts w:cs="Arial"/>
          <w:iCs/>
          <w:szCs w:val="22"/>
        </w:rPr>
        <w:t xml:space="preserve">low at reef intertidal </w:t>
      </w:r>
      <w:r w:rsidR="00996ADC" w:rsidRPr="00FA314F">
        <w:rPr>
          <w:rFonts w:cs="Arial"/>
          <w:iCs/>
          <w:szCs w:val="22"/>
        </w:rPr>
        <w:t>sites</w:t>
      </w:r>
      <w:r w:rsidR="00106C59" w:rsidRPr="00FA314F">
        <w:rPr>
          <w:rFonts w:cs="Arial"/>
          <w:iCs/>
          <w:szCs w:val="22"/>
        </w:rPr>
        <w:t xml:space="preserve">. There has been </w:t>
      </w:r>
      <w:r w:rsidRPr="00FA314F">
        <w:rPr>
          <w:rFonts w:cs="Arial"/>
          <w:iCs/>
          <w:szCs w:val="22"/>
        </w:rPr>
        <w:t xml:space="preserve">continued decline </w:t>
      </w:r>
      <w:r w:rsidR="00D57386" w:rsidRPr="00FA314F">
        <w:rPr>
          <w:rFonts w:cs="Arial"/>
          <w:iCs/>
          <w:szCs w:val="22"/>
        </w:rPr>
        <w:t xml:space="preserve">in </w:t>
      </w:r>
      <w:r w:rsidR="00065F6F">
        <w:rPr>
          <w:rFonts w:cs="Arial"/>
          <w:iCs/>
          <w:szCs w:val="22"/>
        </w:rPr>
        <w:t>this</w:t>
      </w:r>
      <w:r w:rsidR="00065F6F" w:rsidRPr="00FA314F">
        <w:rPr>
          <w:rFonts w:cs="Arial"/>
          <w:iCs/>
          <w:szCs w:val="22"/>
        </w:rPr>
        <w:t xml:space="preserve"> </w:t>
      </w:r>
      <w:r w:rsidRPr="00FA314F">
        <w:rPr>
          <w:rFonts w:cs="Arial"/>
          <w:iCs/>
          <w:szCs w:val="22"/>
        </w:rPr>
        <w:t>indicator score</w:t>
      </w:r>
      <w:r w:rsidR="00D57386" w:rsidRPr="00FA314F">
        <w:rPr>
          <w:rFonts w:cs="Arial"/>
          <w:iCs/>
          <w:szCs w:val="22"/>
        </w:rPr>
        <w:t xml:space="preserve"> </w:t>
      </w:r>
      <w:r w:rsidR="00106C59" w:rsidRPr="00FA314F">
        <w:rPr>
          <w:rFonts w:cs="Arial"/>
          <w:iCs/>
          <w:szCs w:val="22"/>
        </w:rPr>
        <w:t>since 2013</w:t>
      </w:r>
      <w:r w:rsidR="00065F6F" w:rsidRPr="00FA314F">
        <w:rPr>
          <w:rFonts w:cs="Arial"/>
          <w:szCs w:val="22"/>
        </w:rPr>
        <w:t>–</w:t>
      </w:r>
      <w:r w:rsidR="00106C59" w:rsidRPr="00FA314F">
        <w:rPr>
          <w:rFonts w:cs="Arial"/>
          <w:iCs/>
          <w:szCs w:val="22"/>
        </w:rPr>
        <w:t>14, with a large decline from poor to very poor 2018</w:t>
      </w:r>
      <w:r w:rsidR="00065F6F" w:rsidRPr="00FA314F">
        <w:rPr>
          <w:rFonts w:cs="Arial"/>
          <w:szCs w:val="22"/>
        </w:rPr>
        <w:t>–</w:t>
      </w:r>
      <w:r w:rsidR="00106C59" w:rsidRPr="00FA314F">
        <w:rPr>
          <w:rFonts w:cs="Arial"/>
          <w:iCs/>
          <w:szCs w:val="22"/>
        </w:rPr>
        <w:t xml:space="preserve">19. </w:t>
      </w:r>
      <w:r w:rsidR="006F53BE" w:rsidRPr="00FA314F">
        <w:rPr>
          <w:rFonts w:cs="Arial"/>
          <w:iCs/>
          <w:szCs w:val="22"/>
        </w:rPr>
        <w:t>S</w:t>
      </w:r>
      <w:r w:rsidR="00D57386" w:rsidRPr="00FA314F">
        <w:rPr>
          <w:rFonts w:cs="Arial"/>
          <w:iCs/>
          <w:szCs w:val="22"/>
        </w:rPr>
        <w:t>e</w:t>
      </w:r>
      <w:r w:rsidRPr="00FA314F">
        <w:rPr>
          <w:rFonts w:cs="Arial"/>
          <w:iCs/>
          <w:szCs w:val="22"/>
        </w:rPr>
        <w:t>ed densities</w:t>
      </w:r>
      <w:r w:rsidR="00D57386" w:rsidRPr="00FA314F">
        <w:rPr>
          <w:rFonts w:cs="Arial"/>
          <w:iCs/>
          <w:szCs w:val="22"/>
        </w:rPr>
        <w:t xml:space="preserve"> in the</w:t>
      </w:r>
      <w:r w:rsidR="000C1447" w:rsidRPr="00FA314F">
        <w:rPr>
          <w:rFonts w:cs="Arial"/>
          <w:iCs/>
          <w:szCs w:val="22"/>
        </w:rPr>
        <w:t xml:space="preserve"> seed bank </w:t>
      </w:r>
      <w:r w:rsidR="000B1FB3" w:rsidRPr="00FA314F">
        <w:rPr>
          <w:rFonts w:cs="Arial"/>
          <w:iCs/>
          <w:szCs w:val="22"/>
        </w:rPr>
        <w:t xml:space="preserve">of the </w:t>
      </w:r>
      <w:r w:rsidR="006F53BE" w:rsidRPr="00FA314F">
        <w:rPr>
          <w:rFonts w:cs="Arial"/>
          <w:iCs/>
          <w:szCs w:val="22"/>
        </w:rPr>
        <w:t xml:space="preserve">coastal intertidal and </w:t>
      </w:r>
      <w:r w:rsidR="000B1FB3" w:rsidRPr="00FA314F">
        <w:rPr>
          <w:rFonts w:cs="Arial"/>
          <w:iCs/>
          <w:szCs w:val="22"/>
        </w:rPr>
        <w:t xml:space="preserve">reef subtidal habitat </w:t>
      </w:r>
      <w:r w:rsidR="006F53BE" w:rsidRPr="00FA314F">
        <w:rPr>
          <w:rFonts w:cs="Arial"/>
          <w:iCs/>
          <w:szCs w:val="22"/>
        </w:rPr>
        <w:t>were the lowest recorded since 2014 and 2015, respectively</w:t>
      </w:r>
      <w:r w:rsidR="00065F67">
        <w:rPr>
          <w:rFonts w:cs="Arial"/>
          <w:iCs/>
          <w:szCs w:val="22"/>
        </w:rPr>
        <w:t>.</w:t>
      </w:r>
    </w:p>
    <w:p w14:paraId="2BA90FE7" w14:textId="7054DBC8" w:rsidR="000C1447" w:rsidRPr="00FA314F" w:rsidRDefault="004F1165" w:rsidP="00501D97">
      <w:pPr>
        <w:autoSpaceDE w:val="0"/>
        <w:autoSpaceDN w:val="0"/>
        <w:adjustRightInd w:val="0"/>
        <w:rPr>
          <w:rFonts w:cs="Arial"/>
          <w:szCs w:val="22"/>
        </w:rPr>
      </w:pPr>
      <w:r w:rsidRPr="00FA314F">
        <w:rPr>
          <w:rFonts w:cs="Arial"/>
          <w:szCs w:val="22"/>
        </w:rPr>
        <w:t xml:space="preserve">There has been a declining trend in the tissue </w:t>
      </w:r>
      <w:r w:rsidR="00A133F8" w:rsidRPr="00FA314F">
        <w:rPr>
          <w:rFonts w:cs="Arial"/>
          <w:szCs w:val="22"/>
        </w:rPr>
        <w:t xml:space="preserve">nutrient indicator score </w:t>
      </w:r>
      <w:r w:rsidRPr="00FA314F">
        <w:rPr>
          <w:rFonts w:cs="Arial"/>
          <w:szCs w:val="22"/>
        </w:rPr>
        <w:t>since 2013–14</w:t>
      </w:r>
      <w:r w:rsidR="00A133F8" w:rsidRPr="00FA314F">
        <w:rPr>
          <w:rFonts w:cs="Arial"/>
          <w:szCs w:val="22"/>
        </w:rPr>
        <w:t xml:space="preserve"> </w:t>
      </w:r>
      <w:r w:rsidRPr="00FA314F">
        <w:rPr>
          <w:rFonts w:cs="Arial"/>
          <w:szCs w:val="22"/>
        </w:rPr>
        <w:t>except for a small rise in</w:t>
      </w:r>
      <w:r w:rsidR="00A133F8" w:rsidRPr="00FA314F">
        <w:rPr>
          <w:rFonts w:cs="Arial"/>
          <w:szCs w:val="22"/>
        </w:rPr>
        <w:t xml:space="preserve"> 2016</w:t>
      </w:r>
      <w:r w:rsidR="00F776A8" w:rsidRPr="00FA314F">
        <w:rPr>
          <w:rFonts w:cs="Arial"/>
          <w:szCs w:val="22"/>
        </w:rPr>
        <w:t>–17</w:t>
      </w:r>
      <w:r w:rsidRPr="00FA314F">
        <w:rPr>
          <w:rFonts w:cs="Arial"/>
          <w:szCs w:val="22"/>
        </w:rPr>
        <w:t xml:space="preserve">. In 2018-19, small declines in C/N occurred in all habitats. This was due to elevated nitrogen content in leaves at </w:t>
      </w:r>
      <w:r w:rsidRPr="00FA314F">
        <w:rPr>
          <w:rFonts w:cs="Arial"/>
          <w:szCs w:val="22"/>
        </w:rPr>
        <w:lastRenderedPageBreak/>
        <w:t>reef subtidal habitats and reduced car</w:t>
      </w:r>
      <w:r w:rsidR="009C0A8D" w:rsidRPr="00FA314F">
        <w:rPr>
          <w:rFonts w:cs="Arial"/>
          <w:szCs w:val="22"/>
        </w:rPr>
        <w:t>b</w:t>
      </w:r>
      <w:r w:rsidRPr="00FA314F">
        <w:rPr>
          <w:rFonts w:cs="Arial"/>
          <w:szCs w:val="22"/>
        </w:rPr>
        <w:t>on in leaves at coastal and reef intertidal habitats</w:t>
      </w:r>
      <w:r w:rsidR="00065F67">
        <w:rPr>
          <w:rFonts w:cs="Arial"/>
          <w:szCs w:val="22"/>
        </w:rPr>
        <w:t>.</w:t>
      </w:r>
    </w:p>
    <w:p w14:paraId="0FD3C9DE" w14:textId="6B6FB042" w:rsidR="000C1447" w:rsidRPr="00FA314F" w:rsidRDefault="000C1447" w:rsidP="000C1447">
      <w:pPr>
        <w:rPr>
          <w:rFonts w:cs="Arial"/>
          <w:szCs w:val="22"/>
        </w:rPr>
      </w:pPr>
      <w:r w:rsidRPr="00FA314F">
        <w:rPr>
          <w:rFonts w:cs="Arial"/>
          <w:szCs w:val="22"/>
        </w:rPr>
        <w:t xml:space="preserve">Over the past decade, seagrass meadows of the Burdekin region have demonstrated high resilience particularly through their capacity for recovery. This may reflect a conditioning to disturbance (high seed bank, high </w:t>
      </w:r>
      <w:r w:rsidR="00C71F26" w:rsidRPr="00FA314F">
        <w:rPr>
          <w:rFonts w:cs="Arial"/>
          <w:szCs w:val="22"/>
        </w:rPr>
        <w:t xml:space="preserve">species </w:t>
      </w:r>
      <w:r w:rsidRPr="00FA314F">
        <w:rPr>
          <w:rFonts w:cs="Arial"/>
          <w:szCs w:val="22"/>
        </w:rPr>
        <w:t xml:space="preserve">diversity), but also reflects the nature of the disturbances which are episodic </w:t>
      </w:r>
      <w:r w:rsidR="00A65C8A" w:rsidRPr="00FA314F">
        <w:rPr>
          <w:rFonts w:cs="Arial"/>
          <w:szCs w:val="22"/>
        </w:rPr>
        <w:t xml:space="preserve">and </w:t>
      </w:r>
      <w:r w:rsidRPr="00FA314F">
        <w:rPr>
          <w:rFonts w:cs="Arial"/>
          <w:szCs w:val="22"/>
        </w:rPr>
        <w:t xml:space="preserve">dominated by </w:t>
      </w:r>
      <w:r w:rsidR="00FB4414" w:rsidRPr="00FA314F">
        <w:rPr>
          <w:rFonts w:cs="Arial"/>
          <w:szCs w:val="22"/>
        </w:rPr>
        <w:t xml:space="preserve">wind events and </w:t>
      </w:r>
      <w:r w:rsidRPr="00FA314F">
        <w:rPr>
          <w:rFonts w:cs="Arial"/>
          <w:szCs w:val="22"/>
        </w:rPr>
        <w:t>Burdekin River f</w:t>
      </w:r>
      <w:r w:rsidR="006E47B4" w:rsidRPr="00FA314F">
        <w:rPr>
          <w:rFonts w:cs="Arial"/>
          <w:szCs w:val="22"/>
        </w:rPr>
        <w:t>lows</w:t>
      </w:r>
      <w:r w:rsidR="00065F67">
        <w:rPr>
          <w:rFonts w:cs="Arial"/>
          <w:szCs w:val="22"/>
        </w:rPr>
        <w:t>.</w:t>
      </w:r>
    </w:p>
    <w:p w14:paraId="4AF3FEEC" w14:textId="77777777" w:rsidR="00C64CB8" w:rsidRPr="00FA314F" w:rsidRDefault="00015AD8" w:rsidP="00065F67">
      <w:pPr>
        <w:keepNext/>
        <w:widowControl w:val="0"/>
        <w:spacing w:after="0"/>
        <w:jc w:val="center"/>
        <w:rPr>
          <w:rFonts w:cs="Arial"/>
          <w:color w:val="000000"/>
          <w:szCs w:val="22"/>
        </w:rPr>
      </w:pPr>
      <w:r w:rsidRPr="00FA314F">
        <w:rPr>
          <w:rFonts w:cs="Arial"/>
          <w:noProof/>
          <w:color w:val="000000"/>
          <w:szCs w:val="22"/>
          <w:lang w:eastAsia="en-AU"/>
        </w:rPr>
        <w:drawing>
          <wp:inline distT="0" distB="0" distL="0" distR="0" wp14:anchorId="3DB578BB" wp14:editId="58EF30EB">
            <wp:extent cx="3867761" cy="2567940"/>
            <wp:effectExtent l="0" t="0" r="0" b="3810"/>
            <wp:docPr id="309" name="Picture 309" descr="Scatter plot with straight lines and markers showing seagrass condition index (including standard errors), with contributing indicator scores for the Burdekin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NDEX_B_2016.png"/>
                    <pic:cNvPicPr/>
                  </pic:nvPicPr>
                  <pic:blipFill>
                    <a:blip r:embed="rId105"/>
                    <a:stretch>
                      <a:fillRect/>
                    </a:stretch>
                  </pic:blipFill>
                  <pic:spPr>
                    <a:xfrm>
                      <a:off x="0" y="0"/>
                      <a:ext cx="3867761" cy="2567940"/>
                    </a:xfrm>
                    <a:prstGeom prst="rect">
                      <a:avLst/>
                    </a:prstGeom>
                  </pic:spPr>
                </pic:pic>
              </a:graphicData>
            </a:graphic>
          </wp:inline>
        </w:drawing>
      </w:r>
    </w:p>
    <w:p w14:paraId="0D878332" w14:textId="0724E569" w:rsidR="00C64CB8" w:rsidRPr="00FA314F" w:rsidRDefault="00C64CB8" w:rsidP="00065F67">
      <w:pPr>
        <w:spacing w:before="0" w:after="0"/>
        <w:rPr>
          <w:rFonts w:cs="Arial"/>
          <w:i/>
          <w:vanish/>
          <w:szCs w:val="22"/>
          <w:specVanish/>
        </w:rPr>
      </w:pPr>
      <w:bookmarkStart w:id="420" w:name="_Ref410385306"/>
      <w:bookmarkStart w:id="421" w:name="_Toc431493856"/>
      <w:bookmarkStart w:id="422" w:name="_Toc38634156"/>
      <w:r w:rsidRPr="00FA314F">
        <w:rPr>
          <w:rFonts w:cs="Arial"/>
          <w:color w:val="000000"/>
          <w:szCs w:val="22"/>
        </w:rPr>
        <w:t xml:space="preserve">Figure </w:t>
      </w:r>
      <w:r w:rsidRPr="00FA314F">
        <w:rPr>
          <w:rFonts w:cs="Arial"/>
          <w:color w:val="000000"/>
          <w:szCs w:val="22"/>
        </w:rPr>
        <w:fldChar w:fldCharType="begin"/>
      </w:r>
      <w:r w:rsidRPr="00FA314F">
        <w:rPr>
          <w:rFonts w:cs="Arial"/>
          <w:color w:val="000000"/>
          <w:szCs w:val="22"/>
        </w:rPr>
        <w:instrText xml:space="preserve"> SEQ Figure \* ARABIC </w:instrText>
      </w:r>
      <w:r w:rsidRPr="00FA314F">
        <w:rPr>
          <w:rFonts w:cs="Arial"/>
          <w:color w:val="000000"/>
          <w:szCs w:val="22"/>
        </w:rPr>
        <w:fldChar w:fldCharType="separate"/>
      </w:r>
      <w:r w:rsidR="0067675D">
        <w:rPr>
          <w:rFonts w:cs="Arial"/>
          <w:noProof/>
          <w:color w:val="000000"/>
          <w:szCs w:val="22"/>
        </w:rPr>
        <w:t>52</w:t>
      </w:r>
      <w:r w:rsidRPr="00FA314F">
        <w:rPr>
          <w:rFonts w:cs="Arial"/>
          <w:color w:val="000000"/>
          <w:szCs w:val="22"/>
        </w:rPr>
        <w:fldChar w:fldCharType="end"/>
      </w:r>
      <w:bookmarkEnd w:id="420"/>
      <w:r w:rsidRPr="00FA314F">
        <w:rPr>
          <w:rFonts w:cs="Arial"/>
          <w:color w:val="000000"/>
          <w:szCs w:val="22"/>
        </w:rPr>
        <w:t xml:space="preserve">. </w:t>
      </w:r>
      <w:r w:rsidRPr="00FA314F">
        <w:rPr>
          <w:rFonts w:cs="Arial"/>
          <w:i/>
          <w:szCs w:val="22"/>
        </w:rPr>
        <w:t>Report card of seagrass status indicators and index for the Burdekin NRM region</w:t>
      </w:r>
      <w:bookmarkEnd w:id="421"/>
      <w:bookmarkEnd w:id="422"/>
    </w:p>
    <w:p w14:paraId="22C0D860" w14:textId="2735C71C" w:rsidR="00C64CB8" w:rsidRPr="00FA314F" w:rsidRDefault="00C64CB8" w:rsidP="00065F67">
      <w:pPr>
        <w:spacing w:before="0" w:after="0"/>
        <w:rPr>
          <w:rFonts w:cs="Arial"/>
          <w:i/>
          <w:szCs w:val="22"/>
        </w:rPr>
      </w:pPr>
      <w:r w:rsidRPr="00FA314F">
        <w:rPr>
          <w:rFonts w:cs="Arial"/>
          <w:i/>
          <w:szCs w:val="22"/>
        </w:rPr>
        <w:t xml:space="preserve"> (average</w:t>
      </w:r>
      <w:r w:rsidR="000115D2" w:rsidRPr="00FA314F">
        <w:rPr>
          <w:rFonts w:cs="Arial"/>
          <w:i/>
          <w:szCs w:val="22"/>
        </w:rPr>
        <w:t>s</w:t>
      </w:r>
      <w:r w:rsidRPr="00FA314F">
        <w:rPr>
          <w:rFonts w:cs="Arial"/>
          <w:i/>
          <w:szCs w:val="22"/>
        </w:rPr>
        <w:t xml:space="preserve"> across habitats and sites). Values are indexed scores scaled </w:t>
      </w:r>
      <w:r w:rsidR="00F776A8" w:rsidRPr="00FA314F">
        <w:rPr>
          <w:rFonts w:cs="Arial"/>
          <w:i/>
          <w:szCs w:val="22"/>
        </w:rPr>
        <w:t xml:space="preserve">from 0–100 and graded: </w:t>
      </w:r>
      <w:r w:rsidR="00F776A8" w:rsidRPr="00FA314F">
        <w:rPr>
          <w:rFonts w:cs="Arial"/>
          <w:color w:val="008000"/>
          <w:szCs w:val="22"/>
        </w:rPr>
        <w:t>●</w:t>
      </w:r>
      <w:r w:rsidR="00F776A8" w:rsidRPr="00FA314F">
        <w:rPr>
          <w:rFonts w:cs="Arial"/>
          <w:i/>
          <w:szCs w:val="22"/>
        </w:rPr>
        <w:t xml:space="preserve"> = very good (81-100), </w:t>
      </w:r>
      <w:r w:rsidR="00F776A8" w:rsidRPr="00FA314F">
        <w:rPr>
          <w:rFonts w:cs="Arial"/>
          <w:color w:val="92D050"/>
          <w:szCs w:val="22"/>
        </w:rPr>
        <w:t>●</w:t>
      </w:r>
      <w:r w:rsidR="00F776A8" w:rsidRPr="00FA314F">
        <w:rPr>
          <w:rFonts w:cs="Arial"/>
          <w:i/>
          <w:szCs w:val="22"/>
        </w:rPr>
        <w:t xml:space="preserve"> = good (61 - 80), </w:t>
      </w:r>
      <w:r w:rsidR="00F776A8" w:rsidRPr="00FA314F">
        <w:rPr>
          <w:rFonts w:cs="Arial"/>
          <w:color w:val="FFFF00"/>
          <w:szCs w:val="22"/>
        </w:rPr>
        <w:t>●</w:t>
      </w:r>
      <w:r w:rsidR="00F776A8" w:rsidRPr="00FA314F">
        <w:rPr>
          <w:rFonts w:cs="Arial"/>
          <w:i/>
          <w:szCs w:val="22"/>
        </w:rPr>
        <w:t xml:space="preserve"> = moderate (41 - 60), </w:t>
      </w:r>
      <w:r w:rsidR="00F776A8" w:rsidRPr="00FA314F">
        <w:rPr>
          <w:rFonts w:cs="Arial"/>
          <w:i/>
          <w:color w:val="FFC000"/>
          <w:szCs w:val="22"/>
        </w:rPr>
        <w:t>●</w:t>
      </w:r>
      <w:r w:rsidR="00F776A8" w:rsidRPr="00FA314F">
        <w:rPr>
          <w:rFonts w:cs="Arial"/>
          <w:i/>
          <w:szCs w:val="22"/>
        </w:rPr>
        <w:t xml:space="preserve"> = poor (21 - 40), </w:t>
      </w:r>
      <w:r w:rsidR="00F776A8" w:rsidRPr="00FA314F">
        <w:rPr>
          <w:rFonts w:cs="Arial"/>
          <w:i/>
          <w:color w:val="FF0000"/>
          <w:szCs w:val="22"/>
        </w:rPr>
        <w:t>●</w:t>
      </w:r>
      <w:r w:rsidR="00F776A8" w:rsidRPr="00FA314F">
        <w:rPr>
          <w:rFonts w:cs="Arial"/>
          <w:i/>
          <w:szCs w:val="22"/>
        </w:rPr>
        <w:t> = very poor (0 - 20).</w:t>
      </w:r>
      <w:r w:rsidR="00F776A8" w:rsidRPr="00FA314F">
        <w:rPr>
          <w:rFonts w:cs="Arial"/>
          <w:i/>
          <w:color w:val="000000"/>
          <w:szCs w:val="22"/>
        </w:rPr>
        <w:t xml:space="preserve"> NB: Scores</w:t>
      </w:r>
      <w:r w:rsidR="00F776A8" w:rsidRPr="00FA314F">
        <w:rPr>
          <w:rFonts w:cs="Arial"/>
          <w:i/>
          <w:szCs w:val="22"/>
        </w:rPr>
        <w:t xml:space="preserve"> are unitless.</w:t>
      </w:r>
    </w:p>
    <w:p w14:paraId="4F7206AE" w14:textId="77777777" w:rsidR="000C1447" w:rsidRPr="00431DDA" w:rsidRDefault="000C1447" w:rsidP="000150D8">
      <w:pPr>
        <w:pStyle w:val="Heading3"/>
      </w:pPr>
      <w:bookmarkStart w:id="423" w:name="_Toc37775086"/>
      <w:bookmarkStart w:id="424" w:name="_Toc43987061"/>
      <w:r w:rsidRPr="00431DDA">
        <w:t>Climate and environmental pressures</w:t>
      </w:r>
      <w:bookmarkEnd w:id="423"/>
      <w:bookmarkEnd w:id="424"/>
    </w:p>
    <w:p w14:paraId="15DA37A7" w14:textId="61726C3F" w:rsidR="003737E9" w:rsidRPr="00FA314F" w:rsidRDefault="00582441" w:rsidP="00C10A9F">
      <w:pPr>
        <w:rPr>
          <w:rFonts w:cs="Arial"/>
          <w:szCs w:val="22"/>
        </w:rPr>
      </w:pPr>
      <w:r w:rsidRPr="00FA314F">
        <w:rPr>
          <w:rFonts w:cs="Arial"/>
          <w:szCs w:val="22"/>
        </w:rPr>
        <w:t xml:space="preserve">In </w:t>
      </w:r>
      <w:r w:rsidR="00956639" w:rsidRPr="00FA314F">
        <w:rPr>
          <w:rFonts w:cs="Arial"/>
          <w:szCs w:val="22"/>
        </w:rPr>
        <w:t>2018–19</w:t>
      </w:r>
      <w:r w:rsidRPr="00FA314F">
        <w:rPr>
          <w:rFonts w:cs="Arial"/>
          <w:szCs w:val="22"/>
        </w:rPr>
        <w:t>, r</w:t>
      </w:r>
      <w:r w:rsidR="000C1447" w:rsidRPr="00FA314F">
        <w:rPr>
          <w:rFonts w:cs="Arial"/>
          <w:szCs w:val="22"/>
        </w:rPr>
        <w:t xml:space="preserve">ainfall and river discharge were </w:t>
      </w:r>
      <w:r w:rsidR="00F40B34" w:rsidRPr="00FA314F">
        <w:rPr>
          <w:rFonts w:cs="Arial"/>
          <w:szCs w:val="22"/>
        </w:rPr>
        <w:t>above the</w:t>
      </w:r>
      <w:r w:rsidR="00342A6B" w:rsidRPr="00FA314F">
        <w:rPr>
          <w:rFonts w:cs="Arial"/>
          <w:szCs w:val="22"/>
        </w:rPr>
        <w:t xml:space="preserve"> long-term median </w:t>
      </w:r>
      <w:r w:rsidR="00F40B34" w:rsidRPr="00FA314F">
        <w:rPr>
          <w:rFonts w:cs="Arial"/>
          <w:szCs w:val="22"/>
        </w:rPr>
        <w:t>for all of the basins</w:t>
      </w:r>
      <w:r w:rsidR="0080651C" w:rsidRPr="00FA314F">
        <w:rPr>
          <w:rFonts w:cs="Arial"/>
          <w:szCs w:val="22"/>
        </w:rPr>
        <w:t xml:space="preserve"> </w:t>
      </w:r>
      <w:r w:rsidR="00342A6B" w:rsidRPr="00FA314F">
        <w:rPr>
          <w:rFonts w:cs="Arial"/>
          <w:szCs w:val="22"/>
        </w:rPr>
        <w:t>i</w:t>
      </w:r>
      <w:r w:rsidR="0080651C" w:rsidRPr="00FA314F">
        <w:rPr>
          <w:rFonts w:cs="Arial"/>
          <w:szCs w:val="22"/>
        </w:rPr>
        <w:t xml:space="preserve">n the Burdekin </w:t>
      </w:r>
      <w:r w:rsidR="00410E1C" w:rsidRPr="00FA314F">
        <w:rPr>
          <w:rFonts w:cs="Arial"/>
          <w:szCs w:val="22"/>
        </w:rPr>
        <w:t>region (</w:t>
      </w:r>
      <w:r w:rsidR="00BE3A5C" w:rsidRPr="00C96863">
        <w:rPr>
          <w:rFonts w:cs="Arial"/>
          <w:szCs w:val="22"/>
        </w:rPr>
        <w:fldChar w:fldCharType="begin"/>
      </w:r>
      <w:r w:rsidR="00BE3A5C" w:rsidRPr="00C96863">
        <w:rPr>
          <w:rFonts w:cs="Arial"/>
          <w:szCs w:val="22"/>
        </w:rPr>
        <w:instrText xml:space="preserve"> REF _Ref530687825 \h </w:instrText>
      </w:r>
      <w:r w:rsidR="00DA741D" w:rsidRPr="00C96863">
        <w:rPr>
          <w:rFonts w:cs="Arial"/>
          <w:szCs w:val="22"/>
        </w:rPr>
        <w:instrText xml:space="preserve"> \* MERGEFORMAT </w:instrText>
      </w:r>
      <w:r w:rsidR="00BE3A5C" w:rsidRPr="00C96863">
        <w:rPr>
          <w:rFonts w:cs="Arial"/>
          <w:szCs w:val="22"/>
        </w:rPr>
      </w:r>
      <w:r w:rsidR="00BE3A5C" w:rsidRPr="00C96863">
        <w:rPr>
          <w:rFonts w:cs="Arial"/>
          <w:szCs w:val="22"/>
        </w:rPr>
        <w:fldChar w:fldCharType="separate"/>
      </w:r>
      <w:r w:rsidR="0067675D" w:rsidRPr="00FA314F">
        <w:rPr>
          <w:rFonts w:cs="Arial"/>
          <w:szCs w:val="22"/>
        </w:rPr>
        <w:t xml:space="preserve">Figure </w:t>
      </w:r>
      <w:r w:rsidR="0067675D">
        <w:rPr>
          <w:rFonts w:cs="Arial"/>
          <w:noProof/>
          <w:szCs w:val="22"/>
        </w:rPr>
        <w:t>53</w:t>
      </w:r>
      <w:r w:rsidR="00BE3A5C" w:rsidRPr="00C96863">
        <w:rPr>
          <w:rFonts w:cs="Arial"/>
          <w:szCs w:val="22"/>
        </w:rPr>
        <w:fldChar w:fldCharType="end"/>
      </w:r>
      <w:r w:rsidR="00342A6B" w:rsidRPr="00C96863">
        <w:rPr>
          <w:rFonts w:cs="Arial"/>
          <w:szCs w:val="22"/>
        </w:rPr>
        <w:t xml:space="preserve">, </w:t>
      </w:r>
      <w:r w:rsidR="00EA4CE6" w:rsidRPr="00C96863">
        <w:rPr>
          <w:rFonts w:cs="Arial"/>
          <w:szCs w:val="22"/>
        </w:rPr>
        <w:fldChar w:fldCharType="begin"/>
      </w:r>
      <w:r w:rsidR="00EA4CE6" w:rsidRPr="00C96863">
        <w:rPr>
          <w:rFonts w:cs="Arial"/>
          <w:szCs w:val="22"/>
        </w:rPr>
        <w:instrText xml:space="preserve"> REF _Ref442465342 \h </w:instrText>
      </w:r>
      <w:r w:rsidR="00FA314F" w:rsidRPr="00C96863">
        <w:rPr>
          <w:rFonts w:cs="Arial"/>
          <w:szCs w:val="22"/>
        </w:rPr>
        <w:instrText xml:space="preserve"> \* MERGEFORMAT </w:instrText>
      </w:r>
      <w:r w:rsidR="00EA4CE6" w:rsidRPr="00C96863">
        <w:rPr>
          <w:rFonts w:cs="Arial"/>
          <w:szCs w:val="22"/>
        </w:rPr>
      </w:r>
      <w:r w:rsidR="00EA4CE6" w:rsidRPr="00C96863">
        <w:rPr>
          <w:rFonts w:cs="Arial"/>
          <w:szCs w:val="22"/>
        </w:rPr>
        <w:fldChar w:fldCharType="separate"/>
      </w:r>
      <w:r w:rsidR="0067675D" w:rsidRPr="0067675D">
        <w:rPr>
          <w:rFonts w:cs="Arial"/>
          <w:szCs w:val="22"/>
        </w:rPr>
        <w:t xml:space="preserve">Table </w:t>
      </w:r>
      <w:r w:rsidR="0067675D" w:rsidRPr="0067675D">
        <w:rPr>
          <w:rFonts w:cs="Arial"/>
          <w:noProof/>
          <w:szCs w:val="22"/>
        </w:rPr>
        <w:t>9</w:t>
      </w:r>
      <w:r w:rsidR="00EA4CE6" w:rsidRPr="00C96863">
        <w:rPr>
          <w:rFonts w:cs="Arial"/>
          <w:szCs w:val="22"/>
        </w:rPr>
        <w:fldChar w:fldCharType="end"/>
      </w:r>
      <w:r w:rsidR="00410E1C" w:rsidRPr="00C96863">
        <w:rPr>
          <w:rFonts w:cs="Arial"/>
          <w:szCs w:val="22"/>
        </w:rPr>
        <w:t>)</w:t>
      </w:r>
      <w:r w:rsidR="00C10A9F" w:rsidRPr="00C96863">
        <w:rPr>
          <w:rFonts w:cs="Arial"/>
          <w:szCs w:val="22"/>
        </w:rPr>
        <w:t xml:space="preserve">. </w:t>
      </w:r>
      <w:r w:rsidR="00F40B34" w:rsidRPr="00C96863">
        <w:rPr>
          <w:rFonts w:cs="Arial"/>
          <w:szCs w:val="22"/>
        </w:rPr>
        <w:t>In</w:t>
      </w:r>
      <w:r w:rsidR="00F40B34" w:rsidRPr="00FA314F">
        <w:rPr>
          <w:rFonts w:cs="Arial"/>
          <w:szCs w:val="22"/>
        </w:rPr>
        <w:t xml:space="preserve"> most rivers, the discharge events were more than 3 times the long-term median</w:t>
      </w:r>
      <w:r w:rsidR="00E05CF8" w:rsidRPr="00FA314F">
        <w:rPr>
          <w:rFonts w:cs="Arial"/>
          <w:szCs w:val="22"/>
        </w:rPr>
        <w:t>.</w:t>
      </w:r>
      <w:r w:rsidR="003371EC">
        <w:rPr>
          <w:rFonts w:cs="Arial"/>
          <w:szCs w:val="22"/>
        </w:rPr>
        <w:t xml:space="preserve"> </w:t>
      </w:r>
      <w:r w:rsidR="00E05CF8" w:rsidRPr="00FA314F">
        <w:rPr>
          <w:rFonts w:cs="Arial"/>
          <w:szCs w:val="22"/>
        </w:rPr>
        <w:t>T</w:t>
      </w:r>
      <w:r w:rsidR="00F40B34" w:rsidRPr="00FA314F">
        <w:rPr>
          <w:rFonts w:cs="Arial"/>
          <w:szCs w:val="22"/>
        </w:rPr>
        <w:t xml:space="preserve">he most significant and unusually high discharge events </w:t>
      </w:r>
      <w:r w:rsidR="00E05CF8" w:rsidRPr="00FA314F">
        <w:rPr>
          <w:rFonts w:cs="Arial"/>
          <w:szCs w:val="22"/>
        </w:rPr>
        <w:t xml:space="preserve">(occurring only a few times in every 100 years) </w:t>
      </w:r>
      <w:r w:rsidR="001A1CE5" w:rsidRPr="00FA314F">
        <w:rPr>
          <w:rFonts w:cs="Arial"/>
          <w:szCs w:val="22"/>
        </w:rPr>
        <w:t>occurred in February 2019 in</w:t>
      </w:r>
      <w:r w:rsidR="00F40B34" w:rsidRPr="00FA314F">
        <w:rPr>
          <w:rFonts w:cs="Arial"/>
          <w:szCs w:val="22"/>
        </w:rPr>
        <w:t xml:space="preserve"> the Ross River</w:t>
      </w:r>
      <w:r w:rsidR="00EA4CE6" w:rsidRPr="00FA314F">
        <w:rPr>
          <w:rFonts w:cs="Arial"/>
          <w:szCs w:val="22"/>
        </w:rPr>
        <w:t>, which passes through the city of Townsville and discharges into Cleveland Bay, and the Haughton River discharging into Bowling Green Bay</w:t>
      </w:r>
      <w:r w:rsidR="00F40B34" w:rsidRPr="00FA314F">
        <w:rPr>
          <w:rFonts w:cs="Arial"/>
          <w:szCs w:val="22"/>
        </w:rPr>
        <w:t>.</w:t>
      </w:r>
      <w:r w:rsidR="001A1CE5" w:rsidRPr="00FA314F">
        <w:rPr>
          <w:rFonts w:cs="Arial"/>
          <w:szCs w:val="22"/>
        </w:rPr>
        <w:t xml:space="preserve"> The Burdekin River was </w:t>
      </w:r>
      <w:r w:rsidR="001A1CE5" w:rsidRPr="00FA314F">
        <w:rPr>
          <w:rFonts w:cs="Arial"/>
          <w:szCs w:val="22"/>
        </w:rPr>
        <w:lastRenderedPageBreak/>
        <w:t>also 3 times above the long-term median discharge</w:t>
      </w:r>
      <w:r w:rsidR="004078F1" w:rsidRPr="00FA314F">
        <w:rPr>
          <w:rFonts w:cs="Arial"/>
          <w:szCs w:val="22"/>
        </w:rPr>
        <w:t>. T</w:t>
      </w:r>
      <w:r w:rsidR="001A1CE5" w:rsidRPr="00FA314F">
        <w:rPr>
          <w:rFonts w:cs="Arial"/>
          <w:szCs w:val="22"/>
        </w:rPr>
        <w:t xml:space="preserve">he volume of water and sediment from </w:t>
      </w:r>
      <w:r w:rsidR="004078F1" w:rsidRPr="00FA314F">
        <w:rPr>
          <w:rFonts w:cs="Arial"/>
          <w:szCs w:val="22"/>
        </w:rPr>
        <w:t>the Burdekin</w:t>
      </w:r>
      <w:r w:rsidR="001A1CE5" w:rsidRPr="00FA314F">
        <w:rPr>
          <w:rFonts w:cs="Arial"/>
          <w:szCs w:val="22"/>
        </w:rPr>
        <w:t xml:space="preserve"> </w:t>
      </w:r>
      <w:r w:rsidR="004078F1" w:rsidRPr="00FA314F">
        <w:rPr>
          <w:rFonts w:cs="Arial"/>
          <w:szCs w:val="22"/>
        </w:rPr>
        <w:t>R</w:t>
      </w:r>
      <w:r w:rsidR="001A1CE5" w:rsidRPr="00FA314F">
        <w:rPr>
          <w:rFonts w:cs="Arial"/>
          <w:szCs w:val="22"/>
        </w:rPr>
        <w:t>iver far exceed</w:t>
      </w:r>
      <w:r w:rsidR="000B228D" w:rsidRPr="00FA314F">
        <w:rPr>
          <w:rFonts w:cs="Arial"/>
          <w:szCs w:val="22"/>
        </w:rPr>
        <w:t>ed</w:t>
      </w:r>
      <w:r w:rsidR="001A1CE5" w:rsidRPr="00FA314F">
        <w:rPr>
          <w:rFonts w:cs="Arial"/>
          <w:szCs w:val="22"/>
        </w:rPr>
        <w:t xml:space="preserve"> </w:t>
      </w:r>
      <w:r w:rsidR="000B228D" w:rsidRPr="00FA314F">
        <w:rPr>
          <w:rFonts w:cs="Arial"/>
          <w:szCs w:val="22"/>
        </w:rPr>
        <w:t xml:space="preserve">each of the small rivers by almost an order of magnitude, </w:t>
      </w:r>
      <w:r w:rsidR="004078F1" w:rsidRPr="00FA314F">
        <w:rPr>
          <w:rFonts w:cs="Arial"/>
          <w:szCs w:val="22"/>
        </w:rPr>
        <w:t>but such an event is more common for this river</w:t>
      </w:r>
      <w:r w:rsidR="000B228D" w:rsidRPr="00FA314F">
        <w:rPr>
          <w:rFonts w:cs="Arial"/>
          <w:szCs w:val="22"/>
        </w:rPr>
        <w:t xml:space="preserve"> (occurring about 10 times in every 100 years). </w:t>
      </w:r>
      <w:r w:rsidR="001A1CE5" w:rsidRPr="00FA314F">
        <w:rPr>
          <w:rFonts w:cs="Arial"/>
          <w:szCs w:val="22"/>
        </w:rPr>
        <w:t>All seagrass monitoring sites in the Burdekin Region are affected by these rivers</w:t>
      </w:r>
      <w:r w:rsidR="000B228D" w:rsidRPr="00FA314F">
        <w:rPr>
          <w:rFonts w:cs="Arial"/>
          <w:szCs w:val="22"/>
        </w:rPr>
        <w:t xml:space="preserve"> and the sediment and nutrient loads they carry</w:t>
      </w:r>
      <w:r w:rsidR="00C96863">
        <w:rPr>
          <w:rFonts w:cs="Arial"/>
          <w:szCs w:val="22"/>
        </w:rPr>
        <w:t>.</w:t>
      </w:r>
    </w:p>
    <w:p w14:paraId="20B7BD0F" w14:textId="39A657D3" w:rsidR="008E654E" w:rsidRPr="00FA314F" w:rsidRDefault="008A59C6" w:rsidP="008A59C6">
      <w:pPr>
        <w:rPr>
          <w:rFonts w:cs="Arial"/>
          <w:szCs w:val="22"/>
          <w:lang w:val="en-GB"/>
        </w:rPr>
      </w:pPr>
      <w:r w:rsidRPr="00FA314F">
        <w:rPr>
          <w:rFonts w:cs="Arial"/>
          <w:szCs w:val="22"/>
          <w:lang w:val="en-GB"/>
        </w:rPr>
        <w:t xml:space="preserve">Exposure of inshore seagrass to turbid waters during the wet season was at the long-term </w:t>
      </w:r>
      <w:r w:rsidR="0096111D" w:rsidRPr="00FA314F">
        <w:rPr>
          <w:rFonts w:cs="Arial"/>
          <w:szCs w:val="22"/>
          <w:lang w:val="en-GB"/>
        </w:rPr>
        <w:t>average</w:t>
      </w:r>
      <w:r w:rsidRPr="00FA314F">
        <w:rPr>
          <w:rFonts w:cs="Arial"/>
          <w:szCs w:val="22"/>
          <w:lang w:val="en-GB"/>
        </w:rPr>
        <w:t xml:space="preserve">. All sites monitored throughout the region were </w:t>
      </w:r>
      <w:r w:rsidR="008E654E" w:rsidRPr="00FA314F">
        <w:rPr>
          <w:rFonts w:cs="Arial"/>
          <w:szCs w:val="22"/>
          <w:lang w:val="en-GB"/>
        </w:rPr>
        <w:t xml:space="preserve">exposed </w:t>
      </w:r>
      <w:r w:rsidRPr="00FA314F">
        <w:rPr>
          <w:rFonts w:cs="Arial"/>
          <w:szCs w:val="22"/>
          <w:lang w:val="en-GB"/>
        </w:rPr>
        <w:t>to ‘brown’ or ‘green’ turbid water for the entire wet season (100</w:t>
      </w:r>
      <w:r w:rsidR="003C311A">
        <w:rPr>
          <w:rFonts w:cs="Arial"/>
          <w:szCs w:val="22"/>
          <w:lang w:val="en-GB"/>
        </w:rPr>
        <w:t xml:space="preserve">% </w:t>
      </w:r>
      <w:r w:rsidRPr="00FA314F">
        <w:rPr>
          <w:rFonts w:cs="Arial"/>
          <w:szCs w:val="22"/>
          <w:lang w:val="en-GB"/>
        </w:rPr>
        <w:t xml:space="preserve">frequency of exposure). Coastal sites (BB, SB and JR) experienced the highest exposure to ‘brown’ turbid, </w:t>
      </w:r>
      <w:r w:rsidRPr="00FA314F">
        <w:rPr>
          <w:rFonts w:cs="Arial"/>
          <w:szCs w:val="22"/>
        </w:rPr>
        <w:t>sediment laden,</w:t>
      </w:r>
      <w:r w:rsidRPr="00FA314F">
        <w:rPr>
          <w:rFonts w:cs="Arial"/>
          <w:szCs w:val="22"/>
          <w:lang w:val="en-GB"/>
        </w:rPr>
        <w:t xml:space="preserve"> waters (</w:t>
      </w:r>
      <w:r w:rsidR="001E5179" w:rsidRPr="00FA314F">
        <w:rPr>
          <w:rFonts w:cs="Arial"/>
          <w:szCs w:val="22"/>
          <w:lang w:val="en-GB"/>
        </w:rPr>
        <w:t>94</w:t>
      </w:r>
      <w:r w:rsidR="009203FC" w:rsidRPr="00FA314F">
        <w:rPr>
          <w:rFonts w:cs="Arial"/>
          <w:szCs w:val="22"/>
          <w:lang w:val="en-GB"/>
        </w:rPr>
        <w:t>–</w:t>
      </w:r>
      <w:r w:rsidRPr="00FA314F">
        <w:rPr>
          <w:rFonts w:cs="Arial"/>
          <w:szCs w:val="22"/>
          <w:lang w:val="en-GB"/>
        </w:rPr>
        <w:t>100</w:t>
      </w:r>
      <w:r w:rsidR="003C311A">
        <w:rPr>
          <w:rFonts w:cs="Arial"/>
          <w:szCs w:val="22"/>
          <w:lang w:val="en-GB"/>
        </w:rPr>
        <w:t xml:space="preserve">% </w:t>
      </w:r>
      <w:r w:rsidRPr="00FA314F">
        <w:rPr>
          <w:rFonts w:cs="Arial"/>
          <w:szCs w:val="22"/>
          <w:lang w:val="en-GB"/>
        </w:rPr>
        <w:t>of wet season weeks</w:t>
      </w:r>
      <w:r w:rsidR="001E5179" w:rsidRPr="00FA314F">
        <w:rPr>
          <w:rFonts w:cs="Arial"/>
          <w:szCs w:val="22"/>
          <w:lang w:val="en-GB"/>
        </w:rPr>
        <w:t xml:space="preserve"> categories 1</w:t>
      </w:r>
      <w:r w:rsidR="004916B0" w:rsidRPr="00FA314F">
        <w:rPr>
          <w:rFonts w:cs="Arial"/>
          <w:szCs w:val="22"/>
        </w:rPr>
        <w:t>–</w:t>
      </w:r>
      <w:r w:rsidR="001E5179" w:rsidRPr="00FA314F">
        <w:rPr>
          <w:rFonts w:cs="Arial"/>
          <w:szCs w:val="22"/>
          <w:lang w:val="en-GB"/>
        </w:rPr>
        <w:t>4, 100</w:t>
      </w:r>
      <w:r w:rsidR="003C311A">
        <w:rPr>
          <w:rFonts w:cs="Arial"/>
          <w:szCs w:val="22"/>
          <w:lang w:val="en-GB"/>
        </w:rPr>
        <w:t xml:space="preserve">% </w:t>
      </w:r>
      <w:r w:rsidR="001E5179" w:rsidRPr="00FA314F">
        <w:rPr>
          <w:rFonts w:cs="Arial"/>
          <w:szCs w:val="22"/>
          <w:lang w:val="en-GB"/>
        </w:rPr>
        <w:t>of categories 1</w:t>
      </w:r>
      <w:r w:rsidR="004916B0" w:rsidRPr="00FA314F">
        <w:rPr>
          <w:rFonts w:cs="Arial"/>
          <w:szCs w:val="22"/>
        </w:rPr>
        <w:t>–</w:t>
      </w:r>
      <w:r w:rsidR="001E5179" w:rsidRPr="00FA314F">
        <w:rPr>
          <w:rFonts w:cs="Arial"/>
          <w:szCs w:val="22"/>
          <w:lang w:val="en-GB"/>
        </w:rPr>
        <w:t>5</w:t>
      </w:r>
      <w:r w:rsidRPr="00FA314F">
        <w:rPr>
          <w:rFonts w:cs="Arial"/>
          <w:szCs w:val="22"/>
          <w:lang w:val="en-GB"/>
        </w:rPr>
        <w:t xml:space="preserve">), while the remaining reef sites were exposed predominately to ‘green’, </w:t>
      </w:r>
      <w:r w:rsidRPr="00FA314F">
        <w:rPr>
          <w:rFonts w:cs="Arial"/>
          <w:szCs w:val="22"/>
        </w:rPr>
        <w:t>phytoplankton rich</w:t>
      </w:r>
      <w:r w:rsidRPr="00FA314F">
        <w:rPr>
          <w:rFonts w:cs="Arial"/>
          <w:szCs w:val="22"/>
          <w:lang w:val="en-GB"/>
        </w:rPr>
        <w:t xml:space="preserve"> waters</w:t>
      </w:r>
      <w:r w:rsidR="001E5179" w:rsidRPr="00FA314F">
        <w:rPr>
          <w:rFonts w:cs="Arial"/>
          <w:szCs w:val="22"/>
          <w:lang w:val="en-GB"/>
        </w:rPr>
        <w:t xml:space="preserve"> for 100</w:t>
      </w:r>
      <w:r w:rsidR="003C311A">
        <w:rPr>
          <w:rFonts w:cs="Arial"/>
          <w:szCs w:val="22"/>
          <w:lang w:val="en-GB"/>
        </w:rPr>
        <w:t xml:space="preserve">% </w:t>
      </w:r>
      <w:r w:rsidR="001E5179" w:rsidRPr="00FA314F">
        <w:rPr>
          <w:rFonts w:cs="Arial"/>
          <w:szCs w:val="22"/>
          <w:lang w:val="en-GB"/>
        </w:rPr>
        <w:t>of weeks (categories 1</w:t>
      </w:r>
      <w:r w:rsidR="004916B0" w:rsidRPr="00FA314F">
        <w:rPr>
          <w:rFonts w:cs="Arial"/>
          <w:szCs w:val="22"/>
        </w:rPr>
        <w:t>–</w:t>
      </w:r>
      <w:r w:rsidR="001E5179" w:rsidRPr="00FA314F">
        <w:rPr>
          <w:rFonts w:cs="Arial"/>
          <w:szCs w:val="22"/>
          <w:lang w:val="en-GB"/>
        </w:rPr>
        <w:t>5)</w:t>
      </w:r>
      <w:r w:rsidRPr="00FA314F">
        <w:rPr>
          <w:rFonts w:cs="Arial"/>
          <w:szCs w:val="22"/>
          <w:lang w:val="en-GB"/>
        </w:rPr>
        <w:t xml:space="preserve"> (</w:t>
      </w:r>
      <w:r w:rsidRPr="00FA314F">
        <w:rPr>
          <w:rFonts w:cs="Arial"/>
          <w:szCs w:val="22"/>
          <w:lang w:val="en-GB"/>
        </w:rPr>
        <w:fldChar w:fldCharType="begin"/>
      </w:r>
      <w:r w:rsidRPr="00FA314F">
        <w:rPr>
          <w:rFonts w:cs="Arial"/>
          <w:szCs w:val="22"/>
          <w:lang w:val="en-GB"/>
        </w:rPr>
        <w:instrText xml:space="preserve"> REF _Ref530687825 \h </w:instrText>
      </w:r>
      <w:r w:rsidR="00CB093C" w:rsidRPr="00FA314F">
        <w:rPr>
          <w:rFonts w:cs="Arial"/>
          <w:szCs w:val="22"/>
          <w:lang w:val="en-GB"/>
        </w:rPr>
        <w:instrText xml:space="preserve"> \* MERGEFORMAT </w:instrText>
      </w:r>
      <w:r w:rsidRPr="00FA314F">
        <w:rPr>
          <w:rFonts w:cs="Arial"/>
          <w:szCs w:val="22"/>
          <w:lang w:val="en-GB"/>
        </w:rPr>
      </w:r>
      <w:r w:rsidRPr="00FA314F">
        <w:rPr>
          <w:rFonts w:cs="Arial"/>
          <w:szCs w:val="22"/>
          <w:lang w:val="en-GB"/>
        </w:rPr>
        <w:fldChar w:fldCharType="separate"/>
      </w:r>
      <w:r w:rsidR="0067675D" w:rsidRPr="00FA314F">
        <w:rPr>
          <w:rFonts w:cs="Arial"/>
          <w:szCs w:val="22"/>
        </w:rPr>
        <w:t xml:space="preserve">Figure </w:t>
      </w:r>
      <w:r w:rsidR="0067675D">
        <w:rPr>
          <w:rFonts w:cs="Arial"/>
          <w:noProof/>
          <w:szCs w:val="22"/>
        </w:rPr>
        <w:t>53</w:t>
      </w:r>
      <w:r w:rsidRPr="00FA314F">
        <w:rPr>
          <w:rFonts w:cs="Arial"/>
          <w:szCs w:val="22"/>
          <w:lang w:val="en-GB"/>
        </w:rPr>
        <w:fldChar w:fldCharType="end"/>
      </w:r>
      <w:r w:rsidRPr="00FA314F">
        <w:rPr>
          <w:rFonts w:cs="Arial"/>
          <w:szCs w:val="22"/>
          <w:lang w:val="en-GB"/>
        </w:rPr>
        <w:t xml:space="preserve">). </w:t>
      </w:r>
    </w:p>
    <w:p w14:paraId="23AF974C" w14:textId="6FCB6AAA" w:rsidR="008A59C6" w:rsidRPr="00FA314F" w:rsidRDefault="00F5296C" w:rsidP="008A59C6">
      <w:pPr>
        <w:rPr>
          <w:rFonts w:cs="Arial"/>
          <w:szCs w:val="22"/>
          <w:lang w:val="en-GB"/>
        </w:rPr>
      </w:pPr>
      <w:r w:rsidRPr="00FA314F">
        <w:rPr>
          <w:rFonts w:cs="Arial"/>
          <w:szCs w:val="22"/>
          <w:lang w:val="en-GB"/>
        </w:rPr>
        <w:t>Daily light levels in the Burdekin region are below 10 mol m</w:t>
      </w:r>
      <w:r w:rsidRPr="00FA314F">
        <w:rPr>
          <w:rFonts w:cs="Arial"/>
          <w:szCs w:val="22"/>
          <w:vertAlign w:val="superscript"/>
          <w:lang w:val="en-GB"/>
        </w:rPr>
        <w:t>-2</w:t>
      </w:r>
      <w:r w:rsidRPr="00FA314F">
        <w:rPr>
          <w:rFonts w:cs="Arial"/>
          <w:szCs w:val="22"/>
          <w:lang w:val="en-GB"/>
        </w:rPr>
        <w:t xml:space="preserve"> d</w:t>
      </w:r>
      <w:r w:rsidRPr="00FA314F">
        <w:rPr>
          <w:rFonts w:cs="Arial"/>
          <w:szCs w:val="22"/>
          <w:vertAlign w:val="superscript"/>
          <w:lang w:val="en-GB"/>
        </w:rPr>
        <w:t>-1</w:t>
      </w:r>
      <w:r w:rsidRPr="00FA314F">
        <w:rPr>
          <w:rFonts w:cs="Arial"/>
          <w:szCs w:val="22"/>
          <w:lang w:val="en-GB"/>
        </w:rPr>
        <w:t xml:space="preserve"> on average</w:t>
      </w:r>
      <w:r w:rsidR="001E5179" w:rsidRPr="00FA314F">
        <w:rPr>
          <w:rFonts w:cs="Arial"/>
          <w:szCs w:val="22"/>
          <w:lang w:val="en-GB"/>
        </w:rPr>
        <w:t>. I</w:t>
      </w:r>
      <w:r w:rsidRPr="00FA314F">
        <w:rPr>
          <w:rFonts w:cs="Arial"/>
          <w:szCs w:val="22"/>
          <w:lang w:val="en-GB"/>
        </w:rPr>
        <w:t xml:space="preserve">n </w:t>
      </w:r>
      <w:r w:rsidR="00956639" w:rsidRPr="00FA314F">
        <w:rPr>
          <w:rFonts w:cs="Arial"/>
          <w:szCs w:val="22"/>
          <w:lang w:val="en-GB"/>
        </w:rPr>
        <w:t>2018–19</w:t>
      </w:r>
      <w:r w:rsidRPr="00FA314F">
        <w:rPr>
          <w:rFonts w:cs="Arial"/>
          <w:szCs w:val="22"/>
          <w:lang w:val="en-GB"/>
        </w:rPr>
        <w:t xml:space="preserve">, they were </w:t>
      </w:r>
      <w:r w:rsidR="001E5179" w:rsidRPr="00FA314F">
        <w:rPr>
          <w:rFonts w:cs="Arial"/>
          <w:szCs w:val="22"/>
          <w:lang w:val="en-GB"/>
        </w:rPr>
        <w:t>higher than average due to high light levels during the latter part of 2018 when there was a prolonged high light period before the wet season rainfall and river discharge</w:t>
      </w:r>
      <w:r w:rsidRPr="00FA314F">
        <w:rPr>
          <w:rFonts w:cs="Arial"/>
          <w:szCs w:val="22"/>
          <w:lang w:val="en-GB"/>
        </w:rPr>
        <w:t>.</w:t>
      </w:r>
      <w:r w:rsidR="001E5179" w:rsidRPr="00FA314F">
        <w:rPr>
          <w:rFonts w:cs="Arial"/>
          <w:szCs w:val="22"/>
          <w:lang w:val="en-GB"/>
        </w:rPr>
        <w:t xml:space="preserve"> During the wet season when there were flood events, some light loggers failed to record. </w:t>
      </w:r>
      <w:r w:rsidR="004F0CCD" w:rsidRPr="00FA314F">
        <w:rPr>
          <w:rFonts w:cs="Arial"/>
          <w:szCs w:val="22"/>
          <w:lang w:val="en-GB"/>
        </w:rPr>
        <w:t>From those sites that we have data, we can see an extended period of low light during the wet season (</w:t>
      </w:r>
      <w:r w:rsidR="004F0CCD" w:rsidRPr="00FA314F">
        <w:rPr>
          <w:rFonts w:cs="Arial"/>
          <w:szCs w:val="22"/>
          <w:lang w:val="en-GB"/>
        </w:rPr>
        <w:fldChar w:fldCharType="begin"/>
      </w:r>
      <w:r w:rsidR="004F0CCD" w:rsidRPr="00FA314F">
        <w:rPr>
          <w:rFonts w:cs="Arial"/>
          <w:szCs w:val="22"/>
          <w:lang w:val="en-GB"/>
        </w:rPr>
        <w:instrText xml:space="preserve"> REF _Ref410288144 \h </w:instrText>
      </w:r>
      <w:r w:rsidR="00FA314F">
        <w:rPr>
          <w:rFonts w:cs="Arial"/>
          <w:szCs w:val="22"/>
          <w:lang w:val="en-GB"/>
        </w:rPr>
        <w:instrText xml:space="preserve"> \* MERGEFORMAT </w:instrText>
      </w:r>
      <w:r w:rsidR="004F0CCD" w:rsidRPr="00FA314F">
        <w:rPr>
          <w:rFonts w:cs="Arial"/>
          <w:szCs w:val="22"/>
          <w:lang w:val="en-GB"/>
        </w:rPr>
      </w:r>
      <w:r w:rsidR="004F0CCD"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102</w:t>
      </w:r>
      <w:r w:rsidR="004F0CCD" w:rsidRPr="00FA314F">
        <w:rPr>
          <w:rFonts w:cs="Arial"/>
          <w:szCs w:val="22"/>
          <w:lang w:val="en-GB"/>
        </w:rPr>
        <w:fldChar w:fldCharType="end"/>
      </w:r>
      <w:r w:rsidR="004F0CCD" w:rsidRPr="00FA314F">
        <w:rPr>
          <w:rFonts w:cs="Arial"/>
          <w:szCs w:val="22"/>
          <w:lang w:val="en-GB"/>
        </w:rPr>
        <w:t xml:space="preserve">). These sites were at reef intertidal sites which tend to have the higher light levels amongst sites in the region, therefore leading to an </w:t>
      </w:r>
      <w:r w:rsidR="003371EC" w:rsidRPr="00FA314F">
        <w:rPr>
          <w:rFonts w:cs="Arial"/>
          <w:szCs w:val="22"/>
          <w:lang w:val="en-GB"/>
        </w:rPr>
        <w:t>over inflation</w:t>
      </w:r>
      <w:r w:rsidR="004F0CCD" w:rsidRPr="00FA314F">
        <w:rPr>
          <w:rFonts w:cs="Arial"/>
          <w:szCs w:val="22"/>
          <w:lang w:val="en-GB"/>
        </w:rPr>
        <w:t xml:space="preserve"> of the region-wide light average for the wet season, and an </w:t>
      </w:r>
      <w:r w:rsidR="003371EC" w:rsidRPr="00FA314F">
        <w:rPr>
          <w:rFonts w:cs="Arial"/>
          <w:szCs w:val="22"/>
          <w:lang w:val="en-GB"/>
        </w:rPr>
        <w:t>over inflation</w:t>
      </w:r>
      <w:r w:rsidR="004F0CCD" w:rsidRPr="00FA314F">
        <w:rPr>
          <w:rFonts w:cs="Arial"/>
          <w:szCs w:val="22"/>
          <w:lang w:val="en-GB"/>
        </w:rPr>
        <w:t xml:space="preserve"> in the regional average for the year. Light limitation during the wet season is very likely to have contributed to reductions in seagrass abundance and the score for the region. </w:t>
      </w:r>
    </w:p>
    <w:p w14:paraId="604D9950" w14:textId="24CCC7F6" w:rsidR="008A59C6" w:rsidRPr="00FA314F" w:rsidRDefault="008A59C6" w:rsidP="00C10A9F">
      <w:pPr>
        <w:rPr>
          <w:rFonts w:cs="Arial"/>
          <w:szCs w:val="22"/>
        </w:rPr>
      </w:pPr>
    </w:p>
    <w:p w14:paraId="2BFF4FC6" w14:textId="44692DC4" w:rsidR="00012298" w:rsidRPr="00FA314F" w:rsidRDefault="00012298" w:rsidP="007C649F">
      <w:pPr>
        <w:jc w:val="center"/>
        <w:rPr>
          <w:rFonts w:cs="Arial"/>
          <w:color w:val="000000"/>
          <w:szCs w:val="22"/>
        </w:rPr>
      </w:pPr>
      <w:r w:rsidRPr="00FA314F">
        <w:rPr>
          <w:rFonts w:cs="Arial"/>
          <w:noProof/>
          <w:color w:val="000000"/>
          <w:szCs w:val="22"/>
          <w:lang w:eastAsia="en-AU"/>
        </w:rPr>
        <w:lastRenderedPageBreak/>
        <w:drawing>
          <wp:inline distT="0" distB="0" distL="0" distR="0" wp14:anchorId="120D7F2A" wp14:editId="61554D39">
            <wp:extent cx="5110430" cy="7904298"/>
            <wp:effectExtent l="0" t="0" r="0" b="1905"/>
            <wp:docPr id="562" name="Picture 562" descr="Figures show extent of plumes, colour class, light and temperate data" title="environmental pressures burde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WT N Pressures page-01.png"/>
                    <pic:cNvPicPr/>
                  </pic:nvPicPr>
                  <pic:blipFill>
                    <a:blip r:embed="rId106">
                      <a:extLst>
                        <a:ext uri="{28A0092B-C50C-407E-A947-70E740481C1C}">
                          <a14:useLocalDpi xmlns:a14="http://schemas.microsoft.com/office/drawing/2010/main" val="0"/>
                        </a:ext>
                      </a:extLst>
                    </a:blip>
                    <a:stretch>
                      <a:fillRect/>
                    </a:stretch>
                  </pic:blipFill>
                  <pic:spPr>
                    <a:xfrm>
                      <a:off x="0" y="0"/>
                      <a:ext cx="5110430" cy="7904298"/>
                    </a:xfrm>
                    <a:prstGeom prst="rect">
                      <a:avLst/>
                    </a:prstGeom>
                  </pic:spPr>
                </pic:pic>
              </a:graphicData>
            </a:graphic>
          </wp:inline>
        </w:drawing>
      </w:r>
    </w:p>
    <w:p w14:paraId="561B59C1" w14:textId="14B17654" w:rsidR="001B1A95" w:rsidRPr="00FA314F" w:rsidRDefault="00012298" w:rsidP="001B1A95">
      <w:pPr>
        <w:rPr>
          <w:rFonts w:cs="Arial"/>
          <w:i/>
          <w:iCs/>
          <w:vanish/>
          <w:szCs w:val="22"/>
          <w:lang w:eastAsia="en-AU"/>
          <w:specVanish/>
        </w:rPr>
      </w:pPr>
      <w:bookmarkStart w:id="425" w:name="_Ref530687825"/>
      <w:bookmarkStart w:id="426" w:name="_Toc38634157"/>
      <w:r w:rsidRPr="00FA314F">
        <w:rPr>
          <w:rFonts w:cs="Arial"/>
          <w:szCs w:val="22"/>
        </w:rPr>
        <w:lastRenderedPageBreak/>
        <w:t xml:space="preserve">Figure </w:t>
      </w:r>
      <w:r w:rsidR="000E4688" w:rsidRPr="00FA314F">
        <w:rPr>
          <w:rFonts w:cs="Arial"/>
          <w:noProof/>
          <w:szCs w:val="22"/>
        </w:rPr>
        <w:fldChar w:fldCharType="begin"/>
      </w:r>
      <w:r w:rsidR="000E4688" w:rsidRPr="00FA314F">
        <w:rPr>
          <w:rFonts w:cs="Arial"/>
          <w:noProof/>
          <w:szCs w:val="22"/>
        </w:rPr>
        <w:instrText xml:space="preserve"> SEQ Figure \* ARABIC </w:instrText>
      </w:r>
      <w:r w:rsidR="000E4688" w:rsidRPr="00FA314F">
        <w:rPr>
          <w:rFonts w:cs="Arial"/>
          <w:noProof/>
          <w:szCs w:val="22"/>
        </w:rPr>
        <w:fldChar w:fldCharType="separate"/>
      </w:r>
      <w:r w:rsidR="0067675D">
        <w:rPr>
          <w:rFonts w:cs="Arial"/>
          <w:noProof/>
          <w:szCs w:val="22"/>
        </w:rPr>
        <w:t>53</w:t>
      </w:r>
      <w:r w:rsidR="000E4688" w:rsidRPr="00FA314F">
        <w:rPr>
          <w:rFonts w:cs="Arial"/>
          <w:noProof/>
          <w:szCs w:val="22"/>
        </w:rPr>
        <w:fldChar w:fldCharType="end"/>
      </w:r>
      <w:bookmarkEnd w:id="425"/>
      <w:r w:rsidRPr="00FA314F">
        <w:rPr>
          <w:rFonts w:cs="Arial"/>
          <w:szCs w:val="22"/>
        </w:rPr>
        <w:t xml:space="preserve">. </w:t>
      </w:r>
      <w:r w:rsidRPr="00FA314F">
        <w:rPr>
          <w:rFonts w:cs="Arial"/>
          <w:i/>
          <w:szCs w:val="22"/>
        </w:rPr>
        <w:t>Environmental pressures in the Burdekin region</w:t>
      </w:r>
      <w:bookmarkEnd w:id="426"/>
    </w:p>
    <w:p w14:paraId="3EB8E73F" w14:textId="5B6BFA7D" w:rsidR="00012298" w:rsidRPr="00FA314F" w:rsidRDefault="001B1A95" w:rsidP="001B1A95">
      <w:pPr>
        <w:rPr>
          <w:rFonts w:cs="Arial"/>
          <w:i/>
          <w:color w:val="000000"/>
          <w:szCs w:val="22"/>
        </w:rPr>
      </w:pPr>
      <w:r w:rsidRPr="00FA314F">
        <w:rPr>
          <w:rFonts w:cs="Arial"/>
          <w:i/>
          <w:szCs w:val="22"/>
          <w:lang w:eastAsia="en-AU"/>
        </w:rPr>
        <w:t xml:space="preserve"> </w:t>
      </w:r>
      <w:r w:rsidR="00012298" w:rsidRPr="00FA314F">
        <w:rPr>
          <w:rFonts w:cs="Arial"/>
          <w:i/>
          <w:szCs w:val="22"/>
        </w:rPr>
        <w:t>including</w:t>
      </w:r>
      <w:r w:rsidRPr="00FA314F">
        <w:rPr>
          <w:rFonts w:cs="Arial"/>
          <w:i/>
          <w:szCs w:val="22"/>
        </w:rPr>
        <w:t>:</w:t>
      </w:r>
      <w:r w:rsidR="00012298" w:rsidRPr="00FA314F">
        <w:rPr>
          <w:rFonts w:cs="Arial"/>
          <w:i/>
          <w:szCs w:val="22"/>
        </w:rPr>
        <w:t xml:space="preserve"> a.</w:t>
      </w:r>
      <w:r w:rsidR="00012298" w:rsidRPr="00FA314F">
        <w:rPr>
          <w:rFonts w:cs="Arial"/>
          <w:szCs w:val="22"/>
        </w:rPr>
        <w:t xml:space="preserve"> </w:t>
      </w:r>
      <w:r w:rsidR="00012298" w:rsidRPr="00FA314F">
        <w:rPr>
          <w:rFonts w:cs="Arial"/>
          <w:i/>
          <w:szCs w:val="22"/>
        </w:rPr>
        <w:t>frequency of exposure to turbid water (colour classes 1</w:t>
      </w:r>
      <w:r w:rsidR="009203FC" w:rsidRPr="00FA314F">
        <w:rPr>
          <w:rFonts w:cs="Arial"/>
          <w:i/>
          <w:szCs w:val="22"/>
        </w:rPr>
        <w:t>–</w:t>
      </w:r>
      <w:r w:rsidR="00012298" w:rsidRPr="00FA314F">
        <w:rPr>
          <w:rFonts w:cs="Arial"/>
          <w:i/>
          <w:szCs w:val="22"/>
        </w:rPr>
        <w:t xml:space="preserve">5) (from </w:t>
      </w:r>
      <w:hyperlink w:anchor="_ENREF_68" w:tooltip="Gruber, 2019 #11860" w:history="1">
        <w:r w:rsidR="009A7AB4" w:rsidRPr="00FA314F">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FA314F">
          <w:rPr>
            <w:rFonts w:cs="Arial"/>
            <w:i/>
            <w:szCs w:val="22"/>
          </w:rPr>
          <w:fldChar w:fldCharType="separate"/>
        </w:r>
        <w:r w:rsidR="009A7AB4">
          <w:rPr>
            <w:rFonts w:cs="Arial"/>
            <w:i/>
            <w:noProof/>
            <w:szCs w:val="22"/>
          </w:rPr>
          <w:t>Gruber et al. 2019b</w:t>
        </w:r>
        <w:r w:rsidR="009A7AB4" w:rsidRPr="00FA314F">
          <w:rPr>
            <w:rFonts w:cs="Arial"/>
            <w:i/>
            <w:szCs w:val="22"/>
          </w:rPr>
          <w:fldChar w:fldCharType="end"/>
        </w:r>
      </w:hyperlink>
      <w:r w:rsidR="00012298" w:rsidRPr="00FA314F">
        <w:rPr>
          <w:rFonts w:cs="Arial"/>
          <w:i/>
          <w:szCs w:val="22"/>
        </w:rPr>
        <w:t>)</w:t>
      </w:r>
      <w:r w:rsidRPr="00FA314F">
        <w:rPr>
          <w:rFonts w:cs="Arial"/>
          <w:i/>
          <w:szCs w:val="22"/>
        </w:rPr>
        <w:t>;</w:t>
      </w:r>
      <w:r w:rsidR="00012298" w:rsidRPr="00FA314F">
        <w:rPr>
          <w:rFonts w:cs="Arial"/>
          <w:i/>
          <w:szCs w:val="22"/>
        </w:rPr>
        <w:t xml:space="preserve"> b. wet season water type at each </w:t>
      </w:r>
      <w:r w:rsidRPr="00FA314F">
        <w:rPr>
          <w:rFonts w:cs="Arial"/>
          <w:i/>
          <w:szCs w:val="22"/>
        </w:rPr>
        <w:t>site;</w:t>
      </w:r>
      <w:r w:rsidR="00012298" w:rsidRPr="00FA314F">
        <w:rPr>
          <w:rFonts w:cs="Arial"/>
          <w:i/>
          <w:szCs w:val="22"/>
        </w:rPr>
        <w:t xml:space="preserve"> c. average conditions over the long-term and in </w:t>
      </w:r>
      <w:r w:rsidR="00956639" w:rsidRPr="00FA314F">
        <w:rPr>
          <w:rFonts w:cs="Arial"/>
          <w:i/>
          <w:szCs w:val="22"/>
        </w:rPr>
        <w:t>2018–19</w:t>
      </w:r>
      <w:r w:rsidRPr="00FA314F">
        <w:rPr>
          <w:rFonts w:cs="Arial"/>
          <w:i/>
          <w:szCs w:val="22"/>
        </w:rPr>
        <w:t>;</w:t>
      </w:r>
      <w:r w:rsidR="00012298" w:rsidRPr="00FA314F">
        <w:rPr>
          <w:rFonts w:cs="Arial"/>
          <w:i/>
          <w:szCs w:val="22"/>
        </w:rPr>
        <w:t xml:space="preserve"> d. daily light and the 28-day rolling mean of daily light for all </w:t>
      </w:r>
      <w:r w:rsidR="00F776A8" w:rsidRPr="00FA314F">
        <w:rPr>
          <w:rFonts w:cs="Arial"/>
          <w:i/>
          <w:szCs w:val="22"/>
        </w:rPr>
        <w:t xml:space="preserve">intertidal </w:t>
      </w:r>
      <w:r w:rsidR="00012298" w:rsidRPr="00FA314F">
        <w:rPr>
          <w:rFonts w:cs="Arial"/>
          <w:i/>
          <w:szCs w:val="22"/>
        </w:rPr>
        <w:t>sites</w:t>
      </w:r>
      <w:r w:rsidRPr="00FA314F">
        <w:rPr>
          <w:rFonts w:cs="Arial"/>
          <w:i/>
          <w:szCs w:val="22"/>
        </w:rPr>
        <w:t>;</w:t>
      </w:r>
      <w:r w:rsidR="00012298" w:rsidRPr="00FA314F">
        <w:rPr>
          <w:rFonts w:cs="Arial"/>
          <w:i/>
          <w:szCs w:val="22"/>
        </w:rPr>
        <w:t xml:space="preserve"> e. number of day</w:t>
      </w:r>
      <w:r w:rsidR="00F776A8" w:rsidRPr="00FA314F">
        <w:rPr>
          <w:rFonts w:cs="Arial"/>
          <w:i/>
          <w:szCs w:val="22"/>
        </w:rPr>
        <w:t>s intertidal site</w:t>
      </w:r>
      <w:r w:rsidR="00012298" w:rsidRPr="00FA314F">
        <w:rPr>
          <w:rFonts w:cs="Arial"/>
          <w:i/>
          <w:szCs w:val="22"/>
        </w:rPr>
        <w:t xml:space="preserve"> temperature exceeded 35°C, 38°C, 40°C and 43°C, and</w:t>
      </w:r>
      <w:r w:rsidRPr="00FA314F">
        <w:rPr>
          <w:rFonts w:cs="Arial"/>
          <w:i/>
          <w:szCs w:val="22"/>
        </w:rPr>
        <w:t>;</w:t>
      </w:r>
      <w:r w:rsidR="00012298" w:rsidRPr="00FA314F">
        <w:rPr>
          <w:rFonts w:cs="Arial"/>
          <w:i/>
          <w:szCs w:val="22"/>
        </w:rPr>
        <w:t xml:space="preserve"> f. deviations from 13-year </w:t>
      </w:r>
      <w:r w:rsidR="00012298" w:rsidRPr="00FA314F">
        <w:rPr>
          <w:rFonts w:cs="Arial"/>
          <w:i/>
          <w:color w:val="000000"/>
          <w:szCs w:val="22"/>
        </w:rPr>
        <w:t>mean weekly temperature records.</w:t>
      </w:r>
    </w:p>
    <w:p w14:paraId="1314C42C" w14:textId="0433E662" w:rsidR="0094354F" w:rsidRDefault="00C93311" w:rsidP="00C93311">
      <w:pPr>
        <w:rPr>
          <w:rFonts w:cs="Arial"/>
          <w:szCs w:val="22"/>
        </w:rPr>
      </w:pPr>
      <w:r w:rsidRPr="00C96863">
        <w:rPr>
          <w:rFonts w:cs="Arial"/>
          <w:szCs w:val="22"/>
          <w:lang w:val="en-GB"/>
        </w:rPr>
        <w:t xml:space="preserve">This year </w:t>
      </w:r>
      <w:r w:rsidRPr="00C96863">
        <w:rPr>
          <w:rFonts w:cs="Arial"/>
          <w:szCs w:val="22"/>
        </w:rPr>
        <w:t xml:space="preserve">intertidal </w:t>
      </w:r>
      <w:r w:rsidRPr="00C96863">
        <w:rPr>
          <w:rFonts w:cs="Arial"/>
          <w:szCs w:val="22"/>
          <w:lang w:val="en-GB"/>
        </w:rPr>
        <w:t xml:space="preserve">within-canopy </w:t>
      </w:r>
      <w:r w:rsidRPr="00C96863">
        <w:rPr>
          <w:rFonts w:cs="Arial"/>
          <w:szCs w:val="22"/>
        </w:rPr>
        <w:t>temperatures were similar to the long-term average  (</w:t>
      </w:r>
      <w:r w:rsidRPr="00C96863">
        <w:rPr>
          <w:rFonts w:cs="Arial"/>
          <w:szCs w:val="22"/>
        </w:rPr>
        <w:fldChar w:fldCharType="begin"/>
      </w:r>
      <w:r w:rsidRPr="00C96863">
        <w:rPr>
          <w:rFonts w:cs="Arial"/>
          <w:szCs w:val="22"/>
        </w:rPr>
        <w:instrText xml:space="preserve"> REF _Ref530687825 \h  \* MERGEFORMAT </w:instrText>
      </w:r>
      <w:r w:rsidRPr="00C96863">
        <w:rPr>
          <w:rFonts w:cs="Arial"/>
          <w:szCs w:val="22"/>
        </w:rPr>
      </w:r>
      <w:r w:rsidRPr="00C96863">
        <w:rPr>
          <w:rFonts w:cs="Arial"/>
          <w:szCs w:val="22"/>
        </w:rPr>
        <w:fldChar w:fldCharType="separate"/>
      </w:r>
      <w:r w:rsidR="0067675D" w:rsidRPr="00FA314F">
        <w:rPr>
          <w:rFonts w:cs="Arial"/>
          <w:szCs w:val="22"/>
        </w:rPr>
        <w:t xml:space="preserve">Figure </w:t>
      </w:r>
      <w:r w:rsidR="0067675D">
        <w:rPr>
          <w:rFonts w:cs="Arial"/>
          <w:noProof/>
          <w:szCs w:val="22"/>
        </w:rPr>
        <w:t>53</w:t>
      </w:r>
      <w:r w:rsidRPr="00C96863">
        <w:rPr>
          <w:rFonts w:cs="Arial"/>
          <w:szCs w:val="22"/>
        </w:rPr>
        <w:fldChar w:fldCharType="end"/>
      </w:r>
      <w:r w:rsidRPr="00C96863">
        <w:rPr>
          <w:rFonts w:cs="Arial"/>
          <w:szCs w:val="22"/>
        </w:rPr>
        <w:t xml:space="preserve">). Maximum intertidal </w:t>
      </w:r>
      <w:r w:rsidRPr="00C96863">
        <w:rPr>
          <w:rFonts w:cs="Arial"/>
          <w:szCs w:val="22"/>
          <w:lang w:val="en-GB"/>
        </w:rPr>
        <w:t xml:space="preserve">within-canopy </w:t>
      </w:r>
      <w:r w:rsidRPr="00D23F0A">
        <w:rPr>
          <w:rFonts w:cs="Arial"/>
          <w:szCs w:val="22"/>
        </w:rPr>
        <w:t>temperatures exceeded 35</w:t>
      </w:r>
      <w:r w:rsidRPr="00D23F0A">
        <w:rPr>
          <w:rFonts w:cs="Arial"/>
          <w:szCs w:val="22"/>
          <w:lang w:val="en-GB"/>
        </w:rPr>
        <w:t>°C</w:t>
      </w:r>
      <w:r w:rsidRPr="00D23F0A">
        <w:rPr>
          <w:rFonts w:cs="Arial"/>
          <w:szCs w:val="22"/>
        </w:rPr>
        <w:t xml:space="preserve"> for a total of 4</w:t>
      </w:r>
      <w:r w:rsidR="00C96863" w:rsidRPr="00D23F0A">
        <w:rPr>
          <w:rFonts w:cs="Arial"/>
          <w:szCs w:val="22"/>
        </w:rPr>
        <w:t>4</w:t>
      </w:r>
      <w:r w:rsidRPr="00D23F0A">
        <w:rPr>
          <w:rFonts w:cs="Arial"/>
          <w:szCs w:val="22"/>
        </w:rPr>
        <w:t xml:space="preserve"> days during 201</w:t>
      </w:r>
      <w:r w:rsidR="00C96863" w:rsidRPr="00D23F0A">
        <w:rPr>
          <w:rFonts w:cs="Arial"/>
          <w:szCs w:val="22"/>
        </w:rPr>
        <w:t>8</w:t>
      </w:r>
      <w:r w:rsidRPr="00D23F0A">
        <w:rPr>
          <w:rFonts w:cs="Arial"/>
          <w:szCs w:val="22"/>
        </w:rPr>
        <w:t>-1</w:t>
      </w:r>
      <w:r w:rsidR="00C96863" w:rsidRPr="00D23F0A">
        <w:rPr>
          <w:rFonts w:cs="Arial"/>
          <w:szCs w:val="22"/>
        </w:rPr>
        <w:t>9</w:t>
      </w:r>
      <w:r w:rsidRPr="00D23F0A">
        <w:rPr>
          <w:rFonts w:cs="Arial"/>
          <w:szCs w:val="22"/>
        </w:rPr>
        <w:t xml:space="preserve">, with the highest temperature recorded at </w:t>
      </w:r>
      <w:r w:rsidR="00D23F0A" w:rsidRPr="00D23F0A">
        <w:rPr>
          <w:rFonts w:cs="Arial"/>
          <w:szCs w:val="22"/>
        </w:rPr>
        <w:t>39.4</w:t>
      </w:r>
      <w:r w:rsidRPr="00D23F0A">
        <w:rPr>
          <w:rFonts w:cs="Arial"/>
          <w:szCs w:val="22"/>
          <w:lang w:val="en-GB"/>
        </w:rPr>
        <w:t>°C</w:t>
      </w:r>
      <w:r w:rsidRPr="00D23F0A">
        <w:rPr>
          <w:rFonts w:cs="Arial"/>
          <w:szCs w:val="22"/>
        </w:rPr>
        <w:t xml:space="preserve"> (</w:t>
      </w:r>
      <w:r w:rsidR="00D23F0A" w:rsidRPr="00D23F0A">
        <w:rPr>
          <w:rFonts w:cs="Arial"/>
          <w:szCs w:val="22"/>
        </w:rPr>
        <w:t>MI2</w:t>
      </w:r>
      <w:r w:rsidRPr="00D23F0A">
        <w:rPr>
          <w:rFonts w:cs="Arial"/>
          <w:szCs w:val="22"/>
        </w:rPr>
        <w:t xml:space="preserve">, </w:t>
      </w:r>
      <w:r w:rsidR="00D23F0A" w:rsidRPr="00D23F0A">
        <w:rPr>
          <w:rFonts w:cs="Arial"/>
          <w:szCs w:val="22"/>
        </w:rPr>
        <w:t>2</w:t>
      </w:r>
      <w:r w:rsidRPr="00D23F0A">
        <w:rPr>
          <w:rFonts w:cs="Arial"/>
          <w:szCs w:val="22"/>
        </w:rPr>
        <w:t xml:space="preserve">pm </w:t>
      </w:r>
      <w:r w:rsidR="00D23F0A" w:rsidRPr="00D23F0A">
        <w:rPr>
          <w:rFonts w:cs="Arial"/>
          <w:szCs w:val="22"/>
        </w:rPr>
        <w:t>03Dec18</w:t>
      </w:r>
      <w:r w:rsidRPr="00D23F0A">
        <w:rPr>
          <w:rFonts w:cs="Arial"/>
          <w:szCs w:val="22"/>
        </w:rPr>
        <w:t xml:space="preserve">). 2018–19 was the </w:t>
      </w:r>
      <w:r w:rsidR="00D23F0A" w:rsidRPr="00D23F0A">
        <w:rPr>
          <w:rFonts w:cs="Arial"/>
          <w:szCs w:val="22"/>
        </w:rPr>
        <w:t xml:space="preserve">first time in four years </w:t>
      </w:r>
      <w:r w:rsidRPr="00D23F0A">
        <w:rPr>
          <w:rFonts w:cs="Arial"/>
          <w:szCs w:val="22"/>
        </w:rPr>
        <w:t xml:space="preserve">annual subtidal temperatures were </w:t>
      </w:r>
      <w:r w:rsidR="00D23F0A" w:rsidRPr="00D23F0A">
        <w:rPr>
          <w:rFonts w:cs="Arial"/>
          <w:szCs w:val="22"/>
        </w:rPr>
        <w:t>below</w:t>
      </w:r>
      <w:r w:rsidRPr="00D23F0A">
        <w:rPr>
          <w:rFonts w:cs="Arial"/>
          <w:szCs w:val="22"/>
        </w:rPr>
        <w:t xml:space="preserve"> the long-term average. Maximum subtidal temperature during 2018–19 was 3</w:t>
      </w:r>
      <w:r w:rsidR="00D23F0A" w:rsidRPr="00D23F0A">
        <w:rPr>
          <w:rFonts w:cs="Arial"/>
          <w:szCs w:val="22"/>
        </w:rPr>
        <w:t>3.0</w:t>
      </w:r>
      <w:r w:rsidRPr="00D23F0A">
        <w:rPr>
          <w:rFonts w:cs="Arial"/>
          <w:szCs w:val="22"/>
          <w:lang w:val="en-GB"/>
        </w:rPr>
        <w:t>°C</w:t>
      </w:r>
      <w:r w:rsidRPr="00D23F0A">
        <w:rPr>
          <w:rFonts w:cs="Arial"/>
          <w:szCs w:val="22"/>
        </w:rPr>
        <w:t xml:space="preserve"> (</w:t>
      </w:r>
      <w:r w:rsidR="00D23F0A" w:rsidRPr="00D23F0A">
        <w:rPr>
          <w:rFonts w:cs="Arial"/>
          <w:szCs w:val="22"/>
        </w:rPr>
        <w:t>midday</w:t>
      </w:r>
      <w:r w:rsidRPr="00D23F0A">
        <w:rPr>
          <w:rFonts w:cs="Arial"/>
          <w:szCs w:val="22"/>
        </w:rPr>
        <w:t xml:space="preserve"> </w:t>
      </w:r>
      <w:r w:rsidR="00D23F0A" w:rsidRPr="00D23F0A">
        <w:rPr>
          <w:rFonts w:cs="Arial"/>
          <w:szCs w:val="22"/>
        </w:rPr>
        <w:t>04Dec</w:t>
      </w:r>
      <w:r w:rsidRPr="00D23F0A">
        <w:rPr>
          <w:rFonts w:cs="Arial"/>
          <w:szCs w:val="22"/>
        </w:rPr>
        <w:t xml:space="preserve">18). </w:t>
      </w:r>
    </w:p>
    <w:p w14:paraId="4A270156" w14:textId="53DF1E66" w:rsidR="00C93311" w:rsidRPr="00FA314F" w:rsidRDefault="00C93311" w:rsidP="00C93311">
      <w:pPr>
        <w:rPr>
          <w:rFonts w:cs="Arial"/>
          <w:szCs w:val="22"/>
          <w:lang w:val="en-GB"/>
        </w:rPr>
      </w:pPr>
      <w:r w:rsidRPr="00D23F0A">
        <w:rPr>
          <w:rFonts w:cs="Arial"/>
          <w:szCs w:val="22"/>
          <w:lang w:eastAsia="en-AU"/>
        </w:rPr>
        <w:t>Daily tide exposure was below the long</w:t>
      </w:r>
      <w:r w:rsidRPr="00D23F0A">
        <w:rPr>
          <w:rFonts w:ascii="Cambria Math" w:hAnsi="Cambria Math" w:cs="Cambria Math"/>
          <w:szCs w:val="22"/>
          <w:lang w:eastAsia="en-AU"/>
        </w:rPr>
        <w:t>‐</w:t>
      </w:r>
      <w:r w:rsidRPr="00D23F0A">
        <w:rPr>
          <w:rFonts w:cs="Arial"/>
          <w:szCs w:val="22"/>
          <w:lang w:eastAsia="en-AU"/>
        </w:rPr>
        <w:t xml:space="preserve">term average for the </w:t>
      </w:r>
      <w:r w:rsidR="00D23F0A" w:rsidRPr="00D23F0A">
        <w:rPr>
          <w:rFonts w:cs="Arial"/>
          <w:szCs w:val="22"/>
          <w:lang w:eastAsia="en-AU"/>
        </w:rPr>
        <w:t>third</w:t>
      </w:r>
      <w:r w:rsidRPr="00D23F0A">
        <w:rPr>
          <w:rFonts w:cs="Arial"/>
          <w:szCs w:val="22"/>
          <w:lang w:eastAsia="en-AU"/>
        </w:rPr>
        <w:t xml:space="preserve"> consecutive year at all sites (</w:t>
      </w:r>
      <w:r w:rsidRPr="00D23F0A">
        <w:rPr>
          <w:rFonts w:cs="Arial"/>
          <w:szCs w:val="22"/>
        </w:rPr>
        <w:fldChar w:fldCharType="begin"/>
      </w:r>
      <w:r w:rsidRPr="00D23F0A">
        <w:rPr>
          <w:rFonts w:cs="Arial"/>
          <w:szCs w:val="22"/>
        </w:rPr>
        <w:instrText xml:space="preserve"> REF _Ref530687825 \h  \* MERGEFORMAT </w:instrText>
      </w:r>
      <w:r w:rsidRPr="00D23F0A">
        <w:rPr>
          <w:rFonts w:cs="Arial"/>
          <w:szCs w:val="22"/>
        </w:rPr>
      </w:r>
      <w:r w:rsidRPr="00D23F0A">
        <w:rPr>
          <w:rFonts w:cs="Arial"/>
          <w:szCs w:val="22"/>
        </w:rPr>
        <w:fldChar w:fldCharType="separate"/>
      </w:r>
      <w:r w:rsidR="0067675D" w:rsidRPr="00FA314F">
        <w:rPr>
          <w:rFonts w:cs="Arial"/>
          <w:szCs w:val="22"/>
        </w:rPr>
        <w:t xml:space="preserve">Figure </w:t>
      </w:r>
      <w:r w:rsidR="0067675D">
        <w:rPr>
          <w:rFonts w:cs="Arial"/>
          <w:noProof/>
          <w:szCs w:val="22"/>
        </w:rPr>
        <w:t>53</w:t>
      </w:r>
      <w:r w:rsidRPr="00D23F0A">
        <w:rPr>
          <w:rFonts w:cs="Arial"/>
          <w:szCs w:val="22"/>
        </w:rPr>
        <w:fldChar w:fldCharType="end"/>
      </w:r>
      <w:r w:rsidRPr="00D23F0A">
        <w:rPr>
          <w:rFonts w:cs="Arial"/>
          <w:szCs w:val="22"/>
        </w:rPr>
        <w:t xml:space="preserve">, </w:t>
      </w:r>
      <w:r w:rsidRPr="00D23F0A">
        <w:rPr>
          <w:rFonts w:cs="Arial"/>
          <w:szCs w:val="22"/>
          <w:lang w:val="en-GB"/>
        </w:rPr>
        <w:fldChar w:fldCharType="begin"/>
      </w:r>
      <w:r w:rsidRPr="00D23F0A">
        <w:rPr>
          <w:rFonts w:cs="Arial"/>
          <w:szCs w:val="22"/>
          <w:lang w:val="en-GB"/>
        </w:rPr>
        <w:instrText xml:space="preserve"> REF _Ref410287502 \h  \* MERGEFORMAT </w:instrText>
      </w:r>
      <w:r w:rsidRPr="00D23F0A">
        <w:rPr>
          <w:rFonts w:cs="Arial"/>
          <w:szCs w:val="22"/>
          <w:lang w:val="en-GB"/>
        </w:rPr>
      </w:r>
      <w:r w:rsidRPr="00D23F0A">
        <w:rPr>
          <w:rFonts w:cs="Arial"/>
          <w:szCs w:val="22"/>
          <w:lang w:val="en-GB"/>
        </w:rPr>
        <w:fldChar w:fldCharType="separate"/>
      </w:r>
      <w:r w:rsidR="0067675D" w:rsidRPr="00867E8C">
        <w:rPr>
          <w:rFonts w:cs="Arial"/>
          <w:szCs w:val="22"/>
        </w:rPr>
        <w:t xml:space="preserve">Figure </w:t>
      </w:r>
      <w:r w:rsidR="0067675D">
        <w:rPr>
          <w:rFonts w:cs="Arial"/>
          <w:noProof/>
          <w:szCs w:val="22"/>
        </w:rPr>
        <w:t>94</w:t>
      </w:r>
      <w:r w:rsidRPr="00D23F0A">
        <w:rPr>
          <w:rFonts w:cs="Arial"/>
          <w:szCs w:val="22"/>
          <w:lang w:val="en-GB"/>
        </w:rPr>
        <w:fldChar w:fldCharType="end"/>
      </w:r>
      <w:r w:rsidRPr="00D23F0A">
        <w:rPr>
          <w:rFonts w:cs="Arial"/>
          <w:szCs w:val="22"/>
          <w:lang w:val="en-GB"/>
        </w:rPr>
        <w:t xml:space="preserve">, </w:t>
      </w:r>
      <w:r w:rsidRPr="00D23F0A">
        <w:rPr>
          <w:rFonts w:cs="Arial"/>
          <w:szCs w:val="22"/>
          <w:lang w:val="en-GB"/>
        </w:rPr>
        <w:fldChar w:fldCharType="begin"/>
      </w:r>
      <w:r w:rsidRPr="00D23F0A">
        <w:rPr>
          <w:rFonts w:cs="Arial"/>
          <w:szCs w:val="22"/>
          <w:lang w:val="en-GB"/>
        </w:rPr>
        <w:instrText xml:space="preserve"> REF _Ref410287782 \h  \* MERGEFORMAT </w:instrText>
      </w:r>
      <w:r w:rsidRPr="00D23F0A">
        <w:rPr>
          <w:rFonts w:cs="Arial"/>
          <w:szCs w:val="22"/>
          <w:lang w:val="en-GB"/>
        </w:rPr>
      </w:r>
      <w:r w:rsidRPr="00D23F0A">
        <w:rPr>
          <w:rFonts w:cs="Arial"/>
          <w:szCs w:val="22"/>
          <w:lang w:val="en-GB"/>
        </w:rPr>
        <w:fldChar w:fldCharType="separate"/>
      </w:r>
      <w:r w:rsidR="0067675D" w:rsidRPr="00867E8C">
        <w:rPr>
          <w:rFonts w:cs="Arial"/>
          <w:szCs w:val="22"/>
        </w:rPr>
        <w:t xml:space="preserve">Figure </w:t>
      </w:r>
      <w:r w:rsidR="0067675D">
        <w:rPr>
          <w:rFonts w:cs="Arial"/>
          <w:noProof/>
          <w:szCs w:val="22"/>
        </w:rPr>
        <w:t>95</w:t>
      </w:r>
      <w:r w:rsidRPr="00D23F0A">
        <w:rPr>
          <w:rFonts w:cs="Arial"/>
          <w:szCs w:val="22"/>
          <w:lang w:val="en-GB"/>
        </w:rPr>
        <w:fldChar w:fldCharType="end"/>
      </w:r>
      <w:r w:rsidRPr="00D23F0A">
        <w:rPr>
          <w:rFonts w:cs="Arial"/>
          <w:szCs w:val="22"/>
          <w:lang w:eastAsia="en-AU"/>
        </w:rPr>
        <w:t>), which may have provided some respite from the elevated temperatures.</w:t>
      </w:r>
    </w:p>
    <w:p w14:paraId="42C152DA" w14:textId="063F6C0E" w:rsidR="00674DD9" w:rsidRPr="00FA314F" w:rsidRDefault="00674DD9" w:rsidP="00674DD9">
      <w:pPr>
        <w:rPr>
          <w:rFonts w:cs="Arial"/>
          <w:szCs w:val="22"/>
          <w:lang w:val="en-GB"/>
        </w:rPr>
      </w:pPr>
      <w:r w:rsidRPr="00FA314F">
        <w:rPr>
          <w:rFonts w:cs="Arial"/>
          <w:szCs w:val="22"/>
          <w:lang w:val="en-GB"/>
        </w:rPr>
        <w:t xml:space="preserve">The proportion of mud at Jerona (Barratta Creek) coastal meadows was much higher than Townsville meadows (Bushland Beach and Shelley Beach) and has remained well above the </w:t>
      </w:r>
      <w:r w:rsidR="003158FC" w:rsidRPr="00FA314F">
        <w:rPr>
          <w:rFonts w:cs="Arial"/>
          <w:szCs w:val="22"/>
          <w:lang w:val="en-GB"/>
        </w:rPr>
        <w:t>Reef</w:t>
      </w:r>
      <w:r w:rsidRPr="00FA314F">
        <w:rPr>
          <w:rFonts w:cs="Arial"/>
          <w:szCs w:val="22"/>
          <w:lang w:val="en-GB"/>
        </w:rPr>
        <w:t xml:space="preserve"> long-term average (</w:t>
      </w:r>
      <w:r w:rsidR="002024A1" w:rsidRPr="00FA314F">
        <w:rPr>
          <w:rFonts w:cs="Arial"/>
          <w:color w:val="0000FF"/>
          <w:szCs w:val="22"/>
          <w:lang w:val="en-GB"/>
        </w:rPr>
        <w:fldChar w:fldCharType="begin"/>
      </w:r>
      <w:r w:rsidR="002024A1" w:rsidRPr="00FA314F">
        <w:rPr>
          <w:rFonts w:cs="Arial"/>
          <w:szCs w:val="22"/>
          <w:lang w:val="en-GB"/>
        </w:rPr>
        <w:instrText xml:space="preserve"> REF _Ref511131469 \h </w:instrText>
      </w:r>
      <w:r w:rsidR="00CB093C" w:rsidRPr="00FA314F">
        <w:rPr>
          <w:rFonts w:cs="Arial"/>
          <w:color w:val="0000FF"/>
          <w:szCs w:val="22"/>
          <w:lang w:val="en-GB"/>
        </w:rPr>
        <w:instrText xml:space="preserve"> \* MERGEFORMAT </w:instrText>
      </w:r>
      <w:r w:rsidR="002024A1" w:rsidRPr="00FA314F">
        <w:rPr>
          <w:rFonts w:cs="Arial"/>
          <w:color w:val="0000FF"/>
          <w:szCs w:val="22"/>
          <w:lang w:val="en-GB"/>
        </w:rPr>
      </w:r>
      <w:r w:rsidR="002024A1" w:rsidRPr="00FA314F">
        <w:rPr>
          <w:rFonts w:cs="Arial"/>
          <w:color w:val="0000FF"/>
          <w:szCs w:val="22"/>
          <w:lang w:val="en-GB"/>
        </w:rPr>
        <w:fldChar w:fldCharType="separate"/>
      </w:r>
      <w:r w:rsidR="0067675D" w:rsidRPr="00867E8C">
        <w:rPr>
          <w:rFonts w:cs="Arial"/>
          <w:szCs w:val="22"/>
        </w:rPr>
        <w:t xml:space="preserve">Figure </w:t>
      </w:r>
      <w:r w:rsidR="0067675D">
        <w:rPr>
          <w:rFonts w:cs="Arial"/>
          <w:noProof/>
          <w:szCs w:val="22"/>
        </w:rPr>
        <w:t>111</w:t>
      </w:r>
      <w:r w:rsidR="002024A1" w:rsidRPr="00FA314F">
        <w:rPr>
          <w:rFonts w:cs="Arial"/>
          <w:color w:val="0000FF"/>
          <w:szCs w:val="22"/>
          <w:lang w:val="en-GB"/>
        </w:rPr>
        <w:fldChar w:fldCharType="end"/>
      </w:r>
      <w:r w:rsidRPr="00FA314F">
        <w:rPr>
          <w:rFonts w:cs="Arial"/>
          <w:szCs w:val="22"/>
          <w:lang w:val="en-GB"/>
        </w:rPr>
        <w:t xml:space="preserve">). Post 2011, Townsville coastal meadows have </w:t>
      </w:r>
      <w:r w:rsidR="008E654E" w:rsidRPr="00FA314F">
        <w:rPr>
          <w:rFonts w:cs="Arial"/>
          <w:szCs w:val="22"/>
          <w:lang w:val="en-GB"/>
        </w:rPr>
        <w:t xml:space="preserve">been </w:t>
      </w:r>
      <w:r w:rsidRPr="00FA314F">
        <w:rPr>
          <w:rFonts w:cs="Arial"/>
          <w:szCs w:val="22"/>
          <w:lang w:val="en-GB"/>
        </w:rPr>
        <w:t xml:space="preserve">dominated by fine sediments, although the proportion of mud increased at Bushland Beach </w:t>
      </w:r>
      <w:r w:rsidR="003F6CCB">
        <w:rPr>
          <w:rFonts w:cs="Arial"/>
          <w:szCs w:val="22"/>
          <w:lang w:val="en-GB"/>
        </w:rPr>
        <w:t>2017-18, it has since returned to its previous state</w:t>
      </w:r>
      <w:r w:rsidRPr="00FA314F">
        <w:rPr>
          <w:rFonts w:cs="Arial"/>
          <w:szCs w:val="22"/>
          <w:lang w:val="en-GB"/>
        </w:rPr>
        <w:t xml:space="preserve"> (</w:t>
      </w:r>
      <w:r w:rsidRPr="00FA314F">
        <w:rPr>
          <w:rFonts w:cs="Arial"/>
          <w:szCs w:val="22"/>
          <w:lang w:val="en-GB"/>
        </w:rPr>
        <w:fldChar w:fldCharType="begin"/>
      </w:r>
      <w:r w:rsidRPr="00FA314F">
        <w:rPr>
          <w:rFonts w:cs="Arial"/>
          <w:szCs w:val="22"/>
          <w:lang w:val="en-GB"/>
        </w:rPr>
        <w:instrText xml:space="preserve"> REF _Ref511131469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111</w:t>
      </w:r>
      <w:r w:rsidRPr="00FA314F">
        <w:rPr>
          <w:rFonts w:cs="Arial"/>
          <w:szCs w:val="22"/>
          <w:lang w:val="en-GB"/>
        </w:rPr>
        <w:fldChar w:fldCharType="end"/>
      </w:r>
      <w:r w:rsidRPr="00FA314F">
        <w:rPr>
          <w:rFonts w:cs="Arial"/>
          <w:szCs w:val="22"/>
          <w:lang w:val="en-GB"/>
        </w:rPr>
        <w:t xml:space="preserve">). Conversely, reef </w:t>
      </w:r>
      <w:r w:rsidR="00635304" w:rsidRPr="00FA314F">
        <w:rPr>
          <w:rFonts w:cs="Arial"/>
          <w:szCs w:val="22"/>
          <w:lang w:val="en-GB"/>
        </w:rPr>
        <w:t>habitats, which</w:t>
      </w:r>
      <w:r w:rsidRPr="00FA314F">
        <w:rPr>
          <w:rFonts w:cs="Arial"/>
          <w:szCs w:val="22"/>
          <w:lang w:val="en-GB"/>
        </w:rPr>
        <w:t xml:space="preserve"> were dominated by coarser sediment </w:t>
      </w:r>
      <w:r w:rsidR="008F3665">
        <w:rPr>
          <w:rFonts w:cs="Arial"/>
          <w:szCs w:val="22"/>
          <w:lang w:val="en-GB"/>
        </w:rPr>
        <w:t>from 2012</w:t>
      </w:r>
      <w:r w:rsidRPr="00FA314F">
        <w:rPr>
          <w:rFonts w:cs="Arial"/>
          <w:szCs w:val="22"/>
          <w:lang w:val="en-GB"/>
        </w:rPr>
        <w:t xml:space="preserve"> to 20</w:t>
      </w:r>
      <w:r w:rsidR="008F3665">
        <w:rPr>
          <w:rFonts w:cs="Arial"/>
          <w:szCs w:val="22"/>
          <w:lang w:val="en-GB"/>
        </w:rPr>
        <w:t>17</w:t>
      </w:r>
      <w:r w:rsidRPr="00FA314F">
        <w:rPr>
          <w:rFonts w:cs="Arial"/>
          <w:szCs w:val="22"/>
          <w:lang w:val="en-GB"/>
        </w:rPr>
        <w:t xml:space="preserve">, </w:t>
      </w:r>
      <w:r w:rsidR="00E25F42">
        <w:rPr>
          <w:rFonts w:cs="Arial"/>
          <w:szCs w:val="22"/>
          <w:lang w:val="en-GB"/>
        </w:rPr>
        <w:t>have</w:t>
      </w:r>
      <w:r w:rsidR="00E25F42" w:rsidRPr="00FA314F">
        <w:rPr>
          <w:rFonts w:cs="Arial"/>
          <w:szCs w:val="22"/>
          <w:lang w:val="en-GB"/>
        </w:rPr>
        <w:t xml:space="preserve"> </w:t>
      </w:r>
      <w:r w:rsidRPr="00FA314F">
        <w:rPr>
          <w:rFonts w:cs="Arial"/>
          <w:szCs w:val="22"/>
          <w:lang w:val="en-GB"/>
        </w:rPr>
        <w:t>since gradually increased in composition of fine sand and mud. More fine sediments were present at the Cockle Bay (MI2) than the Picnic Bay (MI1) reef habitat meadows (</w:t>
      </w:r>
      <w:r w:rsidRPr="00FA314F">
        <w:rPr>
          <w:rFonts w:cs="Arial"/>
          <w:szCs w:val="22"/>
          <w:lang w:val="en-GB"/>
        </w:rPr>
        <w:fldChar w:fldCharType="begin"/>
      </w:r>
      <w:r w:rsidRPr="00FA314F">
        <w:rPr>
          <w:rFonts w:cs="Arial"/>
          <w:szCs w:val="22"/>
          <w:lang w:val="en-GB"/>
        </w:rPr>
        <w:instrText xml:space="preserve"> REF _Ref511131488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112</w:t>
      </w:r>
      <w:r w:rsidRPr="00FA314F">
        <w:rPr>
          <w:rFonts w:cs="Arial"/>
          <w:szCs w:val="22"/>
          <w:lang w:val="en-GB"/>
        </w:rPr>
        <w:fldChar w:fldCharType="end"/>
      </w:r>
      <w:r w:rsidRPr="00FA314F">
        <w:rPr>
          <w:rFonts w:cs="Arial"/>
          <w:szCs w:val="22"/>
          <w:lang w:val="en-GB"/>
        </w:rPr>
        <w:t xml:space="preserve">, </w:t>
      </w:r>
      <w:r w:rsidRPr="00FA314F">
        <w:rPr>
          <w:rFonts w:cs="Arial"/>
          <w:szCs w:val="22"/>
          <w:lang w:val="en-GB"/>
        </w:rPr>
        <w:fldChar w:fldCharType="begin"/>
      </w:r>
      <w:r w:rsidRPr="00FA314F">
        <w:rPr>
          <w:rFonts w:cs="Arial"/>
          <w:szCs w:val="22"/>
          <w:lang w:val="en-GB"/>
        </w:rPr>
        <w:instrText xml:space="preserve"> REF _Ref511131496 \h  \* MERGEFORMAT </w:instrText>
      </w:r>
      <w:r w:rsidRPr="00FA314F">
        <w:rPr>
          <w:rFonts w:cs="Arial"/>
          <w:szCs w:val="22"/>
          <w:lang w:val="en-GB"/>
        </w:rPr>
      </w:r>
      <w:r w:rsidRPr="00FA314F">
        <w:rPr>
          <w:rFonts w:cs="Arial"/>
          <w:szCs w:val="22"/>
          <w:lang w:val="en-GB"/>
        </w:rPr>
        <w:fldChar w:fldCharType="separate"/>
      </w:r>
      <w:r w:rsidR="0067675D" w:rsidRPr="00867E8C">
        <w:rPr>
          <w:rFonts w:cs="Arial"/>
          <w:szCs w:val="22"/>
        </w:rPr>
        <w:t xml:space="preserve">Figure </w:t>
      </w:r>
      <w:r w:rsidR="0067675D">
        <w:rPr>
          <w:rFonts w:cs="Arial"/>
          <w:noProof/>
          <w:szCs w:val="22"/>
        </w:rPr>
        <w:t>113</w:t>
      </w:r>
      <w:r w:rsidRPr="00FA314F">
        <w:rPr>
          <w:rFonts w:cs="Arial"/>
          <w:szCs w:val="22"/>
          <w:lang w:val="en-GB"/>
        </w:rPr>
        <w:fldChar w:fldCharType="end"/>
      </w:r>
      <w:r w:rsidRPr="00FA314F">
        <w:rPr>
          <w:rFonts w:cs="Arial"/>
          <w:szCs w:val="22"/>
          <w:lang w:val="en-GB"/>
        </w:rPr>
        <w:t>).</w:t>
      </w:r>
    </w:p>
    <w:p w14:paraId="6B8E722C" w14:textId="1ACAD2A0" w:rsidR="003737E9" w:rsidRPr="00FA314F" w:rsidRDefault="003737E9" w:rsidP="003737E9">
      <w:pPr>
        <w:rPr>
          <w:rFonts w:cs="Arial"/>
          <w:szCs w:val="22"/>
          <w:lang w:val="en-GB"/>
        </w:rPr>
      </w:pPr>
    </w:p>
    <w:p w14:paraId="27D4D32C" w14:textId="77777777" w:rsidR="003E679B" w:rsidRPr="00431DDA" w:rsidRDefault="003E679B" w:rsidP="000150D8">
      <w:pPr>
        <w:pStyle w:val="Heading3"/>
      </w:pPr>
      <w:bookmarkStart w:id="427" w:name="_Toc533432012"/>
      <w:bookmarkStart w:id="428" w:name="_Toc37775087"/>
      <w:bookmarkStart w:id="429" w:name="_Toc43987062"/>
      <w:r w:rsidRPr="00431DDA">
        <w:lastRenderedPageBreak/>
        <w:t>Inshore seagrass and habitat condition</w:t>
      </w:r>
      <w:bookmarkEnd w:id="427"/>
      <w:bookmarkEnd w:id="428"/>
      <w:bookmarkEnd w:id="429"/>
    </w:p>
    <w:p w14:paraId="7E211D57" w14:textId="57CFC18B" w:rsidR="00B67313" w:rsidRPr="00FA314F" w:rsidRDefault="001B45ED" w:rsidP="006178EE">
      <w:pPr>
        <w:rPr>
          <w:rFonts w:cs="Arial"/>
          <w:szCs w:val="22"/>
          <w:lang w:eastAsia="x-none"/>
        </w:rPr>
      </w:pPr>
      <w:bookmarkStart w:id="430" w:name="_Toc431493771"/>
      <w:bookmarkStart w:id="431" w:name="_Toc184101999"/>
      <w:bookmarkEnd w:id="415"/>
      <w:bookmarkEnd w:id="416"/>
      <w:bookmarkEnd w:id="417"/>
      <w:bookmarkEnd w:id="418"/>
      <w:bookmarkEnd w:id="419"/>
      <w:r>
        <w:rPr>
          <w:rFonts w:cs="Arial"/>
          <w:color w:val="000000" w:themeColor="text1"/>
          <w:szCs w:val="22"/>
          <w:lang w:eastAsia="x-none"/>
        </w:rPr>
        <w:t>There are 8 seagrass monitoring sites in the Burdekin from 5 locations</w:t>
      </w:r>
      <w:r w:rsidR="00F97113">
        <w:rPr>
          <w:rFonts w:cs="Arial"/>
          <w:color w:val="000000" w:themeColor="text1"/>
          <w:szCs w:val="22"/>
          <w:lang w:eastAsia="x-none"/>
        </w:rPr>
        <w:t xml:space="preserve"> </w:t>
      </w:r>
      <w:r w:rsidR="00F97113" w:rsidRPr="00FA314F">
        <w:rPr>
          <w:rFonts w:cs="Arial"/>
          <w:szCs w:val="22"/>
          <w:lang w:eastAsia="x-none"/>
        </w:rPr>
        <w:t>(</w:t>
      </w:r>
      <w:r w:rsidR="00F97113" w:rsidRPr="00FA314F">
        <w:rPr>
          <w:rFonts w:cs="Arial"/>
          <w:szCs w:val="22"/>
          <w:lang w:eastAsia="x-none"/>
        </w:rPr>
        <w:fldChar w:fldCharType="begin"/>
      </w:r>
      <w:r w:rsidR="00F97113" w:rsidRPr="00FA314F">
        <w:rPr>
          <w:rFonts w:cs="Arial"/>
          <w:szCs w:val="22"/>
          <w:lang w:eastAsia="x-none"/>
        </w:rPr>
        <w:instrText xml:space="preserve"> REF _Ref473891445 \h  \* MERGEFORMAT </w:instrText>
      </w:r>
      <w:r w:rsidR="00F97113" w:rsidRPr="00FA314F">
        <w:rPr>
          <w:rFonts w:cs="Arial"/>
          <w:szCs w:val="22"/>
          <w:lang w:eastAsia="x-none"/>
        </w:rPr>
      </w:r>
      <w:r w:rsidR="00F97113" w:rsidRPr="00FA314F">
        <w:rPr>
          <w:rFonts w:cs="Arial"/>
          <w:szCs w:val="22"/>
          <w:lang w:eastAsia="x-none"/>
        </w:rPr>
        <w:fldChar w:fldCharType="separate"/>
      </w:r>
      <w:r w:rsidR="0067675D" w:rsidRPr="00FA314F">
        <w:rPr>
          <w:rFonts w:cs="Arial"/>
          <w:szCs w:val="22"/>
        </w:rPr>
        <w:t xml:space="preserve">Table </w:t>
      </w:r>
      <w:r w:rsidR="0067675D">
        <w:rPr>
          <w:rFonts w:cs="Arial"/>
          <w:noProof/>
          <w:szCs w:val="22"/>
        </w:rPr>
        <w:t>13</w:t>
      </w:r>
      <w:r w:rsidR="00F97113" w:rsidRPr="00FA314F">
        <w:rPr>
          <w:rFonts w:cs="Arial"/>
          <w:szCs w:val="22"/>
          <w:lang w:eastAsia="x-none"/>
        </w:rPr>
        <w:fldChar w:fldCharType="end"/>
      </w:r>
      <w:r w:rsidR="00F97113">
        <w:rPr>
          <w:rFonts w:cs="Arial"/>
          <w:szCs w:val="22"/>
          <w:lang w:eastAsia="x-none"/>
        </w:rPr>
        <w:t>)</w:t>
      </w:r>
      <w:r>
        <w:rPr>
          <w:rFonts w:cs="Arial"/>
          <w:szCs w:val="22"/>
        </w:rPr>
        <w:t xml:space="preserve">. </w:t>
      </w:r>
      <w:r w:rsidR="00B75DBC" w:rsidRPr="00FA314F">
        <w:rPr>
          <w:rFonts w:cs="Arial"/>
          <w:szCs w:val="22"/>
          <w:lang w:eastAsia="x-none"/>
        </w:rPr>
        <w:t xml:space="preserve">Three seagrass habitat types were assessed across the region in </w:t>
      </w:r>
      <w:r w:rsidR="00956639" w:rsidRPr="00FA314F">
        <w:rPr>
          <w:rFonts w:cs="Arial"/>
          <w:szCs w:val="22"/>
          <w:lang w:eastAsia="x-none"/>
        </w:rPr>
        <w:t>2018–19</w:t>
      </w:r>
      <w:r w:rsidR="00B75DBC" w:rsidRPr="00FA314F">
        <w:rPr>
          <w:rFonts w:cs="Arial"/>
          <w:szCs w:val="22"/>
          <w:lang w:eastAsia="x-none"/>
        </w:rPr>
        <w:t xml:space="preserve"> (</w:t>
      </w:r>
      <w:r w:rsidR="00B75DBC" w:rsidRPr="00FA314F">
        <w:rPr>
          <w:rFonts w:cs="Arial"/>
          <w:szCs w:val="22"/>
          <w:lang w:eastAsia="x-none"/>
        </w:rPr>
        <w:fldChar w:fldCharType="begin"/>
      </w:r>
      <w:r w:rsidR="00B75DBC" w:rsidRPr="00FA314F">
        <w:rPr>
          <w:rFonts w:cs="Arial"/>
          <w:szCs w:val="22"/>
          <w:lang w:eastAsia="x-none"/>
        </w:rPr>
        <w:instrText xml:space="preserve"> REF _Ref473891445 \h </w:instrText>
      </w:r>
      <w:r w:rsidR="00580DDA" w:rsidRPr="00FA314F">
        <w:rPr>
          <w:rFonts w:cs="Arial"/>
          <w:szCs w:val="22"/>
          <w:lang w:eastAsia="x-none"/>
        </w:rPr>
        <w:instrText xml:space="preserve"> \* MERGEFORMAT </w:instrText>
      </w:r>
      <w:r w:rsidR="00B75DBC" w:rsidRPr="00FA314F">
        <w:rPr>
          <w:rFonts w:cs="Arial"/>
          <w:szCs w:val="22"/>
          <w:lang w:eastAsia="x-none"/>
        </w:rPr>
      </w:r>
      <w:r w:rsidR="00B75DBC" w:rsidRPr="00FA314F">
        <w:rPr>
          <w:rFonts w:cs="Arial"/>
          <w:szCs w:val="22"/>
          <w:lang w:eastAsia="x-none"/>
        </w:rPr>
        <w:fldChar w:fldCharType="separate"/>
      </w:r>
      <w:r w:rsidR="0067675D" w:rsidRPr="00FA314F">
        <w:rPr>
          <w:rFonts w:cs="Arial"/>
          <w:szCs w:val="22"/>
        </w:rPr>
        <w:t xml:space="preserve">Table </w:t>
      </w:r>
      <w:r w:rsidR="0067675D">
        <w:rPr>
          <w:rFonts w:cs="Arial"/>
          <w:noProof/>
          <w:szCs w:val="22"/>
        </w:rPr>
        <w:t>13</w:t>
      </w:r>
      <w:r w:rsidR="00B75DBC" w:rsidRPr="00FA314F">
        <w:rPr>
          <w:rFonts w:cs="Arial"/>
          <w:szCs w:val="22"/>
          <w:lang w:eastAsia="x-none"/>
        </w:rPr>
        <w:fldChar w:fldCharType="end"/>
      </w:r>
      <w:r w:rsidR="008F3665">
        <w:rPr>
          <w:rFonts w:cs="Arial"/>
          <w:szCs w:val="22"/>
          <w:lang w:eastAsia="x-none"/>
        </w:rPr>
        <w:t xml:space="preserve">, </w:t>
      </w:r>
      <w:r w:rsidR="008F3665">
        <w:rPr>
          <w:rFonts w:cs="Arial"/>
          <w:szCs w:val="22"/>
          <w:lang w:eastAsia="x-none"/>
        </w:rPr>
        <w:fldChar w:fldCharType="begin"/>
      </w:r>
      <w:r w:rsidR="008F3665">
        <w:rPr>
          <w:rFonts w:cs="Arial"/>
          <w:szCs w:val="22"/>
          <w:lang w:eastAsia="x-none"/>
        </w:rPr>
        <w:instrText xml:space="preserve"> REF _Ref511373432 \h </w:instrText>
      </w:r>
      <w:r w:rsidR="008F3665">
        <w:rPr>
          <w:rFonts w:cs="Arial"/>
          <w:szCs w:val="22"/>
          <w:lang w:eastAsia="x-none"/>
        </w:rPr>
      </w:r>
      <w:r w:rsidR="008F3665">
        <w:rPr>
          <w:rFonts w:cs="Arial"/>
          <w:szCs w:val="22"/>
          <w:lang w:eastAsia="x-none"/>
        </w:rPr>
        <w:fldChar w:fldCharType="separate"/>
      </w:r>
      <w:r w:rsidR="0067675D" w:rsidRPr="00687A15">
        <w:rPr>
          <w:rFonts w:cs="Arial"/>
          <w:color w:val="000000"/>
          <w:szCs w:val="22"/>
        </w:rPr>
        <w:t xml:space="preserve">Table </w:t>
      </w:r>
      <w:r w:rsidR="0067675D">
        <w:rPr>
          <w:rFonts w:cs="Arial"/>
          <w:noProof/>
          <w:color w:val="000000"/>
          <w:szCs w:val="22"/>
        </w:rPr>
        <w:t>18</w:t>
      </w:r>
      <w:r w:rsidR="008F3665">
        <w:rPr>
          <w:rFonts w:cs="Arial"/>
          <w:szCs w:val="22"/>
          <w:lang w:eastAsia="x-none"/>
        </w:rPr>
        <w:fldChar w:fldCharType="end"/>
      </w:r>
      <w:r w:rsidR="00B75DBC" w:rsidRPr="00FA314F">
        <w:rPr>
          <w:rFonts w:cs="Arial"/>
          <w:szCs w:val="22"/>
          <w:lang w:eastAsia="x-none"/>
        </w:rPr>
        <w:t>).</w:t>
      </w:r>
    </w:p>
    <w:p w14:paraId="0C23BAD4" w14:textId="3D5EB43D" w:rsidR="006178EE" w:rsidRPr="00FA314F" w:rsidRDefault="006178EE" w:rsidP="006178EE">
      <w:pPr>
        <w:rPr>
          <w:rFonts w:cs="Arial"/>
          <w:i/>
          <w:vanish/>
          <w:szCs w:val="22"/>
          <w:specVanish/>
        </w:rPr>
      </w:pPr>
      <w:bookmarkStart w:id="432" w:name="_Ref473891445"/>
      <w:bookmarkStart w:id="433" w:name="_Toc37787065"/>
      <w:bookmarkStart w:id="434" w:name="_Toc47600687"/>
      <w:r w:rsidRPr="00FA314F">
        <w:rPr>
          <w:rFonts w:cs="Arial"/>
          <w:szCs w:val="22"/>
        </w:rPr>
        <w:t xml:space="preserve">Table </w:t>
      </w:r>
      <w:r w:rsidR="00C506C7" w:rsidRPr="00FA314F">
        <w:rPr>
          <w:rFonts w:cs="Arial"/>
          <w:noProof/>
          <w:szCs w:val="22"/>
        </w:rPr>
        <w:fldChar w:fldCharType="begin"/>
      </w:r>
      <w:r w:rsidR="00C506C7" w:rsidRPr="00FA314F">
        <w:rPr>
          <w:rFonts w:cs="Arial"/>
          <w:noProof/>
          <w:szCs w:val="22"/>
        </w:rPr>
        <w:instrText xml:space="preserve"> SEQ Table \* ARABIC </w:instrText>
      </w:r>
      <w:r w:rsidR="00C506C7" w:rsidRPr="00FA314F">
        <w:rPr>
          <w:rFonts w:cs="Arial"/>
          <w:noProof/>
          <w:szCs w:val="22"/>
        </w:rPr>
        <w:fldChar w:fldCharType="separate"/>
      </w:r>
      <w:r w:rsidR="0067675D">
        <w:rPr>
          <w:rFonts w:cs="Arial"/>
          <w:noProof/>
          <w:szCs w:val="22"/>
        </w:rPr>
        <w:t>13</w:t>
      </w:r>
      <w:r w:rsidR="00C506C7" w:rsidRPr="00FA314F">
        <w:rPr>
          <w:rFonts w:cs="Arial"/>
          <w:noProof/>
          <w:szCs w:val="22"/>
        </w:rPr>
        <w:fldChar w:fldCharType="end"/>
      </w:r>
      <w:bookmarkEnd w:id="432"/>
      <w:r w:rsidRPr="00FA314F">
        <w:rPr>
          <w:rFonts w:cs="Arial"/>
          <w:szCs w:val="22"/>
        </w:rPr>
        <w:t xml:space="preserve">. </w:t>
      </w:r>
      <w:r w:rsidRPr="00FA314F">
        <w:rPr>
          <w:rFonts w:cs="Arial"/>
          <w:i/>
          <w:szCs w:val="22"/>
        </w:rPr>
        <w:t>List of data sources of seagrass and environmental condition indicators for each seagrass habitat type in the Burdekin NRM region.</w:t>
      </w:r>
      <w:bookmarkEnd w:id="433"/>
      <w:bookmarkEnd w:id="434"/>
    </w:p>
    <w:p w14:paraId="738076BD" w14:textId="4FC3026B" w:rsidR="006178EE" w:rsidRPr="00FA314F" w:rsidRDefault="006178EE" w:rsidP="006178EE">
      <w:pPr>
        <w:rPr>
          <w:rFonts w:cs="Arial"/>
          <w:i/>
          <w:szCs w:val="22"/>
          <w:lang w:eastAsia="x-none"/>
        </w:rPr>
      </w:pPr>
      <w:r w:rsidRPr="00FA314F">
        <w:rPr>
          <w:rFonts w:cs="Arial"/>
          <w:i/>
          <w:szCs w:val="22"/>
        </w:rPr>
        <w:t xml:space="preserve"> </w:t>
      </w:r>
      <w:r w:rsidR="00B67313" w:rsidRPr="00FA314F">
        <w:rPr>
          <w:rFonts w:cs="Arial"/>
          <w:i/>
          <w:szCs w:val="22"/>
        </w:rPr>
        <w:t>*Seagrass-Watch.</w:t>
      </w:r>
      <w:r w:rsidRPr="00FA314F">
        <w:rPr>
          <w:rFonts w:cs="Arial"/>
          <w:i/>
          <w:szCs w:val="22"/>
        </w:rPr>
        <w:t xml:space="preserve"> For site details see </w:t>
      </w:r>
      <w:r w:rsidRPr="00FA314F">
        <w:rPr>
          <w:rFonts w:cs="Arial"/>
          <w:i/>
          <w:szCs w:val="22"/>
        </w:rPr>
        <w:fldChar w:fldCharType="begin"/>
      </w:r>
      <w:r w:rsidRPr="00FA314F">
        <w:rPr>
          <w:rFonts w:cs="Arial"/>
          <w:i/>
          <w:szCs w:val="22"/>
        </w:rPr>
        <w:instrText xml:space="preserve"> REF _Ref236539751 \h  \* MERGEFORMAT </w:instrText>
      </w:r>
      <w:r w:rsidRPr="00FA314F">
        <w:rPr>
          <w:rFonts w:cs="Arial"/>
          <w:i/>
          <w:szCs w:val="22"/>
        </w:rPr>
      </w:r>
      <w:r w:rsidRPr="00FA314F">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2</w:t>
      </w:r>
      <w:r w:rsidRPr="00FA314F">
        <w:rPr>
          <w:rFonts w:cs="Arial"/>
          <w:i/>
          <w:szCs w:val="22"/>
        </w:rPr>
        <w:fldChar w:fldCharType="end"/>
      </w:r>
      <w:r w:rsidRPr="00FA314F">
        <w:rPr>
          <w:rFonts w:cs="Arial"/>
          <w:i/>
          <w:szCs w:val="22"/>
        </w:rPr>
        <w:t xml:space="preserve"> and </w:t>
      </w:r>
      <w:r w:rsidRPr="00FA314F">
        <w:rPr>
          <w:rFonts w:cs="Arial"/>
          <w:i/>
          <w:szCs w:val="22"/>
        </w:rPr>
        <w:fldChar w:fldCharType="begin"/>
      </w:r>
      <w:r w:rsidRPr="00FA314F">
        <w:rPr>
          <w:rFonts w:cs="Arial"/>
          <w:i/>
          <w:szCs w:val="22"/>
        </w:rPr>
        <w:instrText xml:space="preserve"> REF _Ref461186562 \h  \* MERGEFORMAT </w:instrText>
      </w:r>
      <w:r w:rsidRPr="00FA314F">
        <w:rPr>
          <w:rFonts w:cs="Arial"/>
          <w:i/>
          <w:szCs w:val="22"/>
        </w:rPr>
      </w:r>
      <w:r w:rsidRPr="00FA314F">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3</w:t>
      </w:r>
      <w:r w:rsidRPr="00FA314F">
        <w:rPr>
          <w:rFonts w:cs="Arial"/>
          <w:i/>
          <w:szCs w:val="22"/>
        </w:rPr>
        <w:fldChar w:fldCharType="end"/>
      </w:r>
      <w:r w:rsidRPr="00FA314F">
        <w:rPr>
          <w:rFonts w:cs="Arial"/>
          <w:i/>
          <w:szCs w:val="22"/>
        </w:rPr>
        <w:t>.</w:t>
      </w:r>
      <w:r w:rsidR="006E47B4" w:rsidRPr="00FA314F">
        <w:rPr>
          <w:rFonts w:cs="Arial"/>
          <w:color w:val="000000"/>
          <w:szCs w:val="22"/>
          <w:vertAlign w:val="superscript"/>
        </w:rPr>
        <w:t xml:space="preserve"> </w:t>
      </w: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3"/>
        <w:gridCol w:w="674"/>
        <w:gridCol w:w="3576"/>
        <w:gridCol w:w="473"/>
        <w:gridCol w:w="473"/>
        <w:gridCol w:w="473"/>
        <w:gridCol w:w="473"/>
        <w:gridCol w:w="473"/>
        <w:gridCol w:w="473"/>
        <w:gridCol w:w="473"/>
        <w:gridCol w:w="473"/>
      </w:tblGrid>
      <w:tr w:rsidR="006178EE" w:rsidRPr="00FA314F" w14:paraId="70F1713D" w14:textId="77777777" w:rsidTr="00D562E2">
        <w:trPr>
          <w:cantSplit/>
          <w:trHeight w:val="2345"/>
          <w:jc w:val="center"/>
        </w:trPr>
        <w:tc>
          <w:tcPr>
            <w:tcW w:w="1633" w:type="dxa"/>
            <w:shd w:val="clear" w:color="auto" w:fill="BBE0E3"/>
            <w:vAlign w:val="center"/>
          </w:tcPr>
          <w:p w14:paraId="1298D368" w14:textId="77777777" w:rsidR="006178EE" w:rsidRPr="00FA314F" w:rsidRDefault="006178EE" w:rsidP="005D3108">
            <w:pPr>
              <w:spacing w:before="0" w:after="0"/>
              <w:jc w:val="center"/>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Habitat</w:t>
            </w:r>
          </w:p>
        </w:tc>
        <w:tc>
          <w:tcPr>
            <w:tcW w:w="4250" w:type="dxa"/>
            <w:gridSpan w:val="2"/>
            <w:shd w:val="clear" w:color="auto" w:fill="BBE0E3"/>
            <w:noWrap/>
            <w:vAlign w:val="center"/>
          </w:tcPr>
          <w:p w14:paraId="0BF308D6" w14:textId="0CE534AD" w:rsidR="006178EE" w:rsidRPr="00FA314F" w:rsidRDefault="006178EE" w:rsidP="005D3108">
            <w:pPr>
              <w:spacing w:before="0" w:after="0"/>
              <w:jc w:val="center"/>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Site</w:t>
            </w:r>
            <w:r w:rsidR="003737E9" w:rsidRPr="00FA314F">
              <w:rPr>
                <w:rFonts w:asciiTheme="minorHAnsi" w:hAnsiTheme="minorHAnsi" w:cstheme="minorHAnsi"/>
                <w:b/>
                <w:bCs/>
                <w:color w:val="000000"/>
                <w:sz w:val="20"/>
                <w:szCs w:val="20"/>
              </w:rPr>
              <w:t xml:space="preserve"> </w:t>
            </w:r>
            <w:r w:rsidRPr="00FA314F">
              <w:rPr>
                <w:rFonts w:asciiTheme="minorHAnsi" w:hAnsiTheme="minorHAnsi" w:cstheme="minorHAnsi"/>
                <w:b/>
                <w:bCs/>
                <w:color w:val="000000"/>
                <w:sz w:val="20"/>
                <w:szCs w:val="20"/>
              </w:rPr>
              <w:t>code and location</w:t>
            </w:r>
          </w:p>
        </w:tc>
        <w:tc>
          <w:tcPr>
            <w:tcW w:w="473" w:type="dxa"/>
            <w:shd w:val="clear" w:color="auto" w:fill="BBE0E3"/>
            <w:textDirection w:val="btLr"/>
            <w:vAlign w:val="center"/>
          </w:tcPr>
          <w:p w14:paraId="05A6BB3C" w14:textId="01785DBB" w:rsidR="006178EE" w:rsidRPr="00FA314F" w:rsidRDefault="00FA314F" w:rsidP="005D3108">
            <w:pPr>
              <w:spacing w:before="0" w:after="0"/>
              <w:ind w:left="57"/>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s</w:t>
            </w:r>
            <w:r w:rsidR="006178EE" w:rsidRPr="00FA314F">
              <w:rPr>
                <w:rFonts w:asciiTheme="minorHAnsi" w:hAnsiTheme="minorHAnsi" w:cstheme="minorHAnsi"/>
                <w:b/>
                <w:bCs/>
                <w:color w:val="000000"/>
                <w:sz w:val="20"/>
                <w:szCs w:val="20"/>
              </w:rPr>
              <w:t>eagrass abundance</w:t>
            </w:r>
          </w:p>
        </w:tc>
        <w:tc>
          <w:tcPr>
            <w:tcW w:w="473" w:type="dxa"/>
            <w:shd w:val="clear" w:color="auto" w:fill="BBE0E3"/>
            <w:textDirection w:val="btLr"/>
            <w:vAlign w:val="center"/>
          </w:tcPr>
          <w:p w14:paraId="686996D4" w14:textId="30FFD049" w:rsidR="006178EE" w:rsidRPr="00FA314F" w:rsidRDefault="00FA314F" w:rsidP="005D3108">
            <w:pPr>
              <w:spacing w:before="0" w:after="0"/>
              <w:ind w:left="57"/>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s</w:t>
            </w:r>
            <w:r w:rsidR="006178EE" w:rsidRPr="00FA314F">
              <w:rPr>
                <w:rFonts w:asciiTheme="minorHAnsi" w:hAnsiTheme="minorHAnsi" w:cstheme="minorHAnsi"/>
                <w:b/>
                <w:bCs/>
                <w:color w:val="000000"/>
                <w:sz w:val="20"/>
                <w:szCs w:val="20"/>
              </w:rPr>
              <w:t xml:space="preserve">eagrass composition </w:t>
            </w:r>
          </w:p>
        </w:tc>
        <w:tc>
          <w:tcPr>
            <w:tcW w:w="473" w:type="dxa"/>
            <w:shd w:val="clear" w:color="auto" w:fill="BBE0E3"/>
            <w:textDirection w:val="btLr"/>
            <w:vAlign w:val="center"/>
          </w:tcPr>
          <w:p w14:paraId="35CC3F66" w14:textId="67869D90" w:rsidR="006178EE" w:rsidRPr="00FA314F" w:rsidRDefault="00FA314F" w:rsidP="005D3108">
            <w:pPr>
              <w:spacing w:before="0" w:after="0"/>
              <w:ind w:left="57"/>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s</w:t>
            </w:r>
            <w:r w:rsidR="006178EE" w:rsidRPr="00FA314F">
              <w:rPr>
                <w:rFonts w:asciiTheme="minorHAnsi" w:hAnsiTheme="minorHAnsi" w:cstheme="minorHAnsi"/>
                <w:b/>
                <w:bCs/>
                <w:color w:val="000000"/>
                <w:sz w:val="20"/>
                <w:szCs w:val="20"/>
              </w:rPr>
              <w:t>eagrass distribution</w:t>
            </w:r>
          </w:p>
        </w:tc>
        <w:tc>
          <w:tcPr>
            <w:tcW w:w="473" w:type="dxa"/>
            <w:shd w:val="clear" w:color="auto" w:fill="BBE0E3"/>
            <w:textDirection w:val="btLr"/>
            <w:vAlign w:val="center"/>
          </w:tcPr>
          <w:p w14:paraId="77A8F39C" w14:textId="0AEB8D30" w:rsidR="006178EE" w:rsidRPr="00FA314F" w:rsidRDefault="00FA314F" w:rsidP="005D3108">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r</w:t>
            </w:r>
            <w:r w:rsidR="006178EE" w:rsidRPr="00FA314F">
              <w:rPr>
                <w:rFonts w:asciiTheme="minorHAnsi" w:hAnsiTheme="minorHAnsi" w:cstheme="minorHAnsi"/>
                <w:b/>
                <w:bCs/>
                <w:color w:val="000000"/>
                <w:sz w:val="20"/>
                <w:szCs w:val="20"/>
              </w:rPr>
              <w:t>eproductive effort</w:t>
            </w:r>
          </w:p>
        </w:tc>
        <w:tc>
          <w:tcPr>
            <w:tcW w:w="473" w:type="dxa"/>
            <w:shd w:val="clear" w:color="auto" w:fill="BBE0E3"/>
            <w:textDirection w:val="btLr"/>
            <w:vAlign w:val="center"/>
          </w:tcPr>
          <w:p w14:paraId="2796936C" w14:textId="77777777" w:rsidR="006178EE" w:rsidRPr="00FA314F" w:rsidRDefault="006178EE" w:rsidP="005D3108">
            <w:pPr>
              <w:spacing w:before="0" w:after="0"/>
              <w:ind w:left="57"/>
              <w:rPr>
                <w:rFonts w:asciiTheme="minorHAnsi" w:hAnsiTheme="minorHAnsi" w:cstheme="minorHAnsi"/>
                <w:b/>
                <w:bCs/>
                <w:color w:val="000000"/>
                <w:sz w:val="20"/>
                <w:szCs w:val="20"/>
              </w:rPr>
            </w:pPr>
            <w:r w:rsidRPr="00FA314F">
              <w:rPr>
                <w:rFonts w:asciiTheme="minorHAnsi" w:hAnsiTheme="minorHAnsi" w:cstheme="minorHAnsi"/>
                <w:b/>
                <w:bCs/>
                <w:color w:val="000000"/>
                <w:sz w:val="20"/>
                <w:szCs w:val="20"/>
              </w:rPr>
              <w:t>seed banks</w:t>
            </w:r>
          </w:p>
        </w:tc>
        <w:tc>
          <w:tcPr>
            <w:tcW w:w="473" w:type="dxa"/>
            <w:shd w:val="clear" w:color="auto" w:fill="BBE0E3"/>
            <w:textDirection w:val="btLr"/>
            <w:vAlign w:val="center"/>
          </w:tcPr>
          <w:p w14:paraId="56A25180" w14:textId="19AC341D" w:rsidR="006178EE" w:rsidRPr="00FA314F" w:rsidRDefault="00FA314F" w:rsidP="005D3108">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l</w:t>
            </w:r>
            <w:r w:rsidR="006178EE" w:rsidRPr="00FA314F">
              <w:rPr>
                <w:rFonts w:asciiTheme="minorHAnsi" w:hAnsiTheme="minorHAnsi" w:cstheme="minorHAnsi"/>
                <w:b/>
                <w:bCs/>
                <w:color w:val="000000"/>
                <w:sz w:val="20"/>
                <w:szCs w:val="20"/>
              </w:rPr>
              <w:t>eaf tissue nutrients</w:t>
            </w:r>
          </w:p>
        </w:tc>
        <w:tc>
          <w:tcPr>
            <w:tcW w:w="473" w:type="dxa"/>
            <w:shd w:val="clear" w:color="auto" w:fill="BBE0E3"/>
            <w:textDirection w:val="btLr"/>
            <w:vAlign w:val="center"/>
          </w:tcPr>
          <w:p w14:paraId="2C1D8F57" w14:textId="2B451ADF" w:rsidR="006178EE" w:rsidRPr="00FA314F" w:rsidRDefault="00FA314F" w:rsidP="005D3108">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6178EE" w:rsidRPr="00FA314F">
              <w:rPr>
                <w:rFonts w:asciiTheme="minorHAnsi" w:hAnsiTheme="minorHAnsi" w:cstheme="minorHAnsi"/>
                <w:b/>
                <w:bCs/>
                <w:color w:val="000000"/>
                <w:sz w:val="20"/>
                <w:szCs w:val="20"/>
              </w:rPr>
              <w:t>eadow sediments</w:t>
            </w:r>
          </w:p>
        </w:tc>
        <w:tc>
          <w:tcPr>
            <w:tcW w:w="473" w:type="dxa"/>
            <w:shd w:val="clear" w:color="auto" w:fill="BBE0E3"/>
            <w:textDirection w:val="btLr"/>
            <w:vAlign w:val="center"/>
          </w:tcPr>
          <w:p w14:paraId="0510CF68" w14:textId="49735C74" w:rsidR="006178EE" w:rsidRPr="00FA314F" w:rsidRDefault="00FA314F" w:rsidP="005D3108">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e</w:t>
            </w:r>
            <w:r w:rsidR="006178EE" w:rsidRPr="00FA314F">
              <w:rPr>
                <w:rFonts w:asciiTheme="minorHAnsi" w:hAnsiTheme="minorHAnsi" w:cstheme="minorHAnsi"/>
                <w:b/>
                <w:bCs/>
                <w:color w:val="000000"/>
                <w:sz w:val="20"/>
                <w:szCs w:val="20"/>
              </w:rPr>
              <w:t>piphytes &amp; macroalgae</w:t>
            </w:r>
          </w:p>
        </w:tc>
      </w:tr>
      <w:tr w:rsidR="006178EE" w:rsidRPr="00DB1ACE" w14:paraId="78877235" w14:textId="77777777" w:rsidTr="00D562E2">
        <w:trPr>
          <w:trHeight w:val="170"/>
          <w:jc w:val="center"/>
        </w:trPr>
        <w:tc>
          <w:tcPr>
            <w:tcW w:w="1633" w:type="dxa"/>
            <w:vMerge w:val="restart"/>
            <w:shd w:val="clear" w:color="auto" w:fill="E7F3F4"/>
            <w:vAlign w:val="center"/>
          </w:tcPr>
          <w:p w14:paraId="799234A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intertidal</w:t>
            </w:r>
          </w:p>
        </w:tc>
        <w:tc>
          <w:tcPr>
            <w:tcW w:w="674" w:type="dxa"/>
            <w:shd w:val="clear" w:color="auto" w:fill="E7F3F4"/>
            <w:noWrap/>
            <w:vAlign w:val="center"/>
          </w:tcPr>
          <w:p w14:paraId="78FB08D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SB1</w:t>
            </w:r>
          </w:p>
        </w:tc>
        <w:tc>
          <w:tcPr>
            <w:tcW w:w="3576" w:type="dxa"/>
            <w:shd w:val="clear" w:color="auto" w:fill="E7F3F4"/>
            <w:noWrap/>
            <w:vAlign w:val="center"/>
          </w:tcPr>
          <w:p w14:paraId="518F0B0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Shelley Beach (Townsville)</w:t>
            </w:r>
          </w:p>
        </w:tc>
        <w:tc>
          <w:tcPr>
            <w:tcW w:w="473" w:type="dxa"/>
            <w:shd w:val="clear" w:color="auto" w:fill="E7F3F4"/>
            <w:vAlign w:val="center"/>
          </w:tcPr>
          <w:p w14:paraId="77A6ED2C"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9E5A4D3"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9F1059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E709B5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10453DE"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6E12176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4718CD9E"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D95025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6204E291" w14:textId="77777777" w:rsidTr="00D562E2">
        <w:trPr>
          <w:trHeight w:val="170"/>
          <w:jc w:val="center"/>
        </w:trPr>
        <w:tc>
          <w:tcPr>
            <w:tcW w:w="1633" w:type="dxa"/>
            <w:vMerge/>
            <w:shd w:val="clear" w:color="auto" w:fill="E7F3F4"/>
            <w:vAlign w:val="center"/>
          </w:tcPr>
          <w:p w14:paraId="7F355AB4"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3CE5AA8B" w14:textId="43CBD7C3"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SB2</w:t>
            </w:r>
            <w:r w:rsidR="00B67313" w:rsidRPr="00DB1ACE">
              <w:rPr>
                <w:rFonts w:asciiTheme="minorHAnsi" w:hAnsiTheme="minorHAnsi" w:cstheme="minorHAnsi"/>
                <w:color w:val="000000"/>
                <w:sz w:val="20"/>
                <w:szCs w:val="20"/>
              </w:rPr>
              <w:t>*</w:t>
            </w:r>
          </w:p>
        </w:tc>
        <w:tc>
          <w:tcPr>
            <w:tcW w:w="3576" w:type="dxa"/>
            <w:shd w:val="clear" w:color="auto" w:fill="E7F3F4"/>
            <w:noWrap/>
            <w:vAlign w:val="center"/>
          </w:tcPr>
          <w:p w14:paraId="51CC79C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Shelley Beach (Townsville)</w:t>
            </w:r>
          </w:p>
        </w:tc>
        <w:tc>
          <w:tcPr>
            <w:tcW w:w="473" w:type="dxa"/>
            <w:shd w:val="clear" w:color="auto" w:fill="E7F3F4"/>
          </w:tcPr>
          <w:p w14:paraId="2C68949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431A5C9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656016D4"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473" w:type="dxa"/>
            <w:shd w:val="clear" w:color="auto" w:fill="E7F3F4"/>
          </w:tcPr>
          <w:p w14:paraId="32589F67"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473" w:type="dxa"/>
            <w:shd w:val="clear" w:color="auto" w:fill="E7F3F4"/>
          </w:tcPr>
          <w:p w14:paraId="0CE80AD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3CF4741B"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473" w:type="dxa"/>
            <w:shd w:val="clear" w:color="auto" w:fill="E7F3F4"/>
          </w:tcPr>
          <w:p w14:paraId="09170AC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405150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126941D0" w14:textId="77777777" w:rsidTr="00D562E2">
        <w:trPr>
          <w:trHeight w:val="170"/>
          <w:jc w:val="center"/>
        </w:trPr>
        <w:tc>
          <w:tcPr>
            <w:tcW w:w="1633" w:type="dxa"/>
            <w:vMerge/>
            <w:shd w:val="clear" w:color="auto" w:fill="E7F3F4"/>
            <w:vAlign w:val="center"/>
          </w:tcPr>
          <w:p w14:paraId="7074CEE2"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4C3197C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BB1</w:t>
            </w:r>
          </w:p>
        </w:tc>
        <w:tc>
          <w:tcPr>
            <w:tcW w:w="3576" w:type="dxa"/>
            <w:shd w:val="clear" w:color="auto" w:fill="E7F3F4"/>
            <w:noWrap/>
            <w:vAlign w:val="center"/>
          </w:tcPr>
          <w:p w14:paraId="2597B76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Bushland Beach (Townsville)</w:t>
            </w:r>
          </w:p>
        </w:tc>
        <w:tc>
          <w:tcPr>
            <w:tcW w:w="473" w:type="dxa"/>
            <w:shd w:val="clear" w:color="auto" w:fill="E7F3F4"/>
          </w:tcPr>
          <w:p w14:paraId="4864DB8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604627A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E6BFD3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FDD449A"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369D8EE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5800E4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2CB0BC3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332796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3282D4B0" w14:textId="77777777" w:rsidTr="00D562E2">
        <w:trPr>
          <w:trHeight w:val="170"/>
          <w:jc w:val="center"/>
        </w:trPr>
        <w:tc>
          <w:tcPr>
            <w:tcW w:w="1633" w:type="dxa"/>
            <w:vMerge/>
            <w:shd w:val="clear" w:color="auto" w:fill="E7F3F4"/>
            <w:vAlign w:val="center"/>
          </w:tcPr>
          <w:p w14:paraId="6B0E7BA9"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25AAFDF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JR1</w:t>
            </w:r>
          </w:p>
        </w:tc>
        <w:tc>
          <w:tcPr>
            <w:tcW w:w="3576" w:type="dxa"/>
            <w:shd w:val="clear" w:color="auto" w:fill="E7F3F4"/>
            <w:noWrap/>
            <w:vAlign w:val="center"/>
          </w:tcPr>
          <w:p w14:paraId="2BDD415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Jerona (Barratta CK, Bowling Green Bay)</w:t>
            </w:r>
          </w:p>
        </w:tc>
        <w:tc>
          <w:tcPr>
            <w:tcW w:w="473" w:type="dxa"/>
            <w:shd w:val="clear" w:color="auto" w:fill="E7F3F4"/>
          </w:tcPr>
          <w:p w14:paraId="6220C6A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E71CDE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EF523F0"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6D705BD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A7F5285"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18D79E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3B89841B"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259DD1B5"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0A2387DE" w14:textId="77777777" w:rsidTr="00D562E2">
        <w:trPr>
          <w:trHeight w:val="170"/>
          <w:jc w:val="center"/>
        </w:trPr>
        <w:tc>
          <w:tcPr>
            <w:tcW w:w="1633" w:type="dxa"/>
            <w:vMerge/>
            <w:shd w:val="clear" w:color="auto" w:fill="E7F3F4"/>
            <w:vAlign w:val="center"/>
          </w:tcPr>
          <w:p w14:paraId="602625CC"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3284F65A"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JR2</w:t>
            </w:r>
          </w:p>
        </w:tc>
        <w:tc>
          <w:tcPr>
            <w:tcW w:w="3576" w:type="dxa"/>
            <w:shd w:val="clear" w:color="auto" w:fill="E7F3F4"/>
            <w:noWrap/>
            <w:vAlign w:val="center"/>
          </w:tcPr>
          <w:p w14:paraId="31EB9C1C"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Jerona (Barratta CK, Bowling Green Bay)</w:t>
            </w:r>
          </w:p>
        </w:tc>
        <w:tc>
          <w:tcPr>
            <w:tcW w:w="473" w:type="dxa"/>
            <w:shd w:val="clear" w:color="auto" w:fill="E7F3F4"/>
          </w:tcPr>
          <w:p w14:paraId="36D0A79A"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DBA9915"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A8FA82C"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4338F6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911402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25D6FB00"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4367F8F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6C68D33"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57153B60" w14:textId="77777777" w:rsidTr="00D562E2">
        <w:trPr>
          <w:trHeight w:val="170"/>
          <w:jc w:val="center"/>
        </w:trPr>
        <w:tc>
          <w:tcPr>
            <w:tcW w:w="1633" w:type="dxa"/>
            <w:vMerge w:val="restart"/>
            <w:shd w:val="clear" w:color="auto" w:fill="F3F9FA"/>
            <w:vAlign w:val="center"/>
          </w:tcPr>
          <w:p w14:paraId="101FF4D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intertidal</w:t>
            </w:r>
          </w:p>
        </w:tc>
        <w:tc>
          <w:tcPr>
            <w:tcW w:w="674" w:type="dxa"/>
            <w:shd w:val="clear" w:color="auto" w:fill="F3F9FA"/>
            <w:noWrap/>
            <w:vAlign w:val="center"/>
          </w:tcPr>
          <w:p w14:paraId="34FFAD00"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MI1</w:t>
            </w:r>
          </w:p>
        </w:tc>
        <w:tc>
          <w:tcPr>
            <w:tcW w:w="3576" w:type="dxa"/>
            <w:shd w:val="clear" w:color="auto" w:fill="F3F9FA"/>
            <w:noWrap/>
            <w:vAlign w:val="center"/>
          </w:tcPr>
          <w:p w14:paraId="4F9C9FE2"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Picnic Bay (Magnetic Island)</w:t>
            </w:r>
          </w:p>
        </w:tc>
        <w:tc>
          <w:tcPr>
            <w:tcW w:w="473" w:type="dxa"/>
            <w:shd w:val="clear" w:color="auto" w:fill="F3F9FA"/>
          </w:tcPr>
          <w:p w14:paraId="46AE747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2DB80C5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08BE6E81"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0CA1F8D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3CD54AB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5DA0482A"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68FD4C7F"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586C8ACA"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14BD0B94" w14:textId="77777777" w:rsidTr="00D562E2">
        <w:trPr>
          <w:trHeight w:val="170"/>
          <w:jc w:val="center"/>
        </w:trPr>
        <w:tc>
          <w:tcPr>
            <w:tcW w:w="1633" w:type="dxa"/>
            <w:vMerge/>
            <w:shd w:val="clear" w:color="auto" w:fill="F3F9FA"/>
            <w:vAlign w:val="center"/>
          </w:tcPr>
          <w:p w14:paraId="6493C377" w14:textId="77777777" w:rsidR="006178EE" w:rsidRPr="00DB1ACE" w:rsidRDefault="006178EE" w:rsidP="005D3108">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13BE942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MI2</w:t>
            </w:r>
          </w:p>
        </w:tc>
        <w:tc>
          <w:tcPr>
            <w:tcW w:w="3576" w:type="dxa"/>
            <w:shd w:val="clear" w:color="auto" w:fill="F3F9FA"/>
            <w:noWrap/>
            <w:vAlign w:val="center"/>
          </w:tcPr>
          <w:p w14:paraId="114699E7"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Cockle Bay (Magnetic Island)</w:t>
            </w:r>
          </w:p>
        </w:tc>
        <w:tc>
          <w:tcPr>
            <w:tcW w:w="473" w:type="dxa"/>
            <w:shd w:val="clear" w:color="auto" w:fill="F3F9FA"/>
          </w:tcPr>
          <w:p w14:paraId="5C8ADE73"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5684D012"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402F2AC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6C886E1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48F3DD0B"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4E73B880"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4879E79B"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tcPr>
          <w:p w14:paraId="07B70EBD"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6178EE" w:rsidRPr="00DB1ACE" w14:paraId="403628AB" w14:textId="77777777" w:rsidTr="00D562E2">
        <w:trPr>
          <w:trHeight w:val="170"/>
          <w:jc w:val="center"/>
        </w:trPr>
        <w:tc>
          <w:tcPr>
            <w:tcW w:w="1633" w:type="dxa"/>
            <w:shd w:val="clear" w:color="auto" w:fill="E7F3F4"/>
            <w:vAlign w:val="center"/>
          </w:tcPr>
          <w:p w14:paraId="3371F8F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subtidal</w:t>
            </w:r>
          </w:p>
        </w:tc>
        <w:tc>
          <w:tcPr>
            <w:tcW w:w="674" w:type="dxa"/>
            <w:shd w:val="clear" w:color="auto" w:fill="E7F3F4"/>
            <w:noWrap/>
            <w:vAlign w:val="center"/>
          </w:tcPr>
          <w:p w14:paraId="36691185"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MI3</w:t>
            </w:r>
          </w:p>
        </w:tc>
        <w:tc>
          <w:tcPr>
            <w:tcW w:w="3576" w:type="dxa"/>
            <w:shd w:val="clear" w:color="auto" w:fill="E7F3F4"/>
            <w:noWrap/>
            <w:vAlign w:val="center"/>
          </w:tcPr>
          <w:p w14:paraId="77D1E37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Picnic Bay (Magnetic Island)</w:t>
            </w:r>
          </w:p>
        </w:tc>
        <w:tc>
          <w:tcPr>
            <w:tcW w:w="473" w:type="dxa"/>
            <w:shd w:val="clear" w:color="auto" w:fill="E7F3F4"/>
          </w:tcPr>
          <w:p w14:paraId="4A106FB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739AF33B"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A721546"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25A6D53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0C4DFD44"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26F9D739"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59C25E0D"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tcPr>
          <w:p w14:paraId="109F0958" w14:textId="77777777" w:rsidR="006178EE" w:rsidRPr="00DB1ACE" w:rsidRDefault="006178EE" w:rsidP="005D3108">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bookmarkEnd w:id="430"/>
    </w:tbl>
    <w:p w14:paraId="18B799C5" w14:textId="0E4922B8" w:rsidR="00AE3499" w:rsidRPr="00D562E2" w:rsidRDefault="00AE3499" w:rsidP="00AE3499">
      <w:pPr>
        <w:rPr>
          <w:rFonts w:cs="Arial"/>
          <w:szCs w:val="22"/>
        </w:rPr>
      </w:pPr>
    </w:p>
    <w:p w14:paraId="0461694B" w14:textId="77777777" w:rsidR="003E679B" w:rsidRPr="00D562E2" w:rsidRDefault="003E679B" w:rsidP="000150D8">
      <w:pPr>
        <w:pStyle w:val="Heading4"/>
      </w:pPr>
      <w:bookmarkStart w:id="435" w:name="_Toc533432013"/>
      <w:bookmarkStart w:id="436" w:name="_Toc37775088"/>
      <w:bookmarkStart w:id="437" w:name="_Toc43987063"/>
      <w:r w:rsidRPr="00D562E2">
        <w:t>Seagrass index and indicator scores</w:t>
      </w:r>
      <w:bookmarkEnd w:id="435"/>
      <w:bookmarkEnd w:id="436"/>
      <w:bookmarkEnd w:id="437"/>
    </w:p>
    <w:p w14:paraId="6D68E635" w14:textId="3AA82517" w:rsidR="002F149D" w:rsidRPr="00D562E2" w:rsidRDefault="003E679B" w:rsidP="002F149D">
      <w:pPr>
        <w:rPr>
          <w:rFonts w:cs="Arial"/>
          <w:szCs w:val="22"/>
          <w:lang w:val="en-GB"/>
        </w:rPr>
      </w:pPr>
      <w:r w:rsidRPr="00D562E2">
        <w:rPr>
          <w:rFonts w:cs="Arial"/>
          <w:szCs w:val="22"/>
          <w:lang w:val="en-GB"/>
        </w:rPr>
        <w:t>In the 201</w:t>
      </w:r>
      <w:r w:rsidR="00752E50" w:rsidRPr="00D562E2">
        <w:rPr>
          <w:rFonts w:cs="Arial"/>
          <w:szCs w:val="22"/>
          <w:lang w:val="en-GB"/>
        </w:rPr>
        <w:t>8</w:t>
      </w:r>
      <w:r w:rsidRPr="00D562E2">
        <w:rPr>
          <w:rFonts w:cs="Arial"/>
          <w:szCs w:val="22"/>
          <w:lang w:val="en-GB"/>
        </w:rPr>
        <w:t>-1</w:t>
      </w:r>
      <w:r w:rsidR="00752E50" w:rsidRPr="00D562E2">
        <w:rPr>
          <w:rFonts w:cs="Arial"/>
          <w:szCs w:val="22"/>
          <w:lang w:val="en-GB"/>
        </w:rPr>
        <w:t>9</w:t>
      </w:r>
      <w:r w:rsidRPr="00D562E2">
        <w:rPr>
          <w:rFonts w:cs="Arial"/>
          <w:szCs w:val="22"/>
          <w:lang w:val="en-GB"/>
        </w:rPr>
        <w:t xml:space="preserve"> monitoring period, the seagrass </w:t>
      </w:r>
      <w:r w:rsidR="00D132E9" w:rsidRPr="00D562E2">
        <w:rPr>
          <w:rFonts w:cs="Arial"/>
          <w:szCs w:val="22"/>
          <w:lang w:val="en-GB"/>
        </w:rPr>
        <w:t xml:space="preserve">condition </w:t>
      </w:r>
      <w:r w:rsidRPr="00D562E2">
        <w:rPr>
          <w:rFonts w:cs="Arial"/>
          <w:szCs w:val="22"/>
          <w:lang w:val="en-GB"/>
        </w:rPr>
        <w:t xml:space="preserve">index for the Burdekin region </w:t>
      </w:r>
      <w:r w:rsidR="00D132E9" w:rsidRPr="00D562E2">
        <w:rPr>
          <w:rFonts w:cs="Arial"/>
          <w:szCs w:val="22"/>
          <w:lang w:val="en-GB"/>
        </w:rPr>
        <w:t>declined</w:t>
      </w:r>
      <w:r w:rsidRPr="00D562E2">
        <w:rPr>
          <w:rFonts w:cs="Arial"/>
          <w:szCs w:val="22"/>
          <w:lang w:val="en-GB"/>
        </w:rPr>
        <w:t xml:space="preserve"> </w:t>
      </w:r>
      <w:r w:rsidR="00F75622" w:rsidRPr="00D562E2">
        <w:rPr>
          <w:rFonts w:cs="Arial"/>
          <w:szCs w:val="22"/>
          <w:lang w:val="en-GB"/>
        </w:rPr>
        <w:t xml:space="preserve">from moderate </w:t>
      </w:r>
      <w:r w:rsidR="00752E50" w:rsidRPr="00D562E2">
        <w:rPr>
          <w:rFonts w:cs="Arial"/>
          <w:szCs w:val="22"/>
          <w:lang w:val="en-GB"/>
        </w:rPr>
        <w:t xml:space="preserve">to </w:t>
      </w:r>
      <w:r w:rsidR="00752E50" w:rsidRPr="00D562E2">
        <w:rPr>
          <w:rFonts w:cs="Arial"/>
          <w:b/>
          <w:szCs w:val="22"/>
          <w:lang w:val="en-GB"/>
        </w:rPr>
        <w:t>poor</w:t>
      </w:r>
      <w:r w:rsidR="00F24EAA" w:rsidRPr="00D562E2">
        <w:rPr>
          <w:rFonts w:cs="Arial"/>
          <w:szCs w:val="22"/>
          <w:lang w:val="en-GB"/>
        </w:rPr>
        <w:t xml:space="preserve"> (</w:t>
      </w:r>
      <w:r w:rsidR="002024A1" w:rsidRPr="00D562E2">
        <w:rPr>
          <w:rFonts w:cs="Arial"/>
          <w:color w:val="0000FF"/>
          <w:szCs w:val="22"/>
          <w:lang w:val="en-GB"/>
        </w:rPr>
        <w:fldChar w:fldCharType="begin"/>
      </w:r>
      <w:r w:rsidR="002024A1" w:rsidRPr="00D562E2">
        <w:rPr>
          <w:rFonts w:cs="Arial"/>
          <w:szCs w:val="22"/>
          <w:lang w:val="en-GB"/>
        </w:rPr>
        <w:instrText xml:space="preserve"> REF _Ref179446038 \h </w:instrText>
      </w:r>
      <w:r w:rsidR="00CB093C" w:rsidRPr="00D562E2">
        <w:rPr>
          <w:rFonts w:cs="Arial"/>
          <w:color w:val="0000FF"/>
          <w:szCs w:val="22"/>
          <w:lang w:val="en-GB"/>
        </w:rPr>
        <w:instrText xml:space="preserve"> \* MERGEFORMAT </w:instrText>
      </w:r>
      <w:r w:rsidR="002024A1" w:rsidRPr="00D562E2">
        <w:rPr>
          <w:rFonts w:cs="Arial"/>
          <w:color w:val="0000FF"/>
          <w:szCs w:val="22"/>
          <w:lang w:val="en-GB"/>
        </w:rPr>
      </w:r>
      <w:r w:rsidR="002024A1" w:rsidRPr="00D562E2">
        <w:rPr>
          <w:rFonts w:cs="Arial"/>
          <w:color w:val="0000FF"/>
          <w:szCs w:val="22"/>
          <w:lang w:val="en-GB"/>
        </w:rPr>
        <w:fldChar w:fldCharType="separate"/>
      </w:r>
      <w:r w:rsidR="0067675D" w:rsidRPr="00D562E2">
        <w:rPr>
          <w:rFonts w:cs="Arial"/>
          <w:color w:val="000000"/>
          <w:szCs w:val="22"/>
        </w:rPr>
        <w:t xml:space="preserve">Figure </w:t>
      </w:r>
      <w:r w:rsidR="0067675D">
        <w:rPr>
          <w:rFonts w:cs="Arial"/>
          <w:noProof/>
          <w:color w:val="000000"/>
          <w:szCs w:val="22"/>
        </w:rPr>
        <w:t>54</w:t>
      </w:r>
      <w:r w:rsidR="002024A1" w:rsidRPr="00D562E2">
        <w:rPr>
          <w:rFonts w:cs="Arial"/>
          <w:color w:val="0000FF"/>
          <w:szCs w:val="22"/>
          <w:lang w:val="en-GB"/>
        </w:rPr>
        <w:fldChar w:fldCharType="end"/>
      </w:r>
      <w:r w:rsidR="00F24EAA" w:rsidRPr="00D562E2">
        <w:rPr>
          <w:rFonts w:cs="Arial"/>
          <w:szCs w:val="22"/>
          <w:lang w:val="en-GB"/>
        </w:rPr>
        <w:t>)</w:t>
      </w:r>
      <w:r w:rsidRPr="00D562E2">
        <w:rPr>
          <w:rFonts w:cs="Arial"/>
          <w:szCs w:val="22"/>
          <w:lang w:val="en-GB"/>
        </w:rPr>
        <w:t xml:space="preserve">. </w:t>
      </w:r>
      <w:r w:rsidR="00AF170E" w:rsidRPr="00D562E2">
        <w:rPr>
          <w:rFonts w:cs="Arial"/>
          <w:szCs w:val="22"/>
          <w:lang w:val="en-GB"/>
        </w:rPr>
        <w:t xml:space="preserve">Over the </w:t>
      </w:r>
      <w:r w:rsidR="00F75622" w:rsidRPr="00D562E2">
        <w:rPr>
          <w:rFonts w:cs="Arial"/>
          <w:szCs w:val="22"/>
          <w:lang w:val="en-GB"/>
        </w:rPr>
        <w:t>previous</w:t>
      </w:r>
      <w:r w:rsidR="00AF170E" w:rsidRPr="00D562E2">
        <w:rPr>
          <w:rFonts w:cs="Arial"/>
          <w:szCs w:val="22"/>
          <w:lang w:val="en-GB"/>
        </w:rPr>
        <w:t xml:space="preserve"> four monitoring periods the index has changed little, increasing and </w:t>
      </w:r>
      <w:r w:rsidR="007A70FE" w:rsidRPr="00D562E2">
        <w:rPr>
          <w:rFonts w:cs="Arial"/>
          <w:szCs w:val="22"/>
          <w:lang w:val="en-GB"/>
        </w:rPr>
        <w:t>subsequently</w:t>
      </w:r>
      <w:r w:rsidR="00AF170E" w:rsidRPr="00D562E2">
        <w:rPr>
          <w:rFonts w:cs="Arial"/>
          <w:szCs w:val="22"/>
          <w:lang w:val="en-GB"/>
        </w:rPr>
        <w:t xml:space="preserve"> decreasing, but at a</w:t>
      </w:r>
      <w:r w:rsidR="00E63437" w:rsidRPr="00D562E2">
        <w:rPr>
          <w:rFonts w:cs="Arial"/>
          <w:szCs w:val="22"/>
          <w:lang w:val="en-GB"/>
        </w:rPr>
        <w:t xml:space="preserve"> relatively</w:t>
      </w:r>
      <w:r w:rsidR="00AF170E" w:rsidRPr="00D562E2">
        <w:rPr>
          <w:rFonts w:cs="Arial"/>
          <w:szCs w:val="22"/>
          <w:lang w:val="en-GB"/>
        </w:rPr>
        <w:t xml:space="preserve"> insignificant level. The </w:t>
      </w:r>
      <w:r w:rsidR="00BF3ACD" w:rsidRPr="00D562E2">
        <w:rPr>
          <w:rFonts w:cs="Arial"/>
          <w:szCs w:val="22"/>
          <w:lang w:val="en-GB"/>
        </w:rPr>
        <w:t xml:space="preserve">large </w:t>
      </w:r>
      <w:r w:rsidR="00AF170E" w:rsidRPr="00D562E2">
        <w:rPr>
          <w:rFonts w:cs="Arial"/>
          <w:szCs w:val="22"/>
          <w:lang w:val="en-GB"/>
        </w:rPr>
        <w:t xml:space="preserve">change </w:t>
      </w:r>
      <w:r w:rsidR="00F75622" w:rsidRPr="00D562E2">
        <w:rPr>
          <w:rFonts w:cs="Arial"/>
          <w:szCs w:val="22"/>
          <w:lang w:val="en-GB"/>
        </w:rPr>
        <w:t xml:space="preserve">in 2018–19 </w:t>
      </w:r>
      <w:r w:rsidR="00BF3ACD" w:rsidRPr="00D562E2">
        <w:rPr>
          <w:rFonts w:cs="Arial"/>
          <w:szCs w:val="22"/>
          <w:lang w:val="en-GB"/>
        </w:rPr>
        <w:t>is</w:t>
      </w:r>
      <w:r w:rsidR="00F75622" w:rsidRPr="00D562E2">
        <w:rPr>
          <w:rFonts w:cs="Arial"/>
          <w:szCs w:val="22"/>
          <w:lang w:val="en-GB"/>
        </w:rPr>
        <w:t xml:space="preserve"> most likely the result of the region-wide above average rainfall and river discharge during the wet season</w:t>
      </w:r>
      <w:r w:rsidR="00AF170E" w:rsidRPr="00D562E2">
        <w:rPr>
          <w:rFonts w:cs="Arial"/>
          <w:szCs w:val="22"/>
          <w:lang w:val="en-GB"/>
        </w:rPr>
        <w:t xml:space="preserve">. </w:t>
      </w:r>
      <w:r w:rsidR="00F75622" w:rsidRPr="00D562E2">
        <w:rPr>
          <w:rFonts w:cs="Arial"/>
          <w:szCs w:val="22"/>
          <w:lang w:val="en-GB"/>
        </w:rPr>
        <w:t>A</w:t>
      </w:r>
      <w:r w:rsidR="00AF170E" w:rsidRPr="00D562E2">
        <w:rPr>
          <w:rFonts w:cs="Arial"/>
          <w:szCs w:val="22"/>
          <w:lang w:val="en-GB"/>
        </w:rPr>
        <w:t>ll indicators declined</w:t>
      </w:r>
      <w:r w:rsidR="00BF3ACD" w:rsidRPr="00D562E2">
        <w:rPr>
          <w:rFonts w:cs="Arial"/>
          <w:szCs w:val="22"/>
          <w:lang w:val="en-GB"/>
        </w:rPr>
        <w:t>, but the largest declines occurred in seagrass abundance and reproductive effort, which declined by a whole grade to moderate and very poor</w:t>
      </w:r>
      <w:r w:rsidR="00FD5D9C" w:rsidRPr="00D562E2">
        <w:rPr>
          <w:rFonts w:cs="Arial"/>
          <w:szCs w:val="22"/>
          <w:lang w:val="en-GB"/>
        </w:rPr>
        <w:t>,</w:t>
      </w:r>
      <w:r w:rsidR="00BF3ACD" w:rsidRPr="00D562E2">
        <w:rPr>
          <w:rFonts w:cs="Arial"/>
          <w:szCs w:val="22"/>
          <w:lang w:val="en-GB"/>
        </w:rPr>
        <w:t xml:space="preserve"> respectively (</w:t>
      </w:r>
      <w:r w:rsidR="00BF3ACD" w:rsidRPr="00D562E2">
        <w:rPr>
          <w:rFonts w:cs="Arial"/>
          <w:color w:val="0000FF"/>
          <w:szCs w:val="22"/>
          <w:lang w:val="en-GB"/>
        </w:rPr>
        <w:fldChar w:fldCharType="begin"/>
      </w:r>
      <w:r w:rsidR="00BF3ACD" w:rsidRPr="00D562E2">
        <w:rPr>
          <w:rFonts w:cs="Arial"/>
          <w:szCs w:val="22"/>
          <w:lang w:val="en-GB"/>
        </w:rPr>
        <w:instrText xml:space="preserve"> REF _Ref179446038 \h </w:instrText>
      </w:r>
      <w:r w:rsidR="00BF3ACD" w:rsidRPr="00D562E2">
        <w:rPr>
          <w:rFonts w:cs="Arial"/>
          <w:color w:val="0000FF"/>
          <w:szCs w:val="22"/>
          <w:lang w:val="en-GB"/>
        </w:rPr>
        <w:instrText xml:space="preserve"> \* MERGEFORMAT </w:instrText>
      </w:r>
      <w:r w:rsidR="00BF3ACD" w:rsidRPr="00D562E2">
        <w:rPr>
          <w:rFonts w:cs="Arial"/>
          <w:color w:val="0000FF"/>
          <w:szCs w:val="22"/>
          <w:lang w:val="en-GB"/>
        </w:rPr>
      </w:r>
      <w:r w:rsidR="00BF3ACD" w:rsidRPr="00D562E2">
        <w:rPr>
          <w:rFonts w:cs="Arial"/>
          <w:color w:val="0000FF"/>
          <w:szCs w:val="22"/>
          <w:lang w:val="en-GB"/>
        </w:rPr>
        <w:fldChar w:fldCharType="separate"/>
      </w:r>
      <w:r w:rsidR="0067675D" w:rsidRPr="00D562E2">
        <w:rPr>
          <w:rFonts w:cs="Arial"/>
          <w:color w:val="000000"/>
          <w:szCs w:val="22"/>
        </w:rPr>
        <w:t xml:space="preserve">Figure </w:t>
      </w:r>
      <w:r w:rsidR="0067675D">
        <w:rPr>
          <w:rFonts w:cs="Arial"/>
          <w:noProof/>
          <w:color w:val="000000"/>
          <w:szCs w:val="22"/>
        </w:rPr>
        <w:t>54</w:t>
      </w:r>
      <w:r w:rsidR="00BF3ACD" w:rsidRPr="00D562E2">
        <w:rPr>
          <w:rFonts w:cs="Arial"/>
          <w:color w:val="0000FF"/>
          <w:szCs w:val="22"/>
          <w:lang w:val="en-GB"/>
        </w:rPr>
        <w:fldChar w:fldCharType="end"/>
      </w:r>
      <w:r w:rsidR="00BF3ACD" w:rsidRPr="00D562E2">
        <w:rPr>
          <w:rFonts w:cs="Arial"/>
          <w:szCs w:val="22"/>
          <w:lang w:val="en-GB"/>
        </w:rPr>
        <w:t xml:space="preserve">). These are measured before and after the wet season, therefore </w:t>
      </w:r>
      <w:r w:rsidR="00D05163" w:rsidRPr="00D562E2">
        <w:rPr>
          <w:rFonts w:cs="Arial"/>
          <w:szCs w:val="22"/>
          <w:lang w:val="en-GB"/>
        </w:rPr>
        <w:t>those</w:t>
      </w:r>
      <w:r w:rsidR="00BF3ACD" w:rsidRPr="00D562E2">
        <w:rPr>
          <w:rFonts w:cs="Arial"/>
          <w:szCs w:val="22"/>
          <w:lang w:val="en-GB"/>
        </w:rPr>
        <w:t xml:space="preserve"> scores reflect the </w:t>
      </w:r>
      <w:r w:rsidR="00955BD0" w:rsidRPr="00D562E2">
        <w:rPr>
          <w:rFonts w:cs="Arial"/>
          <w:szCs w:val="22"/>
          <w:lang w:val="en-GB"/>
        </w:rPr>
        <w:t xml:space="preserve">effect of </w:t>
      </w:r>
      <w:r w:rsidR="00D05163" w:rsidRPr="00D562E2">
        <w:rPr>
          <w:rFonts w:cs="Arial"/>
          <w:szCs w:val="22"/>
          <w:lang w:val="en-GB"/>
        </w:rPr>
        <w:t xml:space="preserve">wet season </w:t>
      </w:r>
      <w:r w:rsidR="00955BD0" w:rsidRPr="00D562E2">
        <w:rPr>
          <w:rFonts w:cs="Arial"/>
          <w:szCs w:val="22"/>
          <w:lang w:val="en-GB"/>
        </w:rPr>
        <w:t>river discharges</w:t>
      </w:r>
      <w:r w:rsidR="00FD5D9C" w:rsidRPr="00D562E2">
        <w:rPr>
          <w:rFonts w:cs="Arial"/>
          <w:szCs w:val="22"/>
          <w:lang w:val="en-GB"/>
        </w:rPr>
        <w:t xml:space="preserve">, while tissue nutrients are measured in the </w:t>
      </w:r>
      <w:r w:rsidR="00955BD0" w:rsidRPr="00D562E2">
        <w:rPr>
          <w:rFonts w:cs="Arial"/>
          <w:szCs w:val="22"/>
          <w:lang w:val="en-GB"/>
        </w:rPr>
        <w:t xml:space="preserve">previous </w:t>
      </w:r>
      <w:r w:rsidR="00FD5D9C" w:rsidRPr="00D562E2">
        <w:rPr>
          <w:rFonts w:cs="Arial"/>
          <w:szCs w:val="22"/>
          <w:lang w:val="en-GB"/>
        </w:rPr>
        <w:t>growing season</w:t>
      </w:r>
      <w:r w:rsidR="00AF170E" w:rsidRPr="00D562E2">
        <w:rPr>
          <w:rFonts w:cs="Arial"/>
          <w:szCs w:val="22"/>
          <w:lang w:val="en-GB"/>
        </w:rPr>
        <w:t>.</w:t>
      </w:r>
      <w:r w:rsidR="00FD5D9C" w:rsidRPr="00D562E2">
        <w:rPr>
          <w:rFonts w:cs="Arial"/>
          <w:szCs w:val="22"/>
          <w:lang w:val="en-GB"/>
        </w:rPr>
        <w:t xml:space="preserve"> </w:t>
      </w:r>
    </w:p>
    <w:p w14:paraId="38A73C9D" w14:textId="4105A67E" w:rsidR="002F149D" w:rsidRPr="00D562E2" w:rsidRDefault="007A70FE" w:rsidP="002F149D">
      <w:pPr>
        <w:rPr>
          <w:rFonts w:cs="Arial"/>
          <w:szCs w:val="22"/>
        </w:rPr>
      </w:pPr>
      <w:r w:rsidRPr="00D562E2">
        <w:rPr>
          <w:rFonts w:cs="Arial"/>
          <w:szCs w:val="22"/>
          <w:lang w:val="en-GB"/>
        </w:rPr>
        <w:lastRenderedPageBreak/>
        <w:t>Examination</w:t>
      </w:r>
      <w:r w:rsidR="002F149D" w:rsidRPr="00D562E2">
        <w:rPr>
          <w:rFonts w:cs="Arial"/>
          <w:szCs w:val="22"/>
          <w:lang w:val="en-GB"/>
        </w:rPr>
        <w:t xml:space="preserve"> of contributing </w:t>
      </w:r>
      <w:r w:rsidR="00F13286" w:rsidRPr="00D562E2">
        <w:rPr>
          <w:rFonts w:cs="Arial"/>
          <w:szCs w:val="22"/>
          <w:lang w:val="en-GB"/>
        </w:rPr>
        <w:t xml:space="preserve">seagrass </w:t>
      </w:r>
      <w:r w:rsidR="002F149D" w:rsidRPr="00D562E2">
        <w:rPr>
          <w:rFonts w:cs="Arial"/>
          <w:szCs w:val="22"/>
          <w:lang w:val="en-GB"/>
        </w:rPr>
        <w:t>condition indicators over the long-term, show declines from 2009</w:t>
      </w:r>
      <w:r w:rsidR="008E654E" w:rsidRPr="00D562E2">
        <w:rPr>
          <w:rFonts w:cs="Arial"/>
          <w:szCs w:val="22"/>
          <w:lang w:val="en-GB"/>
        </w:rPr>
        <w:t>–</w:t>
      </w:r>
      <w:r w:rsidR="002F149D" w:rsidRPr="00D562E2">
        <w:rPr>
          <w:rFonts w:cs="Arial"/>
          <w:szCs w:val="22"/>
          <w:lang w:val="en-GB"/>
        </w:rPr>
        <w:t xml:space="preserve">2011 as a consequence of the years of above-average rainfall and </w:t>
      </w:r>
      <w:r w:rsidR="002F149D" w:rsidRPr="00D562E2">
        <w:rPr>
          <w:rFonts w:cs="Arial"/>
          <w:szCs w:val="22"/>
        </w:rPr>
        <w:t xml:space="preserve">severe weather, proceeded by rapid recovery. </w:t>
      </w:r>
      <w:r w:rsidR="00995409" w:rsidRPr="00D562E2">
        <w:rPr>
          <w:rFonts w:cs="Arial"/>
          <w:szCs w:val="22"/>
        </w:rPr>
        <w:t>Based on those previous trends, the seagrass meadows in 2018</w:t>
      </w:r>
      <w:r w:rsidR="00995409" w:rsidRPr="00D562E2">
        <w:rPr>
          <w:rFonts w:cs="Arial"/>
          <w:szCs w:val="22"/>
          <w:lang w:val="en-GB"/>
        </w:rPr>
        <w:t>–</w:t>
      </w:r>
      <w:r w:rsidR="00995409" w:rsidRPr="00D562E2">
        <w:rPr>
          <w:rFonts w:cs="Arial"/>
          <w:szCs w:val="22"/>
        </w:rPr>
        <w:t>19 would appear to be in a vulnerable state and at risk of further decline</w:t>
      </w:r>
      <w:r w:rsidR="00E63437" w:rsidRPr="00D562E2">
        <w:rPr>
          <w:rFonts w:cs="Arial"/>
          <w:szCs w:val="22"/>
        </w:rPr>
        <w:t xml:space="preserve"> </w:t>
      </w:r>
      <w:r w:rsidR="00E63437" w:rsidRPr="00D562E2">
        <w:rPr>
          <w:rFonts w:cs="Arial"/>
          <w:szCs w:val="22"/>
          <w:lang w:val="en-GB"/>
        </w:rPr>
        <w:t>(</w:t>
      </w:r>
      <w:r w:rsidR="002024A1" w:rsidRPr="00D562E2">
        <w:rPr>
          <w:rFonts w:cs="Arial"/>
          <w:color w:val="0000FF"/>
          <w:szCs w:val="22"/>
          <w:lang w:val="en-GB"/>
        </w:rPr>
        <w:fldChar w:fldCharType="begin"/>
      </w:r>
      <w:r w:rsidR="002024A1" w:rsidRPr="00D562E2">
        <w:rPr>
          <w:rFonts w:cs="Arial"/>
          <w:szCs w:val="22"/>
          <w:lang w:val="en-GB"/>
        </w:rPr>
        <w:instrText xml:space="preserve"> REF _Ref179446038 \h </w:instrText>
      </w:r>
      <w:r w:rsidR="00CB093C" w:rsidRPr="00D562E2">
        <w:rPr>
          <w:rFonts w:cs="Arial"/>
          <w:color w:val="0000FF"/>
          <w:szCs w:val="22"/>
          <w:lang w:val="en-GB"/>
        </w:rPr>
        <w:instrText xml:space="preserve"> \* MERGEFORMAT </w:instrText>
      </w:r>
      <w:r w:rsidR="002024A1" w:rsidRPr="00D562E2">
        <w:rPr>
          <w:rFonts w:cs="Arial"/>
          <w:color w:val="0000FF"/>
          <w:szCs w:val="22"/>
          <w:lang w:val="en-GB"/>
        </w:rPr>
      </w:r>
      <w:r w:rsidR="002024A1" w:rsidRPr="00D562E2">
        <w:rPr>
          <w:rFonts w:cs="Arial"/>
          <w:color w:val="0000FF"/>
          <w:szCs w:val="22"/>
          <w:lang w:val="en-GB"/>
        </w:rPr>
        <w:fldChar w:fldCharType="separate"/>
      </w:r>
      <w:r w:rsidR="0067675D" w:rsidRPr="00D562E2">
        <w:rPr>
          <w:rFonts w:cs="Arial"/>
          <w:color w:val="000000"/>
          <w:szCs w:val="22"/>
        </w:rPr>
        <w:t xml:space="preserve">Figure </w:t>
      </w:r>
      <w:r w:rsidR="0067675D">
        <w:rPr>
          <w:rFonts w:cs="Arial"/>
          <w:noProof/>
          <w:color w:val="000000"/>
          <w:szCs w:val="22"/>
        </w:rPr>
        <w:t>54</w:t>
      </w:r>
      <w:r w:rsidR="002024A1" w:rsidRPr="00D562E2">
        <w:rPr>
          <w:rFonts w:cs="Arial"/>
          <w:color w:val="0000FF"/>
          <w:szCs w:val="22"/>
          <w:lang w:val="en-GB"/>
        </w:rPr>
        <w:fldChar w:fldCharType="end"/>
      </w:r>
      <w:r w:rsidR="00E63437" w:rsidRPr="00D562E2">
        <w:rPr>
          <w:rFonts w:cs="Arial"/>
          <w:szCs w:val="22"/>
          <w:lang w:val="en-GB"/>
        </w:rPr>
        <w:t>)</w:t>
      </w:r>
      <w:r w:rsidR="002F149D" w:rsidRPr="00D562E2">
        <w:rPr>
          <w:rFonts w:cs="Arial"/>
          <w:szCs w:val="22"/>
        </w:rPr>
        <w:t>.</w:t>
      </w:r>
    </w:p>
    <w:bookmarkEnd w:id="431"/>
    <w:p w14:paraId="5EC8FD05" w14:textId="77777777" w:rsidR="000A5F0A" w:rsidRPr="00D562E2" w:rsidRDefault="00024A6D" w:rsidP="000F45DC">
      <w:pPr>
        <w:keepNext/>
        <w:widowControl w:val="0"/>
        <w:jc w:val="center"/>
        <w:rPr>
          <w:rFonts w:cs="Arial"/>
          <w:noProof/>
          <w:color w:val="000000"/>
          <w:szCs w:val="22"/>
          <w:lang w:eastAsia="en-AU"/>
        </w:rPr>
      </w:pPr>
      <w:r w:rsidRPr="00D562E2">
        <w:rPr>
          <w:rFonts w:cs="Arial"/>
          <w:noProof/>
          <w:color w:val="000000"/>
          <w:szCs w:val="22"/>
          <w:lang w:eastAsia="en-AU"/>
        </w:rPr>
        <w:drawing>
          <wp:inline distT="0" distB="0" distL="0" distR="0" wp14:anchorId="65E19B48" wp14:editId="0AF7434F">
            <wp:extent cx="4743834" cy="4448663"/>
            <wp:effectExtent l="0" t="0" r="0" b="9525"/>
            <wp:docPr id="296" name="Picture 296" descr="Composite figure of four graphs showing temporal trends in the Burdekin NRM region seagrass condition index and each of the individual indicators used to calculate the index, represented by GAM plots and coloured lines representing location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B_SG16.png"/>
                    <pic:cNvPicPr/>
                  </pic:nvPicPr>
                  <pic:blipFill>
                    <a:blip r:embed="rId107"/>
                    <a:stretch>
                      <a:fillRect/>
                    </a:stretch>
                  </pic:blipFill>
                  <pic:spPr>
                    <a:xfrm>
                      <a:off x="0" y="0"/>
                      <a:ext cx="4743834" cy="4448663"/>
                    </a:xfrm>
                    <a:prstGeom prst="rect">
                      <a:avLst/>
                    </a:prstGeom>
                  </pic:spPr>
                </pic:pic>
              </a:graphicData>
            </a:graphic>
          </wp:inline>
        </w:drawing>
      </w:r>
    </w:p>
    <w:p w14:paraId="350E70C4" w14:textId="491C0CFF" w:rsidR="00076C1A" w:rsidRPr="00D562E2" w:rsidRDefault="00BD6B65" w:rsidP="00076C1A">
      <w:pPr>
        <w:rPr>
          <w:rFonts w:cs="Arial"/>
          <w:vanish/>
          <w:color w:val="000000"/>
          <w:szCs w:val="22"/>
          <w:specVanish/>
        </w:rPr>
      </w:pPr>
      <w:bookmarkStart w:id="438" w:name="_Ref179446038"/>
      <w:bookmarkStart w:id="439" w:name="_Toc431493857"/>
      <w:bookmarkStart w:id="440" w:name="_Toc176158883"/>
      <w:bookmarkStart w:id="441" w:name="_Toc232845983"/>
      <w:bookmarkStart w:id="442" w:name="_Toc38634158"/>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54</w:t>
      </w:r>
      <w:r w:rsidR="0073595B" w:rsidRPr="00D562E2">
        <w:rPr>
          <w:rFonts w:cs="Arial"/>
          <w:color w:val="000000"/>
          <w:szCs w:val="22"/>
        </w:rPr>
        <w:fldChar w:fldCharType="end"/>
      </w:r>
      <w:bookmarkEnd w:id="438"/>
      <w:r w:rsidRPr="00D562E2">
        <w:rPr>
          <w:rFonts w:cs="Arial"/>
          <w:color w:val="000000"/>
          <w:szCs w:val="22"/>
        </w:rPr>
        <w:t xml:space="preserve">. </w:t>
      </w:r>
      <w:bookmarkEnd w:id="439"/>
      <w:bookmarkEnd w:id="440"/>
      <w:bookmarkEnd w:id="441"/>
      <w:r w:rsidR="00076C1A" w:rsidRPr="00D562E2">
        <w:rPr>
          <w:rFonts w:cs="Arial"/>
          <w:i/>
          <w:szCs w:val="22"/>
        </w:rPr>
        <w:t>Temporal trends in the Burdekin seagrass condition index and the indicators used to calculate the index</w:t>
      </w:r>
      <w:bookmarkEnd w:id="442"/>
    </w:p>
    <w:p w14:paraId="13809ABD" w14:textId="681827CF" w:rsidR="004E227C" w:rsidRPr="00D562E2" w:rsidRDefault="00076C1A" w:rsidP="00076C1A">
      <w:pPr>
        <w:rPr>
          <w:rFonts w:cs="Arial"/>
          <w:i/>
          <w:szCs w:val="22"/>
          <w:lang w:val="en-GB"/>
        </w:rPr>
      </w:pPr>
      <w:r w:rsidRPr="00D562E2">
        <w:rPr>
          <w:rFonts w:cs="Arial"/>
          <w:i/>
          <w:szCs w:val="22"/>
        </w:rPr>
        <w:t>: a. seagrass condition index (circles) and indicator trends (lines); b. GAM plots of seagrass abundance (</w:t>
      </w:r>
      <w:r w:rsidR="004916B0">
        <w:rPr>
          <w:rFonts w:cs="Arial"/>
          <w:i/>
          <w:szCs w:val="22"/>
        </w:rPr>
        <w:t>per cent</w:t>
      </w:r>
      <w:r w:rsidRPr="00D562E2">
        <w:rPr>
          <w:rFonts w:cs="Arial"/>
          <w:i/>
          <w:szCs w:val="22"/>
        </w:rPr>
        <w:t xml:space="preserve"> cover) trends for each location (coloured lines) and the region (black line with grey shaded area defining 95</w:t>
      </w:r>
      <w:r w:rsidR="003C311A">
        <w:rPr>
          <w:rFonts w:cs="Arial"/>
          <w:i/>
          <w:szCs w:val="22"/>
        </w:rPr>
        <w:t xml:space="preserve">% </w:t>
      </w:r>
      <w:r w:rsidRPr="00D562E2">
        <w:rPr>
          <w:rFonts w:cs="Arial"/>
          <w:i/>
          <w:szCs w:val="22"/>
        </w:rPr>
        <w:t xml:space="preserve">confidence intervals); c. average number of reproductive structures (±SE) (GAM not possible due to high count of zero values); and d. elemental ratios (atomic) of leaf tissue C:N nutrient content at </w:t>
      </w:r>
      <w:r w:rsidRPr="00D562E2">
        <w:rPr>
          <w:rFonts w:cs="Arial"/>
          <w:i/>
          <w:szCs w:val="22"/>
        </w:rPr>
        <w:lastRenderedPageBreak/>
        <w:t>each site (coloured circles) and regional trend represented by a GAM plot as dark line with shaded areas defining 95</w:t>
      </w:r>
      <w:r w:rsidR="003C311A">
        <w:rPr>
          <w:rFonts w:cs="Arial"/>
          <w:i/>
          <w:szCs w:val="22"/>
        </w:rPr>
        <w:t xml:space="preserve">% </w:t>
      </w:r>
      <w:r w:rsidRPr="00D562E2">
        <w:rPr>
          <w:rFonts w:cs="Arial"/>
          <w:i/>
          <w:szCs w:val="22"/>
        </w:rPr>
        <w:t>confidence intervals of the trend</w:t>
      </w:r>
    </w:p>
    <w:p w14:paraId="5CAC1BAD" w14:textId="77777777" w:rsidR="00BE5D0E" w:rsidRPr="00D562E2" w:rsidRDefault="00BE5D0E" w:rsidP="004E227C">
      <w:pPr>
        <w:rPr>
          <w:rFonts w:cs="Arial"/>
          <w:color w:val="000000" w:themeColor="text1"/>
          <w:szCs w:val="22"/>
        </w:rPr>
      </w:pPr>
    </w:p>
    <w:p w14:paraId="799A86DD" w14:textId="5F4532BD" w:rsidR="003E679B" w:rsidRPr="00D562E2" w:rsidRDefault="003E679B" w:rsidP="000150D8">
      <w:pPr>
        <w:pStyle w:val="Heading4"/>
      </w:pPr>
      <w:bookmarkStart w:id="443" w:name="_Toc37775089"/>
      <w:bookmarkStart w:id="444" w:name="_Toc43987064"/>
      <w:r w:rsidRPr="00D562E2">
        <w:t xml:space="preserve">Seagrass abundance, </w:t>
      </w:r>
      <w:r w:rsidR="00F13286" w:rsidRPr="00D562E2">
        <w:t>composition</w:t>
      </w:r>
      <w:r w:rsidRPr="00D562E2">
        <w:t xml:space="preserve"> and extent</w:t>
      </w:r>
      <w:bookmarkEnd w:id="443"/>
      <w:bookmarkEnd w:id="444"/>
    </w:p>
    <w:p w14:paraId="0B7C4811" w14:textId="24C48721" w:rsidR="002F149D" w:rsidRPr="00D562E2" w:rsidRDefault="00F13286" w:rsidP="00FD7E76">
      <w:pPr>
        <w:rPr>
          <w:rFonts w:cs="Arial"/>
          <w:szCs w:val="22"/>
        </w:rPr>
      </w:pPr>
      <w:r w:rsidRPr="00D562E2">
        <w:rPr>
          <w:rFonts w:cs="Arial"/>
          <w:color w:val="000000" w:themeColor="text1"/>
          <w:szCs w:val="22"/>
        </w:rPr>
        <w:t xml:space="preserve">Over the duration of the MMP, seagrass abundance in the Burdekin region has shown a pattern of loss and recovery. Losses occurred </w:t>
      </w:r>
      <w:r w:rsidR="00C42103" w:rsidRPr="00D562E2">
        <w:rPr>
          <w:rFonts w:cs="Arial"/>
          <w:color w:val="000000" w:themeColor="text1"/>
          <w:szCs w:val="22"/>
        </w:rPr>
        <w:t xml:space="preserve">as a result of </w:t>
      </w:r>
      <w:r w:rsidRPr="00D562E2">
        <w:rPr>
          <w:rFonts w:cs="Arial"/>
          <w:color w:val="000000" w:themeColor="text1"/>
          <w:szCs w:val="22"/>
        </w:rPr>
        <w:t xml:space="preserve">multiple consecutive years of above-average rainfall </w:t>
      </w:r>
      <w:r w:rsidR="00C42103" w:rsidRPr="00D562E2">
        <w:rPr>
          <w:rFonts w:cs="Arial"/>
          <w:color w:val="000000" w:themeColor="text1"/>
          <w:szCs w:val="22"/>
        </w:rPr>
        <w:t xml:space="preserve">(river discharge) </w:t>
      </w:r>
      <w:r w:rsidR="00C42103" w:rsidRPr="00D562E2">
        <w:rPr>
          <w:rFonts w:cs="Arial"/>
          <w:szCs w:val="22"/>
          <w:lang w:val="en-GB"/>
        </w:rPr>
        <w:t xml:space="preserve">and </w:t>
      </w:r>
      <w:r w:rsidR="00C42103" w:rsidRPr="00D562E2">
        <w:rPr>
          <w:rFonts w:cs="Arial"/>
          <w:szCs w:val="22"/>
        </w:rPr>
        <w:t>severe weather (</w:t>
      </w:r>
      <w:r w:rsidR="00E4370B" w:rsidRPr="00D562E2">
        <w:rPr>
          <w:rFonts w:cs="Arial"/>
          <w:szCs w:val="22"/>
        </w:rPr>
        <w:t xml:space="preserve">cyclone </w:t>
      </w:r>
      <w:r w:rsidR="00C42103" w:rsidRPr="00D562E2">
        <w:rPr>
          <w:rFonts w:cs="Arial"/>
          <w:szCs w:val="22"/>
        </w:rPr>
        <w:t>Yasi) between 2008</w:t>
      </w:r>
      <w:r w:rsidR="00A675DA" w:rsidRPr="00D562E2">
        <w:rPr>
          <w:rFonts w:cs="Arial"/>
          <w:szCs w:val="22"/>
        </w:rPr>
        <w:t>–</w:t>
      </w:r>
      <w:r w:rsidR="00C42103" w:rsidRPr="00D562E2">
        <w:rPr>
          <w:rFonts w:cs="Arial"/>
          <w:szCs w:val="22"/>
        </w:rPr>
        <w:t>09 and 2010</w:t>
      </w:r>
      <w:r w:rsidR="00A675DA" w:rsidRPr="00D562E2">
        <w:rPr>
          <w:rFonts w:cs="Arial"/>
          <w:szCs w:val="22"/>
        </w:rPr>
        <w:t>–</w:t>
      </w:r>
      <w:r w:rsidR="00C42103" w:rsidRPr="00D562E2">
        <w:rPr>
          <w:rFonts w:cs="Arial"/>
          <w:szCs w:val="22"/>
        </w:rPr>
        <w:t xml:space="preserve">11. From 2011, seagrass rapidly recovered, </w:t>
      </w:r>
      <w:r w:rsidR="00D75691" w:rsidRPr="00D562E2">
        <w:rPr>
          <w:rFonts w:cs="Arial"/>
          <w:szCs w:val="22"/>
        </w:rPr>
        <w:t>however s</w:t>
      </w:r>
      <w:r w:rsidRPr="00D562E2">
        <w:rPr>
          <w:rFonts w:cs="Arial"/>
          <w:szCs w:val="22"/>
        </w:rPr>
        <w:t>ince 2014</w:t>
      </w:r>
      <w:r w:rsidR="00C42103" w:rsidRPr="00D562E2">
        <w:rPr>
          <w:rFonts w:cs="Arial"/>
          <w:szCs w:val="22"/>
        </w:rPr>
        <w:t xml:space="preserve">, seagrass abundance has </w:t>
      </w:r>
      <w:r w:rsidR="00C42103" w:rsidRPr="008F3665">
        <w:rPr>
          <w:rFonts w:cs="Arial"/>
          <w:szCs w:val="22"/>
        </w:rPr>
        <w:t>progressively declined at reef (intertidal and subtidal) habitats.</w:t>
      </w:r>
      <w:r w:rsidR="00995409" w:rsidRPr="008F3665">
        <w:rPr>
          <w:rFonts w:cs="Arial"/>
          <w:szCs w:val="22"/>
        </w:rPr>
        <w:t xml:space="preserve"> In 2018–19, the largest declines occurred in reef subtidal and coastal intertidal habitats.</w:t>
      </w:r>
      <w:r w:rsidR="00C42103" w:rsidRPr="008F3665">
        <w:rPr>
          <w:rFonts w:cs="Arial"/>
          <w:szCs w:val="22"/>
        </w:rPr>
        <w:t xml:space="preserve"> </w:t>
      </w:r>
      <w:r w:rsidR="008106C5" w:rsidRPr="008F3665">
        <w:rPr>
          <w:rFonts w:cs="Arial"/>
          <w:color w:val="000000" w:themeColor="text1"/>
          <w:szCs w:val="22"/>
        </w:rPr>
        <w:t>Three</w:t>
      </w:r>
      <w:r w:rsidR="008106C5">
        <w:rPr>
          <w:rFonts w:cs="Arial"/>
          <w:color w:val="000000" w:themeColor="text1"/>
          <w:szCs w:val="22"/>
        </w:rPr>
        <w:t>-</w:t>
      </w:r>
      <w:r w:rsidR="008F3665" w:rsidRPr="008F3665">
        <w:rPr>
          <w:rFonts w:cs="Arial"/>
          <w:color w:val="000000" w:themeColor="text1"/>
          <w:szCs w:val="22"/>
        </w:rPr>
        <w:t>quarter</w:t>
      </w:r>
      <w:r w:rsidRPr="008F3665">
        <w:rPr>
          <w:rFonts w:cs="Arial"/>
          <w:color w:val="000000" w:themeColor="text1"/>
          <w:szCs w:val="22"/>
        </w:rPr>
        <w:t xml:space="preserve"> of </w:t>
      </w:r>
      <w:r w:rsidR="00C42103" w:rsidRPr="008F3665">
        <w:rPr>
          <w:rFonts w:cs="Arial"/>
          <w:color w:val="000000" w:themeColor="text1"/>
          <w:szCs w:val="22"/>
        </w:rPr>
        <w:t xml:space="preserve">Burdekin region </w:t>
      </w:r>
      <w:r w:rsidRPr="008F3665">
        <w:rPr>
          <w:rFonts w:cs="Arial"/>
          <w:color w:val="000000" w:themeColor="text1"/>
          <w:szCs w:val="22"/>
        </w:rPr>
        <w:t>sites declined in abu</w:t>
      </w:r>
      <w:r w:rsidR="00C42103" w:rsidRPr="008F3665">
        <w:rPr>
          <w:rFonts w:cs="Arial"/>
          <w:color w:val="000000" w:themeColor="text1"/>
          <w:szCs w:val="22"/>
        </w:rPr>
        <w:t>n</w:t>
      </w:r>
      <w:r w:rsidRPr="008F3665">
        <w:rPr>
          <w:rFonts w:cs="Arial"/>
          <w:color w:val="000000" w:themeColor="text1"/>
          <w:szCs w:val="22"/>
        </w:rPr>
        <w:t xml:space="preserve">dance in </w:t>
      </w:r>
      <w:r w:rsidR="00956639" w:rsidRPr="008F3665">
        <w:rPr>
          <w:rFonts w:cs="Arial"/>
          <w:color w:val="000000" w:themeColor="text1"/>
          <w:szCs w:val="22"/>
        </w:rPr>
        <w:t>2018–19</w:t>
      </w:r>
      <w:r w:rsidRPr="008F3665">
        <w:rPr>
          <w:rFonts w:cs="Arial"/>
          <w:color w:val="000000" w:themeColor="text1"/>
          <w:szCs w:val="22"/>
        </w:rPr>
        <w:t xml:space="preserve">, which was predominately at reef </w:t>
      </w:r>
      <w:r w:rsidR="008F3665" w:rsidRPr="008F3665">
        <w:rPr>
          <w:rFonts w:cs="Arial"/>
          <w:color w:val="000000" w:themeColor="text1"/>
          <w:szCs w:val="22"/>
        </w:rPr>
        <w:t>subtidal and coastal intertidal habitats.</w:t>
      </w:r>
    </w:p>
    <w:p w14:paraId="1D9C2154" w14:textId="23C9D0BF" w:rsidR="00C42103" w:rsidRPr="00D562E2" w:rsidRDefault="002F149D" w:rsidP="002F149D">
      <w:pPr>
        <w:rPr>
          <w:rFonts w:cs="Arial"/>
          <w:szCs w:val="22"/>
        </w:rPr>
      </w:pPr>
      <w:r w:rsidRPr="00D562E2">
        <w:rPr>
          <w:rFonts w:cs="Arial"/>
          <w:szCs w:val="22"/>
        </w:rPr>
        <w:t>An examination of the long</w:t>
      </w:r>
      <w:r w:rsidR="008F3665">
        <w:rPr>
          <w:rFonts w:cs="Arial"/>
          <w:szCs w:val="22"/>
        </w:rPr>
        <w:t>-</w:t>
      </w:r>
      <w:r w:rsidRPr="00D562E2">
        <w:rPr>
          <w:rFonts w:cs="Arial"/>
          <w:szCs w:val="22"/>
        </w:rPr>
        <w:t xml:space="preserve">term </w:t>
      </w:r>
      <w:r w:rsidR="007A70FE" w:rsidRPr="00D562E2">
        <w:rPr>
          <w:rFonts w:cs="Arial"/>
          <w:szCs w:val="22"/>
        </w:rPr>
        <w:t>abundances</w:t>
      </w:r>
      <w:r w:rsidRPr="00D562E2">
        <w:rPr>
          <w:rFonts w:cs="Arial"/>
          <w:szCs w:val="22"/>
        </w:rPr>
        <w:t xml:space="preserve"> across the Burdekin </w:t>
      </w:r>
      <w:r w:rsidR="00C42103" w:rsidRPr="00D562E2">
        <w:rPr>
          <w:rFonts w:cs="Arial"/>
          <w:szCs w:val="22"/>
        </w:rPr>
        <w:t>region</w:t>
      </w:r>
      <w:r w:rsidRPr="00D562E2">
        <w:rPr>
          <w:rFonts w:cs="Arial"/>
          <w:szCs w:val="22"/>
        </w:rPr>
        <w:t xml:space="preserve"> </w:t>
      </w:r>
      <w:r w:rsidR="00ED5279" w:rsidRPr="00D562E2">
        <w:rPr>
          <w:rFonts w:cs="Arial"/>
          <w:szCs w:val="22"/>
        </w:rPr>
        <w:t xml:space="preserve">indicates no significant trend, </w:t>
      </w:r>
      <w:r w:rsidR="008F3665">
        <w:rPr>
          <w:rFonts w:cs="Arial"/>
          <w:szCs w:val="22"/>
        </w:rPr>
        <w:t>although</w:t>
      </w:r>
      <w:r w:rsidR="00ED5279" w:rsidRPr="00D562E2">
        <w:rPr>
          <w:rFonts w:cs="Arial"/>
          <w:szCs w:val="22"/>
        </w:rPr>
        <w:t xml:space="preserve"> </w:t>
      </w:r>
      <w:r w:rsidR="008F3665">
        <w:rPr>
          <w:rFonts w:cs="Arial"/>
          <w:szCs w:val="22"/>
        </w:rPr>
        <w:t xml:space="preserve">significant trends were detected </w:t>
      </w:r>
      <w:r w:rsidR="00ED5279" w:rsidRPr="00D562E2">
        <w:rPr>
          <w:rFonts w:cs="Arial"/>
          <w:szCs w:val="22"/>
        </w:rPr>
        <w:t xml:space="preserve">at </w:t>
      </w:r>
      <w:r w:rsidR="008F3665">
        <w:rPr>
          <w:rFonts w:cs="Arial"/>
          <w:szCs w:val="22"/>
        </w:rPr>
        <w:t>two of the five</w:t>
      </w:r>
      <w:r w:rsidR="00ED5279" w:rsidRPr="00D562E2">
        <w:rPr>
          <w:rFonts w:cs="Arial"/>
          <w:szCs w:val="22"/>
        </w:rPr>
        <w:t xml:space="preserve"> coastal sites. </w:t>
      </w:r>
      <w:r w:rsidR="008F3665">
        <w:rPr>
          <w:rFonts w:cs="Arial"/>
          <w:szCs w:val="22"/>
        </w:rPr>
        <w:t>One site (SB2)</w:t>
      </w:r>
      <w:r w:rsidR="005D0447">
        <w:rPr>
          <w:rFonts w:cs="Arial"/>
          <w:szCs w:val="22"/>
        </w:rPr>
        <w:t>, which</w:t>
      </w:r>
      <w:r w:rsidR="008F3665">
        <w:rPr>
          <w:rFonts w:cs="Arial"/>
          <w:szCs w:val="22"/>
        </w:rPr>
        <w:t xml:space="preserve"> has been monitored for nearly two decades (since 2001), </w:t>
      </w:r>
      <w:r w:rsidR="005D0447">
        <w:rPr>
          <w:rFonts w:cs="Arial"/>
          <w:szCs w:val="22"/>
        </w:rPr>
        <w:t xml:space="preserve">showed a </w:t>
      </w:r>
      <w:r w:rsidR="008F3665">
        <w:rPr>
          <w:rFonts w:cs="Arial"/>
          <w:szCs w:val="22"/>
        </w:rPr>
        <w:t>decreas</w:t>
      </w:r>
      <w:r w:rsidR="005D0447">
        <w:rPr>
          <w:rFonts w:cs="Arial"/>
          <w:szCs w:val="22"/>
        </w:rPr>
        <w:t>ing trend (</w:t>
      </w:r>
      <w:r w:rsidR="005D0447">
        <w:rPr>
          <w:rFonts w:cs="Arial"/>
          <w:szCs w:val="22"/>
        </w:rPr>
        <w:fldChar w:fldCharType="begin"/>
      </w:r>
      <w:r w:rsidR="005D0447">
        <w:rPr>
          <w:rFonts w:cs="Arial"/>
          <w:szCs w:val="22"/>
        </w:rPr>
        <w:instrText xml:space="preserve"> REF _Ref511310045 \h </w:instrText>
      </w:r>
      <w:r w:rsidR="005D0447">
        <w:rPr>
          <w:rFonts w:cs="Arial"/>
          <w:szCs w:val="22"/>
        </w:rPr>
      </w:r>
      <w:r w:rsidR="005D0447">
        <w:rPr>
          <w:rFonts w:cs="Arial"/>
          <w:szCs w:val="22"/>
        </w:rPr>
        <w:fldChar w:fldCharType="separate"/>
      </w:r>
      <w:r w:rsidR="0067675D" w:rsidRPr="00867E8C">
        <w:rPr>
          <w:rFonts w:cs="Arial"/>
          <w:szCs w:val="22"/>
        </w:rPr>
        <w:t xml:space="preserve">Table </w:t>
      </w:r>
      <w:r w:rsidR="0067675D">
        <w:rPr>
          <w:rFonts w:cs="Arial"/>
          <w:noProof/>
          <w:szCs w:val="22"/>
        </w:rPr>
        <w:t>20</w:t>
      </w:r>
      <w:r w:rsidR="005D0447">
        <w:rPr>
          <w:rFonts w:cs="Arial"/>
          <w:szCs w:val="22"/>
        </w:rPr>
        <w:fldChar w:fldCharType="end"/>
      </w:r>
      <w:r w:rsidR="005D0447">
        <w:rPr>
          <w:rFonts w:cs="Arial"/>
          <w:szCs w:val="22"/>
        </w:rPr>
        <w:t xml:space="preserve">). </w:t>
      </w:r>
      <w:r w:rsidR="008F3665">
        <w:rPr>
          <w:rFonts w:cs="Arial"/>
          <w:szCs w:val="22"/>
        </w:rPr>
        <w:t xml:space="preserve">The other site </w:t>
      </w:r>
      <w:r w:rsidR="00ED5279" w:rsidRPr="00D562E2">
        <w:rPr>
          <w:rFonts w:cs="Arial"/>
          <w:szCs w:val="22"/>
        </w:rPr>
        <w:t>(JR2)</w:t>
      </w:r>
      <w:r w:rsidR="008F3665">
        <w:rPr>
          <w:rFonts w:cs="Arial"/>
          <w:szCs w:val="22"/>
        </w:rPr>
        <w:t>,</w:t>
      </w:r>
      <w:r w:rsidR="00ED5279" w:rsidRPr="00D562E2">
        <w:rPr>
          <w:rFonts w:cs="Arial"/>
          <w:szCs w:val="22"/>
        </w:rPr>
        <w:t xml:space="preserve"> </w:t>
      </w:r>
      <w:r w:rsidR="008F3665" w:rsidRPr="00D562E2">
        <w:rPr>
          <w:rFonts w:cs="Arial"/>
          <w:szCs w:val="22"/>
        </w:rPr>
        <w:t>near Jerona (Barratta C</w:t>
      </w:r>
      <w:r w:rsidR="00635304">
        <w:rPr>
          <w:rFonts w:cs="Arial"/>
          <w:szCs w:val="22"/>
        </w:rPr>
        <w:t>ree</w:t>
      </w:r>
      <w:r w:rsidR="008F3665" w:rsidRPr="00D562E2">
        <w:rPr>
          <w:rFonts w:cs="Arial"/>
          <w:szCs w:val="22"/>
        </w:rPr>
        <w:t>k, Bowling Green Bay)</w:t>
      </w:r>
      <w:r w:rsidR="008F3665">
        <w:rPr>
          <w:rFonts w:cs="Arial"/>
          <w:szCs w:val="22"/>
        </w:rPr>
        <w:t xml:space="preserve">, </w:t>
      </w:r>
      <w:r w:rsidR="00ED5279" w:rsidRPr="00D562E2">
        <w:rPr>
          <w:rFonts w:cs="Arial"/>
          <w:szCs w:val="22"/>
        </w:rPr>
        <w:t xml:space="preserve">has only been monitored since 2012, </w:t>
      </w:r>
      <w:r w:rsidR="005D0447">
        <w:rPr>
          <w:rFonts w:cs="Arial"/>
          <w:szCs w:val="22"/>
        </w:rPr>
        <w:t xml:space="preserve">and </w:t>
      </w:r>
      <w:r w:rsidR="005D0447" w:rsidRPr="00D562E2">
        <w:rPr>
          <w:rFonts w:cs="Arial"/>
          <w:szCs w:val="22"/>
        </w:rPr>
        <w:t>not surprising</w:t>
      </w:r>
      <w:r w:rsidR="005D0447">
        <w:rPr>
          <w:rFonts w:cs="Arial"/>
          <w:szCs w:val="22"/>
        </w:rPr>
        <w:t xml:space="preserve">ly showed </w:t>
      </w:r>
      <w:r w:rsidR="00ED5279" w:rsidRPr="00D562E2">
        <w:rPr>
          <w:rFonts w:cs="Arial"/>
          <w:szCs w:val="22"/>
        </w:rPr>
        <w:t>a significant increasing trend in abundance, as this coincides with the main recovery period after the regional losses.</w:t>
      </w:r>
    </w:p>
    <w:p w14:paraId="693AC086" w14:textId="77777777" w:rsidR="00AE3499" w:rsidRPr="00D562E2" w:rsidRDefault="00AE3499" w:rsidP="00FD7E76">
      <w:pPr>
        <w:rPr>
          <w:rFonts w:cs="Arial"/>
          <w:color w:val="000000" w:themeColor="text1"/>
          <w:szCs w:val="22"/>
        </w:rPr>
      </w:pPr>
    </w:p>
    <w:p w14:paraId="13AE8405" w14:textId="77777777" w:rsidR="00E43A54" w:rsidRPr="00D562E2" w:rsidRDefault="00024A6D" w:rsidP="00E43A54">
      <w:pPr>
        <w:keepNext/>
        <w:widowControl w:val="0"/>
        <w:jc w:val="center"/>
        <w:rPr>
          <w:rFonts w:cs="Arial"/>
          <w:color w:val="000000"/>
          <w:szCs w:val="22"/>
        </w:rPr>
      </w:pPr>
      <w:r w:rsidRPr="00D562E2">
        <w:rPr>
          <w:rFonts w:cs="Arial"/>
          <w:noProof/>
          <w:color w:val="000000"/>
          <w:szCs w:val="22"/>
          <w:lang w:eastAsia="en-AU"/>
        </w:rPr>
        <w:lastRenderedPageBreak/>
        <w:drawing>
          <wp:inline distT="0" distB="0" distL="0" distR="0" wp14:anchorId="2A80F04C" wp14:editId="18C7DF0D">
            <wp:extent cx="5735498" cy="3556538"/>
            <wp:effectExtent l="0" t="0" r="0" b="6350"/>
            <wp:docPr id="295" name="Picture 295" descr="Panel of six graphs, displayed in two by three matrix, showing seagrass percent cover measures per quadrat (sites pooled) for each habitat monitored from June 2005 to May 2019 in the Burdekin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B_cvr_GAM_Dec16.png"/>
                    <pic:cNvPicPr/>
                  </pic:nvPicPr>
                  <pic:blipFill>
                    <a:blip r:embed="rId108"/>
                    <a:stretch>
                      <a:fillRect/>
                    </a:stretch>
                  </pic:blipFill>
                  <pic:spPr>
                    <a:xfrm>
                      <a:off x="0" y="0"/>
                      <a:ext cx="5735498" cy="3556538"/>
                    </a:xfrm>
                    <a:prstGeom prst="rect">
                      <a:avLst/>
                    </a:prstGeom>
                  </pic:spPr>
                </pic:pic>
              </a:graphicData>
            </a:graphic>
          </wp:inline>
        </w:drawing>
      </w:r>
    </w:p>
    <w:p w14:paraId="17B1E8BD" w14:textId="11BE8F7D" w:rsidR="00A355AB" w:rsidRPr="00D562E2" w:rsidRDefault="00E43A54" w:rsidP="00A355AB">
      <w:pPr>
        <w:rPr>
          <w:rFonts w:cs="Arial"/>
          <w:i/>
          <w:vanish/>
          <w:szCs w:val="22"/>
          <w:specVanish/>
        </w:rPr>
      </w:pPr>
      <w:bookmarkStart w:id="445" w:name="_Ref442441725"/>
      <w:bookmarkStart w:id="446" w:name="_Toc38634159"/>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55</w:t>
      </w:r>
      <w:r w:rsidR="00C506C7" w:rsidRPr="00D562E2">
        <w:rPr>
          <w:rFonts w:cs="Arial"/>
          <w:noProof/>
          <w:szCs w:val="22"/>
        </w:rPr>
        <w:fldChar w:fldCharType="end"/>
      </w:r>
      <w:bookmarkEnd w:id="445"/>
      <w:r w:rsidRPr="00D562E2">
        <w:rPr>
          <w:rFonts w:cs="Arial"/>
          <w:szCs w:val="22"/>
        </w:rPr>
        <w:t xml:space="preserve">.  </w:t>
      </w:r>
      <w:r w:rsidR="005D0447">
        <w:rPr>
          <w:rFonts w:cs="Arial"/>
          <w:i/>
          <w:szCs w:val="22"/>
        </w:rPr>
        <w:t xml:space="preserve">Seagrass </w:t>
      </w:r>
      <w:r w:rsidR="00887319">
        <w:rPr>
          <w:rFonts w:cs="Arial"/>
          <w:i/>
          <w:szCs w:val="22"/>
        </w:rPr>
        <w:t xml:space="preserve">per cent </w:t>
      </w:r>
      <w:r w:rsidR="00A355AB" w:rsidRPr="00D562E2">
        <w:rPr>
          <w:rFonts w:cs="Arial"/>
          <w:i/>
          <w:szCs w:val="22"/>
        </w:rPr>
        <w:t xml:space="preserve">cover measures per quadrat (sites pooled) and long-term trends, for each habitat monitored in the </w:t>
      </w:r>
      <w:r w:rsidR="00A355AB" w:rsidRPr="00D562E2">
        <w:rPr>
          <w:rFonts w:cs="Arial"/>
          <w:i/>
          <w:color w:val="000000"/>
          <w:szCs w:val="22"/>
        </w:rPr>
        <w:t xml:space="preserve">Burdekin NRM </w:t>
      </w:r>
      <w:r w:rsidR="00A355AB" w:rsidRPr="00D562E2">
        <w:rPr>
          <w:rFonts w:cs="Arial"/>
          <w:i/>
          <w:szCs w:val="22"/>
        </w:rPr>
        <w:t>region from 2001 to 201</w:t>
      </w:r>
      <w:r w:rsidR="0070772A" w:rsidRPr="00D562E2">
        <w:rPr>
          <w:rFonts w:cs="Arial"/>
          <w:i/>
          <w:szCs w:val="22"/>
        </w:rPr>
        <w:t>9</w:t>
      </w:r>
      <w:r w:rsidR="00A355AB" w:rsidRPr="00D562E2">
        <w:rPr>
          <w:rFonts w:cs="Arial"/>
          <w:i/>
          <w:szCs w:val="22"/>
        </w:rPr>
        <w:t>.</w:t>
      </w:r>
      <w:bookmarkEnd w:id="446"/>
    </w:p>
    <w:p w14:paraId="349504C8" w14:textId="1F3A52EF" w:rsidR="00E43A54" w:rsidRPr="00D562E2" w:rsidRDefault="00A355AB" w:rsidP="00A355AB">
      <w:pPr>
        <w:rPr>
          <w:rFonts w:cs="Arial"/>
          <w:color w:val="000000"/>
          <w:szCs w:val="22"/>
        </w:rPr>
      </w:pPr>
      <w:r w:rsidRPr="00D562E2">
        <w:rPr>
          <w:rFonts w:cs="Arial"/>
          <w:i/>
          <w:szCs w:val="22"/>
          <w:lang w:val="en-GB"/>
        </w:rPr>
        <w:t xml:space="preserve"> Whisker plots (top) show th</w:t>
      </w:r>
      <w:r w:rsidRPr="00D562E2">
        <w:rPr>
          <w:rFonts w:cs="Arial"/>
          <w:i/>
          <w:szCs w:val="22"/>
        </w:rPr>
        <w:t>e box representing the interquartile range of values, where the boundary of the box closest to zero indicates the 25</w:t>
      </w:r>
      <w:r w:rsidRPr="00D562E2">
        <w:rPr>
          <w:rFonts w:cs="Arial"/>
          <w:i/>
          <w:szCs w:val="22"/>
          <w:vertAlign w:val="superscript"/>
        </w:rPr>
        <w:t>th</w:t>
      </w:r>
      <w:r w:rsidRPr="00D562E2">
        <w:rPr>
          <w:rFonts w:cs="Arial"/>
          <w:i/>
          <w:szCs w:val="22"/>
        </w:rPr>
        <w:t xml:space="preserve"> percentile, a line within the box marks the median, and the boundary of the box farthest from zero indicates the 75</w:t>
      </w:r>
      <w:r w:rsidRPr="00D562E2">
        <w:rPr>
          <w:rFonts w:cs="Arial"/>
          <w:i/>
          <w:szCs w:val="22"/>
          <w:vertAlign w:val="superscript"/>
        </w:rPr>
        <w:t>th</w:t>
      </w:r>
      <w:r w:rsidRPr="00D562E2">
        <w:rPr>
          <w:rFonts w:cs="Arial"/>
          <w:i/>
          <w:szCs w:val="22"/>
        </w:rPr>
        <w:t xml:space="preserve"> percentile. Whiskers (error bars) above and below the box indicate the 90</w:t>
      </w:r>
      <w:r w:rsidRPr="00D562E2">
        <w:rPr>
          <w:rFonts w:cs="Arial"/>
          <w:i/>
          <w:szCs w:val="22"/>
          <w:vertAlign w:val="superscript"/>
        </w:rPr>
        <w:t>th</w:t>
      </w:r>
      <w:r w:rsidRPr="00D562E2">
        <w:rPr>
          <w:rFonts w:cs="Arial"/>
          <w:i/>
          <w:szCs w:val="22"/>
        </w:rPr>
        <w:t xml:space="preserve"> and 10</w:t>
      </w:r>
      <w:r w:rsidRPr="00D562E2">
        <w:rPr>
          <w:rFonts w:cs="Arial"/>
          <w:i/>
          <w:szCs w:val="22"/>
          <w:vertAlign w:val="superscript"/>
        </w:rPr>
        <w:t>th</w:t>
      </w:r>
      <w:r w:rsidRPr="00D562E2">
        <w:rPr>
          <w:rFonts w:cs="Arial"/>
          <w:i/>
          <w:szCs w:val="22"/>
        </w:rPr>
        <w:t xml:space="preserve"> percentiles, and the dots represent outlying points.</w:t>
      </w:r>
      <w:r w:rsidRPr="00D562E2">
        <w:rPr>
          <w:rFonts w:cs="Arial"/>
          <w:i/>
          <w:szCs w:val="22"/>
          <w:lang w:val="en-GB"/>
        </w:rPr>
        <w:t xml:space="preserve"> </w:t>
      </w:r>
      <w:r w:rsidRPr="00D562E2">
        <w:rPr>
          <w:rFonts w:cs="Arial"/>
          <w:i/>
          <w:szCs w:val="22"/>
        </w:rPr>
        <w:t>GAMM plots (bottom), show trends for each habitat and coloured lines represent individual site trends</w:t>
      </w:r>
      <w:r w:rsidR="00A062EF" w:rsidRPr="00D562E2">
        <w:rPr>
          <w:rFonts w:cs="Arial"/>
          <w:i/>
          <w:szCs w:val="22"/>
        </w:rPr>
        <w:t>.</w:t>
      </w:r>
    </w:p>
    <w:p w14:paraId="53E546F2" w14:textId="77777777" w:rsidR="00024A6D" w:rsidRPr="00D562E2" w:rsidRDefault="00024A6D" w:rsidP="00FD7E76">
      <w:pPr>
        <w:rPr>
          <w:rFonts w:cs="Arial"/>
          <w:szCs w:val="22"/>
        </w:rPr>
      </w:pPr>
    </w:p>
    <w:p w14:paraId="7D050198" w14:textId="744A536F" w:rsidR="000A5F0A" w:rsidRPr="00D562E2" w:rsidRDefault="00E4370B" w:rsidP="00FD7E76">
      <w:pPr>
        <w:rPr>
          <w:rFonts w:cs="Arial"/>
          <w:iCs/>
          <w:szCs w:val="22"/>
        </w:rPr>
      </w:pPr>
      <w:r w:rsidRPr="00D562E2">
        <w:rPr>
          <w:rFonts w:cs="Arial"/>
          <w:szCs w:val="22"/>
        </w:rPr>
        <w:t>This year, as it has been</w:t>
      </w:r>
      <w:r w:rsidR="001446FA" w:rsidRPr="00D562E2">
        <w:rPr>
          <w:rFonts w:cs="Arial"/>
          <w:szCs w:val="22"/>
        </w:rPr>
        <w:t xml:space="preserve"> </w:t>
      </w:r>
      <w:r w:rsidRPr="00D562E2">
        <w:rPr>
          <w:rFonts w:cs="Arial"/>
          <w:szCs w:val="22"/>
        </w:rPr>
        <w:t>since 2014</w:t>
      </w:r>
      <w:r w:rsidR="00A675DA" w:rsidRPr="00D562E2">
        <w:rPr>
          <w:rFonts w:cs="Arial"/>
          <w:szCs w:val="22"/>
        </w:rPr>
        <w:t>–</w:t>
      </w:r>
      <w:r w:rsidR="002215CF" w:rsidRPr="00D562E2">
        <w:rPr>
          <w:rFonts w:cs="Arial"/>
          <w:szCs w:val="22"/>
        </w:rPr>
        <w:t>20</w:t>
      </w:r>
      <w:r w:rsidRPr="00D562E2">
        <w:rPr>
          <w:rFonts w:cs="Arial"/>
          <w:szCs w:val="22"/>
        </w:rPr>
        <w:t xml:space="preserve">15, </w:t>
      </w:r>
      <w:r w:rsidR="001446FA" w:rsidRPr="00D562E2">
        <w:rPr>
          <w:rFonts w:cs="Arial"/>
          <w:szCs w:val="22"/>
        </w:rPr>
        <w:t>a low</w:t>
      </w:r>
      <w:r w:rsidR="000A5F0A" w:rsidRPr="00D562E2">
        <w:rPr>
          <w:rFonts w:cs="Arial"/>
          <w:szCs w:val="22"/>
        </w:rPr>
        <w:t xml:space="preserve"> proportion of </w:t>
      </w:r>
      <w:r w:rsidR="00B65283" w:rsidRPr="00D562E2">
        <w:rPr>
          <w:rFonts w:cs="Arial"/>
          <w:szCs w:val="22"/>
        </w:rPr>
        <w:t xml:space="preserve">species displaying </w:t>
      </w:r>
      <w:r w:rsidR="000A5F0A" w:rsidRPr="00D562E2">
        <w:rPr>
          <w:rFonts w:cs="Arial"/>
          <w:szCs w:val="22"/>
        </w:rPr>
        <w:t xml:space="preserve">colonising </w:t>
      </w:r>
      <w:r w:rsidR="00B65283" w:rsidRPr="00D562E2">
        <w:rPr>
          <w:rFonts w:cs="Arial"/>
          <w:szCs w:val="22"/>
        </w:rPr>
        <w:t xml:space="preserve">traits </w:t>
      </w:r>
      <w:r w:rsidRPr="00D562E2">
        <w:rPr>
          <w:rFonts w:cs="Arial"/>
          <w:szCs w:val="22"/>
        </w:rPr>
        <w:t>are present</w:t>
      </w:r>
      <w:r w:rsidR="00995409" w:rsidRPr="00D562E2">
        <w:rPr>
          <w:rFonts w:cs="Arial"/>
          <w:szCs w:val="22"/>
        </w:rPr>
        <w:t xml:space="preserve"> </w:t>
      </w:r>
      <w:r w:rsidR="001446FA" w:rsidRPr="00D562E2">
        <w:rPr>
          <w:rFonts w:cs="Arial"/>
          <w:szCs w:val="22"/>
        </w:rPr>
        <w:t>in all habitats</w:t>
      </w:r>
      <w:r w:rsidR="001456FD" w:rsidRPr="00D562E2">
        <w:rPr>
          <w:rFonts w:cs="Arial"/>
          <w:szCs w:val="22"/>
        </w:rPr>
        <w:t xml:space="preserve"> (e.g. </w:t>
      </w:r>
      <w:r w:rsidR="001456FD" w:rsidRPr="00D562E2">
        <w:rPr>
          <w:rFonts w:cs="Arial"/>
          <w:i/>
          <w:szCs w:val="22"/>
        </w:rPr>
        <w:t>Halophila ovalis</w:t>
      </w:r>
      <w:r w:rsidR="001456FD" w:rsidRPr="00D562E2">
        <w:rPr>
          <w:rFonts w:cs="Arial"/>
          <w:szCs w:val="22"/>
        </w:rPr>
        <w:t>)</w:t>
      </w:r>
      <w:r w:rsidR="001446FA" w:rsidRPr="00D562E2">
        <w:rPr>
          <w:rFonts w:cs="Arial"/>
          <w:szCs w:val="22"/>
        </w:rPr>
        <w:t>. I</w:t>
      </w:r>
      <w:r w:rsidR="000A5F0A" w:rsidRPr="00D562E2">
        <w:rPr>
          <w:rFonts w:cs="Arial"/>
          <w:szCs w:val="22"/>
        </w:rPr>
        <w:t xml:space="preserve">nstead </w:t>
      </w:r>
      <w:r w:rsidR="001446FA" w:rsidRPr="00D562E2">
        <w:rPr>
          <w:rFonts w:cs="Arial"/>
          <w:szCs w:val="22"/>
        </w:rPr>
        <w:t>these habitats are</w:t>
      </w:r>
      <w:r w:rsidR="000A5F0A" w:rsidRPr="00D562E2">
        <w:rPr>
          <w:rFonts w:cs="Arial"/>
          <w:szCs w:val="22"/>
        </w:rPr>
        <w:t xml:space="preserve"> dominated by opportunistic species (</w:t>
      </w:r>
      <w:r w:rsidR="000A5F0A" w:rsidRPr="00D562E2">
        <w:rPr>
          <w:rFonts w:cs="Arial"/>
          <w:i/>
          <w:szCs w:val="22"/>
        </w:rPr>
        <w:t>H. uninervis, Z. muelleri, C. serrulata</w:t>
      </w:r>
      <w:r w:rsidR="000A5F0A" w:rsidRPr="00D562E2">
        <w:rPr>
          <w:rFonts w:cs="Arial"/>
          <w:szCs w:val="22"/>
        </w:rPr>
        <w:t>) in coastal and reef sites or persistent species in intertidal reef habitat (</w:t>
      </w:r>
      <w:r w:rsidR="000A5F0A" w:rsidRPr="00D562E2">
        <w:rPr>
          <w:rFonts w:cs="Arial"/>
          <w:i/>
          <w:szCs w:val="22"/>
        </w:rPr>
        <w:t>T. hemprichii</w:t>
      </w:r>
      <w:r w:rsidR="00327C5C" w:rsidRPr="00D562E2">
        <w:rPr>
          <w:rFonts w:cs="Arial"/>
          <w:szCs w:val="22"/>
        </w:rPr>
        <w:t>)</w:t>
      </w:r>
      <w:r w:rsidR="000A5F0A" w:rsidRPr="00D562E2">
        <w:rPr>
          <w:rFonts w:cs="Arial"/>
          <w:szCs w:val="22"/>
        </w:rPr>
        <w:t>. Opportunistic and persistent foundation species also have a capacity to resist stress (survive, through reallocation of resources) caused by acute disturbances (</w:t>
      </w:r>
      <w:hyperlink w:anchor="_ENREF_39" w:tooltip="Collier, 2012 #9368" w:history="1">
        <w:r w:rsidR="009A7AB4" w:rsidRPr="00D562E2">
          <w:rPr>
            <w:rFonts w:cs="Arial"/>
            <w:szCs w:val="22"/>
          </w:rPr>
          <w:fldChar w:fldCharType="begin"/>
        </w:r>
        <w:r w:rsidR="009A7AB4">
          <w:rPr>
            <w:rFonts w:cs="Arial"/>
            <w:szCs w:val="22"/>
          </w:rPr>
          <w:instrText xml:space="preserve"> ADDIN EN.CITE &lt;EndNote&gt;&lt;Cite&gt;&lt;Author&gt;Collier&lt;/Author&gt;&lt;Year&gt;2012&lt;/Year&gt;&lt;RecNum&gt;9368&lt;/RecNum&gt;&lt;DisplayText&gt;Collier&lt;style face="italic"&gt; et al.&lt;/style&gt; 2012b&lt;/DisplayText&gt;&lt;record&gt;&lt;rec-number&gt;9368&lt;/rec-number&gt;&lt;foreign-keys&gt;&lt;key app="EN" db-id="0eve55x9y5vfd6e9dacxtew4eatve2dzds9a" timestamp="1375052483"&gt;9368&lt;/key&gt;&lt;/foreign-keys&gt;&lt;ref-type name="Journal Article"&gt;17&lt;/ref-type&gt;&lt;contributors&gt;&lt;authors&gt;&lt;author&gt;Collier, Catherine J.&lt;/author&gt;&lt;author&gt;Waycott, Michelle&lt;/author&gt;&lt;author&gt;Ospina, Ana Giraldo&lt;/author&gt;&lt;/authors&gt;&lt;/contributors&gt;&lt;titles&gt;&lt;title&gt;Responses of four Indo-West Pacific seagrass species to shading&lt;/title&gt;&lt;secondary-title&gt;Marine Pollution Bulletin&lt;/secondary-title&gt;&lt;/titles&gt;&lt;periodical&gt;&lt;full-title&gt;Marine Pollution Bulletin&lt;/full-title&gt;&lt;/periodical&gt;&lt;pages&gt;342-354&lt;/pages&gt;&lt;volume&gt;65&lt;/volume&gt;&lt;number&gt;4-9&lt;/number&gt;&lt;dates&gt;&lt;year&gt;2012&lt;/year&gt;&lt;pub-dates&gt;&lt;date&gt;2012&lt;/date&gt;&lt;/pub-dates&gt;&lt;/dates&gt;&lt;isbn&gt;0025-326X&lt;/isbn&gt;&lt;accession-num&gt;WOS:000306249100023&lt;/accession-num&gt;&lt;urls&gt;&lt;related-urls&gt;&lt;url&gt;&amp;lt;Go to ISI&amp;gt;://WOS:000306249100023&lt;/url&gt;&lt;/related-urls&gt;&lt;/urls&gt;&lt;electronic-resource-num&gt;10.1016/j.marpolbul.2011.06.017&lt;/electronic-resource-num&gt;&lt;/record&gt;&lt;/Cite&gt;&lt;/EndNote&gt;</w:instrText>
        </w:r>
        <w:r w:rsidR="009A7AB4" w:rsidRPr="00D562E2">
          <w:rPr>
            <w:rFonts w:cs="Arial"/>
            <w:szCs w:val="22"/>
          </w:rPr>
          <w:fldChar w:fldCharType="separate"/>
        </w:r>
        <w:r w:rsidR="009A7AB4">
          <w:rPr>
            <w:rFonts w:cs="Arial"/>
            <w:noProof/>
            <w:szCs w:val="22"/>
          </w:rPr>
          <w:t>Collier</w:t>
        </w:r>
        <w:r w:rsidR="009A7AB4" w:rsidRPr="004A409C">
          <w:rPr>
            <w:rFonts w:cs="Arial"/>
            <w:i/>
            <w:noProof/>
            <w:szCs w:val="22"/>
          </w:rPr>
          <w:t xml:space="preserve"> et al.</w:t>
        </w:r>
        <w:r w:rsidR="009A7AB4">
          <w:rPr>
            <w:rFonts w:cs="Arial"/>
            <w:noProof/>
            <w:szCs w:val="22"/>
          </w:rPr>
          <w:t xml:space="preserve"> 2012b</w:t>
        </w:r>
        <w:r w:rsidR="009A7AB4" w:rsidRPr="00D562E2">
          <w:rPr>
            <w:rFonts w:cs="Arial"/>
            <w:szCs w:val="22"/>
          </w:rPr>
          <w:fldChar w:fldCharType="end"/>
        </w:r>
      </w:hyperlink>
      <w:r w:rsidR="000A5F0A" w:rsidRPr="00D562E2">
        <w:rPr>
          <w:rFonts w:cs="Arial"/>
          <w:szCs w:val="22"/>
        </w:rPr>
        <w:t xml:space="preserve">), and therefore, </w:t>
      </w:r>
      <w:r w:rsidR="000A5F0A" w:rsidRPr="00D562E2">
        <w:rPr>
          <w:rFonts w:cs="Arial"/>
          <w:szCs w:val="22"/>
        </w:rPr>
        <w:lastRenderedPageBreak/>
        <w:t>current species composition provides greater overall resilie</w:t>
      </w:r>
      <w:r w:rsidR="00F96B43" w:rsidRPr="00D562E2">
        <w:rPr>
          <w:rFonts w:cs="Arial"/>
          <w:szCs w:val="22"/>
        </w:rPr>
        <w:t>nce in Burdekin meadows.</w:t>
      </w:r>
      <w:r w:rsidR="00995409" w:rsidRPr="00D562E2">
        <w:rPr>
          <w:rFonts w:cs="Arial"/>
          <w:szCs w:val="22"/>
        </w:rPr>
        <w:t xml:space="preserve"> However, following on from seagrass loss observed during this reporting period, there may be </w:t>
      </w:r>
      <w:r w:rsidR="003371EC" w:rsidRPr="00D562E2">
        <w:rPr>
          <w:rFonts w:cs="Arial"/>
          <w:szCs w:val="22"/>
        </w:rPr>
        <w:t>an</w:t>
      </w:r>
      <w:r w:rsidR="00995409" w:rsidRPr="00D562E2">
        <w:rPr>
          <w:rFonts w:cs="Arial"/>
          <w:szCs w:val="22"/>
        </w:rPr>
        <w:t xml:space="preserve"> increase in the proportion of colonising species during future surveys. </w:t>
      </w:r>
    </w:p>
    <w:p w14:paraId="441B0E04" w14:textId="77777777" w:rsidR="00270034" w:rsidRPr="00D562E2" w:rsidRDefault="00C83356" w:rsidP="000F45DC">
      <w:pPr>
        <w:keepNext/>
        <w:widowControl w:val="0"/>
        <w:jc w:val="center"/>
        <w:rPr>
          <w:rFonts w:cs="Arial"/>
          <w:noProof/>
          <w:color w:val="000000"/>
          <w:szCs w:val="22"/>
          <w:lang w:eastAsia="en-AU"/>
        </w:rPr>
      </w:pPr>
      <w:r w:rsidRPr="00D562E2">
        <w:rPr>
          <w:rFonts w:cs="Arial"/>
          <w:noProof/>
          <w:color w:val="000000"/>
          <w:szCs w:val="22"/>
          <w:lang w:eastAsia="en-AU"/>
        </w:rPr>
        <w:drawing>
          <wp:inline distT="0" distB="0" distL="0" distR="0" wp14:anchorId="2E06EB79" wp14:editId="3EC9CFA6">
            <wp:extent cx="5002105" cy="1786466"/>
            <wp:effectExtent l="0" t="0" r="8255" b="4445"/>
            <wp:docPr id="298" name="Picture 298" descr="Panel of three graphs showing proportion of total seagrass abundance composed of species displaying colonising traits (e.g. Halophila ovalis) in each inshore seagrass habitat (sites pooled) in the Burdekin NRM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B_colonising_2016.png"/>
                    <pic:cNvPicPr/>
                  </pic:nvPicPr>
                  <pic:blipFill>
                    <a:blip r:embed="rId109"/>
                    <a:stretch>
                      <a:fillRect/>
                    </a:stretch>
                  </pic:blipFill>
                  <pic:spPr>
                    <a:xfrm>
                      <a:off x="0" y="0"/>
                      <a:ext cx="5048854" cy="1803162"/>
                    </a:xfrm>
                    <a:prstGeom prst="rect">
                      <a:avLst/>
                    </a:prstGeom>
                  </pic:spPr>
                </pic:pic>
              </a:graphicData>
            </a:graphic>
          </wp:inline>
        </w:drawing>
      </w:r>
    </w:p>
    <w:p w14:paraId="5CF59B93" w14:textId="3D15E188" w:rsidR="00B910F2" w:rsidRPr="00D562E2" w:rsidRDefault="00BC6300" w:rsidP="00B910F2">
      <w:pPr>
        <w:rPr>
          <w:rFonts w:cs="Arial"/>
          <w:i/>
          <w:vanish/>
          <w:szCs w:val="22"/>
          <w:specVanish/>
        </w:rPr>
      </w:pPr>
      <w:bookmarkStart w:id="447" w:name="_Ref380429833"/>
      <w:bookmarkStart w:id="448" w:name="_Toc431493858"/>
      <w:bookmarkStart w:id="449" w:name="_Toc38634160"/>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56</w:t>
      </w:r>
      <w:r w:rsidR="00C506C7" w:rsidRPr="00D562E2">
        <w:rPr>
          <w:rFonts w:cs="Arial"/>
          <w:noProof/>
          <w:szCs w:val="22"/>
        </w:rPr>
        <w:fldChar w:fldCharType="end"/>
      </w:r>
      <w:bookmarkEnd w:id="447"/>
      <w:r w:rsidRPr="00D562E2">
        <w:rPr>
          <w:rFonts w:cs="Arial"/>
          <w:szCs w:val="22"/>
        </w:rPr>
        <w:t xml:space="preserve">. </w:t>
      </w:r>
      <w:r w:rsidRPr="00D562E2">
        <w:rPr>
          <w:rFonts w:cs="Arial"/>
          <w:i/>
          <w:szCs w:val="22"/>
        </w:rPr>
        <w:t xml:space="preserve">Proportion of seagrass abundance composed of </w:t>
      </w:r>
      <w:r w:rsidR="00270034" w:rsidRPr="00D562E2">
        <w:rPr>
          <w:rFonts w:cs="Arial"/>
          <w:i/>
          <w:szCs w:val="22"/>
        </w:rPr>
        <w:t>colonising</w:t>
      </w:r>
      <w:r w:rsidRPr="00D562E2">
        <w:rPr>
          <w:rFonts w:cs="Arial"/>
          <w:i/>
          <w:szCs w:val="22"/>
        </w:rPr>
        <w:t xml:space="preserve"> species</w:t>
      </w:r>
      <w:r w:rsidR="00B910F2" w:rsidRPr="00D562E2">
        <w:rPr>
          <w:rFonts w:cs="Arial"/>
          <w:i/>
          <w:szCs w:val="22"/>
        </w:rPr>
        <w:t xml:space="preserve"> at inshore habitats in the Burdekin region, 2001</w:t>
      </w:r>
      <w:r w:rsidR="00A675DA" w:rsidRPr="00D562E2">
        <w:rPr>
          <w:rFonts w:cs="Arial"/>
          <w:i/>
          <w:szCs w:val="22"/>
        </w:rPr>
        <w:t>–</w:t>
      </w:r>
      <w:r w:rsidR="00B910F2" w:rsidRPr="00D562E2">
        <w:rPr>
          <w:rFonts w:cs="Arial"/>
          <w:i/>
          <w:szCs w:val="22"/>
        </w:rPr>
        <w:t>201</w:t>
      </w:r>
      <w:r w:rsidR="0070772A" w:rsidRPr="00D562E2">
        <w:rPr>
          <w:rFonts w:cs="Arial"/>
          <w:i/>
          <w:szCs w:val="22"/>
        </w:rPr>
        <w:t>9</w:t>
      </w:r>
      <w:r w:rsidRPr="00D562E2">
        <w:rPr>
          <w:rFonts w:cs="Arial"/>
          <w:i/>
          <w:szCs w:val="22"/>
        </w:rPr>
        <w:t>.</w:t>
      </w:r>
      <w:bookmarkEnd w:id="448"/>
      <w:bookmarkEnd w:id="449"/>
      <w:r w:rsidRPr="00D562E2">
        <w:rPr>
          <w:rFonts w:cs="Arial"/>
          <w:i/>
          <w:szCs w:val="22"/>
        </w:rPr>
        <w:t xml:space="preserve"> </w:t>
      </w:r>
    </w:p>
    <w:p w14:paraId="555E345D" w14:textId="4D650A8B" w:rsidR="00B910F2" w:rsidRPr="00D562E2" w:rsidRDefault="00BC6300" w:rsidP="00B910F2">
      <w:pPr>
        <w:rPr>
          <w:rFonts w:cs="Arial"/>
          <w:color w:val="000000"/>
          <w:szCs w:val="22"/>
        </w:rPr>
      </w:pPr>
      <w:r w:rsidRPr="00D562E2">
        <w:rPr>
          <w:rFonts w:cs="Arial"/>
          <w:i/>
          <w:szCs w:val="22"/>
        </w:rPr>
        <w:t xml:space="preserve">Grey area represents </w:t>
      </w:r>
      <w:r w:rsidR="003158FC" w:rsidRPr="00D562E2">
        <w:rPr>
          <w:rFonts w:cs="Arial"/>
          <w:i/>
          <w:szCs w:val="22"/>
        </w:rPr>
        <w:t>Reef</w:t>
      </w:r>
      <w:r w:rsidRPr="00D562E2">
        <w:rPr>
          <w:rFonts w:cs="Arial"/>
          <w:i/>
          <w:szCs w:val="22"/>
        </w:rPr>
        <w:t xml:space="preserve"> long-term average proportion of </w:t>
      </w:r>
      <w:r w:rsidR="00270034" w:rsidRPr="00D562E2">
        <w:rPr>
          <w:rFonts w:cs="Arial"/>
          <w:i/>
          <w:color w:val="000000"/>
          <w:szCs w:val="22"/>
        </w:rPr>
        <w:t>colonising</w:t>
      </w:r>
      <w:r w:rsidRPr="00D562E2">
        <w:rPr>
          <w:rFonts w:cs="Arial"/>
          <w:i/>
          <w:color w:val="000000"/>
          <w:szCs w:val="22"/>
        </w:rPr>
        <w:t xml:space="preserve"> </w:t>
      </w:r>
      <w:r w:rsidR="00E207CE" w:rsidRPr="00D562E2">
        <w:rPr>
          <w:rFonts w:cs="Arial"/>
          <w:i/>
          <w:color w:val="000000"/>
          <w:szCs w:val="22"/>
        </w:rPr>
        <w:t xml:space="preserve">species </w:t>
      </w:r>
      <w:r w:rsidRPr="00D562E2">
        <w:rPr>
          <w:rFonts w:cs="Arial"/>
          <w:i/>
          <w:color w:val="000000"/>
          <w:szCs w:val="22"/>
        </w:rPr>
        <w:t>for each habitat type.</w:t>
      </w:r>
      <w:r w:rsidR="00B910F2" w:rsidRPr="00D562E2">
        <w:rPr>
          <w:rFonts w:cs="Arial"/>
          <w:color w:val="000000"/>
          <w:szCs w:val="22"/>
        </w:rPr>
        <w:t xml:space="preserve"> </w:t>
      </w:r>
    </w:p>
    <w:p w14:paraId="1122F95F" w14:textId="02B2AEE1" w:rsidR="00E255DB" w:rsidRPr="00D562E2" w:rsidRDefault="00F96B43" w:rsidP="00034AD4">
      <w:pPr>
        <w:rPr>
          <w:rFonts w:cs="Arial"/>
          <w:szCs w:val="22"/>
          <w:lang w:val="en-US"/>
        </w:rPr>
      </w:pPr>
      <w:r w:rsidRPr="00D562E2">
        <w:rPr>
          <w:rFonts w:cs="Arial"/>
          <w:szCs w:val="22"/>
          <w:lang w:val="en-GB"/>
        </w:rPr>
        <w:t xml:space="preserve">Seagrass meadow extent </w:t>
      </w:r>
      <w:r w:rsidR="00995409" w:rsidRPr="00D562E2">
        <w:rPr>
          <w:rFonts w:cs="Arial"/>
          <w:szCs w:val="22"/>
          <w:lang w:val="en-GB"/>
        </w:rPr>
        <w:t>declined in all habitat types in 2018</w:t>
      </w:r>
      <w:r w:rsidR="00995409" w:rsidRPr="00D562E2">
        <w:rPr>
          <w:rFonts w:cs="Arial"/>
          <w:szCs w:val="22"/>
          <w:lang w:val="en-US"/>
        </w:rPr>
        <w:t>–</w:t>
      </w:r>
      <w:r w:rsidR="00995409" w:rsidRPr="00D562E2">
        <w:rPr>
          <w:rFonts w:cs="Arial"/>
          <w:szCs w:val="22"/>
          <w:lang w:val="en-GB"/>
        </w:rPr>
        <w:t>19</w:t>
      </w:r>
      <w:r w:rsidR="00A365DD" w:rsidRPr="00D562E2">
        <w:rPr>
          <w:rFonts w:cs="Arial"/>
          <w:szCs w:val="22"/>
          <w:lang w:val="en-GB"/>
        </w:rPr>
        <w:t xml:space="preserve"> (</w:t>
      </w:r>
      <w:r w:rsidR="00A365DD" w:rsidRPr="00D562E2">
        <w:rPr>
          <w:rFonts w:cs="Arial"/>
          <w:szCs w:val="22"/>
          <w:lang w:val="en-GB"/>
        </w:rPr>
        <w:fldChar w:fldCharType="begin"/>
      </w:r>
      <w:r w:rsidR="00A365DD" w:rsidRPr="00D562E2">
        <w:rPr>
          <w:rFonts w:cs="Arial"/>
          <w:szCs w:val="22"/>
          <w:lang w:val="en-GB"/>
        </w:rPr>
        <w:instrText xml:space="preserve"> REF _Ref179449820 \h  \* MERGEFORMAT </w:instrText>
      </w:r>
      <w:r w:rsidR="00A365DD" w:rsidRPr="00D562E2">
        <w:rPr>
          <w:rFonts w:cs="Arial"/>
          <w:szCs w:val="22"/>
          <w:lang w:val="en-GB"/>
        </w:rPr>
      </w:r>
      <w:r w:rsidR="00A365DD"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57</w:t>
      </w:r>
      <w:r w:rsidR="00A365DD" w:rsidRPr="00D562E2">
        <w:rPr>
          <w:rFonts w:cs="Arial"/>
          <w:szCs w:val="22"/>
          <w:lang w:val="en-GB"/>
        </w:rPr>
        <w:fldChar w:fldCharType="end"/>
      </w:r>
      <w:r w:rsidR="00A365DD" w:rsidRPr="00D562E2">
        <w:rPr>
          <w:rFonts w:cs="Arial"/>
          <w:szCs w:val="22"/>
          <w:lang w:val="en-GB"/>
        </w:rPr>
        <w:t>)</w:t>
      </w:r>
      <w:r w:rsidR="00995409" w:rsidRPr="00D562E2">
        <w:rPr>
          <w:rFonts w:cs="Arial"/>
          <w:szCs w:val="22"/>
          <w:lang w:val="en-GB"/>
        </w:rPr>
        <w:t xml:space="preserve">. </w:t>
      </w:r>
      <w:r w:rsidR="001A578F" w:rsidRPr="00D562E2">
        <w:rPr>
          <w:rFonts w:cs="Arial"/>
          <w:szCs w:val="22"/>
          <w:lang w:val="en-GB"/>
        </w:rPr>
        <w:t xml:space="preserve">This follows </w:t>
      </w:r>
      <w:r w:rsidR="00A365DD" w:rsidRPr="00D562E2">
        <w:rPr>
          <w:rFonts w:cs="Arial"/>
          <w:szCs w:val="22"/>
          <w:lang w:val="en-GB"/>
        </w:rPr>
        <w:t xml:space="preserve">small </w:t>
      </w:r>
      <w:r w:rsidR="001A578F" w:rsidRPr="00D562E2">
        <w:rPr>
          <w:rFonts w:cs="Arial"/>
          <w:szCs w:val="22"/>
          <w:lang w:val="en-GB"/>
        </w:rPr>
        <w:t xml:space="preserve">declines in intertidal coastal and subtidal reef habitats </w:t>
      </w:r>
      <w:r w:rsidR="00A365DD" w:rsidRPr="00D562E2">
        <w:rPr>
          <w:rFonts w:cs="Arial"/>
          <w:szCs w:val="22"/>
          <w:lang w:val="en-GB"/>
        </w:rPr>
        <w:t xml:space="preserve">since 2017. </w:t>
      </w:r>
      <w:r w:rsidR="00E85003" w:rsidRPr="00D562E2">
        <w:rPr>
          <w:rFonts w:cs="Arial"/>
          <w:szCs w:val="22"/>
          <w:lang w:val="en-US"/>
        </w:rPr>
        <w:t xml:space="preserve">In the </w:t>
      </w:r>
      <w:r w:rsidR="005132EF" w:rsidRPr="00D562E2">
        <w:rPr>
          <w:rFonts w:cs="Arial"/>
          <w:szCs w:val="22"/>
          <w:lang w:val="en-US"/>
        </w:rPr>
        <w:t>two to three years</w:t>
      </w:r>
      <w:r w:rsidR="00E85003" w:rsidRPr="00D562E2">
        <w:rPr>
          <w:rFonts w:cs="Arial"/>
          <w:szCs w:val="22"/>
          <w:lang w:val="en-US"/>
        </w:rPr>
        <w:t xml:space="preserve"> prior to 2011</w:t>
      </w:r>
      <w:r w:rsidR="005132EF" w:rsidRPr="00D562E2">
        <w:rPr>
          <w:rFonts w:cs="Arial"/>
          <w:szCs w:val="22"/>
          <w:lang w:val="en-US"/>
        </w:rPr>
        <w:t>, significant changes occurred across the region with all seagrass meadows reducing in size and changing in landscape from continuous, to patchy, to isolated patches and finally to isolated shoots with the loss of meadow cohesion (</w:t>
      </w:r>
      <w:r w:rsidR="00E85003" w:rsidRPr="00D562E2">
        <w:rPr>
          <w:rFonts w:cs="Arial"/>
          <w:szCs w:val="22"/>
        </w:rPr>
        <w:fldChar w:fldCharType="begin"/>
      </w:r>
      <w:r w:rsidR="00E85003" w:rsidRPr="00D562E2">
        <w:rPr>
          <w:rFonts w:cs="Arial"/>
          <w:szCs w:val="22"/>
          <w:lang w:val="en-US"/>
        </w:rPr>
        <w:instrText xml:space="preserve"> REF _Ref179449820 \h </w:instrText>
      </w:r>
      <w:r w:rsidR="00E85003" w:rsidRPr="00D562E2">
        <w:rPr>
          <w:rFonts w:cs="Arial"/>
          <w:szCs w:val="22"/>
        </w:rPr>
        <w:instrText xml:space="preserve"> \* MERGEFORMAT </w:instrText>
      </w:r>
      <w:r w:rsidR="00E85003" w:rsidRPr="00D562E2">
        <w:rPr>
          <w:rFonts w:cs="Arial"/>
          <w:szCs w:val="22"/>
        </w:rPr>
      </w:r>
      <w:r w:rsidR="00E85003" w:rsidRPr="00D562E2">
        <w:rPr>
          <w:rFonts w:cs="Arial"/>
          <w:szCs w:val="22"/>
        </w:rPr>
        <w:fldChar w:fldCharType="separate"/>
      </w:r>
      <w:r w:rsidR="0067675D" w:rsidRPr="00D562E2">
        <w:rPr>
          <w:rFonts w:cs="Arial"/>
          <w:szCs w:val="22"/>
        </w:rPr>
        <w:t xml:space="preserve">Figure </w:t>
      </w:r>
      <w:r w:rsidR="0067675D">
        <w:rPr>
          <w:rFonts w:cs="Arial"/>
          <w:noProof/>
          <w:szCs w:val="22"/>
        </w:rPr>
        <w:t>57</w:t>
      </w:r>
      <w:r w:rsidR="00E85003" w:rsidRPr="00D562E2">
        <w:rPr>
          <w:rFonts w:cs="Arial"/>
          <w:szCs w:val="22"/>
        </w:rPr>
        <w:fldChar w:fldCharType="end"/>
      </w:r>
      <w:r w:rsidR="005132EF" w:rsidRPr="00D562E2">
        <w:rPr>
          <w:rFonts w:cs="Arial"/>
          <w:szCs w:val="22"/>
          <w:lang w:val="en-US"/>
        </w:rPr>
        <w:t>).</w:t>
      </w:r>
      <w:r w:rsidR="00734C8B" w:rsidRPr="00D562E2">
        <w:rPr>
          <w:rFonts w:cs="Arial"/>
          <w:szCs w:val="22"/>
          <w:lang w:val="en-US"/>
        </w:rPr>
        <w:t xml:space="preserve"> That trend was also replicated at the </w:t>
      </w:r>
      <w:r w:rsidR="00E255DB" w:rsidRPr="00D562E2">
        <w:rPr>
          <w:rFonts w:cs="Arial"/>
          <w:szCs w:val="22"/>
          <w:lang w:val="en-US"/>
        </w:rPr>
        <w:t>bay</w:t>
      </w:r>
      <w:r w:rsidR="00734C8B" w:rsidRPr="00D562E2">
        <w:rPr>
          <w:rFonts w:cs="Arial"/>
          <w:szCs w:val="22"/>
          <w:lang w:val="en-US"/>
        </w:rPr>
        <w:t>-wide scale in Cleveland Bay, with considerable loss of meadow area and meadow fragmentation (</w:t>
      </w:r>
      <w:hyperlink w:anchor="_ENREF_127" w:tooltip="Petus, 2014 #10800" w:history="1">
        <w:r w:rsidR="009A7AB4" w:rsidRPr="00D562E2">
          <w:rPr>
            <w:rFonts w:cs="Arial"/>
            <w:szCs w:val="22"/>
            <w:lang w:val="en-US"/>
          </w:rPr>
          <w:fldChar w:fldCharType="begin"/>
        </w:r>
        <w:r w:rsidR="009A7AB4">
          <w:rPr>
            <w:rFonts w:cs="Arial"/>
            <w:szCs w:val="22"/>
            <w:lang w:val="en-US"/>
          </w:rPr>
          <w:instrText xml:space="preserve"> ADDIN EN.CITE &lt;EndNote&gt;&lt;Cite&gt;&lt;Author&gt;Petus&lt;/Author&gt;&lt;Year&gt;2014&lt;/Year&gt;&lt;RecNum&gt;10800&lt;/RecNum&gt;&lt;DisplayText&gt;Petus&lt;style face="italic"&gt; et al.&lt;/style&gt; 2014&lt;/DisplayText&gt;&lt;record&gt;&lt;rec-number&gt;10800&lt;/rec-number&gt;&lt;foreign-keys&gt;&lt;key app="EN" db-id="0eve55x9y5vfd6e9dacxtew4eatve2dzds9a" timestamp="1479685536"&gt;10800&lt;/key&gt;&lt;/foreign-keys&gt;&lt;ref-type name="Journal Article"&gt;17&lt;/ref-type&gt;&lt;contributors&gt;&lt;authors&gt;&lt;author&gt;Petus, Caroline&lt;/author&gt;&lt;author&gt;Collier, Catherine&lt;/author&gt;&lt;author&gt;Devlin, Michelle&lt;/author&gt;&lt;author&gt;Rasheed, Michael&lt;/author&gt;&lt;author&gt;McKenna, Skye&lt;/author&gt;&lt;/authors&gt;&lt;/contributors&gt;&lt;titles&gt;&lt;title&gt;Using MODIS data for understanding changes in seagrass meadow health: A case study in the Great Barrier Reef (Australia)&lt;/title&gt;&lt;secondary-title&gt;Marine Environmental Research&lt;/secondary-title&gt;&lt;/titles&gt;&lt;periodical&gt;&lt;full-title&gt;Marine Environmental Research&lt;/full-title&gt;&lt;/periodical&gt;&lt;pages&gt;68-85&lt;/pages&gt;&lt;volume&gt;98&lt;/volume&gt;&lt;keywords&gt;&lt;keyword&gt;Seagrass health&lt;/keyword&gt;&lt;keyword&gt;MODIS&lt;/keyword&gt;&lt;keyword&gt;Water clarity&lt;/keyword&gt;&lt;keyword&gt;Ecological consequences&lt;/keyword&gt;&lt;/keywords&gt;&lt;dates&gt;&lt;year&gt;2014&lt;/year&gt;&lt;/dates&gt;&lt;isbn&gt;0141-1136&lt;/isbn&gt;&lt;urls&gt;&lt;related-urls&gt;&lt;url&gt;http://www.sciencedirect.com/science/article/pii/S0141113614000488&lt;/url&gt;&lt;/related-urls&gt;&lt;/urls&gt;&lt;electronic-resource-num&gt;http://dx.doi.org/10.1016/j.marenvres.2014.03.006&lt;/electronic-resource-num&gt;&lt;/record&gt;&lt;/Cite&gt;&lt;/EndNote&gt;</w:instrText>
        </w:r>
        <w:r w:rsidR="009A7AB4" w:rsidRPr="00D562E2">
          <w:rPr>
            <w:rFonts w:cs="Arial"/>
            <w:szCs w:val="22"/>
            <w:lang w:val="en-US"/>
          </w:rPr>
          <w:fldChar w:fldCharType="separate"/>
        </w:r>
        <w:r w:rsidR="009A7AB4">
          <w:rPr>
            <w:rFonts w:cs="Arial"/>
            <w:noProof/>
            <w:szCs w:val="22"/>
            <w:lang w:val="en-US"/>
          </w:rPr>
          <w:t>Petus</w:t>
        </w:r>
        <w:r w:rsidR="009A7AB4" w:rsidRPr="004A409C">
          <w:rPr>
            <w:rFonts w:cs="Arial"/>
            <w:i/>
            <w:noProof/>
            <w:szCs w:val="22"/>
            <w:lang w:val="en-US"/>
          </w:rPr>
          <w:t xml:space="preserve"> et al.</w:t>
        </w:r>
        <w:r w:rsidR="009A7AB4">
          <w:rPr>
            <w:rFonts w:cs="Arial"/>
            <w:noProof/>
            <w:szCs w:val="22"/>
            <w:lang w:val="en-US"/>
          </w:rPr>
          <w:t xml:space="preserve"> 2014</w:t>
        </w:r>
        <w:r w:rsidR="009A7AB4" w:rsidRPr="00D562E2">
          <w:rPr>
            <w:rFonts w:cs="Arial"/>
            <w:szCs w:val="22"/>
            <w:lang w:val="en-US"/>
          </w:rPr>
          <w:fldChar w:fldCharType="end"/>
        </w:r>
      </w:hyperlink>
      <w:r w:rsidR="00734C8B" w:rsidRPr="00D562E2">
        <w:rPr>
          <w:rFonts w:cs="Arial"/>
          <w:szCs w:val="22"/>
          <w:lang w:val="en-US"/>
        </w:rPr>
        <w:t>).</w:t>
      </w:r>
      <w:r w:rsidR="005132EF" w:rsidRPr="00D562E2">
        <w:rPr>
          <w:rFonts w:cs="Arial"/>
          <w:szCs w:val="22"/>
          <w:lang w:val="en-US"/>
        </w:rPr>
        <w:t xml:space="preserve"> </w:t>
      </w:r>
      <w:r w:rsidR="0063146C" w:rsidRPr="00D562E2">
        <w:rPr>
          <w:rFonts w:cs="Arial"/>
          <w:szCs w:val="22"/>
          <w:lang w:val="en-US"/>
        </w:rPr>
        <w:t xml:space="preserve">This was caused by the high rainfall and riverine discharge that affected much of the </w:t>
      </w:r>
      <w:r w:rsidR="00E255DB" w:rsidRPr="00D562E2">
        <w:rPr>
          <w:rFonts w:cs="Arial"/>
          <w:szCs w:val="22"/>
          <w:lang w:val="en-US"/>
        </w:rPr>
        <w:t>Reef</w:t>
      </w:r>
      <w:r w:rsidR="0063146C" w:rsidRPr="00D562E2">
        <w:rPr>
          <w:rFonts w:cs="Arial"/>
          <w:szCs w:val="22"/>
          <w:lang w:val="en-US"/>
        </w:rPr>
        <w:t xml:space="preserve">. </w:t>
      </w:r>
    </w:p>
    <w:p w14:paraId="10711BFE" w14:textId="51DA18CF" w:rsidR="00327C5C" w:rsidRPr="00D562E2" w:rsidRDefault="00E85003" w:rsidP="00034AD4">
      <w:pPr>
        <w:rPr>
          <w:rFonts w:cs="Arial"/>
          <w:szCs w:val="22"/>
          <w:lang w:val="en-US"/>
        </w:rPr>
      </w:pPr>
      <w:r w:rsidRPr="00D562E2">
        <w:rPr>
          <w:rFonts w:cs="Arial"/>
          <w:szCs w:val="22"/>
          <w:lang w:val="en-US"/>
        </w:rPr>
        <w:t>Since 2011, meadow extents have increased in both coastal and reef habitats to pre-2009 levels (</w:t>
      </w:r>
      <w:r w:rsidRPr="00D562E2">
        <w:rPr>
          <w:rFonts w:cs="Arial"/>
          <w:szCs w:val="22"/>
        </w:rPr>
        <w:fldChar w:fldCharType="begin"/>
      </w:r>
      <w:r w:rsidRPr="00D562E2">
        <w:rPr>
          <w:rFonts w:cs="Arial"/>
          <w:szCs w:val="22"/>
          <w:lang w:val="en-US"/>
        </w:rPr>
        <w:instrText xml:space="preserve"> REF _Ref179449820 \h </w:instrText>
      </w:r>
      <w:r w:rsidRPr="00D562E2">
        <w:rPr>
          <w:rFonts w:cs="Arial"/>
          <w:szCs w:val="22"/>
        </w:rPr>
        <w:instrText xml:space="preserve"> \* MERGEFORMAT </w:instrText>
      </w:r>
      <w:r w:rsidRPr="00D562E2">
        <w:rPr>
          <w:rFonts w:cs="Arial"/>
          <w:szCs w:val="22"/>
        </w:rPr>
      </w:r>
      <w:r w:rsidRPr="00D562E2">
        <w:rPr>
          <w:rFonts w:cs="Arial"/>
          <w:szCs w:val="22"/>
        </w:rPr>
        <w:fldChar w:fldCharType="separate"/>
      </w:r>
      <w:r w:rsidR="0067675D" w:rsidRPr="00D562E2">
        <w:rPr>
          <w:rFonts w:cs="Arial"/>
          <w:szCs w:val="22"/>
        </w:rPr>
        <w:t xml:space="preserve">Figure </w:t>
      </w:r>
      <w:r w:rsidR="0067675D">
        <w:rPr>
          <w:rFonts w:cs="Arial"/>
          <w:noProof/>
          <w:szCs w:val="22"/>
        </w:rPr>
        <w:t>57</w:t>
      </w:r>
      <w:r w:rsidRPr="00D562E2">
        <w:rPr>
          <w:rFonts w:cs="Arial"/>
          <w:szCs w:val="22"/>
        </w:rPr>
        <w:fldChar w:fldCharType="end"/>
      </w:r>
      <w:r w:rsidRPr="00D562E2">
        <w:rPr>
          <w:rFonts w:cs="Arial"/>
          <w:szCs w:val="22"/>
          <w:lang w:val="en-US"/>
        </w:rPr>
        <w:t>)</w:t>
      </w:r>
      <w:r w:rsidR="0040420B" w:rsidRPr="00D562E2">
        <w:rPr>
          <w:rFonts w:cs="Arial"/>
          <w:szCs w:val="22"/>
          <w:lang w:val="en-US"/>
        </w:rPr>
        <w:t xml:space="preserve"> and </w:t>
      </w:r>
      <w:r w:rsidR="00327C5C" w:rsidRPr="00D562E2">
        <w:rPr>
          <w:rFonts w:cs="Arial"/>
          <w:szCs w:val="22"/>
          <w:lang w:val="en-US"/>
        </w:rPr>
        <w:t xml:space="preserve">predominately </w:t>
      </w:r>
      <w:r w:rsidR="0040420B" w:rsidRPr="00D562E2">
        <w:rPr>
          <w:rFonts w:cs="Arial"/>
          <w:szCs w:val="22"/>
          <w:lang w:val="en-US"/>
        </w:rPr>
        <w:t>remained stable</w:t>
      </w:r>
      <w:r w:rsidR="00327C5C" w:rsidRPr="00D562E2">
        <w:rPr>
          <w:rFonts w:cs="Arial"/>
          <w:szCs w:val="22"/>
          <w:lang w:val="en-US"/>
        </w:rPr>
        <w:t xml:space="preserve"> until </w:t>
      </w:r>
      <w:r w:rsidR="00956639" w:rsidRPr="00D562E2">
        <w:rPr>
          <w:rFonts w:cs="Arial"/>
          <w:szCs w:val="22"/>
          <w:lang w:val="en-US"/>
        </w:rPr>
        <w:t>201</w:t>
      </w:r>
      <w:r w:rsidR="00A365DD" w:rsidRPr="00D562E2">
        <w:rPr>
          <w:rFonts w:cs="Arial"/>
          <w:szCs w:val="22"/>
          <w:lang w:val="en-US"/>
        </w:rPr>
        <w:t>7</w:t>
      </w:r>
      <w:r w:rsidR="00956639" w:rsidRPr="00D562E2">
        <w:rPr>
          <w:rFonts w:cs="Arial"/>
          <w:szCs w:val="22"/>
          <w:lang w:val="en-US"/>
        </w:rPr>
        <w:t>–1</w:t>
      </w:r>
      <w:r w:rsidR="00A365DD" w:rsidRPr="00D562E2">
        <w:rPr>
          <w:rFonts w:cs="Arial"/>
          <w:szCs w:val="22"/>
          <w:lang w:val="en-US"/>
        </w:rPr>
        <w:t>8</w:t>
      </w:r>
      <w:r w:rsidRPr="00D562E2">
        <w:rPr>
          <w:rFonts w:cs="Arial"/>
          <w:szCs w:val="22"/>
          <w:lang w:val="en-US"/>
        </w:rPr>
        <w:t>.</w:t>
      </w:r>
      <w:r w:rsidR="0040420B" w:rsidRPr="00D562E2">
        <w:rPr>
          <w:rFonts w:cs="Arial"/>
          <w:szCs w:val="22"/>
          <w:lang w:val="en-US"/>
        </w:rPr>
        <w:t xml:space="preserve"> </w:t>
      </w:r>
      <w:r w:rsidR="009243E9" w:rsidRPr="00D562E2">
        <w:rPr>
          <w:rFonts w:cs="Arial"/>
          <w:szCs w:val="22"/>
          <w:lang w:val="en-US"/>
        </w:rPr>
        <w:t xml:space="preserve">In </w:t>
      </w:r>
      <w:r w:rsidR="004F39E2" w:rsidRPr="00D562E2">
        <w:rPr>
          <w:rFonts w:cs="Arial"/>
          <w:szCs w:val="22"/>
          <w:lang w:val="en-US"/>
        </w:rPr>
        <w:t xml:space="preserve">early </w:t>
      </w:r>
      <w:r w:rsidR="009243E9" w:rsidRPr="00D562E2">
        <w:rPr>
          <w:rFonts w:cs="Arial"/>
          <w:szCs w:val="22"/>
          <w:lang w:val="en-US"/>
        </w:rPr>
        <w:t xml:space="preserve">2014, </w:t>
      </w:r>
      <w:r w:rsidR="00327C5C" w:rsidRPr="00D562E2">
        <w:rPr>
          <w:rFonts w:cs="Arial"/>
          <w:szCs w:val="22"/>
          <w:lang w:val="en-US"/>
        </w:rPr>
        <w:t xml:space="preserve">subtidal </w:t>
      </w:r>
      <w:r w:rsidR="009243E9" w:rsidRPr="00D562E2">
        <w:rPr>
          <w:rFonts w:cs="Arial"/>
          <w:szCs w:val="22"/>
          <w:lang w:val="en-US"/>
        </w:rPr>
        <w:t>seagrass extent declined to the lowest in 2 years</w:t>
      </w:r>
      <w:r w:rsidR="0063146C" w:rsidRPr="00D562E2">
        <w:rPr>
          <w:rFonts w:cs="Arial"/>
          <w:szCs w:val="22"/>
          <w:lang w:val="en-US"/>
        </w:rPr>
        <w:t xml:space="preserve"> but </w:t>
      </w:r>
      <w:r w:rsidR="004F39E2" w:rsidRPr="00D562E2">
        <w:rPr>
          <w:rFonts w:cs="Arial"/>
          <w:szCs w:val="22"/>
          <w:lang w:val="en-US"/>
        </w:rPr>
        <w:t>subse</w:t>
      </w:r>
      <w:r w:rsidR="00734C8B" w:rsidRPr="00D562E2">
        <w:rPr>
          <w:rFonts w:cs="Arial"/>
          <w:szCs w:val="22"/>
          <w:lang w:val="en-US"/>
        </w:rPr>
        <w:t>quently recovered</w:t>
      </w:r>
      <w:r w:rsidR="00110BFF" w:rsidRPr="00D562E2">
        <w:rPr>
          <w:rFonts w:cs="Arial"/>
          <w:szCs w:val="22"/>
          <w:lang w:val="en-US"/>
        </w:rPr>
        <w:t xml:space="preserve"> within 6 months to </w:t>
      </w:r>
      <w:r w:rsidR="007A70FE" w:rsidRPr="00D562E2">
        <w:rPr>
          <w:rFonts w:cs="Arial"/>
          <w:szCs w:val="22"/>
          <w:lang w:val="en-US"/>
        </w:rPr>
        <w:t>its</w:t>
      </w:r>
      <w:r w:rsidR="00110BFF" w:rsidRPr="00D562E2">
        <w:rPr>
          <w:rFonts w:cs="Arial"/>
          <w:szCs w:val="22"/>
          <w:lang w:val="en-US"/>
        </w:rPr>
        <w:t xml:space="preserve"> maximum extent</w:t>
      </w:r>
      <w:r w:rsidR="00734C8B" w:rsidRPr="00D562E2">
        <w:rPr>
          <w:rFonts w:cs="Arial"/>
          <w:szCs w:val="22"/>
          <w:lang w:val="en-US"/>
        </w:rPr>
        <w:t xml:space="preserve">. </w:t>
      </w:r>
      <w:r w:rsidR="00327C5C" w:rsidRPr="00D562E2">
        <w:rPr>
          <w:rFonts w:cs="Arial"/>
          <w:szCs w:val="22"/>
          <w:lang w:val="en-US"/>
        </w:rPr>
        <w:t xml:space="preserve">In </w:t>
      </w:r>
      <w:r w:rsidR="00956639" w:rsidRPr="00D562E2">
        <w:rPr>
          <w:rFonts w:cs="Arial"/>
          <w:szCs w:val="22"/>
          <w:lang w:val="en-US"/>
        </w:rPr>
        <w:t>2018–19</w:t>
      </w:r>
      <w:r w:rsidR="00327C5C" w:rsidRPr="00D562E2">
        <w:rPr>
          <w:rFonts w:cs="Arial"/>
          <w:szCs w:val="22"/>
          <w:lang w:val="en-US"/>
        </w:rPr>
        <w:t xml:space="preserve">, the subtidal </w:t>
      </w:r>
      <w:r w:rsidR="00C57100" w:rsidRPr="00D562E2">
        <w:rPr>
          <w:rFonts w:cs="Arial"/>
          <w:szCs w:val="22"/>
          <w:lang w:val="en-US"/>
        </w:rPr>
        <w:t xml:space="preserve">reef </w:t>
      </w:r>
      <w:r w:rsidR="00327C5C" w:rsidRPr="00D562E2">
        <w:rPr>
          <w:rFonts w:cs="Arial"/>
          <w:szCs w:val="22"/>
          <w:lang w:val="en-US"/>
        </w:rPr>
        <w:t xml:space="preserve">seagrass extent </w:t>
      </w:r>
      <w:r w:rsidR="000E1904" w:rsidRPr="00D562E2">
        <w:rPr>
          <w:rFonts w:cs="Arial"/>
          <w:szCs w:val="22"/>
          <w:lang w:val="en-US"/>
        </w:rPr>
        <w:t xml:space="preserve">again </w:t>
      </w:r>
      <w:r w:rsidR="00327C5C" w:rsidRPr="00D562E2">
        <w:rPr>
          <w:rFonts w:cs="Arial"/>
          <w:szCs w:val="22"/>
          <w:lang w:val="en-US"/>
        </w:rPr>
        <w:t>declined</w:t>
      </w:r>
      <w:r w:rsidR="000E1904" w:rsidRPr="00D562E2">
        <w:rPr>
          <w:rFonts w:cs="Arial"/>
          <w:szCs w:val="22"/>
          <w:lang w:val="en-US"/>
        </w:rPr>
        <w:t xml:space="preserve">, but unlike in 2014, the coastal </w:t>
      </w:r>
      <w:r w:rsidR="00C57100" w:rsidRPr="00D562E2">
        <w:rPr>
          <w:rFonts w:cs="Arial"/>
          <w:szCs w:val="22"/>
          <w:lang w:val="en-US"/>
        </w:rPr>
        <w:t xml:space="preserve">intertidal </w:t>
      </w:r>
      <w:r w:rsidR="000E1904" w:rsidRPr="00D562E2">
        <w:rPr>
          <w:rFonts w:cs="Arial"/>
          <w:szCs w:val="22"/>
          <w:lang w:val="en-US"/>
        </w:rPr>
        <w:t>meadows have also declined in extent due to a proliferation of scarring and fragmentation.</w:t>
      </w:r>
    </w:p>
    <w:p w14:paraId="4BC8F38A" w14:textId="77777777" w:rsidR="00270034" w:rsidRPr="00D562E2" w:rsidRDefault="00C83356" w:rsidP="000F45DC">
      <w:pPr>
        <w:keepNext/>
        <w:widowControl w:val="0"/>
        <w:jc w:val="center"/>
        <w:rPr>
          <w:rFonts w:cs="Arial"/>
          <w:noProof/>
          <w:szCs w:val="22"/>
          <w:lang w:eastAsia="en-AU"/>
        </w:rPr>
      </w:pPr>
      <w:r w:rsidRPr="00D562E2">
        <w:rPr>
          <w:rFonts w:cs="Arial"/>
          <w:noProof/>
          <w:szCs w:val="22"/>
          <w:lang w:eastAsia="en-AU"/>
        </w:rPr>
        <w:lastRenderedPageBreak/>
        <w:drawing>
          <wp:inline distT="0" distB="0" distL="0" distR="0" wp14:anchorId="22C1741A" wp14:editId="13152EED">
            <wp:extent cx="4082937" cy="1804256"/>
            <wp:effectExtent l="0" t="0" r="0" b="5715"/>
            <wp:docPr id="299" name="Picture 299" descr="Line graphs showing spatial extent of seagrass meadows within a 100m radius of monitoring sites for each habitat and monitoring period across the Burdekin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B_extent_avg_2016.png"/>
                    <pic:cNvPicPr/>
                  </pic:nvPicPr>
                  <pic:blipFill>
                    <a:blip r:embed="rId110"/>
                    <a:stretch>
                      <a:fillRect/>
                    </a:stretch>
                  </pic:blipFill>
                  <pic:spPr>
                    <a:xfrm>
                      <a:off x="0" y="0"/>
                      <a:ext cx="4082937" cy="1804256"/>
                    </a:xfrm>
                    <a:prstGeom prst="rect">
                      <a:avLst/>
                    </a:prstGeom>
                  </pic:spPr>
                </pic:pic>
              </a:graphicData>
            </a:graphic>
          </wp:inline>
        </w:drawing>
      </w:r>
    </w:p>
    <w:p w14:paraId="7733D7F6" w14:textId="4A1E8520" w:rsidR="00BC6300" w:rsidRPr="00D562E2" w:rsidRDefault="005132EF" w:rsidP="00BC6300">
      <w:pPr>
        <w:rPr>
          <w:rFonts w:cs="Arial"/>
          <w:i/>
          <w:szCs w:val="22"/>
        </w:rPr>
      </w:pPr>
      <w:bookmarkStart w:id="450" w:name="_Ref179449820"/>
      <w:bookmarkStart w:id="451" w:name="_Toc176158888"/>
      <w:bookmarkStart w:id="452" w:name="_Toc232845989"/>
      <w:bookmarkStart w:id="453" w:name="_Toc431493859"/>
      <w:bookmarkStart w:id="454" w:name="_Toc38634161"/>
      <w:r w:rsidRPr="00D562E2">
        <w:rPr>
          <w:rFonts w:cs="Arial"/>
          <w:szCs w:val="22"/>
        </w:rPr>
        <w:t xml:space="preserve">Figure </w:t>
      </w:r>
      <w:r w:rsidR="0073595B" w:rsidRPr="00D562E2">
        <w:rPr>
          <w:rFonts w:cs="Arial"/>
          <w:szCs w:val="22"/>
        </w:rPr>
        <w:fldChar w:fldCharType="begin"/>
      </w:r>
      <w:r w:rsidR="0073595B" w:rsidRPr="00D562E2">
        <w:rPr>
          <w:rFonts w:cs="Arial"/>
          <w:szCs w:val="22"/>
        </w:rPr>
        <w:instrText xml:space="preserve"> SEQ Figure \* ARABIC </w:instrText>
      </w:r>
      <w:r w:rsidR="0073595B" w:rsidRPr="00D562E2">
        <w:rPr>
          <w:rFonts w:cs="Arial"/>
          <w:szCs w:val="22"/>
        </w:rPr>
        <w:fldChar w:fldCharType="separate"/>
      </w:r>
      <w:r w:rsidR="0067675D">
        <w:rPr>
          <w:rFonts w:cs="Arial"/>
          <w:noProof/>
          <w:szCs w:val="22"/>
        </w:rPr>
        <w:t>57</w:t>
      </w:r>
      <w:r w:rsidR="0073595B" w:rsidRPr="00D562E2">
        <w:rPr>
          <w:rFonts w:cs="Arial"/>
          <w:szCs w:val="22"/>
        </w:rPr>
        <w:fldChar w:fldCharType="end"/>
      </w:r>
      <w:bookmarkEnd w:id="450"/>
      <w:r w:rsidRPr="00D562E2">
        <w:rPr>
          <w:rFonts w:cs="Arial"/>
          <w:szCs w:val="22"/>
        </w:rPr>
        <w:t>.</w:t>
      </w:r>
      <w:bookmarkEnd w:id="451"/>
      <w:bookmarkEnd w:id="452"/>
      <w:r w:rsidR="00BC6300" w:rsidRPr="00D562E2">
        <w:rPr>
          <w:rFonts w:cs="Arial"/>
          <w:szCs w:val="22"/>
        </w:rPr>
        <w:t xml:space="preserve"> </w:t>
      </w:r>
      <w:r w:rsidR="00BC6300" w:rsidRPr="00D562E2">
        <w:rPr>
          <w:rFonts w:cs="Arial"/>
          <w:i/>
          <w:szCs w:val="22"/>
        </w:rPr>
        <w:t xml:space="preserve">Change in spatial extent of seagrass meadows within monitoring sites for each </w:t>
      </w:r>
      <w:r w:rsidR="00B910F2" w:rsidRPr="00D562E2">
        <w:rPr>
          <w:rFonts w:cs="Arial"/>
          <w:i/>
          <w:szCs w:val="22"/>
        </w:rPr>
        <w:t xml:space="preserve">inshore intertidal </w:t>
      </w:r>
      <w:r w:rsidR="00BC6300" w:rsidRPr="00D562E2">
        <w:rPr>
          <w:rFonts w:cs="Arial"/>
          <w:i/>
          <w:szCs w:val="22"/>
        </w:rPr>
        <w:t>habitat and monitoring period across the Burdekin region</w:t>
      </w:r>
      <w:r w:rsidR="00B910F2" w:rsidRPr="00D562E2">
        <w:rPr>
          <w:rFonts w:cs="Arial"/>
          <w:i/>
          <w:szCs w:val="22"/>
        </w:rPr>
        <w:t>, 2005</w:t>
      </w:r>
      <w:r w:rsidR="00A675DA" w:rsidRPr="00D562E2">
        <w:rPr>
          <w:rFonts w:cs="Arial"/>
          <w:i/>
          <w:szCs w:val="22"/>
        </w:rPr>
        <w:t>–</w:t>
      </w:r>
      <w:r w:rsidR="00B910F2" w:rsidRPr="00D562E2">
        <w:rPr>
          <w:rFonts w:cs="Arial"/>
          <w:i/>
          <w:szCs w:val="22"/>
        </w:rPr>
        <w:t>201</w:t>
      </w:r>
      <w:r w:rsidR="00D40A36" w:rsidRPr="00D562E2">
        <w:rPr>
          <w:rFonts w:cs="Arial"/>
          <w:i/>
          <w:szCs w:val="22"/>
        </w:rPr>
        <w:t>8</w:t>
      </w:r>
      <w:r w:rsidR="00BC6300" w:rsidRPr="00D562E2">
        <w:rPr>
          <w:rFonts w:cs="Arial"/>
          <w:i/>
          <w:szCs w:val="22"/>
        </w:rPr>
        <w:t>.</w:t>
      </w:r>
      <w:bookmarkEnd w:id="453"/>
      <w:bookmarkEnd w:id="454"/>
    </w:p>
    <w:p w14:paraId="31042893" w14:textId="71519637" w:rsidR="005132EF" w:rsidRPr="00D562E2" w:rsidRDefault="005132EF" w:rsidP="000150D8">
      <w:pPr>
        <w:pStyle w:val="Heading4"/>
      </w:pPr>
      <w:bookmarkStart w:id="455" w:name="_Toc184102000"/>
      <w:bookmarkStart w:id="456" w:name="_Toc37775090"/>
      <w:bookmarkStart w:id="457" w:name="_Toc43987065"/>
      <w:r w:rsidRPr="00D562E2">
        <w:t>Seagrass reproductive status</w:t>
      </w:r>
      <w:bookmarkEnd w:id="455"/>
      <w:bookmarkEnd w:id="456"/>
      <w:bookmarkEnd w:id="457"/>
    </w:p>
    <w:p w14:paraId="0795626D" w14:textId="71C7B369" w:rsidR="00270034" w:rsidRPr="00D562E2" w:rsidRDefault="00270034" w:rsidP="00B45034">
      <w:pPr>
        <w:autoSpaceDE w:val="0"/>
        <w:autoSpaceDN w:val="0"/>
        <w:adjustRightInd w:val="0"/>
        <w:rPr>
          <w:rFonts w:cs="Arial"/>
          <w:szCs w:val="22"/>
          <w:lang w:eastAsia="en-AU"/>
        </w:rPr>
      </w:pPr>
      <w:r w:rsidRPr="00D562E2">
        <w:rPr>
          <w:rFonts w:cs="Arial"/>
          <w:szCs w:val="22"/>
          <w:lang w:eastAsia="en-AU"/>
        </w:rPr>
        <w:t xml:space="preserve">Reproductive effort </w:t>
      </w:r>
      <w:r w:rsidR="00A9762D" w:rsidRPr="00D562E2">
        <w:rPr>
          <w:rFonts w:cs="Arial"/>
          <w:szCs w:val="22"/>
          <w:lang w:eastAsia="en-AU"/>
        </w:rPr>
        <w:t xml:space="preserve">is </w:t>
      </w:r>
      <w:r w:rsidR="00A365DD" w:rsidRPr="00D562E2">
        <w:rPr>
          <w:rFonts w:cs="Arial"/>
          <w:szCs w:val="22"/>
          <w:lang w:eastAsia="en-AU"/>
        </w:rPr>
        <w:t xml:space="preserve">typically </w:t>
      </w:r>
      <w:r w:rsidR="00A9762D" w:rsidRPr="00D562E2">
        <w:rPr>
          <w:rFonts w:cs="Arial"/>
          <w:szCs w:val="22"/>
          <w:lang w:eastAsia="en-AU"/>
        </w:rPr>
        <w:t>variable across Burdekin region habitats</w:t>
      </w:r>
      <w:r w:rsidR="00A365DD" w:rsidRPr="00D562E2">
        <w:rPr>
          <w:rFonts w:cs="Arial"/>
          <w:szCs w:val="22"/>
          <w:lang w:eastAsia="en-AU"/>
        </w:rPr>
        <w:t xml:space="preserve">, but in 2018–19, reproductive effort was very low in all habitats, particularly during </w:t>
      </w:r>
      <w:r w:rsidR="00544845" w:rsidRPr="00D562E2">
        <w:rPr>
          <w:rFonts w:cs="Arial"/>
          <w:szCs w:val="22"/>
          <w:lang w:eastAsia="en-AU"/>
        </w:rPr>
        <w:t>post-wet</w:t>
      </w:r>
      <w:r w:rsidR="00A365DD" w:rsidRPr="00D562E2">
        <w:rPr>
          <w:rFonts w:cs="Arial"/>
          <w:szCs w:val="22"/>
          <w:lang w:eastAsia="en-AU"/>
        </w:rPr>
        <w:t xml:space="preserve"> season surveys</w:t>
      </w:r>
      <w:r w:rsidR="00A9762D" w:rsidRPr="00D562E2">
        <w:rPr>
          <w:rFonts w:cs="Arial"/>
          <w:szCs w:val="22"/>
          <w:lang w:eastAsia="en-AU"/>
        </w:rPr>
        <w:t xml:space="preserve">. Coastal habitats </w:t>
      </w:r>
      <w:r w:rsidR="003D0691" w:rsidRPr="00D562E2">
        <w:rPr>
          <w:rFonts w:cs="Arial"/>
          <w:szCs w:val="22"/>
          <w:lang w:eastAsia="en-AU"/>
        </w:rPr>
        <w:t>h</w:t>
      </w:r>
      <w:r w:rsidRPr="00D562E2">
        <w:rPr>
          <w:rFonts w:cs="Arial"/>
          <w:szCs w:val="22"/>
          <w:lang w:eastAsia="en-AU"/>
        </w:rPr>
        <w:t xml:space="preserve">ad been on an increasing trajectory </w:t>
      </w:r>
      <w:r w:rsidR="00A9762D" w:rsidRPr="00D562E2">
        <w:rPr>
          <w:rFonts w:cs="Arial"/>
          <w:szCs w:val="22"/>
          <w:lang w:eastAsia="en-AU"/>
        </w:rPr>
        <w:t xml:space="preserve">since 2012, </w:t>
      </w:r>
      <w:r w:rsidR="00926C3D" w:rsidRPr="00D562E2">
        <w:rPr>
          <w:rFonts w:cs="Arial"/>
          <w:szCs w:val="22"/>
          <w:lang w:eastAsia="en-AU"/>
        </w:rPr>
        <w:t>with high reproductive effort contributing to a developing seed bank</w:t>
      </w:r>
      <w:r w:rsidR="003713F8" w:rsidRPr="00D562E2">
        <w:rPr>
          <w:rFonts w:cs="Arial"/>
          <w:szCs w:val="22"/>
          <w:lang w:eastAsia="en-AU"/>
        </w:rPr>
        <w:t xml:space="preserve">, but this year reached </w:t>
      </w:r>
      <w:r w:rsidR="007E6A63" w:rsidRPr="00D562E2">
        <w:rPr>
          <w:rFonts w:cs="Arial"/>
          <w:szCs w:val="22"/>
          <w:lang w:eastAsia="en-AU"/>
        </w:rPr>
        <w:t xml:space="preserve">low </w:t>
      </w:r>
      <w:r w:rsidR="003713F8" w:rsidRPr="00D562E2">
        <w:rPr>
          <w:rFonts w:cs="Arial"/>
          <w:szCs w:val="22"/>
          <w:lang w:eastAsia="en-AU"/>
        </w:rPr>
        <w:t>levels not seen since 2014</w:t>
      </w:r>
      <w:r w:rsidR="00926C3D" w:rsidRPr="00D562E2">
        <w:rPr>
          <w:rFonts w:cs="Arial"/>
          <w:szCs w:val="22"/>
          <w:lang w:eastAsia="en-AU"/>
        </w:rPr>
        <w:t xml:space="preserve">. </w:t>
      </w:r>
      <w:r w:rsidR="003713F8" w:rsidRPr="00D562E2">
        <w:rPr>
          <w:rFonts w:cs="Arial"/>
          <w:szCs w:val="22"/>
          <w:lang w:eastAsia="en-AU"/>
        </w:rPr>
        <w:t>At reef subtidal habitats</w:t>
      </w:r>
      <w:r w:rsidR="005D0447" w:rsidRPr="005D0447">
        <w:rPr>
          <w:rFonts w:cs="Arial"/>
          <w:szCs w:val="22"/>
          <w:lang w:eastAsia="en-AU"/>
        </w:rPr>
        <w:t xml:space="preserve"> seed densities sharp</w:t>
      </w:r>
      <w:r w:rsidR="005D0447">
        <w:rPr>
          <w:rFonts w:cs="Arial"/>
          <w:szCs w:val="22"/>
          <w:lang w:eastAsia="en-AU"/>
        </w:rPr>
        <w:t>ly</w:t>
      </w:r>
      <w:r w:rsidR="005D0447" w:rsidRPr="005D0447">
        <w:rPr>
          <w:rFonts w:cs="Arial"/>
          <w:szCs w:val="22"/>
          <w:lang w:eastAsia="en-AU"/>
        </w:rPr>
        <w:t xml:space="preserve"> decline</w:t>
      </w:r>
      <w:r w:rsidR="005D0447">
        <w:rPr>
          <w:rFonts w:cs="Arial"/>
          <w:szCs w:val="22"/>
          <w:lang w:eastAsia="en-AU"/>
        </w:rPr>
        <w:t>d</w:t>
      </w:r>
      <w:r w:rsidR="003713F8" w:rsidRPr="00D562E2">
        <w:rPr>
          <w:rFonts w:cs="Arial"/>
          <w:szCs w:val="22"/>
          <w:lang w:eastAsia="en-AU"/>
        </w:rPr>
        <w:t xml:space="preserve">, </w:t>
      </w:r>
      <w:r w:rsidR="005D0447">
        <w:rPr>
          <w:rFonts w:cs="Arial"/>
          <w:szCs w:val="22"/>
          <w:lang w:eastAsia="en-AU"/>
        </w:rPr>
        <w:t xml:space="preserve">and with </w:t>
      </w:r>
      <w:r w:rsidR="003713F8" w:rsidRPr="005D0447">
        <w:rPr>
          <w:rFonts w:cs="Arial"/>
          <w:szCs w:val="22"/>
          <w:lang w:eastAsia="en-AU"/>
        </w:rPr>
        <w:t>no reproductive structures observed in 2018–19</w:t>
      </w:r>
      <w:r w:rsidR="005D0447">
        <w:rPr>
          <w:rFonts w:cs="Arial"/>
          <w:szCs w:val="22"/>
          <w:lang w:eastAsia="en-AU"/>
        </w:rPr>
        <w:t>,</w:t>
      </w:r>
      <w:r w:rsidR="007D5701" w:rsidRPr="005D0447">
        <w:rPr>
          <w:rFonts w:cs="Arial"/>
          <w:szCs w:val="22"/>
          <w:lang w:eastAsia="en-AU"/>
        </w:rPr>
        <w:t xml:space="preserve"> </w:t>
      </w:r>
      <w:r w:rsidR="005D0447">
        <w:rPr>
          <w:rFonts w:cs="Arial"/>
          <w:szCs w:val="22"/>
          <w:lang w:eastAsia="en-AU"/>
        </w:rPr>
        <w:t>there is</w:t>
      </w:r>
      <w:r w:rsidR="003713F8" w:rsidRPr="005D0447">
        <w:rPr>
          <w:rFonts w:cs="Arial"/>
          <w:szCs w:val="22"/>
          <w:lang w:eastAsia="en-AU"/>
        </w:rPr>
        <w:t xml:space="preserve"> no sign of</w:t>
      </w:r>
      <w:r w:rsidR="00D34CC2" w:rsidRPr="005D0447">
        <w:rPr>
          <w:rFonts w:cs="Arial"/>
          <w:szCs w:val="22"/>
          <w:lang w:eastAsia="en-AU"/>
        </w:rPr>
        <w:t xml:space="preserve"> replenishment</w:t>
      </w:r>
      <w:r w:rsidR="009A51A0" w:rsidRPr="005D0447">
        <w:rPr>
          <w:rFonts w:cs="Arial"/>
          <w:szCs w:val="22"/>
          <w:lang w:eastAsia="en-AU"/>
        </w:rPr>
        <w:t xml:space="preserve">. </w:t>
      </w:r>
      <w:r w:rsidR="00473D81" w:rsidRPr="005D0447">
        <w:rPr>
          <w:rFonts w:cs="Arial"/>
          <w:szCs w:val="22"/>
          <w:lang w:eastAsia="en-AU"/>
        </w:rPr>
        <w:t>At reef intertidal habitats, reproductive effort and seed</w:t>
      </w:r>
      <w:r w:rsidR="00473D81" w:rsidRPr="00D562E2">
        <w:rPr>
          <w:rFonts w:cs="Arial"/>
          <w:szCs w:val="22"/>
          <w:lang w:eastAsia="en-AU"/>
        </w:rPr>
        <w:t xml:space="preserve"> banks remained low but within range of what is typically observed in this habitat</w:t>
      </w:r>
      <w:r w:rsidR="009A51A0" w:rsidRPr="00D562E2">
        <w:rPr>
          <w:rFonts w:cs="Arial"/>
          <w:szCs w:val="22"/>
          <w:lang w:eastAsia="en-AU"/>
        </w:rPr>
        <w:t xml:space="preserve"> </w:t>
      </w:r>
      <w:r w:rsidR="008968C5" w:rsidRPr="00D562E2">
        <w:rPr>
          <w:rFonts w:cs="Arial"/>
          <w:szCs w:val="22"/>
          <w:lang w:eastAsia="en-AU"/>
        </w:rPr>
        <w:t>(</w:t>
      </w:r>
      <w:r w:rsidR="008968C5" w:rsidRPr="00D562E2">
        <w:rPr>
          <w:rFonts w:cs="Arial"/>
          <w:szCs w:val="22"/>
          <w:lang w:eastAsia="en-AU"/>
        </w:rPr>
        <w:fldChar w:fldCharType="begin"/>
      </w:r>
      <w:r w:rsidR="008968C5" w:rsidRPr="00D562E2">
        <w:rPr>
          <w:rFonts w:cs="Arial"/>
          <w:szCs w:val="22"/>
          <w:lang w:eastAsia="en-AU"/>
        </w:rPr>
        <w:instrText xml:space="preserve"> REF _Ref271531417 \h </w:instrText>
      </w:r>
      <w:r w:rsidR="00580DDA" w:rsidRPr="00D562E2">
        <w:rPr>
          <w:rFonts w:cs="Arial"/>
          <w:szCs w:val="22"/>
          <w:lang w:eastAsia="en-AU"/>
        </w:rPr>
        <w:instrText xml:space="preserve"> \* MERGEFORMAT </w:instrText>
      </w:r>
      <w:r w:rsidR="008968C5" w:rsidRPr="00D562E2">
        <w:rPr>
          <w:rFonts w:cs="Arial"/>
          <w:szCs w:val="22"/>
          <w:lang w:eastAsia="en-AU"/>
        </w:rPr>
      </w:r>
      <w:r w:rsidR="008968C5" w:rsidRPr="00D562E2">
        <w:rPr>
          <w:rFonts w:cs="Arial"/>
          <w:szCs w:val="22"/>
          <w:lang w:eastAsia="en-AU"/>
        </w:rPr>
        <w:fldChar w:fldCharType="separate"/>
      </w:r>
      <w:r w:rsidR="0067675D" w:rsidRPr="00D562E2">
        <w:rPr>
          <w:rFonts w:cs="Arial"/>
          <w:szCs w:val="22"/>
        </w:rPr>
        <w:t xml:space="preserve">Figure </w:t>
      </w:r>
      <w:r w:rsidR="0067675D">
        <w:rPr>
          <w:rFonts w:cs="Arial"/>
          <w:noProof/>
          <w:szCs w:val="22"/>
        </w:rPr>
        <w:t>58</w:t>
      </w:r>
      <w:r w:rsidR="008968C5" w:rsidRPr="00D562E2">
        <w:rPr>
          <w:rFonts w:cs="Arial"/>
          <w:szCs w:val="22"/>
          <w:lang w:eastAsia="en-AU"/>
        </w:rPr>
        <w:fldChar w:fldCharType="end"/>
      </w:r>
      <w:r w:rsidR="008968C5" w:rsidRPr="00D562E2">
        <w:rPr>
          <w:rFonts w:cs="Arial"/>
          <w:szCs w:val="22"/>
          <w:lang w:eastAsia="en-AU"/>
        </w:rPr>
        <w:t>).</w:t>
      </w:r>
      <w:r w:rsidR="00473D81" w:rsidRPr="00D562E2">
        <w:rPr>
          <w:rFonts w:cs="Arial"/>
          <w:szCs w:val="22"/>
          <w:lang w:eastAsia="en-AU"/>
        </w:rPr>
        <w:t xml:space="preserve"> Seagrass meadows of the region are dynamic, going through periods of decline and recovery. Recovery from seed is one of the important ways that meadows can recovery following disturbances, and a low seed bank raises concern for their current level of resilience to any disturbances that may arise into </w:t>
      </w:r>
      <w:r w:rsidR="003371EC" w:rsidRPr="00D562E2">
        <w:rPr>
          <w:rFonts w:cs="Arial"/>
          <w:szCs w:val="22"/>
          <w:lang w:eastAsia="en-AU"/>
        </w:rPr>
        <w:t>the</w:t>
      </w:r>
      <w:r w:rsidR="00473D81" w:rsidRPr="00D562E2">
        <w:rPr>
          <w:rFonts w:cs="Arial"/>
          <w:szCs w:val="22"/>
          <w:lang w:eastAsia="en-AU"/>
        </w:rPr>
        <w:t xml:space="preserve"> immediate future.   </w:t>
      </w:r>
      <w:r w:rsidR="008968C5" w:rsidRPr="00D562E2">
        <w:rPr>
          <w:rFonts w:cs="Arial"/>
          <w:szCs w:val="22"/>
          <w:lang w:eastAsia="en-AU"/>
        </w:rPr>
        <w:t xml:space="preserve"> </w:t>
      </w:r>
    </w:p>
    <w:p w14:paraId="08EDACF8" w14:textId="77777777" w:rsidR="00270034" w:rsidRPr="00D562E2" w:rsidRDefault="00015AD8" w:rsidP="000F45DC">
      <w:pPr>
        <w:keepNext/>
        <w:widowControl w:val="0"/>
        <w:jc w:val="center"/>
        <w:rPr>
          <w:rFonts w:cs="Arial"/>
          <w:noProof/>
          <w:color w:val="000000"/>
          <w:szCs w:val="22"/>
          <w:lang w:eastAsia="en-AU"/>
        </w:rPr>
      </w:pPr>
      <w:r w:rsidRPr="00D562E2">
        <w:rPr>
          <w:rFonts w:cs="Arial"/>
          <w:noProof/>
          <w:color w:val="000000"/>
          <w:szCs w:val="22"/>
          <w:lang w:eastAsia="en-AU"/>
        </w:rPr>
        <w:lastRenderedPageBreak/>
        <w:drawing>
          <wp:inline distT="0" distB="0" distL="0" distR="0" wp14:anchorId="7D012F1C" wp14:editId="1A2EAAB2">
            <wp:extent cx="5744224" cy="1383877"/>
            <wp:effectExtent l="0" t="0" r="0" b="6985"/>
            <wp:docPr id="301" name="Picture 301" descr="Panel of three composite bar and scatter plot graphs showing seed banks (bars) and reproductive effort (dots) at inshore seagrass habitats in the Burdekin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B_repro16.png"/>
                    <pic:cNvPicPr/>
                  </pic:nvPicPr>
                  <pic:blipFill>
                    <a:blip r:embed="rId111"/>
                    <a:stretch>
                      <a:fillRect/>
                    </a:stretch>
                  </pic:blipFill>
                  <pic:spPr>
                    <a:xfrm>
                      <a:off x="0" y="0"/>
                      <a:ext cx="5744224" cy="1383877"/>
                    </a:xfrm>
                    <a:prstGeom prst="rect">
                      <a:avLst/>
                    </a:prstGeom>
                  </pic:spPr>
                </pic:pic>
              </a:graphicData>
            </a:graphic>
          </wp:inline>
        </w:drawing>
      </w:r>
    </w:p>
    <w:p w14:paraId="21115081" w14:textId="3CC2517D" w:rsidR="0075536C" w:rsidRPr="00D562E2" w:rsidRDefault="005132EF" w:rsidP="0075536C">
      <w:pPr>
        <w:rPr>
          <w:rFonts w:cs="Arial"/>
          <w:i/>
          <w:vanish/>
          <w:color w:val="000000"/>
          <w:szCs w:val="22"/>
          <w:specVanish/>
        </w:rPr>
      </w:pPr>
      <w:bookmarkStart w:id="458" w:name="_Ref271531417"/>
      <w:bookmarkStart w:id="459" w:name="_Toc431493860"/>
      <w:bookmarkStart w:id="460" w:name="_Toc38634162"/>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58</w:t>
      </w:r>
      <w:r w:rsidR="00C506C7" w:rsidRPr="00D562E2">
        <w:rPr>
          <w:rFonts w:cs="Arial"/>
          <w:noProof/>
          <w:szCs w:val="22"/>
        </w:rPr>
        <w:fldChar w:fldCharType="end"/>
      </w:r>
      <w:bookmarkEnd w:id="458"/>
      <w:r w:rsidRPr="00D562E2">
        <w:rPr>
          <w:rFonts w:cs="Arial"/>
          <w:szCs w:val="22"/>
        </w:rPr>
        <w:t xml:space="preserve">. </w:t>
      </w:r>
      <w:r w:rsidR="00CF6835" w:rsidRPr="00D562E2">
        <w:rPr>
          <w:rFonts w:cs="Arial"/>
          <w:i/>
          <w:szCs w:val="22"/>
        </w:rPr>
        <w:t>R</w:t>
      </w:r>
      <w:r w:rsidR="00B910F2" w:rsidRPr="00D562E2">
        <w:rPr>
          <w:rFonts w:cs="Arial"/>
          <w:i/>
          <w:szCs w:val="22"/>
        </w:rPr>
        <w:t xml:space="preserve">eproductive effort at inshore intertidal </w:t>
      </w:r>
      <w:r w:rsidR="00C72F27" w:rsidRPr="00D562E2">
        <w:rPr>
          <w:rFonts w:cs="Arial"/>
          <w:i/>
          <w:szCs w:val="22"/>
        </w:rPr>
        <w:t xml:space="preserve">coast and reef </w:t>
      </w:r>
      <w:r w:rsidR="00CA2B35" w:rsidRPr="00D562E2">
        <w:rPr>
          <w:rFonts w:cs="Arial"/>
          <w:i/>
          <w:szCs w:val="22"/>
        </w:rPr>
        <w:t xml:space="preserve">and subtidal reef </w:t>
      </w:r>
      <w:r w:rsidR="00B910F2" w:rsidRPr="00D562E2">
        <w:rPr>
          <w:rFonts w:cs="Arial"/>
          <w:i/>
          <w:szCs w:val="22"/>
        </w:rPr>
        <w:t>habitats in the Burdekin region</w:t>
      </w:r>
      <w:r w:rsidR="00C72F27" w:rsidRPr="00D562E2">
        <w:rPr>
          <w:rFonts w:cs="Arial"/>
          <w:i/>
          <w:szCs w:val="22"/>
        </w:rPr>
        <w:t>.</w:t>
      </w:r>
      <w:bookmarkEnd w:id="459"/>
      <w:bookmarkEnd w:id="460"/>
      <w:r w:rsidR="00B910F2" w:rsidRPr="00D562E2">
        <w:rPr>
          <w:rFonts w:cs="Arial"/>
          <w:i/>
          <w:vanish/>
          <w:szCs w:val="22"/>
          <w:specVanish/>
        </w:rPr>
        <w:t xml:space="preserve"> </w:t>
      </w:r>
      <w:r w:rsidR="00C72F27" w:rsidRPr="00D562E2">
        <w:rPr>
          <w:rFonts w:cs="Arial"/>
          <w:i/>
          <w:szCs w:val="22"/>
        </w:rPr>
        <w:t xml:space="preserve"> </w:t>
      </w:r>
    </w:p>
    <w:p w14:paraId="304A375C" w14:textId="77777777" w:rsidR="00270034" w:rsidRPr="00D562E2" w:rsidRDefault="00B910F2" w:rsidP="00F31F8D">
      <w:pPr>
        <w:rPr>
          <w:rFonts w:cs="Arial"/>
          <w:iCs/>
          <w:color w:val="000000"/>
          <w:szCs w:val="22"/>
        </w:rPr>
      </w:pPr>
      <w:r w:rsidRPr="00D562E2">
        <w:rPr>
          <w:rFonts w:cs="Arial"/>
          <w:i/>
          <w:szCs w:val="22"/>
        </w:rPr>
        <w:t>Seed bank presented as the total number of seeds per m</w:t>
      </w:r>
      <w:r w:rsidRPr="00D562E2">
        <w:rPr>
          <w:rFonts w:cs="Arial"/>
          <w:i/>
          <w:szCs w:val="22"/>
          <w:vertAlign w:val="superscript"/>
        </w:rPr>
        <w:t>2</w:t>
      </w:r>
      <w:r w:rsidRPr="00D562E2">
        <w:rPr>
          <w:rFonts w:cs="Arial"/>
          <w:i/>
          <w:szCs w:val="22"/>
        </w:rPr>
        <w:t xml:space="preserve"> sediment surface</w:t>
      </w:r>
      <w:r w:rsidR="00B65283" w:rsidRPr="00D562E2">
        <w:rPr>
          <w:rFonts w:cs="Arial"/>
          <w:i/>
          <w:szCs w:val="22"/>
        </w:rPr>
        <w:t xml:space="preserve"> (bars ±SE)</w:t>
      </w:r>
      <w:r w:rsidRPr="00D562E2">
        <w:rPr>
          <w:rFonts w:cs="Arial"/>
          <w:i/>
          <w:szCs w:val="22"/>
        </w:rPr>
        <w:t>, and late dry season reproductive effort presented as the average number of reproductive structures per core (species and sites pooled)</w:t>
      </w:r>
      <w:r w:rsidR="00B65283" w:rsidRPr="00D562E2">
        <w:rPr>
          <w:rFonts w:cs="Arial"/>
          <w:i/>
          <w:szCs w:val="22"/>
        </w:rPr>
        <w:t xml:space="preserve"> (dots ±SE)</w:t>
      </w:r>
      <w:r w:rsidRPr="00D562E2">
        <w:rPr>
          <w:rFonts w:cs="Arial"/>
          <w:i/>
          <w:szCs w:val="22"/>
        </w:rPr>
        <w:t xml:space="preserve">. </w:t>
      </w:r>
      <w:r w:rsidR="00C72F27" w:rsidRPr="00D562E2">
        <w:rPr>
          <w:rFonts w:cs="Arial"/>
          <w:i/>
          <w:szCs w:val="22"/>
        </w:rPr>
        <w:t>NB: Y-axis scale for seed banks</w:t>
      </w:r>
      <w:r w:rsidR="005132EF" w:rsidRPr="00D562E2">
        <w:rPr>
          <w:rFonts w:cs="Arial"/>
          <w:i/>
          <w:szCs w:val="22"/>
        </w:rPr>
        <w:t xml:space="preserve"> </w:t>
      </w:r>
      <w:r w:rsidR="00C72F27" w:rsidRPr="00D562E2">
        <w:rPr>
          <w:rFonts w:cs="Arial"/>
          <w:i/>
          <w:szCs w:val="22"/>
        </w:rPr>
        <w:t>differ</w:t>
      </w:r>
      <w:r w:rsidR="00B65283" w:rsidRPr="00D562E2">
        <w:rPr>
          <w:rFonts w:cs="Arial"/>
          <w:i/>
          <w:szCs w:val="22"/>
        </w:rPr>
        <w:t>s</w:t>
      </w:r>
      <w:r w:rsidR="00C72F27" w:rsidRPr="00D562E2">
        <w:rPr>
          <w:rFonts w:cs="Arial"/>
          <w:i/>
          <w:szCs w:val="22"/>
        </w:rPr>
        <w:t xml:space="preserve"> between habitats.</w:t>
      </w:r>
      <w:r w:rsidRPr="00D562E2">
        <w:rPr>
          <w:rFonts w:cs="Arial"/>
          <w:szCs w:val="22"/>
        </w:rPr>
        <w:t xml:space="preserve"> </w:t>
      </w:r>
    </w:p>
    <w:p w14:paraId="44B20DFD" w14:textId="702AC82D" w:rsidR="003E679B" w:rsidRPr="00D562E2" w:rsidRDefault="003E679B" w:rsidP="000150D8">
      <w:pPr>
        <w:pStyle w:val="Heading4"/>
      </w:pPr>
      <w:bookmarkStart w:id="461" w:name="_Toc37775091"/>
      <w:bookmarkStart w:id="462" w:name="_Toc43987066"/>
      <w:r w:rsidRPr="00D562E2">
        <w:t>Seagrass leaf tissue nutrients</w:t>
      </w:r>
      <w:bookmarkEnd w:id="461"/>
      <w:bookmarkEnd w:id="462"/>
    </w:p>
    <w:p w14:paraId="23C2613F" w14:textId="6B114A70" w:rsidR="00270034" w:rsidRPr="00D562E2" w:rsidRDefault="00270034" w:rsidP="00270034">
      <w:pPr>
        <w:rPr>
          <w:rFonts w:cs="Arial"/>
          <w:szCs w:val="22"/>
        </w:rPr>
      </w:pPr>
      <w:r w:rsidRPr="00D562E2">
        <w:rPr>
          <w:rFonts w:cs="Arial"/>
          <w:szCs w:val="22"/>
        </w:rPr>
        <w:t xml:space="preserve">Seagrass leaf tissue molar C:N ratios </w:t>
      </w:r>
      <w:r w:rsidR="00AC3BE6" w:rsidRPr="00D562E2">
        <w:rPr>
          <w:rFonts w:cs="Arial"/>
          <w:szCs w:val="22"/>
        </w:rPr>
        <w:t>declined slightly in 2018–19 (</w:t>
      </w:r>
      <w:r w:rsidR="00AC3BE6" w:rsidRPr="00D562E2">
        <w:rPr>
          <w:rFonts w:cs="Arial"/>
          <w:szCs w:val="22"/>
        </w:rPr>
        <w:fldChar w:fldCharType="begin"/>
      </w:r>
      <w:r w:rsidR="00AC3BE6" w:rsidRPr="00D562E2">
        <w:rPr>
          <w:rFonts w:cs="Arial"/>
          <w:szCs w:val="22"/>
        </w:rPr>
        <w:instrText xml:space="preserve"> REF _Ref271126020 \h  \* MERGEFORMAT </w:instrText>
      </w:r>
      <w:r w:rsidR="00AC3BE6" w:rsidRPr="00D562E2">
        <w:rPr>
          <w:rFonts w:cs="Arial"/>
          <w:szCs w:val="22"/>
        </w:rPr>
      </w:r>
      <w:r w:rsidR="00AC3BE6" w:rsidRPr="00D562E2">
        <w:rPr>
          <w:rFonts w:cs="Arial"/>
          <w:szCs w:val="22"/>
        </w:rPr>
        <w:fldChar w:fldCharType="separate"/>
      </w:r>
      <w:r w:rsidR="0067675D" w:rsidRPr="0067675D">
        <w:rPr>
          <w:rFonts w:cs="Arial"/>
          <w:szCs w:val="22"/>
        </w:rPr>
        <w:t xml:space="preserve">Figure </w:t>
      </w:r>
      <w:r w:rsidR="0067675D" w:rsidRPr="0067675D">
        <w:rPr>
          <w:rFonts w:cs="Arial"/>
          <w:noProof/>
          <w:szCs w:val="22"/>
        </w:rPr>
        <w:t>59</w:t>
      </w:r>
      <w:r w:rsidR="00AC3BE6" w:rsidRPr="00D562E2">
        <w:rPr>
          <w:rFonts w:cs="Arial"/>
          <w:szCs w:val="22"/>
        </w:rPr>
        <w:fldChar w:fldCharType="end"/>
      </w:r>
      <w:r w:rsidR="00AC3BE6" w:rsidRPr="00D562E2">
        <w:rPr>
          <w:rFonts w:cs="Arial"/>
          <w:szCs w:val="22"/>
        </w:rPr>
        <w:t xml:space="preserve">). This follows a declining trend </w:t>
      </w:r>
      <w:r w:rsidR="00C66143" w:rsidRPr="00D562E2">
        <w:rPr>
          <w:rFonts w:cs="Arial"/>
          <w:szCs w:val="22"/>
        </w:rPr>
        <w:t xml:space="preserve">in </w:t>
      </w:r>
      <w:r w:rsidR="00AC3BE6" w:rsidRPr="00D562E2">
        <w:rPr>
          <w:rFonts w:cs="Arial"/>
          <w:szCs w:val="22"/>
        </w:rPr>
        <w:t xml:space="preserve">reef subtidal habitats since the high levels observed in 2012–13. At coastal intertidal and reef intertidal habitats C:N varies slightly, but usually in a manner that reflects local </w:t>
      </w:r>
      <w:r w:rsidR="005963FB" w:rsidRPr="00D562E2">
        <w:rPr>
          <w:rFonts w:cs="Arial"/>
          <w:szCs w:val="22"/>
        </w:rPr>
        <w:t>processes, in particular nitrogen loads and light levels</w:t>
      </w:r>
      <w:r w:rsidR="00AC3BE6" w:rsidRPr="00D562E2">
        <w:rPr>
          <w:rFonts w:cs="Arial"/>
          <w:szCs w:val="22"/>
        </w:rPr>
        <w:t xml:space="preserve"> (see Case Study 1). The C:N ratios declined </w:t>
      </w:r>
      <w:r w:rsidR="00783224" w:rsidRPr="00D562E2">
        <w:rPr>
          <w:rFonts w:cs="Arial"/>
          <w:szCs w:val="22"/>
        </w:rPr>
        <w:t>to a low in 2010–11 following extreme weather events, then recovered to a maxima in 2016–17</w:t>
      </w:r>
      <w:r w:rsidR="00AC3BE6" w:rsidRPr="00D562E2">
        <w:rPr>
          <w:rFonts w:cs="Arial"/>
          <w:szCs w:val="22"/>
        </w:rPr>
        <w:t xml:space="preserve"> </w:t>
      </w:r>
      <w:r w:rsidR="00783224" w:rsidRPr="00D562E2">
        <w:rPr>
          <w:rFonts w:cs="Arial"/>
          <w:szCs w:val="22"/>
        </w:rPr>
        <w:t xml:space="preserve">as seagrass recovered. </w:t>
      </w:r>
      <w:r w:rsidR="005963FB" w:rsidRPr="00D562E2">
        <w:rPr>
          <w:rFonts w:cs="Arial"/>
          <w:szCs w:val="22"/>
        </w:rPr>
        <w:t xml:space="preserve">A decline in C:N indicates that nitrogen is in supply at a rate in excess of growth requirements (i.e. </w:t>
      </w:r>
      <w:r w:rsidR="00065F67">
        <w:rPr>
          <w:rFonts w:cs="Arial"/>
          <w:szCs w:val="22"/>
        </w:rPr>
        <w:t>C</w:t>
      </w:r>
      <w:r w:rsidR="005963FB" w:rsidRPr="00D562E2">
        <w:rPr>
          <w:rFonts w:cs="Arial"/>
          <w:szCs w:val="22"/>
        </w:rPr>
        <w:t xml:space="preserve"> </w:t>
      </w:r>
      <w:r w:rsidR="00065F67">
        <w:rPr>
          <w:rFonts w:cs="Arial"/>
          <w:szCs w:val="22"/>
        </w:rPr>
        <w:t>limited</w:t>
      </w:r>
      <w:r w:rsidR="005963FB" w:rsidRPr="00D562E2">
        <w:rPr>
          <w:rFonts w:cs="Arial"/>
          <w:szCs w:val="22"/>
        </w:rPr>
        <w:t xml:space="preserve">). </w:t>
      </w:r>
      <w:r w:rsidR="00783224" w:rsidRPr="00D562E2">
        <w:rPr>
          <w:rFonts w:cs="Arial"/>
          <w:szCs w:val="22"/>
        </w:rPr>
        <w:t>The tissue nutrients are measured during the growing season in Se</w:t>
      </w:r>
      <w:r w:rsidR="007E6A63" w:rsidRPr="00D562E2">
        <w:rPr>
          <w:rFonts w:cs="Arial"/>
          <w:szCs w:val="22"/>
        </w:rPr>
        <w:t>p</w:t>
      </w:r>
      <w:r w:rsidR="00783224" w:rsidRPr="00D562E2">
        <w:rPr>
          <w:rFonts w:cs="Arial"/>
          <w:szCs w:val="22"/>
        </w:rPr>
        <w:t xml:space="preserve">tember to November, so a further </w:t>
      </w:r>
      <w:r w:rsidR="003371EC" w:rsidRPr="00D562E2">
        <w:rPr>
          <w:rFonts w:cs="Arial"/>
          <w:szCs w:val="22"/>
        </w:rPr>
        <w:t>reduction</w:t>
      </w:r>
      <w:r w:rsidR="00783224" w:rsidRPr="00D562E2">
        <w:rPr>
          <w:rFonts w:cs="Arial"/>
          <w:szCs w:val="22"/>
        </w:rPr>
        <w:t xml:space="preserve"> in the score is likely to occur in the following reporting period as a reflection of the </w:t>
      </w:r>
      <w:r w:rsidR="00956639" w:rsidRPr="00D562E2">
        <w:rPr>
          <w:rFonts w:cs="Arial"/>
          <w:szCs w:val="22"/>
        </w:rPr>
        <w:t>2018–19</w:t>
      </w:r>
      <w:r w:rsidR="0049434E" w:rsidRPr="00D562E2">
        <w:rPr>
          <w:rFonts w:cs="Arial"/>
          <w:szCs w:val="22"/>
        </w:rPr>
        <w:t xml:space="preserve"> </w:t>
      </w:r>
      <w:r w:rsidR="00783224" w:rsidRPr="00D562E2">
        <w:rPr>
          <w:rFonts w:cs="Arial"/>
          <w:szCs w:val="22"/>
        </w:rPr>
        <w:t xml:space="preserve">wet season. </w:t>
      </w:r>
      <w:r w:rsidR="00CE45F3" w:rsidRPr="00D562E2">
        <w:rPr>
          <w:rFonts w:cs="Arial"/>
          <w:szCs w:val="22"/>
        </w:rPr>
        <w:t xml:space="preserve">The trends at reef intertidal habitats are similar to those observed in coastal habitats. </w:t>
      </w:r>
      <w:r w:rsidR="003139AE" w:rsidRPr="00D562E2">
        <w:rPr>
          <w:rFonts w:cs="Arial"/>
          <w:szCs w:val="22"/>
        </w:rPr>
        <w:t xml:space="preserve">The </w:t>
      </w:r>
      <w:r w:rsidR="003C311A">
        <w:rPr>
          <w:rFonts w:cs="Arial"/>
          <w:szCs w:val="22"/>
        </w:rPr>
        <w:t>%</w:t>
      </w:r>
      <w:r w:rsidR="003139AE" w:rsidRPr="00D562E2">
        <w:rPr>
          <w:rFonts w:cs="Arial"/>
          <w:szCs w:val="22"/>
        </w:rPr>
        <w:t xml:space="preserve">P and N:P values were relatively stable in </w:t>
      </w:r>
      <w:r w:rsidR="00637290" w:rsidRPr="00D562E2">
        <w:rPr>
          <w:rFonts w:cs="Arial"/>
          <w:szCs w:val="22"/>
        </w:rPr>
        <w:t xml:space="preserve">both of </w:t>
      </w:r>
      <w:r w:rsidR="003139AE" w:rsidRPr="00D562E2">
        <w:rPr>
          <w:rFonts w:cs="Arial"/>
          <w:szCs w:val="22"/>
        </w:rPr>
        <w:t>the intertidal habitats, but a</w:t>
      </w:r>
      <w:r w:rsidR="00637290" w:rsidRPr="00D562E2">
        <w:rPr>
          <w:rFonts w:cs="Arial"/>
          <w:szCs w:val="22"/>
        </w:rPr>
        <w:t>n ongoing</w:t>
      </w:r>
      <w:r w:rsidR="003139AE" w:rsidRPr="00D562E2">
        <w:rPr>
          <w:rFonts w:cs="Arial"/>
          <w:szCs w:val="22"/>
        </w:rPr>
        <w:t xml:space="preserve"> trend for increasing N:P at reef subtidal habitats </w:t>
      </w:r>
      <w:r w:rsidR="00637290" w:rsidRPr="00D562E2">
        <w:rPr>
          <w:rFonts w:cs="Arial"/>
          <w:szCs w:val="22"/>
        </w:rPr>
        <w:t xml:space="preserve">since 2013–14 </w:t>
      </w:r>
      <w:r w:rsidR="003139AE" w:rsidRPr="00D562E2">
        <w:rPr>
          <w:rFonts w:cs="Arial"/>
          <w:szCs w:val="22"/>
        </w:rPr>
        <w:t>has continued in 2018–19</w:t>
      </w:r>
      <w:r w:rsidR="00637290" w:rsidRPr="00D562E2">
        <w:rPr>
          <w:rFonts w:cs="Arial"/>
          <w:szCs w:val="22"/>
        </w:rPr>
        <w:t xml:space="preserve"> </w:t>
      </w:r>
      <w:r w:rsidR="0049434E" w:rsidRPr="00D562E2">
        <w:rPr>
          <w:rFonts w:cs="Arial"/>
          <w:szCs w:val="22"/>
        </w:rPr>
        <w:t>(</w:t>
      </w:r>
      <w:r w:rsidR="0049434E" w:rsidRPr="00D562E2">
        <w:rPr>
          <w:rFonts w:cs="Arial"/>
          <w:szCs w:val="22"/>
        </w:rPr>
        <w:fldChar w:fldCharType="begin"/>
      </w:r>
      <w:r w:rsidR="0049434E" w:rsidRPr="00D562E2">
        <w:rPr>
          <w:rFonts w:cs="Arial"/>
          <w:szCs w:val="22"/>
        </w:rPr>
        <w:instrText xml:space="preserve"> REF _Ref271126020 \h  \* MERGEFORMAT </w:instrText>
      </w:r>
      <w:r w:rsidR="0049434E" w:rsidRPr="00D562E2">
        <w:rPr>
          <w:rFonts w:cs="Arial"/>
          <w:szCs w:val="22"/>
        </w:rPr>
      </w:r>
      <w:r w:rsidR="0049434E" w:rsidRPr="00D562E2">
        <w:rPr>
          <w:rFonts w:cs="Arial"/>
          <w:szCs w:val="22"/>
        </w:rPr>
        <w:fldChar w:fldCharType="separate"/>
      </w:r>
      <w:r w:rsidR="0067675D" w:rsidRPr="0067675D">
        <w:rPr>
          <w:rFonts w:cs="Arial"/>
          <w:szCs w:val="22"/>
        </w:rPr>
        <w:t xml:space="preserve">Figure </w:t>
      </w:r>
      <w:r w:rsidR="0067675D" w:rsidRPr="0067675D">
        <w:rPr>
          <w:rFonts w:cs="Arial"/>
          <w:noProof/>
          <w:szCs w:val="22"/>
        </w:rPr>
        <w:t>59</w:t>
      </w:r>
      <w:r w:rsidR="0049434E" w:rsidRPr="00D562E2">
        <w:rPr>
          <w:rFonts w:cs="Arial"/>
          <w:szCs w:val="22"/>
        </w:rPr>
        <w:fldChar w:fldCharType="end"/>
      </w:r>
      <w:r w:rsidR="0049434E" w:rsidRPr="00D562E2">
        <w:rPr>
          <w:rFonts w:cs="Arial"/>
          <w:szCs w:val="22"/>
        </w:rPr>
        <w:t xml:space="preserve">). </w:t>
      </w:r>
    </w:p>
    <w:p w14:paraId="7319797D" w14:textId="77777777" w:rsidR="00270034" w:rsidRPr="00D562E2" w:rsidRDefault="00015AD8" w:rsidP="003D62EE">
      <w:pPr>
        <w:keepNext/>
        <w:widowControl w:val="0"/>
        <w:rPr>
          <w:rFonts w:cs="Arial"/>
          <w:color w:val="000000"/>
          <w:szCs w:val="22"/>
        </w:rPr>
      </w:pPr>
      <w:r w:rsidRPr="00D562E2">
        <w:rPr>
          <w:rFonts w:cs="Arial"/>
          <w:noProof/>
          <w:color w:val="000000"/>
          <w:szCs w:val="22"/>
          <w:lang w:eastAsia="en-AU"/>
        </w:rPr>
        <w:lastRenderedPageBreak/>
        <w:drawing>
          <wp:inline distT="0" distB="0" distL="0" distR="0" wp14:anchorId="146D055E" wp14:editId="6B3CE350">
            <wp:extent cx="5441475" cy="6487062"/>
            <wp:effectExtent l="0" t="0" r="6985" b="9525"/>
            <wp:docPr id="302" name="Picture 302" descr="Set of twenty one scatter plots, displayed in seven by three matrix, with straight lines and markers showing annual elemental ratios (atomic) of seagrass leaf tissue C:N, N:P, C:P, percent Nitrogen, percent Phosphorous, delta 13 Carbon and delta 15 Nitrogen concentrations for the three seagrass habitats in the Burdekin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B_CN_yr_Dec16.png"/>
                    <pic:cNvPicPr/>
                  </pic:nvPicPr>
                  <pic:blipFill>
                    <a:blip r:embed="rId112"/>
                    <a:stretch>
                      <a:fillRect/>
                    </a:stretch>
                  </pic:blipFill>
                  <pic:spPr>
                    <a:xfrm>
                      <a:off x="0" y="0"/>
                      <a:ext cx="5441475" cy="6487062"/>
                    </a:xfrm>
                    <a:prstGeom prst="rect">
                      <a:avLst/>
                    </a:prstGeom>
                  </pic:spPr>
                </pic:pic>
              </a:graphicData>
            </a:graphic>
          </wp:inline>
        </w:drawing>
      </w:r>
    </w:p>
    <w:p w14:paraId="63FD8A5D" w14:textId="7AAD72CC" w:rsidR="00930A4B" w:rsidRPr="00D562E2" w:rsidRDefault="005132EF" w:rsidP="00930A4B">
      <w:pPr>
        <w:rPr>
          <w:rFonts w:cs="Arial"/>
          <w:i/>
          <w:vanish/>
          <w:color w:val="000000" w:themeColor="text1"/>
          <w:szCs w:val="22"/>
          <w:specVanish/>
        </w:rPr>
      </w:pPr>
      <w:bookmarkStart w:id="463" w:name="_Ref271126020"/>
      <w:bookmarkStart w:id="464" w:name="_Toc431493862"/>
      <w:bookmarkStart w:id="465" w:name="_Toc38634163"/>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59</w:t>
      </w:r>
      <w:r w:rsidR="0073595B" w:rsidRPr="00D562E2">
        <w:rPr>
          <w:rFonts w:cs="Arial"/>
          <w:color w:val="000000"/>
          <w:szCs w:val="22"/>
        </w:rPr>
        <w:fldChar w:fldCharType="end"/>
      </w:r>
      <w:bookmarkEnd w:id="463"/>
      <w:r w:rsidRPr="00D562E2">
        <w:rPr>
          <w:rFonts w:cs="Arial"/>
          <w:color w:val="000000"/>
          <w:szCs w:val="22"/>
        </w:rPr>
        <w:t xml:space="preserve">. </w:t>
      </w:r>
      <w:bookmarkEnd w:id="464"/>
      <w:r w:rsidR="00930A4B" w:rsidRPr="00D562E2">
        <w:rPr>
          <w:rFonts w:cs="Arial"/>
          <w:i/>
          <w:color w:val="000000"/>
          <w:szCs w:val="22"/>
          <w:lang w:eastAsia="en-AU"/>
        </w:rPr>
        <w:t xml:space="preserve">Seagrass leaf tissue nutrient elemental ratios (C:N:P) and </w:t>
      </w:r>
      <w:r w:rsidR="00930A4B" w:rsidRPr="00D562E2">
        <w:rPr>
          <w:rFonts w:cs="Arial"/>
          <w:i/>
          <w:color w:val="000000"/>
          <w:szCs w:val="22"/>
          <w:lang w:val="en-US"/>
        </w:rPr>
        <w:t>concentrations (</w:t>
      </w:r>
      <w:r w:rsidR="00DE0861">
        <w:rPr>
          <w:rFonts w:cs="Arial"/>
          <w:i/>
          <w:color w:val="000000"/>
          <w:szCs w:val="22"/>
          <w:lang w:eastAsia="en-AU"/>
        </w:rPr>
        <w:t>%</w:t>
      </w:r>
      <w:r w:rsidR="00930A4B" w:rsidRPr="00D562E2">
        <w:rPr>
          <w:rFonts w:cs="Arial"/>
          <w:i/>
          <w:color w:val="000000"/>
          <w:szCs w:val="22"/>
          <w:lang w:eastAsia="en-AU"/>
        </w:rPr>
        <w:t xml:space="preserve">N, </w:t>
      </w:r>
      <w:r w:rsidR="003C311A">
        <w:rPr>
          <w:rFonts w:cs="Arial"/>
          <w:i/>
          <w:color w:val="000000"/>
          <w:szCs w:val="22"/>
          <w:lang w:eastAsia="en-AU"/>
        </w:rPr>
        <w:t>%</w:t>
      </w:r>
      <w:r w:rsidR="00930A4B" w:rsidRPr="00D562E2">
        <w:rPr>
          <w:rFonts w:cs="Arial"/>
          <w:i/>
          <w:color w:val="000000"/>
          <w:szCs w:val="22"/>
          <w:lang w:eastAsia="en-AU"/>
        </w:rPr>
        <w:t xml:space="preserve">P, </w:t>
      </w:r>
      <w:r w:rsidR="00930A4B" w:rsidRPr="00D562E2">
        <w:rPr>
          <w:rFonts w:cs="Arial"/>
          <w:i/>
          <w:color w:val="000000"/>
          <w:szCs w:val="22"/>
        </w:rPr>
        <w:t>δ</w:t>
      </w:r>
      <w:r w:rsidR="00930A4B" w:rsidRPr="00D562E2">
        <w:rPr>
          <w:rFonts w:cs="Arial"/>
          <w:i/>
          <w:color w:val="000000"/>
          <w:szCs w:val="22"/>
          <w:vertAlign w:val="superscript"/>
        </w:rPr>
        <w:t>13</w:t>
      </w:r>
      <w:r w:rsidR="00930A4B" w:rsidRPr="00D562E2">
        <w:rPr>
          <w:rFonts w:cs="Arial"/>
          <w:i/>
          <w:color w:val="000000"/>
          <w:szCs w:val="22"/>
        </w:rPr>
        <w:t>C</w:t>
      </w:r>
      <w:r w:rsidR="00930A4B" w:rsidRPr="00D562E2">
        <w:rPr>
          <w:rFonts w:cs="Arial"/>
          <w:i/>
          <w:color w:val="000000"/>
          <w:szCs w:val="22"/>
          <w:lang w:val="en-US"/>
        </w:rPr>
        <w:t xml:space="preserve"> and </w:t>
      </w:r>
      <w:r w:rsidR="00930A4B" w:rsidRPr="00D562E2">
        <w:rPr>
          <w:rFonts w:cs="Arial"/>
          <w:i/>
          <w:color w:val="000000"/>
          <w:szCs w:val="22"/>
        </w:rPr>
        <w:t>δ</w:t>
      </w:r>
      <w:r w:rsidR="00930A4B" w:rsidRPr="00D562E2">
        <w:rPr>
          <w:rFonts w:cs="Arial"/>
          <w:i/>
          <w:color w:val="000000"/>
          <w:szCs w:val="22"/>
          <w:vertAlign w:val="superscript"/>
        </w:rPr>
        <w:t>15</w:t>
      </w:r>
      <w:r w:rsidR="00930A4B" w:rsidRPr="00D562E2">
        <w:rPr>
          <w:rFonts w:cs="Arial"/>
          <w:i/>
          <w:color w:val="000000"/>
          <w:szCs w:val="22"/>
        </w:rPr>
        <w:t>N)</w:t>
      </w:r>
      <w:r w:rsidR="00930A4B" w:rsidRPr="00D562E2">
        <w:rPr>
          <w:rFonts w:cs="Arial"/>
          <w:i/>
          <w:color w:val="000000"/>
          <w:szCs w:val="22"/>
          <w:lang w:val="en-US"/>
        </w:rPr>
        <w:t xml:space="preserve"> </w:t>
      </w:r>
      <w:r w:rsidR="00930A4B" w:rsidRPr="00D562E2">
        <w:rPr>
          <w:rFonts w:cs="Arial"/>
          <w:i/>
          <w:color w:val="000000"/>
          <w:szCs w:val="22"/>
          <w:lang w:eastAsia="en-AU"/>
        </w:rPr>
        <w:t xml:space="preserve">for each habitat in the </w:t>
      </w:r>
      <w:r w:rsidR="004E65AD" w:rsidRPr="00D562E2">
        <w:rPr>
          <w:rFonts w:cs="Arial"/>
          <w:i/>
          <w:color w:val="000000"/>
          <w:szCs w:val="22"/>
          <w:lang w:eastAsia="en-AU"/>
        </w:rPr>
        <w:t>Burdekin</w:t>
      </w:r>
      <w:r w:rsidR="00930A4B" w:rsidRPr="00D562E2">
        <w:rPr>
          <w:rFonts w:cs="Arial"/>
          <w:i/>
          <w:color w:val="000000"/>
          <w:szCs w:val="22"/>
          <w:lang w:eastAsia="en-AU"/>
        </w:rPr>
        <w:t xml:space="preserve"> region</w:t>
      </w:r>
      <w:bookmarkEnd w:id="465"/>
    </w:p>
    <w:p w14:paraId="1B97D8B0" w14:textId="78F57D0C" w:rsidR="00565927" w:rsidRPr="00D562E2" w:rsidRDefault="00930A4B" w:rsidP="00930A4B">
      <w:pPr>
        <w:rPr>
          <w:rFonts w:cs="Arial"/>
          <w:i/>
          <w:color w:val="000000"/>
          <w:szCs w:val="22"/>
          <w:lang w:eastAsia="en-AU"/>
        </w:rPr>
      </w:pPr>
      <w:r w:rsidRPr="00D562E2">
        <w:rPr>
          <w:rFonts w:cs="Arial"/>
          <w:i/>
          <w:color w:val="000000"/>
          <w:szCs w:val="22"/>
          <w:lang w:eastAsia="en-AU"/>
        </w:rPr>
        <w:t xml:space="preserve"> (± SE) (foundation species pooled). Horizontal shaded bands or dashed lines represents the accepted seagrass </w:t>
      </w:r>
      <w:r w:rsidRPr="00D562E2">
        <w:rPr>
          <w:rFonts w:cs="Arial"/>
          <w:i/>
          <w:color w:val="000000"/>
          <w:szCs w:val="22"/>
        </w:rPr>
        <w:t xml:space="preserve">guideline </w:t>
      </w:r>
      <w:r w:rsidRPr="00D562E2">
        <w:rPr>
          <w:rFonts w:cs="Arial"/>
          <w:i/>
          <w:color w:val="000000"/>
          <w:szCs w:val="22"/>
          <w:lang w:eastAsia="en-AU"/>
        </w:rPr>
        <w:t xml:space="preserve">values, where: C:N ratios within </w:t>
      </w:r>
      <w:r w:rsidRPr="00D562E2">
        <w:rPr>
          <w:rFonts w:cs="Arial"/>
          <w:i/>
          <w:color w:val="000000"/>
          <w:szCs w:val="22"/>
          <w:lang w:eastAsia="en-AU"/>
        </w:rPr>
        <w:lastRenderedPageBreak/>
        <w:t xml:space="preserve">the band may </w:t>
      </w:r>
      <w:r w:rsidRPr="00D562E2">
        <w:rPr>
          <w:rFonts w:cs="Arial"/>
          <w:i/>
          <w:color w:val="000000"/>
          <w:szCs w:val="22"/>
        </w:rPr>
        <w:t xml:space="preserve">indicate reduced light availability and/or N enrichment; </w:t>
      </w:r>
      <w:r w:rsidRPr="00D562E2">
        <w:rPr>
          <w:rFonts w:cs="Arial"/>
          <w:i/>
          <w:color w:val="000000"/>
          <w:szCs w:val="22"/>
          <w:lang w:eastAsia="en-AU"/>
        </w:rPr>
        <w:t xml:space="preserve">N:P ratios above the band indicate P limitation, below indicate N limitation and within indicates replete, and; C:P ratios within the band may </w:t>
      </w:r>
      <w:r w:rsidRPr="00D562E2">
        <w:rPr>
          <w:rFonts w:cs="Arial"/>
          <w:i/>
          <w:color w:val="000000"/>
          <w:szCs w:val="22"/>
        </w:rPr>
        <w:t xml:space="preserve">indicate </w:t>
      </w:r>
      <w:r w:rsidRPr="00D562E2">
        <w:rPr>
          <w:rFonts w:cs="Arial"/>
          <w:i/>
          <w:color w:val="000000"/>
          <w:szCs w:val="22"/>
          <w:lang w:eastAsia="en-AU"/>
        </w:rPr>
        <w:t>nutrient rich habitats (large P pool).</w:t>
      </w:r>
      <w:r w:rsidRPr="00D562E2">
        <w:rPr>
          <w:rFonts w:cs="Arial"/>
          <w:color w:val="000000"/>
          <w:szCs w:val="22"/>
          <w:lang w:eastAsia="en-AU"/>
        </w:rPr>
        <w:t xml:space="preserve"> </w:t>
      </w:r>
      <w:r w:rsidRPr="00D562E2">
        <w:rPr>
          <w:rFonts w:cs="Arial"/>
          <w:i/>
          <w:color w:val="000000"/>
          <w:szCs w:val="22"/>
        </w:rPr>
        <w:t xml:space="preserve">Dashed lines in </w:t>
      </w:r>
      <w:r w:rsidR="003C311A">
        <w:rPr>
          <w:rFonts w:cs="Arial"/>
          <w:i/>
          <w:color w:val="000000"/>
          <w:szCs w:val="22"/>
        </w:rPr>
        <w:t>%</w:t>
      </w:r>
      <w:r w:rsidRPr="00D562E2">
        <w:rPr>
          <w:rFonts w:cs="Arial"/>
          <w:i/>
          <w:color w:val="000000"/>
          <w:szCs w:val="22"/>
        </w:rPr>
        <w:t xml:space="preserve">N and </w:t>
      </w:r>
      <w:r w:rsidR="003C311A">
        <w:rPr>
          <w:rFonts w:cs="Arial"/>
          <w:i/>
          <w:color w:val="000000"/>
          <w:szCs w:val="22"/>
        </w:rPr>
        <w:t>%</w:t>
      </w:r>
      <w:r w:rsidRPr="00D562E2">
        <w:rPr>
          <w:rFonts w:cs="Arial"/>
          <w:i/>
          <w:color w:val="000000"/>
          <w:szCs w:val="22"/>
        </w:rPr>
        <w:t>P indicate global median values of 1.8</w:t>
      </w:r>
      <w:r w:rsidR="003C311A">
        <w:rPr>
          <w:rFonts w:cs="Arial"/>
          <w:i/>
          <w:color w:val="000000"/>
          <w:szCs w:val="22"/>
        </w:rPr>
        <w:t xml:space="preserve">% </w:t>
      </w:r>
      <w:r w:rsidRPr="00D562E2">
        <w:rPr>
          <w:rFonts w:cs="Arial"/>
          <w:i/>
          <w:color w:val="000000"/>
          <w:szCs w:val="22"/>
        </w:rPr>
        <w:t>and 0.2</w:t>
      </w:r>
      <w:r w:rsidR="003C311A">
        <w:rPr>
          <w:rFonts w:cs="Arial"/>
          <w:i/>
          <w:color w:val="000000"/>
          <w:szCs w:val="22"/>
        </w:rPr>
        <w:t xml:space="preserve">% </w:t>
      </w:r>
      <w:r w:rsidRPr="00D562E2">
        <w:rPr>
          <w:rFonts w:cs="Arial"/>
          <w:i/>
          <w:color w:val="000000"/>
          <w:szCs w:val="22"/>
        </w:rPr>
        <w:t>for tissue nitrogen and phosphorus, respectively (</w:t>
      </w:r>
      <w:hyperlink w:anchor="_ENREF_53" w:tooltip="Duarte, 1990 #1954" w:history="1">
        <w:r w:rsidR="009A7AB4" w:rsidRPr="00D562E2">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D562E2">
          <w:rPr>
            <w:rFonts w:cs="Arial"/>
            <w:i/>
            <w:color w:val="000000"/>
            <w:szCs w:val="22"/>
          </w:rPr>
          <w:fldChar w:fldCharType="separate"/>
        </w:r>
        <w:r w:rsidR="009A7AB4">
          <w:rPr>
            <w:rFonts w:cs="Arial"/>
            <w:i/>
            <w:noProof/>
            <w:color w:val="000000"/>
            <w:szCs w:val="22"/>
          </w:rPr>
          <w:t>Duarte 1990</w:t>
        </w:r>
        <w:r w:rsidR="009A7AB4" w:rsidRPr="00D562E2">
          <w:rPr>
            <w:rFonts w:cs="Arial"/>
            <w:i/>
            <w:color w:val="000000"/>
            <w:szCs w:val="22"/>
          </w:rPr>
          <w:fldChar w:fldCharType="end"/>
        </w:r>
      </w:hyperlink>
      <w:r w:rsidRPr="00D562E2">
        <w:rPr>
          <w:rFonts w:cs="Arial"/>
          <w:i/>
          <w:color w:val="000000"/>
          <w:szCs w:val="22"/>
        </w:rPr>
        <w:t>).</w:t>
      </w:r>
    </w:p>
    <w:p w14:paraId="7C5582CF" w14:textId="40EA9587" w:rsidR="005132EF" w:rsidRPr="00D562E2" w:rsidRDefault="005132EF" w:rsidP="00785606">
      <w:pPr>
        <w:pStyle w:val="Heading4"/>
      </w:pPr>
      <w:bookmarkStart w:id="466" w:name="_Toc232845920"/>
      <w:bookmarkStart w:id="467" w:name="_Toc184102003"/>
      <w:bookmarkStart w:id="468" w:name="_Toc37775092"/>
      <w:bookmarkStart w:id="469" w:name="_Toc43987067"/>
      <w:r w:rsidRPr="00D562E2">
        <w:t>Epiphytes and macroalgae</w:t>
      </w:r>
      <w:bookmarkEnd w:id="466"/>
      <w:bookmarkEnd w:id="467"/>
      <w:bookmarkEnd w:id="468"/>
      <w:bookmarkEnd w:id="469"/>
    </w:p>
    <w:p w14:paraId="24120F08" w14:textId="2AE7DC9E" w:rsidR="00E255DB" w:rsidRPr="00D562E2" w:rsidRDefault="005132EF" w:rsidP="00034AD4">
      <w:pPr>
        <w:rPr>
          <w:rFonts w:cs="Arial"/>
          <w:szCs w:val="22"/>
          <w:lang w:val="en-US"/>
        </w:rPr>
      </w:pPr>
      <w:r w:rsidRPr="00D562E2">
        <w:rPr>
          <w:rFonts w:cs="Arial"/>
          <w:szCs w:val="22"/>
          <w:lang w:val="en-US"/>
        </w:rPr>
        <w:t xml:space="preserve">Epiphyte cover on seagrass leaf blades </w:t>
      </w:r>
      <w:r w:rsidR="00574FC8" w:rsidRPr="00D562E2">
        <w:rPr>
          <w:rFonts w:cs="Arial"/>
          <w:szCs w:val="22"/>
          <w:lang w:val="en-US"/>
        </w:rPr>
        <w:t>differs between</w:t>
      </w:r>
      <w:r w:rsidR="00BB0EF6" w:rsidRPr="00D562E2">
        <w:rPr>
          <w:rFonts w:cs="Arial"/>
          <w:szCs w:val="22"/>
          <w:lang w:val="en-US"/>
        </w:rPr>
        <w:t xml:space="preserve"> the </w:t>
      </w:r>
      <w:r w:rsidR="00292745" w:rsidRPr="00D562E2">
        <w:rPr>
          <w:rFonts w:cs="Arial"/>
          <w:szCs w:val="22"/>
          <w:lang w:val="en-US"/>
        </w:rPr>
        <w:t xml:space="preserve">wet </w:t>
      </w:r>
      <w:r w:rsidR="00574FC8" w:rsidRPr="00D562E2">
        <w:rPr>
          <w:rFonts w:cs="Arial"/>
          <w:szCs w:val="22"/>
          <w:lang w:val="en-US"/>
        </w:rPr>
        <w:t>and</w:t>
      </w:r>
      <w:r w:rsidR="00F84928" w:rsidRPr="00D562E2">
        <w:rPr>
          <w:rFonts w:cs="Arial"/>
          <w:szCs w:val="22"/>
          <w:lang w:val="en-US"/>
        </w:rPr>
        <w:t xml:space="preserve"> </w:t>
      </w:r>
      <w:r w:rsidR="00292745" w:rsidRPr="00D562E2">
        <w:rPr>
          <w:rFonts w:cs="Arial"/>
          <w:szCs w:val="22"/>
          <w:lang w:val="en-US"/>
        </w:rPr>
        <w:t>dry</w:t>
      </w:r>
      <w:r w:rsidR="00582441" w:rsidRPr="00D562E2">
        <w:rPr>
          <w:rFonts w:cs="Arial"/>
          <w:szCs w:val="22"/>
          <w:lang w:val="en-US"/>
        </w:rPr>
        <w:t xml:space="preserve"> </w:t>
      </w:r>
      <w:r w:rsidR="00BB0EF6" w:rsidRPr="00D562E2">
        <w:rPr>
          <w:rFonts w:cs="Arial"/>
          <w:szCs w:val="22"/>
          <w:lang w:val="en-US"/>
        </w:rPr>
        <w:t xml:space="preserve">season </w:t>
      </w:r>
      <w:r w:rsidR="00740990" w:rsidRPr="00D562E2">
        <w:rPr>
          <w:rFonts w:cs="Arial"/>
          <w:szCs w:val="22"/>
          <w:lang w:val="en-US"/>
        </w:rPr>
        <w:t>at coastal sites, but there is not a strong s</w:t>
      </w:r>
      <w:r w:rsidR="00B26D25" w:rsidRPr="00D562E2">
        <w:rPr>
          <w:rFonts w:cs="Arial"/>
          <w:szCs w:val="22"/>
          <w:lang w:val="en-US"/>
        </w:rPr>
        <w:t>easonal trend in other habitats</w:t>
      </w:r>
      <w:r w:rsidR="00740990" w:rsidRPr="00D562E2">
        <w:rPr>
          <w:rFonts w:cs="Arial"/>
          <w:szCs w:val="22"/>
          <w:lang w:val="en-US"/>
        </w:rPr>
        <w:t xml:space="preserve">. </w:t>
      </w:r>
      <w:r w:rsidR="00C45977" w:rsidRPr="00D562E2">
        <w:rPr>
          <w:rFonts w:cs="Arial"/>
          <w:szCs w:val="22"/>
          <w:lang w:val="en-US"/>
        </w:rPr>
        <w:t>(</w:t>
      </w:r>
      <w:r w:rsidR="00C45977" w:rsidRPr="00D562E2">
        <w:rPr>
          <w:rFonts w:cs="Arial"/>
          <w:szCs w:val="22"/>
          <w:lang w:val="en-US"/>
        </w:rPr>
        <w:fldChar w:fldCharType="begin"/>
      </w:r>
      <w:r w:rsidR="00C45977" w:rsidRPr="00D562E2">
        <w:rPr>
          <w:rFonts w:cs="Arial"/>
          <w:szCs w:val="22"/>
          <w:lang w:val="en-US"/>
        </w:rPr>
        <w:instrText xml:space="preserve"> REF _Ref380433470 \h </w:instrText>
      </w:r>
      <w:r w:rsidR="00015190" w:rsidRPr="00D562E2">
        <w:rPr>
          <w:rFonts w:cs="Arial"/>
          <w:szCs w:val="22"/>
          <w:lang w:val="en-US"/>
        </w:rPr>
        <w:instrText xml:space="preserve"> \* MERGEFORMAT </w:instrText>
      </w:r>
      <w:r w:rsidR="00C45977" w:rsidRPr="00D562E2">
        <w:rPr>
          <w:rFonts w:cs="Arial"/>
          <w:szCs w:val="22"/>
          <w:lang w:val="en-US"/>
        </w:rPr>
      </w:r>
      <w:r w:rsidR="00C45977"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60</w:t>
      </w:r>
      <w:r w:rsidR="00C45977" w:rsidRPr="00D562E2">
        <w:rPr>
          <w:rFonts w:cs="Arial"/>
          <w:szCs w:val="22"/>
          <w:lang w:val="en-US"/>
        </w:rPr>
        <w:fldChar w:fldCharType="end"/>
      </w:r>
      <w:r w:rsidR="00D40A36" w:rsidRPr="00D562E2">
        <w:rPr>
          <w:rFonts w:cs="Arial"/>
          <w:szCs w:val="22"/>
          <w:lang w:val="en-US"/>
        </w:rPr>
        <w:t>)</w:t>
      </w:r>
      <w:r w:rsidR="00BB0EF6" w:rsidRPr="00D562E2">
        <w:rPr>
          <w:rFonts w:cs="Arial"/>
          <w:szCs w:val="22"/>
          <w:lang w:val="en-US"/>
        </w:rPr>
        <w:t xml:space="preserve">. </w:t>
      </w:r>
      <w:r w:rsidR="001A5AF9" w:rsidRPr="00D562E2">
        <w:rPr>
          <w:rFonts w:cs="Arial"/>
          <w:szCs w:val="22"/>
          <w:lang w:val="en-US"/>
        </w:rPr>
        <w:t>In reef habitats, epiphyte</w:t>
      </w:r>
      <w:r w:rsidR="00574FC8" w:rsidRPr="00D562E2">
        <w:rPr>
          <w:rFonts w:cs="Arial"/>
          <w:szCs w:val="22"/>
          <w:lang w:val="en-US"/>
        </w:rPr>
        <w:t xml:space="preserve"> abundance ha</w:t>
      </w:r>
      <w:r w:rsidR="001A5AF9" w:rsidRPr="00D562E2">
        <w:rPr>
          <w:rFonts w:cs="Arial"/>
          <w:szCs w:val="22"/>
          <w:lang w:val="en-US"/>
        </w:rPr>
        <w:t>d</w:t>
      </w:r>
      <w:r w:rsidR="00574FC8" w:rsidRPr="00D562E2">
        <w:rPr>
          <w:rFonts w:cs="Arial"/>
          <w:szCs w:val="22"/>
          <w:lang w:val="en-US"/>
        </w:rPr>
        <w:t xml:space="preserve"> been above the </w:t>
      </w:r>
      <w:r w:rsidR="00E255DB" w:rsidRPr="00D562E2">
        <w:rPr>
          <w:rFonts w:cs="Arial"/>
          <w:szCs w:val="22"/>
          <w:lang w:val="en-US"/>
        </w:rPr>
        <w:t>Reef</w:t>
      </w:r>
      <w:r w:rsidR="00574FC8" w:rsidRPr="00D562E2">
        <w:rPr>
          <w:rFonts w:cs="Arial"/>
          <w:szCs w:val="22"/>
          <w:lang w:val="en-US"/>
        </w:rPr>
        <w:t>-wide lon</w:t>
      </w:r>
      <w:r w:rsidR="009213E9" w:rsidRPr="00D562E2">
        <w:rPr>
          <w:rFonts w:cs="Arial"/>
          <w:szCs w:val="22"/>
          <w:lang w:val="en-US"/>
        </w:rPr>
        <w:t>g</w:t>
      </w:r>
      <w:r w:rsidR="00574FC8" w:rsidRPr="00D562E2">
        <w:rPr>
          <w:rFonts w:cs="Arial"/>
          <w:szCs w:val="22"/>
          <w:lang w:val="en-US"/>
        </w:rPr>
        <w:t>-term average</w:t>
      </w:r>
      <w:r w:rsidR="009213E9" w:rsidRPr="00D562E2">
        <w:rPr>
          <w:rFonts w:cs="Arial"/>
          <w:szCs w:val="22"/>
          <w:lang w:val="en-US"/>
        </w:rPr>
        <w:t xml:space="preserve"> for the last few years</w:t>
      </w:r>
      <w:r w:rsidR="001A5AF9" w:rsidRPr="00D562E2">
        <w:rPr>
          <w:rFonts w:cs="Arial"/>
          <w:szCs w:val="22"/>
          <w:lang w:val="en-US"/>
        </w:rPr>
        <w:t>, but declined in 2018</w:t>
      </w:r>
      <w:r w:rsidR="004916B0" w:rsidRPr="00FA314F">
        <w:rPr>
          <w:rFonts w:cs="Arial"/>
          <w:szCs w:val="22"/>
        </w:rPr>
        <w:t>–</w:t>
      </w:r>
      <w:r w:rsidR="001A5AF9" w:rsidRPr="00D562E2">
        <w:rPr>
          <w:rFonts w:cs="Arial"/>
          <w:szCs w:val="22"/>
          <w:lang w:val="en-US"/>
        </w:rPr>
        <w:t>19 in both the dry and wet in intertidal habitats and in the wet season for subtidal habitats</w:t>
      </w:r>
      <w:r w:rsidR="009213E9" w:rsidRPr="00D562E2">
        <w:rPr>
          <w:rFonts w:cs="Arial"/>
          <w:szCs w:val="22"/>
          <w:lang w:val="en-US"/>
        </w:rPr>
        <w:t xml:space="preserve">. </w:t>
      </w:r>
      <w:r w:rsidR="000A3A49" w:rsidRPr="00D562E2">
        <w:rPr>
          <w:rFonts w:cs="Arial"/>
          <w:szCs w:val="22"/>
          <w:lang w:val="en-US"/>
        </w:rPr>
        <w:t>Declines in epiphyte abundance have been observed following previous above-average discharge (e.g. 2010</w:t>
      </w:r>
      <w:r w:rsidR="000A3A49" w:rsidRPr="00D562E2">
        <w:rPr>
          <w:rFonts w:cs="Arial"/>
          <w:szCs w:val="22"/>
        </w:rPr>
        <w:t>–</w:t>
      </w:r>
      <w:r w:rsidR="000A3A49" w:rsidRPr="00D562E2">
        <w:rPr>
          <w:rFonts w:cs="Arial"/>
          <w:szCs w:val="22"/>
          <w:lang w:val="en-US"/>
        </w:rPr>
        <w:t xml:space="preserve">11), which may reflect </w:t>
      </w:r>
      <w:r w:rsidR="00EB712D" w:rsidRPr="00D562E2">
        <w:rPr>
          <w:rFonts w:cs="Arial"/>
          <w:szCs w:val="22"/>
          <w:lang w:val="en-US"/>
        </w:rPr>
        <w:t xml:space="preserve">their sensitivity to turbidity and </w:t>
      </w:r>
      <w:r w:rsidR="000A3A49" w:rsidRPr="00D562E2">
        <w:rPr>
          <w:rFonts w:cs="Arial"/>
          <w:szCs w:val="22"/>
          <w:lang w:val="en-US"/>
        </w:rPr>
        <w:t>light limitation</w:t>
      </w:r>
      <w:r w:rsidR="00A22302" w:rsidRPr="00D562E2">
        <w:rPr>
          <w:rFonts w:cs="Arial"/>
          <w:szCs w:val="22"/>
          <w:lang w:val="en-US"/>
        </w:rPr>
        <w:t>. It might also reflect declining salinity for sites affected by freshwater</w:t>
      </w:r>
      <w:r w:rsidR="00544845">
        <w:rPr>
          <w:rFonts w:cs="Arial"/>
          <w:szCs w:val="22"/>
          <w:lang w:val="en-US"/>
        </w:rPr>
        <w:t>,</w:t>
      </w:r>
      <w:r w:rsidR="00A22302" w:rsidRPr="00D562E2">
        <w:rPr>
          <w:rFonts w:cs="Arial"/>
          <w:szCs w:val="22"/>
          <w:lang w:val="en-US"/>
        </w:rPr>
        <w:t xml:space="preserve"> including those reef sites at Magnetic Island, which can be affected by very localised discharge. </w:t>
      </w:r>
      <w:r w:rsidR="00EB712D" w:rsidRPr="00D562E2">
        <w:rPr>
          <w:rFonts w:cs="Arial"/>
          <w:szCs w:val="22"/>
          <w:lang w:val="en-US"/>
        </w:rPr>
        <w:t>Both epiphytes and macroalgae cover can increase following nutrient enrichment (</w:t>
      </w:r>
      <w:r w:rsidR="00EB712D" w:rsidRPr="00D562E2">
        <w:rPr>
          <w:rFonts w:cs="Arial"/>
          <w:szCs w:val="22"/>
          <w:lang w:val="en-US"/>
        </w:rPr>
        <w:fldChar w:fldCharType="begin">
          <w:fldData xml:space="preserve">PEVuZE5vdGU+PENpdGU+PEF1dGhvcj5OZWxzb248L0F1dGhvcj48WWVhcj4yMDE3PC9ZZWFyPjxS
ZWNOdW0+MTA4MTM8L1JlY051bT48RGlzcGxheVRleHQ+Q2FiYcOnbzxzdHlsZSBmYWNlPSJpdGFs
aWMiPiBldCBhbC48L3N0eWxlPiAyMDEzOyBOZWxzb24gMjAxNzwvRGlzcGxheVRleHQ+PHJlY29y
ZD48cmVjLW51bWJlcj4xMDgxMzwvcmVjLW51bWJlcj48Zm9yZWlnbi1rZXlzPjxrZXkgYXBwPSJF
TiIgZGItaWQ9IjBldmU1NXg5eTV2ZmQ2ZTlkYWN4dGV3NGVhdHZlMmR6ZHM5YSIgdGltZXN0YW1w
PSIxNDgxNTgxMzQwIj4xMDgxMzwva2V5PjwvZm9yZWlnbi1rZXlzPjxyZWYtdHlwZSBuYW1lPSJK
b3VybmFsIEFydGljbGUiPjE3PC9yZWYtdHlwZT48Y29udHJpYnV0b3JzPjxhdXRob3JzPjxhdXRo
b3I+TmVsc29uLCBXYWx0ZXIgRy48L2F1dGhvcj48L2F1dGhvcnM+PC9jb250cmlidXRvcnM+PHRp
dGxlcz48dGl0bGU+RGV2ZWxvcG1lbnQgb2YgYW4gZXBpcGh5dGUgaW5kaWNhdG9yIG9mIG51dHJp
ZW50IGVucmljaG1lbnQ6IFRocmVzaG9sZCB2YWx1ZXMgZm9yIHNlYWdyYXNzIGVwaXBoeXRlIGxv
YWQ8L3RpdGxlPjxzZWNvbmRhcnktdGl0bGU+RWNvbG9naWNhbCBJbmRpY2F0b3JzPC9zZWNvbmRh
cnktdGl0bGU+PC90aXRsZXM+PHBlcmlvZGljYWw+PGZ1bGwtdGl0bGU+RWNvbG9naWNhbCBJbmRp
Y2F0b3JzPC9mdWxsLXRpdGxlPjwvcGVyaW9kaWNhbD48cGFnZXM+MzQzLTM1NjwvcGFnZXM+PHZv
bHVtZT43NDwvdm9sdW1lPjxrZXl3b3Jkcz48a2V5d29yZD5FcGlwaHl0ZTwva2V5d29yZD48a2V5
d29yZD5OdXRyaWVudCBpbmRpY2F0b3I8L2tleXdvcmQ+PGtleXdvcmQ+V2F0ZXIgcXVhbGl0eSBp
bmRpY2F0b3I8L2tleXdvcmQ+PGtleXdvcmQ+SW5kaWNhdG9yIGRldmVsb3BtZW50PC9rZXl3b3Jk
PjxrZXl3b3JkPlNlYWdyYXNzPC9rZXl3b3JkPjwva2V5d29yZHM+PGRhdGVzPjx5ZWFyPjIwMTc8
L3llYXI+PHB1Yi1kYXRlcz48ZGF0ZT4zLy88L2RhdGU+PC9wdWItZGF0ZXM+PC9kYXRlcz48aXNi
bj4xNDcwLTE2MFg8L2lzYm4+PHVybHM+PHJlbGF0ZWQtdXJscz48dXJsPmh0dHA6Ly93d3cuc2Np
ZW5jZWRpcmVjdC5jb20vc2NpZW5jZS9hcnRpY2xlL3BpaS9TMTQ3MDE2MFgxNjMwNjcyMDwvdXJs
PjwvcmVsYXRlZC11cmxzPjwvdXJscz48ZWxlY3Ryb25pYy1yZXNvdXJjZS1udW0+aHR0cDovL2R4
LmRvaS5vcmcvMTAuMTAxNi9qLmVjb2xpbmQuMjAxNi4xMS4wMzU8L2VsZWN0cm9uaWMtcmVzb3Vy
Y2UtbnVtPjwvcmVjb3JkPjwvQ2l0ZT48Q2l0ZT48QXV0aG9yPkNhYmHDp288L0F1dGhvcj48WWVh
cj4yMDEzPC9ZZWFyPjxSZWNOdW0+MTA5MTc8L1JlY051bT48cmVjb3JkPjxyZWMtbnVtYmVyPjEw
OTE3PC9yZWMtbnVtYmVyPjxmb3JlaWduLWtleXM+PGtleSBhcHA9IkVOIiBkYi1pZD0iMGV2ZTU1
eDl5NXZmZDZlOWRhY3h0ZXc0ZWF0dmUyZHpkczlhIiB0aW1lc3RhbXA9IjE0ODg0MjIyODgiPjEw
OTE3PC9rZXk+PC9mb3JlaWduLWtleXM+PHJlZi10eXBlIG5hbWU9IkpvdXJuYWwgQXJ0aWNsZSI+
MTc8L3JlZi10eXBlPjxjb250cmlidXRvcnM+PGF1dGhvcnM+PGF1dGhvcj5DYWJhw6dvLCBTdXNh
bmE8L2F1dGhvcj48YXV0aG9yPkFwb3N0b2xha2ksIEV1Z2VuaWEgVC48L2F1dGhvcj48YXV0aG9y
PkdhcmPDrWEtTWFyw61uLCBQYXRyaWNpYTwvYXV0aG9yPjxhdXRob3I+R3J1YmVyLCBSZW5lZTwv
YXV0aG9yPjxhdXRob3I+SGVybsOhbmRleiwgSWduYWNpbzwvYXV0aG9yPjxhdXRob3I+TWFydMOt
bmV6LUNyZWdvLCBCZWdvw7FhPC9hdXRob3I+PGF1dGhvcj5NYXNjYXLDsywgT3Jpb2w8L2F1dGhv
cj48YXV0aG9yPlDDqXJleiwgTWFydGE8L2F1dGhvcj48YXV0aG9yPlByYXRoZXAsIEFuY2hhbmE8
L2F1dGhvcj48YXV0aG9yPlJvYmluc29uLCBDbGlmZjwvYXV0aG9yPjxhdXRob3I+Um9tZXJvLCBK
YXZpZXI8L2F1dGhvcj48YXV0aG9yPlNjaG1pZHQsIEFsbGlzb24gTC48L2F1dGhvcj48YXV0aG9y
PlNob3J0LCBGcmVkIFQuPC9hdXRob3I+PGF1dGhvcj52YW4gVHVzc2VuYnJvZWssIEJyaWdpdHRh
IEkuPC9hdXRob3I+PGF1dGhvcj5TYW50b3MsIFJ1aTwvYXV0aG9yPjwvYXV0aG9ycz48L2NvbnRy
aWJ1dG9ycz48dGl0bGVzPjx0aXRsZT5FZmZlY3RzIG9mIG51dHJpZW50IGVucmljaG1lbnQgb24g
c2VhZ3Jhc3MgcG9wdWxhdGlvbiBkeW5hbWljczogZXZpZGVuY2UgYW5kIHN5bnRoZXNpcyBmcm9t
IHRoZSBiaW9tYXNz4oCTZGVuc2l0eSByZWxhdGlvbnNoaXBzPC90aXRsZT48c2Vjb25kYXJ5LXRp
dGxlPkpvdXJuYWwgb2YgRWNvbG9neTwvc2Vjb25kYXJ5LXRpdGxlPjwvdGl0bGVzPjxwZXJpb2Rp
Y2FsPjxmdWxsLXRpdGxlPkpvdXJuYWwgb2YgRWNvbG9neTwvZnVsbC10aXRsZT48L3BlcmlvZGlj
YWw+PHBhZ2VzPjE1NTItMTU2MjwvcGFnZXM+PHZvbHVtZT4xMDE8L3ZvbHVtZT48bnVtYmVyPjY8
L251bWJlcj48a2V5d29yZHM+PGtleXdvcmQ+YmlvbWFzc+KAk2RlbnNpdHkgcmVsYXRpb25zaGlw
PC9rZXl3b3JkPjxrZXl3b3JkPmZhY2lsaXRhdGlvbjwva2V5d29yZD48a2V5d29yZD5pbnRyYXNw
ZWNpZmljIGNvbXBldGl0aW9uPC9rZXl3b3JkPjxrZXl3b3JkPm1vbml0b3Jpbmc8L2tleXdvcmQ+
PGtleXdvcmQ+bnV0cmllbnQgZW5yaWNobWVudDwva2V5d29yZD48a2V5d29yZD5wbGFudCBwb3B1
bGF0aW9uIGFuZCBjb21tdW5pdHkgZHluYW1pY3M8L2tleXdvcmQ+PGtleXdvcmQ+c2VhZ3Jhc3M8
L2tleXdvcmQ+PC9rZXl3b3Jkcz48ZGF0ZXM+PHllYXI+MjAxMzwveWVhcj48L2RhdGVzPjxpc2Ju
PjEzNjUtMjc0NTwvaXNibj48dXJscz48cmVsYXRlZC11cmxzPjx1cmw+aHR0cDovL2R4LmRvaS5v
cmcvMTAuMTExMS8xMzY1LTI3NDUuMTIxMzQ8L3VybD48L3JlbGF0ZWQtdXJscz48L3VybHM+PGVs
ZWN0cm9uaWMtcmVzb3VyY2UtbnVtPjEwLjExMTEvMTM2NS0yNzQ1LjEyMTM0PC9lbGVjdHJvbmlj
LXJlc291cmNlLW51bT48L3JlY29yZD48L0NpdGU+PC9FbmROb3RlPn==
</w:fldData>
        </w:fldChar>
      </w:r>
      <w:r w:rsidR="00EB712D" w:rsidRPr="00D562E2">
        <w:rPr>
          <w:rFonts w:cs="Arial"/>
          <w:szCs w:val="22"/>
          <w:lang w:val="en-US"/>
        </w:rPr>
        <w:instrText xml:space="preserve"> ADDIN EN.CITE </w:instrText>
      </w:r>
      <w:r w:rsidR="00EB712D" w:rsidRPr="00D562E2">
        <w:rPr>
          <w:rFonts w:cs="Arial"/>
          <w:szCs w:val="22"/>
          <w:lang w:val="en-US"/>
        </w:rPr>
        <w:fldChar w:fldCharType="begin">
          <w:fldData xml:space="preserve">PEVuZE5vdGU+PENpdGU+PEF1dGhvcj5OZWxzb248L0F1dGhvcj48WWVhcj4yMDE3PC9ZZWFyPjxS
ZWNOdW0+MTA4MTM8L1JlY051bT48RGlzcGxheVRleHQ+Q2FiYcOnbzxzdHlsZSBmYWNlPSJpdGFs
aWMiPiBldCBhbC48L3N0eWxlPiAyMDEzOyBOZWxzb24gMjAxNzwvRGlzcGxheVRleHQ+PHJlY29y
ZD48cmVjLW51bWJlcj4xMDgxMzwvcmVjLW51bWJlcj48Zm9yZWlnbi1rZXlzPjxrZXkgYXBwPSJF
TiIgZGItaWQ9IjBldmU1NXg5eTV2ZmQ2ZTlkYWN4dGV3NGVhdHZlMmR6ZHM5YSIgdGltZXN0YW1w
PSIxNDgxNTgxMzQwIj4xMDgxMzwva2V5PjwvZm9yZWlnbi1rZXlzPjxyZWYtdHlwZSBuYW1lPSJK
b3VybmFsIEFydGljbGUiPjE3PC9yZWYtdHlwZT48Y29udHJpYnV0b3JzPjxhdXRob3JzPjxhdXRo
b3I+TmVsc29uLCBXYWx0ZXIgRy48L2F1dGhvcj48L2F1dGhvcnM+PC9jb250cmlidXRvcnM+PHRp
dGxlcz48dGl0bGU+RGV2ZWxvcG1lbnQgb2YgYW4gZXBpcGh5dGUgaW5kaWNhdG9yIG9mIG51dHJp
ZW50IGVucmljaG1lbnQ6IFRocmVzaG9sZCB2YWx1ZXMgZm9yIHNlYWdyYXNzIGVwaXBoeXRlIGxv
YWQ8L3RpdGxlPjxzZWNvbmRhcnktdGl0bGU+RWNvbG9naWNhbCBJbmRpY2F0b3JzPC9zZWNvbmRh
cnktdGl0bGU+PC90aXRsZXM+PHBlcmlvZGljYWw+PGZ1bGwtdGl0bGU+RWNvbG9naWNhbCBJbmRp
Y2F0b3JzPC9mdWxsLXRpdGxlPjwvcGVyaW9kaWNhbD48cGFnZXM+MzQzLTM1NjwvcGFnZXM+PHZv
bHVtZT43NDwvdm9sdW1lPjxrZXl3b3Jkcz48a2V5d29yZD5FcGlwaHl0ZTwva2V5d29yZD48a2V5
d29yZD5OdXRyaWVudCBpbmRpY2F0b3I8L2tleXdvcmQ+PGtleXdvcmQ+V2F0ZXIgcXVhbGl0eSBp
bmRpY2F0b3I8L2tleXdvcmQ+PGtleXdvcmQ+SW5kaWNhdG9yIGRldmVsb3BtZW50PC9rZXl3b3Jk
PjxrZXl3b3JkPlNlYWdyYXNzPC9rZXl3b3JkPjwva2V5d29yZHM+PGRhdGVzPjx5ZWFyPjIwMTc8
L3llYXI+PHB1Yi1kYXRlcz48ZGF0ZT4zLy88L2RhdGU+PC9wdWItZGF0ZXM+PC9kYXRlcz48aXNi
bj4xNDcwLTE2MFg8L2lzYm4+PHVybHM+PHJlbGF0ZWQtdXJscz48dXJsPmh0dHA6Ly93d3cuc2Np
ZW5jZWRpcmVjdC5jb20vc2NpZW5jZS9hcnRpY2xlL3BpaS9TMTQ3MDE2MFgxNjMwNjcyMDwvdXJs
PjwvcmVsYXRlZC11cmxzPjwvdXJscz48ZWxlY3Ryb25pYy1yZXNvdXJjZS1udW0+aHR0cDovL2R4
LmRvaS5vcmcvMTAuMTAxNi9qLmVjb2xpbmQuMjAxNi4xMS4wMzU8L2VsZWN0cm9uaWMtcmVzb3Vy
Y2UtbnVtPjwvcmVjb3JkPjwvQ2l0ZT48Q2l0ZT48QXV0aG9yPkNhYmHDp288L0F1dGhvcj48WWVh
cj4yMDEzPC9ZZWFyPjxSZWNOdW0+MTA5MTc8L1JlY051bT48cmVjb3JkPjxyZWMtbnVtYmVyPjEw
OTE3PC9yZWMtbnVtYmVyPjxmb3JlaWduLWtleXM+PGtleSBhcHA9IkVOIiBkYi1pZD0iMGV2ZTU1
eDl5NXZmZDZlOWRhY3h0ZXc0ZWF0dmUyZHpkczlhIiB0aW1lc3RhbXA9IjE0ODg0MjIyODgiPjEw
OTE3PC9rZXk+PC9mb3JlaWduLWtleXM+PHJlZi10eXBlIG5hbWU9IkpvdXJuYWwgQXJ0aWNsZSI+
MTc8L3JlZi10eXBlPjxjb250cmlidXRvcnM+PGF1dGhvcnM+PGF1dGhvcj5DYWJhw6dvLCBTdXNh
bmE8L2F1dGhvcj48YXV0aG9yPkFwb3N0b2xha2ksIEV1Z2VuaWEgVC48L2F1dGhvcj48YXV0aG9y
PkdhcmPDrWEtTWFyw61uLCBQYXRyaWNpYTwvYXV0aG9yPjxhdXRob3I+R3J1YmVyLCBSZW5lZTwv
YXV0aG9yPjxhdXRob3I+SGVybsOhbmRleiwgSWduYWNpbzwvYXV0aG9yPjxhdXRob3I+TWFydMOt
bmV6LUNyZWdvLCBCZWdvw7FhPC9hdXRob3I+PGF1dGhvcj5NYXNjYXLDsywgT3Jpb2w8L2F1dGhv
cj48YXV0aG9yPlDDqXJleiwgTWFydGE8L2F1dGhvcj48YXV0aG9yPlByYXRoZXAsIEFuY2hhbmE8
L2F1dGhvcj48YXV0aG9yPlJvYmluc29uLCBDbGlmZjwvYXV0aG9yPjxhdXRob3I+Um9tZXJvLCBK
YXZpZXI8L2F1dGhvcj48YXV0aG9yPlNjaG1pZHQsIEFsbGlzb24gTC48L2F1dGhvcj48YXV0aG9y
PlNob3J0LCBGcmVkIFQuPC9hdXRob3I+PGF1dGhvcj52YW4gVHVzc2VuYnJvZWssIEJyaWdpdHRh
IEkuPC9hdXRob3I+PGF1dGhvcj5TYW50b3MsIFJ1aTwvYXV0aG9yPjwvYXV0aG9ycz48L2NvbnRy
aWJ1dG9ycz48dGl0bGVzPjx0aXRsZT5FZmZlY3RzIG9mIG51dHJpZW50IGVucmljaG1lbnQgb24g
c2VhZ3Jhc3MgcG9wdWxhdGlvbiBkeW5hbWljczogZXZpZGVuY2UgYW5kIHN5bnRoZXNpcyBmcm9t
IHRoZSBiaW9tYXNz4oCTZGVuc2l0eSByZWxhdGlvbnNoaXBzPC90aXRsZT48c2Vjb25kYXJ5LXRp
dGxlPkpvdXJuYWwgb2YgRWNvbG9neTwvc2Vjb25kYXJ5LXRpdGxlPjwvdGl0bGVzPjxwZXJpb2Rp
Y2FsPjxmdWxsLXRpdGxlPkpvdXJuYWwgb2YgRWNvbG9neTwvZnVsbC10aXRsZT48L3BlcmlvZGlj
YWw+PHBhZ2VzPjE1NTItMTU2MjwvcGFnZXM+PHZvbHVtZT4xMDE8L3ZvbHVtZT48bnVtYmVyPjY8
L251bWJlcj48a2V5d29yZHM+PGtleXdvcmQ+YmlvbWFzc+KAk2RlbnNpdHkgcmVsYXRpb25zaGlw
PC9rZXl3b3JkPjxrZXl3b3JkPmZhY2lsaXRhdGlvbjwva2V5d29yZD48a2V5d29yZD5pbnRyYXNw
ZWNpZmljIGNvbXBldGl0aW9uPC9rZXl3b3JkPjxrZXl3b3JkPm1vbml0b3Jpbmc8L2tleXdvcmQ+
PGtleXdvcmQ+bnV0cmllbnQgZW5yaWNobWVudDwva2V5d29yZD48a2V5d29yZD5wbGFudCBwb3B1
bGF0aW9uIGFuZCBjb21tdW5pdHkgZHluYW1pY3M8L2tleXdvcmQ+PGtleXdvcmQ+c2VhZ3Jhc3M8
L2tleXdvcmQ+PC9rZXl3b3Jkcz48ZGF0ZXM+PHllYXI+MjAxMzwveWVhcj48L2RhdGVzPjxpc2Ju
PjEzNjUtMjc0NTwvaXNibj48dXJscz48cmVsYXRlZC11cmxzPjx1cmw+aHR0cDovL2R4LmRvaS5v
cmcvMTAuMTExMS8xMzY1LTI3NDUuMTIxMzQ8L3VybD48L3JlbGF0ZWQtdXJscz48L3VybHM+PGVs
ZWN0cm9uaWMtcmVzb3VyY2UtbnVtPjEwLjExMTEvMTM2NS0yNzQ1LjEyMTM0PC9lbGVjdHJvbmlj
LXJlc291cmNlLW51bT48L3JlY29yZD48L0NpdGU+PC9FbmROb3RlPn==
</w:fldData>
        </w:fldChar>
      </w:r>
      <w:r w:rsidR="00EB712D" w:rsidRPr="00D562E2">
        <w:rPr>
          <w:rFonts w:cs="Arial"/>
          <w:szCs w:val="22"/>
          <w:lang w:val="en-US"/>
        </w:rPr>
        <w:instrText xml:space="preserve"> ADDIN EN.CITE.DATA </w:instrText>
      </w:r>
      <w:r w:rsidR="00EB712D" w:rsidRPr="00D562E2">
        <w:rPr>
          <w:rFonts w:cs="Arial"/>
          <w:szCs w:val="22"/>
          <w:lang w:val="en-US"/>
        </w:rPr>
      </w:r>
      <w:r w:rsidR="00EB712D" w:rsidRPr="00D562E2">
        <w:rPr>
          <w:rFonts w:cs="Arial"/>
          <w:szCs w:val="22"/>
          <w:lang w:val="en-US"/>
        </w:rPr>
        <w:fldChar w:fldCharType="end"/>
      </w:r>
      <w:r w:rsidR="00EB712D" w:rsidRPr="00D562E2">
        <w:rPr>
          <w:rFonts w:cs="Arial"/>
          <w:szCs w:val="22"/>
          <w:lang w:val="en-US"/>
        </w:rPr>
      </w:r>
      <w:r w:rsidR="00EB712D" w:rsidRPr="00D562E2">
        <w:rPr>
          <w:rFonts w:cs="Arial"/>
          <w:szCs w:val="22"/>
          <w:lang w:val="en-US"/>
        </w:rPr>
        <w:fldChar w:fldCharType="separate"/>
      </w:r>
      <w:hyperlink w:anchor="_ENREF_16" w:tooltip="Cabaço, 2013 #10917" w:history="1">
        <w:r w:rsidR="009A7AB4" w:rsidRPr="00D562E2">
          <w:rPr>
            <w:rFonts w:cs="Arial"/>
            <w:noProof/>
            <w:szCs w:val="22"/>
            <w:lang w:val="en-US"/>
          </w:rPr>
          <w:t>Cabaço</w:t>
        </w:r>
        <w:r w:rsidR="009A7AB4" w:rsidRPr="00D562E2">
          <w:rPr>
            <w:rFonts w:cs="Arial"/>
            <w:i/>
            <w:noProof/>
            <w:szCs w:val="22"/>
            <w:lang w:val="en-US"/>
          </w:rPr>
          <w:t xml:space="preserve"> et al.</w:t>
        </w:r>
        <w:r w:rsidR="009A7AB4" w:rsidRPr="00D562E2">
          <w:rPr>
            <w:rFonts w:cs="Arial"/>
            <w:noProof/>
            <w:szCs w:val="22"/>
            <w:lang w:val="en-US"/>
          </w:rPr>
          <w:t xml:space="preserve"> 2013</w:t>
        </w:r>
      </w:hyperlink>
      <w:r w:rsidR="00EB712D" w:rsidRPr="00D562E2">
        <w:rPr>
          <w:rFonts w:cs="Arial"/>
          <w:noProof/>
          <w:szCs w:val="22"/>
          <w:lang w:val="en-US"/>
        </w:rPr>
        <w:t xml:space="preserve">; </w:t>
      </w:r>
      <w:hyperlink w:anchor="_ENREF_120" w:tooltip="Nelson, 2017 #10813" w:history="1">
        <w:r w:rsidR="009A7AB4" w:rsidRPr="00D562E2">
          <w:rPr>
            <w:rFonts w:cs="Arial"/>
            <w:noProof/>
            <w:szCs w:val="22"/>
            <w:lang w:val="en-US"/>
          </w:rPr>
          <w:t>Nelson 2017</w:t>
        </w:r>
      </w:hyperlink>
      <w:r w:rsidR="00EB712D" w:rsidRPr="00D562E2">
        <w:rPr>
          <w:rFonts w:cs="Arial"/>
          <w:szCs w:val="22"/>
          <w:lang w:val="en-US"/>
        </w:rPr>
        <w:fldChar w:fldCharType="end"/>
      </w:r>
      <w:r w:rsidR="00EB712D" w:rsidRPr="00D562E2">
        <w:rPr>
          <w:rFonts w:cs="Arial"/>
          <w:szCs w:val="22"/>
          <w:lang w:val="en-US"/>
        </w:rPr>
        <w:t xml:space="preserve">); however, due to complex ecological and biological factors (e.g. grazing </w:t>
      </w:r>
      <w:hyperlink w:anchor="_ENREF_74" w:tooltip="Heck, 2006 #7246" w:history="1">
        <w:r w:rsidR="009A7AB4" w:rsidRPr="00D562E2">
          <w:rPr>
            <w:rFonts w:cs="Arial"/>
            <w:szCs w:val="22"/>
            <w:lang w:val="en-US"/>
          </w:rPr>
          <w:fldChar w:fldCharType="begin"/>
        </w:r>
        <w:r w:rsidR="009A7AB4" w:rsidRPr="00D562E2">
          <w:rPr>
            <w:rFonts w:cs="Arial"/>
            <w:szCs w:val="22"/>
            <w:lang w:val="en-US"/>
          </w:rPr>
          <w:instrText xml:space="preserve"> ADDIN EN.CITE &lt;EndNote&gt;&lt;Cite&gt;&lt;Author&gt;Heck&lt;/Author&gt;&lt;Year&gt;2006&lt;/Year&gt;&lt;RecNum&gt;7246&lt;/RecNum&gt;&lt;DisplayText&gt;Heck and Valentine 2006&lt;/DisplayText&gt;&lt;record&gt;&lt;rec-number&gt;7246&lt;/rec-number&gt;&lt;foreign-keys&gt;&lt;key app="EN" db-id="0eve55x9y5vfd6e9dacxtew4eatve2dzds9a" timestamp="0"&gt;7246&lt;/key&gt;&lt;/foreign-keys&gt;&lt;ref-type name="Journal Article"&gt;17&lt;/ref-type&gt;&lt;contributors&gt;&lt;authors&gt;&lt;author&gt;Heck, K. L.&lt;/author&gt;&lt;author&gt;Valentine, J. F.&lt;/author&gt;&lt;/authors&gt;&lt;/contributors&gt;&lt;auth-address&gt;Heck, K. L.&amp;#xD;Dauphin Isl Sea Lab, 101 Bienville Blvd, Dauphin Isl, AL 36528 USA&amp;#xD;Dauphin Isl Sea Lab, Dauphin Isl, AL 36528 USA&amp;#xD;Univ S Alabama, Dauphin Isl, AL 36528 USA&lt;/auth-address&gt;&lt;titles&gt;&lt;title&gt;Plant-herbivore interactions in seagrass meadows&lt;/title&gt;&lt;secondary-title&gt;Journal of Experimental Marine Biology and Ecology&lt;/secondary-title&gt;&lt;alt-title&gt;J Exp Mar Biol Ecol&amp;#xD;J Exp Mar Biol Ecol&lt;/alt-title&gt;&lt;/titles&gt;&lt;periodical&gt;&lt;full-title&gt;Journal of Experimental Marine Biology and Ecology&lt;/full-title&gt;&lt;/periodical&gt;&lt;pages&gt;420-436&lt;/pages&gt;&lt;volume&gt;330&lt;/volume&gt;&lt;number&gt;1&lt;/number&gt;&lt;keywords&gt;&lt;keyword&gt;epiphytes&lt;/keyword&gt;&lt;keyword&gt;food webs&lt;/keyword&gt;&lt;keyword&gt;grazing&lt;/keyword&gt;&lt;keyword&gt;herbivory&lt;/keyword&gt;&lt;keyword&gt;seagrasses&lt;/keyword&gt;&lt;keyword&gt;suspension feeders&lt;/keyword&gt;&lt;keyword&gt;eelgrass zostera-marina&lt;/keyword&gt;&lt;keyword&gt;turtlegrass thalassia-testudinum&lt;/keyword&gt;&lt;keyword&gt;surfgrass phyllospadix-torreyi&lt;/keyword&gt;&lt;keyword&gt;urchin lytechinus-variegatus&lt;/keyword&gt;&lt;keyword&gt;suspension-feeding bivalves&lt;/keyword&gt;&lt;keyword&gt;mussels mytilus-edulis&lt;/keyword&gt;&lt;keyword&gt;oceanica l. delile&lt;/keyword&gt;&lt;keyword&gt;gulf-of-mexico&lt;/keyword&gt;&lt;keyword&gt;banks ex konig&lt;/keyword&gt;&lt;keyword&gt;nutrient enrichment&lt;/keyword&gt;&lt;/keywords&gt;&lt;dates&gt;&lt;year&gt;2006&lt;/year&gt;&lt;pub-dates&gt;&lt;date&gt;MAR 7&lt;/date&gt;&lt;/pub-dates&gt;&lt;/dates&gt;&lt;accession-num&gt;ISI:000236058900034&lt;/accession-num&gt;&lt;label&gt;Elsevier Science Bv&lt;/label&gt;&lt;urls&gt;&lt;related-urls&gt;&lt;url&gt;&amp;lt;Go to ISI&amp;gt;://000236058900034&lt;/url&gt;&lt;/related-urls&gt;&lt;/urls&gt;&lt;/record&gt;&lt;/Cite&gt;&lt;/EndNote&gt;</w:instrText>
        </w:r>
        <w:r w:rsidR="009A7AB4" w:rsidRPr="00D562E2">
          <w:rPr>
            <w:rFonts w:cs="Arial"/>
            <w:szCs w:val="22"/>
            <w:lang w:val="en-US"/>
          </w:rPr>
          <w:fldChar w:fldCharType="separate"/>
        </w:r>
        <w:r w:rsidR="009A7AB4" w:rsidRPr="00D562E2">
          <w:rPr>
            <w:rFonts w:cs="Arial"/>
            <w:noProof/>
            <w:szCs w:val="22"/>
            <w:lang w:val="en-US"/>
          </w:rPr>
          <w:t>Heck and Valentine 2006</w:t>
        </w:r>
        <w:r w:rsidR="009A7AB4" w:rsidRPr="00D562E2">
          <w:rPr>
            <w:rFonts w:cs="Arial"/>
            <w:szCs w:val="22"/>
            <w:lang w:val="en-US"/>
          </w:rPr>
          <w:fldChar w:fldCharType="end"/>
        </w:r>
      </w:hyperlink>
      <w:r w:rsidR="00EB712D" w:rsidRPr="00D562E2">
        <w:rPr>
          <w:rFonts w:cs="Arial"/>
          <w:szCs w:val="22"/>
          <w:lang w:val="en-US"/>
        </w:rPr>
        <w:t>), their abundance may not necessarily correlate to nutrient loading.</w:t>
      </w:r>
    </w:p>
    <w:p w14:paraId="59364322" w14:textId="512719ED" w:rsidR="00E255DB" w:rsidRPr="00D562E2" w:rsidRDefault="009213E9" w:rsidP="00034AD4">
      <w:pPr>
        <w:rPr>
          <w:rFonts w:cs="Arial"/>
          <w:szCs w:val="22"/>
          <w:lang w:val="en-US"/>
        </w:rPr>
      </w:pPr>
      <w:r w:rsidRPr="00D562E2">
        <w:rPr>
          <w:rFonts w:cs="Arial"/>
          <w:szCs w:val="22"/>
          <w:lang w:val="en-US"/>
        </w:rPr>
        <w:t xml:space="preserve">Macroalgae abundance has remained low and below the long-term average at coastal habitats, </w:t>
      </w:r>
      <w:r w:rsidR="00EB712D" w:rsidRPr="00D562E2">
        <w:rPr>
          <w:rFonts w:cs="Arial"/>
          <w:szCs w:val="22"/>
          <w:lang w:val="en-US"/>
        </w:rPr>
        <w:t xml:space="preserve">and returned to levels at/or around the </w:t>
      </w:r>
      <w:r w:rsidR="006E409A">
        <w:rPr>
          <w:rFonts w:cs="Arial"/>
          <w:szCs w:val="22"/>
          <w:lang w:val="en-US"/>
        </w:rPr>
        <w:t xml:space="preserve">long-term mean </w:t>
      </w:r>
      <w:r w:rsidR="007A70FE" w:rsidRPr="00D562E2">
        <w:rPr>
          <w:rFonts w:cs="Arial"/>
          <w:szCs w:val="22"/>
          <w:lang w:val="en-US"/>
        </w:rPr>
        <w:t>however</w:t>
      </w:r>
      <w:r w:rsidRPr="00D562E2">
        <w:rPr>
          <w:rFonts w:cs="Arial"/>
          <w:szCs w:val="22"/>
          <w:lang w:val="en-US"/>
        </w:rPr>
        <w:t xml:space="preserve"> abundances have increased over the last </w:t>
      </w:r>
      <w:r w:rsidR="007A70FE" w:rsidRPr="00D562E2">
        <w:rPr>
          <w:rFonts w:cs="Arial"/>
          <w:szCs w:val="22"/>
          <w:lang w:val="en-US"/>
        </w:rPr>
        <w:t>two</w:t>
      </w:r>
      <w:r w:rsidRPr="00D562E2">
        <w:rPr>
          <w:rFonts w:cs="Arial"/>
          <w:szCs w:val="22"/>
          <w:lang w:val="en-US"/>
        </w:rPr>
        <w:t xml:space="preserve"> monitoring periods at reef (intertidal and reef) habitats. </w:t>
      </w:r>
    </w:p>
    <w:p w14:paraId="424574F5" w14:textId="77777777" w:rsidR="00F84928" w:rsidRPr="00D562E2" w:rsidRDefault="00015AD8" w:rsidP="00F84928">
      <w:pPr>
        <w:keepNext/>
        <w:widowControl w:val="0"/>
        <w:jc w:val="center"/>
        <w:rPr>
          <w:rFonts w:cs="Arial"/>
          <w:szCs w:val="22"/>
          <w:lang w:val="en-GB"/>
        </w:rPr>
      </w:pPr>
      <w:r w:rsidRPr="00D562E2">
        <w:rPr>
          <w:rFonts w:cs="Arial"/>
          <w:noProof/>
          <w:szCs w:val="22"/>
          <w:lang w:eastAsia="en-AU"/>
        </w:rPr>
        <w:lastRenderedPageBreak/>
        <w:drawing>
          <wp:inline distT="0" distB="0" distL="0" distR="0" wp14:anchorId="58410C0F" wp14:editId="77C0DA2E">
            <wp:extent cx="5496745" cy="3079292"/>
            <wp:effectExtent l="0" t="0" r="8890" b="6985"/>
            <wp:docPr id="305" name="Picture 305" descr="Set of six bar charts showing long-term trend in mean epiphyte and macroalgae abundance (% cover) at each inshore seagrass habitats in the Burdekin NRM region, relative to the long-term average for each inshore GBR seagrass habit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B_epi_algae_change_2016.png"/>
                    <pic:cNvPicPr/>
                  </pic:nvPicPr>
                  <pic:blipFill>
                    <a:blip r:embed="rId113"/>
                    <a:stretch>
                      <a:fillRect/>
                    </a:stretch>
                  </pic:blipFill>
                  <pic:spPr>
                    <a:xfrm>
                      <a:off x="0" y="0"/>
                      <a:ext cx="5496745" cy="3079292"/>
                    </a:xfrm>
                    <a:prstGeom prst="rect">
                      <a:avLst/>
                    </a:prstGeom>
                  </pic:spPr>
                </pic:pic>
              </a:graphicData>
            </a:graphic>
          </wp:inline>
        </w:drawing>
      </w:r>
    </w:p>
    <w:p w14:paraId="7DA4C506" w14:textId="0BEC2DC1" w:rsidR="00527E4F" w:rsidRPr="00D562E2" w:rsidRDefault="005132EF" w:rsidP="00527E4F">
      <w:pPr>
        <w:ind w:right="233"/>
        <w:rPr>
          <w:rFonts w:cs="Arial"/>
          <w:i/>
          <w:vanish/>
          <w:szCs w:val="22"/>
          <w:specVanish/>
        </w:rPr>
      </w:pPr>
      <w:bookmarkStart w:id="470" w:name="_Ref211930918"/>
      <w:bookmarkStart w:id="471" w:name="_Ref380433470"/>
      <w:bookmarkStart w:id="472" w:name="_Toc232845987"/>
      <w:bookmarkStart w:id="473" w:name="_Toc431493864"/>
      <w:bookmarkStart w:id="474" w:name="_Toc38634164"/>
      <w:r w:rsidRPr="00D562E2">
        <w:rPr>
          <w:rFonts w:cs="Arial"/>
          <w:szCs w:val="22"/>
        </w:rPr>
        <w:t xml:space="preserve">Figure </w:t>
      </w:r>
      <w:r w:rsidR="00412A75" w:rsidRPr="00D562E2">
        <w:rPr>
          <w:rFonts w:cs="Arial"/>
          <w:noProof/>
          <w:szCs w:val="22"/>
        </w:rPr>
        <w:fldChar w:fldCharType="begin"/>
      </w:r>
      <w:r w:rsidR="00412A75" w:rsidRPr="00D562E2">
        <w:rPr>
          <w:rFonts w:cs="Arial"/>
          <w:noProof/>
          <w:szCs w:val="22"/>
        </w:rPr>
        <w:instrText xml:space="preserve"> SEQ Figure \* ARABIC </w:instrText>
      </w:r>
      <w:r w:rsidR="00412A75" w:rsidRPr="00D562E2">
        <w:rPr>
          <w:rFonts w:cs="Arial"/>
          <w:noProof/>
          <w:szCs w:val="22"/>
        </w:rPr>
        <w:fldChar w:fldCharType="separate"/>
      </w:r>
      <w:r w:rsidR="0067675D">
        <w:rPr>
          <w:rFonts w:cs="Arial"/>
          <w:noProof/>
          <w:szCs w:val="22"/>
        </w:rPr>
        <w:t>60</w:t>
      </w:r>
      <w:r w:rsidR="00412A75" w:rsidRPr="00D562E2">
        <w:rPr>
          <w:rFonts w:cs="Arial"/>
          <w:noProof/>
          <w:szCs w:val="22"/>
        </w:rPr>
        <w:fldChar w:fldCharType="end"/>
      </w:r>
      <w:bookmarkEnd w:id="470"/>
      <w:bookmarkEnd w:id="471"/>
      <w:r w:rsidRPr="00D562E2">
        <w:rPr>
          <w:rFonts w:cs="Arial"/>
          <w:szCs w:val="22"/>
        </w:rPr>
        <w:t xml:space="preserve">. </w:t>
      </w:r>
      <w:bookmarkEnd w:id="472"/>
      <w:r w:rsidR="00BC6300" w:rsidRPr="00D562E2">
        <w:rPr>
          <w:rFonts w:cs="Arial"/>
          <w:i/>
          <w:szCs w:val="22"/>
        </w:rPr>
        <w:t>Long-term trend in mean epiphyte and macroalgae abundance (</w:t>
      </w:r>
      <w:r w:rsidR="004916B0">
        <w:rPr>
          <w:rFonts w:cs="Arial"/>
          <w:i/>
          <w:szCs w:val="22"/>
        </w:rPr>
        <w:t>per cent</w:t>
      </w:r>
      <w:r w:rsidR="00BC6300" w:rsidRPr="00D562E2">
        <w:rPr>
          <w:rFonts w:cs="Arial"/>
          <w:i/>
          <w:szCs w:val="22"/>
        </w:rPr>
        <w:t xml:space="preserve"> cover) relative to the long-term </w:t>
      </w:r>
      <w:r w:rsidR="003158FC" w:rsidRPr="00D562E2">
        <w:rPr>
          <w:rFonts w:cs="Arial"/>
          <w:i/>
          <w:szCs w:val="22"/>
        </w:rPr>
        <w:t>Reef</w:t>
      </w:r>
      <w:r w:rsidR="00DE31AC" w:rsidRPr="00D562E2">
        <w:rPr>
          <w:rFonts w:cs="Arial"/>
          <w:i/>
          <w:szCs w:val="22"/>
        </w:rPr>
        <w:t xml:space="preserve"> </w:t>
      </w:r>
      <w:r w:rsidR="00BC6300" w:rsidRPr="00D562E2">
        <w:rPr>
          <w:rFonts w:cs="Arial"/>
          <w:i/>
          <w:szCs w:val="22"/>
        </w:rPr>
        <w:t xml:space="preserve">average for each </w:t>
      </w:r>
      <w:r w:rsidR="00527E4F" w:rsidRPr="00D562E2">
        <w:rPr>
          <w:rFonts w:cs="Arial"/>
          <w:i/>
          <w:szCs w:val="22"/>
        </w:rPr>
        <w:t>inshore</w:t>
      </w:r>
      <w:r w:rsidR="00BC6300" w:rsidRPr="00D562E2">
        <w:rPr>
          <w:rFonts w:cs="Arial"/>
          <w:i/>
          <w:szCs w:val="22"/>
        </w:rPr>
        <w:t xml:space="preserve"> seagrass habitat </w:t>
      </w:r>
      <w:r w:rsidR="00527E4F" w:rsidRPr="00D562E2">
        <w:rPr>
          <w:rFonts w:cs="Arial"/>
          <w:i/>
          <w:szCs w:val="22"/>
        </w:rPr>
        <w:t>in the Burdekin region</w:t>
      </w:r>
      <w:bookmarkEnd w:id="473"/>
      <w:bookmarkEnd w:id="474"/>
      <w:r w:rsidR="00527E4F" w:rsidRPr="00D562E2">
        <w:rPr>
          <w:rFonts w:cs="Arial"/>
          <w:i/>
          <w:szCs w:val="22"/>
        </w:rPr>
        <w:t xml:space="preserve"> </w:t>
      </w:r>
    </w:p>
    <w:p w14:paraId="35277835" w14:textId="146379AE" w:rsidR="00527E4F" w:rsidRPr="00D562E2" w:rsidRDefault="00527E4F" w:rsidP="00527E4F">
      <w:pPr>
        <w:ind w:right="233"/>
        <w:rPr>
          <w:rFonts w:cs="Arial"/>
          <w:i/>
          <w:szCs w:val="22"/>
        </w:rPr>
      </w:pPr>
      <w:r w:rsidRPr="00D562E2">
        <w:rPr>
          <w:rFonts w:cs="Arial"/>
          <w:i/>
          <w:szCs w:val="22"/>
        </w:rPr>
        <w:t xml:space="preserve"> </w:t>
      </w:r>
      <w:r w:rsidR="00BC6300" w:rsidRPr="00D562E2">
        <w:rPr>
          <w:rFonts w:cs="Arial"/>
          <w:i/>
          <w:szCs w:val="22"/>
        </w:rPr>
        <w:t xml:space="preserve">(sites pooled, ±SE). </w:t>
      </w:r>
      <w:r w:rsidR="00E255DB" w:rsidRPr="00D562E2">
        <w:rPr>
          <w:rFonts w:cs="Arial"/>
          <w:i/>
          <w:szCs w:val="22"/>
        </w:rPr>
        <w:t>Red/green text</w:t>
      </w:r>
    </w:p>
    <w:p w14:paraId="61024208" w14:textId="7007A77F" w:rsidR="00E0661B" w:rsidRPr="00431DDA" w:rsidRDefault="005132EF" w:rsidP="00785606">
      <w:pPr>
        <w:pStyle w:val="Heading2"/>
      </w:pPr>
      <w:r w:rsidRPr="00CB093C">
        <w:rPr>
          <w:lang w:val="en-GB"/>
        </w:rPr>
        <w:br w:type="page"/>
      </w:r>
      <w:bookmarkStart w:id="475" w:name="_Toc43987068"/>
      <w:bookmarkStart w:id="476" w:name="_Toc170191638"/>
      <w:r w:rsidR="00B72AC4">
        <w:lastRenderedPageBreak/>
        <w:t>Mackay–Whitsunday</w:t>
      </w:r>
      <w:bookmarkEnd w:id="475"/>
    </w:p>
    <w:p w14:paraId="2EAC211F" w14:textId="285FDCAA" w:rsidR="005132EF" w:rsidRPr="00431DDA" w:rsidRDefault="00956639" w:rsidP="00785606">
      <w:pPr>
        <w:pStyle w:val="Heading3"/>
      </w:pPr>
      <w:bookmarkStart w:id="477" w:name="_Toc184102010"/>
      <w:bookmarkStart w:id="478" w:name="_Toc431493774"/>
      <w:bookmarkStart w:id="479" w:name="_Toc37775094"/>
      <w:bookmarkStart w:id="480" w:name="_Toc43987069"/>
      <w:bookmarkStart w:id="481" w:name="OLE_LINK38"/>
      <w:bookmarkStart w:id="482" w:name="OLE_LINK39"/>
      <w:bookmarkEnd w:id="476"/>
      <w:r w:rsidRPr="00431DDA">
        <w:t>2018–19</w:t>
      </w:r>
      <w:r w:rsidR="005132EF" w:rsidRPr="00431DDA">
        <w:t xml:space="preserve"> Summary</w:t>
      </w:r>
      <w:bookmarkEnd w:id="477"/>
      <w:bookmarkEnd w:id="478"/>
      <w:bookmarkEnd w:id="479"/>
      <w:bookmarkEnd w:id="480"/>
    </w:p>
    <w:p w14:paraId="66CC17DA" w14:textId="2A445759" w:rsidR="00ED7F82" w:rsidRPr="00D562E2" w:rsidRDefault="00D75691" w:rsidP="00C57784">
      <w:pPr>
        <w:spacing w:after="40"/>
        <w:rPr>
          <w:rFonts w:cs="Arial"/>
          <w:szCs w:val="22"/>
        </w:rPr>
      </w:pPr>
      <w:bookmarkStart w:id="483" w:name="_Toc184102011"/>
      <w:bookmarkStart w:id="484" w:name="_Toc431493775"/>
      <w:bookmarkEnd w:id="481"/>
      <w:bookmarkEnd w:id="482"/>
      <w:r w:rsidRPr="00D562E2">
        <w:rPr>
          <w:rFonts w:cs="Arial"/>
          <w:szCs w:val="22"/>
        </w:rPr>
        <w:t>Inshore s</w:t>
      </w:r>
      <w:r w:rsidR="00D65272" w:rsidRPr="00D562E2">
        <w:rPr>
          <w:rFonts w:cs="Arial"/>
          <w:szCs w:val="22"/>
        </w:rPr>
        <w:t xml:space="preserve">eagrass meadows across the </w:t>
      </w:r>
      <w:r w:rsidR="00B72AC4">
        <w:rPr>
          <w:rFonts w:cs="Arial"/>
          <w:color w:val="000000" w:themeColor="text1"/>
          <w:szCs w:val="22"/>
        </w:rPr>
        <w:t>Mackay–Whitsunday</w:t>
      </w:r>
      <w:r w:rsidR="00D65272" w:rsidRPr="00D562E2">
        <w:rPr>
          <w:rFonts w:cs="Arial"/>
          <w:color w:val="000000" w:themeColor="text1"/>
          <w:szCs w:val="22"/>
        </w:rPr>
        <w:t xml:space="preserve"> </w:t>
      </w:r>
      <w:r w:rsidR="00D65272" w:rsidRPr="00D562E2">
        <w:rPr>
          <w:rFonts w:cs="Arial"/>
          <w:szCs w:val="22"/>
        </w:rPr>
        <w:t xml:space="preserve">NRM region </w:t>
      </w:r>
      <w:r w:rsidR="005B46C1">
        <w:rPr>
          <w:rFonts w:cs="Arial"/>
          <w:szCs w:val="22"/>
        </w:rPr>
        <w:t>were</w:t>
      </w:r>
      <w:r w:rsidR="005B46C1" w:rsidRPr="00D562E2">
        <w:rPr>
          <w:rFonts w:cs="Arial"/>
          <w:szCs w:val="22"/>
        </w:rPr>
        <w:t xml:space="preserve"> </w:t>
      </w:r>
      <w:r w:rsidR="00004AE1" w:rsidRPr="00D562E2">
        <w:rPr>
          <w:rFonts w:cs="Arial"/>
          <w:szCs w:val="22"/>
        </w:rPr>
        <w:t>relatively stable</w:t>
      </w:r>
      <w:r w:rsidR="00D65272" w:rsidRPr="00D562E2">
        <w:rPr>
          <w:rFonts w:cs="Arial"/>
          <w:szCs w:val="22"/>
        </w:rPr>
        <w:t xml:space="preserve"> in overall condition in </w:t>
      </w:r>
      <w:r w:rsidR="00956639" w:rsidRPr="00D562E2">
        <w:rPr>
          <w:rFonts w:cs="Arial"/>
          <w:szCs w:val="22"/>
        </w:rPr>
        <w:t>2018–19</w:t>
      </w:r>
      <w:r w:rsidR="00D65272" w:rsidRPr="00D562E2">
        <w:rPr>
          <w:rFonts w:cs="Arial"/>
          <w:szCs w:val="22"/>
        </w:rPr>
        <w:t xml:space="preserve">, </w:t>
      </w:r>
      <w:r w:rsidR="00AB00C3" w:rsidRPr="00D562E2">
        <w:rPr>
          <w:rFonts w:cs="Arial"/>
          <w:szCs w:val="22"/>
        </w:rPr>
        <w:t xml:space="preserve">with the condition grade remaining </w:t>
      </w:r>
      <w:r w:rsidR="00AB00C3" w:rsidRPr="00D562E2">
        <w:rPr>
          <w:rFonts w:cs="Arial"/>
          <w:b/>
          <w:szCs w:val="22"/>
        </w:rPr>
        <w:t>poor</w:t>
      </w:r>
      <w:r w:rsidR="00AB00C3" w:rsidRPr="00D562E2">
        <w:rPr>
          <w:rFonts w:cs="Arial"/>
          <w:szCs w:val="22"/>
        </w:rPr>
        <w:t xml:space="preserve"> (</w:t>
      </w:r>
      <w:r w:rsidR="00AB00C3" w:rsidRPr="00D562E2">
        <w:rPr>
          <w:rFonts w:cs="Arial"/>
          <w:szCs w:val="22"/>
        </w:rPr>
        <w:fldChar w:fldCharType="begin"/>
      </w:r>
      <w:r w:rsidR="00AB00C3" w:rsidRPr="00D562E2">
        <w:rPr>
          <w:rFonts w:cs="Arial"/>
          <w:szCs w:val="22"/>
        </w:rPr>
        <w:instrText xml:space="preserve"> REF _Ref461377180 \h </w:instrText>
      </w:r>
      <w:r w:rsidR="00CB093C" w:rsidRPr="00D562E2">
        <w:rPr>
          <w:rFonts w:cs="Arial"/>
          <w:szCs w:val="22"/>
        </w:rPr>
        <w:instrText xml:space="preserve"> \* MERGEFORMAT </w:instrText>
      </w:r>
      <w:r w:rsidR="00AB00C3" w:rsidRPr="00D562E2">
        <w:rPr>
          <w:rFonts w:cs="Arial"/>
          <w:szCs w:val="22"/>
        </w:rPr>
      </w:r>
      <w:r w:rsidR="00AB00C3" w:rsidRPr="00D562E2">
        <w:rPr>
          <w:rFonts w:cs="Arial"/>
          <w:szCs w:val="22"/>
        </w:rPr>
        <w:fldChar w:fldCharType="separate"/>
      </w:r>
      <w:r w:rsidR="0067675D" w:rsidRPr="00D562E2">
        <w:rPr>
          <w:rFonts w:cs="Arial"/>
          <w:color w:val="000000"/>
          <w:szCs w:val="22"/>
        </w:rPr>
        <w:t xml:space="preserve">Figure </w:t>
      </w:r>
      <w:r w:rsidR="0067675D">
        <w:rPr>
          <w:rFonts w:cs="Arial"/>
          <w:noProof/>
          <w:color w:val="000000"/>
          <w:szCs w:val="22"/>
        </w:rPr>
        <w:t>61</w:t>
      </w:r>
      <w:r w:rsidR="00AB00C3" w:rsidRPr="00D562E2">
        <w:rPr>
          <w:rFonts w:cs="Arial"/>
          <w:szCs w:val="22"/>
        </w:rPr>
        <w:fldChar w:fldCharType="end"/>
      </w:r>
      <w:r w:rsidR="00AB00C3" w:rsidRPr="00D562E2">
        <w:rPr>
          <w:rFonts w:cs="Arial"/>
          <w:szCs w:val="22"/>
        </w:rPr>
        <w:t>)</w:t>
      </w:r>
      <w:r w:rsidR="00D65272" w:rsidRPr="00D562E2">
        <w:rPr>
          <w:rFonts w:cs="Arial"/>
          <w:szCs w:val="22"/>
        </w:rPr>
        <w:t xml:space="preserve">. </w:t>
      </w:r>
      <w:r w:rsidR="004E7379" w:rsidRPr="00D562E2">
        <w:rPr>
          <w:rFonts w:cs="Arial"/>
          <w:szCs w:val="22"/>
        </w:rPr>
        <w:t>There was a small increase in seagrass abundance and the tissue nutrient score in 2018–19, but these gains were offset by further reduction in reproductive effort. Indicators for the overall condition score were</w:t>
      </w:r>
      <w:r w:rsidR="00ED7F82" w:rsidRPr="00D562E2">
        <w:rPr>
          <w:rFonts w:cs="Arial"/>
          <w:szCs w:val="22"/>
        </w:rPr>
        <w:t>:</w:t>
      </w:r>
    </w:p>
    <w:p w14:paraId="237AE46B" w14:textId="0548B0CD" w:rsidR="00D905C4" w:rsidRPr="00D562E2" w:rsidRDefault="00D905C4" w:rsidP="00C57784">
      <w:pPr>
        <w:numPr>
          <w:ilvl w:val="0"/>
          <w:numId w:val="18"/>
        </w:numPr>
        <w:spacing w:before="40" w:after="0"/>
        <w:ind w:left="714" w:hanging="357"/>
        <w:rPr>
          <w:rFonts w:cs="Arial"/>
          <w:szCs w:val="22"/>
        </w:rPr>
      </w:pPr>
      <w:r w:rsidRPr="00D562E2">
        <w:rPr>
          <w:rFonts w:cs="Arial"/>
          <w:szCs w:val="22"/>
        </w:rPr>
        <w:t>abundance score was poor</w:t>
      </w:r>
    </w:p>
    <w:p w14:paraId="3C999C09" w14:textId="7762046E" w:rsidR="00D905C4" w:rsidRPr="00D562E2" w:rsidRDefault="00D905C4" w:rsidP="00C57784">
      <w:pPr>
        <w:numPr>
          <w:ilvl w:val="0"/>
          <w:numId w:val="18"/>
        </w:numPr>
        <w:spacing w:before="40" w:after="0"/>
        <w:ind w:left="714" w:hanging="357"/>
        <w:rPr>
          <w:rFonts w:cs="Arial"/>
          <w:szCs w:val="22"/>
        </w:rPr>
      </w:pPr>
      <w:r w:rsidRPr="00D562E2">
        <w:rPr>
          <w:rFonts w:cs="Arial"/>
          <w:szCs w:val="22"/>
        </w:rPr>
        <w:t xml:space="preserve">reproductive effort score was very poor </w:t>
      </w:r>
    </w:p>
    <w:p w14:paraId="6B0E6D10" w14:textId="546BBA04" w:rsidR="00D905C4" w:rsidRPr="00D562E2" w:rsidRDefault="00D905C4" w:rsidP="00C57784">
      <w:pPr>
        <w:numPr>
          <w:ilvl w:val="0"/>
          <w:numId w:val="18"/>
        </w:numPr>
        <w:spacing w:before="40" w:after="0"/>
        <w:ind w:left="714" w:hanging="357"/>
        <w:rPr>
          <w:rFonts w:cs="Arial"/>
          <w:szCs w:val="22"/>
        </w:rPr>
      </w:pPr>
      <w:r w:rsidRPr="00D562E2">
        <w:rPr>
          <w:rFonts w:cs="Arial"/>
          <w:szCs w:val="22"/>
        </w:rPr>
        <w:t>tissue nutrient score was poor.</w:t>
      </w:r>
      <w:r w:rsidRPr="00D562E2">
        <w:rPr>
          <w:rFonts w:cs="Arial"/>
          <w:color w:val="000000" w:themeColor="text1"/>
          <w:szCs w:val="22"/>
        </w:rPr>
        <w:t xml:space="preserve"> </w:t>
      </w:r>
    </w:p>
    <w:p w14:paraId="4FB76139" w14:textId="0C095EDA" w:rsidR="009520A4" w:rsidRPr="00D562E2" w:rsidRDefault="005B46C1" w:rsidP="00D65272">
      <w:pPr>
        <w:rPr>
          <w:rFonts w:cs="Arial"/>
          <w:szCs w:val="22"/>
          <w:lang w:val="en-GB"/>
        </w:rPr>
      </w:pPr>
      <w:r w:rsidRPr="00FF018C">
        <w:rPr>
          <w:rFonts w:cs="Arial"/>
          <w:szCs w:val="22"/>
          <w:lang w:val="en-GB"/>
        </w:rPr>
        <w:t>Two</w:t>
      </w:r>
      <w:r>
        <w:rPr>
          <w:rFonts w:cs="Arial"/>
          <w:szCs w:val="22"/>
          <w:lang w:val="en-GB"/>
        </w:rPr>
        <w:t>-</w:t>
      </w:r>
      <w:r w:rsidR="00FF018C" w:rsidRPr="00FF018C">
        <w:rPr>
          <w:rFonts w:cs="Arial"/>
          <w:szCs w:val="22"/>
          <w:lang w:val="en-GB"/>
        </w:rPr>
        <w:t xml:space="preserve">thirds of </w:t>
      </w:r>
      <w:r w:rsidR="00D65272" w:rsidRPr="00FF018C">
        <w:rPr>
          <w:rFonts w:cs="Arial"/>
          <w:szCs w:val="22"/>
          <w:lang w:val="en-GB"/>
        </w:rPr>
        <w:t xml:space="preserve">sites </w:t>
      </w:r>
      <w:r w:rsidR="00FF018C" w:rsidRPr="00FF018C">
        <w:rPr>
          <w:rFonts w:cs="Arial"/>
          <w:szCs w:val="22"/>
          <w:lang w:val="en-GB"/>
        </w:rPr>
        <w:t>inc</w:t>
      </w:r>
      <w:r w:rsidR="00D65272" w:rsidRPr="00FF018C">
        <w:rPr>
          <w:rFonts w:cs="Arial"/>
          <w:szCs w:val="22"/>
          <w:lang w:val="en-GB"/>
        </w:rPr>
        <w:t>reased in abundance</w:t>
      </w:r>
      <w:r w:rsidR="00FF018C" w:rsidRPr="00FF018C">
        <w:rPr>
          <w:rFonts w:cs="Arial"/>
          <w:szCs w:val="22"/>
          <w:lang w:val="en-GB"/>
        </w:rPr>
        <w:t>, including a</w:t>
      </w:r>
      <w:r w:rsidR="00D65272" w:rsidRPr="00FF018C">
        <w:rPr>
          <w:rFonts w:cs="Arial"/>
          <w:szCs w:val="22"/>
          <w:lang w:val="en-GB"/>
        </w:rPr>
        <w:t>ll subtidal sites</w:t>
      </w:r>
      <w:r w:rsidR="00FF018C" w:rsidRPr="00FF018C">
        <w:rPr>
          <w:rFonts w:cs="Arial"/>
          <w:szCs w:val="22"/>
          <w:lang w:val="en-GB"/>
        </w:rPr>
        <w:t>. The greatest losses occurred in estuarine habitats where all sites decreased in abundance</w:t>
      </w:r>
      <w:r w:rsidR="00BA33E3">
        <w:rPr>
          <w:rFonts w:cs="Arial"/>
          <w:szCs w:val="22"/>
          <w:lang w:val="en-GB"/>
        </w:rPr>
        <w:t xml:space="preserve"> and extent</w:t>
      </w:r>
      <w:r w:rsidR="00FF018C" w:rsidRPr="00FF018C">
        <w:rPr>
          <w:rFonts w:cs="Arial"/>
          <w:szCs w:val="22"/>
          <w:lang w:val="en-GB"/>
        </w:rPr>
        <w:t>. Other losses observed</w:t>
      </w:r>
      <w:r w:rsidR="00D65272" w:rsidRPr="00FF018C">
        <w:rPr>
          <w:rFonts w:cs="Arial"/>
          <w:szCs w:val="22"/>
          <w:lang w:val="en-GB"/>
        </w:rPr>
        <w:t xml:space="preserve"> occurred in </w:t>
      </w:r>
      <w:r w:rsidR="00FF018C" w:rsidRPr="00FF018C">
        <w:rPr>
          <w:rFonts w:cs="Arial"/>
          <w:szCs w:val="22"/>
          <w:lang w:val="en-GB"/>
        </w:rPr>
        <w:t>33</w:t>
      </w:r>
      <w:r w:rsidR="003C311A">
        <w:rPr>
          <w:rFonts w:cs="Arial"/>
          <w:szCs w:val="22"/>
          <w:lang w:val="en-GB"/>
        </w:rPr>
        <w:t xml:space="preserve">% </w:t>
      </w:r>
      <w:r w:rsidR="00D65272" w:rsidRPr="00FF018C">
        <w:rPr>
          <w:rFonts w:cs="Arial"/>
          <w:szCs w:val="22"/>
          <w:lang w:val="en-GB"/>
        </w:rPr>
        <w:t xml:space="preserve">and </w:t>
      </w:r>
      <w:r w:rsidR="00FF018C" w:rsidRPr="00FF018C">
        <w:rPr>
          <w:rFonts w:cs="Arial"/>
          <w:szCs w:val="22"/>
          <w:lang w:val="en-GB"/>
        </w:rPr>
        <w:t>2</w:t>
      </w:r>
      <w:r w:rsidR="00D65272" w:rsidRPr="00FF018C">
        <w:rPr>
          <w:rFonts w:cs="Arial"/>
          <w:szCs w:val="22"/>
          <w:lang w:val="en-GB"/>
        </w:rPr>
        <w:t>5</w:t>
      </w:r>
      <w:r w:rsidR="003C311A">
        <w:rPr>
          <w:rFonts w:cs="Arial"/>
          <w:szCs w:val="22"/>
          <w:lang w:val="en-GB"/>
        </w:rPr>
        <w:t xml:space="preserve">% </w:t>
      </w:r>
      <w:r w:rsidR="00D65272" w:rsidRPr="00FF018C">
        <w:rPr>
          <w:rFonts w:cs="Arial"/>
          <w:szCs w:val="22"/>
          <w:lang w:val="en-GB"/>
        </w:rPr>
        <w:t xml:space="preserve">of coastal and reef intertidal sites, respectively. </w:t>
      </w:r>
      <w:r w:rsidR="00ED7AD5" w:rsidRPr="00FF018C">
        <w:rPr>
          <w:rFonts w:cs="Arial"/>
          <w:szCs w:val="22"/>
        </w:rPr>
        <w:t>The</w:t>
      </w:r>
      <w:r w:rsidR="00ED7AD5" w:rsidRPr="00D562E2">
        <w:rPr>
          <w:rFonts w:cs="Arial"/>
          <w:szCs w:val="22"/>
        </w:rPr>
        <w:t xml:space="preserve"> long-term trend indicates </w:t>
      </w:r>
      <w:r w:rsidR="00FF018C">
        <w:rPr>
          <w:rFonts w:cs="Arial"/>
          <w:szCs w:val="22"/>
        </w:rPr>
        <w:t xml:space="preserve">a declining trajectory with </w:t>
      </w:r>
      <w:r w:rsidR="00ED7AD5" w:rsidRPr="00D562E2">
        <w:rPr>
          <w:rFonts w:cs="Arial"/>
          <w:szCs w:val="22"/>
        </w:rPr>
        <w:t xml:space="preserve">a </w:t>
      </w:r>
      <w:r w:rsidR="003E1974" w:rsidRPr="00D562E2">
        <w:rPr>
          <w:rFonts w:cs="Arial"/>
          <w:szCs w:val="22"/>
        </w:rPr>
        <w:t>region struggling to recover from losses in the years leading up to 2010–11</w:t>
      </w:r>
      <w:r w:rsidR="00FF018C">
        <w:rPr>
          <w:rFonts w:cs="Arial"/>
          <w:szCs w:val="22"/>
        </w:rPr>
        <w:t xml:space="preserve"> and in early 2017</w:t>
      </w:r>
      <w:r w:rsidR="00ED7AD5" w:rsidRPr="00D562E2">
        <w:rPr>
          <w:rFonts w:cs="Arial"/>
          <w:szCs w:val="22"/>
        </w:rPr>
        <w:t>.</w:t>
      </w:r>
    </w:p>
    <w:p w14:paraId="6E30E8D9" w14:textId="3F02994B" w:rsidR="00D635DF" w:rsidRPr="00BA33E3" w:rsidRDefault="00D65272" w:rsidP="00D65272">
      <w:pPr>
        <w:rPr>
          <w:rFonts w:cs="Arial"/>
          <w:szCs w:val="22"/>
        </w:rPr>
      </w:pPr>
      <w:r w:rsidRPr="00BA33E3">
        <w:rPr>
          <w:rFonts w:cs="Arial"/>
          <w:szCs w:val="22"/>
          <w:lang w:val="en-GB"/>
        </w:rPr>
        <w:t xml:space="preserve">Seagrass reproductive effort </w:t>
      </w:r>
      <w:r w:rsidR="004E7379" w:rsidRPr="00BA33E3">
        <w:rPr>
          <w:rFonts w:cs="Arial"/>
          <w:szCs w:val="22"/>
          <w:lang w:val="en-GB"/>
        </w:rPr>
        <w:t>declined</w:t>
      </w:r>
      <w:r w:rsidRPr="00BA33E3">
        <w:rPr>
          <w:rFonts w:cs="Arial"/>
          <w:szCs w:val="22"/>
          <w:lang w:val="en-GB"/>
        </w:rPr>
        <w:t xml:space="preserve"> at coastal habitats, </w:t>
      </w:r>
      <w:r w:rsidR="004E7379" w:rsidRPr="00BA33E3">
        <w:rPr>
          <w:rFonts w:cs="Arial"/>
          <w:szCs w:val="22"/>
          <w:lang w:val="en-GB"/>
        </w:rPr>
        <w:t xml:space="preserve">and remained virtually absent in reef habitat. Reproductive effort </w:t>
      </w:r>
      <w:r w:rsidR="009A1481" w:rsidRPr="00BA33E3">
        <w:rPr>
          <w:rFonts w:cs="Arial"/>
          <w:szCs w:val="22"/>
          <w:lang w:val="en-GB"/>
        </w:rPr>
        <w:t xml:space="preserve">at the estuarine site </w:t>
      </w:r>
      <w:r w:rsidR="004E7379" w:rsidRPr="00BA33E3">
        <w:rPr>
          <w:rFonts w:cs="Arial"/>
          <w:szCs w:val="22"/>
          <w:lang w:val="en-GB"/>
        </w:rPr>
        <w:t xml:space="preserve">is highly variable </w:t>
      </w:r>
      <w:r w:rsidR="009A1481" w:rsidRPr="00BA33E3">
        <w:rPr>
          <w:rFonts w:cs="Arial"/>
          <w:szCs w:val="22"/>
          <w:lang w:val="en-GB"/>
        </w:rPr>
        <w:t xml:space="preserve">both inter-annually and seasonally, </w:t>
      </w:r>
      <w:r w:rsidR="004E7379" w:rsidRPr="00BA33E3">
        <w:rPr>
          <w:rFonts w:cs="Arial"/>
          <w:szCs w:val="22"/>
          <w:lang w:val="en-GB"/>
        </w:rPr>
        <w:t xml:space="preserve">but there </w:t>
      </w:r>
      <w:r w:rsidR="009A1481" w:rsidRPr="00BA33E3">
        <w:rPr>
          <w:rFonts w:cs="Arial"/>
          <w:szCs w:val="22"/>
          <w:lang w:val="en-GB"/>
        </w:rPr>
        <w:t>are</w:t>
      </w:r>
      <w:r w:rsidR="004E7379" w:rsidRPr="00BA33E3">
        <w:rPr>
          <w:rFonts w:cs="Arial"/>
          <w:szCs w:val="22"/>
          <w:lang w:val="en-GB"/>
        </w:rPr>
        <w:t xml:space="preserve"> usually some reproductive structures </w:t>
      </w:r>
      <w:r w:rsidR="009A1481" w:rsidRPr="00BA33E3">
        <w:rPr>
          <w:rFonts w:cs="Arial"/>
          <w:szCs w:val="22"/>
          <w:lang w:val="en-GB"/>
        </w:rPr>
        <w:t>observed</w:t>
      </w:r>
      <w:r w:rsidR="004E7379" w:rsidRPr="00BA33E3">
        <w:rPr>
          <w:rFonts w:cs="Arial"/>
          <w:szCs w:val="22"/>
          <w:lang w:val="en-GB"/>
        </w:rPr>
        <w:t xml:space="preserve"> in the </w:t>
      </w:r>
      <w:r w:rsidR="00A243D2" w:rsidRPr="00BA33E3">
        <w:rPr>
          <w:rFonts w:cs="Arial"/>
          <w:szCs w:val="22"/>
          <w:lang w:val="en-GB"/>
        </w:rPr>
        <w:t xml:space="preserve">dry season. In </w:t>
      </w:r>
      <w:r w:rsidR="00A243D2" w:rsidRPr="00BA33E3">
        <w:rPr>
          <w:rFonts w:cs="Arial"/>
          <w:szCs w:val="22"/>
        </w:rPr>
        <w:t xml:space="preserve">2018–19 reproductive structures were observed in </w:t>
      </w:r>
      <w:r w:rsidR="00F54C1C" w:rsidRPr="00BA33E3">
        <w:rPr>
          <w:rFonts w:cs="Arial"/>
          <w:szCs w:val="22"/>
        </w:rPr>
        <w:t xml:space="preserve">estuarine habitats in </w:t>
      </w:r>
      <w:r w:rsidR="00A243D2" w:rsidRPr="00BA33E3">
        <w:rPr>
          <w:rFonts w:cs="Arial"/>
          <w:szCs w:val="22"/>
        </w:rPr>
        <w:t xml:space="preserve">the dry season, but at the second lowest level ever recorded (with the lowest being </w:t>
      </w:r>
      <w:r w:rsidR="005B46C1">
        <w:rPr>
          <w:rFonts w:cs="Arial"/>
          <w:szCs w:val="22"/>
        </w:rPr>
        <w:t>zero</w:t>
      </w:r>
      <w:r w:rsidR="00A243D2" w:rsidRPr="00BA33E3">
        <w:rPr>
          <w:rFonts w:cs="Arial"/>
          <w:szCs w:val="22"/>
        </w:rPr>
        <w:t>).</w:t>
      </w:r>
      <w:r w:rsidR="00A243D2" w:rsidRPr="00BA33E3">
        <w:rPr>
          <w:rFonts w:cs="Arial"/>
          <w:szCs w:val="22"/>
          <w:lang w:val="en-GB"/>
        </w:rPr>
        <w:t xml:space="preserve"> Despite the decline in reproductive effort, seeds are persisting within the seed bank</w:t>
      </w:r>
      <w:r w:rsidR="001F7AE1" w:rsidRPr="00BA33E3">
        <w:rPr>
          <w:rFonts w:cs="Arial"/>
          <w:szCs w:val="22"/>
          <w:lang w:val="en-GB"/>
        </w:rPr>
        <w:t xml:space="preserve"> of all habitats</w:t>
      </w:r>
      <w:r w:rsidR="00A243D2" w:rsidRPr="00BA33E3">
        <w:rPr>
          <w:rFonts w:cs="Arial"/>
          <w:szCs w:val="22"/>
          <w:lang w:val="en-GB"/>
        </w:rPr>
        <w:t>, which provides an indication of ability t</w:t>
      </w:r>
      <w:r w:rsidR="00FF018C" w:rsidRPr="00BA33E3">
        <w:rPr>
          <w:rFonts w:cs="Arial"/>
          <w:szCs w:val="22"/>
          <w:lang w:val="en-GB"/>
        </w:rPr>
        <w:t>o recover from future impacts.</w:t>
      </w:r>
    </w:p>
    <w:p w14:paraId="372341BD" w14:textId="6B70AB67" w:rsidR="00D65272" w:rsidRPr="00D562E2" w:rsidRDefault="001F7AE1" w:rsidP="00D65272">
      <w:pPr>
        <w:rPr>
          <w:rFonts w:cs="Arial"/>
          <w:szCs w:val="22"/>
        </w:rPr>
      </w:pPr>
      <w:r w:rsidRPr="00D562E2">
        <w:rPr>
          <w:rFonts w:cs="Arial"/>
          <w:szCs w:val="22"/>
        </w:rPr>
        <w:t xml:space="preserve">Despite a small increase in the leaf tissue nutrient score, tissue nutrients remained relatively unchanged in 2018–19, compared to 2017–18. In all habitats, the score remains below the threshold of 20, indicating that nitrogen occurs in excess of growth </w:t>
      </w:r>
      <w:r w:rsidR="003371EC" w:rsidRPr="00D562E2">
        <w:rPr>
          <w:rFonts w:cs="Arial"/>
          <w:szCs w:val="22"/>
        </w:rPr>
        <w:t>requirements</w:t>
      </w:r>
      <w:r w:rsidRPr="00D562E2">
        <w:rPr>
          <w:rFonts w:cs="Arial"/>
          <w:szCs w:val="22"/>
        </w:rPr>
        <w:t xml:space="preserve"> </w:t>
      </w:r>
      <w:r w:rsidR="009A1481" w:rsidRPr="00D562E2">
        <w:rPr>
          <w:rFonts w:cs="Arial"/>
          <w:szCs w:val="22"/>
        </w:rPr>
        <w:t>at</w:t>
      </w:r>
      <w:r w:rsidRPr="00D562E2">
        <w:rPr>
          <w:rFonts w:cs="Arial"/>
          <w:szCs w:val="22"/>
        </w:rPr>
        <w:t xml:space="preserve"> the </w:t>
      </w:r>
      <w:r w:rsidR="00B72AC4">
        <w:rPr>
          <w:rFonts w:cs="Arial"/>
          <w:szCs w:val="22"/>
        </w:rPr>
        <w:t>Mackay–Whitsunday</w:t>
      </w:r>
      <w:r w:rsidRPr="00D562E2">
        <w:rPr>
          <w:rFonts w:cs="Arial"/>
          <w:szCs w:val="22"/>
        </w:rPr>
        <w:t xml:space="preserve"> sites. </w:t>
      </w:r>
    </w:p>
    <w:p w14:paraId="2787B1AD" w14:textId="0F021DCE" w:rsidR="009F0873" w:rsidRPr="00BA33E3" w:rsidRDefault="00D65272" w:rsidP="00D65272">
      <w:pPr>
        <w:rPr>
          <w:rFonts w:cs="Arial"/>
          <w:szCs w:val="22"/>
        </w:rPr>
      </w:pPr>
      <w:r w:rsidRPr="00BA33E3">
        <w:rPr>
          <w:rFonts w:cs="Arial"/>
          <w:szCs w:val="22"/>
        </w:rPr>
        <w:lastRenderedPageBreak/>
        <w:t xml:space="preserve">The </w:t>
      </w:r>
      <w:r w:rsidR="00B72AC4">
        <w:rPr>
          <w:rFonts w:cs="Arial"/>
          <w:szCs w:val="22"/>
        </w:rPr>
        <w:t>Mackay–Whitsunday</w:t>
      </w:r>
      <w:r w:rsidRPr="00BA33E3">
        <w:rPr>
          <w:rFonts w:cs="Arial"/>
          <w:szCs w:val="22"/>
        </w:rPr>
        <w:t xml:space="preserve"> regional seagrass condition had been improving since 2010</w:t>
      </w:r>
      <w:r w:rsidR="00D635DF" w:rsidRPr="00BA33E3">
        <w:rPr>
          <w:rFonts w:cs="Arial"/>
          <w:szCs w:val="22"/>
        </w:rPr>
        <w:t>–</w:t>
      </w:r>
      <w:r w:rsidR="00ED7F82" w:rsidRPr="00BA33E3">
        <w:rPr>
          <w:rFonts w:cs="Arial"/>
          <w:szCs w:val="22"/>
        </w:rPr>
        <w:t>20</w:t>
      </w:r>
      <w:r w:rsidRPr="00BA33E3">
        <w:rPr>
          <w:rFonts w:cs="Arial"/>
          <w:szCs w:val="22"/>
        </w:rPr>
        <w:t>11, when it reached its lowest level since monitoring commenced</w:t>
      </w:r>
      <w:r w:rsidR="003C0E8D" w:rsidRPr="00BA33E3">
        <w:rPr>
          <w:rFonts w:cs="Arial"/>
          <w:szCs w:val="22"/>
        </w:rPr>
        <w:t xml:space="preserve">. </w:t>
      </w:r>
      <w:r w:rsidR="003371EC" w:rsidRPr="00BA33E3">
        <w:rPr>
          <w:rFonts w:cs="Arial"/>
          <w:szCs w:val="22"/>
        </w:rPr>
        <w:t>However,</w:t>
      </w:r>
      <w:r w:rsidRPr="00BA33E3">
        <w:rPr>
          <w:rFonts w:cs="Arial"/>
          <w:szCs w:val="22"/>
        </w:rPr>
        <w:t xml:space="preserve"> by </w:t>
      </w:r>
      <w:r w:rsidR="00544845" w:rsidRPr="00BA33E3">
        <w:rPr>
          <w:rFonts w:cs="Arial"/>
          <w:szCs w:val="22"/>
        </w:rPr>
        <w:t>2016–2017,</w:t>
      </w:r>
      <w:r w:rsidRPr="00BA33E3">
        <w:rPr>
          <w:rFonts w:cs="Arial"/>
          <w:szCs w:val="22"/>
        </w:rPr>
        <w:t xml:space="preserve"> the </w:t>
      </w:r>
      <w:r w:rsidR="003C0E8D" w:rsidRPr="00BA33E3">
        <w:rPr>
          <w:rFonts w:cs="Arial"/>
          <w:szCs w:val="22"/>
        </w:rPr>
        <w:t xml:space="preserve">recovery </w:t>
      </w:r>
      <w:r w:rsidRPr="00BA33E3">
        <w:rPr>
          <w:rFonts w:cs="Arial"/>
          <w:szCs w:val="22"/>
        </w:rPr>
        <w:t xml:space="preserve">trend abated as a consequence of </w:t>
      </w:r>
      <w:r w:rsidR="00D635DF" w:rsidRPr="00BA33E3">
        <w:rPr>
          <w:rFonts w:cs="Arial"/>
          <w:szCs w:val="22"/>
        </w:rPr>
        <w:t xml:space="preserve">cyclone </w:t>
      </w:r>
      <w:r w:rsidRPr="00BA33E3">
        <w:rPr>
          <w:rFonts w:cs="Arial"/>
          <w:szCs w:val="22"/>
        </w:rPr>
        <w:t>Debbie</w:t>
      </w:r>
      <w:r w:rsidR="003C0E8D" w:rsidRPr="00BA33E3">
        <w:rPr>
          <w:rFonts w:cs="Arial"/>
          <w:szCs w:val="22"/>
        </w:rPr>
        <w:t>, and t</w:t>
      </w:r>
      <w:r w:rsidRPr="00BA33E3">
        <w:rPr>
          <w:rFonts w:cs="Arial"/>
          <w:szCs w:val="22"/>
        </w:rPr>
        <w:t xml:space="preserve">he </w:t>
      </w:r>
      <w:r w:rsidR="009A1481" w:rsidRPr="00BA33E3">
        <w:rPr>
          <w:rFonts w:cs="Arial"/>
          <w:szCs w:val="22"/>
        </w:rPr>
        <w:t>region continues to struggle to recover</w:t>
      </w:r>
      <w:r w:rsidR="00FF018C" w:rsidRPr="00BA33E3">
        <w:rPr>
          <w:rFonts w:cs="Arial"/>
          <w:szCs w:val="22"/>
        </w:rPr>
        <w:t xml:space="preserve"> from the legacy of the disturbance events</w:t>
      </w:r>
      <w:r w:rsidR="00D635DF" w:rsidRPr="00BA33E3">
        <w:rPr>
          <w:rFonts w:cs="Arial"/>
          <w:szCs w:val="22"/>
        </w:rPr>
        <w:t>.</w:t>
      </w:r>
      <w:r w:rsidR="009A1481" w:rsidRPr="00BA33E3">
        <w:rPr>
          <w:rFonts w:cs="Arial"/>
          <w:szCs w:val="22"/>
        </w:rPr>
        <w:t xml:space="preserve"> </w:t>
      </w:r>
      <w:r w:rsidR="00C97E32" w:rsidRPr="00BA33E3">
        <w:rPr>
          <w:rFonts w:cs="Arial"/>
          <w:szCs w:val="22"/>
        </w:rPr>
        <w:t xml:space="preserve">Moderate rainfall and discharge events, as well as </w:t>
      </w:r>
      <w:r w:rsidR="00BA33E3" w:rsidRPr="00BA33E3">
        <w:rPr>
          <w:rFonts w:cs="Arial"/>
          <w:szCs w:val="22"/>
        </w:rPr>
        <w:t>near average</w:t>
      </w:r>
      <w:r w:rsidR="009A1481" w:rsidRPr="00BA33E3">
        <w:rPr>
          <w:rFonts w:cs="Arial"/>
          <w:szCs w:val="22"/>
        </w:rPr>
        <w:t xml:space="preserve"> water temperatures in 2018–19 </w:t>
      </w:r>
      <w:r w:rsidR="00DF0757" w:rsidRPr="00BA33E3">
        <w:rPr>
          <w:rFonts w:cs="Arial"/>
          <w:szCs w:val="22"/>
        </w:rPr>
        <w:t xml:space="preserve">are conditions </w:t>
      </w:r>
      <w:r w:rsidR="00C97E32" w:rsidRPr="00BA33E3">
        <w:rPr>
          <w:rFonts w:cs="Arial"/>
          <w:szCs w:val="22"/>
        </w:rPr>
        <w:t>that could support</w:t>
      </w:r>
      <w:r w:rsidR="00F72EC7" w:rsidRPr="00BA33E3">
        <w:rPr>
          <w:rFonts w:cs="Arial"/>
          <w:szCs w:val="22"/>
        </w:rPr>
        <w:t xml:space="preserve"> </w:t>
      </w:r>
      <w:r w:rsidR="00C97E32" w:rsidRPr="00BA33E3">
        <w:rPr>
          <w:rFonts w:cs="Arial"/>
          <w:szCs w:val="22"/>
        </w:rPr>
        <w:t xml:space="preserve">the onset of </w:t>
      </w:r>
      <w:r w:rsidR="00F72EC7" w:rsidRPr="00BA33E3">
        <w:rPr>
          <w:rFonts w:cs="Arial"/>
          <w:szCs w:val="22"/>
        </w:rPr>
        <w:t>recovery</w:t>
      </w:r>
      <w:r w:rsidR="00C97E32" w:rsidRPr="00BA33E3">
        <w:rPr>
          <w:rFonts w:cs="Arial"/>
          <w:szCs w:val="22"/>
        </w:rPr>
        <w:t xml:space="preserve"> in coming years</w:t>
      </w:r>
      <w:r w:rsidR="00FF018C" w:rsidRPr="00BA33E3">
        <w:rPr>
          <w:rFonts w:cs="Arial"/>
          <w:szCs w:val="22"/>
        </w:rPr>
        <w:t>.</w:t>
      </w:r>
    </w:p>
    <w:p w14:paraId="090076E6" w14:textId="77777777" w:rsidR="00F7114B" w:rsidRPr="00D562E2" w:rsidRDefault="00786EF1" w:rsidP="00C57784">
      <w:pPr>
        <w:keepNext/>
        <w:spacing w:after="0"/>
        <w:jc w:val="center"/>
        <w:rPr>
          <w:rFonts w:cs="Arial"/>
          <w:color w:val="000000"/>
          <w:szCs w:val="22"/>
        </w:rPr>
      </w:pPr>
      <w:r w:rsidRPr="00D562E2">
        <w:rPr>
          <w:rFonts w:cs="Arial"/>
          <w:noProof/>
          <w:color w:val="000000"/>
          <w:szCs w:val="22"/>
          <w:lang w:eastAsia="en-AU"/>
        </w:rPr>
        <w:drawing>
          <wp:inline distT="0" distB="0" distL="0" distR="0" wp14:anchorId="767F9847" wp14:editId="071CA8F7">
            <wp:extent cx="3788366" cy="2397369"/>
            <wp:effectExtent l="0" t="0" r="3175" b="3175"/>
            <wp:docPr id="512" name="Picture 512" descr="Scatter plot with straight lines and markers showing seagrass condition index (including standard errors), with contributing indicator scores for the Mackay Whitsunday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NDEX_MW_2016.png"/>
                    <pic:cNvPicPr/>
                  </pic:nvPicPr>
                  <pic:blipFill rotWithShape="1">
                    <a:blip r:embed="rId114"/>
                    <a:srcRect t="2428" b="3344"/>
                    <a:stretch/>
                  </pic:blipFill>
                  <pic:spPr bwMode="auto">
                    <a:xfrm>
                      <a:off x="0" y="0"/>
                      <a:ext cx="3790401" cy="2398657"/>
                    </a:xfrm>
                    <a:prstGeom prst="rect">
                      <a:avLst/>
                    </a:prstGeom>
                    <a:ln>
                      <a:noFill/>
                    </a:ln>
                    <a:extLst>
                      <a:ext uri="{53640926-AAD7-44D8-BBD7-CCE9431645EC}">
                        <a14:shadowObscured xmlns:a14="http://schemas.microsoft.com/office/drawing/2010/main"/>
                      </a:ext>
                    </a:extLst>
                  </pic:spPr>
                </pic:pic>
              </a:graphicData>
            </a:graphic>
          </wp:inline>
        </w:drawing>
      </w:r>
    </w:p>
    <w:p w14:paraId="71DE1744" w14:textId="4BB6C01F" w:rsidR="00F7114B" w:rsidRPr="00D562E2" w:rsidRDefault="00F7114B" w:rsidP="00F7114B">
      <w:pPr>
        <w:rPr>
          <w:rFonts w:cs="Arial"/>
          <w:i/>
          <w:vanish/>
          <w:szCs w:val="22"/>
          <w:specVanish/>
        </w:rPr>
      </w:pPr>
      <w:bookmarkStart w:id="485" w:name="_Ref461377180"/>
      <w:bookmarkStart w:id="486" w:name="_Toc431493872"/>
      <w:bookmarkStart w:id="487" w:name="_Toc38634165"/>
      <w:r w:rsidRPr="00D562E2">
        <w:rPr>
          <w:rFonts w:cs="Arial"/>
          <w:color w:val="000000"/>
          <w:szCs w:val="22"/>
        </w:rPr>
        <w:t xml:space="preserve">Figure </w:t>
      </w:r>
      <w:r w:rsidRPr="00D562E2">
        <w:rPr>
          <w:rFonts w:cs="Arial"/>
          <w:color w:val="000000"/>
          <w:szCs w:val="22"/>
        </w:rPr>
        <w:fldChar w:fldCharType="begin"/>
      </w:r>
      <w:r w:rsidRPr="00D562E2">
        <w:rPr>
          <w:rFonts w:cs="Arial"/>
          <w:color w:val="000000"/>
          <w:szCs w:val="22"/>
        </w:rPr>
        <w:instrText xml:space="preserve"> SEQ Figure \* ARABIC </w:instrText>
      </w:r>
      <w:r w:rsidRPr="00D562E2">
        <w:rPr>
          <w:rFonts w:cs="Arial"/>
          <w:color w:val="000000"/>
          <w:szCs w:val="22"/>
        </w:rPr>
        <w:fldChar w:fldCharType="separate"/>
      </w:r>
      <w:r w:rsidR="0067675D">
        <w:rPr>
          <w:rFonts w:cs="Arial"/>
          <w:noProof/>
          <w:color w:val="000000"/>
          <w:szCs w:val="22"/>
        </w:rPr>
        <w:t>61</w:t>
      </w:r>
      <w:r w:rsidRPr="00D562E2">
        <w:rPr>
          <w:rFonts w:cs="Arial"/>
          <w:color w:val="000000"/>
          <w:szCs w:val="22"/>
        </w:rPr>
        <w:fldChar w:fldCharType="end"/>
      </w:r>
      <w:bookmarkEnd w:id="485"/>
      <w:r w:rsidRPr="00D562E2">
        <w:rPr>
          <w:rFonts w:cs="Arial"/>
          <w:color w:val="000000"/>
          <w:szCs w:val="22"/>
        </w:rPr>
        <w:t xml:space="preserve">. </w:t>
      </w:r>
      <w:r w:rsidRPr="00D562E2">
        <w:rPr>
          <w:rFonts w:cs="Arial"/>
          <w:i/>
          <w:color w:val="000000"/>
          <w:szCs w:val="22"/>
        </w:rPr>
        <w:t xml:space="preserve">Report card of seagrass status indicators and index for the </w:t>
      </w:r>
      <w:r w:rsidR="00B72AC4">
        <w:rPr>
          <w:rFonts w:cs="Arial"/>
          <w:i/>
          <w:color w:val="000000"/>
          <w:szCs w:val="22"/>
        </w:rPr>
        <w:t>Mackay–Whitsunday</w:t>
      </w:r>
      <w:r w:rsidRPr="00D562E2">
        <w:rPr>
          <w:rFonts w:cs="Arial"/>
          <w:i/>
          <w:color w:val="000000"/>
          <w:szCs w:val="22"/>
        </w:rPr>
        <w:t xml:space="preserve"> NRM </w:t>
      </w:r>
      <w:r w:rsidRPr="00D562E2">
        <w:rPr>
          <w:rFonts w:cs="Arial"/>
          <w:i/>
          <w:szCs w:val="22"/>
        </w:rPr>
        <w:t>region</w:t>
      </w:r>
      <w:bookmarkEnd w:id="486"/>
      <w:bookmarkEnd w:id="487"/>
    </w:p>
    <w:p w14:paraId="702F7101" w14:textId="68886783" w:rsidR="00F7114B" w:rsidRPr="00D562E2" w:rsidRDefault="00F7114B" w:rsidP="00F7114B">
      <w:pPr>
        <w:rPr>
          <w:rFonts w:cs="Arial"/>
          <w:i/>
          <w:szCs w:val="22"/>
        </w:rPr>
      </w:pPr>
      <w:r w:rsidRPr="00D562E2">
        <w:rPr>
          <w:rFonts w:cs="Arial"/>
          <w:i/>
          <w:szCs w:val="22"/>
        </w:rPr>
        <w:t xml:space="preserve"> (averages across habitats and sites). Values are indexed scores scaled from </w:t>
      </w:r>
      <w:r w:rsidR="00ED7F82" w:rsidRPr="00D562E2">
        <w:rPr>
          <w:rFonts w:cs="Arial"/>
          <w:i/>
          <w:szCs w:val="22"/>
        </w:rPr>
        <w:t xml:space="preserve">0–100 and graded: </w:t>
      </w:r>
      <w:r w:rsidR="00ED7F82" w:rsidRPr="00D562E2">
        <w:rPr>
          <w:rFonts w:cs="Arial"/>
          <w:color w:val="008000"/>
          <w:szCs w:val="22"/>
        </w:rPr>
        <w:t>●</w:t>
      </w:r>
      <w:r w:rsidR="00ED7F82" w:rsidRPr="00D562E2">
        <w:rPr>
          <w:rFonts w:cs="Arial"/>
          <w:i/>
          <w:szCs w:val="22"/>
        </w:rPr>
        <w:t xml:space="preserve"> = very good (81-100), </w:t>
      </w:r>
      <w:r w:rsidR="00ED7F82" w:rsidRPr="00D562E2">
        <w:rPr>
          <w:rFonts w:cs="Arial"/>
          <w:color w:val="92D050"/>
          <w:szCs w:val="22"/>
        </w:rPr>
        <w:t>●</w:t>
      </w:r>
      <w:r w:rsidR="00ED7F82" w:rsidRPr="00D562E2">
        <w:rPr>
          <w:rFonts w:cs="Arial"/>
          <w:i/>
          <w:szCs w:val="22"/>
        </w:rPr>
        <w:t xml:space="preserve"> = good (61 - 80), </w:t>
      </w:r>
      <w:r w:rsidR="00ED7F82" w:rsidRPr="00D562E2">
        <w:rPr>
          <w:rFonts w:cs="Arial"/>
          <w:color w:val="FFFF00"/>
          <w:szCs w:val="22"/>
        </w:rPr>
        <w:t>●</w:t>
      </w:r>
      <w:r w:rsidR="00ED7F82" w:rsidRPr="00D562E2">
        <w:rPr>
          <w:rFonts w:cs="Arial"/>
          <w:i/>
          <w:szCs w:val="22"/>
        </w:rPr>
        <w:t xml:space="preserve"> = moderate (41 - 60), </w:t>
      </w:r>
      <w:r w:rsidR="00ED7F82" w:rsidRPr="00D562E2">
        <w:rPr>
          <w:rFonts w:cs="Arial"/>
          <w:i/>
          <w:color w:val="FFC000"/>
          <w:szCs w:val="22"/>
        </w:rPr>
        <w:t>●</w:t>
      </w:r>
      <w:r w:rsidR="00ED7F82" w:rsidRPr="00D562E2">
        <w:rPr>
          <w:rFonts w:cs="Arial"/>
          <w:i/>
          <w:szCs w:val="22"/>
        </w:rPr>
        <w:t xml:space="preserve"> = poor (21 - 40), </w:t>
      </w:r>
      <w:r w:rsidR="00ED7F82" w:rsidRPr="00D562E2">
        <w:rPr>
          <w:rFonts w:cs="Arial"/>
          <w:i/>
          <w:color w:val="FF0000"/>
          <w:szCs w:val="22"/>
        </w:rPr>
        <w:t>●</w:t>
      </w:r>
      <w:r w:rsidR="00ED7F82" w:rsidRPr="00D562E2">
        <w:rPr>
          <w:rFonts w:cs="Arial"/>
          <w:i/>
          <w:szCs w:val="22"/>
        </w:rPr>
        <w:t> = very poor (0 - 20).</w:t>
      </w:r>
      <w:r w:rsidR="00ED7F82" w:rsidRPr="00D562E2">
        <w:rPr>
          <w:rFonts w:cs="Arial"/>
          <w:i/>
          <w:color w:val="000000"/>
          <w:szCs w:val="22"/>
        </w:rPr>
        <w:t xml:space="preserve"> NB: Scores</w:t>
      </w:r>
      <w:r w:rsidR="00ED7F82" w:rsidRPr="00D562E2">
        <w:rPr>
          <w:rFonts w:cs="Arial"/>
          <w:i/>
          <w:szCs w:val="22"/>
        </w:rPr>
        <w:t xml:space="preserve"> are unitless.</w:t>
      </w:r>
    </w:p>
    <w:p w14:paraId="18114F78" w14:textId="793215EC" w:rsidR="008F6ECE" w:rsidRPr="00431DDA" w:rsidRDefault="008F6ECE" w:rsidP="00785606">
      <w:pPr>
        <w:pStyle w:val="Heading3"/>
      </w:pPr>
      <w:bookmarkStart w:id="488" w:name="_Toc37775095"/>
      <w:bookmarkStart w:id="489" w:name="_Toc43987070"/>
      <w:r w:rsidRPr="00431DDA">
        <w:t>Climate and environmental pressures</w:t>
      </w:r>
      <w:bookmarkEnd w:id="488"/>
      <w:bookmarkEnd w:id="489"/>
    </w:p>
    <w:p w14:paraId="50488C82" w14:textId="123743F8" w:rsidR="00A304F1" w:rsidRPr="00D562E2" w:rsidRDefault="003E679B" w:rsidP="003E679B">
      <w:pPr>
        <w:rPr>
          <w:rFonts w:cs="Arial"/>
          <w:szCs w:val="22"/>
          <w:lang w:val="en-GB"/>
        </w:rPr>
      </w:pPr>
      <w:r w:rsidRPr="00D562E2">
        <w:rPr>
          <w:rFonts w:cs="Arial"/>
          <w:szCs w:val="22"/>
          <w:lang w:val="en-GB"/>
        </w:rPr>
        <w:t xml:space="preserve">The </w:t>
      </w:r>
      <w:r w:rsidR="00956639" w:rsidRPr="00D562E2">
        <w:rPr>
          <w:rFonts w:cs="Arial"/>
          <w:szCs w:val="22"/>
          <w:lang w:val="en-GB"/>
        </w:rPr>
        <w:t>2018–19</w:t>
      </w:r>
      <w:r w:rsidRPr="00D562E2">
        <w:rPr>
          <w:rFonts w:cs="Arial"/>
          <w:szCs w:val="22"/>
          <w:lang w:val="en-GB"/>
        </w:rPr>
        <w:t xml:space="preserve"> monitoring period in the </w:t>
      </w:r>
      <w:r w:rsidR="00B72AC4">
        <w:rPr>
          <w:rFonts w:cs="Arial"/>
          <w:szCs w:val="22"/>
          <w:lang w:val="en-GB"/>
        </w:rPr>
        <w:t>Mackay–Whitsunday</w:t>
      </w:r>
      <w:r w:rsidRPr="00D562E2">
        <w:rPr>
          <w:rFonts w:cs="Arial"/>
          <w:szCs w:val="22"/>
          <w:lang w:val="en-GB"/>
        </w:rPr>
        <w:t xml:space="preserve"> region was characterised by rainfall </w:t>
      </w:r>
      <w:r w:rsidR="00914FD1" w:rsidRPr="00D562E2">
        <w:rPr>
          <w:rFonts w:cs="Arial"/>
          <w:szCs w:val="22"/>
          <w:lang w:val="en-GB"/>
        </w:rPr>
        <w:t xml:space="preserve">and discharge </w:t>
      </w:r>
      <w:r w:rsidR="00C4626E" w:rsidRPr="00D562E2">
        <w:rPr>
          <w:rFonts w:cs="Arial"/>
          <w:szCs w:val="22"/>
          <w:lang w:val="en-GB"/>
        </w:rPr>
        <w:t xml:space="preserve">that was </w:t>
      </w:r>
      <w:r w:rsidR="00C97E32" w:rsidRPr="00D562E2">
        <w:rPr>
          <w:rFonts w:cs="Arial"/>
          <w:szCs w:val="22"/>
          <w:lang w:val="en-GB"/>
        </w:rPr>
        <w:t>above</w:t>
      </w:r>
      <w:r w:rsidR="00C4626E" w:rsidRPr="00D562E2">
        <w:rPr>
          <w:rFonts w:cs="Arial"/>
          <w:szCs w:val="22"/>
          <w:lang w:val="en-GB"/>
        </w:rPr>
        <w:t xml:space="preserve"> the long-term average</w:t>
      </w:r>
      <w:r w:rsidR="00C97E32" w:rsidRPr="00D562E2">
        <w:rPr>
          <w:rFonts w:cs="Arial"/>
          <w:szCs w:val="22"/>
          <w:lang w:val="en-GB"/>
        </w:rPr>
        <w:t xml:space="preserve"> for northern rivers, and below average in the southern rivers</w:t>
      </w:r>
      <w:r w:rsidR="00914FD1" w:rsidRPr="00D562E2">
        <w:rPr>
          <w:rFonts w:cs="Arial"/>
          <w:szCs w:val="22"/>
          <w:lang w:val="en-GB"/>
        </w:rPr>
        <w:t xml:space="preserve"> </w:t>
      </w:r>
      <w:r w:rsidRPr="009E1381">
        <w:rPr>
          <w:rFonts w:cs="Arial"/>
          <w:szCs w:val="22"/>
          <w:lang w:val="en-GB"/>
        </w:rPr>
        <w:t>(</w:t>
      </w:r>
      <w:r w:rsidR="00C97E32" w:rsidRPr="009E1381">
        <w:rPr>
          <w:rFonts w:cs="Arial"/>
          <w:szCs w:val="22"/>
          <w:lang w:val="en-GB"/>
        </w:rPr>
        <w:fldChar w:fldCharType="begin"/>
      </w:r>
      <w:r w:rsidR="00C97E32" w:rsidRPr="009E1381">
        <w:rPr>
          <w:rFonts w:cs="Arial"/>
          <w:szCs w:val="22"/>
          <w:lang w:val="en-GB"/>
        </w:rPr>
        <w:instrText xml:space="preserve"> REF _Ref534191398 \h </w:instrText>
      </w:r>
      <w:r w:rsidR="00D562E2" w:rsidRPr="009E1381">
        <w:rPr>
          <w:rFonts w:cs="Arial"/>
          <w:szCs w:val="22"/>
          <w:lang w:val="en-GB"/>
        </w:rPr>
        <w:instrText xml:space="preserve"> \* MERGEFORMAT </w:instrText>
      </w:r>
      <w:r w:rsidR="00C97E32" w:rsidRPr="009E1381">
        <w:rPr>
          <w:rFonts w:cs="Arial"/>
          <w:szCs w:val="22"/>
          <w:lang w:val="en-GB"/>
        </w:rPr>
      </w:r>
      <w:r w:rsidR="00C97E32" w:rsidRPr="009E1381">
        <w:rPr>
          <w:rFonts w:cs="Arial"/>
          <w:szCs w:val="22"/>
          <w:lang w:val="en-GB"/>
        </w:rPr>
        <w:fldChar w:fldCharType="separate"/>
      </w:r>
      <w:r w:rsidR="0067675D" w:rsidRPr="00C26B18">
        <w:rPr>
          <w:rFonts w:cs="Arial"/>
          <w:szCs w:val="22"/>
        </w:rPr>
        <w:t xml:space="preserve">Figure </w:t>
      </w:r>
      <w:r w:rsidR="0067675D">
        <w:rPr>
          <w:rFonts w:cs="Arial"/>
          <w:noProof/>
          <w:szCs w:val="22"/>
        </w:rPr>
        <w:t>7</w:t>
      </w:r>
      <w:r w:rsidR="00C97E32" w:rsidRPr="009E1381">
        <w:rPr>
          <w:rFonts w:cs="Arial"/>
          <w:szCs w:val="22"/>
          <w:lang w:val="en-GB"/>
        </w:rPr>
        <w:fldChar w:fldCharType="end"/>
      </w:r>
      <w:r w:rsidR="00C97E32" w:rsidRPr="009E1381">
        <w:rPr>
          <w:rFonts w:cs="Arial"/>
          <w:szCs w:val="22"/>
          <w:lang w:val="en-GB"/>
        </w:rPr>
        <w:t xml:space="preserve">, </w:t>
      </w:r>
      <w:r w:rsidR="00C97E32" w:rsidRPr="009E1381">
        <w:rPr>
          <w:rFonts w:cs="Arial"/>
          <w:szCs w:val="22"/>
          <w:lang w:val="en-GB"/>
        </w:rPr>
        <w:fldChar w:fldCharType="begin"/>
      </w:r>
      <w:r w:rsidR="00C97E32" w:rsidRPr="009E1381">
        <w:rPr>
          <w:rFonts w:cs="Arial"/>
          <w:szCs w:val="22"/>
          <w:lang w:val="en-GB"/>
        </w:rPr>
        <w:instrText xml:space="preserve"> REF _Ref442465342 \h </w:instrText>
      </w:r>
      <w:r w:rsidR="00D562E2" w:rsidRPr="009E1381">
        <w:rPr>
          <w:rFonts w:cs="Arial"/>
          <w:szCs w:val="22"/>
          <w:lang w:val="en-GB"/>
        </w:rPr>
        <w:instrText xml:space="preserve"> \* MERGEFORMAT </w:instrText>
      </w:r>
      <w:r w:rsidR="00C97E32" w:rsidRPr="009E1381">
        <w:rPr>
          <w:rFonts w:cs="Arial"/>
          <w:szCs w:val="22"/>
          <w:lang w:val="en-GB"/>
        </w:rPr>
      </w:r>
      <w:r w:rsidR="00C97E32" w:rsidRPr="009E1381">
        <w:rPr>
          <w:rFonts w:cs="Arial"/>
          <w:szCs w:val="22"/>
          <w:lang w:val="en-GB"/>
        </w:rPr>
        <w:fldChar w:fldCharType="separate"/>
      </w:r>
      <w:r w:rsidR="0067675D" w:rsidRPr="0067675D">
        <w:rPr>
          <w:rFonts w:cs="Arial"/>
          <w:szCs w:val="22"/>
        </w:rPr>
        <w:t xml:space="preserve">Table </w:t>
      </w:r>
      <w:r w:rsidR="0067675D" w:rsidRPr="0067675D">
        <w:rPr>
          <w:rFonts w:cs="Arial"/>
          <w:noProof/>
          <w:szCs w:val="22"/>
        </w:rPr>
        <w:t>9</w:t>
      </w:r>
      <w:r w:rsidR="00C97E32" w:rsidRPr="009E1381">
        <w:rPr>
          <w:rFonts w:cs="Arial"/>
          <w:szCs w:val="22"/>
          <w:lang w:val="en-GB"/>
        </w:rPr>
        <w:fldChar w:fldCharType="end"/>
      </w:r>
      <w:r w:rsidR="00C97E32" w:rsidRPr="009E1381">
        <w:rPr>
          <w:rFonts w:cs="Arial"/>
          <w:szCs w:val="22"/>
          <w:lang w:val="en-GB"/>
        </w:rPr>
        <w:t xml:space="preserve">, </w:t>
      </w:r>
      <w:r w:rsidRPr="009E1381">
        <w:rPr>
          <w:rFonts w:cs="Arial"/>
          <w:szCs w:val="22"/>
          <w:lang w:val="en-GB"/>
        </w:rPr>
        <w:fldChar w:fldCharType="begin"/>
      </w:r>
      <w:r w:rsidRPr="009E1381">
        <w:rPr>
          <w:rFonts w:cs="Arial"/>
          <w:szCs w:val="22"/>
          <w:lang w:val="en-GB"/>
        </w:rPr>
        <w:instrText xml:space="preserve"> REF _Ref530687825 \h  \* MERGEFORMAT </w:instrText>
      </w:r>
      <w:r w:rsidRPr="009E1381">
        <w:rPr>
          <w:rFonts w:cs="Arial"/>
          <w:szCs w:val="22"/>
          <w:lang w:val="en-GB"/>
        </w:rPr>
      </w:r>
      <w:r w:rsidRPr="009E1381">
        <w:rPr>
          <w:rFonts w:cs="Arial"/>
          <w:szCs w:val="22"/>
          <w:lang w:val="en-GB"/>
        </w:rPr>
        <w:fldChar w:fldCharType="separate"/>
      </w:r>
      <w:r w:rsidR="0067675D" w:rsidRPr="0067675D">
        <w:rPr>
          <w:rFonts w:cs="Arial"/>
          <w:szCs w:val="22"/>
          <w:lang w:val="en-GB"/>
        </w:rPr>
        <w:t>Figure 53</w:t>
      </w:r>
      <w:r w:rsidRPr="009E1381">
        <w:rPr>
          <w:rFonts w:cs="Arial"/>
          <w:szCs w:val="22"/>
          <w:lang w:val="en-GB"/>
        </w:rPr>
        <w:fldChar w:fldCharType="end"/>
      </w:r>
      <w:r w:rsidRPr="009E1381">
        <w:rPr>
          <w:rFonts w:cs="Arial"/>
          <w:szCs w:val="22"/>
          <w:lang w:val="en-GB"/>
        </w:rPr>
        <w:t>).</w:t>
      </w:r>
      <w:r w:rsidRPr="00D562E2">
        <w:rPr>
          <w:rFonts w:cs="Arial"/>
          <w:szCs w:val="22"/>
          <w:lang w:val="en-GB"/>
        </w:rPr>
        <w:t xml:space="preserve"> </w:t>
      </w:r>
      <w:r w:rsidR="00FF6776" w:rsidRPr="00D562E2">
        <w:rPr>
          <w:rFonts w:cs="Arial"/>
          <w:szCs w:val="22"/>
          <w:lang w:val="en-GB"/>
        </w:rPr>
        <w:t xml:space="preserve">The majority of the rainfall and discharge occurred in a single </w:t>
      </w:r>
      <w:r w:rsidR="00FF6776" w:rsidRPr="00493A67">
        <w:rPr>
          <w:rFonts w:cs="Arial"/>
          <w:szCs w:val="22"/>
          <w:lang w:val="en-GB"/>
        </w:rPr>
        <w:t xml:space="preserve">event in </w:t>
      </w:r>
      <w:r w:rsidR="00493A67" w:rsidRPr="00493A67">
        <w:rPr>
          <w:rFonts w:cs="Arial"/>
          <w:szCs w:val="22"/>
          <w:lang w:val="en-GB"/>
        </w:rPr>
        <w:t xml:space="preserve">late January-early </w:t>
      </w:r>
      <w:r w:rsidR="00FF6776" w:rsidRPr="00493A67">
        <w:rPr>
          <w:rFonts w:cs="Arial"/>
          <w:szCs w:val="22"/>
          <w:lang w:val="en-GB"/>
        </w:rPr>
        <w:t>February 2019</w:t>
      </w:r>
      <w:r w:rsidRPr="00493A67">
        <w:rPr>
          <w:rFonts w:cs="Arial"/>
          <w:szCs w:val="22"/>
          <w:lang w:val="en-GB"/>
        </w:rPr>
        <w:t xml:space="preserve"> (</w:t>
      </w:r>
      <w:hyperlink w:anchor="_ENREF_69" w:tooltip="Gruber, 2020 #12283" w:history="1">
        <w:r w:rsidR="009A7AB4">
          <w:rPr>
            <w:rFonts w:cs="Arial"/>
            <w:szCs w:val="22"/>
            <w:lang w:val="en-GB"/>
          </w:rPr>
          <w:fldChar w:fldCharType="begin"/>
        </w:r>
        <w:r w:rsidR="009A7AB4">
          <w:rPr>
            <w:rFonts w:cs="Arial"/>
            <w:szCs w:val="22"/>
            <w:lang w:val="en-GB"/>
          </w:rPr>
          <w:instrText xml:space="preserve"> ADDIN EN.CITE &lt;EndNote&gt;&lt;Cite&gt;&lt;Author&gt;Gruber&lt;/Author&gt;&lt;Year&gt;2020&lt;/Year&gt;&lt;RecNum&gt;12283&lt;/RecNum&gt;&lt;DisplayText&gt;Gruber&lt;style face="italic"&gt; et al.&lt;/style&gt; 2020&lt;/DisplayText&gt;&lt;record&gt;&lt;rec-number&gt;12283&lt;/rec-number&gt;&lt;foreign-keys&gt;&lt;key app="EN" db-id="0eve55x9y5vfd6e9dacxtew4eatve2dzds9a" timestamp="1576835213"&gt;12283&lt;/key&gt;&lt;/foreign-keys&gt;&lt;ref-type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2018-2019. Report for the Great Barrier Reef Marine Park Authority&lt;/title&gt;&lt;/titles&gt;&lt;pages&gt;288&lt;/pages&gt;&lt;dates&gt;&lt;year&gt;2020&lt;/year&gt;&lt;/dates&gt;&lt;pub-location&gt;Townsville&lt;/pub-location&gt;&lt;publisher&gt;Great Barrier Reef Marine Park Authority, Australian Institute of Marine Science and JCU TropWATER&lt;/publisher&gt;&lt;urls&gt;&lt;/urls&gt;&lt;/record&gt;&lt;/Cite&gt;&lt;/EndNote&gt;</w:instrText>
        </w:r>
        <w:r w:rsidR="009A7AB4">
          <w:rPr>
            <w:rFonts w:cs="Arial"/>
            <w:szCs w:val="22"/>
            <w:lang w:val="en-GB"/>
          </w:rPr>
          <w:fldChar w:fldCharType="separate"/>
        </w:r>
        <w:r w:rsidR="009A7AB4">
          <w:rPr>
            <w:rFonts w:cs="Arial"/>
            <w:noProof/>
            <w:szCs w:val="22"/>
            <w:lang w:val="en-GB"/>
          </w:rPr>
          <w:t>Gruber</w:t>
        </w:r>
        <w:r w:rsidR="009A7AB4" w:rsidRPr="00C201F2">
          <w:rPr>
            <w:rFonts w:cs="Arial"/>
            <w:i/>
            <w:noProof/>
            <w:szCs w:val="22"/>
            <w:lang w:val="en-GB"/>
          </w:rPr>
          <w:t xml:space="preserve"> et al.</w:t>
        </w:r>
        <w:r w:rsidR="009A7AB4">
          <w:rPr>
            <w:rFonts w:cs="Arial"/>
            <w:noProof/>
            <w:szCs w:val="22"/>
            <w:lang w:val="en-GB"/>
          </w:rPr>
          <w:t xml:space="preserve"> 2020</w:t>
        </w:r>
        <w:r w:rsidR="009A7AB4">
          <w:rPr>
            <w:rFonts w:cs="Arial"/>
            <w:szCs w:val="22"/>
            <w:lang w:val="en-GB"/>
          </w:rPr>
          <w:fldChar w:fldCharType="end"/>
        </w:r>
      </w:hyperlink>
      <w:r w:rsidRPr="00493A67">
        <w:rPr>
          <w:rFonts w:cs="Arial"/>
          <w:szCs w:val="22"/>
          <w:lang w:val="en-GB"/>
        </w:rPr>
        <w:t>).</w:t>
      </w:r>
      <w:r w:rsidRPr="00D562E2">
        <w:rPr>
          <w:rFonts w:cs="Arial"/>
          <w:szCs w:val="22"/>
          <w:lang w:val="en-GB"/>
        </w:rPr>
        <w:t xml:space="preserve"> </w:t>
      </w:r>
    </w:p>
    <w:p w14:paraId="095A0F4D" w14:textId="32F82F92" w:rsidR="00A304F1" w:rsidRPr="00D562E2" w:rsidRDefault="003E679B" w:rsidP="008A59C6">
      <w:pPr>
        <w:rPr>
          <w:rFonts w:cs="Arial"/>
          <w:szCs w:val="22"/>
          <w:lang w:val="en-GB"/>
        </w:rPr>
      </w:pPr>
      <w:r w:rsidRPr="00D562E2">
        <w:rPr>
          <w:rFonts w:cs="Arial"/>
          <w:szCs w:val="22"/>
          <w:lang w:val="en-GB"/>
        </w:rPr>
        <w:t xml:space="preserve">Exposure of inshore seagrass to turbid waters during the wet season was at the long-term </w:t>
      </w:r>
      <w:r w:rsidR="00A304F1" w:rsidRPr="00D562E2">
        <w:rPr>
          <w:rFonts w:cs="Arial"/>
          <w:szCs w:val="22"/>
          <w:lang w:val="en-GB"/>
        </w:rPr>
        <w:t xml:space="preserve">average </w:t>
      </w:r>
      <w:r w:rsidR="004F06D4" w:rsidRPr="00D562E2">
        <w:rPr>
          <w:rFonts w:cs="Arial"/>
          <w:szCs w:val="22"/>
          <w:lang w:val="en-GB"/>
        </w:rPr>
        <w:t>(</w:t>
      </w:r>
      <w:r w:rsidR="004F06D4" w:rsidRPr="00D562E2">
        <w:rPr>
          <w:rFonts w:cs="Arial"/>
          <w:color w:val="0000FF"/>
          <w:szCs w:val="22"/>
          <w:lang w:val="en-GB"/>
        </w:rPr>
        <w:fldChar w:fldCharType="begin"/>
      </w:r>
      <w:r w:rsidR="004F06D4" w:rsidRPr="00D562E2">
        <w:rPr>
          <w:rFonts w:cs="Arial"/>
          <w:szCs w:val="22"/>
          <w:lang w:val="en-GB"/>
        </w:rPr>
        <w:instrText xml:space="preserve"> REF _Ref533507597 \h </w:instrText>
      </w:r>
      <w:r w:rsidR="00CB093C" w:rsidRPr="00D562E2">
        <w:rPr>
          <w:rFonts w:cs="Arial"/>
          <w:color w:val="0000FF"/>
          <w:szCs w:val="22"/>
          <w:lang w:val="en-GB"/>
        </w:rPr>
        <w:instrText xml:space="preserve"> \* MERGEFORMAT </w:instrText>
      </w:r>
      <w:r w:rsidR="004F06D4" w:rsidRPr="00D562E2">
        <w:rPr>
          <w:rFonts w:cs="Arial"/>
          <w:color w:val="0000FF"/>
          <w:szCs w:val="22"/>
          <w:lang w:val="en-GB"/>
        </w:rPr>
      </w:r>
      <w:r w:rsidR="004F06D4" w:rsidRPr="00D562E2">
        <w:rPr>
          <w:rFonts w:cs="Arial"/>
          <w:color w:val="0000FF"/>
          <w:szCs w:val="22"/>
          <w:lang w:val="en-GB"/>
        </w:rPr>
        <w:fldChar w:fldCharType="separate"/>
      </w:r>
      <w:r w:rsidR="0067675D" w:rsidRPr="00D562E2">
        <w:rPr>
          <w:rFonts w:cs="Arial"/>
          <w:szCs w:val="22"/>
        </w:rPr>
        <w:t xml:space="preserve">Figure </w:t>
      </w:r>
      <w:r w:rsidR="0067675D">
        <w:rPr>
          <w:rFonts w:cs="Arial"/>
          <w:noProof/>
          <w:szCs w:val="22"/>
        </w:rPr>
        <w:t>62</w:t>
      </w:r>
      <w:r w:rsidR="004F06D4" w:rsidRPr="00D562E2">
        <w:rPr>
          <w:rFonts w:cs="Arial"/>
          <w:color w:val="0000FF"/>
          <w:szCs w:val="22"/>
          <w:lang w:val="en-GB"/>
        </w:rPr>
        <w:fldChar w:fldCharType="end"/>
      </w:r>
      <w:r w:rsidR="004F06D4" w:rsidRPr="00D562E2">
        <w:rPr>
          <w:rFonts w:cs="Arial"/>
          <w:szCs w:val="22"/>
          <w:lang w:val="en-GB"/>
        </w:rPr>
        <w:t>)</w:t>
      </w:r>
      <w:r w:rsidRPr="00D562E2">
        <w:rPr>
          <w:rFonts w:cs="Arial"/>
          <w:szCs w:val="22"/>
          <w:lang w:val="en-GB"/>
        </w:rPr>
        <w:t>. Exposure to ‘brown’ or ‘green’ turbid water was variable among seagrass habitats (</w:t>
      </w:r>
      <w:r w:rsidR="00E847F8" w:rsidRPr="00D562E2">
        <w:rPr>
          <w:rFonts w:cs="Arial"/>
          <w:color w:val="0000FF"/>
          <w:szCs w:val="22"/>
          <w:lang w:val="en-GB"/>
        </w:rPr>
        <w:fldChar w:fldCharType="begin"/>
      </w:r>
      <w:r w:rsidR="00E847F8" w:rsidRPr="00D562E2">
        <w:rPr>
          <w:rFonts w:cs="Arial"/>
          <w:szCs w:val="22"/>
          <w:lang w:val="en-GB"/>
        </w:rPr>
        <w:instrText xml:space="preserve"> REF _Ref533507597 \h </w:instrText>
      </w:r>
      <w:r w:rsidR="00CB093C" w:rsidRPr="00D562E2">
        <w:rPr>
          <w:rFonts w:cs="Arial"/>
          <w:color w:val="0000FF"/>
          <w:szCs w:val="22"/>
          <w:lang w:val="en-GB"/>
        </w:rPr>
        <w:instrText xml:space="preserve"> \* MERGEFORMAT </w:instrText>
      </w:r>
      <w:r w:rsidR="00E847F8" w:rsidRPr="00D562E2">
        <w:rPr>
          <w:rFonts w:cs="Arial"/>
          <w:color w:val="0000FF"/>
          <w:szCs w:val="22"/>
          <w:lang w:val="en-GB"/>
        </w:rPr>
      </w:r>
      <w:r w:rsidR="00E847F8" w:rsidRPr="00D562E2">
        <w:rPr>
          <w:rFonts w:cs="Arial"/>
          <w:color w:val="0000FF"/>
          <w:szCs w:val="22"/>
          <w:lang w:val="en-GB"/>
        </w:rPr>
        <w:fldChar w:fldCharType="separate"/>
      </w:r>
      <w:r w:rsidR="0067675D" w:rsidRPr="00D562E2">
        <w:rPr>
          <w:rFonts w:cs="Arial"/>
          <w:szCs w:val="22"/>
        </w:rPr>
        <w:t xml:space="preserve">Figure </w:t>
      </w:r>
      <w:r w:rsidR="0067675D">
        <w:rPr>
          <w:rFonts w:cs="Arial"/>
          <w:noProof/>
          <w:szCs w:val="22"/>
        </w:rPr>
        <w:t>62</w:t>
      </w:r>
      <w:r w:rsidR="00E847F8" w:rsidRPr="00D562E2">
        <w:rPr>
          <w:rFonts w:cs="Arial"/>
          <w:color w:val="0000FF"/>
          <w:szCs w:val="22"/>
          <w:lang w:val="en-GB"/>
        </w:rPr>
        <w:fldChar w:fldCharType="end"/>
      </w:r>
      <w:r w:rsidRPr="00D562E2">
        <w:rPr>
          <w:rFonts w:cs="Arial"/>
          <w:szCs w:val="22"/>
          <w:lang w:val="en-GB"/>
        </w:rPr>
        <w:t xml:space="preserve">). Estuarine and coastal </w:t>
      </w:r>
      <w:r w:rsidR="00932650" w:rsidRPr="00D562E2">
        <w:rPr>
          <w:rFonts w:cs="Arial"/>
          <w:szCs w:val="22"/>
          <w:lang w:val="en-GB"/>
        </w:rPr>
        <w:t xml:space="preserve">sites </w:t>
      </w:r>
      <w:r w:rsidRPr="00D562E2">
        <w:rPr>
          <w:rFonts w:cs="Arial"/>
          <w:szCs w:val="22"/>
          <w:lang w:val="en-GB"/>
        </w:rPr>
        <w:lastRenderedPageBreak/>
        <w:t xml:space="preserve">were not only exposed to turbid waters for the entire wet season, but were the only habitats exposed to ‘brown’ </w:t>
      </w:r>
      <w:r w:rsidR="00CA04ED" w:rsidRPr="00D562E2">
        <w:rPr>
          <w:rFonts w:cs="Arial"/>
          <w:szCs w:val="22"/>
          <w:lang w:val="en-GB"/>
        </w:rPr>
        <w:t xml:space="preserve">sediment laden </w:t>
      </w:r>
      <w:r w:rsidRPr="00D562E2">
        <w:rPr>
          <w:rFonts w:cs="Arial"/>
          <w:szCs w:val="22"/>
          <w:lang w:val="en-GB"/>
        </w:rPr>
        <w:t xml:space="preserve">waters. </w:t>
      </w:r>
      <w:r w:rsidR="008A59C6" w:rsidRPr="00D562E2">
        <w:rPr>
          <w:rFonts w:cs="Arial"/>
          <w:szCs w:val="22"/>
          <w:lang w:val="en-GB"/>
        </w:rPr>
        <w:t xml:space="preserve">Estuarine sites in Sarina Inlet (SI1 and SI2), were exposed to ‘brown’ turbid water for </w:t>
      </w:r>
      <w:r w:rsidR="00A4711C" w:rsidRPr="00D562E2">
        <w:rPr>
          <w:rFonts w:cs="Arial"/>
          <w:szCs w:val="22"/>
          <w:lang w:val="en-GB"/>
        </w:rPr>
        <w:t>90</w:t>
      </w:r>
      <w:r w:rsidR="003C311A">
        <w:rPr>
          <w:rFonts w:cs="Arial"/>
          <w:szCs w:val="22"/>
          <w:lang w:val="en-GB"/>
        </w:rPr>
        <w:t xml:space="preserve">% </w:t>
      </w:r>
      <w:r w:rsidR="008A59C6" w:rsidRPr="00D562E2">
        <w:rPr>
          <w:rFonts w:cs="Arial"/>
          <w:szCs w:val="22"/>
          <w:lang w:val="en-GB"/>
        </w:rPr>
        <w:t>of the wet season, resulting in marginally lower benthic light (</w:t>
      </w:r>
      <w:r w:rsidR="008A59C6" w:rsidRPr="00D562E2">
        <w:rPr>
          <w:rFonts w:cs="Arial"/>
          <w:szCs w:val="22"/>
          <w:lang w:val="en-GB"/>
        </w:rPr>
        <w:fldChar w:fldCharType="begin"/>
      </w:r>
      <w:r w:rsidR="008A59C6" w:rsidRPr="00D562E2">
        <w:rPr>
          <w:rFonts w:cs="Arial"/>
          <w:szCs w:val="22"/>
          <w:lang w:val="en-GB"/>
        </w:rPr>
        <w:instrText xml:space="preserve"> REF _Ref507596879 \h </w:instrText>
      </w:r>
      <w:r w:rsidR="00CB093C" w:rsidRPr="00D562E2">
        <w:rPr>
          <w:rFonts w:cs="Arial"/>
          <w:szCs w:val="22"/>
          <w:lang w:val="en-GB"/>
        </w:rPr>
        <w:instrText xml:space="preserve"> \* MERGEFORMAT </w:instrText>
      </w:r>
      <w:r w:rsidR="008A59C6" w:rsidRPr="00D562E2">
        <w:rPr>
          <w:rFonts w:cs="Arial"/>
          <w:szCs w:val="22"/>
          <w:lang w:val="en-GB"/>
        </w:rPr>
      </w:r>
      <w:r w:rsidR="008A59C6" w:rsidRPr="00D562E2">
        <w:rPr>
          <w:rFonts w:cs="Arial"/>
          <w:szCs w:val="22"/>
          <w:lang w:val="en-GB"/>
        </w:rPr>
        <w:fldChar w:fldCharType="separate"/>
      </w:r>
      <w:r w:rsidR="0067675D" w:rsidRPr="00C26B18">
        <w:rPr>
          <w:rFonts w:cs="Arial"/>
          <w:szCs w:val="22"/>
        </w:rPr>
        <w:t xml:space="preserve">Figure </w:t>
      </w:r>
      <w:r w:rsidR="0067675D">
        <w:rPr>
          <w:rFonts w:cs="Arial"/>
          <w:noProof/>
          <w:szCs w:val="22"/>
        </w:rPr>
        <w:t>9</w:t>
      </w:r>
      <w:r w:rsidR="008A59C6" w:rsidRPr="00D562E2">
        <w:rPr>
          <w:rFonts w:cs="Arial"/>
          <w:szCs w:val="22"/>
          <w:lang w:val="en-GB"/>
        </w:rPr>
        <w:fldChar w:fldCharType="end"/>
      </w:r>
      <w:r w:rsidR="008A59C6" w:rsidRPr="00D562E2">
        <w:rPr>
          <w:rFonts w:cs="Arial"/>
          <w:szCs w:val="22"/>
          <w:lang w:val="en-GB"/>
        </w:rPr>
        <w:t xml:space="preserve">, </w:t>
      </w:r>
      <w:r w:rsidR="008A59C6" w:rsidRPr="00D562E2">
        <w:rPr>
          <w:rFonts w:cs="Arial"/>
          <w:szCs w:val="22"/>
          <w:lang w:val="en-GB"/>
        </w:rPr>
        <w:fldChar w:fldCharType="begin"/>
      </w:r>
      <w:r w:rsidR="008A59C6" w:rsidRPr="00D562E2">
        <w:rPr>
          <w:rFonts w:cs="Arial"/>
          <w:szCs w:val="22"/>
          <w:lang w:val="en-GB"/>
        </w:rPr>
        <w:instrText xml:space="preserve"> REF _Ref533507597 \h </w:instrText>
      </w:r>
      <w:r w:rsidR="00CB093C" w:rsidRPr="00D562E2">
        <w:rPr>
          <w:rFonts w:cs="Arial"/>
          <w:szCs w:val="22"/>
          <w:lang w:val="en-GB"/>
        </w:rPr>
        <w:instrText xml:space="preserve"> \* MERGEFORMAT </w:instrText>
      </w:r>
      <w:r w:rsidR="008A59C6" w:rsidRPr="00D562E2">
        <w:rPr>
          <w:rFonts w:cs="Arial"/>
          <w:szCs w:val="22"/>
          <w:lang w:val="en-GB"/>
        </w:rPr>
      </w:r>
      <w:r w:rsidR="008A59C6"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62</w:t>
      </w:r>
      <w:r w:rsidR="008A59C6" w:rsidRPr="00D562E2">
        <w:rPr>
          <w:rFonts w:cs="Arial"/>
          <w:szCs w:val="22"/>
          <w:lang w:val="en-GB"/>
        </w:rPr>
        <w:fldChar w:fldCharType="end"/>
      </w:r>
      <w:r w:rsidR="008A59C6" w:rsidRPr="00D562E2">
        <w:rPr>
          <w:rFonts w:cs="Arial"/>
          <w:szCs w:val="22"/>
          <w:lang w:val="en-GB"/>
        </w:rPr>
        <w:t xml:space="preserve">). Reef habitats fringing the mainland (HB1 and HB2) and located on </w:t>
      </w:r>
      <w:r w:rsidR="00217AEE">
        <w:rPr>
          <w:rFonts w:cs="Arial"/>
          <w:szCs w:val="22"/>
          <w:lang w:val="en-GB"/>
        </w:rPr>
        <w:t>open water</w:t>
      </w:r>
      <w:r w:rsidR="008A59C6" w:rsidRPr="00D562E2">
        <w:rPr>
          <w:rFonts w:cs="Arial"/>
          <w:szCs w:val="22"/>
          <w:lang w:val="en-GB"/>
        </w:rPr>
        <w:t xml:space="preserve"> islands (HM1 and HM2</w:t>
      </w:r>
      <w:r w:rsidR="00CE64A5" w:rsidRPr="00D562E2">
        <w:rPr>
          <w:rFonts w:cs="Arial"/>
          <w:szCs w:val="22"/>
          <w:lang w:val="en-GB"/>
        </w:rPr>
        <w:t>, LN1 and LN2</w:t>
      </w:r>
      <w:r w:rsidR="008A59C6" w:rsidRPr="00D562E2">
        <w:rPr>
          <w:rFonts w:cs="Arial"/>
          <w:szCs w:val="22"/>
          <w:lang w:val="en-GB"/>
        </w:rPr>
        <w:t xml:space="preserve">) were only exposed to ‘green’ water </w:t>
      </w:r>
      <w:r w:rsidR="00A304F1" w:rsidRPr="00D562E2">
        <w:rPr>
          <w:rFonts w:cs="Arial"/>
          <w:szCs w:val="22"/>
          <w:lang w:val="en-GB"/>
        </w:rPr>
        <w:t xml:space="preserve">but at high frequency </w:t>
      </w:r>
      <w:r w:rsidR="008A59C6" w:rsidRPr="00D562E2">
        <w:rPr>
          <w:rFonts w:cs="Arial"/>
          <w:szCs w:val="22"/>
          <w:lang w:val="en-GB"/>
        </w:rPr>
        <w:t>(</w:t>
      </w:r>
      <w:r w:rsidR="00CE64A5" w:rsidRPr="00D562E2">
        <w:rPr>
          <w:rFonts w:cs="Arial"/>
          <w:szCs w:val="22"/>
          <w:lang w:val="en-GB"/>
        </w:rPr>
        <w:t>90 – 100</w:t>
      </w:r>
      <w:r w:rsidR="003C311A">
        <w:rPr>
          <w:rFonts w:cs="Arial"/>
          <w:szCs w:val="22"/>
          <w:lang w:val="en-GB"/>
        </w:rPr>
        <w:t xml:space="preserve">% </w:t>
      </w:r>
      <w:r w:rsidR="00CA04ED" w:rsidRPr="00D562E2">
        <w:rPr>
          <w:rFonts w:cs="Arial"/>
          <w:szCs w:val="22"/>
          <w:lang w:val="en-GB"/>
        </w:rPr>
        <w:t>of wet season weeks</w:t>
      </w:r>
      <w:r w:rsidR="008A59C6" w:rsidRPr="00D562E2">
        <w:rPr>
          <w:rFonts w:cs="Arial"/>
          <w:szCs w:val="22"/>
          <w:lang w:val="en-GB"/>
        </w:rPr>
        <w:t>) and experienced average benthic light (</w:t>
      </w:r>
      <w:r w:rsidR="008A59C6" w:rsidRPr="00D562E2">
        <w:rPr>
          <w:rFonts w:cs="Arial"/>
          <w:szCs w:val="22"/>
          <w:lang w:val="en-GB"/>
        </w:rPr>
        <w:fldChar w:fldCharType="begin"/>
      </w:r>
      <w:r w:rsidR="008A59C6" w:rsidRPr="00D562E2">
        <w:rPr>
          <w:rFonts w:cs="Arial"/>
          <w:szCs w:val="22"/>
          <w:lang w:val="en-GB"/>
        </w:rPr>
        <w:instrText xml:space="preserve"> REF _Ref507596879 \h </w:instrText>
      </w:r>
      <w:r w:rsidR="00CB093C" w:rsidRPr="00D562E2">
        <w:rPr>
          <w:rFonts w:cs="Arial"/>
          <w:szCs w:val="22"/>
          <w:lang w:val="en-GB"/>
        </w:rPr>
        <w:instrText xml:space="preserve"> \* MERGEFORMAT </w:instrText>
      </w:r>
      <w:r w:rsidR="008A59C6" w:rsidRPr="00D562E2">
        <w:rPr>
          <w:rFonts w:cs="Arial"/>
          <w:szCs w:val="22"/>
          <w:lang w:val="en-GB"/>
        </w:rPr>
      </w:r>
      <w:r w:rsidR="008A59C6" w:rsidRPr="00D562E2">
        <w:rPr>
          <w:rFonts w:cs="Arial"/>
          <w:szCs w:val="22"/>
          <w:lang w:val="en-GB"/>
        </w:rPr>
        <w:fldChar w:fldCharType="separate"/>
      </w:r>
      <w:r w:rsidR="0067675D" w:rsidRPr="00C26B18">
        <w:rPr>
          <w:rFonts w:cs="Arial"/>
          <w:szCs w:val="22"/>
        </w:rPr>
        <w:t xml:space="preserve">Figure </w:t>
      </w:r>
      <w:r w:rsidR="0067675D">
        <w:rPr>
          <w:rFonts w:cs="Arial"/>
          <w:noProof/>
          <w:szCs w:val="22"/>
        </w:rPr>
        <w:t>9</w:t>
      </w:r>
      <w:r w:rsidR="008A59C6" w:rsidRPr="00D562E2">
        <w:rPr>
          <w:rFonts w:cs="Arial"/>
          <w:szCs w:val="22"/>
          <w:lang w:val="en-GB"/>
        </w:rPr>
        <w:fldChar w:fldCharType="end"/>
      </w:r>
      <w:r w:rsidR="008A59C6" w:rsidRPr="00D562E2">
        <w:rPr>
          <w:rFonts w:cs="Arial"/>
          <w:szCs w:val="22"/>
          <w:lang w:val="en-GB"/>
        </w:rPr>
        <w:t xml:space="preserve">, </w:t>
      </w:r>
      <w:r w:rsidR="008A59C6" w:rsidRPr="00D562E2">
        <w:rPr>
          <w:rFonts w:cs="Arial"/>
          <w:szCs w:val="22"/>
          <w:lang w:val="en-GB"/>
        </w:rPr>
        <w:fldChar w:fldCharType="begin"/>
      </w:r>
      <w:r w:rsidR="008A59C6" w:rsidRPr="00D562E2">
        <w:rPr>
          <w:rFonts w:cs="Arial"/>
          <w:szCs w:val="22"/>
          <w:lang w:val="en-GB"/>
        </w:rPr>
        <w:instrText xml:space="preserve"> REF _Ref533507597 \h </w:instrText>
      </w:r>
      <w:r w:rsidR="00CB093C" w:rsidRPr="00D562E2">
        <w:rPr>
          <w:rFonts w:cs="Arial"/>
          <w:szCs w:val="22"/>
          <w:lang w:val="en-GB"/>
        </w:rPr>
        <w:instrText xml:space="preserve"> \* MERGEFORMAT </w:instrText>
      </w:r>
      <w:r w:rsidR="008A59C6" w:rsidRPr="00D562E2">
        <w:rPr>
          <w:rFonts w:cs="Arial"/>
          <w:szCs w:val="22"/>
          <w:lang w:val="en-GB"/>
        </w:rPr>
      </w:r>
      <w:r w:rsidR="008A59C6"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62</w:t>
      </w:r>
      <w:r w:rsidR="008A59C6" w:rsidRPr="00D562E2">
        <w:rPr>
          <w:rFonts w:cs="Arial"/>
          <w:szCs w:val="22"/>
          <w:lang w:val="en-GB"/>
        </w:rPr>
        <w:fldChar w:fldCharType="end"/>
      </w:r>
      <w:r w:rsidR="008A59C6" w:rsidRPr="00D562E2">
        <w:rPr>
          <w:rFonts w:cs="Arial"/>
          <w:szCs w:val="22"/>
          <w:lang w:val="en-GB"/>
        </w:rPr>
        <w:t xml:space="preserve">). </w:t>
      </w:r>
    </w:p>
    <w:p w14:paraId="7D8F7660" w14:textId="4109B39F" w:rsidR="008A59C6" w:rsidRPr="00D562E2" w:rsidRDefault="006A0E09" w:rsidP="008A59C6">
      <w:pPr>
        <w:rPr>
          <w:rFonts w:cs="Arial"/>
          <w:szCs w:val="22"/>
          <w:lang w:val="en-GB"/>
        </w:rPr>
      </w:pPr>
      <w:r w:rsidRPr="00D562E2">
        <w:rPr>
          <w:rFonts w:cs="Arial"/>
          <w:szCs w:val="22"/>
          <w:lang w:val="en-GB"/>
        </w:rPr>
        <w:t>Within-canopy light was slightly lower than</w:t>
      </w:r>
      <w:r w:rsidR="00BA3992" w:rsidRPr="00D562E2">
        <w:rPr>
          <w:rFonts w:cs="Arial"/>
          <w:szCs w:val="22"/>
          <w:lang w:val="en-GB"/>
        </w:rPr>
        <w:t xml:space="preserve"> the</w:t>
      </w:r>
      <w:r w:rsidRPr="00D562E2">
        <w:rPr>
          <w:rFonts w:cs="Arial"/>
          <w:szCs w:val="22"/>
          <w:lang w:val="en-GB"/>
        </w:rPr>
        <w:t xml:space="preserve"> long-term average</w:t>
      </w:r>
      <w:r w:rsidR="00BA3992" w:rsidRPr="00D562E2">
        <w:rPr>
          <w:rFonts w:cs="Arial"/>
          <w:szCs w:val="22"/>
          <w:lang w:val="en-GB"/>
        </w:rPr>
        <w:t xml:space="preserve"> for all sites combined within the region (</w:t>
      </w:r>
      <w:r w:rsidR="00BA3992" w:rsidRPr="00D562E2">
        <w:rPr>
          <w:rFonts w:cs="Arial"/>
          <w:szCs w:val="22"/>
          <w:lang w:val="en-GB"/>
        </w:rPr>
        <w:fldChar w:fldCharType="begin"/>
      </w:r>
      <w:r w:rsidR="00BA3992" w:rsidRPr="00D562E2">
        <w:rPr>
          <w:rFonts w:cs="Arial"/>
          <w:szCs w:val="22"/>
          <w:lang w:val="en-GB"/>
        </w:rPr>
        <w:instrText xml:space="preserve"> REF _Ref507596879 \h  \* MERGEFORMAT </w:instrText>
      </w:r>
      <w:r w:rsidR="00BA3992" w:rsidRPr="00D562E2">
        <w:rPr>
          <w:rFonts w:cs="Arial"/>
          <w:szCs w:val="22"/>
          <w:lang w:val="en-GB"/>
        </w:rPr>
      </w:r>
      <w:r w:rsidR="00BA3992" w:rsidRPr="00D562E2">
        <w:rPr>
          <w:rFonts w:cs="Arial"/>
          <w:szCs w:val="22"/>
          <w:lang w:val="en-GB"/>
        </w:rPr>
        <w:fldChar w:fldCharType="separate"/>
      </w:r>
      <w:r w:rsidR="0067675D" w:rsidRPr="00C26B18">
        <w:rPr>
          <w:rFonts w:cs="Arial"/>
          <w:szCs w:val="22"/>
        </w:rPr>
        <w:t xml:space="preserve">Figure </w:t>
      </w:r>
      <w:r w:rsidR="0067675D">
        <w:rPr>
          <w:rFonts w:cs="Arial"/>
          <w:noProof/>
          <w:szCs w:val="22"/>
        </w:rPr>
        <w:t>9</w:t>
      </w:r>
      <w:r w:rsidR="00BA3992" w:rsidRPr="00D562E2">
        <w:rPr>
          <w:rFonts w:cs="Arial"/>
          <w:szCs w:val="22"/>
          <w:lang w:val="en-GB"/>
        </w:rPr>
        <w:fldChar w:fldCharType="end"/>
      </w:r>
      <w:r w:rsidR="00BA3992" w:rsidRPr="00D562E2">
        <w:rPr>
          <w:rFonts w:cs="Arial"/>
          <w:szCs w:val="22"/>
          <w:lang w:val="en-GB"/>
        </w:rPr>
        <w:t xml:space="preserve">, </w:t>
      </w:r>
      <w:r w:rsidR="00BA3992" w:rsidRPr="00D562E2">
        <w:rPr>
          <w:rFonts w:cs="Arial"/>
          <w:szCs w:val="22"/>
          <w:lang w:val="en-GB"/>
        </w:rPr>
        <w:fldChar w:fldCharType="begin"/>
      </w:r>
      <w:r w:rsidR="00BA3992" w:rsidRPr="00D562E2">
        <w:rPr>
          <w:rFonts w:cs="Arial"/>
          <w:szCs w:val="22"/>
          <w:lang w:val="en-GB"/>
        </w:rPr>
        <w:instrText xml:space="preserve"> REF _Ref533507597 \h  \* MERGEFORMAT </w:instrText>
      </w:r>
      <w:r w:rsidR="00BA3992" w:rsidRPr="00D562E2">
        <w:rPr>
          <w:rFonts w:cs="Arial"/>
          <w:szCs w:val="22"/>
          <w:lang w:val="en-GB"/>
        </w:rPr>
      </w:r>
      <w:r w:rsidR="00BA3992"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62</w:t>
      </w:r>
      <w:r w:rsidR="00BA3992" w:rsidRPr="00D562E2">
        <w:rPr>
          <w:rFonts w:cs="Arial"/>
          <w:szCs w:val="22"/>
          <w:lang w:val="en-GB"/>
        </w:rPr>
        <w:fldChar w:fldCharType="end"/>
      </w:r>
      <w:r w:rsidR="00BA3992" w:rsidRPr="00D562E2">
        <w:rPr>
          <w:rFonts w:cs="Arial"/>
          <w:szCs w:val="22"/>
          <w:lang w:val="en-GB"/>
        </w:rPr>
        <w:t xml:space="preserve">, </w:t>
      </w:r>
      <w:r w:rsidR="00BA3992" w:rsidRPr="00D562E2">
        <w:rPr>
          <w:rFonts w:cs="Arial"/>
          <w:szCs w:val="22"/>
          <w:lang w:val="en-GB"/>
        </w:rPr>
        <w:fldChar w:fldCharType="begin"/>
      </w:r>
      <w:r w:rsidR="00BA3992" w:rsidRPr="00D562E2">
        <w:rPr>
          <w:rFonts w:cs="Arial"/>
          <w:szCs w:val="22"/>
          <w:lang w:val="en-GB"/>
        </w:rPr>
        <w:instrText xml:space="preserve"> REF _Ref410298084 \h  \* MERGEFORMAT </w:instrText>
      </w:r>
      <w:r w:rsidR="00BA3992" w:rsidRPr="00D562E2">
        <w:rPr>
          <w:rFonts w:cs="Arial"/>
          <w:szCs w:val="22"/>
          <w:lang w:val="en-GB"/>
        </w:rPr>
      </w:r>
      <w:r w:rsidR="00BA3992" w:rsidRPr="00D562E2">
        <w:rPr>
          <w:rFonts w:cs="Arial"/>
          <w:szCs w:val="22"/>
          <w:lang w:val="en-GB"/>
        </w:rPr>
        <w:fldChar w:fldCharType="separate"/>
      </w:r>
      <w:r w:rsidR="0067675D" w:rsidRPr="00867E8C">
        <w:rPr>
          <w:rFonts w:cs="Arial"/>
          <w:color w:val="000000"/>
          <w:szCs w:val="22"/>
          <w:lang w:val="en-GB"/>
        </w:rPr>
        <w:t xml:space="preserve">Figure </w:t>
      </w:r>
      <w:r w:rsidR="0067675D">
        <w:rPr>
          <w:rFonts w:cs="Arial"/>
          <w:noProof/>
          <w:color w:val="000000"/>
          <w:szCs w:val="22"/>
          <w:lang w:val="en-GB"/>
        </w:rPr>
        <w:t>103</w:t>
      </w:r>
      <w:r w:rsidR="00BA3992" w:rsidRPr="00D562E2">
        <w:rPr>
          <w:rFonts w:cs="Arial"/>
          <w:szCs w:val="22"/>
          <w:lang w:val="en-GB"/>
        </w:rPr>
        <w:fldChar w:fldCharType="end"/>
      </w:r>
      <w:r w:rsidR="00BA3992" w:rsidRPr="00D562E2">
        <w:rPr>
          <w:rFonts w:cs="Arial"/>
          <w:szCs w:val="22"/>
          <w:lang w:val="en-GB"/>
        </w:rPr>
        <w:t>)</w:t>
      </w:r>
      <w:r w:rsidRPr="00D562E2">
        <w:rPr>
          <w:rFonts w:cs="Arial"/>
          <w:szCs w:val="22"/>
          <w:lang w:val="en-GB"/>
        </w:rPr>
        <w:t xml:space="preserve">. </w:t>
      </w:r>
      <w:r w:rsidR="00BA3992" w:rsidRPr="00D562E2">
        <w:rPr>
          <w:rFonts w:cs="Arial"/>
          <w:szCs w:val="22"/>
          <w:lang w:val="en-GB"/>
        </w:rPr>
        <w:t xml:space="preserve">At a site level, benthic light was lower than average at Hamilton Island (HM), but greater than average at all other sites; however, there are periods where no data is available at all sites in the region in 2018–19, so annual averages need to be compared carefully. </w:t>
      </w:r>
      <w:r w:rsidR="00B448EB" w:rsidRPr="00D562E2">
        <w:rPr>
          <w:rFonts w:cs="Arial"/>
          <w:szCs w:val="22"/>
          <w:lang w:val="en-GB"/>
        </w:rPr>
        <w:t xml:space="preserve">In general, benthic light levels were around average. </w:t>
      </w:r>
    </w:p>
    <w:p w14:paraId="03BD3637" w14:textId="7CEFD854" w:rsidR="008A59C6" w:rsidRPr="00D562E2" w:rsidRDefault="00956639" w:rsidP="008A59C6">
      <w:pPr>
        <w:rPr>
          <w:rFonts w:cs="Arial"/>
          <w:szCs w:val="22"/>
          <w:lang w:val="en-GB"/>
        </w:rPr>
      </w:pPr>
      <w:r w:rsidRPr="00493A67">
        <w:rPr>
          <w:rFonts w:cs="Arial"/>
          <w:szCs w:val="22"/>
          <w:lang w:val="en-GB"/>
        </w:rPr>
        <w:t>2018–19</w:t>
      </w:r>
      <w:r w:rsidR="008A59C6" w:rsidRPr="00493A67">
        <w:rPr>
          <w:rFonts w:cs="Arial"/>
          <w:szCs w:val="22"/>
          <w:lang w:val="en-GB"/>
        </w:rPr>
        <w:t xml:space="preserve"> was the </w:t>
      </w:r>
      <w:r w:rsidR="00493A67" w:rsidRPr="00493A67">
        <w:rPr>
          <w:rFonts w:cs="Arial"/>
          <w:szCs w:val="22"/>
        </w:rPr>
        <w:t>sixth</w:t>
      </w:r>
      <w:r w:rsidR="008A59C6" w:rsidRPr="00493A67">
        <w:rPr>
          <w:rFonts w:cs="Arial"/>
          <w:szCs w:val="22"/>
        </w:rPr>
        <w:t xml:space="preserve"> consecutive year </w:t>
      </w:r>
      <w:r w:rsidR="008A59C6" w:rsidRPr="005641E3">
        <w:rPr>
          <w:rFonts w:cs="Arial"/>
          <w:szCs w:val="22"/>
        </w:rPr>
        <w:t xml:space="preserve">intertidal </w:t>
      </w:r>
      <w:r w:rsidR="008A59C6" w:rsidRPr="005641E3">
        <w:rPr>
          <w:rFonts w:cs="Arial"/>
          <w:szCs w:val="22"/>
          <w:lang w:val="en-GB"/>
        </w:rPr>
        <w:t xml:space="preserve">within-canopy </w:t>
      </w:r>
      <w:r w:rsidR="008A59C6" w:rsidRPr="005641E3">
        <w:rPr>
          <w:rFonts w:cs="Arial"/>
          <w:szCs w:val="22"/>
        </w:rPr>
        <w:t xml:space="preserve">temperatures were above </w:t>
      </w:r>
      <w:r w:rsidR="00493A67" w:rsidRPr="005641E3">
        <w:rPr>
          <w:rFonts w:cs="Arial"/>
          <w:szCs w:val="22"/>
        </w:rPr>
        <w:t xml:space="preserve">the </w:t>
      </w:r>
      <w:r w:rsidR="008A59C6" w:rsidRPr="005641E3">
        <w:rPr>
          <w:rFonts w:cs="Arial"/>
          <w:szCs w:val="22"/>
        </w:rPr>
        <w:t>long-term average</w:t>
      </w:r>
      <w:r w:rsidR="005641E3" w:rsidRPr="005641E3">
        <w:rPr>
          <w:rFonts w:cs="Arial"/>
          <w:szCs w:val="22"/>
        </w:rPr>
        <w:t>, but the difference was marginal</w:t>
      </w:r>
      <w:r w:rsidR="008A59C6" w:rsidRPr="005641E3">
        <w:rPr>
          <w:rFonts w:cs="Arial"/>
          <w:szCs w:val="22"/>
        </w:rPr>
        <w:t xml:space="preserve"> (</w:t>
      </w:r>
      <w:r w:rsidR="008A59C6" w:rsidRPr="005641E3">
        <w:rPr>
          <w:rFonts w:cs="Arial"/>
          <w:szCs w:val="22"/>
        </w:rPr>
        <w:fldChar w:fldCharType="begin"/>
      </w:r>
      <w:r w:rsidR="008A59C6" w:rsidRPr="005641E3">
        <w:rPr>
          <w:rFonts w:cs="Arial"/>
          <w:szCs w:val="22"/>
        </w:rPr>
        <w:instrText xml:space="preserve"> REF _Ref533507597 \h </w:instrText>
      </w:r>
      <w:r w:rsidR="00CB093C" w:rsidRPr="005641E3">
        <w:rPr>
          <w:rFonts w:cs="Arial"/>
          <w:szCs w:val="22"/>
        </w:rPr>
        <w:instrText xml:space="preserve"> \* MERGEFORMAT </w:instrText>
      </w:r>
      <w:r w:rsidR="008A59C6" w:rsidRPr="005641E3">
        <w:rPr>
          <w:rFonts w:cs="Arial"/>
          <w:szCs w:val="22"/>
        </w:rPr>
      </w:r>
      <w:r w:rsidR="008A59C6" w:rsidRPr="005641E3">
        <w:rPr>
          <w:rFonts w:cs="Arial"/>
          <w:szCs w:val="22"/>
        </w:rPr>
        <w:fldChar w:fldCharType="separate"/>
      </w:r>
      <w:r w:rsidR="0067675D" w:rsidRPr="00D562E2">
        <w:rPr>
          <w:rFonts w:cs="Arial"/>
          <w:szCs w:val="22"/>
        </w:rPr>
        <w:t xml:space="preserve">Figure </w:t>
      </w:r>
      <w:r w:rsidR="0067675D">
        <w:rPr>
          <w:rFonts w:cs="Arial"/>
          <w:noProof/>
          <w:szCs w:val="22"/>
        </w:rPr>
        <w:t>62</w:t>
      </w:r>
      <w:r w:rsidR="008A59C6" w:rsidRPr="005641E3">
        <w:rPr>
          <w:rFonts w:cs="Arial"/>
          <w:szCs w:val="22"/>
        </w:rPr>
        <w:fldChar w:fldCharType="end"/>
      </w:r>
      <w:r w:rsidR="008A59C6" w:rsidRPr="005641E3">
        <w:rPr>
          <w:rFonts w:cs="Arial"/>
          <w:szCs w:val="22"/>
        </w:rPr>
        <w:t xml:space="preserve">). Maximum intertidal </w:t>
      </w:r>
      <w:r w:rsidR="008A59C6" w:rsidRPr="005641E3">
        <w:rPr>
          <w:rFonts w:cs="Arial"/>
          <w:szCs w:val="22"/>
          <w:lang w:val="en-GB"/>
        </w:rPr>
        <w:t xml:space="preserve">within-canopy </w:t>
      </w:r>
      <w:r w:rsidR="008A59C6" w:rsidRPr="005641E3">
        <w:rPr>
          <w:rFonts w:cs="Arial"/>
          <w:szCs w:val="22"/>
        </w:rPr>
        <w:t>temperatures exceeded 35</w:t>
      </w:r>
      <w:r w:rsidR="008A59C6" w:rsidRPr="005641E3">
        <w:rPr>
          <w:rFonts w:cs="Arial"/>
          <w:szCs w:val="22"/>
          <w:lang w:val="en-GB"/>
        </w:rPr>
        <w:t>°C</w:t>
      </w:r>
      <w:r w:rsidR="008A59C6" w:rsidRPr="005641E3">
        <w:rPr>
          <w:rFonts w:cs="Arial"/>
          <w:szCs w:val="22"/>
        </w:rPr>
        <w:t xml:space="preserve"> for a total of 6</w:t>
      </w:r>
      <w:r w:rsidR="005641E3" w:rsidRPr="005641E3">
        <w:rPr>
          <w:rFonts w:cs="Arial"/>
          <w:szCs w:val="22"/>
        </w:rPr>
        <w:t>5</w:t>
      </w:r>
      <w:r w:rsidR="008A59C6" w:rsidRPr="005641E3">
        <w:rPr>
          <w:rFonts w:cs="Arial"/>
          <w:szCs w:val="22"/>
        </w:rPr>
        <w:t xml:space="preserve"> days during </w:t>
      </w:r>
      <w:r w:rsidRPr="005641E3">
        <w:rPr>
          <w:rFonts w:cs="Arial"/>
          <w:szCs w:val="22"/>
        </w:rPr>
        <w:t>2018–19</w:t>
      </w:r>
      <w:r w:rsidR="008A59C6" w:rsidRPr="005641E3">
        <w:rPr>
          <w:rFonts w:cs="Arial"/>
          <w:szCs w:val="22"/>
        </w:rPr>
        <w:t xml:space="preserve">, with the highest temperature recorded at </w:t>
      </w:r>
      <w:r w:rsidR="00D1398F">
        <w:rPr>
          <w:rFonts w:cs="Arial"/>
          <w:szCs w:val="22"/>
        </w:rPr>
        <w:t>39.6</w:t>
      </w:r>
      <w:r w:rsidR="008A59C6" w:rsidRPr="005641E3">
        <w:rPr>
          <w:rFonts w:cs="Arial"/>
          <w:szCs w:val="22"/>
          <w:lang w:val="en-GB"/>
        </w:rPr>
        <w:t>°</w:t>
      </w:r>
      <w:r w:rsidR="008A59C6" w:rsidRPr="00D5126A">
        <w:rPr>
          <w:rFonts w:cs="Arial"/>
          <w:szCs w:val="22"/>
          <w:lang w:val="en-GB"/>
        </w:rPr>
        <w:t>C</w:t>
      </w:r>
      <w:r w:rsidR="008A59C6" w:rsidRPr="00D5126A">
        <w:rPr>
          <w:rFonts w:cs="Arial"/>
          <w:szCs w:val="22"/>
        </w:rPr>
        <w:t xml:space="preserve"> (</w:t>
      </w:r>
      <w:r w:rsidR="00D1398F" w:rsidRPr="00D5126A">
        <w:rPr>
          <w:rFonts w:cs="Arial"/>
          <w:szCs w:val="22"/>
        </w:rPr>
        <w:t>MP2</w:t>
      </w:r>
      <w:r w:rsidR="008A59C6" w:rsidRPr="00D5126A">
        <w:rPr>
          <w:rFonts w:cs="Arial"/>
          <w:szCs w:val="22"/>
        </w:rPr>
        <w:t xml:space="preserve">, </w:t>
      </w:r>
      <w:r w:rsidR="00D5126A" w:rsidRPr="00D5126A">
        <w:rPr>
          <w:rFonts w:cs="Arial"/>
          <w:szCs w:val="22"/>
        </w:rPr>
        <w:t>14Mar19</w:t>
      </w:r>
      <w:r w:rsidR="008A59C6" w:rsidRPr="00D5126A">
        <w:rPr>
          <w:rFonts w:cs="Arial"/>
          <w:szCs w:val="22"/>
        </w:rPr>
        <w:t xml:space="preserve">). </w:t>
      </w:r>
      <w:r w:rsidRPr="00D5126A">
        <w:rPr>
          <w:rFonts w:cs="Arial"/>
          <w:szCs w:val="22"/>
        </w:rPr>
        <w:t>2018</w:t>
      </w:r>
      <w:r w:rsidRPr="005641E3">
        <w:rPr>
          <w:rFonts w:cs="Arial"/>
          <w:szCs w:val="22"/>
        </w:rPr>
        <w:t>–19</w:t>
      </w:r>
      <w:r w:rsidR="008A59C6" w:rsidRPr="005641E3">
        <w:rPr>
          <w:rFonts w:cs="Arial"/>
          <w:szCs w:val="22"/>
        </w:rPr>
        <w:t xml:space="preserve"> was the </w:t>
      </w:r>
      <w:r w:rsidR="005641E3" w:rsidRPr="005641E3">
        <w:rPr>
          <w:rFonts w:cs="Arial"/>
          <w:szCs w:val="22"/>
        </w:rPr>
        <w:t>second</w:t>
      </w:r>
      <w:r w:rsidR="008A59C6" w:rsidRPr="005641E3">
        <w:rPr>
          <w:rFonts w:cs="Arial"/>
          <w:szCs w:val="22"/>
        </w:rPr>
        <w:t xml:space="preserve"> full year of </w:t>
      </w:r>
      <w:r w:rsidR="008A59C6" w:rsidRPr="00D5126A">
        <w:rPr>
          <w:rFonts w:cs="Arial"/>
          <w:szCs w:val="22"/>
        </w:rPr>
        <w:t>subtidal monitoring with an annual average temperature of 25.</w:t>
      </w:r>
      <w:r w:rsidR="005641E3" w:rsidRPr="00D5126A">
        <w:rPr>
          <w:rFonts w:cs="Arial"/>
          <w:szCs w:val="22"/>
        </w:rPr>
        <w:t>3</w:t>
      </w:r>
      <w:r w:rsidR="008A59C6" w:rsidRPr="00D5126A">
        <w:rPr>
          <w:rFonts w:cs="Arial"/>
          <w:szCs w:val="22"/>
          <w:lang w:val="en-GB"/>
        </w:rPr>
        <w:t>°C</w:t>
      </w:r>
      <w:r w:rsidR="008A59C6" w:rsidRPr="00D5126A">
        <w:rPr>
          <w:rFonts w:cs="Arial"/>
          <w:szCs w:val="22"/>
        </w:rPr>
        <w:t>, and maximum of 31</w:t>
      </w:r>
      <w:r w:rsidR="005641E3" w:rsidRPr="00D5126A">
        <w:rPr>
          <w:rFonts w:cs="Arial"/>
          <w:szCs w:val="22"/>
        </w:rPr>
        <w:t>.9</w:t>
      </w:r>
      <w:r w:rsidR="008A59C6" w:rsidRPr="00D5126A">
        <w:rPr>
          <w:rFonts w:cs="Arial"/>
          <w:szCs w:val="22"/>
          <w:lang w:val="en-GB"/>
        </w:rPr>
        <w:t>°C</w:t>
      </w:r>
      <w:r w:rsidR="008A59C6" w:rsidRPr="00D5126A">
        <w:rPr>
          <w:rFonts w:cs="Arial"/>
          <w:szCs w:val="22"/>
        </w:rPr>
        <w:t xml:space="preserve"> (</w:t>
      </w:r>
      <w:r w:rsidR="00D5126A" w:rsidRPr="00D5126A">
        <w:rPr>
          <w:rFonts w:cs="Arial"/>
          <w:szCs w:val="22"/>
        </w:rPr>
        <w:t>4</w:t>
      </w:r>
      <w:r w:rsidR="008A59C6" w:rsidRPr="00D5126A">
        <w:rPr>
          <w:rFonts w:cs="Arial"/>
          <w:szCs w:val="22"/>
        </w:rPr>
        <w:t xml:space="preserve">pm </w:t>
      </w:r>
      <w:r w:rsidR="00D5126A" w:rsidRPr="00D5126A">
        <w:rPr>
          <w:rFonts w:cs="Arial"/>
          <w:szCs w:val="22"/>
        </w:rPr>
        <w:t>20Mar19</w:t>
      </w:r>
      <w:r w:rsidR="008A59C6" w:rsidRPr="00D5126A">
        <w:rPr>
          <w:rFonts w:cs="Arial"/>
          <w:szCs w:val="22"/>
        </w:rPr>
        <w:t xml:space="preserve">). </w:t>
      </w:r>
      <w:r w:rsidR="008A59C6" w:rsidRPr="00D5126A">
        <w:rPr>
          <w:rFonts w:cs="Arial"/>
          <w:szCs w:val="22"/>
          <w:lang w:val="en-GB"/>
        </w:rPr>
        <w:t xml:space="preserve">Daily tide exposure was </w:t>
      </w:r>
      <w:r w:rsidR="00493A67" w:rsidRPr="00D5126A">
        <w:rPr>
          <w:rFonts w:cs="Arial"/>
          <w:szCs w:val="22"/>
          <w:lang w:val="en-GB"/>
        </w:rPr>
        <w:t>above</w:t>
      </w:r>
      <w:r w:rsidR="008A59C6" w:rsidRPr="00D5126A">
        <w:rPr>
          <w:rFonts w:cs="Arial"/>
          <w:szCs w:val="22"/>
          <w:lang w:val="en-GB"/>
        </w:rPr>
        <w:t xml:space="preserve"> the long</w:t>
      </w:r>
      <w:r w:rsidR="008A59C6" w:rsidRPr="00D5126A">
        <w:rPr>
          <w:rFonts w:ascii="Cambria Math" w:hAnsi="Cambria Math" w:cs="Cambria Math"/>
          <w:szCs w:val="22"/>
          <w:lang w:val="en-GB"/>
        </w:rPr>
        <w:t>‐</w:t>
      </w:r>
      <w:r w:rsidR="008A59C6" w:rsidRPr="00D5126A">
        <w:rPr>
          <w:rFonts w:cs="Arial"/>
          <w:szCs w:val="22"/>
          <w:lang w:val="en-GB"/>
        </w:rPr>
        <w:t xml:space="preserve">term average in </w:t>
      </w:r>
      <w:r w:rsidRPr="00D5126A">
        <w:rPr>
          <w:rFonts w:cs="Arial"/>
          <w:szCs w:val="22"/>
          <w:lang w:val="en-GB"/>
        </w:rPr>
        <w:t>2018–19</w:t>
      </w:r>
      <w:r w:rsidR="00C81636" w:rsidRPr="00D5126A">
        <w:rPr>
          <w:rFonts w:cs="Arial"/>
          <w:szCs w:val="22"/>
          <w:lang w:val="en-GB"/>
        </w:rPr>
        <w:t xml:space="preserve"> </w:t>
      </w:r>
      <w:r w:rsidR="00493A67" w:rsidRPr="00D5126A">
        <w:rPr>
          <w:rFonts w:cs="Arial"/>
          <w:szCs w:val="22"/>
          <w:lang w:val="en-GB"/>
        </w:rPr>
        <w:t>for the first time in three years</w:t>
      </w:r>
      <w:r w:rsidR="00493A67" w:rsidRPr="005641E3">
        <w:rPr>
          <w:rFonts w:cs="Arial"/>
          <w:szCs w:val="22"/>
          <w:lang w:val="en-GB"/>
        </w:rPr>
        <w:t xml:space="preserve"> </w:t>
      </w:r>
      <w:r w:rsidR="008A59C6" w:rsidRPr="005641E3">
        <w:rPr>
          <w:rFonts w:cs="Arial"/>
          <w:szCs w:val="22"/>
          <w:lang w:val="en-GB"/>
        </w:rPr>
        <w:t>(</w:t>
      </w:r>
      <w:r w:rsidR="008A59C6" w:rsidRPr="005641E3">
        <w:rPr>
          <w:rFonts w:cs="Arial"/>
          <w:szCs w:val="22"/>
        </w:rPr>
        <w:fldChar w:fldCharType="begin"/>
      </w:r>
      <w:r w:rsidR="008A59C6" w:rsidRPr="005641E3">
        <w:rPr>
          <w:rFonts w:cs="Arial"/>
          <w:szCs w:val="22"/>
        </w:rPr>
        <w:instrText xml:space="preserve"> REF _Ref533507597 \h </w:instrText>
      </w:r>
      <w:r w:rsidR="00CB093C" w:rsidRPr="005641E3">
        <w:rPr>
          <w:rFonts w:cs="Arial"/>
          <w:szCs w:val="22"/>
        </w:rPr>
        <w:instrText xml:space="preserve"> \* MERGEFORMAT </w:instrText>
      </w:r>
      <w:r w:rsidR="008A59C6" w:rsidRPr="005641E3">
        <w:rPr>
          <w:rFonts w:cs="Arial"/>
          <w:szCs w:val="22"/>
        </w:rPr>
      </w:r>
      <w:r w:rsidR="008A59C6" w:rsidRPr="005641E3">
        <w:rPr>
          <w:rFonts w:cs="Arial"/>
          <w:szCs w:val="22"/>
        </w:rPr>
        <w:fldChar w:fldCharType="separate"/>
      </w:r>
      <w:r w:rsidR="0067675D" w:rsidRPr="00D562E2">
        <w:rPr>
          <w:rFonts w:cs="Arial"/>
          <w:szCs w:val="22"/>
        </w:rPr>
        <w:t xml:space="preserve">Figure </w:t>
      </w:r>
      <w:r w:rsidR="0067675D">
        <w:rPr>
          <w:rFonts w:cs="Arial"/>
          <w:noProof/>
          <w:szCs w:val="22"/>
        </w:rPr>
        <w:t>62</w:t>
      </w:r>
      <w:r w:rsidR="008A59C6" w:rsidRPr="005641E3">
        <w:rPr>
          <w:rFonts w:cs="Arial"/>
          <w:szCs w:val="22"/>
        </w:rPr>
        <w:fldChar w:fldCharType="end"/>
      </w:r>
      <w:r w:rsidR="008A59C6" w:rsidRPr="005641E3">
        <w:rPr>
          <w:rFonts w:cs="Arial"/>
          <w:szCs w:val="22"/>
          <w:lang w:val="en-GB"/>
        </w:rPr>
        <w:t xml:space="preserve">, </w:t>
      </w:r>
      <w:r w:rsidR="008A59C6" w:rsidRPr="005641E3">
        <w:rPr>
          <w:rFonts w:cs="Arial"/>
          <w:szCs w:val="22"/>
          <w:lang w:val="en-GB"/>
        </w:rPr>
        <w:fldChar w:fldCharType="begin"/>
      </w:r>
      <w:r w:rsidR="008A59C6" w:rsidRPr="005641E3">
        <w:rPr>
          <w:rFonts w:cs="Arial"/>
          <w:szCs w:val="22"/>
          <w:lang w:val="en-GB"/>
        </w:rPr>
        <w:instrText xml:space="preserve"> REF _Ref410297244 \h </w:instrText>
      </w:r>
      <w:r w:rsidR="00CB093C" w:rsidRPr="005641E3">
        <w:rPr>
          <w:rFonts w:cs="Arial"/>
          <w:szCs w:val="22"/>
          <w:lang w:val="en-GB"/>
        </w:rPr>
        <w:instrText xml:space="preserve"> \* MERGEFORMAT </w:instrText>
      </w:r>
      <w:r w:rsidR="008A59C6" w:rsidRPr="005641E3">
        <w:rPr>
          <w:rFonts w:cs="Arial"/>
          <w:szCs w:val="22"/>
          <w:lang w:val="en-GB"/>
        </w:rPr>
      </w:r>
      <w:r w:rsidR="008A59C6" w:rsidRPr="005641E3">
        <w:rPr>
          <w:rFonts w:cs="Arial"/>
          <w:szCs w:val="22"/>
          <w:lang w:val="en-GB"/>
        </w:rPr>
        <w:fldChar w:fldCharType="separate"/>
      </w:r>
      <w:r w:rsidR="0067675D" w:rsidRPr="00867E8C">
        <w:rPr>
          <w:rFonts w:cs="Arial"/>
          <w:szCs w:val="22"/>
        </w:rPr>
        <w:t xml:space="preserve">Figure </w:t>
      </w:r>
      <w:r w:rsidR="0067675D">
        <w:rPr>
          <w:rFonts w:cs="Arial"/>
          <w:noProof/>
          <w:szCs w:val="22"/>
        </w:rPr>
        <w:t>96</w:t>
      </w:r>
      <w:r w:rsidR="008A59C6" w:rsidRPr="005641E3">
        <w:rPr>
          <w:rFonts w:cs="Arial"/>
          <w:szCs w:val="22"/>
          <w:lang w:val="en-GB"/>
        </w:rPr>
        <w:fldChar w:fldCharType="end"/>
      </w:r>
      <w:r w:rsidR="008A59C6" w:rsidRPr="005641E3">
        <w:rPr>
          <w:rFonts w:cs="Arial"/>
          <w:szCs w:val="22"/>
          <w:lang w:val="en-GB"/>
        </w:rPr>
        <w:t xml:space="preserve">), which may have </w:t>
      </w:r>
      <w:r w:rsidR="005641E3" w:rsidRPr="005641E3">
        <w:rPr>
          <w:rFonts w:cs="Arial"/>
          <w:szCs w:val="22"/>
          <w:lang w:val="en-GB"/>
        </w:rPr>
        <w:t>exacerbate</w:t>
      </w:r>
      <w:r w:rsidR="00F473EC">
        <w:rPr>
          <w:rFonts w:cs="Arial"/>
          <w:szCs w:val="22"/>
          <w:lang w:val="en-GB"/>
        </w:rPr>
        <w:t>d</w:t>
      </w:r>
      <w:r w:rsidR="005641E3" w:rsidRPr="005641E3">
        <w:rPr>
          <w:rFonts w:cs="Arial"/>
          <w:szCs w:val="22"/>
          <w:lang w:val="en-GB"/>
        </w:rPr>
        <w:t xml:space="preserve"> the </w:t>
      </w:r>
      <w:r w:rsidR="00493A67" w:rsidRPr="005641E3">
        <w:rPr>
          <w:rFonts w:cs="Arial"/>
          <w:szCs w:val="22"/>
          <w:lang w:val="en-GB"/>
        </w:rPr>
        <w:t>stresses</w:t>
      </w:r>
      <w:r w:rsidR="005641E3" w:rsidRPr="005641E3">
        <w:rPr>
          <w:rFonts w:cs="Arial"/>
          <w:szCs w:val="22"/>
          <w:lang w:val="en-GB"/>
        </w:rPr>
        <w:t xml:space="preserve"> from the marginally higher water temperatures </w:t>
      </w:r>
      <w:r w:rsidR="005641E3">
        <w:rPr>
          <w:rFonts w:cs="Arial"/>
          <w:szCs w:val="22"/>
          <w:lang w:val="en-GB"/>
        </w:rPr>
        <w:t>experienced at intertidal sites</w:t>
      </w:r>
      <w:r w:rsidR="008A59C6" w:rsidRPr="005641E3">
        <w:rPr>
          <w:rFonts w:cs="Arial"/>
          <w:szCs w:val="22"/>
          <w:lang w:val="en-GB"/>
        </w:rPr>
        <w:t>.</w:t>
      </w:r>
    </w:p>
    <w:p w14:paraId="0CD5A0D8" w14:textId="5434E1B5" w:rsidR="008A59C6" w:rsidRPr="00D562E2" w:rsidRDefault="008A59C6" w:rsidP="008A59C6">
      <w:pPr>
        <w:rPr>
          <w:rFonts w:cs="Arial"/>
          <w:szCs w:val="22"/>
          <w:lang w:val="en-GB"/>
        </w:rPr>
      </w:pPr>
      <w:r w:rsidRPr="00D562E2">
        <w:rPr>
          <w:rFonts w:cs="Arial"/>
          <w:szCs w:val="22"/>
          <w:lang w:val="en-GB"/>
        </w:rPr>
        <w:t xml:space="preserve">The proportion of fine grain sizes decreases in the sediments of the seagrass monitoring sites/meadows with distance from the coast/river mouths in the </w:t>
      </w:r>
      <w:r w:rsidR="00B72AC4">
        <w:rPr>
          <w:rFonts w:cs="Arial"/>
          <w:szCs w:val="22"/>
          <w:lang w:val="en-GB"/>
        </w:rPr>
        <w:t>Mackay–Whitsunday</w:t>
      </w:r>
      <w:r w:rsidRPr="00D562E2">
        <w:rPr>
          <w:rFonts w:cs="Arial"/>
          <w:szCs w:val="22"/>
          <w:lang w:val="en-GB"/>
        </w:rPr>
        <w:t xml:space="preserve"> region. </w:t>
      </w:r>
      <w:r w:rsidRPr="00D5126A">
        <w:rPr>
          <w:rFonts w:cs="Arial"/>
          <w:szCs w:val="22"/>
          <w:lang w:val="en-GB"/>
        </w:rPr>
        <w:t xml:space="preserve">Estuarine sediments were composed of </w:t>
      </w:r>
      <w:r w:rsidR="00F473EC">
        <w:rPr>
          <w:rFonts w:cs="Arial"/>
          <w:szCs w:val="22"/>
          <w:lang w:val="en-GB"/>
        </w:rPr>
        <w:t xml:space="preserve">a </w:t>
      </w:r>
      <w:r w:rsidRPr="00D5126A">
        <w:rPr>
          <w:rFonts w:cs="Arial"/>
          <w:szCs w:val="22"/>
          <w:lang w:val="en-GB"/>
        </w:rPr>
        <w:t xml:space="preserve">greater proportion of finer sediments, and in </w:t>
      </w:r>
      <w:r w:rsidR="00956639" w:rsidRPr="00D5126A">
        <w:rPr>
          <w:rFonts w:cs="Arial"/>
          <w:szCs w:val="22"/>
          <w:lang w:val="en-GB"/>
        </w:rPr>
        <w:t>2018–19</w:t>
      </w:r>
      <w:r w:rsidR="00C81636" w:rsidRPr="00D5126A">
        <w:rPr>
          <w:rFonts w:cs="Arial"/>
          <w:szCs w:val="22"/>
          <w:lang w:val="en-GB"/>
        </w:rPr>
        <w:t xml:space="preserve"> </w:t>
      </w:r>
      <w:r w:rsidRPr="00D5126A">
        <w:rPr>
          <w:rFonts w:cs="Arial"/>
          <w:szCs w:val="22"/>
          <w:lang w:val="en-GB"/>
        </w:rPr>
        <w:t xml:space="preserve">the proportion of mud was </w:t>
      </w:r>
      <w:r w:rsidR="00D5126A" w:rsidRPr="00D5126A">
        <w:rPr>
          <w:rFonts w:cs="Arial"/>
          <w:szCs w:val="22"/>
          <w:lang w:val="en-GB"/>
        </w:rPr>
        <w:t>lower</w:t>
      </w:r>
      <w:r w:rsidRPr="00D5126A">
        <w:rPr>
          <w:rFonts w:cs="Arial"/>
          <w:szCs w:val="22"/>
          <w:lang w:val="en-GB"/>
        </w:rPr>
        <w:t xml:space="preserve"> than 201</w:t>
      </w:r>
      <w:r w:rsidR="00E323DC" w:rsidRPr="00D5126A">
        <w:rPr>
          <w:rFonts w:cs="Arial"/>
          <w:szCs w:val="22"/>
          <w:lang w:val="en-GB"/>
        </w:rPr>
        <w:t>7</w:t>
      </w:r>
      <w:r w:rsidR="008E7BE7" w:rsidRPr="00D5126A">
        <w:rPr>
          <w:rFonts w:cs="Arial"/>
          <w:szCs w:val="22"/>
          <w:lang w:val="en-GB"/>
        </w:rPr>
        <w:t>–</w:t>
      </w:r>
      <w:r w:rsidRPr="00D5126A">
        <w:rPr>
          <w:rFonts w:cs="Arial"/>
          <w:szCs w:val="22"/>
          <w:lang w:val="en-GB"/>
        </w:rPr>
        <w:t>1</w:t>
      </w:r>
      <w:r w:rsidR="00E323DC" w:rsidRPr="00D5126A">
        <w:rPr>
          <w:rFonts w:cs="Arial"/>
          <w:szCs w:val="22"/>
          <w:lang w:val="en-GB"/>
        </w:rPr>
        <w:t>8</w:t>
      </w:r>
      <w:r w:rsidR="00D5126A" w:rsidRPr="00D5126A">
        <w:rPr>
          <w:rFonts w:cs="Arial"/>
          <w:szCs w:val="22"/>
          <w:lang w:val="en-GB"/>
        </w:rPr>
        <w:t xml:space="preserve"> and lower than</w:t>
      </w:r>
      <w:r w:rsidRPr="00D5126A">
        <w:rPr>
          <w:rFonts w:cs="Arial"/>
          <w:szCs w:val="22"/>
          <w:lang w:val="en-GB"/>
        </w:rPr>
        <w:t xml:space="preserve"> the </w:t>
      </w:r>
      <w:r w:rsidR="00A304F1" w:rsidRPr="00D5126A">
        <w:rPr>
          <w:rFonts w:cs="Arial"/>
          <w:szCs w:val="22"/>
          <w:lang w:val="en-GB"/>
        </w:rPr>
        <w:t xml:space="preserve">Reef-wide </w:t>
      </w:r>
      <w:r w:rsidRPr="00D5126A">
        <w:rPr>
          <w:rFonts w:cs="Arial"/>
          <w:szCs w:val="22"/>
          <w:lang w:val="en-GB"/>
        </w:rPr>
        <w:t>long-term average (</w:t>
      </w:r>
      <w:r w:rsidRPr="00D5126A">
        <w:rPr>
          <w:rFonts w:cs="Arial"/>
          <w:szCs w:val="22"/>
          <w:lang w:val="en-GB"/>
        </w:rPr>
        <w:fldChar w:fldCharType="begin"/>
      </w:r>
      <w:r w:rsidRPr="00D5126A">
        <w:rPr>
          <w:rFonts w:cs="Arial"/>
          <w:szCs w:val="22"/>
          <w:lang w:val="en-GB"/>
        </w:rPr>
        <w:instrText xml:space="preserve"> REF _Ref511131656 \h  \* MERGEFORMAT </w:instrText>
      </w:r>
      <w:r w:rsidRPr="00D5126A">
        <w:rPr>
          <w:rFonts w:cs="Arial"/>
          <w:szCs w:val="22"/>
          <w:lang w:val="en-GB"/>
        </w:rPr>
      </w:r>
      <w:r w:rsidRPr="00D5126A">
        <w:rPr>
          <w:rFonts w:cs="Arial"/>
          <w:szCs w:val="22"/>
          <w:lang w:val="en-GB"/>
        </w:rPr>
        <w:fldChar w:fldCharType="separate"/>
      </w:r>
      <w:r w:rsidR="0067675D" w:rsidRPr="00867E8C">
        <w:rPr>
          <w:rFonts w:cs="Arial"/>
          <w:szCs w:val="22"/>
        </w:rPr>
        <w:t xml:space="preserve">Figure </w:t>
      </w:r>
      <w:r w:rsidR="0067675D">
        <w:rPr>
          <w:rFonts w:cs="Arial"/>
          <w:noProof/>
          <w:szCs w:val="22"/>
        </w:rPr>
        <w:t>114</w:t>
      </w:r>
      <w:r w:rsidRPr="00D5126A">
        <w:rPr>
          <w:rFonts w:cs="Arial"/>
          <w:szCs w:val="22"/>
          <w:lang w:val="en-GB"/>
        </w:rPr>
        <w:fldChar w:fldCharType="end"/>
      </w:r>
      <w:r w:rsidRPr="00D5126A">
        <w:rPr>
          <w:rFonts w:cs="Arial"/>
          <w:szCs w:val="22"/>
          <w:lang w:val="en-GB"/>
        </w:rPr>
        <w:t xml:space="preserve">). Coastal habitat meadows had less mud than estuarine habitats over the long term, but fluctuate within and between both meadows and years. In </w:t>
      </w:r>
      <w:r w:rsidR="00956639" w:rsidRPr="00D5126A">
        <w:rPr>
          <w:rFonts w:cs="Arial"/>
          <w:szCs w:val="22"/>
          <w:lang w:val="en-GB"/>
        </w:rPr>
        <w:t>2018–19</w:t>
      </w:r>
      <w:r w:rsidRPr="00D5126A">
        <w:rPr>
          <w:rFonts w:cs="Arial"/>
          <w:szCs w:val="22"/>
          <w:lang w:val="en-GB"/>
        </w:rPr>
        <w:t xml:space="preserve"> some sites/meadows </w:t>
      </w:r>
      <w:r w:rsidR="00D5126A">
        <w:rPr>
          <w:rFonts w:cs="Arial"/>
          <w:szCs w:val="22"/>
          <w:lang w:val="en-GB"/>
        </w:rPr>
        <w:t xml:space="preserve">continued to </w:t>
      </w:r>
      <w:r w:rsidR="00D5126A" w:rsidRPr="00D5126A">
        <w:rPr>
          <w:rFonts w:cs="Arial"/>
          <w:szCs w:val="22"/>
          <w:lang w:val="en-GB"/>
        </w:rPr>
        <w:t>contain</w:t>
      </w:r>
      <w:r w:rsidRPr="00D5126A">
        <w:rPr>
          <w:rFonts w:cs="Arial"/>
          <w:szCs w:val="22"/>
          <w:lang w:val="en-GB"/>
        </w:rPr>
        <w:t xml:space="preserve"> a higher proportion of mud (e.g. PI2 </w:t>
      </w:r>
      <w:r w:rsidRPr="00D5126A">
        <w:rPr>
          <w:rFonts w:cs="Arial"/>
          <w:szCs w:val="22"/>
          <w:lang w:val="en-GB"/>
        </w:rPr>
        <w:lastRenderedPageBreak/>
        <w:t xml:space="preserve">and MP2) than the </w:t>
      </w:r>
      <w:r w:rsidR="003158FC" w:rsidRPr="00D5126A">
        <w:rPr>
          <w:rFonts w:cs="Arial"/>
          <w:szCs w:val="22"/>
          <w:lang w:val="en-GB"/>
        </w:rPr>
        <w:t>Reef</w:t>
      </w:r>
      <w:r w:rsidRPr="00D5126A">
        <w:rPr>
          <w:rFonts w:cs="Arial"/>
          <w:szCs w:val="22"/>
          <w:lang w:val="en-GB"/>
        </w:rPr>
        <w:t xml:space="preserve"> long-term average (</w:t>
      </w:r>
      <w:r w:rsidRPr="00D5126A">
        <w:rPr>
          <w:rFonts w:cs="Arial"/>
          <w:szCs w:val="22"/>
          <w:lang w:val="en-GB"/>
        </w:rPr>
        <w:fldChar w:fldCharType="begin"/>
      </w:r>
      <w:r w:rsidRPr="00D5126A">
        <w:rPr>
          <w:rFonts w:cs="Arial"/>
          <w:szCs w:val="22"/>
          <w:lang w:val="en-GB"/>
        </w:rPr>
        <w:instrText xml:space="preserve"> REF _Ref511131673 \h </w:instrText>
      </w:r>
      <w:r w:rsidR="00CB093C" w:rsidRPr="00D5126A">
        <w:rPr>
          <w:rFonts w:cs="Arial"/>
          <w:szCs w:val="22"/>
          <w:lang w:val="en-GB"/>
        </w:rPr>
        <w:instrText xml:space="preserve"> \* MERGEFORMAT </w:instrText>
      </w:r>
      <w:r w:rsidRPr="00D5126A">
        <w:rPr>
          <w:rFonts w:cs="Arial"/>
          <w:szCs w:val="22"/>
          <w:lang w:val="en-GB"/>
        </w:rPr>
      </w:r>
      <w:r w:rsidRPr="00D5126A">
        <w:rPr>
          <w:rFonts w:cs="Arial"/>
          <w:szCs w:val="22"/>
          <w:lang w:val="en-GB"/>
        </w:rPr>
        <w:fldChar w:fldCharType="separate"/>
      </w:r>
      <w:r w:rsidR="0067675D" w:rsidRPr="00867E8C">
        <w:rPr>
          <w:rFonts w:cs="Arial"/>
          <w:szCs w:val="22"/>
        </w:rPr>
        <w:t xml:space="preserve">Figure </w:t>
      </w:r>
      <w:r w:rsidR="0067675D">
        <w:rPr>
          <w:rFonts w:cs="Arial"/>
          <w:noProof/>
          <w:szCs w:val="22"/>
        </w:rPr>
        <w:t>115</w:t>
      </w:r>
      <w:r w:rsidRPr="00D5126A">
        <w:rPr>
          <w:rFonts w:cs="Arial"/>
          <w:szCs w:val="22"/>
          <w:lang w:val="en-GB"/>
        </w:rPr>
        <w:fldChar w:fldCharType="end"/>
      </w:r>
      <w:r w:rsidRPr="00D5126A">
        <w:rPr>
          <w:rFonts w:cs="Arial"/>
          <w:szCs w:val="22"/>
          <w:lang w:val="en-GB"/>
        </w:rPr>
        <w:t xml:space="preserve">). Reef habitats were composed predominately of fine to medium sand, however after </w:t>
      </w:r>
      <w:r w:rsidR="008E7BE7" w:rsidRPr="00D5126A">
        <w:rPr>
          <w:rFonts w:cs="Arial"/>
          <w:szCs w:val="22"/>
          <w:lang w:val="en-GB"/>
        </w:rPr>
        <w:t xml:space="preserve">cyclone </w:t>
      </w:r>
      <w:r w:rsidRPr="00D5126A">
        <w:rPr>
          <w:rFonts w:cs="Arial"/>
          <w:szCs w:val="22"/>
          <w:lang w:val="en-GB"/>
        </w:rPr>
        <w:t xml:space="preserve">Debbie in early 2017, one of the meadows has maintained a proportion of mud above the </w:t>
      </w:r>
      <w:r w:rsidR="003158FC" w:rsidRPr="00D5126A">
        <w:rPr>
          <w:rFonts w:cs="Arial"/>
          <w:szCs w:val="22"/>
          <w:lang w:val="en-GB"/>
        </w:rPr>
        <w:t>Reef</w:t>
      </w:r>
      <w:r w:rsidRPr="00D5126A">
        <w:rPr>
          <w:rFonts w:cs="Arial"/>
          <w:szCs w:val="22"/>
          <w:lang w:val="en-GB"/>
        </w:rPr>
        <w:t xml:space="preserve"> long-term average</w:t>
      </w:r>
      <w:r w:rsidR="003943AF">
        <w:rPr>
          <w:rFonts w:cs="Arial"/>
          <w:szCs w:val="22"/>
          <w:lang w:val="en-GB"/>
        </w:rPr>
        <w:t xml:space="preserve"> </w:t>
      </w:r>
      <w:r w:rsidR="003943AF">
        <w:t xml:space="preserve">due to </w:t>
      </w:r>
      <w:r w:rsidR="00E413C9">
        <w:t xml:space="preserve">heavy scouring of original base sediment and </w:t>
      </w:r>
      <w:r w:rsidR="00782019">
        <w:t>only deposition of fine sediments (</w:t>
      </w:r>
      <w:r w:rsidR="00544845">
        <w:t>predominantly</w:t>
      </w:r>
      <w:r w:rsidR="00782019">
        <w:t xml:space="preserve"> </w:t>
      </w:r>
      <w:r w:rsidR="00E413C9">
        <w:t>mud</w:t>
      </w:r>
      <w:r w:rsidR="00782019">
        <w:t>)</w:t>
      </w:r>
      <w:r w:rsidR="00E413C9">
        <w:t xml:space="preserve"> </w:t>
      </w:r>
      <w:r w:rsidR="00782019">
        <w:t xml:space="preserve">to date </w:t>
      </w:r>
      <w:r w:rsidRPr="00D5126A">
        <w:rPr>
          <w:rFonts w:cs="Arial"/>
          <w:szCs w:val="22"/>
          <w:lang w:val="en-GB"/>
        </w:rPr>
        <w:t>(</w:t>
      </w:r>
      <w:r w:rsidRPr="00D5126A">
        <w:rPr>
          <w:rFonts w:cs="Arial"/>
          <w:szCs w:val="22"/>
          <w:lang w:val="en-GB"/>
        </w:rPr>
        <w:fldChar w:fldCharType="begin"/>
      </w:r>
      <w:r w:rsidRPr="00D5126A">
        <w:rPr>
          <w:rFonts w:cs="Arial"/>
          <w:szCs w:val="22"/>
          <w:lang w:val="en-GB"/>
        </w:rPr>
        <w:instrText xml:space="preserve"> REF _Ref511131682 \h  \* MERGEFORMAT </w:instrText>
      </w:r>
      <w:r w:rsidRPr="00D5126A">
        <w:rPr>
          <w:rFonts w:cs="Arial"/>
          <w:szCs w:val="22"/>
          <w:lang w:val="en-GB"/>
        </w:rPr>
      </w:r>
      <w:r w:rsidRPr="00D5126A">
        <w:rPr>
          <w:rFonts w:cs="Arial"/>
          <w:szCs w:val="22"/>
          <w:lang w:val="en-GB"/>
        </w:rPr>
        <w:fldChar w:fldCharType="separate"/>
      </w:r>
      <w:r w:rsidR="0067675D" w:rsidRPr="00867E8C">
        <w:rPr>
          <w:rFonts w:cs="Arial"/>
          <w:szCs w:val="22"/>
        </w:rPr>
        <w:t xml:space="preserve">Figure </w:t>
      </w:r>
      <w:r w:rsidR="0067675D">
        <w:rPr>
          <w:rFonts w:cs="Arial"/>
          <w:noProof/>
          <w:szCs w:val="22"/>
        </w:rPr>
        <w:t>116</w:t>
      </w:r>
      <w:r w:rsidRPr="00D5126A">
        <w:rPr>
          <w:rFonts w:cs="Arial"/>
          <w:szCs w:val="22"/>
          <w:lang w:val="en-GB"/>
        </w:rPr>
        <w:fldChar w:fldCharType="end"/>
      </w:r>
      <w:r w:rsidRPr="00D5126A">
        <w:rPr>
          <w:rFonts w:cs="Arial"/>
          <w:szCs w:val="22"/>
          <w:lang w:val="en-GB"/>
        </w:rPr>
        <w:t>).</w:t>
      </w:r>
    </w:p>
    <w:p w14:paraId="54EFA412" w14:textId="532CA664" w:rsidR="008A59C6" w:rsidRPr="00D562E2" w:rsidRDefault="008A59C6" w:rsidP="003E679B">
      <w:pPr>
        <w:rPr>
          <w:rFonts w:cs="Arial"/>
          <w:szCs w:val="22"/>
          <w:lang w:val="en-GB"/>
        </w:rPr>
      </w:pPr>
    </w:p>
    <w:p w14:paraId="72F831E0" w14:textId="77777777" w:rsidR="008A59C6" w:rsidRPr="00D562E2" w:rsidRDefault="008A59C6" w:rsidP="003E679B">
      <w:pPr>
        <w:rPr>
          <w:rFonts w:cs="Arial"/>
          <w:szCs w:val="22"/>
          <w:lang w:val="en-GB"/>
        </w:rPr>
      </w:pPr>
    </w:p>
    <w:p w14:paraId="047AE69E" w14:textId="6E0B2EE1" w:rsidR="00353458" w:rsidRPr="00D562E2" w:rsidRDefault="00114443" w:rsidP="00C36ADD">
      <w:pPr>
        <w:rPr>
          <w:rFonts w:cs="Arial"/>
          <w:color w:val="000000" w:themeColor="text1"/>
          <w:szCs w:val="22"/>
        </w:rPr>
      </w:pPr>
      <w:r w:rsidRPr="00D562E2">
        <w:rPr>
          <w:rFonts w:cs="Arial"/>
          <w:noProof/>
          <w:color w:val="000000" w:themeColor="text1"/>
          <w:szCs w:val="22"/>
          <w:lang w:eastAsia="en-AU"/>
        </w:rPr>
        <w:lastRenderedPageBreak/>
        <w:drawing>
          <wp:inline distT="0" distB="0" distL="0" distR="0" wp14:anchorId="3E1259A3" wp14:editId="407EE79A">
            <wp:extent cx="5645763" cy="7534242"/>
            <wp:effectExtent l="0" t="0" r="0" b="0"/>
            <wp:docPr id="563" name="Picture 563" descr="Figures show extent of plumes, colour class, light and temperate data" title="environmental pressures mackay-whitsun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MW Pressures page-01.png"/>
                    <pic:cNvPicPr/>
                  </pic:nvPicPr>
                  <pic:blipFill>
                    <a:blip r:embed="rId115">
                      <a:extLst>
                        <a:ext uri="{28A0092B-C50C-407E-A947-70E740481C1C}">
                          <a14:useLocalDpi xmlns:a14="http://schemas.microsoft.com/office/drawing/2010/main" val="0"/>
                        </a:ext>
                      </a:extLst>
                    </a:blip>
                    <a:stretch>
                      <a:fillRect/>
                    </a:stretch>
                  </pic:blipFill>
                  <pic:spPr>
                    <a:xfrm>
                      <a:off x="0" y="0"/>
                      <a:ext cx="5645763" cy="7534242"/>
                    </a:xfrm>
                    <a:prstGeom prst="rect">
                      <a:avLst/>
                    </a:prstGeom>
                  </pic:spPr>
                </pic:pic>
              </a:graphicData>
            </a:graphic>
          </wp:inline>
        </w:drawing>
      </w:r>
    </w:p>
    <w:p w14:paraId="5A70335C" w14:textId="27D227E9" w:rsidR="001B1A95" w:rsidRPr="00D562E2" w:rsidRDefault="00353458" w:rsidP="001B1A95">
      <w:pPr>
        <w:rPr>
          <w:rFonts w:cs="Arial"/>
          <w:i/>
          <w:iCs/>
          <w:vanish/>
          <w:szCs w:val="22"/>
          <w:lang w:eastAsia="en-AU"/>
          <w:specVanish/>
        </w:rPr>
      </w:pPr>
      <w:bookmarkStart w:id="490" w:name="_Ref533507597"/>
      <w:bookmarkStart w:id="491" w:name="_Toc38634166"/>
      <w:r w:rsidRPr="00D562E2">
        <w:rPr>
          <w:rFonts w:cs="Arial"/>
          <w:szCs w:val="22"/>
        </w:rPr>
        <w:lastRenderedPageBreak/>
        <w:t xml:space="preserve">Figure </w:t>
      </w:r>
      <w:r w:rsidR="000E4688" w:rsidRPr="00D562E2">
        <w:rPr>
          <w:rFonts w:cs="Arial"/>
          <w:noProof/>
          <w:szCs w:val="22"/>
        </w:rPr>
        <w:fldChar w:fldCharType="begin"/>
      </w:r>
      <w:r w:rsidR="000E4688" w:rsidRPr="00D562E2">
        <w:rPr>
          <w:rFonts w:cs="Arial"/>
          <w:noProof/>
          <w:szCs w:val="22"/>
        </w:rPr>
        <w:instrText xml:space="preserve"> SEQ Figure \* ARABIC </w:instrText>
      </w:r>
      <w:r w:rsidR="000E4688" w:rsidRPr="00D562E2">
        <w:rPr>
          <w:rFonts w:cs="Arial"/>
          <w:noProof/>
          <w:szCs w:val="22"/>
        </w:rPr>
        <w:fldChar w:fldCharType="separate"/>
      </w:r>
      <w:r w:rsidR="0067675D">
        <w:rPr>
          <w:rFonts w:cs="Arial"/>
          <w:noProof/>
          <w:szCs w:val="22"/>
        </w:rPr>
        <w:t>62</w:t>
      </w:r>
      <w:r w:rsidR="000E4688" w:rsidRPr="00D562E2">
        <w:rPr>
          <w:rFonts w:cs="Arial"/>
          <w:noProof/>
          <w:szCs w:val="22"/>
        </w:rPr>
        <w:fldChar w:fldCharType="end"/>
      </w:r>
      <w:bookmarkEnd w:id="490"/>
      <w:r w:rsidRPr="00D562E2">
        <w:rPr>
          <w:rFonts w:cs="Arial"/>
          <w:szCs w:val="22"/>
        </w:rPr>
        <w:t xml:space="preserve">. </w:t>
      </w:r>
      <w:r w:rsidRPr="00D562E2">
        <w:rPr>
          <w:rFonts w:cs="Arial"/>
          <w:i/>
          <w:szCs w:val="22"/>
        </w:rPr>
        <w:t xml:space="preserve">Environmental pressures in the </w:t>
      </w:r>
      <w:r w:rsidR="00B72AC4">
        <w:rPr>
          <w:rFonts w:cs="Arial"/>
          <w:i/>
          <w:szCs w:val="22"/>
        </w:rPr>
        <w:t>Mackay–Whitsunday</w:t>
      </w:r>
      <w:r w:rsidRPr="00D562E2">
        <w:rPr>
          <w:rFonts w:cs="Arial"/>
          <w:i/>
          <w:szCs w:val="22"/>
        </w:rPr>
        <w:t xml:space="preserve"> </w:t>
      </w:r>
      <w:r w:rsidR="00DD18B8" w:rsidRPr="00D562E2">
        <w:rPr>
          <w:rFonts w:cs="Arial"/>
          <w:i/>
          <w:szCs w:val="22"/>
        </w:rPr>
        <w:t xml:space="preserve">NRM </w:t>
      </w:r>
      <w:r w:rsidRPr="00D562E2">
        <w:rPr>
          <w:rFonts w:cs="Arial"/>
          <w:i/>
          <w:szCs w:val="22"/>
        </w:rPr>
        <w:t>region</w:t>
      </w:r>
      <w:bookmarkEnd w:id="491"/>
    </w:p>
    <w:p w14:paraId="436D7484" w14:textId="6B969BC5" w:rsidR="00353458" w:rsidRPr="00D562E2" w:rsidRDefault="001B1A95" w:rsidP="001B1A95">
      <w:pPr>
        <w:rPr>
          <w:rFonts w:cs="Arial"/>
          <w:i/>
          <w:color w:val="000000"/>
          <w:szCs w:val="22"/>
        </w:rPr>
      </w:pPr>
      <w:r w:rsidRPr="00D562E2">
        <w:rPr>
          <w:rFonts w:cs="Arial"/>
          <w:i/>
          <w:szCs w:val="22"/>
          <w:lang w:eastAsia="en-AU"/>
        </w:rPr>
        <w:t xml:space="preserve"> </w:t>
      </w:r>
      <w:r w:rsidR="00353458" w:rsidRPr="00D562E2">
        <w:rPr>
          <w:rFonts w:cs="Arial"/>
          <w:i/>
          <w:szCs w:val="22"/>
        </w:rPr>
        <w:t>including</w:t>
      </w:r>
      <w:r w:rsidR="00DD18B8" w:rsidRPr="00D562E2">
        <w:rPr>
          <w:rFonts w:cs="Arial"/>
          <w:i/>
          <w:szCs w:val="22"/>
        </w:rPr>
        <w:t>:</w:t>
      </w:r>
      <w:r w:rsidR="00353458" w:rsidRPr="00D562E2">
        <w:rPr>
          <w:rFonts w:cs="Arial"/>
          <w:i/>
          <w:szCs w:val="22"/>
        </w:rPr>
        <w:t xml:space="preserve"> a.</w:t>
      </w:r>
      <w:r w:rsidR="00353458" w:rsidRPr="00D562E2">
        <w:rPr>
          <w:rFonts w:cs="Arial"/>
          <w:szCs w:val="22"/>
        </w:rPr>
        <w:t xml:space="preserve"> </w:t>
      </w:r>
      <w:r w:rsidR="00353458" w:rsidRPr="00D562E2">
        <w:rPr>
          <w:rFonts w:cs="Arial"/>
          <w:i/>
          <w:szCs w:val="22"/>
        </w:rPr>
        <w:t>frequency of exposure to turbid water (colour classes 1</w:t>
      </w:r>
      <w:r w:rsidR="00A675DA" w:rsidRPr="00D562E2">
        <w:rPr>
          <w:rFonts w:cs="Arial"/>
          <w:i/>
          <w:szCs w:val="22"/>
        </w:rPr>
        <w:t>–</w:t>
      </w:r>
      <w:r w:rsidR="00353458" w:rsidRPr="00D562E2">
        <w:rPr>
          <w:rFonts w:cs="Arial"/>
          <w:i/>
          <w:szCs w:val="22"/>
        </w:rPr>
        <w:t xml:space="preserve">5) (from </w:t>
      </w:r>
      <w:hyperlink w:anchor="_ENREF_68" w:tooltip="Gruber, 2019 #11860" w:history="1">
        <w:r w:rsidR="009A7AB4" w:rsidRPr="00D562E2">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D562E2">
          <w:rPr>
            <w:rFonts w:cs="Arial"/>
            <w:i/>
            <w:szCs w:val="22"/>
          </w:rPr>
          <w:fldChar w:fldCharType="separate"/>
        </w:r>
        <w:r w:rsidR="009A7AB4">
          <w:rPr>
            <w:rFonts w:cs="Arial"/>
            <w:i/>
            <w:noProof/>
            <w:szCs w:val="22"/>
          </w:rPr>
          <w:t>Gruber et al. 2019b</w:t>
        </w:r>
        <w:r w:rsidR="009A7AB4" w:rsidRPr="00D562E2">
          <w:rPr>
            <w:rFonts w:cs="Arial"/>
            <w:i/>
            <w:szCs w:val="22"/>
          </w:rPr>
          <w:fldChar w:fldCharType="end"/>
        </w:r>
      </w:hyperlink>
      <w:r w:rsidR="00353458" w:rsidRPr="00D562E2">
        <w:rPr>
          <w:rFonts w:cs="Arial"/>
          <w:i/>
          <w:szCs w:val="22"/>
        </w:rPr>
        <w:t>)</w:t>
      </w:r>
      <w:r w:rsidRPr="00D562E2">
        <w:rPr>
          <w:rFonts w:cs="Arial"/>
          <w:i/>
          <w:szCs w:val="22"/>
        </w:rPr>
        <w:t>;</w:t>
      </w:r>
      <w:r w:rsidR="00353458" w:rsidRPr="00D562E2">
        <w:rPr>
          <w:rFonts w:cs="Arial"/>
          <w:i/>
          <w:szCs w:val="22"/>
        </w:rPr>
        <w:t xml:space="preserve"> b. wet season water type at each </w:t>
      </w:r>
      <w:r w:rsidRPr="00D562E2">
        <w:rPr>
          <w:rFonts w:cs="Arial"/>
          <w:i/>
          <w:szCs w:val="22"/>
        </w:rPr>
        <w:t>site;</w:t>
      </w:r>
      <w:r w:rsidR="00353458" w:rsidRPr="00D562E2">
        <w:rPr>
          <w:rFonts w:cs="Arial"/>
          <w:i/>
          <w:szCs w:val="22"/>
        </w:rPr>
        <w:t xml:space="preserve"> c. average conditions over the long-term and in </w:t>
      </w:r>
      <w:r w:rsidR="00956639" w:rsidRPr="00D562E2">
        <w:rPr>
          <w:rFonts w:cs="Arial"/>
          <w:i/>
          <w:szCs w:val="22"/>
        </w:rPr>
        <w:t>2018–19</w:t>
      </w:r>
      <w:r w:rsidRPr="00D562E2">
        <w:rPr>
          <w:rFonts w:cs="Arial"/>
          <w:i/>
          <w:szCs w:val="22"/>
        </w:rPr>
        <w:t>;</w:t>
      </w:r>
      <w:r w:rsidR="00353458" w:rsidRPr="00D562E2">
        <w:rPr>
          <w:rFonts w:cs="Arial"/>
          <w:i/>
          <w:szCs w:val="22"/>
        </w:rPr>
        <w:t xml:space="preserve"> d. daily light and the 28-day rolling mean of daily light for all sites</w:t>
      </w:r>
      <w:r w:rsidRPr="00D562E2">
        <w:rPr>
          <w:rFonts w:cs="Arial"/>
          <w:i/>
          <w:szCs w:val="22"/>
        </w:rPr>
        <w:t>;</w:t>
      </w:r>
      <w:r w:rsidR="00353458" w:rsidRPr="00D562E2">
        <w:rPr>
          <w:rFonts w:cs="Arial"/>
          <w:i/>
          <w:szCs w:val="22"/>
        </w:rPr>
        <w:t xml:space="preserve"> e. number of day temperature exceeded 35°C, 38°C, 40°C and 43°C, and</w:t>
      </w:r>
      <w:r w:rsidRPr="00D562E2">
        <w:rPr>
          <w:rFonts w:cs="Arial"/>
          <w:i/>
          <w:szCs w:val="22"/>
        </w:rPr>
        <w:t>;</w:t>
      </w:r>
      <w:r w:rsidR="00353458" w:rsidRPr="00D562E2">
        <w:rPr>
          <w:rFonts w:cs="Arial"/>
          <w:i/>
          <w:szCs w:val="22"/>
        </w:rPr>
        <w:t xml:space="preserve"> f. deviations from 13-year </w:t>
      </w:r>
      <w:r w:rsidR="00353458" w:rsidRPr="00D562E2">
        <w:rPr>
          <w:rFonts w:cs="Arial"/>
          <w:i/>
          <w:color w:val="000000"/>
          <w:szCs w:val="22"/>
        </w:rPr>
        <w:t>mean weekly temperature records.</w:t>
      </w:r>
    </w:p>
    <w:p w14:paraId="4D7787D7" w14:textId="77777777" w:rsidR="00A84969" w:rsidRPr="00D562E2" w:rsidRDefault="00A84969" w:rsidP="00A84969">
      <w:pPr>
        <w:rPr>
          <w:rFonts w:cs="Arial"/>
          <w:szCs w:val="22"/>
          <w:lang w:val="en-GB"/>
        </w:rPr>
      </w:pPr>
    </w:p>
    <w:p w14:paraId="4456EA4F" w14:textId="77777777" w:rsidR="002F1D37" w:rsidRPr="00431DDA" w:rsidRDefault="002F1D37" w:rsidP="00785606">
      <w:pPr>
        <w:pStyle w:val="Heading3"/>
      </w:pPr>
      <w:bookmarkStart w:id="492" w:name="_Toc37775096"/>
      <w:bookmarkStart w:id="493" w:name="_Toc43987071"/>
      <w:bookmarkStart w:id="494" w:name="_Toc431493776"/>
      <w:bookmarkEnd w:id="483"/>
      <w:bookmarkEnd w:id="484"/>
      <w:r w:rsidRPr="00431DDA">
        <w:t>Inshore seagrass and habitat condition</w:t>
      </w:r>
      <w:bookmarkEnd w:id="492"/>
      <w:bookmarkEnd w:id="493"/>
    </w:p>
    <w:p w14:paraId="25A3E5FD" w14:textId="5CDC8377" w:rsidR="00F75525" w:rsidRPr="00D562E2" w:rsidRDefault="00AC7EF1" w:rsidP="00C36ADD">
      <w:pPr>
        <w:rPr>
          <w:rFonts w:cs="Arial"/>
          <w:szCs w:val="22"/>
          <w:lang w:eastAsia="x-none"/>
        </w:rPr>
      </w:pPr>
      <w:r>
        <w:rPr>
          <w:rFonts w:cs="Arial"/>
          <w:color w:val="000000" w:themeColor="text1"/>
          <w:szCs w:val="22"/>
          <w:lang w:eastAsia="x-none"/>
        </w:rPr>
        <w:t xml:space="preserve">There are 16 seagrass monitoring sites in </w:t>
      </w:r>
      <w:r w:rsidR="00B72AC4">
        <w:rPr>
          <w:rFonts w:cs="Arial"/>
          <w:color w:val="000000" w:themeColor="text1"/>
          <w:szCs w:val="22"/>
          <w:lang w:eastAsia="x-none"/>
        </w:rPr>
        <w:t>Mackay–Whitsunday</w:t>
      </w:r>
      <w:r>
        <w:rPr>
          <w:rFonts w:cs="Arial"/>
          <w:color w:val="000000" w:themeColor="text1"/>
          <w:szCs w:val="22"/>
          <w:lang w:eastAsia="x-none"/>
        </w:rPr>
        <w:t>s from 10 locations</w:t>
      </w:r>
      <w:r w:rsidR="00F97113">
        <w:rPr>
          <w:rFonts w:cs="Arial"/>
          <w:color w:val="000000" w:themeColor="text1"/>
          <w:szCs w:val="22"/>
          <w:lang w:eastAsia="x-none"/>
        </w:rPr>
        <w:t xml:space="preserve"> </w:t>
      </w:r>
      <w:r w:rsidR="00F97113" w:rsidRPr="00D562E2">
        <w:rPr>
          <w:rFonts w:cs="Arial"/>
          <w:szCs w:val="22"/>
          <w:lang w:eastAsia="x-none"/>
        </w:rPr>
        <w:t>(</w:t>
      </w:r>
      <w:r w:rsidR="00F97113" w:rsidRPr="00D562E2">
        <w:rPr>
          <w:rFonts w:cs="Arial"/>
          <w:szCs w:val="22"/>
          <w:lang w:eastAsia="x-none"/>
        </w:rPr>
        <w:fldChar w:fldCharType="begin"/>
      </w:r>
      <w:r w:rsidR="00F97113" w:rsidRPr="00D562E2">
        <w:rPr>
          <w:rFonts w:cs="Arial"/>
          <w:szCs w:val="22"/>
          <w:lang w:eastAsia="x-none"/>
        </w:rPr>
        <w:instrText xml:space="preserve"> REF _Ref473898197 \h  \* MERGEFORMAT </w:instrText>
      </w:r>
      <w:r w:rsidR="00F97113" w:rsidRPr="00D562E2">
        <w:rPr>
          <w:rFonts w:cs="Arial"/>
          <w:szCs w:val="22"/>
          <w:lang w:eastAsia="x-none"/>
        </w:rPr>
      </w:r>
      <w:r w:rsidR="00F97113"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14</w:t>
      </w:r>
      <w:r w:rsidR="00F97113" w:rsidRPr="00D562E2">
        <w:rPr>
          <w:rFonts w:cs="Arial"/>
          <w:szCs w:val="22"/>
          <w:lang w:eastAsia="x-none"/>
        </w:rPr>
        <w:fldChar w:fldCharType="end"/>
      </w:r>
      <w:r w:rsidR="00F97113">
        <w:rPr>
          <w:rFonts w:cs="Arial"/>
          <w:szCs w:val="22"/>
          <w:lang w:eastAsia="x-none"/>
        </w:rPr>
        <w:t>)</w:t>
      </w:r>
      <w:r>
        <w:rPr>
          <w:rFonts w:cs="Arial"/>
          <w:szCs w:val="22"/>
        </w:rPr>
        <w:t xml:space="preserve">. </w:t>
      </w:r>
      <w:r w:rsidR="00F75525" w:rsidRPr="00D562E2">
        <w:rPr>
          <w:rFonts w:cs="Arial"/>
          <w:szCs w:val="22"/>
          <w:lang w:eastAsia="x-none"/>
        </w:rPr>
        <w:t xml:space="preserve">Five seagrass habitat types were assessed across the </w:t>
      </w:r>
      <w:r w:rsidR="00544845" w:rsidRPr="00D562E2">
        <w:rPr>
          <w:rFonts w:cs="Arial"/>
          <w:szCs w:val="22"/>
          <w:lang w:eastAsia="x-none"/>
        </w:rPr>
        <w:t>region</w:t>
      </w:r>
      <w:r w:rsidR="00F75525" w:rsidRPr="00D562E2">
        <w:rPr>
          <w:rFonts w:cs="Arial"/>
          <w:szCs w:val="22"/>
          <w:lang w:eastAsia="x-none"/>
        </w:rPr>
        <w:t xml:space="preserve"> </w:t>
      </w:r>
      <w:r w:rsidR="006C0C8D" w:rsidRPr="00D562E2">
        <w:rPr>
          <w:rFonts w:cs="Arial"/>
          <w:szCs w:val="22"/>
          <w:lang w:eastAsia="x-none"/>
        </w:rPr>
        <w:t>this year</w:t>
      </w:r>
      <w:r w:rsidR="00F75525" w:rsidRPr="00D562E2">
        <w:rPr>
          <w:rFonts w:cs="Arial"/>
          <w:szCs w:val="22"/>
          <w:lang w:eastAsia="x-none"/>
        </w:rPr>
        <w:t xml:space="preserve"> (</w:t>
      </w:r>
      <w:r w:rsidR="00F75525" w:rsidRPr="00D562E2">
        <w:rPr>
          <w:rFonts w:cs="Arial"/>
          <w:szCs w:val="22"/>
          <w:lang w:eastAsia="x-none"/>
        </w:rPr>
        <w:fldChar w:fldCharType="begin"/>
      </w:r>
      <w:r w:rsidR="00F75525" w:rsidRPr="00D562E2">
        <w:rPr>
          <w:rFonts w:cs="Arial"/>
          <w:szCs w:val="22"/>
          <w:lang w:eastAsia="x-none"/>
        </w:rPr>
        <w:instrText xml:space="preserve"> REF _Ref473898197 \h </w:instrText>
      </w:r>
      <w:r w:rsidR="00580DDA" w:rsidRPr="00D562E2">
        <w:rPr>
          <w:rFonts w:cs="Arial"/>
          <w:szCs w:val="22"/>
          <w:lang w:eastAsia="x-none"/>
        </w:rPr>
        <w:instrText xml:space="preserve"> \* MERGEFORMAT </w:instrText>
      </w:r>
      <w:r w:rsidR="00F75525" w:rsidRPr="00D562E2">
        <w:rPr>
          <w:rFonts w:cs="Arial"/>
          <w:szCs w:val="22"/>
          <w:lang w:eastAsia="x-none"/>
        </w:rPr>
      </w:r>
      <w:r w:rsidR="00F75525"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14</w:t>
      </w:r>
      <w:r w:rsidR="00F75525" w:rsidRPr="00D562E2">
        <w:rPr>
          <w:rFonts w:cs="Arial"/>
          <w:szCs w:val="22"/>
          <w:lang w:eastAsia="x-none"/>
        </w:rPr>
        <w:fldChar w:fldCharType="end"/>
      </w:r>
      <w:r w:rsidR="00D5126A">
        <w:rPr>
          <w:rFonts w:cs="Arial"/>
          <w:szCs w:val="22"/>
          <w:lang w:eastAsia="x-none"/>
        </w:rPr>
        <w:t xml:space="preserve">, </w:t>
      </w:r>
      <w:r w:rsidR="00D5126A">
        <w:rPr>
          <w:rFonts w:cs="Arial"/>
          <w:szCs w:val="22"/>
          <w:lang w:eastAsia="x-none"/>
        </w:rPr>
        <w:fldChar w:fldCharType="begin"/>
      </w:r>
      <w:r w:rsidR="00D5126A">
        <w:rPr>
          <w:rFonts w:cs="Arial"/>
          <w:szCs w:val="22"/>
          <w:lang w:eastAsia="x-none"/>
        </w:rPr>
        <w:instrText xml:space="preserve"> REF _Ref511373432 \h </w:instrText>
      </w:r>
      <w:r w:rsidR="00D5126A">
        <w:rPr>
          <w:rFonts w:cs="Arial"/>
          <w:szCs w:val="22"/>
          <w:lang w:eastAsia="x-none"/>
        </w:rPr>
      </w:r>
      <w:r w:rsidR="00D5126A">
        <w:rPr>
          <w:rFonts w:cs="Arial"/>
          <w:szCs w:val="22"/>
          <w:lang w:eastAsia="x-none"/>
        </w:rPr>
        <w:fldChar w:fldCharType="separate"/>
      </w:r>
      <w:r w:rsidR="0067675D" w:rsidRPr="00687A15">
        <w:rPr>
          <w:rFonts w:cs="Arial"/>
          <w:color w:val="000000"/>
          <w:szCs w:val="22"/>
        </w:rPr>
        <w:t xml:space="preserve">Table </w:t>
      </w:r>
      <w:r w:rsidR="0067675D">
        <w:rPr>
          <w:rFonts w:cs="Arial"/>
          <w:noProof/>
          <w:color w:val="000000"/>
          <w:szCs w:val="22"/>
        </w:rPr>
        <w:t>18</w:t>
      </w:r>
      <w:r w:rsidR="00D5126A">
        <w:rPr>
          <w:rFonts w:cs="Arial"/>
          <w:szCs w:val="22"/>
          <w:lang w:eastAsia="x-none"/>
        </w:rPr>
        <w:fldChar w:fldCharType="end"/>
      </w:r>
      <w:r w:rsidR="00F75525" w:rsidRPr="00D562E2">
        <w:rPr>
          <w:rFonts w:cs="Arial"/>
          <w:szCs w:val="22"/>
          <w:lang w:eastAsia="x-none"/>
        </w:rPr>
        <w:t>).</w:t>
      </w:r>
    </w:p>
    <w:p w14:paraId="261FFF98" w14:textId="42E3D682" w:rsidR="00F75525" w:rsidRPr="00D562E2" w:rsidRDefault="00F75525" w:rsidP="00C36ADD">
      <w:pPr>
        <w:rPr>
          <w:rFonts w:cs="Arial"/>
          <w:i/>
          <w:vanish/>
          <w:szCs w:val="22"/>
          <w:specVanish/>
        </w:rPr>
      </w:pPr>
      <w:bookmarkStart w:id="495" w:name="_Ref473898197"/>
      <w:bookmarkStart w:id="496" w:name="_Toc37787066"/>
      <w:bookmarkStart w:id="497" w:name="_Toc47600688"/>
      <w:r w:rsidRPr="00D562E2">
        <w:rPr>
          <w:rFonts w:cs="Arial"/>
          <w:szCs w:val="22"/>
        </w:rPr>
        <w:t xml:space="preserve">Table </w:t>
      </w:r>
      <w:r w:rsidR="00C506C7" w:rsidRPr="00D562E2">
        <w:rPr>
          <w:rFonts w:cs="Arial"/>
          <w:noProof/>
          <w:szCs w:val="22"/>
        </w:rPr>
        <w:fldChar w:fldCharType="begin"/>
      </w:r>
      <w:r w:rsidR="00C506C7" w:rsidRPr="00D562E2">
        <w:rPr>
          <w:rFonts w:cs="Arial"/>
          <w:noProof/>
          <w:szCs w:val="22"/>
        </w:rPr>
        <w:instrText xml:space="preserve"> SEQ Table \* ARABIC </w:instrText>
      </w:r>
      <w:r w:rsidR="00C506C7" w:rsidRPr="00D562E2">
        <w:rPr>
          <w:rFonts w:cs="Arial"/>
          <w:noProof/>
          <w:szCs w:val="22"/>
        </w:rPr>
        <w:fldChar w:fldCharType="separate"/>
      </w:r>
      <w:r w:rsidR="0067675D">
        <w:rPr>
          <w:rFonts w:cs="Arial"/>
          <w:noProof/>
          <w:szCs w:val="22"/>
        </w:rPr>
        <w:t>14</w:t>
      </w:r>
      <w:r w:rsidR="00C506C7" w:rsidRPr="00D562E2">
        <w:rPr>
          <w:rFonts w:cs="Arial"/>
          <w:noProof/>
          <w:szCs w:val="22"/>
        </w:rPr>
        <w:fldChar w:fldCharType="end"/>
      </w:r>
      <w:bookmarkEnd w:id="495"/>
      <w:r w:rsidRPr="00D562E2">
        <w:rPr>
          <w:rFonts w:cs="Arial"/>
          <w:szCs w:val="22"/>
        </w:rPr>
        <w:t xml:space="preserve">. </w:t>
      </w:r>
      <w:r w:rsidRPr="00D562E2">
        <w:rPr>
          <w:rFonts w:cs="Arial"/>
          <w:i/>
          <w:szCs w:val="22"/>
        </w:rPr>
        <w:t xml:space="preserve">List of data sources of seagrass and environmental condition indicators for each seagrass habitat type in the </w:t>
      </w:r>
      <w:r w:rsidR="00B72AC4">
        <w:rPr>
          <w:rFonts w:cs="Arial"/>
          <w:i/>
          <w:szCs w:val="22"/>
        </w:rPr>
        <w:t>Mackay–Whitsunday</w:t>
      </w:r>
      <w:r w:rsidRPr="00D562E2">
        <w:rPr>
          <w:rFonts w:cs="Arial"/>
          <w:i/>
          <w:szCs w:val="22"/>
        </w:rPr>
        <w:t xml:space="preserve"> NRM region.</w:t>
      </w:r>
      <w:bookmarkEnd w:id="496"/>
      <w:bookmarkEnd w:id="497"/>
      <w:r w:rsidRPr="00D562E2">
        <w:rPr>
          <w:rFonts w:cs="Arial"/>
          <w:i/>
          <w:vanish/>
          <w:szCs w:val="22"/>
          <w:specVanish/>
        </w:rPr>
        <w:t xml:space="preserve"> </w:t>
      </w:r>
    </w:p>
    <w:p w14:paraId="198F3260" w14:textId="7518B3F8" w:rsidR="00F75525" w:rsidRPr="00D562E2" w:rsidRDefault="00F75525" w:rsidP="00C36ADD">
      <w:pPr>
        <w:rPr>
          <w:rFonts w:cs="Arial"/>
          <w:i/>
          <w:szCs w:val="22"/>
        </w:rPr>
      </w:pPr>
      <w:r w:rsidRPr="00D562E2">
        <w:rPr>
          <w:rFonts w:cs="Arial"/>
          <w:i/>
          <w:szCs w:val="22"/>
        </w:rPr>
        <w:t xml:space="preserve"> </w:t>
      </w:r>
      <w:r w:rsidR="00C76C36" w:rsidRPr="00D562E2">
        <w:rPr>
          <w:rFonts w:cs="Arial"/>
          <w:i/>
          <w:color w:val="000000"/>
          <w:szCs w:val="22"/>
          <w:vertAlign w:val="superscript"/>
        </w:rPr>
        <w:sym w:font="Wingdings 2" w:char="F085"/>
      </w:r>
      <w:r w:rsidR="00C76C36" w:rsidRPr="00D562E2">
        <w:rPr>
          <w:rFonts w:cs="Arial"/>
          <w:i/>
          <w:color w:val="000000"/>
          <w:szCs w:val="22"/>
        </w:rPr>
        <w:t xml:space="preserve"> drop camera sampling (QPWS), *Seagrass-Watch.</w:t>
      </w:r>
      <w:r w:rsidR="00C76C36" w:rsidRPr="00D562E2">
        <w:rPr>
          <w:rFonts w:cs="Arial"/>
          <w:i/>
          <w:szCs w:val="22"/>
        </w:rPr>
        <w:t xml:space="preserve"> </w:t>
      </w:r>
      <w:r w:rsidRPr="00D562E2">
        <w:rPr>
          <w:rFonts w:cs="Arial"/>
          <w:i/>
          <w:szCs w:val="22"/>
        </w:rPr>
        <w:t xml:space="preserve">For site details see </w:t>
      </w:r>
      <w:r w:rsidRPr="00D562E2">
        <w:rPr>
          <w:rFonts w:cs="Arial"/>
          <w:i/>
          <w:szCs w:val="22"/>
        </w:rPr>
        <w:fldChar w:fldCharType="begin"/>
      </w:r>
      <w:r w:rsidRPr="00D562E2">
        <w:rPr>
          <w:rFonts w:cs="Arial"/>
          <w:i/>
          <w:szCs w:val="22"/>
        </w:rPr>
        <w:instrText xml:space="preserve"> REF _Ref236539751 \h  \* MERGEFORMAT </w:instrText>
      </w:r>
      <w:r w:rsidRPr="00D562E2">
        <w:rPr>
          <w:rFonts w:cs="Arial"/>
          <w:i/>
          <w:szCs w:val="22"/>
        </w:rPr>
      </w:r>
      <w:r w:rsidRPr="00D562E2">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2</w:t>
      </w:r>
      <w:r w:rsidRPr="00D562E2">
        <w:rPr>
          <w:rFonts w:cs="Arial"/>
          <w:i/>
          <w:szCs w:val="22"/>
        </w:rPr>
        <w:fldChar w:fldCharType="end"/>
      </w:r>
      <w:r w:rsidRPr="00D562E2">
        <w:rPr>
          <w:rFonts w:cs="Arial"/>
          <w:i/>
          <w:szCs w:val="22"/>
        </w:rPr>
        <w:t xml:space="preserve"> and </w:t>
      </w:r>
      <w:r w:rsidRPr="00D562E2">
        <w:rPr>
          <w:rFonts w:cs="Arial"/>
          <w:i/>
          <w:szCs w:val="22"/>
        </w:rPr>
        <w:fldChar w:fldCharType="begin"/>
      </w:r>
      <w:r w:rsidRPr="00D562E2">
        <w:rPr>
          <w:rFonts w:cs="Arial"/>
          <w:i/>
          <w:szCs w:val="22"/>
        </w:rPr>
        <w:instrText xml:space="preserve"> REF _Ref461186562 \h  \* MERGEFORMAT </w:instrText>
      </w:r>
      <w:r w:rsidRPr="00D562E2">
        <w:rPr>
          <w:rFonts w:cs="Arial"/>
          <w:i/>
          <w:szCs w:val="22"/>
        </w:rPr>
      </w:r>
      <w:r w:rsidRPr="00D562E2">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3</w:t>
      </w:r>
      <w:r w:rsidRPr="00D562E2">
        <w:rPr>
          <w:rFonts w:cs="Arial"/>
          <w:i/>
          <w:szCs w:val="22"/>
        </w:rPr>
        <w:fldChar w:fldCharType="end"/>
      </w:r>
      <w:r w:rsidRPr="00D562E2">
        <w:rPr>
          <w:rFonts w:cs="Arial"/>
          <w:i/>
          <w:szCs w:val="22"/>
        </w:rPr>
        <w:t>.</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2"/>
        <w:gridCol w:w="897"/>
        <w:gridCol w:w="1634"/>
        <w:gridCol w:w="468"/>
        <w:gridCol w:w="468"/>
        <w:gridCol w:w="468"/>
        <w:gridCol w:w="468"/>
        <w:gridCol w:w="468"/>
        <w:gridCol w:w="468"/>
        <w:gridCol w:w="468"/>
        <w:gridCol w:w="468"/>
        <w:gridCol w:w="469"/>
      </w:tblGrid>
      <w:tr w:rsidR="00F360EA" w:rsidRPr="00DB1ACE" w14:paraId="6B5FE3E8" w14:textId="77777777" w:rsidTr="00F360EA">
        <w:trPr>
          <w:cantSplit/>
          <w:trHeight w:val="1968"/>
          <w:jc w:val="center"/>
        </w:trPr>
        <w:tc>
          <w:tcPr>
            <w:tcW w:w="1762" w:type="dxa"/>
            <w:shd w:val="clear" w:color="auto" w:fill="BBE0E3"/>
            <w:vAlign w:val="center"/>
          </w:tcPr>
          <w:p w14:paraId="258C4C7E" w14:textId="77777777" w:rsidR="00F75525" w:rsidRPr="00DB1ACE" w:rsidRDefault="00F75525" w:rsidP="00D562E2">
            <w:pPr>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Habitat</w:t>
            </w:r>
          </w:p>
        </w:tc>
        <w:tc>
          <w:tcPr>
            <w:tcW w:w="2531" w:type="dxa"/>
            <w:gridSpan w:val="2"/>
            <w:shd w:val="clear" w:color="auto" w:fill="BBE0E3"/>
            <w:noWrap/>
            <w:vAlign w:val="center"/>
          </w:tcPr>
          <w:p w14:paraId="125F396B" w14:textId="77777777" w:rsidR="00F75525" w:rsidRPr="00DB1ACE" w:rsidRDefault="00F75525" w:rsidP="00D562E2">
            <w:pPr>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Site</w:t>
            </w:r>
          </w:p>
        </w:tc>
        <w:tc>
          <w:tcPr>
            <w:tcW w:w="468" w:type="dxa"/>
            <w:shd w:val="clear" w:color="auto" w:fill="BBE0E3"/>
            <w:textDirection w:val="btLr"/>
            <w:vAlign w:val="center"/>
          </w:tcPr>
          <w:p w14:paraId="6A2A87D3" w14:textId="77777777" w:rsidR="00F75525" w:rsidRPr="00DB1ACE" w:rsidRDefault="00F75525" w:rsidP="00F360EA">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abundance</w:t>
            </w:r>
          </w:p>
        </w:tc>
        <w:tc>
          <w:tcPr>
            <w:tcW w:w="468" w:type="dxa"/>
            <w:shd w:val="clear" w:color="auto" w:fill="BBE0E3"/>
            <w:textDirection w:val="btLr"/>
            <w:vAlign w:val="center"/>
          </w:tcPr>
          <w:p w14:paraId="7CA98E34" w14:textId="77777777" w:rsidR="00F75525" w:rsidRPr="00DB1ACE" w:rsidRDefault="00F75525" w:rsidP="00F360EA">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 xml:space="preserve">composition </w:t>
            </w:r>
          </w:p>
        </w:tc>
        <w:tc>
          <w:tcPr>
            <w:tcW w:w="468" w:type="dxa"/>
            <w:shd w:val="clear" w:color="auto" w:fill="BBE0E3"/>
            <w:textDirection w:val="btLr"/>
            <w:vAlign w:val="center"/>
          </w:tcPr>
          <w:p w14:paraId="0FC157F4" w14:textId="77777777" w:rsidR="00F75525" w:rsidRPr="00DB1ACE" w:rsidRDefault="00F75525" w:rsidP="00F360EA">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distribution</w:t>
            </w:r>
          </w:p>
        </w:tc>
        <w:tc>
          <w:tcPr>
            <w:tcW w:w="468" w:type="dxa"/>
            <w:shd w:val="clear" w:color="auto" w:fill="BBE0E3"/>
            <w:textDirection w:val="btLr"/>
            <w:vAlign w:val="center"/>
          </w:tcPr>
          <w:p w14:paraId="0757F73F" w14:textId="694BC8C3" w:rsidR="00F75525" w:rsidRPr="00DB1ACE" w:rsidRDefault="00D562E2" w:rsidP="00F360EA">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r</w:t>
            </w:r>
            <w:r w:rsidR="00F75525" w:rsidRPr="00DB1ACE">
              <w:rPr>
                <w:rFonts w:asciiTheme="minorHAnsi" w:hAnsiTheme="minorHAnsi" w:cstheme="minorHAnsi"/>
                <w:b/>
                <w:bCs/>
                <w:color w:val="000000"/>
                <w:sz w:val="20"/>
                <w:szCs w:val="20"/>
              </w:rPr>
              <w:t>eproductive effort</w:t>
            </w:r>
          </w:p>
        </w:tc>
        <w:tc>
          <w:tcPr>
            <w:tcW w:w="468" w:type="dxa"/>
            <w:shd w:val="clear" w:color="auto" w:fill="BBE0E3"/>
            <w:textDirection w:val="btLr"/>
            <w:vAlign w:val="center"/>
          </w:tcPr>
          <w:p w14:paraId="54B4E9ED" w14:textId="77777777" w:rsidR="00F75525" w:rsidRPr="00DB1ACE" w:rsidRDefault="00F75525" w:rsidP="00F360EA">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seed banks</w:t>
            </w:r>
          </w:p>
        </w:tc>
        <w:tc>
          <w:tcPr>
            <w:tcW w:w="468" w:type="dxa"/>
            <w:shd w:val="clear" w:color="auto" w:fill="BBE0E3"/>
            <w:textDirection w:val="btLr"/>
            <w:vAlign w:val="center"/>
          </w:tcPr>
          <w:p w14:paraId="3B7F1239" w14:textId="083BE01A" w:rsidR="00F75525" w:rsidRPr="00DB1ACE" w:rsidRDefault="00D562E2" w:rsidP="00F360EA">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l</w:t>
            </w:r>
            <w:r w:rsidR="00F75525" w:rsidRPr="00DB1ACE">
              <w:rPr>
                <w:rFonts w:asciiTheme="minorHAnsi" w:hAnsiTheme="minorHAnsi" w:cstheme="minorHAnsi"/>
                <w:b/>
                <w:bCs/>
                <w:color w:val="000000"/>
                <w:sz w:val="20"/>
                <w:szCs w:val="20"/>
              </w:rPr>
              <w:t>eaf tissue nutrients</w:t>
            </w:r>
          </w:p>
        </w:tc>
        <w:tc>
          <w:tcPr>
            <w:tcW w:w="468" w:type="dxa"/>
            <w:shd w:val="clear" w:color="auto" w:fill="BBE0E3"/>
            <w:textDirection w:val="btLr"/>
            <w:vAlign w:val="center"/>
          </w:tcPr>
          <w:p w14:paraId="14EAE87B" w14:textId="41D22352" w:rsidR="00F75525" w:rsidRPr="00DB1ACE" w:rsidRDefault="00D562E2" w:rsidP="00F360EA">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F75525" w:rsidRPr="00DB1ACE">
              <w:rPr>
                <w:rFonts w:asciiTheme="minorHAnsi" w:hAnsiTheme="minorHAnsi" w:cstheme="minorHAnsi"/>
                <w:b/>
                <w:bCs/>
                <w:color w:val="000000"/>
                <w:sz w:val="20"/>
                <w:szCs w:val="20"/>
              </w:rPr>
              <w:t>eadow sediments</w:t>
            </w:r>
          </w:p>
        </w:tc>
        <w:tc>
          <w:tcPr>
            <w:tcW w:w="468" w:type="dxa"/>
            <w:shd w:val="clear" w:color="auto" w:fill="BBE0E3"/>
            <w:textDirection w:val="btLr"/>
            <w:vAlign w:val="center"/>
          </w:tcPr>
          <w:p w14:paraId="12E56D02" w14:textId="3668544A" w:rsidR="00F75525" w:rsidRPr="00DB1ACE" w:rsidRDefault="00D562E2" w:rsidP="00F360EA">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e</w:t>
            </w:r>
            <w:r w:rsidR="00F75525" w:rsidRPr="00DB1ACE">
              <w:rPr>
                <w:rFonts w:asciiTheme="minorHAnsi" w:hAnsiTheme="minorHAnsi" w:cstheme="minorHAnsi"/>
                <w:b/>
                <w:bCs/>
                <w:color w:val="000000"/>
                <w:sz w:val="20"/>
                <w:szCs w:val="20"/>
              </w:rPr>
              <w:t>piphytes</w:t>
            </w:r>
          </w:p>
        </w:tc>
        <w:tc>
          <w:tcPr>
            <w:tcW w:w="469" w:type="dxa"/>
            <w:shd w:val="clear" w:color="auto" w:fill="BBE0E3"/>
            <w:textDirection w:val="btLr"/>
          </w:tcPr>
          <w:p w14:paraId="0693B3A8" w14:textId="339243C3" w:rsidR="00F75525" w:rsidRPr="00DB1ACE" w:rsidRDefault="00D562E2" w:rsidP="00F360EA">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F75525" w:rsidRPr="00DB1ACE">
              <w:rPr>
                <w:rFonts w:asciiTheme="minorHAnsi" w:hAnsiTheme="minorHAnsi" w:cstheme="minorHAnsi"/>
                <w:b/>
                <w:bCs/>
                <w:color w:val="000000"/>
                <w:sz w:val="20"/>
                <w:szCs w:val="20"/>
              </w:rPr>
              <w:t>acroalgae</w:t>
            </w:r>
          </w:p>
        </w:tc>
      </w:tr>
      <w:tr w:rsidR="00F360EA" w:rsidRPr="00DB1ACE" w14:paraId="623D6187" w14:textId="77777777" w:rsidTr="00F360EA">
        <w:trPr>
          <w:trHeight w:val="170"/>
          <w:jc w:val="center"/>
        </w:trPr>
        <w:tc>
          <w:tcPr>
            <w:tcW w:w="1762" w:type="dxa"/>
            <w:vMerge w:val="restart"/>
            <w:shd w:val="clear" w:color="auto" w:fill="E7F3F4"/>
            <w:vAlign w:val="center"/>
          </w:tcPr>
          <w:p w14:paraId="58B73E1B"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estuary intertidal</w:t>
            </w:r>
          </w:p>
        </w:tc>
        <w:tc>
          <w:tcPr>
            <w:tcW w:w="897" w:type="dxa"/>
            <w:shd w:val="clear" w:color="auto" w:fill="E7F3F4"/>
            <w:noWrap/>
            <w:vAlign w:val="center"/>
          </w:tcPr>
          <w:p w14:paraId="08D6715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SI1</w:t>
            </w:r>
          </w:p>
        </w:tc>
        <w:tc>
          <w:tcPr>
            <w:tcW w:w="1634" w:type="dxa"/>
            <w:shd w:val="clear" w:color="auto" w:fill="E7F3F4"/>
            <w:noWrap/>
            <w:vAlign w:val="center"/>
          </w:tcPr>
          <w:p w14:paraId="25C70726"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Sarina Inlet</w:t>
            </w:r>
          </w:p>
        </w:tc>
        <w:tc>
          <w:tcPr>
            <w:tcW w:w="468" w:type="dxa"/>
            <w:shd w:val="clear" w:color="auto" w:fill="E7F3F4"/>
            <w:vAlign w:val="center"/>
          </w:tcPr>
          <w:p w14:paraId="5F6A0FE6"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02F0D54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6C31EB43"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521B6293"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7FA18E4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73DBEA5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56BA26C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3E6EA764"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E7F3F4"/>
            <w:vAlign w:val="center"/>
          </w:tcPr>
          <w:p w14:paraId="36186DE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6DD50BC1" w14:textId="77777777" w:rsidTr="00F360EA">
        <w:trPr>
          <w:trHeight w:val="170"/>
          <w:jc w:val="center"/>
        </w:trPr>
        <w:tc>
          <w:tcPr>
            <w:tcW w:w="1762" w:type="dxa"/>
            <w:vMerge/>
            <w:shd w:val="clear" w:color="auto" w:fill="E7F3F4"/>
            <w:vAlign w:val="center"/>
          </w:tcPr>
          <w:p w14:paraId="67D368BC"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897" w:type="dxa"/>
            <w:shd w:val="clear" w:color="auto" w:fill="E7F3F4"/>
            <w:noWrap/>
            <w:vAlign w:val="center"/>
          </w:tcPr>
          <w:p w14:paraId="3465D554" w14:textId="77777777" w:rsidR="00F75525" w:rsidRPr="00DB1ACE" w:rsidRDefault="00F75525" w:rsidP="00F360EA">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SI2</w:t>
            </w:r>
          </w:p>
        </w:tc>
        <w:tc>
          <w:tcPr>
            <w:tcW w:w="1634" w:type="dxa"/>
            <w:shd w:val="clear" w:color="auto" w:fill="E7F3F4"/>
            <w:noWrap/>
            <w:vAlign w:val="center"/>
          </w:tcPr>
          <w:p w14:paraId="41B5D9F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Sarina Inlet</w:t>
            </w:r>
          </w:p>
        </w:tc>
        <w:tc>
          <w:tcPr>
            <w:tcW w:w="468" w:type="dxa"/>
            <w:shd w:val="clear" w:color="auto" w:fill="E7F3F4"/>
            <w:vAlign w:val="center"/>
          </w:tcPr>
          <w:p w14:paraId="7877F2DB"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CACADC0"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779271B1"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4820966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537A8A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634D7BA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E8CF0C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6FFF11C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E7F3F4"/>
            <w:vAlign w:val="center"/>
          </w:tcPr>
          <w:p w14:paraId="275B1F8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2830CBEA" w14:textId="77777777" w:rsidTr="00F360EA">
        <w:trPr>
          <w:trHeight w:val="170"/>
          <w:jc w:val="center"/>
        </w:trPr>
        <w:tc>
          <w:tcPr>
            <w:tcW w:w="1762" w:type="dxa"/>
            <w:vMerge w:val="restart"/>
            <w:shd w:val="clear" w:color="auto" w:fill="F3F9FA"/>
            <w:vAlign w:val="center"/>
          </w:tcPr>
          <w:p w14:paraId="2130CE2C"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intertidal</w:t>
            </w:r>
          </w:p>
        </w:tc>
        <w:tc>
          <w:tcPr>
            <w:tcW w:w="897" w:type="dxa"/>
            <w:shd w:val="clear" w:color="auto" w:fill="F3F9FA"/>
            <w:noWrap/>
            <w:vAlign w:val="center"/>
          </w:tcPr>
          <w:p w14:paraId="6862268E"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MP2</w:t>
            </w:r>
          </w:p>
        </w:tc>
        <w:tc>
          <w:tcPr>
            <w:tcW w:w="1634" w:type="dxa"/>
            <w:shd w:val="clear" w:color="auto" w:fill="F3F9FA"/>
            <w:noWrap/>
            <w:vAlign w:val="center"/>
          </w:tcPr>
          <w:p w14:paraId="186DF4BF"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Midge Point</w:t>
            </w:r>
          </w:p>
        </w:tc>
        <w:tc>
          <w:tcPr>
            <w:tcW w:w="468" w:type="dxa"/>
            <w:shd w:val="clear" w:color="auto" w:fill="F3F9FA"/>
            <w:vAlign w:val="center"/>
          </w:tcPr>
          <w:p w14:paraId="4D531116"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6C360B2"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0614F21"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0255CE4"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4693746"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37A44DC"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4B07846"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102F2CA"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292915A9"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18734036" w14:textId="77777777" w:rsidTr="00F360EA">
        <w:trPr>
          <w:trHeight w:val="170"/>
          <w:jc w:val="center"/>
        </w:trPr>
        <w:tc>
          <w:tcPr>
            <w:tcW w:w="1762" w:type="dxa"/>
            <w:vMerge/>
            <w:shd w:val="clear" w:color="auto" w:fill="F3F9FA"/>
            <w:vAlign w:val="center"/>
          </w:tcPr>
          <w:p w14:paraId="730B897A"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1CA5F360"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MP3</w:t>
            </w:r>
          </w:p>
        </w:tc>
        <w:tc>
          <w:tcPr>
            <w:tcW w:w="1634" w:type="dxa"/>
            <w:shd w:val="clear" w:color="auto" w:fill="F3F9FA"/>
            <w:noWrap/>
            <w:vAlign w:val="center"/>
          </w:tcPr>
          <w:p w14:paraId="25766CA3" w14:textId="77777777" w:rsidR="00D562E2" w:rsidRPr="00D562E2"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Midge Point</w:t>
            </w:r>
          </w:p>
        </w:tc>
        <w:tc>
          <w:tcPr>
            <w:tcW w:w="468" w:type="dxa"/>
            <w:shd w:val="clear" w:color="auto" w:fill="F3F9FA"/>
            <w:vAlign w:val="center"/>
          </w:tcPr>
          <w:p w14:paraId="4B327CFC"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6AF1AC3B"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46947B9"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65F15A73"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7727CA3C"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C86658B"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AF2682D"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209368A8"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5222B47F"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78B79F61" w14:textId="77777777" w:rsidTr="00F360EA">
        <w:trPr>
          <w:trHeight w:val="170"/>
          <w:jc w:val="center"/>
        </w:trPr>
        <w:tc>
          <w:tcPr>
            <w:tcW w:w="1762" w:type="dxa"/>
            <w:vMerge/>
            <w:shd w:val="clear" w:color="auto" w:fill="F3F9FA"/>
            <w:vAlign w:val="center"/>
          </w:tcPr>
          <w:p w14:paraId="18730374"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0F583696" w14:textId="0E73C98F"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PI2*</w:t>
            </w:r>
          </w:p>
        </w:tc>
        <w:tc>
          <w:tcPr>
            <w:tcW w:w="1634" w:type="dxa"/>
            <w:shd w:val="clear" w:color="auto" w:fill="F3F9FA"/>
            <w:noWrap/>
            <w:vAlign w:val="center"/>
          </w:tcPr>
          <w:p w14:paraId="4632C9DF"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Pioneer Bay</w:t>
            </w:r>
          </w:p>
        </w:tc>
        <w:tc>
          <w:tcPr>
            <w:tcW w:w="468" w:type="dxa"/>
            <w:shd w:val="clear" w:color="auto" w:fill="F3F9FA"/>
            <w:vAlign w:val="center"/>
          </w:tcPr>
          <w:p w14:paraId="25773E63"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6AA135A7"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59431C4"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61460DD5"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578D9838"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6E156F23"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75586E7"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725290E"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27A4CF76"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3CFF1E1D" w14:textId="77777777" w:rsidTr="00F360EA">
        <w:trPr>
          <w:trHeight w:val="170"/>
          <w:jc w:val="center"/>
        </w:trPr>
        <w:tc>
          <w:tcPr>
            <w:tcW w:w="1762" w:type="dxa"/>
            <w:vMerge/>
            <w:shd w:val="clear" w:color="auto" w:fill="F3F9FA"/>
            <w:vAlign w:val="center"/>
          </w:tcPr>
          <w:p w14:paraId="376A5150"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04BE3452" w14:textId="0B08272E"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PI3*</w:t>
            </w:r>
          </w:p>
        </w:tc>
        <w:tc>
          <w:tcPr>
            <w:tcW w:w="1634" w:type="dxa"/>
            <w:shd w:val="clear" w:color="auto" w:fill="F3F9FA"/>
            <w:noWrap/>
            <w:vAlign w:val="center"/>
          </w:tcPr>
          <w:p w14:paraId="0FE9E17E" w14:textId="77777777" w:rsidR="00D562E2" w:rsidRPr="00D562E2"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Pioneer Bay</w:t>
            </w:r>
          </w:p>
        </w:tc>
        <w:tc>
          <w:tcPr>
            <w:tcW w:w="468" w:type="dxa"/>
            <w:shd w:val="clear" w:color="auto" w:fill="F3F9FA"/>
            <w:vAlign w:val="center"/>
          </w:tcPr>
          <w:p w14:paraId="1A7C5EFD"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054DCF0"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2ACB289"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764A1951"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13BA39AE"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6A43886C"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3BD58AA0"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A33EB7A"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04DD6883" w14:textId="7777777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21A95A0E" w14:textId="77777777" w:rsidTr="00F360EA">
        <w:trPr>
          <w:trHeight w:val="170"/>
          <w:jc w:val="center"/>
        </w:trPr>
        <w:tc>
          <w:tcPr>
            <w:tcW w:w="1762" w:type="dxa"/>
            <w:vMerge/>
            <w:shd w:val="clear" w:color="auto" w:fill="F3F9FA"/>
            <w:vAlign w:val="center"/>
          </w:tcPr>
          <w:p w14:paraId="6BC53BC8"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08934864" w14:textId="02EF05B3"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SH1*</w:t>
            </w:r>
          </w:p>
        </w:tc>
        <w:tc>
          <w:tcPr>
            <w:tcW w:w="1634" w:type="dxa"/>
            <w:shd w:val="clear" w:color="auto" w:fill="F3F9FA"/>
            <w:noWrap/>
            <w:vAlign w:val="center"/>
          </w:tcPr>
          <w:p w14:paraId="154CEAFD" w14:textId="36D30C4B"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St Helens</w:t>
            </w:r>
          </w:p>
        </w:tc>
        <w:tc>
          <w:tcPr>
            <w:tcW w:w="468" w:type="dxa"/>
            <w:shd w:val="clear" w:color="auto" w:fill="F3F9FA"/>
            <w:vAlign w:val="center"/>
          </w:tcPr>
          <w:p w14:paraId="42DFAA67" w14:textId="0D5F1DC0"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998F7A1" w14:textId="15050633"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C609689"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07BBE57"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6641EEC3" w14:textId="7CCB95E2"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A71A2E8"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4835F9E" w14:textId="29420A9F"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7EF81938" w14:textId="659E31A1"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0EEC7DF8" w14:textId="00E2CC5A"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1B990D98" w14:textId="77777777" w:rsidTr="00F360EA">
        <w:trPr>
          <w:trHeight w:val="170"/>
          <w:jc w:val="center"/>
        </w:trPr>
        <w:tc>
          <w:tcPr>
            <w:tcW w:w="1762" w:type="dxa"/>
            <w:vMerge/>
            <w:shd w:val="clear" w:color="auto" w:fill="F3F9FA"/>
            <w:vAlign w:val="center"/>
          </w:tcPr>
          <w:p w14:paraId="78F07F15"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3D484B14" w14:textId="0CC80548"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CV1</w:t>
            </w:r>
            <w:r w:rsidRPr="00DB1ACE">
              <w:rPr>
                <w:rFonts w:asciiTheme="minorHAnsi" w:hAnsiTheme="minorHAnsi" w:cstheme="minorHAnsi"/>
                <w:color w:val="000000"/>
                <w:sz w:val="20"/>
                <w:szCs w:val="20"/>
              </w:rPr>
              <w:t>*</w:t>
            </w:r>
          </w:p>
        </w:tc>
        <w:tc>
          <w:tcPr>
            <w:tcW w:w="1634" w:type="dxa"/>
            <w:shd w:val="clear" w:color="auto" w:fill="F3F9FA"/>
            <w:noWrap/>
            <w:vAlign w:val="center"/>
          </w:tcPr>
          <w:p w14:paraId="19752140" w14:textId="0C72E6BB"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Clairview</w:t>
            </w:r>
          </w:p>
        </w:tc>
        <w:tc>
          <w:tcPr>
            <w:tcW w:w="468" w:type="dxa"/>
            <w:shd w:val="clear" w:color="auto" w:fill="F3F9FA"/>
            <w:vAlign w:val="center"/>
          </w:tcPr>
          <w:p w14:paraId="3D8945B4" w14:textId="4835351A"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643DFBC" w14:textId="3C4303E2"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4EB04DE"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7267CC2"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2A8CFC97" w14:textId="71F8BBFB"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7DC2E5B9"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38F3E53D" w14:textId="6E5085F1"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7FAE38E3" w14:textId="222F4ED6"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59C95399" w14:textId="0BF02AF5"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562E2" w14:paraId="600C1247" w14:textId="77777777" w:rsidTr="00F360EA">
        <w:trPr>
          <w:trHeight w:val="170"/>
          <w:jc w:val="center"/>
        </w:trPr>
        <w:tc>
          <w:tcPr>
            <w:tcW w:w="1762" w:type="dxa"/>
            <w:vMerge/>
            <w:shd w:val="clear" w:color="auto" w:fill="F3F9FA"/>
            <w:vAlign w:val="center"/>
          </w:tcPr>
          <w:p w14:paraId="59AB411B"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19ED8E30" w14:textId="2C320C26"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CV2</w:t>
            </w:r>
            <w:r w:rsidRPr="00DB1ACE">
              <w:rPr>
                <w:rFonts w:asciiTheme="minorHAnsi" w:hAnsiTheme="minorHAnsi" w:cstheme="minorHAnsi"/>
                <w:color w:val="000000"/>
                <w:sz w:val="20"/>
                <w:szCs w:val="20"/>
              </w:rPr>
              <w:t>*</w:t>
            </w:r>
          </w:p>
        </w:tc>
        <w:tc>
          <w:tcPr>
            <w:tcW w:w="1634" w:type="dxa"/>
            <w:shd w:val="clear" w:color="auto" w:fill="F3F9FA"/>
            <w:noWrap/>
            <w:vAlign w:val="center"/>
          </w:tcPr>
          <w:p w14:paraId="4974980F" w14:textId="0DC84F5B" w:rsidR="00D562E2" w:rsidRPr="00DB1ACE" w:rsidRDefault="00D562E2" w:rsidP="00F360EA">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Clairview</w:t>
            </w:r>
          </w:p>
        </w:tc>
        <w:tc>
          <w:tcPr>
            <w:tcW w:w="468" w:type="dxa"/>
            <w:shd w:val="clear" w:color="auto" w:fill="F3F9FA"/>
            <w:vAlign w:val="center"/>
          </w:tcPr>
          <w:p w14:paraId="18FA6260" w14:textId="23DF3417"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89CB811" w14:textId="44DE24BB"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F4E510D"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A881047"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60E5423E" w14:textId="1933F3A0"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62B252E" w14:textId="77777777" w:rsidR="00D562E2" w:rsidRPr="00DB1ACE" w:rsidRDefault="00D562E2"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503E3BB0" w14:textId="791604DB"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7E84B0F1" w14:textId="5CC54D8D"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4384FDDE" w14:textId="183D0E24" w:rsidR="00D562E2" w:rsidRPr="00DB1ACE" w:rsidRDefault="00D562E2"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21DC7D74" w14:textId="77777777" w:rsidTr="00F360EA">
        <w:trPr>
          <w:trHeight w:val="170"/>
          <w:jc w:val="center"/>
        </w:trPr>
        <w:tc>
          <w:tcPr>
            <w:tcW w:w="1762" w:type="dxa"/>
            <w:vMerge w:val="restart"/>
            <w:shd w:val="clear" w:color="auto" w:fill="E7F3F4"/>
            <w:vAlign w:val="center"/>
          </w:tcPr>
          <w:p w14:paraId="2233250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subtidal</w:t>
            </w:r>
          </w:p>
        </w:tc>
        <w:tc>
          <w:tcPr>
            <w:tcW w:w="897" w:type="dxa"/>
            <w:shd w:val="clear" w:color="auto" w:fill="E7F3F4"/>
            <w:noWrap/>
            <w:vAlign w:val="center"/>
          </w:tcPr>
          <w:p w14:paraId="1F20B6B1" w14:textId="4545F98E"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NB1</w:t>
            </w:r>
            <w:r w:rsidR="00C76C36" w:rsidRPr="00DB1ACE">
              <w:rPr>
                <w:rFonts w:asciiTheme="minorHAnsi" w:hAnsiTheme="minorHAnsi" w:cstheme="minorHAnsi"/>
                <w:color w:val="000000"/>
                <w:sz w:val="20"/>
                <w:szCs w:val="20"/>
                <w:vertAlign w:val="superscript"/>
              </w:rPr>
              <w:sym w:font="Wingdings 2" w:char="F085"/>
            </w:r>
          </w:p>
        </w:tc>
        <w:tc>
          <w:tcPr>
            <w:tcW w:w="1634" w:type="dxa"/>
            <w:shd w:val="clear" w:color="auto" w:fill="E7F3F4"/>
            <w:noWrap/>
            <w:vAlign w:val="center"/>
          </w:tcPr>
          <w:p w14:paraId="450D77C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Newry Bay</w:t>
            </w:r>
          </w:p>
        </w:tc>
        <w:tc>
          <w:tcPr>
            <w:tcW w:w="468" w:type="dxa"/>
            <w:shd w:val="clear" w:color="auto" w:fill="E7F3F4"/>
            <w:vAlign w:val="center"/>
          </w:tcPr>
          <w:p w14:paraId="30B8A7BE"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3708026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49523111"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713143B9"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09FFF54A"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3B71CCB5"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17C717C5"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4BE79624"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9" w:type="dxa"/>
            <w:shd w:val="clear" w:color="auto" w:fill="E7F3F4"/>
            <w:vAlign w:val="center"/>
          </w:tcPr>
          <w:p w14:paraId="0E77B80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47EA4D72" w14:textId="77777777" w:rsidTr="00F360EA">
        <w:trPr>
          <w:trHeight w:val="170"/>
          <w:jc w:val="center"/>
        </w:trPr>
        <w:tc>
          <w:tcPr>
            <w:tcW w:w="1762" w:type="dxa"/>
            <w:vMerge/>
            <w:shd w:val="clear" w:color="auto" w:fill="E7F3F4"/>
            <w:vAlign w:val="center"/>
          </w:tcPr>
          <w:p w14:paraId="22C57D7F"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897" w:type="dxa"/>
            <w:shd w:val="clear" w:color="auto" w:fill="E7F3F4"/>
            <w:noWrap/>
            <w:vAlign w:val="center"/>
          </w:tcPr>
          <w:p w14:paraId="0D6C2703" w14:textId="77EFEE36"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NB2</w:t>
            </w:r>
            <w:r w:rsidR="00C76C36" w:rsidRPr="00DB1ACE">
              <w:rPr>
                <w:rFonts w:asciiTheme="minorHAnsi" w:hAnsiTheme="minorHAnsi" w:cstheme="minorHAnsi"/>
                <w:color w:val="000000"/>
                <w:sz w:val="20"/>
                <w:szCs w:val="20"/>
                <w:vertAlign w:val="superscript"/>
              </w:rPr>
              <w:sym w:font="Wingdings 2" w:char="F085"/>
            </w:r>
          </w:p>
        </w:tc>
        <w:tc>
          <w:tcPr>
            <w:tcW w:w="1634" w:type="dxa"/>
            <w:shd w:val="clear" w:color="auto" w:fill="E7F3F4"/>
            <w:noWrap/>
            <w:vAlign w:val="center"/>
          </w:tcPr>
          <w:p w14:paraId="0921689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Newry Bay</w:t>
            </w:r>
          </w:p>
        </w:tc>
        <w:tc>
          <w:tcPr>
            <w:tcW w:w="468" w:type="dxa"/>
            <w:shd w:val="clear" w:color="auto" w:fill="E7F3F4"/>
            <w:vAlign w:val="center"/>
          </w:tcPr>
          <w:p w14:paraId="61B571A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08D5A12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069449AF"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01DB835D"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5D4B3085"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28913ED4"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672413B2"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6E1474D8"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9" w:type="dxa"/>
            <w:shd w:val="clear" w:color="auto" w:fill="E7F3F4"/>
            <w:vAlign w:val="center"/>
          </w:tcPr>
          <w:p w14:paraId="21D372D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0146DB7D" w14:textId="77777777" w:rsidTr="00F360EA">
        <w:trPr>
          <w:trHeight w:val="170"/>
          <w:jc w:val="center"/>
        </w:trPr>
        <w:tc>
          <w:tcPr>
            <w:tcW w:w="1762" w:type="dxa"/>
            <w:vMerge w:val="restart"/>
            <w:shd w:val="clear" w:color="auto" w:fill="F3F9FA"/>
            <w:vAlign w:val="center"/>
          </w:tcPr>
          <w:p w14:paraId="02A9DAF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intertidal</w:t>
            </w:r>
          </w:p>
        </w:tc>
        <w:tc>
          <w:tcPr>
            <w:tcW w:w="897" w:type="dxa"/>
            <w:shd w:val="clear" w:color="auto" w:fill="F3F9FA"/>
            <w:noWrap/>
            <w:vAlign w:val="center"/>
          </w:tcPr>
          <w:p w14:paraId="49430E2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HM1</w:t>
            </w:r>
          </w:p>
        </w:tc>
        <w:tc>
          <w:tcPr>
            <w:tcW w:w="1634" w:type="dxa"/>
            <w:shd w:val="clear" w:color="auto" w:fill="F3F9FA"/>
            <w:noWrap/>
            <w:vAlign w:val="center"/>
          </w:tcPr>
          <w:p w14:paraId="2C83AE44"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Hamilton Island</w:t>
            </w:r>
          </w:p>
        </w:tc>
        <w:tc>
          <w:tcPr>
            <w:tcW w:w="468" w:type="dxa"/>
            <w:shd w:val="clear" w:color="auto" w:fill="F3F9FA"/>
            <w:vAlign w:val="center"/>
          </w:tcPr>
          <w:p w14:paraId="52C12FFB"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85AA2B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28226F2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C0FD981"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71800A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EDD075E"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07063A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2AD15CE"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452A4286"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432139AA" w14:textId="77777777" w:rsidTr="00F360EA">
        <w:trPr>
          <w:trHeight w:val="170"/>
          <w:jc w:val="center"/>
        </w:trPr>
        <w:tc>
          <w:tcPr>
            <w:tcW w:w="1762" w:type="dxa"/>
            <w:vMerge/>
            <w:shd w:val="clear" w:color="auto" w:fill="F3F9FA"/>
            <w:vAlign w:val="center"/>
          </w:tcPr>
          <w:p w14:paraId="165EF57F"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53FCCD9F"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HM2</w:t>
            </w:r>
          </w:p>
        </w:tc>
        <w:tc>
          <w:tcPr>
            <w:tcW w:w="1634" w:type="dxa"/>
            <w:shd w:val="clear" w:color="auto" w:fill="F3F9FA"/>
            <w:noWrap/>
            <w:vAlign w:val="center"/>
          </w:tcPr>
          <w:p w14:paraId="246932DB" w14:textId="77777777" w:rsidR="00F75525" w:rsidRPr="00DB1ACE" w:rsidRDefault="00F75525" w:rsidP="00F360EA">
            <w:pPr>
              <w:spacing w:before="0" w:after="0"/>
              <w:jc w:val="center"/>
              <w:rPr>
                <w:rFonts w:asciiTheme="minorHAnsi" w:hAnsiTheme="minorHAnsi" w:cstheme="minorHAnsi"/>
                <w:i/>
                <w:color w:val="000000"/>
                <w:sz w:val="20"/>
                <w:szCs w:val="20"/>
              </w:rPr>
            </w:pPr>
            <w:r w:rsidRPr="00DB1ACE">
              <w:rPr>
                <w:rFonts w:asciiTheme="minorHAnsi" w:hAnsiTheme="minorHAnsi" w:cstheme="minorHAnsi"/>
                <w:color w:val="000000"/>
                <w:sz w:val="20"/>
                <w:szCs w:val="20"/>
              </w:rPr>
              <w:t>Hamilton Island</w:t>
            </w:r>
          </w:p>
        </w:tc>
        <w:tc>
          <w:tcPr>
            <w:tcW w:w="468" w:type="dxa"/>
            <w:shd w:val="clear" w:color="auto" w:fill="F3F9FA"/>
            <w:vAlign w:val="center"/>
          </w:tcPr>
          <w:p w14:paraId="72D0AE8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AC39ED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4DB1BAC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6575D3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0A05A5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2B7183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3528066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B8AD896"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78A3E8A7"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3E6105A1" w14:textId="77777777" w:rsidTr="00F360EA">
        <w:trPr>
          <w:trHeight w:val="170"/>
          <w:jc w:val="center"/>
        </w:trPr>
        <w:tc>
          <w:tcPr>
            <w:tcW w:w="1762" w:type="dxa"/>
            <w:vMerge/>
            <w:shd w:val="clear" w:color="auto" w:fill="F3F9FA"/>
            <w:vAlign w:val="center"/>
          </w:tcPr>
          <w:p w14:paraId="6CAE1748"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6DC00DE7" w14:textId="330A4373"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HB1</w:t>
            </w:r>
            <w:r w:rsidR="00C76C36" w:rsidRPr="00DB1ACE">
              <w:rPr>
                <w:rFonts w:asciiTheme="minorHAnsi" w:hAnsiTheme="minorHAnsi" w:cstheme="minorHAnsi"/>
                <w:color w:val="000000"/>
                <w:sz w:val="20"/>
                <w:szCs w:val="20"/>
              </w:rPr>
              <w:t>*</w:t>
            </w:r>
          </w:p>
        </w:tc>
        <w:tc>
          <w:tcPr>
            <w:tcW w:w="1634" w:type="dxa"/>
            <w:shd w:val="clear" w:color="auto" w:fill="F3F9FA"/>
            <w:noWrap/>
            <w:vAlign w:val="center"/>
          </w:tcPr>
          <w:p w14:paraId="7BE254B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Hydeaway Bay</w:t>
            </w:r>
          </w:p>
        </w:tc>
        <w:tc>
          <w:tcPr>
            <w:tcW w:w="468" w:type="dxa"/>
            <w:shd w:val="clear" w:color="auto" w:fill="F3F9FA"/>
            <w:vAlign w:val="center"/>
          </w:tcPr>
          <w:p w14:paraId="34D91626"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7337AA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CF56A7A"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E02B64B"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59182B45"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0F40CF9C"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469497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6346A7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73E54A51"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69195C82" w14:textId="77777777" w:rsidTr="00F360EA">
        <w:trPr>
          <w:trHeight w:val="170"/>
          <w:jc w:val="center"/>
        </w:trPr>
        <w:tc>
          <w:tcPr>
            <w:tcW w:w="1762" w:type="dxa"/>
            <w:vMerge/>
            <w:shd w:val="clear" w:color="auto" w:fill="F3F9FA"/>
            <w:vAlign w:val="center"/>
          </w:tcPr>
          <w:p w14:paraId="2B21C33D"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897" w:type="dxa"/>
            <w:shd w:val="clear" w:color="auto" w:fill="F3F9FA"/>
            <w:noWrap/>
            <w:vAlign w:val="center"/>
          </w:tcPr>
          <w:p w14:paraId="494BB528" w14:textId="2BCA643A"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HB2</w:t>
            </w:r>
            <w:r w:rsidR="00C76C36" w:rsidRPr="00DB1ACE">
              <w:rPr>
                <w:rFonts w:asciiTheme="minorHAnsi" w:hAnsiTheme="minorHAnsi" w:cstheme="minorHAnsi"/>
                <w:color w:val="000000"/>
                <w:sz w:val="20"/>
                <w:szCs w:val="20"/>
              </w:rPr>
              <w:t>*</w:t>
            </w:r>
          </w:p>
        </w:tc>
        <w:tc>
          <w:tcPr>
            <w:tcW w:w="1634" w:type="dxa"/>
            <w:shd w:val="clear" w:color="auto" w:fill="F3F9FA"/>
            <w:noWrap/>
            <w:vAlign w:val="center"/>
          </w:tcPr>
          <w:p w14:paraId="787189A2"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Hydeaway Bay</w:t>
            </w:r>
          </w:p>
        </w:tc>
        <w:tc>
          <w:tcPr>
            <w:tcW w:w="468" w:type="dxa"/>
            <w:shd w:val="clear" w:color="auto" w:fill="F3F9FA"/>
            <w:vAlign w:val="center"/>
          </w:tcPr>
          <w:p w14:paraId="36B9FE58"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85F3E6D"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18EAA7E1"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7D3712C4"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44D7D39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26DD9217" w14:textId="77777777" w:rsidR="00F75525" w:rsidRPr="00DB1ACE" w:rsidRDefault="00F75525" w:rsidP="00F360EA">
            <w:pPr>
              <w:spacing w:before="0" w:after="0"/>
              <w:jc w:val="center"/>
              <w:rPr>
                <w:rFonts w:asciiTheme="minorHAnsi" w:hAnsiTheme="minorHAnsi" w:cstheme="minorHAnsi"/>
                <w:color w:val="000000"/>
                <w:sz w:val="20"/>
                <w:szCs w:val="20"/>
              </w:rPr>
            </w:pPr>
          </w:p>
        </w:tc>
        <w:tc>
          <w:tcPr>
            <w:tcW w:w="468" w:type="dxa"/>
            <w:shd w:val="clear" w:color="auto" w:fill="F3F9FA"/>
            <w:vAlign w:val="center"/>
          </w:tcPr>
          <w:p w14:paraId="1D3A3959"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F3F9FA"/>
            <w:vAlign w:val="center"/>
          </w:tcPr>
          <w:p w14:paraId="5DB6DFA0"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F3F9FA"/>
            <w:vAlign w:val="center"/>
          </w:tcPr>
          <w:p w14:paraId="4BADE43A" w14:textId="77777777" w:rsidR="00F75525" w:rsidRPr="00DB1ACE" w:rsidRDefault="00F75525"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7BD6DD83" w14:textId="77777777" w:rsidTr="00F360EA">
        <w:trPr>
          <w:trHeight w:val="170"/>
          <w:jc w:val="center"/>
        </w:trPr>
        <w:tc>
          <w:tcPr>
            <w:tcW w:w="1762" w:type="dxa"/>
            <w:vMerge w:val="restart"/>
            <w:shd w:val="clear" w:color="auto" w:fill="E7F3F4"/>
            <w:vAlign w:val="center"/>
          </w:tcPr>
          <w:p w14:paraId="10C12DF3" w14:textId="7482A43D"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subtidal</w:t>
            </w:r>
          </w:p>
        </w:tc>
        <w:tc>
          <w:tcPr>
            <w:tcW w:w="897" w:type="dxa"/>
            <w:shd w:val="clear" w:color="auto" w:fill="E7F3F4"/>
            <w:noWrap/>
            <w:vAlign w:val="center"/>
          </w:tcPr>
          <w:p w14:paraId="5E0C89B5" w14:textId="676EC451"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LN1</w:t>
            </w:r>
          </w:p>
        </w:tc>
        <w:tc>
          <w:tcPr>
            <w:tcW w:w="1634" w:type="dxa"/>
            <w:shd w:val="clear" w:color="auto" w:fill="E7F3F4"/>
            <w:noWrap/>
            <w:vAlign w:val="center"/>
          </w:tcPr>
          <w:p w14:paraId="220BDB11" w14:textId="02787851"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Lindeman Is</w:t>
            </w:r>
          </w:p>
        </w:tc>
        <w:tc>
          <w:tcPr>
            <w:tcW w:w="468" w:type="dxa"/>
            <w:shd w:val="clear" w:color="auto" w:fill="E7F3F4"/>
            <w:vAlign w:val="center"/>
          </w:tcPr>
          <w:p w14:paraId="3BDFEDBF" w14:textId="14AEC4A6"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18B098AC" w14:textId="0FBAD439"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49DDC19F" w14:textId="0D6C3FDD"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5B59C102" w14:textId="0CDABAC2"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1D4E582C" w14:textId="3E3B642B"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61995FC8" w14:textId="077E883C"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53FC66A7" w14:textId="1C3D2BA2"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14FAFD32" w14:textId="71BFA46A"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E7F3F4"/>
            <w:vAlign w:val="center"/>
          </w:tcPr>
          <w:p w14:paraId="7BD0298C" w14:textId="60136A0C"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566E7AED" w14:textId="77777777" w:rsidTr="00F360EA">
        <w:trPr>
          <w:trHeight w:val="170"/>
          <w:jc w:val="center"/>
        </w:trPr>
        <w:tc>
          <w:tcPr>
            <w:tcW w:w="1762" w:type="dxa"/>
            <w:vMerge/>
            <w:shd w:val="clear" w:color="auto" w:fill="E7F3F4"/>
            <w:vAlign w:val="center"/>
          </w:tcPr>
          <w:p w14:paraId="7CFCDBF4" w14:textId="5EDA3726" w:rsidR="00D01B5B" w:rsidRPr="00DB1ACE" w:rsidRDefault="00D01B5B" w:rsidP="00F360EA">
            <w:pPr>
              <w:spacing w:before="0" w:after="0"/>
              <w:jc w:val="center"/>
              <w:rPr>
                <w:rFonts w:asciiTheme="minorHAnsi" w:hAnsiTheme="minorHAnsi" w:cstheme="minorHAnsi"/>
                <w:color w:val="000000"/>
                <w:sz w:val="20"/>
                <w:szCs w:val="20"/>
              </w:rPr>
            </w:pPr>
          </w:p>
        </w:tc>
        <w:tc>
          <w:tcPr>
            <w:tcW w:w="897" w:type="dxa"/>
            <w:shd w:val="clear" w:color="auto" w:fill="E7F3F4"/>
            <w:noWrap/>
            <w:vAlign w:val="center"/>
          </w:tcPr>
          <w:p w14:paraId="0B8F191A" w14:textId="1F6E38AF"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LN2</w:t>
            </w:r>
          </w:p>
        </w:tc>
        <w:tc>
          <w:tcPr>
            <w:tcW w:w="1634" w:type="dxa"/>
            <w:shd w:val="clear" w:color="auto" w:fill="E7F3F4"/>
            <w:noWrap/>
            <w:vAlign w:val="center"/>
          </w:tcPr>
          <w:p w14:paraId="0BC2BEDC" w14:textId="374F6B02"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Lindeman Is</w:t>
            </w:r>
          </w:p>
        </w:tc>
        <w:tc>
          <w:tcPr>
            <w:tcW w:w="468" w:type="dxa"/>
            <w:shd w:val="clear" w:color="auto" w:fill="E7F3F4"/>
            <w:vAlign w:val="center"/>
          </w:tcPr>
          <w:p w14:paraId="4920AB2E" w14:textId="4204E6FE"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0553D277" w14:textId="511E757D"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7BBDCF08" w14:textId="188E26BC"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3BBC61C3" w14:textId="2070CA79"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44FF596B" w14:textId="22144512"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13164713" w14:textId="7EAA9775"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58B15847" w14:textId="71814E20"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694745C" w14:textId="089F0DC0"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9" w:type="dxa"/>
            <w:shd w:val="clear" w:color="auto" w:fill="E7F3F4"/>
            <w:vAlign w:val="center"/>
          </w:tcPr>
          <w:p w14:paraId="2840BBB9" w14:textId="58DF366C"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0A3D4798" w14:textId="77777777" w:rsidTr="00F360EA">
        <w:trPr>
          <w:trHeight w:val="170"/>
          <w:jc w:val="center"/>
        </w:trPr>
        <w:tc>
          <w:tcPr>
            <w:tcW w:w="1762" w:type="dxa"/>
            <w:vMerge/>
            <w:shd w:val="clear" w:color="auto" w:fill="E7F3F4"/>
            <w:vAlign w:val="center"/>
          </w:tcPr>
          <w:p w14:paraId="0CFEE675" w14:textId="26F7672E" w:rsidR="00D01B5B" w:rsidRPr="00DB1ACE" w:rsidRDefault="00D01B5B" w:rsidP="00F360EA">
            <w:pPr>
              <w:spacing w:before="0" w:after="0"/>
              <w:jc w:val="center"/>
              <w:rPr>
                <w:rFonts w:asciiTheme="minorHAnsi" w:hAnsiTheme="minorHAnsi" w:cstheme="minorHAnsi"/>
                <w:color w:val="000000"/>
                <w:sz w:val="20"/>
                <w:szCs w:val="20"/>
              </w:rPr>
            </w:pPr>
          </w:p>
        </w:tc>
        <w:tc>
          <w:tcPr>
            <w:tcW w:w="897" w:type="dxa"/>
            <w:shd w:val="clear" w:color="auto" w:fill="E7F3F4"/>
            <w:noWrap/>
            <w:vAlign w:val="center"/>
          </w:tcPr>
          <w:p w14:paraId="29DBDA51" w14:textId="4A92776A"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TO1</w:t>
            </w:r>
            <w:r w:rsidRPr="00DB1ACE">
              <w:rPr>
                <w:rFonts w:asciiTheme="minorHAnsi" w:hAnsiTheme="minorHAnsi" w:cstheme="minorHAnsi"/>
                <w:color w:val="000000"/>
                <w:sz w:val="20"/>
                <w:szCs w:val="20"/>
                <w:vertAlign w:val="superscript"/>
              </w:rPr>
              <w:sym w:font="Wingdings 2" w:char="F085"/>
            </w:r>
          </w:p>
        </w:tc>
        <w:tc>
          <w:tcPr>
            <w:tcW w:w="1634" w:type="dxa"/>
            <w:shd w:val="clear" w:color="auto" w:fill="E7F3F4"/>
            <w:noWrap/>
            <w:vAlign w:val="center"/>
          </w:tcPr>
          <w:p w14:paraId="725317A9"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Tongue Bay</w:t>
            </w:r>
          </w:p>
        </w:tc>
        <w:tc>
          <w:tcPr>
            <w:tcW w:w="468" w:type="dxa"/>
            <w:shd w:val="clear" w:color="auto" w:fill="E7F3F4"/>
            <w:vAlign w:val="center"/>
          </w:tcPr>
          <w:p w14:paraId="78BF9E1C"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6A2191C7"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4E27801"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1F2289BE"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0B0B0D87"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42129CCE"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5F165D7B"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780D1EEF"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9" w:type="dxa"/>
            <w:shd w:val="clear" w:color="auto" w:fill="E7F3F4"/>
            <w:vAlign w:val="center"/>
          </w:tcPr>
          <w:p w14:paraId="2A689C34"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F360EA" w:rsidRPr="00DB1ACE" w14:paraId="027A7322" w14:textId="77777777" w:rsidTr="00F360EA">
        <w:trPr>
          <w:trHeight w:val="170"/>
          <w:jc w:val="center"/>
        </w:trPr>
        <w:tc>
          <w:tcPr>
            <w:tcW w:w="1762" w:type="dxa"/>
            <w:vMerge/>
            <w:shd w:val="clear" w:color="auto" w:fill="E7F3F4"/>
            <w:vAlign w:val="center"/>
          </w:tcPr>
          <w:p w14:paraId="6BF03761"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897" w:type="dxa"/>
            <w:shd w:val="clear" w:color="auto" w:fill="E7F3F4"/>
            <w:noWrap/>
            <w:vAlign w:val="center"/>
          </w:tcPr>
          <w:p w14:paraId="79898809" w14:textId="6FFC09A0"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TO2</w:t>
            </w:r>
            <w:r w:rsidRPr="00DB1ACE">
              <w:rPr>
                <w:rFonts w:asciiTheme="minorHAnsi" w:hAnsiTheme="minorHAnsi" w:cstheme="minorHAnsi"/>
                <w:color w:val="000000"/>
                <w:sz w:val="20"/>
                <w:szCs w:val="20"/>
                <w:vertAlign w:val="superscript"/>
              </w:rPr>
              <w:sym w:font="Wingdings 2" w:char="F085"/>
            </w:r>
          </w:p>
        </w:tc>
        <w:tc>
          <w:tcPr>
            <w:tcW w:w="1634" w:type="dxa"/>
            <w:shd w:val="clear" w:color="auto" w:fill="E7F3F4"/>
            <w:noWrap/>
            <w:vAlign w:val="center"/>
          </w:tcPr>
          <w:p w14:paraId="2C34AE97" w14:textId="422EE61C"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Tongue Bay</w:t>
            </w:r>
          </w:p>
        </w:tc>
        <w:tc>
          <w:tcPr>
            <w:tcW w:w="468" w:type="dxa"/>
            <w:shd w:val="clear" w:color="auto" w:fill="E7F3F4"/>
            <w:vAlign w:val="center"/>
          </w:tcPr>
          <w:p w14:paraId="7C1AB14A"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27106D4E"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8" w:type="dxa"/>
            <w:shd w:val="clear" w:color="auto" w:fill="E7F3F4"/>
            <w:vAlign w:val="center"/>
          </w:tcPr>
          <w:p w14:paraId="3C3E01E8"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31DC0071"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6009BCC0"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709AF973"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0460999B"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8" w:type="dxa"/>
            <w:shd w:val="clear" w:color="auto" w:fill="E7F3F4"/>
            <w:vAlign w:val="center"/>
          </w:tcPr>
          <w:p w14:paraId="08F18749" w14:textId="77777777" w:rsidR="00D01B5B" w:rsidRPr="00DB1ACE" w:rsidRDefault="00D01B5B" w:rsidP="00F360EA">
            <w:pPr>
              <w:spacing w:before="0" w:after="0"/>
              <w:jc w:val="center"/>
              <w:rPr>
                <w:rFonts w:asciiTheme="minorHAnsi" w:hAnsiTheme="minorHAnsi" w:cstheme="minorHAnsi"/>
                <w:color w:val="000000"/>
                <w:sz w:val="20"/>
                <w:szCs w:val="20"/>
              </w:rPr>
            </w:pPr>
          </w:p>
        </w:tc>
        <w:tc>
          <w:tcPr>
            <w:tcW w:w="469" w:type="dxa"/>
            <w:shd w:val="clear" w:color="auto" w:fill="E7F3F4"/>
            <w:vAlign w:val="center"/>
          </w:tcPr>
          <w:p w14:paraId="34DFA2EF" w14:textId="77777777" w:rsidR="00D01B5B" w:rsidRPr="00DB1ACE" w:rsidRDefault="00D01B5B" w:rsidP="00F360EA">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bookmarkEnd w:id="494"/>
    </w:tbl>
    <w:p w14:paraId="1172730F" w14:textId="77777777" w:rsidR="002F1D37" w:rsidRPr="00D562E2" w:rsidRDefault="002F1D37" w:rsidP="008730D4">
      <w:pPr>
        <w:rPr>
          <w:rFonts w:cs="Arial"/>
          <w:szCs w:val="22"/>
        </w:rPr>
      </w:pPr>
    </w:p>
    <w:p w14:paraId="6B283739" w14:textId="2B8A899B" w:rsidR="002F1D37" w:rsidRPr="00D562E2" w:rsidRDefault="002F1D37" w:rsidP="00785606">
      <w:pPr>
        <w:pStyle w:val="Heading4"/>
      </w:pPr>
      <w:bookmarkStart w:id="498" w:name="_Toc37775097"/>
      <w:bookmarkStart w:id="499" w:name="_Toc43987072"/>
      <w:r w:rsidRPr="00D562E2">
        <w:t>Seagrass index and indicator scores</w:t>
      </w:r>
      <w:bookmarkEnd w:id="498"/>
      <w:bookmarkEnd w:id="499"/>
    </w:p>
    <w:p w14:paraId="760EE680" w14:textId="6C070C3B" w:rsidR="000661F3" w:rsidRPr="00D562E2" w:rsidRDefault="00C30BEA" w:rsidP="00C76C36">
      <w:pPr>
        <w:rPr>
          <w:rFonts w:cs="Arial"/>
          <w:szCs w:val="22"/>
          <w:lang w:val="en-GB"/>
        </w:rPr>
      </w:pPr>
      <w:r w:rsidRPr="00D562E2">
        <w:rPr>
          <w:rFonts w:cs="Arial"/>
          <w:szCs w:val="22"/>
          <w:lang w:val="en-GB"/>
        </w:rPr>
        <w:t xml:space="preserve">In the </w:t>
      </w:r>
      <w:r w:rsidR="00956639" w:rsidRPr="00D562E2">
        <w:rPr>
          <w:rFonts w:cs="Arial"/>
          <w:szCs w:val="22"/>
          <w:lang w:val="en-GB"/>
        </w:rPr>
        <w:t>2018–19</w:t>
      </w:r>
      <w:r w:rsidR="00C81636" w:rsidRPr="00D562E2">
        <w:rPr>
          <w:rFonts w:cs="Arial"/>
          <w:szCs w:val="22"/>
          <w:lang w:val="en-GB"/>
        </w:rPr>
        <w:t xml:space="preserve"> </w:t>
      </w:r>
      <w:r w:rsidRPr="00D562E2">
        <w:rPr>
          <w:rFonts w:cs="Arial"/>
          <w:szCs w:val="22"/>
          <w:lang w:val="en-GB"/>
        </w:rPr>
        <w:t xml:space="preserve">monitoring period, the </w:t>
      </w:r>
      <w:r w:rsidR="00B72AC4">
        <w:rPr>
          <w:rFonts w:cs="Arial"/>
          <w:szCs w:val="22"/>
          <w:lang w:val="en-GB"/>
        </w:rPr>
        <w:t>Mackay–Whitsunday</w:t>
      </w:r>
      <w:r w:rsidRPr="00D562E2">
        <w:rPr>
          <w:rFonts w:cs="Arial"/>
          <w:szCs w:val="22"/>
          <w:lang w:val="en-GB"/>
        </w:rPr>
        <w:t xml:space="preserve"> region seagrass condition index </w:t>
      </w:r>
      <w:r w:rsidR="00B2133A" w:rsidRPr="00D562E2">
        <w:rPr>
          <w:rFonts w:cs="Arial"/>
          <w:szCs w:val="22"/>
          <w:lang w:val="en-GB"/>
        </w:rPr>
        <w:t>increased slightly f</w:t>
      </w:r>
      <w:r w:rsidRPr="00D562E2">
        <w:rPr>
          <w:rFonts w:cs="Arial"/>
          <w:szCs w:val="22"/>
          <w:lang w:val="en-GB"/>
        </w:rPr>
        <w:t xml:space="preserve">rom </w:t>
      </w:r>
      <w:r w:rsidR="000661F3" w:rsidRPr="00D562E2">
        <w:rPr>
          <w:rFonts w:cs="Arial"/>
          <w:szCs w:val="22"/>
          <w:lang w:val="en-GB"/>
        </w:rPr>
        <w:t>the previous year</w:t>
      </w:r>
      <w:r w:rsidRPr="00D562E2">
        <w:rPr>
          <w:rFonts w:cs="Arial"/>
          <w:szCs w:val="22"/>
          <w:lang w:val="en-GB"/>
        </w:rPr>
        <w:t xml:space="preserve">, but remained </w:t>
      </w:r>
      <w:r w:rsidR="00E13EA8" w:rsidRPr="00D562E2">
        <w:rPr>
          <w:rFonts w:cs="Arial"/>
          <w:szCs w:val="22"/>
          <w:lang w:val="en-GB"/>
        </w:rPr>
        <w:t xml:space="preserve">graded as </w:t>
      </w:r>
      <w:r w:rsidRPr="00D562E2">
        <w:rPr>
          <w:rFonts w:cs="Arial"/>
          <w:b/>
          <w:szCs w:val="22"/>
          <w:lang w:val="en-GB"/>
        </w:rPr>
        <w:t xml:space="preserve">poor </w:t>
      </w:r>
      <w:r w:rsidRPr="00D562E2">
        <w:rPr>
          <w:rFonts w:cs="Arial"/>
          <w:szCs w:val="22"/>
          <w:lang w:val="en-GB"/>
        </w:rPr>
        <w:t>(</w:t>
      </w:r>
      <w:r w:rsidRPr="00D562E2">
        <w:rPr>
          <w:rFonts w:cs="Arial"/>
          <w:szCs w:val="22"/>
          <w:lang w:val="en-GB"/>
        </w:rPr>
        <w:fldChar w:fldCharType="begin"/>
      </w:r>
      <w:r w:rsidRPr="00D562E2">
        <w:rPr>
          <w:rFonts w:cs="Arial"/>
          <w:szCs w:val="22"/>
          <w:lang w:val="en-GB"/>
        </w:rPr>
        <w:instrText xml:space="preserve"> REF _Ref533788417 \h </w:instrText>
      </w:r>
      <w:r w:rsidR="00CB093C" w:rsidRPr="00D562E2">
        <w:rPr>
          <w:rFonts w:cs="Arial"/>
          <w:szCs w:val="22"/>
          <w:lang w:val="en-GB"/>
        </w:rPr>
        <w:instrText xml:space="preserve"> \* MERGEFORMAT </w:instrText>
      </w:r>
      <w:r w:rsidRPr="00D562E2">
        <w:rPr>
          <w:rFonts w:cs="Arial"/>
          <w:szCs w:val="22"/>
          <w:lang w:val="en-GB"/>
        </w:rPr>
      </w:r>
      <w:r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63</w:t>
      </w:r>
      <w:r w:rsidRPr="00D562E2">
        <w:rPr>
          <w:rFonts w:cs="Arial"/>
          <w:szCs w:val="22"/>
          <w:lang w:val="en-GB"/>
        </w:rPr>
        <w:fldChar w:fldCharType="end"/>
      </w:r>
      <w:r w:rsidR="00D5126A">
        <w:rPr>
          <w:rFonts w:cs="Arial"/>
          <w:szCs w:val="22"/>
          <w:lang w:val="en-GB"/>
        </w:rPr>
        <w:t>).</w:t>
      </w:r>
    </w:p>
    <w:p w14:paraId="3084D7A6" w14:textId="2E98DDDC" w:rsidR="000661F3" w:rsidRPr="00D562E2" w:rsidRDefault="003129D5" w:rsidP="00C76C36">
      <w:pPr>
        <w:rPr>
          <w:rFonts w:cs="Arial"/>
          <w:szCs w:val="22"/>
          <w:lang w:val="en-GB"/>
        </w:rPr>
      </w:pPr>
      <w:r w:rsidRPr="00D562E2">
        <w:rPr>
          <w:rFonts w:cs="Arial"/>
          <w:szCs w:val="22"/>
          <w:lang w:val="en-GB"/>
        </w:rPr>
        <w:t xml:space="preserve">Overall, the </w:t>
      </w:r>
      <w:r w:rsidR="00B72AC4">
        <w:rPr>
          <w:rFonts w:cs="Arial"/>
          <w:szCs w:val="22"/>
          <w:lang w:val="en-GB"/>
        </w:rPr>
        <w:t>Mackay–Whitsunday</w:t>
      </w:r>
      <w:r w:rsidRPr="00D562E2">
        <w:rPr>
          <w:rFonts w:cs="Arial"/>
          <w:szCs w:val="22"/>
          <w:lang w:val="en-GB"/>
        </w:rPr>
        <w:t xml:space="preserve"> seagrass index had been improving since 2010</w:t>
      </w:r>
      <w:r w:rsidR="000661F3" w:rsidRPr="00D562E2">
        <w:rPr>
          <w:rFonts w:cs="Arial"/>
          <w:szCs w:val="22"/>
          <w:lang w:val="en-GB"/>
        </w:rPr>
        <w:t>–</w:t>
      </w:r>
      <w:r w:rsidRPr="00D562E2">
        <w:rPr>
          <w:rFonts w:cs="Arial"/>
          <w:szCs w:val="22"/>
          <w:lang w:val="en-GB"/>
        </w:rPr>
        <w:t>11, when it reached its lowest level since monitoring commenced</w:t>
      </w:r>
      <w:r w:rsidR="00DA1839" w:rsidRPr="00D562E2">
        <w:rPr>
          <w:rFonts w:cs="Arial"/>
          <w:szCs w:val="22"/>
          <w:lang w:val="en-GB"/>
        </w:rPr>
        <w:t>. In</w:t>
      </w:r>
      <w:r w:rsidRPr="00D562E2">
        <w:rPr>
          <w:rFonts w:cs="Arial"/>
          <w:szCs w:val="22"/>
          <w:lang w:val="en-GB"/>
        </w:rPr>
        <w:t xml:space="preserve"> 2016</w:t>
      </w:r>
      <w:r w:rsidR="00A675DA" w:rsidRPr="00D562E2">
        <w:rPr>
          <w:rFonts w:cs="Arial"/>
          <w:szCs w:val="22"/>
          <w:lang w:val="en-GB"/>
        </w:rPr>
        <w:t>–</w:t>
      </w:r>
      <w:r w:rsidRPr="00D562E2">
        <w:rPr>
          <w:rFonts w:cs="Arial"/>
          <w:szCs w:val="22"/>
          <w:lang w:val="en-GB"/>
        </w:rPr>
        <w:t xml:space="preserve">17 the </w:t>
      </w:r>
      <w:r w:rsidR="00DA1839" w:rsidRPr="00D562E2">
        <w:rPr>
          <w:rFonts w:cs="Arial"/>
          <w:szCs w:val="22"/>
          <w:lang w:val="en-GB"/>
        </w:rPr>
        <w:t xml:space="preserve">improving </w:t>
      </w:r>
      <w:r w:rsidRPr="00D562E2">
        <w:rPr>
          <w:rFonts w:cs="Arial"/>
          <w:szCs w:val="22"/>
          <w:lang w:val="en-GB"/>
        </w:rPr>
        <w:t>trend abated</w:t>
      </w:r>
      <w:r w:rsidR="00DA1839" w:rsidRPr="00D562E2">
        <w:rPr>
          <w:rFonts w:cs="Arial"/>
          <w:szCs w:val="22"/>
          <w:lang w:val="en-GB"/>
        </w:rPr>
        <w:t xml:space="preserve"> and abundance declined</w:t>
      </w:r>
      <w:r w:rsidR="00C30BEA" w:rsidRPr="00D562E2">
        <w:rPr>
          <w:rFonts w:cs="Arial"/>
          <w:szCs w:val="22"/>
          <w:lang w:val="en-GB"/>
        </w:rPr>
        <w:t xml:space="preserve"> </w:t>
      </w:r>
      <w:r w:rsidRPr="00D562E2">
        <w:rPr>
          <w:rFonts w:cs="Arial"/>
          <w:szCs w:val="22"/>
          <w:lang w:val="en-GB"/>
        </w:rPr>
        <w:t xml:space="preserve">as a consequence of </w:t>
      </w:r>
      <w:r w:rsidR="000661F3" w:rsidRPr="00D562E2">
        <w:rPr>
          <w:rFonts w:cs="Arial"/>
          <w:szCs w:val="22"/>
          <w:lang w:val="en-GB"/>
        </w:rPr>
        <w:t xml:space="preserve">cyclone </w:t>
      </w:r>
      <w:r w:rsidRPr="00D562E2">
        <w:rPr>
          <w:rFonts w:cs="Arial"/>
          <w:szCs w:val="22"/>
          <w:lang w:val="en-GB"/>
        </w:rPr>
        <w:t>Debbie</w:t>
      </w:r>
      <w:r w:rsidR="00B768BC">
        <w:rPr>
          <w:rFonts w:cs="Arial"/>
          <w:szCs w:val="22"/>
          <w:lang w:val="en-GB"/>
        </w:rPr>
        <w:t xml:space="preserve">, but </w:t>
      </w:r>
      <w:r w:rsidR="00B768BC" w:rsidRPr="00D562E2">
        <w:rPr>
          <w:rFonts w:cs="Arial"/>
          <w:szCs w:val="22"/>
          <w:lang w:val="en-GB"/>
        </w:rPr>
        <w:t xml:space="preserve">this year </w:t>
      </w:r>
      <w:r w:rsidR="00B768BC">
        <w:rPr>
          <w:rFonts w:cs="Arial"/>
          <w:szCs w:val="22"/>
          <w:lang w:val="en-GB"/>
        </w:rPr>
        <w:t xml:space="preserve">has </w:t>
      </w:r>
      <w:r w:rsidR="00B768BC" w:rsidRPr="00D562E2">
        <w:rPr>
          <w:rFonts w:cs="Arial"/>
          <w:szCs w:val="22"/>
          <w:lang w:val="en-GB"/>
        </w:rPr>
        <w:t>increased slightly</w:t>
      </w:r>
      <w:r w:rsidR="00B768BC">
        <w:rPr>
          <w:rFonts w:cs="Arial"/>
          <w:szCs w:val="22"/>
          <w:lang w:val="en-GB"/>
        </w:rPr>
        <w:t xml:space="preserve"> </w:t>
      </w:r>
      <w:r w:rsidR="00E13EA8" w:rsidRPr="00D562E2">
        <w:rPr>
          <w:rFonts w:cs="Arial"/>
          <w:szCs w:val="22"/>
          <w:lang w:val="en-GB"/>
        </w:rPr>
        <w:t>(</w:t>
      </w:r>
      <w:r w:rsidR="00E13EA8" w:rsidRPr="00D562E2">
        <w:rPr>
          <w:rFonts w:cs="Arial"/>
          <w:szCs w:val="22"/>
          <w:lang w:val="en-GB"/>
        </w:rPr>
        <w:fldChar w:fldCharType="begin"/>
      </w:r>
      <w:r w:rsidR="00E13EA8" w:rsidRPr="00D562E2">
        <w:rPr>
          <w:rFonts w:cs="Arial"/>
          <w:szCs w:val="22"/>
          <w:lang w:val="en-GB"/>
        </w:rPr>
        <w:instrText xml:space="preserve"> REF _Ref533788417 \h </w:instrText>
      </w:r>
      <w:r w:rsidR="00CB093C" w:rsidRPr="00D562E2">
        <w:rPr>
          <w:rFonts w:cs="Arial"/>
          <w:szCs w:val="22"/>
          <w:lang w:val="en-GB"/>
        </w:rPr>
        <w:instrText xml:space="preserve"> \* MERGEFORMAT </w:instrText>
      </w:r>
      <w:r w:rsidR="00E13EA8" w:rsidRPr="00D562E2">
        <w:rPr>
          <w:rFonts w:cs="Arial"/>
          <w:szCs w:val="22"/>
          <w:lang w:val="en-GB"/>
        </w:rPr>
      </w:r>
      <w:r w:rsidR="00E13EA8"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63</w:t>
      </w:r>
      <w:r w:rsidR="00E13EA8" w:rsidRPr="00D562E2">
        <w:rPr>
          <w:rFonts w:cs="Arial"/>
          <w:szCs w:val="22"/>
          <w:lang w:val="en-GB"/>
        </w:rPr>
        <w:fldChar w:fldCharType="end"/>
      </w:r>
      <w:r w:rsidR="00E13EA8" w:rsidRPr="00D562E2">
        <w:rPr>
          <w:rFonts w:cs="Arial"/>
          <w:szCs w:val="22"/>
          <w:lang w:val="en-GB"/>
        </w:rPr>
        <w:t>)</w:t>
      </w:r>
      <w:r w:rsidR="00C30BEA" w:rsidRPr="00D562E2">
        <w:rPr>
          <w:rFonts w:cs="Arial"/>
          <w:szCs w:val="22"/>
          <w:lang w:val="en-GB"/>
        </w:rPr>
        <w:t xml:space="preserve">. However, </w:t>
      </w:r>
      <w:r w:rsidR="00B768BC">
        <w:rPr>
          <w:rFonts w:cs="Arial"/>
          <w:szCs w:val="22"/>
          <w:lang w:val="en-GB"/>
        </w:rPr>
        <w:t xml:space="preserve">the </w:t>
      </w:r>
      <w:r w:rsidR="00B768BC" w:rsidRPr="00D562E2">
        <w:rPr>
          <w:rFonts w:cs="Arial"/>
          <w:szCs w:val="22"/>
          <w:lang w:val="en-GB"/>
        </w:rPr>
        <w:t xml:space="preserve">2018–19 </w:t>
      </w:r>
      <w:r w:rsidR="00B768BC">
        <w:rPr>
          <w:rFonts w:cs="Arial"/>
          <w:szCs w:val="22"/>
          <w:lang w:val="en-GB"/>
        </w:rPr>
        <w:t xml:space="preserve">increase has been slightly </w:t>
      </w:r>
      <w:r w:rsidR="00E13EA8" w:rsidRPr="00D562E2">
        <w:rPr>
          <w:rFonts w:cs="Arial"/>
          <w:szCs w:val="22"/>
          <w:lang w:val="en-GB"/>
        </w:rPr>
        <w:t xml:space="preserve">offset by </w:t>
      </w:r>
      <w:r w:rsidR="00B768BC">
        <w:rPr>
          <w:rFonts w:cs="Arial"/>
          <w:szCs w:val="22"/>
          <w:lang w:val="en-GB"/>
        </w:rPr>
        <w:t>one of the</w:t>
      </w:r>
      <w:r w:rsidR="00C30BEA" w:rsidRPr="00D562E2">
        <w:rPr>
          <w:rFonts w:cs="Arial"/>
          <w:szCs w:val="22"/>
          <w:lang w:val="en-GB"/>
        </w:rPr>
        <w:t xml:space="preserve"> condition indic</w:t>
      </w:r>
      <w:r w:rsidR="00F473EC">
        <w:rPr>
          <w:rFonts w:cs="Arial"/>
          <w:szCs w:val="22"/>
          <w:lang w:val="en-GB"/>
        </w:rPr>
        <w:t>a</w:t>
      </w:r>
      <w:r w:rsidR="00C30BEA" w:rsidRPr="00D562E2">
        <w:rPr>
          <w:rFonts w:cs="Arial"/>
          <w:szCs w:val="22"/>
          <w:lang w:val="en-GB"/>
        </w:rPr>
        <w:t>tors</w:t>
      </w:r>
      <w:r w:rsidR="00E13EA8" w:rsidRPr="00D562E2">
        <w:rPr>
          <w:rFonts w:cs="Arial"/>
          <w:szCs w:val="22"/>
          <w:lang w:val="en-GB"/>
        </w:rPr>
        <w:t xml:space="preserve">. </w:t>
      </w:r>
    </w:p>
    <w:p w14:paraId="250342C5" w14:textId="63A2D095" w:rsidR="000661F3" w:rsidRPr="00D562E2" w:rsidRDefault="00B768BC" w:rsidP="00C76C36">
      <w:pPr>
        <w:rPr>
          <w:rFonts w:cs="Arial"/>
          <w:szCs w:val="22"/>
          <w:lang w:val="en-GB"/>
        </w:rPr>
      </w:pPr>
      <w:r>
        <w:rPr>
          <w:rFonts w:cs="Arial"/>
          <w:szCs w:val="22"/>
          <w:lang w:val="en-GB"/>
        </w:rPr>
        <w:t>The</w:t>
      </w:r>
      <w:r w:rsidR="00E13EA8" w:rsidRPr="00D562E2">
        <w:rPr>
          <w:rFonts w:cs="Arial"/>
          <w:szCs w:val="22"/>
          <w:lang w:val="en-GB"/>
        </w:rPr>
        <w:t xml:space="preserve"> reproductive effort in </w:t>
      </w:r>
      <w:r w:rsidR="00956639" w:rsidRPr="00D562E2">
        <w:rPr>
          <w:rFonts w:cs="Arial"/>
          <w:szCs w:val="22"/>
          <w:lang w:val="en-GB"/>
        </w:rPr>
        <w:t>2018–19</w:t>
      </w:r>
      <w:r w:rsidR="00E13EA8" w:rsidRPr="00D562E2">
        <w:rPr>
          <w:rFonts w:cs="Arial"/>
          <w:szCs w:val="22"/>
          <w:lang w:val="en-GB"/>
        </w:rPr>
        <w:t xml:space="preserve"> w</w:t>
      </w:r>
      <w:r>
        <w:rPr>
          <w:rFonts w:cs="Arial"/>
          <w:szCs w:val="22"/>
          <w:lang w:val="en-GB"/>
        </w:rPr>
        <w:t>as</w:t>
      </w:r>
      <w:r w:rsidR="00E13EA8" w:rsidRPr="00D562E2">
        <w:rPr>
          <w:rFonts w:cs="Arial"/>
          <w:szCs w:val="22"/>
          <w:lang w:val="en-GB"/>
        </w:rPr>
        <w:t xml:space="preserve"> the lowest </w:t>
      </w:r>
      <w:r>
        <w:rPr>
          <w:rFonts w:cs="Arial"/>
          <w:szCs w:val="22"/>
          <w:lang w:val="en-GB"/>
        </w:rPr>
        <w:t>since 2011</w:t>
      </w:r>
      <w:r w:rsidR="00E13EA8" w:rsidRPr="00D562E2">
        <w:rPr>
          <w:rFonts w:cs="Arial"/>
          <w:szCs w:val="22"/>
          <w:lang w:val="en-GB"/>
        </w:rPr>
        <w:t xml:space="preserve"> (</w:t>
      </w:r>
      <w:r w:rsidR="00E13EA8" w:rsidRPr="00D562E2">
        <w:rPr>
          <w:rFonts w:cs="Arial"/>
          <w:szCs w:val="22"/>
          <w:lang w:val="en-GB"/>
        </w:rPr>
        <w:fldChar w:fldCharType="begin"/>
      </w:r>
      <w:r w:rsidR="00E13EA8" w:rsidRPr="00D562E2">
        <w:rPr>
          <w:rFonts w:cs="Arial"/>
          <w:szCs w:val="22"/>
          <w:lang w:val="en-GB"/>
        </w:rPr>
        <w:instrText xml:space="preserve"> REF _Ref533788417 \h </w:instrText>
      </w:r>
      <w:r w:rsidR="00CB093C" w:rsidRPr="00D562E2">
        <w:rPr>
          <w:rFonts w:cs="Arial"/>
          <w:szCs w:val="22"/>
          <w:lang w:val="en-GB"/>
        </w:rPr>
        <w:instrText xml:space="preserve"> \* MERGEFORMAT </w:instrText>
      </w:r>
      <w:r w:rsidR="00E13EA8" w:rsidRPr="00D562E2">
        <w:rPr>
          <w:rFonts w:cs="Arial"/>
          <w:szCs w:val="22"/>
          <w:lang w:val="en-GB"/>
        </w:rPr>
      </w:r>
      <w:r w:rsidR="00E13EA8"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63</w:t>
      </w:r>
      <w:r w:rsidR="00E13EA8" w:rsidRPr="00D562E2">
        <w:rPr>
          <w:rFonts w:cs="Arial"/>
          <w:szCs w:val="22"/>
          <w:lang w:val="en-GB"/>
        </w:rPr>
        <w:fldChar w:fldCharType="end"/>
      </w:r>
      <w:r w:rsidR="00E13EA8" w:rsidRPr="00D562E2">
        <w:rPr>
          <w:rFonts w:cs="Arial"/>
          <w:szCs w:val="22"/>
          <w:lang w:val="en-GB"/>
        </w:rPr>
        <w:t xml:space="preserve">). </w:t>
      </w:r>
      <w:r w:rsidR="003129D5" w:rsidRPr="00D562E2">
        <w:rPr>
          <w:rFonts w:cs="Arial"/>
          <w:szCs w:val="22"/>
          <w:lang w:val="en-GB"/>
        </w:rPr>
        <w:t>This</w:t>
      </w:r>
      <w:r w:rsidR="00DA1839" w:rsidRPr="00D562E2">
        <w:rPr>
          <w:rFonts w:cs="Arial"/>
          <w:szCs w:val="22"/>
          <w:lang w:val="en-GB"/>
        </w:rPr>
        <w:t xml:space="preserve"> </w:t>
      </w:r>
      <w:r w:rsidR="003129D5" w:rsidRPr="00D562E2">
        <w:rPr>
          <w:rFonts w:cs="Arial"/>
          <w:szCs w:val="22"/>
          <w:lang w:val="en-GB"/>
        </w:rPr>
        <w:t xml:space="preserve">appears a legacy of losses experienced from the impacts of </w:t>
      </w:r>
      <w:r w:rsidR="003654C6" w:rsidRPr="00D562E2">
        <w:rPr>
          <w:rFonts w:cs="Arial"/>
          <w:szCs w:val="22"/>
          <w:lang w:val="en-GB"/>
        </w:rPr>
        <w:t>cyclone</w:t>
      </w:r>
      <w:r w:rsidR="003129D5" w:rsidRPr="00D562E2">
        <w:rPr>
          <w:rFonts w:cs="Arial"/>
          <w:szCs w:val="22"/>
          <w:lang w:val="en-GB"/>
        </w:rPr>
        <w:t xml:space="preserve"> Debbie and associated flooding. </w:t>
      </w:r>
    </w:p>
    <w:p w14:paraId="2F3430FB" w14:textId="6FCC39DB" w:rsidR="00C76C36" w:rsidRPr="00D562E2" w:rsidRDefault="00C76C36" w:rsidP="00C76C36">
      <w:pPr>
        <w:rPr>
          <w:rFonts w:cs="Arial"/>
          <w:szCs w:val="22"/>
        </w:rPr>
      </w:pPr>
      <w:r w:rsidRPr="00D562E2">
        <w:rPr>
          <w:rFonts w:cs="Arial"/>
          <w:szCs w:val="22"/>
        </w:rPr>
        <w:t xml:space="preserve">An examination of the </w:t>
      </w:r>
      <w:r w:rsidR="00F473EC" w:rsidRPr="00D562E2">
        <w:rPr>
          <w:rFonts w:cs="Arial"/>
          <w:szCs w:val="22"/>
        </w:rPr>
        <w:t>long</w:t>
      </w:r>
      <w:r w:rsidR="00F473EC">
        <w:rPr>
          <w:rFonts w:cs="Arial"/>
          <w:szCs w:val="22"/>
        </w:rPr>
        <w:t>-</w:t>
      </w:r>
      <w:r w:rsidRPr="00D562E2">
        <w:rPr>
          <w:rFonts w:cs="Arial"/>
          <w:szCs w:val="22"/>
        </w:rPr>
        <w:t xml:space="preserve">term trends across the </w:t>
      </w:r>
      <w:r w:rsidR="00B72AC4">
        <w:rPr>
          <w:rFonts w:cs="Arial"/>
          <w:szCs w:val="22"/>
        </w:rPr>
        <w:t>Mackay–Whitsunday</w:t>
      </w:r>
      <w:r w:rsidRPr="00D562E2">
        <w:rPr>
          <w:rFonts w:cs="Arial"/>
          <w:szCs w:val="22"/>
        </w:rPr>
        <w:t xml:space="preserve"> NRM region</w:t>
      </w:r>
      <w:r w:rsidR="00640184" w:rsidRPr="00D562E2">
        <w:rPr>
          <w:rFonts w:cs="Arial"/>
          <w:szCs w:val="22"/>
        </w:rPr>
        <w:t xml:space="preserve"> using </w:t>
      </w:r>
      <w:r w:rsidR="002568CA" w:rsidRPr="00D562E2">
        <w:rPr>
          <w:rFonts w:cs="Arial"/>
          <w:szCs w:val="22"/>
        </w:rPr>
        <w:t>GAM</w:t>
      </w:r>
      <w:r w:rsidR="00640184" w:rsidRPr="00D562E2">
        <w:rPr>
          <w:rFonts w:cs="Arial"/>
          <w:szCs w:val="22"/>
        </w:rPr>
        <w:t xml:space="preserve"> plots</w:t>
      </w:r>
      <w:r w:rsidRPr="00D562E2">
        <w:rPr>
          <w:rFonts w:cs="Arial"/>
          <w:szCs w:val="22"/>
        </w:rPr>
        <w:t xml:space="preserve"> suggests seagrass abundance (</w:t>
      </w:r>
      <w:r w:rsidR="004916B0">
        <w:rPr>
          <w:rFonts w:cs="Arial"/>
          <w:szCs w:val="22"/>
        </w:rPr>
        <w:t>per cent</w:t>
      </w:r>
      <w:r w:rsidRPr="00D562E2">
        <w:rPr>
          <w:rFonts w:cs="Arial"/>
          <w:szCs w:val="22"/>
        </w:rPr>
        <w:t xml:space="preserve"> cover)</w:t>
      </w:r>
      <w:r w:rsidR="003129D5" w:rsidRPr="00D562E2">
        <w:rPr>
          <w:rFonts w:cs="Arial"/>
          <w:szCs w:val="22"/>
        </w:rPr>
        <w:t xml:space="preserve"> and reproductive effort </w:t>
      </w:r>
      <w:r w:rsidR="00640184" w:rsidRPr="00D562E2">
        <w:rPr>
          <w:rFonts w:cs="Arial"/>
          <w:szCs w:val="22"/>
        </w:rPr>
        <w:t>ha</w:t>
      </w:r>
      <w:r w:rsidR="003129D5" w:rsidRPr="00D562E2">
        <w:rPr>
          <w:rFonts w:cs="Arial"/>
          <w:szCs w:val="22"/>
        </w:rPr>
        <w:t>ve been declining since</w:t>
      </w:r>
      <w:r w:rsidR="00DA1839" w:rsidRPr="00D562E2">
        <w:rPr>
          <w:rFonts w:cs="Arial"/>
          <w:szCs w:val="22"/>
        </w:rPr>
        <w:t xml:space="preserve"> </w:t>
      </w:r>
      <w:r w:rsidR="003129D5" w:rsidRPr="00D562E2">
        <w:rPr>
          <w:rFonts w:cs="Arial"/>
          <w:szCs w:val="22"/>
        </w:rPr>
        <w:t>2015</w:t>
      </w:r>
      <w:r w:rsidR="00A675DA" w:rsidRPr="00D562E2">
        <w:rPr>
          <w:rFonts w:cs="Arial"/>
          <w:szCs w:val="22"/>
        </w:rPr>
        <w:t>–</w:t>
      </w:r>
      <w:r w:rsidR="003129D5" w:rsidRPr="00D562E2">
        <w:rPr>
          <w:rFonts w:cs="Arial"/>
          <w:szCs w:val="22"/>
        </w:rPr>
        <w:t>16</w:t>
      </w:r>
      <w:r w:rsidR="00640184" w:rsidRPr="00D562E2">
        <w:rPr>
          <w:rFonts w:cs="Arial"/>
          <w:szCs w:val="22"/>
        </w:rPr>
        <w:t xml:space="preserve"> </w:t>
      </w:r>
      <w:r w:rsidR="003129D5" w:rsidRPr="00D562E2">
        <w:rPr>
          <w:rFonts w:cs="Arial"/>
          <w:szCs w:val="22"/>
          <w:lang w:val="en-GB"/>
        </w:rPr>
        <w:t>(</w:t>
      </w:r>
      <w:r w:rsidR="003129D5" w:rsidRPr="00D562E2">
        <w:rPr>
          <w:rFonts w:cs="Arial"/>
          <w:szCs w:val="22"/>
          <w:lang w:val="en-GB"/>
        </w:rPr>
        <w:fldChar w:fldCharType="begin"/>
      </w:r>
      <w:r w:rsidR="003129D5" w:rsidRPr="00D562E2">
        <w:rPr>
          <w:rFonts w:cs="Arial"/>
          <w:szCs w:val="22"/>
          <w:lang w:val="en-GB"/>
        </w:rPr>
        <w:instrText xml:space="preserve"> REF _Ref533788417 \h </w:instrText>
      </w:r>
      <w:r w:rsidR="00CB093C" w:rsidRPr="00D562E2">
        <w:rPr>
          <w:rFonts w:cs="Arial"/>
          <w:szCs w:val="22"/>
          <w:lang w:val="en-GB"/>
        </w:rPr>
        <w:instrText xml:space="preserve"> \* MERGEFORMAT </w:instrText>
      </w:r>
      <w:r w:rsidR="003129D5" w:rsidRPr="00D562E2">
        <w:rPr>
          <w:rFonts w:cs="Arial"/>
          <w:szCs w:val="22"/>
          <w:lang w:val="en-GB"/>
        </w:rPr>
      </w:r>
      <w:r w:rsidR="003129D5"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63</w:t>
      </w:r>
      <w:r w:rsidR="003129D5" w:rsidRPr="00D562E2">
        <w:rPr>
          <w:rFonts w:cs="Arial"/>
          <w:szCs w:val="22"/>
          <w:lang w:val="en-GB"/>
        </w:rPr>
        <w:fldChar w:fldCharType="end"/>
      </w:r>
      <w:r w:rsidR="003129D5" w:rsidRPr="00D562E2">
        <w:rPr>
          <w:rFonts w:cs="Arial"/>
          <w:szCs w:val="22"/>
          <w:lang w:val="en-GB"/>
        </w:rPr>
        <w:t>)</w:t>
      </w:r>
      <w:r w:rsidR="003129D5" w:rsidRPr="00D562E2">
        <w:rPr>
          <w:rFonts w:cs="Arial"/>
          <w:szCs w:val="22"/>
        </w:rPr>
        <w:t>.</w:t>
      </w:r>
    </w:p>
    <w:p w14:paraId="67D9F260" w14:textId="77777777" w:rsidR="00C76C36" w:rsidRPr="00D562E2" w:rsidRDefault="00C76C36" w:rsidP="008730D4">
      <w:pPr>
        <w:rPr>
          <w:rFonts w:cs="Arial"/>
          <w:szCs w:val="22"/>
        </w:rPr>
      </w:pPr>
    </w:p>
    <w:p w14:paraId="62A475DF" w14:textId="77777777" w:rsidR="004A5BCE" w:rsidRPr="00D562E2" w:rsidRDefault="004E43E3" w:rsidP="00630574">
      <w:pPr>
        <w:keepNext/>
        <w:widowControl w:val="0"/>
        <w:jc w:val="center"/>
        <w:rPr>
          <w:rFonts w:cs="Arial"/>
          <w:color w:val="000000"/>
          <w:szCs w:val="22"/>
          <w:lang w:val="en-GB"/>
        </w:rPr>
      </w:pPr>
      <w:r w:rsidRPr="00D562E2">
        <w:rPr>
          <w:rFonts w:cs="Arial"/>
          <w:noProof/>
          <w:color w:val="000000"/>
          <w:szCs w:val="22"/>
          <w:lang w:eastAsia="en-AU"/>
        </w:rPr>
        <w:lastRenderedPageBreak/>
        <w:drawing>
          <wp:inline distT="0" distB="0" distL="0" distR="0" wp14:anchorId="44359664" wp14:editId="715A284E">
            <wp:extent cx="5843466" cy="5479872"/>
            <wp:effectExtent l="0" t="0" r="5080" b="6985"/>
            <wp:docPr id="514" name="Picture 514" descr="Composite figure of four graphs showing temporal trends in the Mackay Whitsunday NRM region seagrass condition index and each of the individual indicators used to calculate the index, represented by GAM plots and coloured lines representing location trend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MW_SG16.png"/>
                    <pic:cNvPicPr/>
                  </pic:nvPicPr>
                  <pic:blipFill>
                    <a:blip r:embed="rId116"/>
                    <a:stretch>
                      <a:fillRect/>
                    </a:stretch>
                  </pic:blipFill>
                  <pic:spPr>
                    <a:xfrm>
                      <a:off x="0" y="0"/>
                      <a:ext cx="5843466" cy="5479872"/>
                    </a:xfrm>
                    <a:prstGeom prst="rect">
                      <a:avLst/>
                    </a:prstGeom>
                  </pic:spPr>
                </pic:pic>
              </a:graphicData>
            </a:graphic>
          </wp:inline>
        </w:drawing>
      </w:r>
    </w:p>
    <w:p w14:paraId="3860C598" w14:textId="2278EB90" w:rsidR="00076C1A" w:rsidRPr="00D562E2" w:rsidRDefault="00CC5737" w:rsidP="00076C1A">
      <w:pPr>
        <w:rPr>
          <w:rFonts w:cs="Arial"/>
          <w:vanish/>
          <w:color w:val="000000"/>
          <w:szCs w:val="22"/>
          <w:specVanish/>
        </w:rPr>
      </w:pPr>
      <w:bookmarkStart w:id="500" w:name="_Ref533788417"/>
      <w:bookmarkStart w:id="501" w:name="_Toc38634167"/>
      <w:r w:rsidRPr="00D562E2">
        <w:rPr>
          <w:rFonts w:cs="Arial"/>
          <w:szCs w:val="22"/>
        </w:rPr>
        <w:t xml:space="preserve">Figure </w:t>
      </w:r>
      <w:r w:rsidR="000E4688" w:rsidRPr="00D562E2">
        <w:rPr>
          <w:rFonts w:cs="Arial"/>
          <w:noProof/>
          <w:szCs w:val="22"/>
        </w:rPr>
        <w:fldChar w:fldCharType="begin"/>
      </w:r>
      <w:r w:rsidR="000E4688" w:rsidRPr="00D562E2">
        <w:rPr>
          <w:rFonts w:cs="Arial"/>
          <w:noProof/>
          <w:szCs w:val="22"/>
        </w:rPr>
        <w:instrText xml:space="preserve"> SEQ Figure \* ARABIC </w:instrText>
      </w:r>
      <w:r w:rsidR="000E4688" w:rsidRPr="00D562E2">
        <w:rPr>
          <w:rFonts w:cs="Arial"/>
          <w:noProof/>
          <w:szCs w:val="22"/>
        </w:rPr>
        <w:fldChar w:fldCharType="separate"/>
      </w:r>
      <w:r w:rsidR="0067675D">
        <w:rPr>
          <w:rFonts w:cs="Arial"/>
          <w:noProof/>
          <w:szCs w:val="22"/>
        </w:rPr>
        <w:t>63</w:t>
      </w:r>
      <w:r w:rsidR="000E4688" w:rsidRPr="00D562E2">
        <w:rPr>
          <w:rFonts w:cs="Arial"/>
          <w:noProof/>
          <w:szCs w:val="22"/>
        </w:rPr>
        <w:fldChar w:fldCharType="end"/>
      </w:r>
      <w:bookmarkEnd w:id="500"/>
      <w:r w:rsidRPr="00D562E2">
        <w:rPr>
          <w:rFonts w:cs="Arial"/>
          <w:szCs w:val="22"/>
        </w:rPr>
        <w:t xml:space="preserve">. </w:t>
      </w:r>
      <w:r w:rsidR="00076C1A" w:rsidRPr="00D562E2">
        <w:rPr>
          <w:rFonts w:cs="Arial"/>
          <w:i/>
          <w:szCs w:val="22"/>
        </w:rPr>
        <w:t xml:space="preserve">Temporal trends in the </w:t>
      </w:r>
      <w:r w:rsidR="00B72AC4">
        <w:rPr>
          <w:rFonts w:cs="Arial"/>
          <w:i/>
          <w:szCs w:val="22"/>
        </w:rPr>
        <w:t>Mackay–Whitsunday</w:t>
      </w:r>
      <w:r w:rsidR="00076C1A" w:rsidRPr="00D562E2">
        <w:rPr>
          <w:rFonts w:cs="Arial"/>
          <w:i/>
          <w:szCs w:val="22"/>
        </w:rPr>
        <w:t xml:space="preserve"> seagrass condition index and the indicators used to calculate the index</w:t>
      </w:r>
      <w:bookmarkEnd w:id="501"/>
    </w:p>
    <w:p w14:paraId="30C3DC05" w14:textId="1B4454F7" w:rsidR="00CC5737" w:rsidRPr="00D562E2" w:rsidRDefault="00076C1A" w:rsidP="00076C1A">
      <w:pPr>
        <w:rPr>
          <w:rFonts w:cs="Arial"/>
          <w:i/>
          <w:szCs w:val="22"/>
        </w:rPr>
      </w:pPr>
      <w:r w:rsidRPr="00D562E2">
        <w:rPr>
          <w:rFonts w:cs="Arial"/>
          <w:i/>
          <w:szCs w:val="22"/>
        </w:rPr>
        <w:t>: a. seagrass condition index (circles) and indicator trends (lines); b. GAM plots of seagrass abundance (</w:t>
      </w:r>
      <w:r w:rsidR="004916B0">
        <w:rPr>
          <w:rFonts w:cs="Arial"/>
          <w:i/>
          <w:szCs w:val="22"/>
        </w:rPr>
        <w:t>per cent</w:t>
      </w:r>
      <w:r w:rsidRPr="00D562E2">
        <w:rPr>
          <w:rFonts w:cs="Arial"/>
          <w:i/>
          <w:szCs w:val="22"/>
        </w:rPr>
        <w:t xml:space="preserve"> cover) trends for each location (coloured lines) and the region (black line with grey shaded area defining 95</w:t>
      </w:r>
      <w:r w:rsidR="003C311A">
        <w:rPr>
          <w:rFonts w:cs="Arial"/>
          <w:i/>
          <w:szCs w:val="22"/>
        </w:rPr>
        <w:t xml:space="preserve">% </w:t>
      </w:r>
      <w:r w:rsidRPr="00D562E2">
        <w:rPr>
          <w:rFonts w:cs="Arial"/>
          <w:i/>
          <w:szCs w:val="22"/>
        </w:rPr>
        <w:t>confidence intervals); c. average number of reproductive structures (±SE) (GAM not possible due to high count of zero values); and d. elemental ratios (atomic) of leaf tissue C:N nutrient content at each site (coloured circles) and regional trend represented by a GAM plot as dark line with shaded areas defining 95</w:t>
      </w:r>
      <w:r w:rsidR="003C311A">
        <w:rPr>
          <w:rFonts w:cs="Arial"/>
          <w:i/>
          <w:szCs w:val="22"/>
        </w:rPr>
        <w:t xml:space="preserve">% </w:t>
      </w:r>
      <w:r w:rsidRPr="00D562E2">
        <w:rPr>
          <w:rFonts w:cs="Arial"/>
          <w:i/>
          <w:szCs w:val="22"/>
        </w:rPr>
        <w:t>confidence intervals of the trend</w:t>
      </w:r>
    </w:p>
    <w:p w14:paraId="72647BEC" w14:textId="13F31375" w:rsidR="003A07FC" w:rsidRPr="00D562E2" w:rsidRDefault="003A07FC" w:rsidP="003A07FC">
      <w:pPr>
        <w:rPr>
          <w:rFonts w:cs="Arial"/>
          <w:szCs w:val="22"/>
          <w:lang w:val="en-GB"/>
        </w:rPr>
      </w:pPr>
    </w:p>
    <w:p w14:paraId="56F6067A" w14:textId="234EB6E6" w:rsidR="002F1D37" w:rsidRPr="00D562E2" w:rsidRDefault="002F1D37" w:rsidP="00785606">
      <w:pPr>
        <w:pStyle w:val="Heading4"/>
      </w:pPr>
      <w:bookmarkStart w:id="502" w:name="_Toc37775098"/>
      <w:bookmarkStart w:id="503" w:name="_Toc43987073"/>
      <w:r w:rsidRPr="00D562E2">
        <w:t>Seagrass abundance, community and extent</w:t>
      </w:r>
      <w:bookmarkEnd w:id="502"/>
      <w:bookmarkEnd w:id="503"/>
    </w:p>
    <w:p w14:paraId="65F51910" w14:textId="07129DAD" w:rsidR="000751C8" w:rsidRPr="009B110E" w:rsidRDefault="000751C8" w:rsidP="009B110E">
      <w:pPr>
        <w:rPr>
          <w:rFonts w:cs="Arial"/>
          <w:szCs w:val="22"/>
          <w:lang w:val="en-GB"/>
        </w:rPr>
      </w:pPr>
      <w:r w:rsidRPr="009B110E">
        <w:rPr>
          <w:rFonts w:cs="Arial"/>
          <w:szCs w:val="22"/>
        </w:rPr>
        <w:t xml:space="preserve">Seagrass abundance </w:t>
      </w:r>
      <w:r w:rsidR="009B110E" w:rsidRPr="009B110E">
        <w:rPr>
          <w:rFonts w:cs="Arial"/>
          <w:szCs w:val="22"/>
        </w:rPr>
        <w:t>increased</w:t>
      </w:r>
      <w:r w:rsidRPr="009B110E">
        <w:rPr>
          <w:rFonts w:cs="Arial"/>
          <w:szCs w:val="22"/>
        </w:rPr>
        <w:t xml:space="preserve"> in </w:t>
      </w:r>
      <w:r w:rsidR="00956639" w:rsidRPr="009B110E">
        <w:rPr>
          <w:rFonts w:cs="Arial"/>
          <w:szCs w:val="22"/>
        </w:rPr>
        <w:t>2018–19</w:t>
      </w:r>
      <w:r w:rsidRPr="009B110E">
        <w:rPr>
          <w:rFonts w:cs="Arial"/>
          <w:szCs w:val="22"/>
        </w:rPr>
        <w:t xml:space="preserve"> </w:t>
      </w:r>
      <w:r w:rsidR="009B110E" w:rsidRPr="009B110E">
        <w:rPr>
          <w:rFonts w:cs="Arial"/>
          <w:szCs w:val="22"/>
        </w:rPr>
        <w:t>at t</w:t>
      </w:r>
      <w:r w:rsidR="009B110E" w:rsidRPr="009B110E">
        <w:rPr>
          <w:rFonts w:cs="Arial"/>
          <w:szCs w:val="22"/>
          <w:lang w:val="en-GB"/>
        </w:rPr>
        <w:t xml:space="preserve">wo thirds of sites </w:t>
      </w:r>
      <w:r w:rsidRPr="009B110E">
        <w:rPr>
          <w:rFonts w:cs="Arial"/>
          <w:szCs w:val="22"/>
        </w:rPr>
        <w:t xml:space="preserve">across the </w:t>
      </w:r>
      <w:r w:rsidRPr="00B56853">
        <w:rPr>
          <w:rFonts w:cs="Arial"/>
          <w:szCs w:val="22"/>
        </w:rPr>
        <w:t>region</w:t>
      </w:r>
      <w:r w:rsidR="009B110E" w:rsidRPr="00B56853">
        <w:rPr>
          <w:rFonts w:cs="Arial"/>
          <w:szCs w:val="22"/>
        </w:rPr>
        <w:t xml:space="preserve">, </w:t>
      </w:r>
      <w:r w:rsidR="00B56853" w:rsidRPr="00B56853">
        <w:rPr>
          <w:rFonts w:cs="Arial"/>
          <w:szCs w:val="22"/>
          <w:lang w:val="en-GB"/>
        </w:rPr>
        <w:t>relative to the previous period,</w:t>
      </w:r>
      <w:r w:rsidR="00B56853" w:rsidRPr="00B56853">
        <w:rPr>
          <w:rFonts w:cs="Arial"/>
          <w:szCs w:val="22"/>
        </w:rPr>
        <w:t xml:space="preserve"> </w:t>
      </w:r>
      <w:r w:rsidR="009B110E" w:rsidRPr="00B56853">
        <w:rPr>
          <w:rFonts w:cs="Arial"/>
          <w:szCs w:val="22"/>
        </w:rPr>
        <w:t>reversing the legacy of the losses experienced in early 20</w:t>
      </w:r>
      <w:r w:rsidR="009B110E" w:rsidRPr="009B110E">
        <w:rPr>
          <w:rFonts w:cs="Arial"/>
          <w:szCs w:val="22"/>
        </w:rPr>
        <w:t>17 as a consequence of</w:t>
      </w:r>
      <w:r w:rsidR="009B110E" w:rsidRPr="009B110E">
        <w:rPr>
          <w:rFonts w:cs="Arial"/>
          <w:szCs w:val="22"/>
          <w:lang w:val="en-GB"/>
        </w:rPr>
        <w:t xml:space="preserve"> the impacts of </w:t>
      </w:r>
      <w:r w:rsidR="001D2554">
        <w:rPr>
          <w:rFonts w:cs="Arial"/>
          <w:szCs w:val="22"/>
          <w:lang w:val="en-GB"/>
        </w:rPr>
        <w:t>cyclone</w:t>
      </w:r>
      <w:r w:rsidR="001D2554" w:rsidRPr="009B110E">
        <w:rPr>
          <w:rFonts w:cs="Arial"/>
          <w:szCs w:val="22"/>
          <w:lang w:val="en-GB"/>
        </w:rPr>
        <w:t xml:space="preserve"> </w:t>
      </w:r>
      <w:r w:rsidR="009B110E" w:rsidRPr="009B110E">
        <w:rPr>
          <w:rFonts w:cs="Arial"/>
          <w:szCs w:val="22"/>
          <w:lang w:val="en-GB"/>
        </w:rPr>
        <w:t>Debbie and associated flooding (</w:t>
      </w:r>
      <w:r w:rsidR="009B110E" w:rsidRPr="009B110E">
        <w:rPr>
          <w:rFonts w:cs="Arial"/>
          <w:szCs w:val="22"/>
          <w:lang w:val="en-GB"/>
        </w:rPr>
        <w:fldChar w:fldCharType="begin"/>
      </w:r>
      <w:r w:rsidR="009B110E" w:rsidRPr="009B110E">
        <w:rPr>
          <w:rFonts w:cs="Arial"/>
          <w:szCs w:val="22"/>
          <w:lang w:val="en-GB"/>
        </w:rPr>
        <w:instrText xml:space="preserve"> REF _Ref533789986 \h  \* MERGEFORMAT </w:instrText>
      </w:r>
      <w:r w:rsidR="009B110E" w:rsidRPr="009B110E">
        <w:rPr>
          <w:rFonts w:cs="Arial"/>
          <w:szCs w:val="22"/>
          <w:lang w:val="en-GB"/>
        </w:rPr>
      </w:r>
      <w:r w:rsidR="009B110E" w:rsidRPr="009B110E">
        <w:rPr>
          <w:rFonts w:cs="Arial"/>
          <w:szCs w:val="22"/>
          <w:lang w:val="en-GB"/>
        </w:rPr>
        <w:fldChar w:fldCharType="separate"/>
      </w:r>
      <w:r w:rsidR="0067675D" w:rsidRPr="00D562E2">
        <w:rPr>
          <w:rFonts w:cs="Arial"/>
          <w:szCs w:val="22"/>
        </w:rPr>
        <w:t xml:space="preserve">Figure </w:t>
      </w:r>
      <w:r w:rsidR="0067675D">
        <w:rPr>
          <w:rFonts w:cs="Arial"/>
          <w:noProof/>
          <w:szCs w:val="22"/>
        </w:rPr>
        <w:t>64</w:t>
      </w:r>
      <w:r w:rsidR="009B110E" w:rsidRPr="009B110E">
        <w:rPr>
          <w:rFonts w:cs="Arial"/>
          <w:szCs w:val="22"/>
          <w:lang w:val="en-GB"/>
        </w:rPr>
        <w:fldChar w:fldCharType="end"/>
      </w:r>
      <w:r w:rsidR="009B110E" w:rsidRPr="009B110E">
        <w:rPr>
          <w:rFonts w:cs="Arial"/>
          <w:szCs w:val="22"/>
          <w:lang w:val="en-GB"/>
        </w:rPr>
        <w:t>).</w:t>
      </w:r>
      <w:r w:rsidRPr="009B110E">
        <w:rPr>
          <w:rFonts w:cs="Arial"/>
          <w:szCs w:val="22"/>
        </w:rPr>
        <w:t xml:space="preserve"> </w:t>
      </w:r>
      <w:r w:rsidR="009B110E">
        <w:rPr>
          <w:rFonts w:cs="Arial"/>
          <w:szCs w:val="22"/>
        </w:rPr>
        <w:t>Although some losses</w:t>
      </w:r>
      <w:r w:rsidR="009B110E" w:rsidRPr="009B110E">
        <w:rPr>
          <w:rFonts w:cs="Arial"/>
          <w:szCs w:val="22"/>
          <w:lang w:val="en-GB"/>
        </w:rPr>
        <w:t xml:space="preserve"> </w:t>
      </w:r>
      <w:r w:rsidR="009B110E">
        <w:rPr>
          <w:rFonts w:cs="Arial"/>
          <w:szCs w:val="22"/>
          <w:lang w:val="en-GB"/>
        </w:rPr>
        <w:t xml:space="preserve">were </w:t>
      </w:r>
      <w:r w:rsidR="009B110E" w:rsidRPr="00FF018C">
        <w:rPr>
          <w:rFonts w:cs="Arial"/>
          <w:szCs w:val="22"/>
          <w:lang w:val="en-GB"/>
        </w:rPr>
        <w:t xml:space="preserve">observed </w:t>
      </w:r>
      <w:r w:rsidR="009B110E">
        <w:rPr>
          <w:rFonts w:cs="Arial"/>
          <w:szCs w:val="22"/>
          <w:lang w:val="en-GB"/>
        </w:rPr>
        <w:t>(</w:t>
      </w:r>
      <w:r w:rsidR="009B110E" w:rsidRPr="00FF018C">
        <w:rPr>
          <w:rFonts w:cs="Arial"/>
          <w:szCs w:val="22"/>
          <w:lang w:val="en-GB"/>
        </w:rPr>
        <w:t>33</w:t>
      </w:r>
      <w:r w:rsidR="003C311A">
        <w:rPr>
          <w:rFonts w:cs="Arial"/>
          <w:szCs w:val="22"/>
          <w:lang w:val="en-GB"/>
        </w:rPr>
        <w:t xml:space="preserve">% </w:t>
      </w:r>
      <w:r w:rsidR="009B110E" w:rsidRPr="00FF018C">
        <w:rPr>
          <w:rFonts w:cs="Arial"/>
          <w:szCs w:val="22"/>
          <w:lang w:val="en-GB"/>
        </w:rPr>
        <w:t>and 25</w:t>
      </w:r>
      <w:r w:rsidR="003C311A">
        <w:rPr>
          <w:rFonts w:cs="Arial"/>
          <w:szCs w:val="22"/>
          <w:lang w:val="en-GB"/>
        </w:rPr>
        <w:t xml:space="preserve">% </w:t>
      </w:r>
      <w:r w:rsidR="009B110E" w:rsidRPr="00FF018C">
        <w:rPr>
          <w:rFonts w:cs="Arial"/>
          <w:szCs w:val="22"/>
          <w:lang w:val="en-GB"/>
        </w:rPr>
        <w:t>of coastal and reef intertidal sites, respectively</w:t>
      </w:r>
      <w:r w:rsidR="009B110E">
        <w:rPr>
          <w:rFonts w:cs="Arial"/>
          <w:szCs w:val="22"/>
          <w:lang w:val="en-GB"/>
        </w:rPr>
        <w:t xml:space="preserve">), the greatest </w:t>
      </w:r>
      <w:r w:rsidR="009B110E" w:rsidRPr="009B110E">
        <w:rPr>
          <w:rFonts w:cs="Arial"/>
          <w:szCs w:val="22"/>
        </w:rPr>
        <w:t xml:space="preserve">continued </w:t>
      </w:r>
      <w:r w:rsidR="009B110E" w:rsidRPr="009B110E">
        <w:rPr>
          <w:rFonts w:cs="Arial"/>
          <w:szCs w:val="22"/>
          <w:lang w:val="en-GB"/>
        </w:rPr>
        <w:t>in estuarine habitats where all sites decreased in abundance.</w:t>
      </w:r>
    </w:p>
    <w:p w14:paraId="6E7D4FF0" w14:textId="4E0A1C57" w:rsidR="009866C3" w:rsidRPr="00B56853" w:rsidRDefault="00B00455" w:rsidP="009866C3">
      <w:pPr>
        <w:rPr>
          <w:rFonts w:cs="Arial"/>
          <w:szCs w:val="22"/>
          <w:lang w:val="en-GB"/>
        </w:rPr>
      </w:pPr>
      <w:r w:rsidRPr="00B56853">
        <w:rPr>
          <w:rFonts w:cs="Arial"/>
          <w:szCs w:val="22"/>
          <w:lang w:val="en-GB"/>
        </w:rPr>
        <w:t>Seagrass abundance (</w:t>
      </w:r>
      <w:r w:rsidR="004916B0">
        <w:rPr>
          <w:rFonts w:cs="Arial"/>
          <w:szCs w:val="22"/>
          <w:lang w:val="en-GB"/>
        </w:rPr>
        <w:t>per cent</w:t>
      </w:r>
      <w:r w:rsidRPr="00B56853">
        <w:rPr>
          <w:rFonts w:cs="Arial"/>
          <w:szCs w:val="22"/>
          <w:lang w:val="en-GB"/>
        </w:rPr>
        <w:t xml:space="preserve"> cover) i</w:t>
      </w:r>
      <w:r w:rsidR="00CB7184" w:rsidRPr="00B56853">
        <w:rPr>
          <w:rFonts w:cs="Arial"/>
          <w:szCs w:val="22"/>
          <w:lang w:val="en-GB"/>
        </w:rPr>
        <w:t xml:space="preserve">n the </w:t>
      </w:r>
      <w:r w:rsidR="00B72AC4">
        <w:rPr>
          <w:rFonts w:cs="Arial"/>
          <w:szCs w:val="22"/>
          <w:lang w:val="en-GB"/>
        </w:rPr>
        <w:t>Mackay–Whitsunday</w:t>
      </w:r>
      <w:r w:rsidR="00CB7184" w:rsidRPr="00B56853">
        <w:rPr>
          <w:rFonts w:cs="Arial"/>
          <w:szCs w:val="22"/>
          <w:lang w:val="en-GB"/>
        </w:rPr>
        <w:t xml:space="preserve"> region </w:t>
      </w:r>
      <w:r w:rsidR="00CC20A0" w:rsidRPr="00B56853">
        <w:rPr>
          <w:rFonts w:cs="Arial"/>
          <w:szCs w:val="22"/>
          <w:lang w:val="en-GB"/>
        </w:rPr>
        <w:t>in 2018</w:t>
      </w:r>
      <w:r w:rsidR="004916B0" w:rsidRPr="00FA314F">
        <w:rPr>
          <w:rFonts w:cs="Arial"/>
          <w:szCs w:val="22"/>
        </w:rPr>
        <w:t>–</w:t>
      </w:r>
      <w:r w:rsidR="00CC20A0" w:rsidRPr="00B56853">
        <w:rPr>
          <w:rFonts w:cs="Arial"/>
          <w:szCs w:val="22"/>
          <w:lang w:val="en-GB"/>
        </w:rPr>
        <w:t xml:space="preserve">19 </w:t>
      </w:r>
      <w:r w:rsidR="00CB7184" w:rsidRPr="00B56853">
        <w:rPr>
          <w:rFonts w:cs="Arial"/>
          <w:szCs w:val="22"/>
          <w:lang w:val="en-GB"/>
        </w:rPr>
        <w:t>wa</w:t>
      </w:r>
      <w:r w:rsidRPr="00B56853">
        <w:rPr>
          <w:rFonts w:cs="Arial"/>
          <w:szCs w:val="22"/>
          <w:lang w:val="en-GB"/>
        </w:rPr>
        <w:t xml:space="preserve">s higher in coastal habitats </w:t>
      </w:r>
      <w:r w:rsidR="009866C3" w:rsidRPr="00B56853">
        <w:rPr>
          <w:rFonts w:cs="Arial"/>
          <w:szCs w:val="22"/>
          <w:lang w:val="en-GB"/>
        </w:rPr>
        <w:t xml:space="preserve">(intertidal = </w:t>
      </w:r>
      <w:r w:rsidR="00CC20A0" w:rsidRPr="00B56853">
        <w:rPr>
          <w:rFonts w:cs="Arial"/>
          <w:szCs w:val="22"/>
          <w:lang w:val="en-GB"/>
        </w:rPr>
        <w:t>13.1</w:t>
      </w:r>
      <w:r w:rsidR="009866C3" w:rsidRPr="00B56853">
        <w:rPr>
          <w:rFonts w:cs="Arial"/>
          <w:szCs w:val="22"/>
          <w:lang w:val="en-GB"/>
        </w:rPr>
        <w:t xml:space="preserve"> ±1.</w:t>
      </w:r>
      <w:r w:rsidR="00CC20A0" w:rsidRPr="00B56853">
        <w:rPr>
          <w:rFonts w:cs="Arial"/>
          <w:szCs w:val="22"/>
          <w:lang w:val="en-GB"/>
        </w:rPr>
        <w:t>2</w:t>
      </w:r>
      <w:r w:rsidR="006D2E41">
        <w:rPr>
          <w:rFonts w:cs="Arial"/>
          <w:szCs w:val="22"/>
          <w:lang w:val="en-GB"/>
        </w:rPr>
        <w:t>%</w:t>
      </w:r>
      <w:r w:rsidR="009866C3" w:rsidRPr="00B56853">
        <w:rPr>
          <w:rFonts w:cs="Arial"/>
          <w:szCs w:val="22"/>
          <w:lang w:val="en-GB"/>
        </w:rPr>
        <w:t>, subtidal = 1</w:t>
      </w:r>
      <w:r w:rsidR="00CC20A0" w:rsidRPr="00B56853">
        <w:rPr>
          <w:rFonts w:cs="Arial"/>
          <w:szCs w:val="22"/>
          <w:lang w:val="en-GB"/>
        </w:rPr>
        <w:t>9.0</w:t>
      </w:r>
      <w:r w:rsidR="009866C3" w:rsidRPr="00B56853">
        <w:rPr>
          <w:rFonts w:cs="Arial"/>
          <w:szCs w:val="22"/>
          <w:lang w:val="en-GB"/>
        </w:rPr>
        <w:t xml:space="preserve"> ±</w:t>
      </w:r>
      <w:r w:rsidR="00CC20A0" w:rsidRPr="00B56853">
        <w:rPr>
          <w:rFonts w:cs="Arial"/>
          <w:szCs w:val="22"/>
          <w:lang w:val="en-GB"/>
        </w:rPr>
        <w:t>2.9</w:t>
      </w:r>
      <w:r w:rsidR="006D2E41">
        <w:rPr>
          <w:rFonts w:cs="Arial"/>
          <w:szCs w:val="22"/>
          <w:lang w:val="en-GB"/>
        </w:rPr>
        <w:t>%</w:t>
      </w:r>
      <w:r w:rsidR="009866C3" w:rsidRPr="00B56853">
        <w:rPr>
          <w:rFonts w:cs="Arial"/>
          <w:szCs w:val="22"/>
          <w:lang w:val="en-GB"/>
        </w:rPr>
        <w:t xml:space="preserve">) </w:t>
      </w:r>
      <w:r w:rsidRPr="00B56853">
        <w:rPr>
          <w:rFonts w:cs="Arial"/>
          <w:szCs w:val="22"/>
          <w:lang w:val="en-GB"/>
        </w:rPr>
        <w:t xml:space="preserve">than </w:t>
      </w:r>
      <w:r w:rsidR="00CC20A0" w:rsidRPr="00B56853">
        <w:rPr>
          <w:rFonts w:cs="Arial"/>
          <w:szCs w:val="22"/>
          <w:lang w:val="en-GB"/>
        </w:rPr>
        <w:t>reef habitats (intertidal = 7.6 ±124</w:t>
      </w:r>
      <w:r w:rsidR="006D2E41">
        <w:rPr>
          <w:rFonts w:cs="Arial"/>
          <w:szCs w:val="22"/>
          <w:lang w:val="en-GB"/>
        </w:rPr>
        <w:t>%</w:t>
      </w:r>
      <w:r w:rsidR="00CC20A0" w:rsidRPr="00B56853">
        <w:rPr>
          <w:rFonts w:cs="Arial"/>
          <w:szCs w:val="22"/>
          <w:lang w:val="en-GB"/>
        </w:rPr>
        <w:t>, subtidal = 4.9 ±0.7</w:t>
      </w:r>
      <w:r w:rsidR="006D2E41">
        <w:rPr>
          <w:rFonts w:cs="Arial"/>
          <w:szCs w:val="22"/>
          <w:lang w:val="en-GB"/>
        </w:rPr>
        <w:t>%</w:t>
      </w:r>
      <w:r w:rsidR="00CC20A0" w:rsidRPr="00B56853">
        <w:rPr>
          <w:rFonts w:cs="Arial"/>
          <w:szCs w:val="22"/>
          <w:lang w:val="en-GB"/>
        </w:rPr>
        <w:t xml:space="preserve">) or </w:t>
      </w:r>
      <w:r w:rsidRPr="00B56853">
        <w:rPr>
          <w:rFonts w:cs="Arial"/>
          <w:szCs w:val="22"/>
          <w:lang w:val="en-GB"/>
        </w:rPr>
        <w:t xml:space="preserve">estuarine </w:t>
      </w:r>
      <w:r w:rsidR="009866C3" w:rsidRPr="00B56853">
        <w:rPr>
          <w:rFonts w:cs="Arial"/>
          <w:szCs w:val="22"/>
          <w:lang w:val="en-GB"/>
        </w:rPr>
        <w:t>(</w:t>
      </w:r>
      <w:r w:rsidR="00CC20A0" w:rsidRPr="00B56853">
        <w:rPr>
          <w:rFonts w:cs="Arial"/>
          <w:szCs w:val="22"/>
          <w:lang w:val="en-GB"/>
        </w:rPr>
        <w:t>0.9</w:t>
      </w:r>
      <w:r w:rsidR="009866C3" w:rsidRPr="00B56853">
        <w:rPr>
          <w:rFonts w:cs="Arial"/>
          <w:szCs w:val="22"/>
          <w:lang w:val="en-GB"/>
        </w:rPr>
        <w:t xml:space="preserve"> ±</w:t>
      </w:r>
      <w:r w:rsidR="00CC20A0" w:rsidRPr="00B56853">
        <w:rPr>
          <w:rFonts w:cs="Arial"/>
          <w:szCs w:val="22"/>
          <w:lang w:val="en-GB"/>
        </w:rPr>
        <w:t>0.5</w:t>
      </w:r>
      <w:r w:rsidR="006D2E41">
        <w:rPr>
          <w:rFonts w:cs="Arial"/>
          <w:szCs w:val="22"/>
          <w:lang w:val="en-GB"/>
        </w:rPr>
        <w:t>%</w:t>
      </w:r>
      <w:r w:rsidR="009866C3" w:rsidRPr="00B56853">
        <w:rPr>
          <w:rFonts w:cs="Arial"/>
          <w:szCs w:val="22"/>
          <w:lang w:val="en-GB"/>
        </w:rPr>
        <w:t>)</w:t>
      </w:r>
      <w:r w:rsidR="00CC20A0" w:rsidRPr="00B56853">
        <w:rPr>
          <w:rFonts w:cs="Arial"/>
          <w:szCs w:val="22"/>
          <w:lang w:val="en-GB"/>
        </w:rPr>
        <w:t>,</w:t>
      </w:r>
      <w:r w:rsidR="009866C3" w:rsidRPr="00B56853">
        <w:rPr>
          <w:rFonts w:cs="Arial"/>
          <w:szCs w:val="22"/>
          <w:lang w:val="en-GB"/>
        </w:rPr>
        <w:t xml:space="preserve"> </w:t>
      </w:r>
      <w:r w:rsidRPr="00B56853">
        <w:rPr>
          <w:rFonts w:cs="Arial"/>
          <w:szCs w:val="22"/>
          <w:lang w:val="en-GB"/>
        </w:rPr>
        <w:t xml:space="preserve">respectively. </w:t>
      </w:r>
      <w:r w:rsidR="00CC20A0" w:rsidRPr="00B56853">
        <w:rPr>
          <w:rFonts w:cs="Arial"/>
          <w:szCs w:val="22"/>
          <w:lang w:val="en-GB"/>
        </w:rPr>
        <w:t>As a consequence of the recover</w:t>
      </w:r>
      <w:r w:rsidR="00B56853" w:rsidRPr="00B56853">
        <w:rPr>
          <w:rFonts w:cs="Arial"/>
          <w:szCs w:val="22"/>
          <w:lang w:val="en-GB"/>
        </w:rPr>
        <w:t xml:space="preserve">ing abundances, seagrass </w:t>
      </w:r>
      <w:r w:rsidR="00887319">
        <w:rPr>
          <w:rFonts w:cs="Arial"/>
          <w:szCs w:val="22"/>
          <w:lang w:val="en-GB"/>
        </w:rPr>
        <w:t xml:space="preserve">per cent </w:t>
      </w:r>
      <w:r w:rsidR="00B56853" w:rsidRPr="00B56853">
        <w:rPr>
          <w:rFonts w:cs="Arial"/>
          <w:szCs w:val="22"/>
          <w:lang w:val="en-GB"/>
        </w:rPr>
        <w:t xml:space="preserve">covers </w:t>
      </w:r>
      <w:r w:rsidR="00CB7184" w:rsidRPr="00B56853">
        <w:rPr>
          <w:rFonts w:cs="Arial"/>
          <w:szCs w:val="22"/>
          <w:lang w:val="en-GB"/>
        </w:rPr>
        <w:t>we</w:t>
      </w:r>
      <w:r w:rsidRPr="00B56853">
        <w:rPr>
          <w:rFonts w:cs="Arial"/>
          <w:szCs w:val="22"/>
          <w:lang w:val="en-GB"/>
        </w:rPr>
        <w:t xml:space="preserve">re </w:t>
      </w:r>
      <w:r w:rsidR="00B56853" w:rsidRPr="00B56853">
        <w:rPr>
          <w:rFonts w:cs="Arial"/>
          <w:szCs w:val="22"/>
          <w:lang w:val="en-GB"/>
        </w:rPr>
        <w:t xml:space="preserve">not greatly different between seasons </w:t>
      </w:r>
      <w:r w:rsidRPr="00B56853">
        <w:rPr>
          <w:rFonts w:cs="Arial"/>
          <w:szCs w:val="22"/>
          <w:lang w:val="en-GB"/>
        </w:rPr>
        <w:t>across all habitats</w:t>
      </w:r>
      <w:r w:rsidR="009866C3" w:rsidRPr="00B56853">
        <w:rPr>
          <w:rFonts w:cs="Arial"/>
          <w:szCs w:val="22"/>
          <w:lang w:val="en-GB"/>
        </w:rPr>
        <w:t xml:space="preserve"> (e.g. </w:t>
      </w:r>
      <w:r w:rsidR="00B56853" w:rsidRPr="00B56853">
        <w:rPr>
          <w:rFonts w:cs="Arial"/>
          <w:szCs w:val="22"/>
          <w:lang w:val="en-GB"/>
        </w:rPr>
        <w:t>coastal intertidal</w:t>
      </w:r>
      <w:r w:rsidR="009866C3" w:rsidRPr="00B56853">
        <w:rPr>
          <w:rFonts w:cs="Arial"/>
          <w:szCs w:val="22"/>
          <w:lang w:val="en-GB"/>
        </w:rPr>
        <w:t xml:space="preserve">, </w:t>
      </w:r>
      <w:r w:rsidR="00CC20A0" w:rsidRPr="00B56853">
        <w:rPr>
          <w:rFonts w:cs="Arial"/>
          <w:szCs w:val="22"/>
          <w:lang w:val="en-GB"/>
        </w:rPr>
        <w:t>late dry</w:t>
      </w:r>
      <w:r w:rsidR="009866C3" w:rsidRPr="00B56853">
        <w:rPr>
          <w:rFonts w:cs="Arial"/>
          <w:szCs w:val="22"/>
          <w:lang w:val="en-GB"/>
        </w:rPr>
        <w:t xml:space="preserve"> = 1</w:t>
      </w:r>
      <w:r w:rsidR="00B56853" w:rsidRPr="00B56853">
        <w:rPr>
          <w:rFonts w:cs="Arial"/>
          <w:szCs w:val="22"/>
          <w:lang w:val="en-GB"/>
        </w:rPr>
        <w:t>4.5</w:t>
      </w:r>
      <w:r w:rsidR="009866C3" w:rsidRPr="00B56853">
        <w:rPr>
          <w:rFonts w:cs="Arial"/>
          <w:szCs w:val="22"/>
          <w:lang w:val="en-GB"/>
        </w:rPr>
        <w:t xml:space="preserve"> ±1.</w:t>
      </w:r>
      <w:r w:rsidR="00B56853" w:rsidRPr="00B56853">
        <w:rPr>
          <w:rFonts w:cs="Arial"/>
          <w:szCs w:val="22"/>
          <w:lang w:val="en-GB"/>
        </w:rPr>
        <w:t>2</w:t>
      </w:r>
      <w:r w:rsidR="006D2E41">
        <w:rPr>
          <w:rFonts w:cs="Arial"/>
          <w:szCs w:val="22"/>
          <w:lang w:val="en-GB"/>
        </w:rPr>
        <w:t>%</w:t>
      </w:r>
      <w:r w:rsidR="009866C3" w:rsidRPr="00B56853">
        <w:rPr>
          <w:rFonts w:cs="Arial"/>
          <w:szCs w:val="22"/>
          <w:lang w:val="en-GB"/>
        </w:rPr>
        <w:t xml:space="preserve">, </w:t>
      </w:r>
      <w:r w:rsidR="00CC20A0" w:rsidRPr="00B56853">
        <w:rPr>
          <w:rFonts w:cs="Arial"/>
          <w:szCs w:val="22"/>
          <w:lang w:val="en-GB"/>
        </w:rPr>
        <w:t>late monsoon</w:t>
      </w:r>
      <w:r w:rsidR="009866C3" w:rsidRPr="00B56853">
        <w:rPr>
          <w:rFonts w:cs="Arial"/>
          <w:szCs w:val="22"/>
          <w:lang w:val="en-GB"/>
        </w:rPr>
        <w:t xml:space="preserve"> = </w:t>
      </w:r>
      <w:r w:rsidR="00B56853" w:rsidRPr="00B56853">
        <w:rPr>
          <w:rFonts w:cs="Arial"/>
          <w:szCs w:val="22"/>
          <w:lang w:val="en-GB"/>
        </w:rPr>
        <w:t>14.6</w:t>
      </w:r>
      <w:r w:rsidR="009866C3" w:rsidRPr="00B56853">
        <w:rPr>
          <w:rFonts w:cs="Arial"/>
          <w:szCs w:val="22"/>
          <w:lang w:val="en-GB"/>
        </w:rPr>
        <w:t xml:space="preserve"> ±1.</w:t>
      </w:r>
      <w:r w:rsidR="00B56853" w:rsidRPr="00B56853">
        <w:rPr>
          <w:rFonts w:cs="Arial"/>
          <w:szCs w:val="22"/>
          <w:lang w:val="en-GB"/>
        </w:rPr>
        <w:t>5</w:t>
      </w:r>
      <w:r w:rsidR="006D2E41">
        <w:rPr>
          <w:rFonts w:cs="Arial"/>
          <w:szCs w:val="22"/>
          <w:lang w:val="en-GB"/>
        </w:rPr>
        <w:t>%</w:t>
      </w:r>
      <w:r w:rsidR="009866C3" w:rsidRPr="00B56853">
        <w:rPr>
          <w:rFonts w:cs="Arial"/>
          <w:szCs w:val="22"/>
          <w:lang w:val="en-GB"/>
        </w:rPr>
        <w:t>).</w:t>
      </w:r>
    </w:p>
    <w:p w14:paraId="0CFC2D15" w14:textId="38A7D8A5" w:rsidR="009B110E" w:rsidRPr="00B56853" w:rsidRDefault="009866C3" w:rsidP="009B110E">
      <w:pPr>
        <w:rPr>
          <w:rFonts w:cs="Arial"/>
          <w:szCs w:val="22"/>
          <w:lang w:val="en-GB"/>
        </w:rPr>
      </w:pPr>
      <w:r w:rsidRPr="00B56853">
        <w:rPr>
          <w:rFonts w:cs="Arial"/>
          <w:szCs w:val="22"/>
          <w:lang w:val="en-GB"/>
        </w:rPr>
        <w:t xml:space="preserve">Seagrass abundance at estuary and coastal intertidal habitats has fluctuated greatly between and within years over the </w:t>
      </w:r>
      <w:r w:rsidR="00DA1839" w:rsidRPr="00B56853">
        <w:rPr>
          <w:rFonts w:cs="Arial"/>
          <w:szCs w:val="22"/>
          <w:lang w:val="en-GB"/>
        </w:rPr>
        <w:t>long-term</w:t>
      </w:r>
      <w:r w:rsidRPr="00B56853">
        <w:rPr>
          <w:rFonts w:cs="Arial"/>
          <w:szCs w:val="22"/>
          <w:lang w:val="en-GB"/>
        </w:rPr>
        <w:t>, with some sites experiencing total or near total loss followed by recovery (</w:t>
      </w:r>
      <w:r w:rsidRPr="00B56853">
        <w:rPr>
          <w:rFonts w:cs="Arial"/>
          <w:szCs w:val="22"/>
          <w:lang w:val="en-GB"/>
        </w:rPr>
        <w:fldChar w:fldCharType="begin"/>
      </w:r>
      <w:r w:rsidRPr="00B56853">
        <w:rPr>
          <w:rFonts w:cs="Arial"/>
          <w:szCs w:val="22"/>
          <w:lang w:val="en-GB"/>
        </w:rPr>
        <w:instrText xml:space="preserve"> REF _Ref533789986 \h </w:instrText>
      </w:r>
      <w:r w:rsidR="00CB093C" w:rsidRPr="00B56853">
        <w:rPr>
          <w:rFonts w:cs="Arial"/>
          <w:szCs w:val="22"/>
          <w:lang w:val="en-GB"/>
        </w:rPr>
        <w:instrText xml:space="preserve"> \* MERGEFORMAT </w:instrText>
      </w:r>
      <w:r w:rsidRPr="00B56853">
        <w:rPr>
          <w:rFonts w:cs="Arial"/>
          <w:szCs w:val="22"/>
          <w:lang w:val="en-GB"/>
        </w:rPr>
      </w:r>
      <w:r w:rsidRPr="00B56853">
        <w:rPr>
          <w:rFonts w:cs="Arial"/>
          <w:szCs w:val="22"/>
          <w:lang w:val="en-GB"/>
        </w:rPr>
        <w:fldChar w:fldCharType="separate"/>
      </w:r>
      <w:r w:rsidR="0067675D" w:rsidRPr="00D562E2">
        <w:rPr>
          <w:rFonts w:cs="Arial"/>
          <w:szCs w:val="22"/>
        </w:rPr>
        <w:t xml:space="preserve">Figure </w:t>
      </w:r>
      <w:r w:rsidR="0067675D">
        <w:rPr>
          <w:rFonts w:cs="Arial"/>
          <w:noProof/>
          <w:szCs w:val="22"/>
        </w:rPr>
        <w:t>64</w:t>
      </w:r>
      <w:r w:rsidRPr="00B56853">
        <w:rPr>
          <w:rFonts w:cs="Arial"/>
          <w:szCs w:val="22"/>
          <w:lang w:val="en-GB"/>
        </w:rPr>
        <w:fldChar w:fldCharType="end"/>
      </w:r>
      <w:r w:rsidRPr="00B56853">
        <w:rPr>
          <w:rFonts w:cs="Arial"/>
          <w:szCs w:val="22"/>
          <w:lang w:val="en-GB"/>
        </w:rPr>
        <w:t xml:space="preserve">). </w:t>
      </w:r>
      <w:r w:rsidR="009B110E" w:rsidRPr="00B56853">
        <w:rPr>
          <w:rFonts w:cs="Arial"/>
          <w:szCs w:val="22"/>
        </w:rPr>
        <w:t xml:space="preserve">The long-term trend indicates a declining trajectory </w:t>
      </w:r>
      <w:r w:rsidR="00B56853">
        <w:rPr>
          <w:rFonts w:cs="Arial"/>
          <w:szCs w:val="22"/>
        </w:rPr>
        <w:t>(</w:t>
      </w:r>
      <w:r w:rsidR="00B56853">
        <w:rPr>
          <w:rFonts w:cs="Arial"/>
          <w:szCs w:val="22"/>
        </w:rPr>
        <w:fldChar w:fldCharType="begin"/>
      </w:r>
      <w:r w:rsidR="00B56853">
        <w:rPr>
          <w:rFonts w:cs="Arial"/>
          <w:szCs w:val="22"/>
        </w:rPr>
        <w:instrText xml:space="preserve"> REF _Ref511310045 \h </w:instrText>
      </w:r>
      <w:r w:rsidR="00B56853">
        <w:rPr>
          <w:rFonts w:cs="Arial"/>
          <w:szCs w:val="22"/>
        </w:rPr>
      </w:r>
      <w:r w:rsidR="00B56853">
        <w:rPr>
          <w:rFonts w:cs="Arial"/>
          <w:szCs w:val="22"/>
        </w:rPr>
        <w:fldChar w:fldCharType="separate"/>
      </w:r>
      <w:r w:rsidR="0067675D" w:rsidRPr="00867E8C">
        <w:rPr>
          <w:rFonts w:cs="Arial"/>
          <w:szCs w:val="22"/>
        </w:rPr>
        <w:t xml:space="preserve">Table </w:t>
      </w:r>
      <w:r w:rsidR="0067675D">
        <w:rPr>
          <w:rFonts w:cs="Arial"/>
          <w:noProof/>
          <w:szCs w:val="22"/>
        </w:rPr>
        <w:t>20</w:t>
      </w:r>
      <w:r w:rsidR="00B56853">
        <w:rPr>
          <w:rFonts w:cs="Arial"/>
          <w:szCs w:val="22"/>
        </w:rPr>
        <w:fldChar w:fldCharType="end"/>
      </w:r>
      <w:r w:rsidR="00B56853">
        <w:rPr>
          <w:rFonts w:cs="Arial"/>
          <w:szCs w:val="22"/>
        </w:rPr>
        <w:t xml:space="preserve">) </w:t>
      </w:r>
      <w:r w:rsidR="009B110E" w:rsidRPr="00B56853">
        <w:rPr>
          <w:rFonts w:cs="Arial"/>
          <w:szCs w:val="22"/>
        </w:rPr>
        <w:t>with a region struggling to recover from losses in the years leading up to 2010–11 and in early 2017.</w:t>
      </w:r>
    </w:p>
    <w:p w14:paraId="015411DD" w14:textId="77777777" w:rsidR="003A07FC" w:rsidRPr="00D562E2" w:rsidRDefault="003A07FC" w:rsidP="003A07FC">
      <w:pPr>
        <w:rPr>
          <w:rFonts w:cs="Arial"/>
          <w:color w:val="000000" w:themeColor="text1"/>
          <w:szCs w:val="22"/>
        </w:rPr>
      </w:pPr>
    </w:p>
    <w:p w14:paraId="113DFFE3" w14:textId="77777777" w:rsidR="003A07FC" w:rsidRPr="00D562E2" w:rsidRDefault="003A07FC" w:rsidP="003A07FC">
      <w:pPr>
        <w:keepNext/>
        <w:widowControl w:val="0"/>
        <w:jc w:val="center"/>
        <w:rPr>
          <w:rFonts w:cs="Arial"/>
          <w:color w:val="000000"/>
          <w:szCs w:val="22"/>
        </w:rPr>
      </w:pPr>
      <w:r w:rsidRPr="00D562E2">
        <w:rPr>
          <w:rFonts w:cs="Arial"/>
          <w:noProof/>
          <w:color w:val="000000"/>
          <w:szCs w:val="22"/>
          <w:lang w:eastAsia="en-AU"/>
        </w:rPr>
        <w:lastRenderedPageBreak/>
        <w:drawing>
          <wp:inline distT="0" distB="0" distL="0" distR="0" wp14:anchorId="6D567C99" wp14:editId="4A950FEE">
            <wp:extent cx="5760000" cy="2926666"/>
            <wp:effectExtent l="0" t="0" r="0" b="7620"/>
            <wp:docPr id="546" name="Picture 546" descr="Panel of eight graphs, displayed in two by four matrix, showing seagrass percent cover measures per quadrat (sites pooled) for each habitat monitored from June 2005 to May 2019 in the Mackay Whitsunday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B_cvr_GAM_Dec16.png"/>
                    <pic:cNvPicPr/>
                  </pic:nvPicPr>
                  <pic:blipFill>
                    <a:blip r:embed="rId117"/>
                    <a:stretch>
                      <a:fillRect/>
                    </a:stretch>
                  </pic:blipFill>
                  <pic:spPr>
                    <a:xfrm>
                      <a:off x="0" y="0"/>
                      <a:ext cx="5760000" cy="2926666"/>
                    </a:xfrm>
                    <a:prstGeom prst="rect">
                      <a:avLst/>
                    </a:prstGeom>
                  </pic:spPr>
                </pic:pic>
              </a:graphicData>
            </a:graphic>
          </wp:inline>
        </w:drawing>
      </w:r>
    </w:p>
    <w:p w14:paraId="50C6E8D5" w14:textId="6AE40BCB" w:rsidR="00A355AB" w:rsidRPr="00D562E2" w:rsidRDefault="003A07FC" w:rsidP="00A355AB">
      <w:pPr>
        <w:rPr>
          <w:rFonts w:cs="Arial"/>
          <w:i/>
          <w:vanish/>
          <w:szCs w:val="22"/>
          <w:specVanish/>
        </w:rPr>
      </w:pPr>
      <w:bookmarkStart w:id="504" w:name="_Ref533789986"/>
      <w:bookmarkStart w:id="505" w:name="_Toc38634168"/>
      <w:r w:rsidRPr="00D562E2">
        <w:rPr>
          <w:rFonts w:cs="Arial"/>
          <w:szCs w:val="22"/>
        </w:rPr>
        <w:t xml:space="preserve">Figure </w:t>
      </w:r>
      <w:r w:rsidRPr="00D562E2">
        <w:rPr>
          <w:rFonts w:cs="Arial"/>
          <w:noProof/>
          <w:szCs w:val="22"/>
        </w:rPr>
        <w:fldChar w:fldCharType="begin"/>
      </w:r>
      <w:r w:rsidRPr="00D562E2">
        <w:rPr>
          <w:rFonts w:cs="Arial"/>
          <w:noProof/>
          <w:szCs w:val="22"/>
        </w:rPr>
        <w:instrText xml:space="preserve"> SEQ Figure \* ARABIC </w:instrText>
      </w:r>
      <w:r w:rsidRPr="00D562E2">
        <w:rPr>
          <w:rFonts w:cs="Arial"/>
          <w:noProof/>
          <w:szCs w:val="22"/>
        </w:rPr>
        <w:fldChar w:fldCharType="separate"/>
      </w:r>
      <w:r w:rsidR="0067675D">
        <w:rPr>
          <w:rFonts w:cs="Arial"/>
          <w:noProof/>
          <w:szCs w:val="22"/>
        </w:rPr>
        <w:t>64</w:t>
      </w:r>
      <w:r w:rsidRPr="00D562E2">
        <w:rPr>
          <w:rFonts w:cs="Arial"/>
          <w:noProof/>
          <w:szCs w:val="22"/>
        </w:rPr>
        <w:fldChar w:fldCharType="end"/>
      </w:r>
      <w:bookmarkEnd w:id="504"/>
      <w:r w:rsidRPr="00D562E2">
        <w:rPr>
          <w:rFonts w:cs="Arial"/>
          <w:szCs w:val="22"/>
        </w:rPr>
        <w:t xml:space="preserve">. </w:t>
      </w:r>
      <w:r w:rsidR="00A355AB" w:rsidRPr="00D562E2">
        <w:rPr>
          <w:rFonts w:cs="Arial"/>
          <w:i/>
          <w:szCs w:val="22"/>
        </w:rPr>
        <w:t xml:space="preserve">Seagrass per cent cover measures per quadrat (sites pooled) and long-term trends, for each habitat monitored in the </w:t>
      </w:r>
      <w:r w:rsidR="00B72AC4">
        <w:rPr>
          <w:rFonts w:cs="Arial"/>
          <w:i/>
          <w:color w:val="000000"/>
          <w:szCs w:val="22"/>
        </w:rPr>
        <w:t>Mackay–Whitsunday</w:t>
      </w:r>
      <w:r w:rsidR="00A355AB" w:rsidRPr="00D562E2">
        <w:rPr>
          <w:rFonts w:cs="Arial"/>
          <w:i/>
          <w:color w:val="000000"/>
          <w:szCs w:val="22"/>
        </w:rPr>
        <w:t xml:space="preserve"> NRM </w:t>
      </w:r>
      <w:r w:rsidR="00A355AB" w:rsidRPr="00D562E2">
        <w:rPr>
          <w:rFonts w:cs="Arial"/>
          <w:i/>
          <w:szCs w:val="22"/>
        </w:rPr>
        <w:t>region from 1999 to 201</w:t>
      </w:r>
      <w:r w:rsidR="00371FEA" w:rsidRPr="00D562E2">
        <w:rPr>
          <w:rFonts w:cs="Arial"/>
          <w:i/>
          <w:szCs w:val="22"/>
        </w:rPr>
        <w:t>9</w:t>
      </w:r>
      <w:r w:rsidR="00A355AB" w:rsidRPr="00D562E2">
        <w:rPr>
          <w:rFonts w:cs="Arial"/>
          <w:i/>
          <w:szCs w:val="22"/>
        </w:rPr>
        <w:t>.</w:t>
      </w:r>
      <w:bookmarkEnd w:id="505"/>
    </w:p>
    <w:p w14:paraId="7D34CAD6" w14:textId="79DF190E" w:rsidR="003A07FC" w:rsidRPr="00D562E2" w:rsidRDefault="00A355AB" w:rsidP="00A355AB">
      <w:pPr>
        <w:rPr>
          <w:rFonts w:cs="Arial"/>
          <w:i/>
          <w:szCs w:val="22"/>
        </w:rPr>
      </w:pPr>
      <w:r w:rsidRPr="00D562E2">
        <w:rPr>
          <w:rFonts w:cs="Arial"/>
          <w:i/>
          <w:szCs w:val="22"/>
          <w:lang w:val="en-GB"/>
        </w:rPr>
        <w:t xml:space="preserve"> Whisker plots (top) show th</w:t>
      </w:r>
      <w:r w:rsidRPr="00D562E2">
        <w:rPr>
          <w:rFonts w:cs="Arial"/>
          <w:i/>
          <w:szCs w:val="22"/>
        </w:rPr>
        <w:t>e box representing the interquartile range of values, where the boundary of the box closest to zero indicates the 25</w:t>
      </w:r>
      <w:r w:rsidRPr="00D562E2">
        <w:rPr>
          <w:rFonts w:cs="Arial"/>
          <w:i/>
          <w:szCs w:val="22"/>
          <w:vertAlign w:val="superscript"/>
        </w:rPr>
        <w:t>th</w:t>
      </w:r>
      <w:r w:rsidRPr="00D562E2">
        <w:rPr>
          <w:rFonts w:cs="Arial"/>
          <w:i/>
          <w:szCs w:val="22"/>
        </w:rPr>
        <w:t xml:space="preserve"> percentile, a line within the box marks the median, and the boundary of the box farthest from zero indicates the 75</w:t>
      </w:r>
      <w:r w:rsidRPr="00D562E2">
        <w:rPr>
          <w:rFonts w:cs="Arial"/>
          <w:i/>
          <w:szCs w:val="22"/>
          <w:vertAlign w:val="superscript"/>
        </w:rPr>
        <w:t>th</w:t>
      </w:r>
      <w:r w:rsidRPr="00D562E2">
        <w:rPr>
          <w:rFonts w:cs="Arial"/>
          <w:i/>
          <w:szCs w:val="22"/>
        </w:rPr>
        <w:t xml:space="preserve"> percentile. Whiskers (error bars) above and below the box indicate the 90</w:t>
      </w:r>
      <w:r w:rsidRPr="00D562E2">
        <w:rPr>
          <w:rFonts w:cs="Arial"/>
          <w:i/>
          <w:szCs w:val="22"/>
          <w:vertAlign w:val="superscript"/>
        </w:rPr>
        <w:t>th</w:t>
      </w:r>
      <w:r w:rsidRPr="00D562E2">
        <w:rPr>
          <w:rFonts w:cs="Arial"/>
          <w:i/>
          <w:szCs w:val="22"/>
        </w:rPr>
        <w:t xml:space="preserve"> and 10</w:t>
      </w:r>
      <w:r w:rsidRPr="00D562E2">
        <w:rPr>
          <w:rFonts w:cs="Arial"/>
          <w:i/>
          <w:szCs w:val="22"/>
          <w:vertAlign w:val="superscript"/>
        </w:rPr>
        <w:t>th</w:t>
      </w:r>
      <w:r w:rsidRPr="00D562E2">
        <w:rPr>
          <w:rFonts w:cs="Arial"/>
          <w:i/>
          <w:szCs w:val="22"/>
        </w:rPr>
        <w:t xml:space="preserve"> percentiles, and the dots represent outlying points.</w:t>
      </w:r>
      <w:r w:rsidRPr="00D562E2">
        <w:rPr>
          <w:rFonts w:cs="Arial"/>
          <w:i/>
          <w:szCs w:val="22"/>
          <w:lang w:val="en-GB"/>
        </w:rPr>
        <w:t xml:space="preserve"> </w:t>
      </w:r>
      <w:r w:rsidRPr="00D562E2">
        <w:rPr>
          <w:rFonts w:cs="Arial"/>
          <w:i/>
          <w:szCs w:val="22"/>
        </w:rPr>
        <w:t>GAMM plots (bottom), show trends for each habitat and coloured lines represent individual site trends</w:t>
      </w:r>
    </w:p>
    <w:p w14:paraId="6F3E39C1" w14:textId="77777777" w:rsidR="003A07FC" w:rsidRPr="00D562E2" w:rsidRDefault="003A07FC" w:rsidP="003A07FC">
      <w:pPr>
        <w:rPr>
          <w:rFonts w:cs="Arial"/>
          <w:szCs w:val="22"/>
          <w:lang w:val="en-GB"/>
        </w:rPr>
      </w:pPr>
    </w:p>
    <w:p w14:paraId="454AE1F4" w14:textId="7689F76A" w:rsidR="009607B0" w:rsidRPr="00D562E2" w:rsidRDefault="00C31BE9" w:rsidP="00C31BE9">
      <w:pPr>
        <w:rPr>
          <w:rFonts w:cs="Arial"/>
          <w:szCs w:val="22"/>
        </w:rPr>
      </w:pPr>
      <w:r w:rsidRPr="00D562E2">
        <w:rPr>
          <w:rFonts w:cs="Arial"/>
          <w:szCs w:val="22"/>
        </w:rPr>
        <w:t xml:space="preserve">The most common seagrass species across all habitats in the </w:t>
      </w:r>
      <w:r w:rsidR="00B72AC4">
        <w:rPr>
          <w:rFonts w:cs="Arial"/>
          <w:szCs w:val="22"/>
        </w:rPr>
        <w:t>Mackay–Whitsunday</w:t>
      </w:r>
      <w:r w:rsidRPr="00D562E2">
        <w:rPr>
          <w:rFonts w:cs="Arial"/>
          <w:szCs w:val="22"/>
        </w:rPr>
        <w:t xml:space="preserve"> NRM region were </w:t>
      </w:r>
      <w:r w:rsidRPr="00D562E2">
        <w:rPr>
          <w:rFonts w:cs="Arial"/>
          <w:i/>
          <w:szCs w:val="22"/>
        </w:rPr>
        <w:t>Halodule uninervis</w:t>
      </w:r>
      <w:r w:rsidRPr="00D562E2">
        <w:rPr>
          <w:rFonts w:cs="Arial"/>
          <w:szCs w:val="22"/>
        </w:rPr>
        <w:t xml:space="preserve"> and </w:t>
      </w:r>
      <w:r w:rsidRPr="00D562E2">
        <w:rPr>
          <w:rFonts w:cs="Arial"/>
          <w:i/>
          <w:szCs w:val="22"/>
        </w:rPr>
        <w:t>Zostera muelleri</w:t>
      </w:r>
      <w:r w:rsidRPr="00D562E2">
        <w:rPr>
          <w:rFonts w:cs="Arial"/>
          <w:szCs w:val="22"/>
        </w:rPr>
        <w:t xml:space="preserve">, mixed with the colonising species </w:t>
      </w:r>
      <w:r w:rsidRPr="00D562E2">
        <w:rPr>
          <w:rFonts w:cs="Arial"/>
          <w:i/>
          <w:szCs w:val="22"/>
        </w:rPr>
        <w:t>Halophila ovalis</w:t>
      </w:r>
      <w:r w:rsidRPr="00D562E2">
        <w:rPr>
          <w:rFonts w:cs="Arial"/>
          <w:szCs w:val="22"/>
        </w:rPr>
        <w:t xml:space="preserve">. </w:t>
      </w:r>
    </w:p>
    <w:p w14:paraId="3DE9B0C3" w14:textId="18C031E3" w:rsidR="00C31BE9" w:rsidRPr="00D562E2" w:rsidRDefault="00C31BE9" w:rsidP="00C31BE9">
      <w:pPr>
        <w:rPr>
          <w:rFonts w:cs="Arial"/>
          <w:szCs w:val="22"/>
          <w:lang w:val="en-GB"/>
        </w:rPr>
      </w:pPr>
      <w:r w:rsidRPr="00D562E2">
        <w:rPr>
          <w:rFonts w:cs="Arial"/>
          <w:szCs w:val="22"/>
        </w:rPr>
        <w:t xml:space="preserve">Colonising species dominated </w:t>
      </w:r>
      <w:r w:rsidR="00640184" w:rsidRPr="00D562E2">
        <w:rPr>
          <w:rFonts w:cs="Arial"/>
          <w:szCs w:val="22"/>
        </w:rPr>
        <w:t>intertidal</w:t>
      </w:r>
      <w:r w:rsidRPr="00D562E2">
        <w:rPr>
          <w:rFonts w:cs="Arial"/>
          <w:szCs w:val="22"/>
        </w:rPr>
        <w:t xml:space="preserve"> meadows across the </w:t>
      </w:r>
      <w:r w:rsidR="00B72AC4">
        <w:rPr>
          <w:rFonts w:cs="Arial"/>
          <w:szCs w:val="22"/>
        </w:rPr>
        <w:t>Mackay–Whitsunday</w:t>
      </w:r>
      <w:r w:rsidRPr="00D562E2">
        <w:rPr>
          <w:rFonts w:cs="Arial"/>
          <w:szCs w:val="22"/>
        </w:rPr>
        <w:t xml:space="preserve"> </w:t>
      </w:r>
      <w:r w:rsidR="00DA1839" w:rsidRPr="00D562E2">
        <w:rPr>
          <w:rFonts w:cs="Arial"/>
          <w:szCs w:val="22"/>
        </w:rPr>
        <w:t>region</w:t>
      </w:r>
      <w:r w:rsidRPr="00D562E2">
        <w:rPr>
          <w:rFonts w:cs="Arial"/>
          <w:szCs w:val="22"/>
        </w:rPr>
        <w:t xml:space="preserve"> </w:t>
      </w:r>
      <w:r w:rsidR="00B13978" w:rsidRPr="00D562E2">
        <w:rPr>
          <w:rFonts w:cs="Arial"/>
          <w:szCs w:val="22"/>
        </w:rPr>
        <w:t xml:space="preserve">in the first few years </w:t>
      </w:r>
      <w:r w:rsidRPr="00D562E2">
        <w:rPr>
          <w:rFonts w:cs="Arial"/>
          <w:szCs w:val="22"/>
        </w:rPr>
        <w:t>followi</w:t>
      </w:r>
      <w:r w:rsidR="00640184" w:rsidRPr="00D562E2">
        <w:rPr>
          <w:rFonts w:cs="Arial"/>
          <w:szCs w:val="22"/>
        </w:rPr>
        <w:t xml:space="preserve">ng the extreme weather in 2011. In the previous two years, there has been a dramatic reduction in colonising species in estuarine and coastal intertidal habitats. In all habitats except reef, </w:t>
      </w:r>
      <w:r w:rsidR="009D01B5" w:rsidRPr="00D562E2">
        <w:rPr>
          <w:rFonts w:cs="Arial"/>
          <w:szCs w:val="22"/>
        </w:rPr>
        <w:t>opportunistic foundational species (</w:t>
      </w:r>
      <w:r w:rsidRPr="00D562E2">
        <w:rPr>
          <w:rFonts w:cs="Arial"/>
          <w:i/>
          <w:szCs w:val="22"/>
        </w:rPr>
        <w:t>H. uninervis</w:t>
      </w:r>
      <w:r w:rsidRPr="00D562E2">
        <w:rPr>
          <w:rFonts w:cs="Arial"/>
          <w:szCs w:val="22"/>
        </w:rPr>
        <w:t xml:space="preserve"> and </w:t>
      </w:r>
      <w:r w:rsidRPr="00D562E2">
        <w:rPr>
          <w:rFonts w:cs="Arial"/>
          <w:i/>
          <w:szCs w:val="22"/>
        </w:rPr>
        <w:t>Z. muelleri</w:t>
      </w:r>
      <w:r w:rsidR="009D01B5" w:rsidRPr="00D562E2">
        <w:rPr>
          <w:rFonts w:cs="Arial"/>
          <w:szCs w:val="22"/>
        </w:rPr>
        <w:t>)</w:t>
      </w:r>
      <w:r w:rsidRPr="00D562E2">
        <w:rPr>
          <w:rFonts w:cs="Arial"/>
          <w:szCs w:val="22"/>
        </w:rPr>
        <w:t xml:space="preserve"> now dominate (</w:t>
      </w:r>
      <w:r w:rsidR="00993358" w:rsidRPr="00D562E2">
        <w:rPr>
          <w:rFonts w:cs="Arial"/>
          <w:szCs w:val="22"/>
          <w:lang w:val="en-GB"/>
        </w:rPr>
        <w:fldChar w:fldCharType="begin"/>
      </w:r>
      <w:r w:rsidR="00993358" w:rsidRPr="00D562E2">
        <w:rPr>
          <w:rFonts w:cs="Arial"/>
          <w:szCs w:val="22"/>
          <w:lang w:val="en-GB"/>
        </w:rPr>
        <w:instrText xml:space="preserve"> REF _Ref382206677 \h  \* MERGEFORMAT </w:instrText>
      </w:r>
      <w:r w:rsidR="00993358" w:rsidRPr="00D562E2">
        <w:rPr>
          <w:rFonts w:cs="Arial"/>
          <w:szCs w:val="22"/>
          <w:lang w:val="en-GB"/>
        </w:rPr>
      </w:r>
      <w:r w:rsidR="00993358"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65</w:t>
      </w:r>
      <w:r w:rsidR="00993358" w:rsidRPr="00D562E2">
        <w:rPr>
          <w:rFonts w:cs="Arial"/>
          <w:szCs w:val="22"/>
          <w:lang w:val="en-GB"/>
        </w:rPr>
        <w:fldChar w:fldCharType="end"/>
      </w:r>
      <w:r w:rsidRPr="00D562E2">
        <w:rPr>
          <w:rFonts w:cs="Arial"/>
          <w:szCs w:val="22"/>
        </w:rPr>
        <w:t>)</w:t>
      </w:r>
      <w:r w:rsidR="009D01B5" w:rsidRPr="00D562E2">
        <w:rPr>
          <w:rFonts w:cs="Arial"/>
          <w:szCs w:val="22"/>
          <w:lang w:val="en-GB"/>
        </w:rPr>
        <w:t xml:space="preserve">, </w:t>
      </w:r>
      <w:r w:rsidR="009D01B5" w:rsidRPr="00D562E2">
        <w:rPr>
          <w:rFonts w:cs="Arial"/>
          <w:iCs/>
          <w:szCs w:val="22"/>
        </w:rPr>
        <w:t xml:space="preserve">suggesting meadows may have an improved ecosystem </w:t>
      </w:r>
      <w:r w:rsidR="009D01B5" w:rsidRPr="00D562E2">
        <w:rPr>
          <w:rFonts w:cs="Arial"/>
          <w:iCs/>
          <w:szCs w:val="22"/>
        </w:rPr>
        <w:lastRenderedPageBreak/>
        <w:t>resistance to tolerate disturbances</w:t>
      </w:r>
      <w:r w:rsidR="009D01B5" w:rsidRPr="00D562E2">
        <w:rPr>
          <w:rFonts w:cs="Arial"/>
          <w:szCs w:val="22"/>
          <w:lang w:val="en-GB"/>
        </w:rPr>
        <w:t xml:space="preserve"> (</w:t>
      </w:r>
      <w:r w:rsidR="009D01B5" w:rsidRPr="00D562E2">
        <w:rPr>
          <w:rFonts w:cs="Arial"/>
          <w:szCs w:val="22"/>
          <w:lang w:val="en-GB"/>
        </w:rPr>
        <w:fldChar w:fldCharType="begin"/>
      </w:r>
      <w:r w:rsidR="009D01B5" w:rsidRPr="00D562E2">
        <w:rPr>
          <w:rFonts w:cs="Arial"/>
          <w:szCs w:val="22"/>
          <w:lang w:val="en-GB"/>
        </w:rPr>
        <w:instrText xml:space="preserve"> REF _Ref382206677 \h  \* MERGEFORMAT </w:instrText>
      </w:r>
      <w:r w:rsidR="009D01B5" w:rsidRPr="00D562E2">
        <w:rPr>
          <w:rFonts w:cs="Arial"/>
          <w:szCs w:val="22"/>
          <w:lang w:val="en-GB"/>
        </w:rPr>
      </w:r>
      <w:r w:rsidR="009D01B5"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65</w:t>
      </w:r>
      <w:r w:rsidR="009D01B5" w:rsidRPr="00D562E2">
        <w:rPr>
          <w:rFonts w:cs="Arial"/>
          <w:szCs w:val="22"/>
          <w:lang w:val="en-GB"/>
        </w:rPr>
        <w:fldChar w:fldCharType="end"/>
      </w:r>
      <w:r w:rsidR="009D01B5" w:rsidRPr="00D562E2">
        <w:rPr>
          <w:rFonts w:cs="Arial"/>
          <w:szCs w:val="22"/>
          <w:lang w:val="en-GB"/>
        </w:rPr>
        <w:t xml:space="preserve">). </w:t>
      </w:r>
      <w:r w:rsidRPr="00D562E2">
        <w:rPr>
          <w:rFonts w:cs="Arial"/>
          <w:szCs w:val="22"/>
        </w:rPr>
        <w:t xml:space="preserve">In contrast, in </w:t>
      </w:r>
      <w:r w:rsidR="005A6185">
        <w:rPr>
          <w:rFonts w:cs="Arial"/>
          <w:szCs w:val="22"/>
        </w:rPr>
        <w:t xml:space="preserve">intertidal </w:t>
      </w:r>
      <w:r w:rsidRPr="00D562E2">
        <w:rPr>
          <w:rFonts w:cs="Arial"/>
          <w:szCs w:val="22"/>
        </w:rPr>
        <w:t>reef habitats (</w:t>
      </w:r>
      <w:r w:rsidR="00993358" w:rsidRPr="00D562E2">
        <w:rPr>
          <w:rFonts w:cs="Arial"/>
          <w:szCs w:val="22"/>
        </w:rPr>
        <w:t>Hamilton Island</w:t>
      </w:r>
      <w:r w:rsidRPr="00D562E2">
        <w:rPr>
          <w:rFonts w:cs="Arial"/>
          <w:szCs w:val="22"/>
        </w:rPr>
        <w:t xml:space="preserve">), colonising species </w:t>
      </w:r>
      <w:r w:rsidR="00640184" w:rsidRPr="00D562E2">
        <w:rPr>
          <w:rFonts w:cs="Arial"/>
          <w:szCs w:val="22"/>
        </w:rPr>
        <w:t xml:space="preserve">have </w:t>
      </w:r>
      <w:r w:rsidR="009D01B5" w:rsidRPr="00D562E2">
        <w:rPr>
          <w:rFonts w:cs="Arial"/>
          <w:szCs w:val="22"/>
        </w:rPr>
        <w:t>been steadily increasing</w:t>
      </w:r>
      <w:r w:rsidR="00640184" w:rsidRPr="00D562E2">
        <w:rPr>
          <w:rFonts w:cs="Arial"/>
          <w:szCs w:val="22"/>
        </w:rPr>
        <w:t xml:space="preserve"> since 2006</w:t>
      </w:r>
      <w:r w:rsidR="00B13978" w:rsidRPr="00D562E2">
        <w:rPr>
          <w:rFonts w:cs="Arial"/>
          <w:szCs w:val="22"/>
        </w:rPr>
        <w:t xml:space="preserve"> and remained above the </w:t>
      </w:r>
      <w:r w:rsidR="003158FC" w:rsidRPr="00D562E2">
        <w:rPr>
          <w:rFonts w:cs="Arial"/>
          <w:szCs w:val="22"/>
        </w:rPr>
        <w:t>Reef</w:t>
      </w:r>
      <w:r w:rsidR="00B13978" w:rsidRPr="00D562E2">
        <w:rPr>
          <w:rFonts w:cs="Arial"/>
          <w:szCs w:val="22"/>
        </w:rPr>
        <w:t xml:space="preserve"> long-term average over the last few years</w:t>
      </w:r>
      <w:r w:rsidRPr="00D562E2">
        <w:rPr>
          <w:rFonts w:cs="Arial"/>
          <w:szCs w:val="22"/>
        </w:rPr>
        <w:t>.</w:t>
      </w:r>
      <w:r w:rsidR="009D01B5" w:rsidRPr="00D562E2">
        <w:rPr>
          <w:rFonts w:cs="Arial"/>
          <w:szCs w:val="22"/>
          <w:lang w:val="en-GB"/>
        </w:rPr>
        <w:t xml:space="preserve"> </w:t>
      </w:r>
      <w:r w:rsidR="00B13978" w:rsidRPr="00D562E2">
        <w:rPr>
          <w:rFonts w:cs="Arial"/>
          <w:szCs w:val="22"/>
          <w:lang w:val="en-GB"/>
        </w:rPr>
        <w:t xml:space="preserve">In </w:t>
      </w:r>
      <w:r w:rsidR="00956639" w:rsidRPr="00D562E2">
        <w:rPr>
          <w:rFonts w:cs="Arial"/>
          <w:szCs w:val="22"/>
          <w:lang w:val="en-GB"/>
        </w:rPr>
        <w:t>2018–19</w:t>
      </w:r>
      <w:r w:rsidR="00B13978" w:rsidRPr="00D562E2">
        <w:rPr>
          <w:rFonts w:cs="Arial"/>
          <w:szCs w:val="22"/>
          <w:lang w:val="en-GB"/>
        </w:rPr>
        <w:t xml:space="preserve">, the only notable change was an increase of colonising species in </w:t>
      </w:r>
      <w:r w:rsidR="005A6185">
        <w:rPr>
          <w:rFonts w:cs="Arial"/>
          <w:szCs w:val="22"/>
        </w:rPr>
        <w:t xml:space="preserve">subtidal reef </w:t>
      </w:r>
      <w:r w:rsidR="00B13978" w:rsidRPr="00D562E2">
        <w:rPr>
          <w:rFonts w:cs="Arial"/>
          <w:szCs w:val="22"/>
          <w:lang w:val="en-GB"/>
        </w:rPr>
        <w:t xml:space="preserve">meadows, </w:t>
      </w:r>
      <w:r w:rsidR="005A6185">
        <w:rPr>
          <w:rFonts w:cs="Arial"/>
          <w:szCs w:val="22"/>
          <w:lang w:val="en-GB"/>
        </w:rPr>
        <w:t>where</w:t>
      </w:r>
      <w:r w:rsidR="00B13978" w:rsidRPr="00D562E2">
        <w:rPr>
          <w:rFonts w:cs="Arial"/>
          <w:szCs w:val="22"/>
          <w:lang w:val="en-GB"/>
        </w:rPr>
        <w:t xml:space="preserve"> the composition </w:t>
      </w:r>
      <w:r w:rsidR="005A6185">
        <w:rPr>
          <w:rFonts w:cs="Arial"/>
          <w:szCs w:val="22"/>
          <w:lang w:val="en-GB"/>
        </w:rPr>
        <w:t>has increased above</w:t>
      </w:r>
      <w:r w:rsidR="00B13978" w:rsidRPr="00D562E2">
        <w:rPr>
          <w:rFonts w:cs="Arial"/>
          <w:szCs w:val="22"/>
          <w:lang w:val="en-GB"/>
        </w:rPr>
        <w:t xml:space="preserve"> the </w:t>
      </w:r>
      <w:r w:rsidR="003158FC" w:rsidRPr="00D562E2">
        <w:rPr>
          <w:rFonts w:cs="Arial"/>
          <w:szCs w:val="22"/>
        </w:rPr>
        <w:t>Reef</w:t>
      </w:r>
      <w:r w:rsidR="00B13978" w:rsidRPr="00D562E2">
        <w:rPr>
          <w:rFonts w:cs="Arial"/>
          <w:szCs w:val="22"/>
        </w:rPr>
        <w:t xml:space="preserve"> long-term average</w:t>
      </w:r>
      <w:r w:rsidR="005A6185">
        <w:rPr>
          <w:rFonts w:cs="Arial"/>
          <w:szCs w:val="22"/>
        </w:rPr>
        <w:t xml:space="preserve"> </w:t>
      </w:r>
      <w:r w:rsidR="005A6185" w:rsidRPr="00D562E2">
        <w:rPr>
          <w:rFonts w:cs="Arial"/>
          <w:szCs w:val="22"/>
          <w:lang w:val="en-GB"/>
        </w:rPr>
        <w:t>(</w:t>
      </w:r>
      <w:r w:rsidR="005A6185" w:rsidRPr="00D562E2">
        <w:rPr>
          <w:rFonts w:cs="Arial"/>
          <w:szCs w:val="22"/>
          <w:lang w:val="en-GB"/>
        </w:rPr>
        <w:fldChar w:fldCharType="begin"/>
      </w:r>
      <w:r w:rsidR="005A6185" w:rsidRPr="00D562E2">
        <w:rPr>
          <w:rFonts w:cs="Arial"/>
          <w:szCs w:val="22"/>
          <w:lang w:val="en-GB"/>
        </w:rPr>
        <w:instrText xml:space="preserve"> REF _Ref382206677 \h  \* MERGEFORMAT </w:instrText>
      </w:r>
      <w:r w:rsidR="005A6185" w:rsidRPr="00D562E2">
        <w:rPr>
          <w:rFonts w:cs="Arial"/>
          <w:szCs w:val="22"/>
          <w:lang w:val="en-GB"/>
        </w:rPr>
      </w:r>
      <w:r w:rsidR="005A6185"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65</w:t>
      </w:r>
      <w:r w:rsidR="005A6185" w:rsidRPr="00D562E2">
        <w:rPr>
          <w:rFonts w:cs="Arial"/>
          <w:szCs w:val="22"/>
          <w:lang w:val="en-GB"/>
        </w:rPr>
        <w:fldChar w:fldCharType="end"/>
      </w:r>
      <w:r w:rsidR="005A6185" w:rsidRPr="00D562E2">
        <w:rPr>
          <w:rFonts w:cs="Arial"/>
          <w:szCs w:val="22"/>
          <w:lang w:val="en-GB"/>
        </w:rPr>
        <w:t>).</w:t>
      </w:r>
    </w:p>
    <w:p w14:paraId="492F0334" w14:textId="77777777" w:rsidR="00C31BE9" w:rsidRPr="00D562E2" w:rsidRDefault="004E43E3" w:rsidP="00630574">
      <w:pPr>
        <w:keepNext/>
        <w:widowControl w:val="0"/>
        <w:jc w:val="center"/>
        <w:rPr>
          <w:rFonts w:cs="Arial"/>
          <w:szCs w:val="22"/>
        </w:rPr>
      </w:pPr>
      <w:r w:rsidRPr="00D562E2">
        <w:rPr>
          <w:rFonts w:cs="Arial"/>
          <w:noProof/>
          <w:szCs w:val="22"/>
          <w:lang w:eastAsia="en-AU"/>
        </w:rPr>
        <w:drawing>
          <wp:inline distT="0" distB="0" distL="0" distR="0" wp14:anchorId="3E8B5195" wp14:editId="6CD61FA4">
            <wp:extent cx="4295170" cy="2893453"/>
            <wp:effectExtent l="0" t="0" r="0" b="2540"/>
            <wp:docPr id="516" name="Picture 516" descr="Panel of five graphs, displayed in two by three matrix, showing proportion of total seagrass abundance composed of species displaying colonising traits (e.g. Halophila ovalis) in each inshore seagrass habitat (sites pooled) in the Mackay Whitsunday NRM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MW_colonising_2016.png"/>
                    <pic:cNvPicPr/>
                  </pic:nvPicPr>
                  <pic:blipFill>
                    <a:blip r:embed="rId118"/>
                    <a:stretch>
                      <a:fillRect/>
                    </a:stretch>
                  </pic:blipFill>
                  <pic:spPr>
                    <a:xfrm>
                      <a:off x="0" y="0"/>
                      <a:ext cx="4295170" cy="2893453"/>
                    </a:xfrm>
                    <a:prstGeom prst="rect">
                      <a:avLst/>
                    </a:prstGeom>
                  </pic:spPr>
                </pic:pic>
              </a:graphicData>
            </a:graphic>
          </wp:inline>
        </w:drawing>
      </w:r>
    </w:p>
    <w:p w14:paraId="2B9ABDFB" w14:textId="22F375B3" w:rsidR="00C03C5F" w:rsidRPr="00D562E2" w:rsidRDefault="008C4B1E" w:rsidP="00C03C5F">
      <w:pPr>
        <w:rPr>
          <w:rFonts w:cs="Arial"/>
          <w:vanish/>
          <w:szCs w:val="22"/>
          <w:specVanish/>
        </w:rPr>
      </w:pPr>
      <w:bookmarkStart w:id="506" w:name="_Ref382206677"/>
      <w:bookmarkStart w:id="507" w:name="_Toc431493874"/>
      <w:bookmarkStart w:id="508" w:name="_Toc38634169"/>
      <w:r w:rsidRPr="00D562E2">
        <w:rPr>
          <w:rFonts w:cs="Arial"/>
          <w:szCs w:val="22"/>
        </w:rPr>
        <w:t xml:space="preserve">Figure </w:t>
      </w:r>
      <w:r w:rsidR="0073595B" w:rsidRPr="00D562E2">
        <w:rPr>
          <w:rFonts w:cs="Arial"/>
          <w:szCs w:val="22"/>
        </w:rPr>
        <w:fldChar w:fldCharType="begin"/>
      </w:r>
      <w:r w:rsidR="0073595B" w:rsidRPr="00D562E2">
        <w:rPr>
          <w:rFonts w:cs="Arial"/>
          <w:szCs w:val="22"/>
        </w:rPr>
        <w:instrText xml:space="preserve"> SEQ Figure \* ARABIC </w:instrText>
      </w:r>
      <w:r w:rsidR="0073595B" w:rsidRPr="00D562E2">
        <w:rPr>
          <w:rFonts w:cs="Arial"/>
          <w:szCs w:val="22"/>
        </w:rPr>
        <w:fldChar w:fldCharType="separate"/>
      </w:r>
      <w:r w:rsidR="0067675D">
        <w:rPr>
          <w:rFonts w:cs="Arial"/>
          <w:noProof/>
          <w:szCs w:val="22"/>
        </w:rPr>
        <w:t>65</w:t>
      </w:r>
      <w:r w:rsidR="0073595B" w:rsidRPr="00D562E2">
        <w:rPr>
          <w:rFonts w:cs="Arial"/>
          <w:szCs w:val="22"/>
        </w:rPr>
        <w:fldChar w:fldCharType="end"/>
      </w:r>
      <w:bookmarkEnd w:id="506"/>
      <w:r w:rsidRPr="00D562E2">
        <w:rPr>
          <w:rFonts w:cs="Arial"/>
          <w:szCs w:val="22"/>
        </w:rPr>
        <w:t xml:space="preserve">. </w:t>
      </w:r>
      <w:r w:rsidRPr="00D562E2">
        <w:rPr>
          <w:rFonts w:cs="Arial"/>
          <w:i/>
          <w:szCs w:val="22"/>
        </w:rPr>
        <w:t xml:space="preserve">Proportion of seagrass abundance composed of </w:t>
      </w:r>
      <w:r w:rsidR="00C31BE9" w:rsidRPr="00D562E2">
        <w:rPr>
          <w:rFonts w:cs="Arial"/>
          <w:i/>
          <w:szCs w:val="22"/>
        </w:rPr>
        <w:t>colonising</w:t>
      </w:r>
      <w:r w:rsidR="00A22D98" w:rsidRPr="00D562E2">
        <w:rPr>
          <w:rFonts w:cs="Arial"/>
          <w:i/>
          <w:szCs w:val="22"/>
        </w:rPr>
        <w:t xml:space="preserve"> species</w:t>
      </w:r>
      <w:r w:rsidR="006341F9" w:rsidRPr="00D562E2">
        <w:rPr>
          <w:rFonts w:cs="Arial"/>
          <w:i/>
          <w:szCs w:val="22"/>
        </w:rPr>
        <w:t xml:space="preserve"> at inshore intertidal habitats in the </w:t>
      </w:r>
      <w:r w:rsidR="00B72AC4">
        <w:rPr>
          <w:rFonts w:cs="Arial"/>
          <w:i/>
          <w:szCs w:val="22"/>
        </w:rPr>
        <w:t>Mackay–Whitsunday</w:t>
      </w:r>
      <w:r w:rsidR="006341F9" w:rsidRPr="00D562E2">
        <w:rPr>
          <w:rFonts w:cs="Arial"/>
          <w:i/>
          <w:szCs w:val="22"/>
        </w:rPr>
        <w:t xml:space="preserve"> region, 1999</w:t>
      </w:r>
      <w:r w:rsidR="00A675DA" w:rsidRPr="00D562E2">
        <w:rPr>
          <w:rFonts w:cs="Arial"/>
          <w:i/>
          <w:szCs w:val="22"/>
        </w:rPr>
        <w:t>–</w:t>
      </w:r>
      <w:r w:rsidR="006341F9" w:rsidRPr="00D562E2">
        <w:rPr>
          <w:rFonts w:cs="Arial"/>
          <w:i/>
          <w:szCs w:val="22"/>
        </w:rPr>
        <w:t>201</w:t>
      </w:r>
      <w:r w:rsidR="00371FEA" w:rsidRPr="00D562E2">
        <w:rPr>
          <w:rFonts w:cs="Arial"/>
          <w:i/>
          <w:szCs w:val="22"/>
        </w:rPr>
        <w:t>9</w:t>
      </w:r>
      <w:r w:rsidRPr="00D562E2">
        <w:rPr>
          <w:rFonts w:cs="Arial"/>
          <w:i/>
          <w:szCs w:val="22"/>
        </w:rPr>
        <w:t>.</w:t>
      </w:r>
      <w:bookmarkEnd w:id="507"/>
      <w:bookmarkEnd w:id="508"/>
      <w:r w:rsidR="006341F9" w:rsidRPr="00D562E2">
        <w:rPr>
          <w:rFonts w:cs="Arial"/>
          <w:vanish/>
          <w:szCs w:val="22"/>
          <w:specVanish/>
        </w:rPr>
        <w:t xml:space="preserve"> </w:t>
      </w:r>
      <w:r w:rsidRPr="00D562E2">
        <w:rPr>
          <w:rFonts w:cs="Arial"/>
          <w:i/>
          <w:szCs w:val="22"/>
        </w:rPr>
        <w:t xml:space="preserve"> </w:t>
      </w:r>
    </w:p>
    <w:p w14:paraId="6A7702B9" w14:textId="70A13BD3" w:rsidR="00C03C5F" w:rsidRPr="00D562E2" w:rsidRDefault="008C4B1E" w:rsidP="006341F9">
      <w:pPr>
        <w:rPr>
          <w:rFonts w:cs="Arial"/>
          <w:szCs w:val="22"/>
        </w:rPr>
      </w:pPr>
      <w:r w:rsidRPr="00D562E2">
        <w:rPr>
          <w:rFonts w:cs="Arial"/>
          <w:i/>
          <w:szCs w:val="22"/>
        </w:rPr>
        <w:t xml:space="preserve">Grey area represents </w:t>
      </w:r>
      <w:r w:rsidR="003158FC" w:rsidRPr="00D562E2">
        <w:rPr>
          <w:rFonts w:cs="Arial"/>
          <w:i/>
          <w:szCs w:val="22"/>
        </w:rPr>
        <w:t>Reef</w:t>
      </w:r>
      <w:r w:rsidRPr="00D562E2">
        <w:rPr>
          <w:rFonts w:cs="Arial"/>
          <w:i/>
          <w:szCs w:val="22"/>
        </w:rPr>
        <w:t xml:space="preserve"> long-term average proportion of </w:t>
      </w:r>
      <w:r w:rsidR="00C31BE9" w:rsidRPr="00D562E2">
        <w:rPr>
          <w:rFonts w:cs="Arial"/>
          <w:i/>
          <w:szCs w:val="22"/>
        </w:rPr>
        <w:t xml:space="preserve">colonising </w:t>
      </w:r>
      <w:r w:rsidR="00A22D98" w:rsidRPr="00D562E2">
        <w:rPr>
          <w:rFonts w:cs="Arial"/>
          <w:i/>
          <w:szCs w:val="22"/>
        </w:rPr>
        <w:t xml:space="preserve">species </w:t>
      </w:r>
      <w:r w:rsidRPr="00D562E2">
        <w:rPr>
          <w:rFonts w:cs="Arial"/>
          <w:i/>
          <w:szCs w:val="22"/>
        </w:rPr>
        <w:t>for each habitat type</w:t>
      </w:r>
      <w:r w:rsidRPr="00D562E2">
        <w:rPr>
          <w:rFonts w:cs="Arial"/>
          <w:szCs w:val="22"/>
        </w:rPr>
        <w:t>.</w:t>
      </w:r>
      <w:r w:rsidR="006341F9" w:rsidRPr="00D562E2">
        <w:rPr>
          <w:rFonts w:cs="Arial"/>
          <w:szCs w:val="22"/>
        </w:rPr>
        <w:t xml:space="preserve"> </w:t>
      </w:r>
    </w:p>
    <w:p w14:paraId="72B06A6A" w14:textId="5B97A2B0" w:rsidR="009D511F" w:rsidRPr="00D562E2" w:rsidRDefault="00F9462F" w:rsidP="00034AD4">
      <w:pPr>
        <w:rPr>
          <w:rFonts w:cs="Arial"/>
          <w:szCs w:val="22"/>
        </w:rPr>
      </w:pPr>
      <w:r w:rsidRPr="00D562E2">
        <w:rPr>
          <w:rFonts w:cs="Arial"/>
          <w:szCs w:val="22"/>
        </w:rPr>
        <w:t xml:space="preserve">Seagrass meadow </w:t>
      </w:r>
      <w:r w:rsidR="00DD18B8" w:rsidRPr="00D562E2">
        <w:rPr>
          <w:rFonts w:cs="Arial"/>
          <w:szCs w:val="22"/>
        </w:rPr>
        <w:t>landscape</w:t>
      </w:r>
      <w:r w:rsidRPr="00D562E2">
        <w:rPr>
          <w:rFonts w:cs="Arial"/>
          <w:szCs w:val="22"/>
        </w:rPr>
        <w:t xml:space="preserve"> mapping was conducted within all </w:t>
      </w:r>
      <w:r w:rsidR="005A6185">
        <w:rPr>
          <w:rFonts w:cs="Arial"/>
          <w:szCs w:val="22"/>
        </w:rPr>
        <w:t xml:space="preserve">sentinel </w:t>
      </w:r>
      <w:r w:rsidR="00883F8B" w:rsidRPr="00D562E2">
        <w:rPr>
          <w:rFonts w:cs="Arial"/>
          <w:szCs w:val="22"/>
        </w:rPr>
        <w:t>monitoring sites in October 201</w:t>
      </w:r>
      <w:r w:rsidR="00D40A36" w:rsidRPr="00D562E2">
        <w:rPr>
          <w:rFonts w:cs="Arial"/>
          <w:szCs w:val="22"/>
        </w:rPr>
        <w:t>7</w:t>
      </w:r>
      <w:r w:rsidR="00883F8B" w:rsidRPr="00D562E2">
        <w:rPr>
          <w:rFonts w:cs="Arial"/>
          <w:szCs w:val="22"/>
        </w:rPr>
        <w:t xml:space="preserve"> and April 201</w:t>
      </w:r>
      <w:r w:rsidR="00D40A36" w:rsidRPr="00D562E2">
        <w:rPr>
          <w:rFonts w:cs="Arial"/>
          <w:szCs w:val="22"/>
        </w:rPr>
        <w:t>8</w:t>
      </w:r>
      <w:r w:rsidRPr="00D562E2">
        <w:rPr>
          <w:rFonts w:cs="Arial"/>
          <w:szCs w:val="22"/>
        </w:rPr>
        <w:t xml:space="preserve"> to determine if changes in abundance were a consequence of the meadow </w:t>
      </w:r>
      <w:r w:rsidR="00F83491" w:rsidRPr="00D562E2">
        <w:rPr>
          <w:rFonts w:cs="Arial"/>
          <w:szCs w:val="22"/>
        </w:rPr>
        <w:t>landscape</w:t>
      </w:r>
      <w:r w:rsidRPr="00D562E2">
        <w:rPr>
          <w:rFonts w:cs="Arial"/>
          <w:szCs w:val="22"/>
        </w:rPr>
        <w:t xml:space="preserve"> changing</w:t>
      </w:r>
      <w:r w:rsidR="00F83491" w:rsidRPr="00D562E2">
        <w:rPr>
          <w:rFonts w:cs="Arial"/>
          <w:szCs w:val="22"/>
        </w:rPr>
        <w:t xml:space="preserve"> (e.g. </w:t>
      </w:r>
      <w:r w:rsidR="005A6185">
        <w:rPr>
          <w:rFonts w:cs="Arial"/>
          <w:szCs w:val="22"/>
        </w:rPr>
        <w:t>expansion or</w:t>
      </w:r>
      <w:r w:rsidR="00DD18B8" w:rsidRPr="00D562E2">
        <w:rPr>
          <w:rFonts w:cs="Arial"/>
          <w:szCs w:val="22"/>
        </w:rPr>
        <w:t xml:space="preserve"> fragmentation</w:t>
      </w:r>
      <w:r w:rsidR="00F83491" w:rsidRPr="00D562E2">
        <w:rPr>
          <w:rFonts w:cs="Arial"/>
          <w:szCs w:val="22"/>
        </w:rPr>
        <w:t>)</w:t>
      </w:r>
      <w:r w:rsidRPr="00D562E2">
        <w:rPr>
          <w:rFonts w:cs="Arial"/>
          <w:szCs w:val="22"/>
        </w:rPr>
        <w:t xml:space="preserve"> and to indicate if plants were allocating resources to colonisation (asexual reproduction).</w:t>
      </w:r>
      <w:r w:rsidR="005132EF" w:rsidRPr="00D562E2">
        <w:rPr>
          <w:rFonts w:cs="Arial"/>
          <w:szCs w:val="22"/>
        </w:rPr>
        <w:t xml:space="preserve"> Over the past 12 months, </w:t>
      </w:r>
      <w:r w:rsidR="001E0128" w:rsidRPr="00D562E2">
        <w:rPr>
          <w:rFonts w:cs="Arial"/>
          <w:szCs w:val="22"/>
        </w:rPr>
        <w:t>spatial</w:t>
      </w:r>
      <w:r w:rsidR="009D01B5" w:rsidRPr="00D562E2">
        <w:rPr>
          <w:rFonts w:cs="Arial"/>
          <w:szCs w:val="22"/>
        </w:rPr>
        <w:t xml:space="preserve"> </w:t>
      </w:r>
      <w:r w:rsidR="006C492E" w:rsidRPr="00D562E2">
        <w:rPr>
          <w:rFonts w:cs="Arial"/>
          <w:szCs w:val="22"/>
        </w:rPr>
        <w:t>extent</w:t>
      </w:r>
      <w:r w:rsidR="001E0128" w:rsidRPr="00D562E2">
        <w:rPr>
          <w:rFonts w:cs="Arial"/>
          <w:szCs w:val="22"/>
        </w:rPr>
        <w:t xml:space="preserve"> </w:t>
      </w:r>
      <w:r w:rsidR="008538C7" w:rsidRPr="00D562E2">
        <w:rPr>
          <w:rFonts w:cs="Arial"/>
          <w:szCs w:val="22"/>
        </w:rPr>
        <w:t xml:space="preserve">improved </w:t>
      </w:r>
      <w:r w:rsidR="005A6185">
        <w:rPr>
          <w:rFonts w:cs="Arial"/>
          <w:szCs w:val="22"/>
        </w:rPr>
        <w:t xml:space="preserve">slightly </w:t>
      </w:r>
      <w:r w:rsidR="008538C7" w:rsidRPr="00D562E2">
        <w:rPr>
          <w:rFonts w:cs="Arial"/>
          <w:szCs w:val="22"/>
        </w:rPr>
        <w:t xml:space="preserve">at </w:t>
      </w:r>
      <w:r w:rsidR="005A6185">
        <w:rPr>
          <w:rFonts w:cs="Arial"/>
          <w:szCs w:val="22"/>
        </w:rPr>
        <w:t>reef intertidal</w:t>
      </w:r>
      <w:r w:rsidR="008538C7" w:rsidRPr="00D562E2">
        <w:rPr>
          <w:rFonts w:cs="Arial"/>
          <w:szCs w:val="22"/>
        </w:rPr>
        <w:t xml:space="preserve"> meadows following the declines experienced in 2016</w:t>
      </w:r>
      <w:r w:rsidR="00A675DA" w:rsidRPr="00D562E2">
        <w:rPr>
          <w:rFonts w:cs="Arial"/>
          <w:szCs w:val="22"/>
        </w:rPr>
        <w:t>–</w:t>
      </w:r>
      <w:r w:rsidR="004B316A" w:rsidRPr="00D562E2">
        <w:rPr>
          <w:rFonts w:cs="Arial"/>
          <w:szCs w:val="22"/>
        </w:rPr>
        <w:t>20</w:t>
      </w:r>
      <w:r w:rsidR="008538C7" w:rsidRPr="00D562E2">
        <w:rPr>
          <w:rFonts w:cs="Arial"/>
          <w:szCs w:val="22"/>
        </w:rPr>
        <w:t xml:space="preserve">17 as a consequence of the destructive effects of </w:t>
      </w:r>
      <w:r w:rsidR="004B316A" w:rsidRPr="00D562E2">
        <w:rPr>
          <w:rFonts w:cs="Arial"/>
          <w:szCs w:val="22"/>
        </w:rPr>
        <w:t xml:space="preserve">cyclone </w:t>
      </w:r>
      <w:r w:rsidR="008538C7" w:rsidRPr="00D562E2">
        <w:rPr>
          <w:rFonts w:cs="Arial"/>
          <w:szCs w:val="22"/>
        </w:rPr>
        <w:t xml:space="preserve">Debbie. At coastal </w:t>
      </w:r>
      <w:r w:rsidR="00F83491" w:rsidRPr="00D562E2">
        <w:rPr>
          <w:rFonts w:cs="Arial"/>
          <w:szCs w:val="22"/>
        </w:rPr>
        <w:t xml:space="preserve">meadows, extent </w:t>
      </w:r>
      <w:r w:rsidR="005A6185">
        <w:rPr>
          <w:rFonts w:cs="Arial"/>
          <w:szCs w:val="22"/>
        </w:rPr>
        <w:t>remained steady, but at estuarine meadows extent declined</w:t>
      </w:r>
      <w:r w:rsidR="00F83491" w:rsidRPr="00D562E2">
        <w:rPr>
          <w:rFonts w:cs="Arial"/>
          <w:szCs w:val="22"/>
        </w:rPr>
        <w:t xml:space="preserve"> </w:t>
      </w:r>
      <w:r w:rsidR="005A6185">
        <w:rPr>
          <w:rFonts w:cs="Arial"/>
          <w:szCs w:val="22"/>
        </w:rPr>
        <w:t>greatly</w:t>
      </w:r>
      <w:r w:rsidR="00F83491" w:rsidRPr="00D562E2">
        <w:rPr>
          <w:rFonts w:cs="Arial"/>
          <w:szCs w:val="22"/>
        </w:rPr>
        <w:t xml:space="preserve"> relative to the previous monitoring period, </w:t>
      </w:r>
      <w:r w:rsidR="005A6185">
        <w:rPr>
          <w:rFonts w:cs="Arial"/>
          <w:szCs w:val="22"/>
        </w:rPr>
        <w:t>due to increased fragmentation</w:t>
      </w:r>
      <w:r w:rsidR="00F83491" w:rsidRPr="00D562E2">
        <w:rPr>
          <w:rFonts w:cs="Arial"/>
          <w:szCs w:val="22"/>
        </w:rPr>
        <w:t xml:space="preserve"> </w:t>
      </w:r>
      <w:r w:rsidR="008538C7" w:rsidRPr="00D562E2">
        <w:rPr>
          <w:rFonts w:cs="Arial"/>
          <w:szCs w:val="22"/>
        </w:rPr>
        <w:t>(</w:t>
      </w:r>
      <w:r w:rsidR="008538C7" w:rsidRPr="00D562E2">
        <w:rPr>
          <w:rFonts w:cs="Arial"/>
          <w:szCs w:val="22"/>
        </w:rPr>
        <w:fldChar w:fldCharType="begin"/>
      </w:r>
      <w:r w:rsidR="008538C7" w:rsidRPr="00D562E2">
        <w:rPr>
          <w:rFonts w:cs="Arial"/>
          <w:szCs w:val="22"/>
        </w:rPr>
        <w:instrText xml:space="preserve"> REF _Ref348961776 \h  \* MERGEFORMAT </w:instrText>
      </w:r>
      <w:r w:rsidR="008538C7" w:rsidRPr="00D562E2">
        <w:rPr>
          <w:rFonts w:cs="Arial"/>
          <w:szCs w:val="22"/>
        </w:rPr>
      </w:r>
      <w:r w:rsidR="008538C7" w:rsidRPr="00D562E2">
        <w:rPr>
          <w:rFonts w:cs="Arial"/>
          <w:szCs w:val="22"/>
        </w:rPr>
        <w:fldChar w:fldCharType="separate"/>
      </w:r>
      <w:r w:rsidR="0067675D" w:rsidRPr="00D562E2">
        <w:rPr>
          <w:rFonts w:cs="Arial"/>
          <w:szCs w:val="22"/>
        </w:rPr>
        <w:t xml:space="preserve">Figure </w:t>
      </w:r>
      <w:r w:rsidR="0067675D">
        <w:rPr>
          <w:rFonts w:cs="Arial"/>
          <w:noProof/>
          <w:szCs w:val="22"/>
        </w:rPr>
        <w:t>66</w:t>
      </w:r>
      <w:r w:rsidR="008538C7" w:rsidRPr="00D562E2">
        <w:rPr>
          <w:rFonts w:cs="Arial"/>
          <w:szCs w:val="22"/>
        </w:rPr>
        <w:fldChar w:fldCharType="end"/>
      </w:r>
      <w:r w:rsidR="008538C7" w:rsidRPr="00D562E2">
        <w:rPr>
          <w:rFonts w:cs="Arial"/>
          <w:szCs w:val="22"/>
        </w:rPr>
        <w:t>).</w:t>
      </w:r>
    </w:p>
    <w:p w14:paraId="74EF6455" w14:textId="77777777" w:rsidR="00C31BE9" w:rsidRPr="00D562E2" w:rsidRDefault="004E43E3" w:rsidP="00C31BE9">
      <w:pPr>
        <w:jc w:val="center"/>
        <w:rPr>
          <w:rFonts w:cs="Arial"/>
          <w:szCs w:val="22"/>
        </w:rPr>
      </w:pPr>
      <w:r w:rsidRPr="00D562E2">
        <w:rPr>
          <w:rFonts w:cs="Arial"/>
          <w:noProof/>
          <w:szCs w:val="22"/>
          <w:lang w:eastAsia="en-AU"/>
        </w:rPr>
        <w:lastRenderedPageBreak/>
        <w:drawing>
          <wp:inline distT="0" distB="0" distL="0" distR="0" wp14:anchorId="1646DD37" wp14:editId="57D337E4">
            <wp:extent cx="4082937" cy="1804256"/>
            <wp:effectExtent l="0" t="0" r="0" b="5715"/>
            <wp:docPr id="528" name="Picture 528" descr="Line graph showing spatial extent of seagrass meadows within a 100m radius of monitoring sites for each habitat and monitoring period across the Mackay Whitsunday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MW_extent_avg_2016.png"/>
                    <pic:cNvPicPr/>
                  </pic:nvPicPr>
                  <pic:blipFill>
                    <a:blip r:embed="rId119"/>
                    <a:stretch>
                      <a:fillRect/>
                    </a:stretch>
                  </pic:blipFill>
                  <pic:spPr>
                    <a:xfrm>
                      <a:off x="0" y="0"/>
                      <a:ext cx="4082937" cy="1804256"/>
                    </a:xfrm>
                    <a:prstGeom prst="rect">
                      <a:avLst/>
                    </a:prstGeom>
                  </pic:spPr>
                </pic:pic>
              </a:graphicData>
            </a:graphic>
          </wp:inline>
        </w:drawing>
      </w:r>
    </w:p>
    <w:p w14:paraId="1EE90C96" w14:textId="08192C9B" w:rsidR="008C4B1E" w:rsidRPr="00D562E2" w:rsidRDefault="005132EF" w:rsidP="008C4B1E">
      <w:pPr>
        <w:rPr>
          <w:rFonts w:cs="Arial"/>
          <w:i/>
          <w:szCs w:val="22"/>
        </w:rPr>
      </w:pPr>
      <w:bookmarkStart w:id="509" w:name="_Ref348961776"/>
      <w:bookmarkStart w:id="510" w:name="_Toc431493875"/>
      <w:bookmarkStart w:id="511" w:name="_Toc38634170"/>
      <w:r w:rsidRPr="00D562E2">
        <w:rPr>
          <w:rFonts w:cs="Arial"/>
          <w:szCs w:val="22"/>
        </w:rPr>
        <w:t xml:space="preserve">Figure </w:t>
      </w:r>
      <w:r w:rsidR="0073595B" w:rsidRPr="00D562E2">
        <w:rPr>
          <w:rFonts w:cs="Arial"/>
          <w:szCs w:val="22"/>
        </w:rPr>
        <w:fldChar w:fldCharType="begin"/>
      </w:r>
      <w:r w:rsidR="0073595B" w:rsidRPr="00D562E2">
        <w:rPr>
          <w:rFonts w:cs="Arial"/>
          <w:szCs w:val="22"/>
        </w:rPr>
        <w:instrText xml:space="preserve"> SEQ Figure \* ARABIC </w:instrText>
      </w:r>
      <w:r w:rsidR="0073595B" w:rsidRPr="00D562E2">
        <w:rPr>
          <w:rFonts w:cs="Arial"/>
          <w:szCs w:val="22"/>
        </w:rPr>
        <w:fldChar w:fldCharType="separate"/>
      </w:r>
      <w:r w:rsidR="0067675D">
        <w:rPr>
          <w:rFonts w:cs="Arial"/>
          <w:noProof/>
          <w:szCs w:val="22"/>
        </w:rPr>
        <w:t>66</w:t>
      </w:r>
      <w:r w:rsidR="0073595B" w:rsidRPr="00D562E2">
        <w:rPr>
          <w:rFonts w:cs="Arial"/>
          <w:szCs w:val="22"/>
        </w:rPr>
        <w:fldChar w:fldCharType="end"/>
      </w:r>
      <w:bookmarkEnd w:id="509"/>
      <w:r w:rsidRPr="00D562E2">
        <w:rPr>
          <w:rFonts w:cs="Arial"/>
          <w:szCs w:val="22"/>
        </w:rPr>
        <w:t>.</w:t>
      </w:r>
      <w:r w:rsidRPr="00D562E2">
        <w:rPr>
          <w:rFonts w:cs="Arial"/>
          <w:i/>
          <w:szCs w:val="22"/>
        </w:rPr>
        <w:t xml:space="preserve"> </w:t>
      </w:r>
      <w:r w:rsidR="008C4B1E" w:rsidRPr="00D562E2">
        <w:rPr>
          <w:rFonts w:cs="Arial"/>
          <w:i/>
          <w:szCs w:val="22"/>
        </w:rPr>
        <w:t xml:space="preserve">Change in spatial extent of seagrass meadows within monitoring sites for each </w:t>
      </w:r>
      <w:r w:rsidR="006341F9" w:rsidRPr="00D562E2">
        <w:rPr>
          <w:rFonts w:cs="Arial"/>
          <w:i/>
          <w:szCs w:val="22"/>
        </w:rPr>
        <w:t xml:space="preserve">inshore intertidal </w:t>
      </w:r>
      <w:r w:rsidR="008C4B1E" w:rsidRPr="00D562E2">
        <w:rPr>
          <w:rFonts w:cs="Arial"/>
          <w:i/>
          <w:szCs w:val="22"/>
        </w:rPr>
        <w:t xml:space="preserve">habitat and monitoring period across the </w:t>
      </w:r>
      <w:r w:rsidR="00B72AC4">
        <w:rPr>
          <w:rFonts w:cs="Arial"/>
          <w:i/>
          <w:szCs w:val="22"/>
        </w:rPr>
        <w:t>Mackay–Whitsunday</w:t>
      </w:r>
      <w:r w:rsidR="008C4B1E" w:rsidRPr="00D562E2">
        <w:rPr>
          <w:rFonts w:cs="Arial"/>
          <w:i/>
          <w:szCs w:val="22"/>
        </w:rPr>
        <w:t xml:space="preserve"> NRM region.</w:t>
      </w:r>
      <w:bookmarkEnd w:id="510"/>
      <w:bookmarkEnd w:id="511"/>
    </w:p>
    <w:p w14:paraId="002B0E16" w14:textId="77777777" w:rsidR="004A333E" w:rsidRPr="00D562E2" w:rsidRDefault="004A333E" w:rsidP="005C0B31">
      <w:pPr>
        <w:rPr>
          <w:rFonts w:cs="Arial"/>
          <w:szCs w:val="22"/>
        </w:rPr>
      </w:pPr>
    </w:p>
    <w:p w14:paraId="0EC8073C" w14:textId="2B942B11" w:rsidR="005132EF" w:rsidRPr="00D562E2" w:rsidRDefault="005132EF" w:rsidP="00785606">
      <w:pPr>
        <w:pStyle w:val="Heading4"/>
      </w:pPr>
      <w:bookmarkStart w:id="512" w:name="_Toc184102014"/>
      <w:bookmarkStart w:id="513" w:name="_Toc37775099"/>
      <w:bookmarkStart w:id="514" w:name="_Toc43987074"/>
      <w:r w:rsidRPr="00D562E2">
        <w:t>Seagrass reproductive status</w:t>
      </w:r>
      <w:bookmarkEnd w:id="512"/>
      <w:bookmarkEnd w:id="513"/>
      <w:bookmarkEnd w:id="514"/>
    </w:p>
    <w:p w14:paraId="2ACA46D7" w14:textId="633AD761" w:rsidR="00C31BE9" w:rsidRPr="00D562E2" w:rsidRDefault="00C31BE9" w:rsidP="009D7E19">
      <w:pPr>
        <w:rPr>
          <w:rFonts w:cs="Arial"/>
          <w:szCs w:val="22"/>
          <w:lang w:val="en-GB"/>
        </w:rPr>
      </w:pPr>
      <w:r w:rsidRPr="00D562E2">
        <w:rPr>
          <w:rFonts w:cs="Arial"/>
          <w:szCs w:val="22"/>
          <w:lang w:val="en-GB"/>
        </w:rPr>
        <w:t>Reproductive effort was highly variable</w:t>
      </w:r>
      <w:r w:rsidR="00276135" w:rsidRPr="00D562E2">
        <w:rPr>
          <w:rFonts w:cs="Arial"/>
          <w:szCs w:val="22"/>
          <w:lang w:val="en-GB"/>
        </w:rPr>
        <w:t xml:space="preserve"> and highly seasonal</w:t>
      </w:r>
      <w:r w:rsidRPr="00D562E2">
        <w:rPr>
          <w:rFonts w:cs="Arial"/>
          <w:szCs w:val="22"/>
          <w:lang w:val="en-GB"/>
        </w:rPr>
        <w:t xml:space="preserve"> in the </w:t>
      </w:r>
      <w:r w:rsidR="00B72AC4">
        <w:rPr>
          <w:rFonts w:cs="Arial"/>
          <w:szCs w:val="22"/>
          <w:lang w:val="en-GB"/>
        </w:rPr>
        <w:t>Mackay–Whitsunday</w:t>
      </w:r>
      <w:r w:rsidR="00276135" w:rsidRPr="00D562E2">
        <w:rPr>
          <w:rFonts w:cs="Arial"/>
          <w:szCs w:val="22"/>
          <w:lang w:val="en-GB"/>
        </w:rPr>
        <w:t xml:space="preserve"> region</w:t>
      </w:r>
      <w:r w:rsidR="008F1379" w:rsidRPr="00D562E2">
        <w:rPr>
          <w:rFonts w:cs="Arial"/>
          <w:szCs w:val="22"/>
          <w:lang w:val="en-GB"/>
        </w:rPr>
        <w:t xml:space="preserve"> (</w:t>
      </w:r>
      <w:r w:rsidR="008F1379" w:rsidRPr="00D562E2">
        <w:rPr>
          <w:rFonts w:cs="Arial"/>
          <w:szCs w:val="22"/>
          <w:lang w:val="en-GB"/>
        </w:rPr>
        <w:fldChar w:fldCharType="begin"/>
      </w:r>
      <w:r w:rsidR="008F1379" w:rsidRPr="00D562E2">
        <w:rPr>
          <w:rFonts w:cs="Arial"/>
          <w:szCs w:val="22"/>
          <w:lang w:val="en-GB"/>
        </w:rPr>
        <w:instrText xml:space="preserve"> REF _Ref271532047 \h </w:instrText>
      </w:r>
      <w:r w:rsidR="00580DDA" w:rsidRPr="00D562E2">
        <w:rPr>
          <w:rFonts w:cs="Arial"/>
          <w:szCs w:val="22"/>
          <w:lang w:val="en-GB"/>
        </w:rPr>
        <w:instrText xml:space="preserve"> \* MERGEFORMAT </w:instrText>
      </w:r>
      <w:r w:rsidR="008F1379" w:rsidRPr="00D562E2">
        <w:rPr>
          <w:rFonts w:cs="Arial"/>
          <w:szCs w:val="22"/>
          <w:lang w:val="en-GB"/>
        </w:rPr>
      </w:r>
      <w:r w:rsidR="008F1379" w:rsidRPr="00D562E2">
        <w:rPr>
          <w:rFonts w:cs="Arial"/>
          <w:szCs w:val="22"/>
          <w:lang w:val="en-GB"/>
        </w:rPr>
        <w:fldChar w:fldCharType="separate"/>
      </w:r>
      <w:r w:rsidR="0067675D" w:rsidRPr="0067675D">
        <w:rPr>
          <w:rFonts w:cs="Arial"/>
          <w:szCs w:val="22"/>
        </w:rPr>
        <w:t xml:space="preserve">Figure </w:t>
      </w:r>
      <w:r w:rsidR="0067675D" w:rsidRPr="0067675D">
        <w:rPr>
          <w:rFonts w:cs="Arial"/>
          <w:noProof/>
          <w:szCs w:val="22"/>
        </w:rPr>
        <w:t>67</w:t>
      </w:r>
      <w:r w:rsidR="008F1379" w:rsidRPr="00D562E2">
        <w:rPr>
          <w:rFonts w:cs="Arial"/>
          <w:szCs w:val="22"/>
          <w:lang w:val="en-GB"/>
        </w:rPr>
        <w:fldChar w:fldCharType="end"/>
      </w:r>
      <w:r w:rsidR="008F1379" w:rsidRPr="00D562E2">
        <w:rPr>
          <w:rFonts w:cs="Arial"/>
          <w:szCs w:val="22"/>
          <w:lang w:val="en-GB"/>
        </w:rPr>
        <w:t>)</w:t>
      </w:r>
      <w:r w:rsidRPr="00D562E2">
        <w:rPr>
          <w:rFonts w:cs="Arial"/>
          <w:szCs w:val="22"/>
          <w:lang w:val="en-GB"/>
        </w:rPr>
        <w:t xml:space="preserve">. </w:t>
      </w:r>
      <w:r w:rsidR="00FC0DC5" w:rsidRPr="00D562E2">
        <w:rPr>
          <w:rFonts w:cs="Arial"/>
          <w:szCs w:val="22"/>
          <w:lang w:val="en-GB"/>
        </w:rPr>
        <w:t xml:space="preserve">Reproductive effort </w:t>
      </w:r>
      <w:r w:rsidR="005A6185">
        <w:rPr>
          <w:rFonts w:cs="Arial"/>
          <w:szCs w:val="22"/>
          <w:lang w:val="en-GB"/>
        </w:rPr>
        <w:t>declined slightly</w:t>
      </w:r>
      <w:r w:rsidR="00FC0DC5" w:rsidRPr="00D562E2">
        <w:rPr>
          <w:rFonts w:cs="Arial"/>
          <w:szCs w:val="22"/>
          <w:lang w:val="en-GB"/>
        </w:rPr>
        <w:t xml:space="preserve"> in coastal habitats, </w:t>
      </w:r>
      <w:r w:rsidR="005A6185" w:rsidRPr="00B56853">
        <w:rPr>
          <w:rFonts w:cs="Arial"/>
          <w:szCs w:val="22"/>
          <w:lang w:val="en-GB"/>
        </w:rPr>
        <w:t>relative to the previous period</w:t>
      </w:r>
      <w:r w:rsidR="005A6185">
        <w:rPr>
          <w:rFonts w:cs="Arial"/>
          <w:szCs w:val="22"/>
          <w:lang w:val="en-GB"/>
        </w:rPr>
        <w:t>,</w:t>
      </w:r>
      <w:r w:rsidR="005A6185" w:rsidRPr="00D562E2">
        <w:rPr>
          <w:rFonts w:cs="Arial"/>
          <w:szCs w:val="22"/>
          <w:lang w:val="en-GB"/>
        </w:rPr>
        <w:t xml:space="preserve"> </w:t>
      </w:r>
      <w:r w:rsidR="00FC0DC5" w:rsidRPr="00D562E2">
        <w:rPr>
          <w:rFonts w:cs="Arial"/>
          <w:szCs w:val="22"/>
          <w:lang w:val="en-GB"/>
        </w:rPr>
        <w:t xml:space="preserve">although the density of seeds in the seedbank </w:t>
      </w:r>
      <w:r w:rsidR="005A6185">
        <w:rPr>
          <w:rFonts w:cs="Arial"/>
          <w:szCs w:val="22"/>
          <w:lang w:val="en-GB"/>
        </w:rPr>
        <w:t>remained steady</w:t>
      </w:r>
      <w:r w:rsidR="00FC0DC5" w:rsidRPr="00D562E2">
        <w:rPr>
          <w:rFonts w:cs="Arial"/>
          <w:szCs w:val="22"/>
          <w:lang w:val="en-GB"/>
        </w:rPr>
        <w:t xml:space="preserve">. At the estuary </w:t>
      </w:r>
      <w:r w:rsidR="005A6185">
        <w:rPr>
          <w:rFonts w:cs="Arial"/>
          <w:szCs w:val="22"/>
          <w:lang w:val="en-GB"/>
        </w:rPr>
        <w:t>meadow</w:t>
      </w:r>
      <w:r w:rsidR="00FC0DC5" w:rsidRPr="00D562E2">
        <w:rPr>
          <w:rFonts w:cs="Arial"/>
          <w:szCs w:val="22"/>
          <w:lang w:val="en-GB"/>
        </w:rPr>
        <w:t xml:space="preserve"> (Sarina Inlet), </w:t>
      </w:r>
      <w:r w:rsidR="00C53C48" w:rsidRPr="00D562E2">
        <w:rPr>
          <w:rFonts w:cs="Arial"/>
          <w:szCs w:val="22"/>
          <w:lang w:val="en-GB"/>
        </w:rPr>
        <w:t xml:space="preserve">reproductive effort was </w:t>
      </w:r>
      <w:r w:rsidR="005A6185">
        <w:rPr>
          <w:rFonts w:cs="Arial"/>
          <w:szCs w:val="22"/>
          <w:lang w:val="en-GB"/>
        </w:rPr>
        <w:t xml:space="preserve">near </w:t>
      </w:r>
      <w:r w:rsidR="00C53C48" w:rsidRPr="00D562E2">
        <w:rPr>
          <w:rFonts w:cs="Arial"/>
          <w:szCs w:val="22"/>
          <w:lang w:val="en-GB"/>
        </w:rPr>
        <w:t>absent, but seed bank</w:t>
      </w:r>
      <w:r w:rsidR="005A6185">
        <w:rPr>
          <w:rFonts w:cs="Arial"/>
          <w:szCs w:val="22"/>
          <w:lang w:val="en-GB"/>
        </w:rPr>
        <w:t>s</w:t>
      </w:r>
      <w:r w:rsidR="00C53C48" w:rsidRPr="00D562E2">
        <w:rPr>
          <w:rFonts w:cs="Arial"/>
          <w:szCs w:val="22"/>
          <w:lang w:val="en-GB"/>
        </w:rPr>
        <w:t xml:space="preserve"> increased slightl</w:t>
      </w:r>
      <w:r w:rsidR="004C4468">
        <w:rPr>
          <w:rFonts w:cs="Arial"/>
          <w:szCs w:val="22"/>
          <w:lang w:val="en-GB"/>
        </w:rPr>
        <w:t>y relative to the previous year</w:t>
      </w:r>
      <w:r w:rsidR="00C53C48" w:rsidRPr="00D562E2">
        <w:rPr>
          <w:rFonts w:cs="Arial"/>
          <w:szCs w:val="22"/>
          <w:lang w:val="en-GB"/>
        </w:rPr>
        <w:t>.</w:t>
      </w:r>
      <w:r w:rsidR="00FC0DC5" w:rsidRPr="00D562E2">
        <w:rPr>
          <w:rFonts w:cs="Arial"/>
          <w:szCs w:val="22"/>
          <w:lang w:val="en-GB"/>
        </w:rPr>
        <w:t xml:space="preserve"> </w:t>
      </w:r>
      <w:r w:rsidR="00CB3F9D" w:rsidRPr="00D562E2">
        <w:rPr>
          <w:rFonts w:cs="Arial"/>
          <w:szCs w:val="22"/>
          <w:lang w:val="en-GB"/>
        </w:rPr>
        <w:t xml:space="preserve">In contrast, </w:t>
      </w:r>
      <w:r w:rsidR="00276135" w:rsidRPr="00D562E2">
        <w:rPr>
          <w:rFonts w:cs="Arial"/>
          <w:szCs w:val="22"/>
          <w:lang w:val="en-GB"/>
        </w:rPr>
        <w:t xml:space="preserve">reproductive effort </w:t>
      </w:r>
      <w:r w:rsidR="00CB3F9D" w:rsidRPr="00D562E2">
        <w:rPr>
          <w:rFonts w:cs="Arial"/>
          <w:szCs w:val="22"/>
          <w:lang w:val="en-GB"/>
        </w:rPr>
        <w:t xml:space="preserve">and the </w:t>
      </w:r>
      <w:r w:rsidR="005B321C" w:rsidRPr="00D562E2">
        <w:rPr>
          <w:rFonts w:cs="Arial"/>
          <w:szCs w:val="22"/>
          <w:lang w:val="en-GB"/>
        </w:rPr>
        <w:t xml:space="preserve">seeds </w:t>
      </w:r>
      <w:r w:rsidR="00CB3F9D" w:rsidRPr="00D562E2">
        <w:rPr>
          <w:rFonts w:cs="Arial"/>
          <w:szCs w:val="22"/>
          <w:lang w:val="en-GB"/>
        </w:rPr>
        <w:t xml:space="preserve">density </w:t>
      </w:r>
      <w:r w:rsidR="005B321C" w:rsidRPr="00D562E2">
        <w:rPr>
          <w:rFonts w:cs="Arial"/>
          <w:szCs w:val="22"/>
          <w:lang w:val="en-GB"/>
        </w:rPr>
        <w:t xml:space="preserve">continued to </w:t>
      </w:r>
      <w:r w:rsidR="00CB3F9D" w:rsidRPr="00D562E2">
        <w:rPr>
          <w:rFonts w:cs="Arial"/>
          <w:szCs w:val="22"/>
          <w:lang w:val="en-GB"/>
        </w:rPr>
        <w:t xml:space="preserve">remain very low </w:t>
      </w:r>
      <w:r w:rsidR="005B321C" w:rsidRPr="00D562E2">
        <w:rPr>
          <w:rFonts w:cs="Arial"/>
          <w:szCs w:val="22"/>
          <w:lang w:val="en-GB"/>
        </w:rPr>
        <w:t xml:space="preserve">at reef sites </w:t>
      </w:r>
      <w:r w:rsidR="00CB3F9D" w:rsidRPr="00D562E2">
        <w:rPr>
          <w:rFonts w:cs="Arial"/>
          <w:szCs w:val="22"/>
          <w:lang w:val="en-GB"/>
        </w:rPr>
        <w:t>i</w:t>
      </w:r>
      <w:r w:rsidR="00276135" w:rsidRPr="00D562E2">
        <w:rPr>
          <w:rFonts w:cs="Arial"/>
          <w:szCs w:val="22"/>
          <w:lang w:val="en-GB"/>
        </w:rPr>
        <w:t xml:space="preserve">n </w:t>
      </w:r>
      <w:r w:rsidR="00956639" w:rsidRPr="00D562E2">
        <w:rPr>
          <w:rFonts w:cs="Arial"/>
          <w:szCs w:val="22"/>
          <w:lang w:val="en-GB"/>
        </w:rPr>
        <w:t>2018–19</w:t>
      </w:r>
      <w:r w:rsidR="00CB3F9D" w:rsidRPr="00D562E2">
        <w:rPr>
          <w:rFonts w:cs="Arial"/>
          <w:szCs w:val="22"/>
          <w:lang w:val="en-GB"/>
        </w:rPr>
        <w:t xml:space="preserve">, which </w:t>
      </w:r>
      <w:r w:rsidR="005B321C" w:rsidRPr="00D562E2">
        <w:rPr>
          <w:rFonts w:cs="Arial"/>
          <w:szCs w:val="22"/>
          <w:lang w:val="en-GB"/>
        </w:rPr>
        <w:t>appears</w:t>
      </w:r>
      <w:r w:rsidR="00CB3F9D" w:rsidRPr="00D562E2">
        <w:rPr>
          <w:rFonts w:cs="Arial"/>
          <w:szCs w:val="22"/>
          <w:lang w:val="en-GB"/>
        </w:rPr>
        <w:t xml:space="preserve"> </w:t>
      </w:r>
      <w:r w:rsidR="004C4468">
        <w:rPr>
          <w:rFonts w:cs="Arial"/>
          <w:szCs w:val="22"/>
          <w:lang w:val="en-GB"/>
        </w:rPr>
        <w:t>typical</w:t>
      </w:r>
      <w:r w:rsidR="005B321C" w:rsidRPr="00D562E2">
        <w:rPr>
          <w:rFonts w:cs="Arial"/>
          <w:szCs w:val="22"/>
          <w:lang w:val="en-GB"/>
        </w:rPr>
        <w:t xml:space="preserve"> </w:t>
      </w:r>
      <w:r w:rsidR="00CB3F9D" w:rsidRPr="00D562E2">
        <w:rPr>
          <w:rFonts w:cs="Arial"/>
          <w:szCs w:val="22"/>
          <w:lang w:val="en-GB"/>
        </w:rPr>
        <w:t xml:space="preserve">for </w:t>
      </w:r>
      <w:r w:rsidRPr="00D562E2">
        <w:rPr>
          <w:rFonts w:cs="Arial"/>
          <w:szCs w:val="22"/>
          <w:lang w:val="en-GB"/>
        </w:rPr>
        <w:t>reef habitat meadows</w:t>
      </w:r>
      <w:r w:rsidR="008F1379" w:rsidRPr="00D562E2">
        <w:rPr>
          <w:rFonts w:cs="Arial"/>
          <w:szCs w:val="22"/>
          <w:lang w:val="en-GB"/>
        </w:rPr>
        <w:t xml:space="preserve"> (</w:t>
      </w:r>
      <w:r w:rsidR="008F1379" w:rsidRPr="00D562E2">
        <w:rPr>
          <w:rFonts w:cs="Arial"/>
          <w:szCs w:val="22"/>
          <w:lang w:val="en-GB"/>
        </w:rPr>
        <w:fldChar w:fldCharType="begin"/>
      </w:r>
      <w:r w:rsidR="008F1379" w:rsidRPr="00D562E2">
        <w:rPr>
          <w:rFonts w:cs="Arial"/>
          <w:szCs w:val="22"/>
          <w:lang w:val="en-GB"/>
        </w:rPr>
        <w:instrText xml:space="preserve"> REF _Ref271532047 \h </w:instrText>
      </w:r>
      <w:r w:rsidR="00580DDA" w:rsidRPr="00D562E2">
        <w:rPr>
          <w:rFonts w:cs="Arial"/>
          <w:szCs w:val="22"/>
          <w:lang w:val="en-GB"/>
        </w:rPr>
        <w:instrText xml:space="preserve"> \* MERGEFORMAT </w:instrText>
      </w:r>
      <w:r w:rsidR="008F1379" w:rsidRPr="00D562E2">
        <w:rPr>
          <w:rFonts w:cs="Arial"/>
          <w:szCs w:val="22"/>
          <w:lang w:val="en-GB"/>
        </w:rPr>
      </w:r>
      <w:r w:rsidR="008F1379" w:rsidRPr="00D562E2">
        <w:rPr>
          <w:rFonts w:cs="Arial"/>
          <w:szCs w:val="22"/>
          <w:lang w:val="en-GB"/>
        </w:rPr>
        <w:fldChar w:fldCharType="separate"/>
      </w:r>
      <w:r w:rsidR="0067675D" w:rsidRPr="0067675D">
        <w:rPr>
          <w:rFonts w:cs="Arial"/>
          <w:szCs w:val="22"/>
        </w:rPr>
        <w:t xml:space="preserve">Figure </w:t>
      </w:r>
      <w:r w:rsidR="0067675D" w:rsidRPr="0067675D">
        <w:rPr>
          <w:rFonts w:cs="Arial"/>
          <w:noProof/>
          <w:szCs w:val="22"/>
        </w:rPr>
        <w:t>67</w:t>
      </w:r>
      <w:r w:rsidR="008F1379" w:rsidRPr="00D562E2">
        <w:rPr>
          <w:rFonts w:cs="Arial"/>
          <w:szCs w:val="22"/>
          <w:lang w:val="en-GB"/>
        </w:rPr>
        <w:fldChar w:fldCharType="end"/>
      </w:r>
      <w:r w:rsidR="008F1379" w:rsidRPr="00D562E2">
        <w:rPr>
          <w:rFonts w:cs="Arial"/>
          <w:szCs w:val="22"/>
          <w:lang w:val="en-GB"/>
        </w:rPr>
        <w:t>)</w:t>
      </w:r>
      <w:r w:rsidR="005B321C" w:rsidRPr="00D562E2">
        <w:rPr>
          <w:rFonts w:cs="Arial"/>
          <w:szCs w:val="22"/>
          <w:lang w:val="en-GB"/>
        </w:rPr>
        <w:t>.</w:t>
      </w:r>
    </w:p>
    <w:p w14:paraId="2D0C773C" w14:textId="77777777" w:rsidR="00C31BE9" w:rsidRPr="00D562E2" w:rsidRDefault="00C31BE9" w:rsidP="009D7E19">
      <w:pPr>
        <w:rPr>
          <w:rFonts w:cs="Arial"/>
          <w:color w:val="000000"/>
          <w:szCs w:val="22"/>
          <w:lang w:val="en-GB"/>
        </w:rPr>
      </w:pPr>
    </w:p>
    <w:p w14:paraId="52470FA3" w14:textId="77777777" w:rsidR="00C31BE9" w:rsidRPr="00D562E2" w:rsidRDefault="004E43E3" w:rsidP="009D7E19">
      <w:pPr>
        <w:rPr>
          <w:rFonts w:cs="Arial"/>
          <w:color w:val="000000"/>
          <w:szCs w:val="22"/>
          <w:lang w:val="en-GB"/>
        </w:rPr>
      </w:pPr>
      <w:r w:rsidRPr="00D562E2">
        <w:rPr>
          <w:rFonts w:cs="Arial"/>
          <w:noProof/>
          <w:color w:val="000000"/>
          <w:szCs w:val="22"/>
          <w:lang w:eastAsia="en-AU"/>
        </w:rPr>
        <w:drawing>
          <wp:inline distT="0" distB="0" distL="0" distR="0" wp14:anchorId="5D3CFD0E" wp14:editId="16D26A10">
            <wp:extent cx="5731818" cy="1398453"/>
            <wp:effectExtent l="0" t="0" r="2540" b="0"/>
            <wp:docPr id="530" name="Picture 530" descr="Panel of three composite bar and scatter plot graphs showing seed banks (bars) and reproductive effort (dots) at inshore seagrass habitats in the Mackay Whitsunda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MW_repro16.png"/>
                    <pic:cNvPicPr/>
                  </pic:nvPicPr>
                  <pic:blipFill>
                    <a:blip r:embed="rId120"/>
                    <a:stretch>
                      <a:fillRect/>
                    </a:stretch>
                  </pic:blipFill>
                  <pic:spPr>
                    <a:xfrm>
                      <a:off x="0" y="0"/>
                      <a:ext cx="5731818" cy="1398453"/>
                    </a:xfrm>
                    <a:prstGeom prst="rect">
                      <a:avLst/>
                    </a:prstGeom>
                  </pic:spPr>
                </pic:pic>
              </a:graphicData>
            </a:graphic>
          </wp:inline>
        </w:drawing>
      </w:r>
    </w:p>
    <w:p w14:paraId="0B2FCE10" w14:textId="1C96AFA7" w:rsidR="006341F9" w:rsidRPr="00D562E2" w:rsidRDefault="005132EF" w:rsidP="006341F9">
      <w:pPr>
        <w:rPr>
          <w:rFonts w:cs="Arial"/>
          <w:i/>
          <w:vanish/>
          <w:szCs w:val="22"/>
          <w:specVanish/>
        </w:rPr>
      </w:pPr>
      <w:bookmarkStart w:id="515" w:name="_Ref271532047"/>
      <w:bookmarkStart w:id="516" w:name="_Toc431493876"/>
      <w:bookmarkStart w:id="517" w:name="_Toc38634171"/>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67</w:t>
      </w:r>
      <w:r w:rsidR="0073595B" w:rsidRPr="00D562E2">
        <w:rPr>
          <w:rFonts w:cs="Arial"/>
          <w:color w:val="000000"/>
          <w:szCs w:val="22"/>
        </w:rPr>
        <w:fldChar w:fldCharType="end"/>
      </w:r>
      <w:bookmarkEnd w:id="515"/>
      <w:r w:rsidRPr="00D562E2">
        <w:rPr>
          <w:rFonts w:cs="Arial"/>
          <w:color w:val="000000"/>
          <w:szCs w:val="22"/>
        </w:rPr>
        <w:t xml:space="preserve">. </w:t>
      </w:r>
      <w:r w:rsidR="006341F9" w:rsidRPr="00D562E2">
        <w:rPr>
          <w:rFonts w:cs="Arial"/>
          <w:i/>
          <w:color w:val="000000"/>
          <w:szCs w:val="22"/>
        </w:rPr>
        <w:t xml:space="preserve">Seed bank and reproductive effort at inshore intertidal coast, estuary, and </w:t>
      </w:r>
      <w:r w:rsidR="006341F9" w:rsidRPr="00D562E2">
        <w:rPr>
          <w:rFonts w:cs="Arial"/>
          <w:i/>
          <w:szCs w:val="22"/>
        </w:rPr>
        <w:t xml:space="preserve">reef habitats in the </w:t>
      </w:r>
      <w:r w:rsidR="00B72AC4">
        <w:rPr>
          <w:rFonts w:cs="Arial"/>
          <w:i/>
          <w:szCs w:val="22"/>
        </w:rPr>
        <w:t>Mackay–Whitsunday</w:t>
      </w:r>
      <w:r w:rsidR="00E249FC" w:rsidRPr="00D562E2">
        <w:rPr>
          <w:rFonts w:cs="Arial"/>
          <w:i/>
          <w:szCs w:val="22"/>
        </w:rPr>
        <w:t xml:space="preserve"> </w:t>
      </w:r>
      <w:r w:rsidR="006341F9" w:rsidRPr="00D562E2">
        <w:rPr>
          <w:rFonts w:cs="Arial"/>
          <w:i/>
          <w:szCs w:val="22"/>
        </w:rPr>
        <w:t>region, 2001</w:t>
      </w:r>
      <w:r w:rsidR="00A675DA" w:rsidRPr="00D562E2">
        <w:rPr>
          <w:rFonts w:cs="Arial"/>
          <w:i/>
          <w:szCs w:val="22"/>
        </w:rPr>
        <w:t>–</w:t>
      </w:r>
      <w:r w:rsidR="006341F9" w:rsidRPr="00D562E2">
        <w:rPr>
          <w:rFonts w:cs="Arial"/>
          <w:i/>
          <w:szCs w:val="22"/>
        </w:rPr>
        <w:t>201</w:t>
      </w:r>
      <w:r w:rsidR="00371FEA" w:rsidRPr="00D562E2">
        <w:rPr>
          <w:rFonts w:cs="Arial"/>
          <w:i/>
          <w:szCs w:val="22"/>
        </w:rPr>
        <w:t>9</w:t>
      </w:r>
      <w:r w:rsidR="00E249FC" w:rsidRPr="00D562E2">
        <w:rPr>
          <w:rFonts w:cs="Arial"/>
          <w:i/>
          <w:szCs w:val="22"/>
        </w:rPr>
        <w:t>.</w:t>
      </w:r>
      <w:bookmarkEnd w:id="516"/>
      <w:bookmarkEnd w:id="517"/>
      <w:r w:rsidR="00E249FC" w:rsidRPr="00D562E2">
        <w:rPr>
          <w:rFonts w:cs="Arial"/>
          <w:i/>
          <w:szCs w:val="22"/>
        </w:rPr>
        <w:t xml:space="preserve"> </w:t>
      </w:r>
    </w:p>
    <w:p w14:paraId="748C68AC" w14:textId="3398B62D" w:rsidR="001F05B0" w:rsidRPr="00D562E2" w:rsidRDefault="006341F9" w:rsidP="001F05B0">
      <w:pPr>
        <w:rPr>
          <w:rFonts w:cs="Arial"/>
          <w:szCs w:val="22"/>
          <w:lang w:val="en-GB"/>
        </w:rPr>
      </w:pPr>
      <w:r w:rsidRPr="00D562E2">
        <w:rPr>
          <w:rFonts w:cs="Arial"/>
          <w:i/>
          <w:szCs w:val="22"/>
        </w:rPr>
        <w:t xml:space="preserve">Seed </w:t>
      </w:r>
      <w:r w:rsidRPr="00D562E2">
        <w:rPr>
          <w:rFonts w:cs="Arial"/>
          <w:i/>
          <w:szCs w:val="22"/>
        </w:rPr>
        <w:lastRenderedPageBreak/>
        <w:t xml:space="preserve">bank presented as the total </w:t>
      </w:r>
      <w:r w:rsidRPr="00D562E2">
        <w:rPr>
          <w:rFonts w:cs="Arial"/>
          <w:i/>
          <w:color w:val="000000"/>
          <w:szCs w:val="22"/>
        </w:rPr>
        <w:t>number of seeds per m</w:t>
      </w:r>
      <w:r w:rsidRPr="00D562E2">
        <w:rPr>
          <w:rFonts w:cs="Arial"/>
          <w:i/>
          <w:color w:val="000000"/>
          <w:szCs w:val="22"/>
          <w:vertAlign w:val="superscript"/>
        </w:rPr>
        <w:t>2</w:t>
      </w:r>
      <w:r w:rsidRPr="00D562E2">
        <w:rPr>
          <w:rFonts w:cs="Arial"/>
          <w:i/>
          <w:color w:val="000000"/>
          <w:szCs w:val="22"/>
        </w:rPr>
        <w:t xml:space="preserve"> sediment surface and reproductive effort presented as the average number of reproductive structures per core (species and sites pooled). </w:t>
      </w:r>
      <w:r w:rsidR="00E249FC" w:rsidRPr="00D562E2">
        <w:rPr>
          <w:rFonts w:cs="Arial"/>
          <w:i/>
          <w:color w:val="000000"/>
          <w:szCs w:val="22"/>
        </w:rPr>
        <w:t>NB: Y-axis scale for seed banks differs between habitats.</w:t>
      </w:r>
      <w:r w:rsidRPr="00D562E2">
        <w:rPr>
          <w:rFonts w:cs="Arial"/>
          <w:color w:val="000000"/>
          <w:szCs w:val="22"/>
        </w:rPr>
        <w:t xml:space="preserve"> </w:t>
      </w:r>
    </w:p>
    <w:p w14:paraId="6969261F" w14:textId="5CED35CD" w:rsidR="002F1D37" w:rsidRPr="00D562E2" w:rsidRDefault="002F1D37" w:rsidP="00785606">
      <w:pPr>
        <w:pStyle w:val="Heading4"/>
      </w:pPr>
      <w:bookmarkStart w:id="518" w:name="_Toc37775100"/>
      <w:bookmarkStart w:id="519" w:name="_Toc43987075"/>
      <w:r w:rsidRPr="00D562E2">
        <w:t>Seagrass leaf tissue nutrients</w:t>
      </w:r>
      <w:bookmarkEnd w:id="518"/>
      <w:bookmarkEnd w:id="519"/>
    </w:p>
    <w:p w14:paraId="4B5C23DB" w14:textId="5A3E60D8" w:rsidR="00C31BE9" w:rsidRPr="00D562E2" w:rsidRDefault="00C31BE9" w:rsidP="00034AD4">
      <w:pPr>
        <w:rPr>
          <w:rFonts w:cs="Arial"/>
          <w:iCs/>
          <w:szCs w:val="22"/>
        </w:rPr>
      </w:pPr>
      <w:r w:rsidRPr="00D562E2">
        <w:rPr>
          <w:rFonts w:cs="Arial"/>
          <w:iCs/>
          <w:szCs w:val="22"/>
        </w:rPr>
        <w:t xml:space="preserve">Seagrass leaf molar C:N ratios were </w:t>
      </w:r>
      <w:r w:rsidR="00B746BD" w:rsidRPr="00D562E2">
        <w:rPr>
          <w:rFonts w:cs="Arial"/>
          <w:iCs/>
          <w:szCs w:val="22"/>
        </w:rPr>
        <w:t>unchanged compared</w:t>
      </w:r>
      <w:r w:rsidRPr="00D562E2">
        <w:rPr>
          <w:rFonts w:cs="Arial"/>
          <w:iCs/>
          <w:szCs w:val="22"/>
        </w:rPr>
        <w:t xml:space="preserve"> to the previous year</w:t>
      </w:r>
      <w:r w:rsidR="005B321C" w:rsidRPr="00D562E2">
        <w:rPr>
          <w:rFonts w:cs="Arial"/>
          <w:iCs/>
          <w:szCs w:val="22"/>
        </w:rPr>
        <w:t xml:space="preserve">, </w:t>
      </w:r>
      <w:r w:rsidR="00B746BD" w:rsidRPr="00D562E2">
        <w:rPr>
          <w:rFonts w:cs="Arial"/>
          <w:iCs/>
          <w:szCs w:val="22"/>
        </w:rPr>
        <w:t>remain</w:t>
      </w:r>
      <w:r w:rsidR="005B321C" w:rsidRPr="00D562E2">
        <w:rPr>
          <w:rFonts w:cs="Arial"/>
          <w:iCs/>
          <w:szCs w:val="22"/>
        </w:rPr>
        <w:t xml:space="preserve">ing </w:t>
      </w:r>
      <w:r w:rsidRPr="00D562E2">
        <w:rPr>
          <w:rFonts w:cs="Arial"/>
          <w:iCs/>
          <w:szCs w:val="22"/>
        </w:rPr>
        <w:t>below 20 (</w:t>
      </w:r>
      <w:r w:rsidR="007C6C8F" w:rsidRPr="00D562E2">
        <w:rPr>
          <w:rFonts w:cs="Arial"/>
          <w:iCs/>
          <w:szCs w:val="22"/>
        </w:rPr>
        <w:fldChar w:fldCharType="begin"/>
      </w:r>
      <w:r w:rsidR="007C6C8F" w:rsidRPr="00D562E2">
        <w:rPr>
          <w:rFonts w:cs="Arial"/>
          <w:iCs/>
          <w:szCs w:val="22"/>
        </w:rPr>
        <w:instrText xml:space="preserve"> REF _Ref271130459 \h </w:instrText>
      </w:r>
      <w:r w:rsidR="00580DDA" w:rsidRPr="00D562E2">
        <w:rPr>
          <w:rFonts w:cs="Arial"/>
          <w:iCs/>
          <w:szCs w:val="22"/>
        </w:rPr>
        <w:instrText xml:space="preserve"> \* MERGEFORMAT </w:instrText>
      </w:r>
      <w:r w:rsidR="007C6C8F" w:rsidRPr="00D562E2">
        <w:rPr>
          <w:rFonts w:cs="Arial"/>
          <w:iCs/>
          <w:szCs w:val="22"/>
        </w:rPr>
      </w:r>
      <w:r w:rsidR="007C6C8F" w:rsidRPr="00D562E2">
        <w:rPr>
          <w:rFonts w:cs="Arial"/>
          <w:iCs/>
          <w:szCs w:val="22"/>
        </w:rPr>
        <w:fldChar w:fldCharType="separate"/>
      </w:r>
      <w:r w:rsidR="0067675D" w:rsidRPr="0067675D">
        <w:rPr>
          <w:rFonts w:cs="Arial"/>
          <w:szCs w:val="22"/>
        </w:rPr>
        <w:t xml:space="preserve">Figure </w:t>
      </w:r>
      <w:r w:rsidR="0067675D" w:rsidRPr="0067675D">
        <w:rPr>
          <w:rFonts w:cs="Arial"/>
          <w:noProof/>
          <w:szCs w:val="22"/>
        </w:rPr>
        <w:t>68</w:t>
      </w:r>
      <w:r w:rsidR="007C6C8F" w:rsidRPr="00D562E2">
        <w:rPr>
          <w:rFonts w:cs="Arial"/>
          <w:iCs/>
          <w:szCs w:val="22"/>
        </w:rPr>
        <w:fldChar w:fldCharType="end"/>
      </w:r>
      <w:r w:rsidRPr="00D562E2">
        <w:rPr>
          <w:rFonts w:cs="Arial"/>
          <w:iCs/>
          <w:szCs w:val="22"/>
        </w:rPr>
        <w:t>)</w:t>
      </w:r>
      <w:r w:rsidR="005B321C" w:rsidRPr="00D562E2">
        <w:rPr>
          <w:rFonts w:cs="Arial"/>
          <w:iCs/>
          <w:szCs w:val="22"/>
        </w:rPr>
        <w:t>,</w:t>
      </w:r>
      <w:r w:rsidRPr="00D562E2">
        <w:rPr>
          <w:rFonts w:cs="Arial"/>
          <w:iCs/>
          <w:szCs w:val="22"/>
        </w:rPr>
        <w:t xml:space="preserve"> </w:t>
      </w:r>
      <w:r w:rsidR="00B746BD" w:rsidRPr="00D562E2">
        <w:rPr>
          <w:rFonts w:cs="Arial"/>
          <w:iCs/>
          <w:szCs w:val="22"/>
        </w:rPr>
        <w:t>indicating</w:t>
      </w:r>
      <w:r w:rsidRPr="00D562E2">
        <w:rPr>
          <w:rFonts w:cs="Arial"/>
          <w:iCs/>
          <w:szCs w:val="22"/>
        </w:rPr>
        <w:t xml:space="preserve"> a surplus of N relative to photosynthetic C incorporation. N:P ratios </w:t>
      </w:r>
      <w:r w:rsidR="005B321C" w:rsidRPr="00D562E2">
        <w:rPr>
          <w:rFonts w:cs="Arial"/>
          <w:iCs/>
          <w:szCs w:val="22"/>
        </w:rPr>
        <w:t xml:space="preserve">continued to </w:t>
      </w:r>
      <w:r w:rsidRPr="00D562E2">
        <w:rPr>
          <w:rFonts w:cs="Arial"/>
          <w:iCs/>
          <w:szCs w:val="22"/>
        </w:rPr>
        <w:t>increase</w:t>
      </w:r>
      <w:r w:rsidR="005B321C" w:rsidRPr="00D562E2">
        <w:rPr>
          <w:rFonts w:cs="Arial"/>
          <w:iCs/>
          <w:szCs w:val="22"/>
        </w:rPr>
        <w:t xml:space="preserve"> across all </w:t>
      </w:r>
      <w:r w:rsidR="00B746BD" w:rsidRPr="00D562E2">
        <w:rPr>
          <w:rFonts w:cs="Arial"/>
          <w:iCs/>
          <w:szCs w:val="22"/>
        </w:rPr>
        <w:t>habitats</w:t>
      </w:r>
      <w:r w:rsidRPr="00D562E2">
        <w:rPr>
          <w:rFonts w:cs="Arial"/>
          <w:iCs/>
          <w:szCs w:val="22"/>
        </w:rPr>
        <w:t xml:space="preserve">, </w:t>
      </w:r>
      <w:r w:rsidR="005B321C" w:rsidRPr="00D562E2">
        <w:rPr>
          <w:rFonts w:cs="Arial"/>
          <w:iCs/>
          <w:szCs w:val="22"/>
        </w:rPr>
        <w:t xml:space="preserve">and </w:t>
      </w:r>
      <w:r w:rsidR="003C311A">
        <w:rPr>
          <w:rFonts w:cs="Arial"/>
          <w:iCs/>
          <w:szCs w:val="22"/>
        </w:rPr>
        <w:t>%</w:t>
      </w:r>
      <w:r w:rsidR="005B321C" w:rsidRPr="00D562E2">
        <w:rPr>
          <w:rFonts w:cs="Arial"/>
          <w:iCs/>
          <w:szCs w:val="22"/>
        </w:rPr>
        <w:t xml:space="preserve">N remained above the global median, </w:t>
      </w:r>
      <w:r w:rsidRPr="00D562E2">
        <w:rPr>
          <w:rFonts w:cs="Arial"/>
          <w:iCs/>
          <w:szCs w:val="22"/>
        </w:rPr>
        <w:t>indicat</w:t>
      </w:r>
      <w:r w:rsidR="005B321C" w:rsidRPr="00D562E2">
        <w:rPr>
          <w:rFonts w:cs="Arial"/>
          <w:iCs/>
          <w:szCs w:val="22"/>
        </w:rPr>
        <w:t>ing</w:t>
      </w:r>
      <w:r w:rsidRPr="00D562E2">
        <w:rPr>
          <w:rFonts w:cs="Arial"/>
          <w:iCs/>
          <w:szCs w:val="22"/>
        </w:rPr>
        <w:t xml:space="preserve"> surplus availability of N </w:t>
      </w:r>
      <w:r w:rsidR="005B321C" w:rsidRPr="00D562E2">
        <w:rPr>
          <w:rFonts w:cs="Arial"/>
          <w:iCs/>
          <w:szCs w:val="22"/>
        </w:rPr>
        <w:t>across the region. T</w:t>
      </w:r>
      <w:r w:rsidR="005B321C" w:rsidRPr="00D562E2">
        <w:rPr>
          <w:rFonts w:cs="Arial"/>
          <w:iCs/>
          <w:color w:val="000000" w:themeColor="text1"/>
          <w:szCs w:val="22"/>
        </w:rPr>
        <w:t>he moderate and fluctuating δ</w:t>
      </w:r>
      <w:r w:rsidR="005B321C" w:rsidRPr="00D562E2">
        <w:rPr>
          <w:rFonts w:cs="Arial"/>
          <w:iCs/>
          <w:color w:val="000000" w:themeColor="text1"/>
          <w:szCs w:val="22"/>
          <w:vertAlign w:val="superscript"/>
        </w:rPr>
        <w:t>15</w:t>
      </w:r>
      <w:r w:rsidR="005B321C" w:rsidRPr="00D562E2">
        <w:rPr>
          <w:rFonts w:cs="Arial"/>
          <w:iCs/>
          <w:color w:val="000000" w:themeColor="text1"/>
          <w:szCs w:val="22"/>
        </w:rPr>
        <w:t>N (e.g. increasing at reef habitats), suggests some influence of</w:t>
      </w:r>
      <w:r w:rsidR="008D2412" w:rsidRPr="00D562E2">
        <w:rPr>
          <w:rFonts w:cs="Arial"/>
          <w:iCs/>
          <w:color w:val="000000" w:themeColor="text1"/>
          <w:szCs w:val="22"/>
        </w:rPr>
        <w:t xml:space="preserve"> an</w:t>
      </w:r>
      <w:r w:rsidR="005B321C" w:rsidRPr="00D562E2">
        <w:rPr>
          <w:rFonts w:cs="Arial"/>
          <w:iCs/>
          <w:color w:val="000000" w:themeColor="text1"/>
          <w:szCs w:val="22"/>
        </w:rPr>
        <w:t xml:space="preserve"> anthropogenic source of N</w:t>
      </w:r>
      <w:r w:rsidR="008D2412" w:rsidRPr="00D562E2">
        <w:rPr>
          <w:rFonts w:cs="Arial"/>
          <w:iCs/>
          <w:color w:val="000000" w:themeColor="text1"/>
          <w:szCs w:val="22"/>
        </w:rPr>
        <w:t xml:space="preserve"> </w:t>
      </w:r>
      <w:r w:rsidR="009E384B" w:rsidRPr="00D562E2">
        <w:rPr>
          <w:rFonts w:cs="Arial"/>
          <w:iCs/>
          <w:color w:val="000000" w:themeColor="text1"/>
          <w:szCs w:val="22"/>
        </w:rPr>
        <w:t xml:space="preserve">at some sites (e.g., Hamilton Island) </w:t>
      </w:r>
      <w:r w:rsidR="008D2412" w:rsidRPr="00D562E2">
        <w:rPr>
          <w:rFonts w:cs="Arial"/>
          <w:iCs/>
          <w:szCs w:val="22"/>
        </w:rPr>
        <w:t>(</w:t>
      </w:r>
      <w:r w:rsidR="008D2412" w:rsidRPr="00D562E2">
        <w:rPr>
          <w:rFonts w:cs="Arial"/>
          <w:iCs/>
          <w:szCs w:val="22"/>
        </w:rPr>
        <w:fldChar w:fldCharType="begin"/>
      </w:r>
      <w:r w:rsidR="008D2412" w:rsidRPr="00D562E2">
        <w:rPr>
          <w:rFonts w:cs="Arial"/>
          <w:iCs/>
          <w:szCs w:val="22"/>
        </w:rPr>
        <w:instrText xml:space="preserve"> REF _Ref271130459 \h  \* MERGEFORMAT </w:instrText>
      </w:r>
      <w:r w:rsidR="008D2412" w:rsidRPr="00D562E2">
        <w:rPr>
          <w:rFonts w:cs="Arial"/>
          <w:iCs/>
          <w:szCs w:val="22"/>
        </w:rPr>
      </w:r>
      <w:r w:rsidR="008D2412" w:rsidRPr="00D562E2">
        <w:rPr>
          <w:rFonts w:cs="Arial"/>
          <w:iCs/>
          <w:szCs w:val="22"/>
        </w:rPr>
        <w:fldChar w:fldCharType="separate"/>
      </w:r>
      <w:r w:rsidR="0067675D" w:rsidRPr="0067675D">
        <w:rPr>
          <w:rFonts w:cs="Arial"/>
          <w:szCs w:val="22"/>
        </w:rPr>
        <w:t xml:space="preserve">Figure </w:t>
      </w:r>
      <w:r w:rsidR="0067675D" w:rsidRPr="0067675D">
        <w:rPr>
          <w:rFonts w:cs="Arial"/>
          <w:noProof/>
          <w:szCs w:val="22"/>
        </w:rPr>
        <w:t>68</w:t>
      </w:r>
      <w:r w:rsidR="008D2412" w:rsidRPr="00D562E2">
        <w:rPr>
          <w:rFonts w:cs="Arial"/>
          <w:iCs/>
          <w:szCs w:val="22"/>
        </w:rPr>
        <w:fldChar w:fldCharType="end"/>
      </w:r>
      <w:r w:rsidR="008D2412" w:rsidRPr="00D562E2">
        <w:rPr>
          <w:rFonts w:cs="Arial"/>
          <w:iCs/>
          <w:szCs w:val="22"/>
        </w:rPr>
        <w:t>)</w:t>
      </w:r>
      <w:r w:rsidR="005B321C" w:rsidRPr="00D562E2">
        <w:rPr>
          <w:rFonts w:cs="Arial"/>
          <w:szCs w:val="22"/>
          <w:lang w:val="en-GB"/>
        </w:rPr>
        <w:t>.</w:t>
      </w:r>
    </w:p>
    <w:p w14:paraId="10F02CF8" w14:textId="77777777" w:rsidR="00C31BE9" w:rsidRPr="00D562E2" w:rsidRDefault="004E43E3" w:rsidP="0021009B">
      <w:pPr>
        <w:keepNext/>
        <w:widowControl w:val="0"/>
        <w:rPr>
          <w:rFonts w:cs="Arial"/>
          <w:color w:val="000000"/>
          <w:szCs w:val="22"/>
        </w:rPr>
      </w:pPr>
      <w:r w:rsidRPr="00D562E2">
        <w:rPr>
          <w:rFonts w:cs="Arial"/>
          <w:noProof/>
          <w:color w:val="000000"/>
          <w:szCs w:val="22"/>
          <w:lang w:eastAsia="en-AU"/>
        </w:rPr>
        <w:lastRenderedPageBreak/>
        <w:drawing>
          <wp:inline distT="0" distB="0" distL="0" distR="0" wp14:anchorId="28B13F31" wp14:editId="40BAA03B">
            <wp:extent cx="5384714" cy="6361779"/>
            <wp:effectExtent l="0" t="0" r="6985" b="1270"/>
            <wp:docPr id="10144" name="Picture 10144" descr="Set of twenty one scatter plots, displayed in seven by three matrix, with straight lines and markers showing annual elemental ratios (atomic) of seagrass leaf tissue C:N, N:P, C:P, percent Nitrogen, percent Phosphorous, delta 13 Carbon and delta 15 Nitrogen concentrations for the three seagrass habitats in the Mackay Whitsunday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 name="MW_CN_yr_Dec16.png"/>
                    <pic:cNvPicPr/>
                  </pic:nvPicPr>
                  <pic:blipFill>
                    <a:blip r:embed="rId121"/>
                    <a:stretch>
                      <a:fillRect/>
                    </a:stretch>
                  </pic:blipFill>
                  <pic:spPr>
                    <a:xfrm>
                      <a:off x="0" y="0"/>
                      <a:ext cx="5384714" cy="6361779"/>
                    </a:xfrm>
                    <a:prstGeom prst="rect">
                      <a:avLst/>
                    </a:prstGeom>
                  </pic:spPr>
                </pic:pic>
              </a:graphicData>
            </a:graphic>
          </wp:inline>
        </w:drawing>
      </w:r>
    </w:p>
    <w:p w14:paraId="30AC37DC" w14:textId="1180FB60" w:rsidR="004E65AD" w:rsidRPr="00D562E2" w:rsidRDefault="005132EF" w:rsidP="004E65AD">
      <w:pPr>
        <w:rPr>
          <w:rFonts w:cs="Arial"/>
          <w:i/>
          <w:vanish/>
          <w:color w:val="000000" w:themeColor="text1"/>
          <w:szCs w:val="22"/>
          <w:specVanish/>
        </w:rPr>
      </w:pPr>
      <w:bookmarkStart w:id="520" w:name="_Ref271130459"/>
      <w:bookmarkStart w:id="521" w:name="_Ref410295244"/>
      <w:bookmarkStart w:id="522" w:name="_Toc431493878"/>
      <w:bookmarkStart w:id="523" w:name="_Toc38634172"/>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68</w:t>
      </w:r>
      <w:r w:rsidR="0073595B" w:rsidRPr="00D562E2">
        <w:rPr>
          <w:rFonts w:cs="Arial"/>
          <w:color w:val="000000"/>
          <w:szCs w:val="22"/>
        </w:rPr>
        <w:fldChar w:fldCharType="end"/>
      </w:r>
      <w:bookmarkEnd w:id="520"/>
      <w:bookmarkEnd w:id="521"/>
      <w:r w:rsidRPr="00D562E2">
        <w:rPr>
          <w:rFonts w:cs="Arial"/>
          <w:color w:val="000000"/>
          <w:szCs w:val="22"/>
        </w:rPr>
        <w:t xml:space="preserve">. </w:t>
      </w:r>
      <w:bookmarkEnd w:id="522"/>
      <w:r w:rsidR="004E65AD" w:rsidRPr="00D562E2">
        <w:rPr>
          <w:rFonts w:cs="Arial"/>
          <w:i/>
          <w:color w:val="000000"/>
          <w:szCs w:val="22"/>
          <w:lang w:eastAsia="en-AU"/>
        </w:rPr>
        <w:t xml:space="preserve">Seagrass leaf tissue nutrient elemental ratios (C:N:P) and </w:t>
      </w:r>
      <w:r w:rsidR="004E65AD" w:rsidRPr="00D562E2">
        <w:rPr>
          <w:rFonts w:cs="Arial"/>
          <w:i/>
          <w:color w:val="000000"/>
          <w:szCs w:val="22"/>
          <w:lang w:val="en-US"/>
        </w:rPr>
        <w:t>concentrations (</w:t>
      </w:r>
      <w:r w:rsidR="003C311A">
        <w:rPr>
          <w:rFonts w:cs="Arial"/>
          <w:i/>
          <w:color w:val="000000"/>
          <w:szCs w:val="22"/>
          <w:lang w:eastAsia="en-AU"/>
        </w:rPr>
        <w:t>%</w:t>
      </w:r>
      <w:r w:rsidR="004E65AD" w:rsidRPr="00D562E2">
        <w:rPr>
          <w:rFonts w:cs="Arial"/>
          <w:i/>
          <w:color w:val="000000"/>
          <w:szCs w:val="22"/>
          <w:lang w:eastAsia="en-AU"/>
        </w:rPr>
        <w:t xml:space="preserve">N, </w:t>
      </w:r>
      <w:r w:rsidR="003C311A">
        <w:rPr>
          <w:rFonts w:cs="Arial"/>
          <w:i/>
          <w:color w:val="000000"/>
          <w:szCs w:val="22"/>
          <w:lang w:eastAsia="en-AU"/>
        </w:rPr>
        <w:t>%</w:t>
      </w:r>
      <w:r w:rsidR="004E65AD" w:rsidRPr="00D562E2">
        <w:rPr>
          <w:rFonts w:cs="Arial"/>
          <w:i/>
          <w:color w:val="000000"/>
          <w:szCs w:val="22"/>
          <w:lang w:eastAsia="en-AU"/>
        </w:rPr>
        <w:t xml:space="preserve">P, </w:t>
      </w:r>
      <w:r w:rsidR="004E65AD" w:rsidRPr="00D562E2">
        <w:rPr>
          <w:rFonts w:cs="Arial"/>
          <w:i/>
          <w:color w:val="000000"/>
          <w:szCs w:val="22"/>
        </w:rPr>
        <w:t>δ</w:t>
      </w:r>
      <w:r w:rsidR="004E65AD" w:rsidRPr="00D562E2">
        <w:rPr>
          <w:rFonts w:cs="Arial"/>
          <w:i/>
          <w:color w:val="000000"/>
          <w:szCs w:val="22"/>
          <w:vertAlign w:val="superscript"/>
        </w:rPr>
        <w:t>13</w:t>
      </w:r>
      <w:r w:rsidR="004E65AD" w:rsidRPr="00D562E2">
        <w:rPr>
          <w:rFonts w:cs="Arial"/>
          <w:i/>
          <w:color w:val="000000"/>
          <w:szCs w:val="22"/>
        </w:rPr>
        <w:t>C</w:t>
      </w:r>
      <w:r w:rsidR="004E65AD" w:rsidRPr="00D562E2">
        <w:rPr>
          <w:rFonts w:cs="Arial"/>
          <w:i/>
          <w:color w:val="000000"/>
          <w:szCs w:val="22"/>
          <w:lang w:val="en-US"/>
        </w:rPr>
        <w:t xml:space="preserve"> and </w:t>
      </w:r>
      <w:r w:rsidR="004E65AD" w:rsidRPr="00D562E2">
        <w:rPr>
          <w:rFonts w:cs="Arial"/>
          <w:i/>
          <w:color w:val="000000"/>
          <w:szCs w:val="22"/>
        </w:rPr>
        <w:t>δ</w:t>
      </w:r>
      <w:r w:rsidR="004E65AD" w:rsidRPr="00D562E2">
        <w:rPr>
          <w:rFonts w:cs="Arial"/>
          <w:i/>
          <w:color w:val="000000"/>
          <w:szCs w:val="22"/>
          <w:vertAlign w:val="superscript"/>
        </w:rPr>
        <w:t>15</w:t>
      </w:r>
      <w:r w:rsidR="004E65AD" w:rsidRPr="00D562E2">
        <w:rPr>
          <w:rFonts w:cs="Arial"/>
          <w:i/>
          <w:color w:val="000000"/>
          <w:szCs w:val="22"/>
        </w:rPr>
        <w:t>N)</w:t>
      </w:r>
      <w:r w:rsidR="004E65AD" w:rsidRPr="00D562E2">
        <w:rPr>
          <w:rFonts w:cs="Arial"/>
          <w:i/>
          <w:color w:val="000000"/>
          <w:szCs w:val="22"/>
          <w:lang w:val="en-US"/>
        </w:rPr>
        <w:t xml:space="preserve"> </w:t>
      </w:r>
      <w:r w:rsidR="004E65AD" w:rsidRPr="00D562E2">
        <w:rPr>
          <w:rFonts w:cs="Arial"/>
          <w:i/>
          <w:color w:val="000000"/>
          <w:szCs w:val="22"/>
          <w:lang w:eastAsia="en-AU"/>
        </w:rPr>
        <w:t xml:space="preserve">for each habitat in the </w:t>
      </w:r>
      <w:r w:rsidR="00B72AC4">
        <w:rPr>
          <w:rFonts w:cs="Arial"/>
          <w:i/>
          <w:color w:val="000000"/>
          <w:szCs w:val="22"/>
          <w:lang w:eastAsia="en-AU"/>
        </w:rPr>
        <w:t>Mackay–Whitsunday</w:t>
      </w:r>
      <w:r w:rsidR="004E65AD" w:rsidRPr="00D562E2">
        <w:rPr>
          <w:rFonts w:cs="Arial"/>
          <w:i/>
          <w:color w:val="000000"/>
          <w:szCs w:val="22"/>
          <w:lang w:eastAsia="en-AU"/>
        </w:rPr>
        <w:t xml:space="preserve"> region</w:t>
      </w:r>
      <w:bookmarkEnd w:id="523"/>
    </w:p>
    <w:p w14:paraId="573BA3C2" w14:textId="52C030AC" w:rsidR="006341F9" w:rsidRPr="00D562E2" w:rsidRDefault="004E65AD" w:rsidP="004E65AD">
      <w:pPr>
        <w:rPr>
          <w:rFonts w:cs="Arial"/>
          <w:color w:val="000000"/>
          <w:szCs w:val="22"/>
        </w:rPr>
      </w:pPr>
      <w:r w:rsidRPr="00D562E2">
        <w:rPr>
          <w:rFonts w:cs="Arial"/>
          <w:i/>
          <w:color w:val="000000"/>
          <w:szCs w:val="22"/>
          <w:lang w:eastAsia="en-AU"/>
        </w:rPr>
        <w:t xml:space="preserve"> (± SE) (foundation species pooled). Horizontal shaded bands or dashed lines represents the accepted seagrass </w:t>
      </w:r>
      <w:r w:rsidRPr="00D562E2">
        <w:rPr>
          <w:rFonts w:cs="Arial"/>
          <w:i/>
          <w:color w:val="000000"/>
          <w:szCs w:val="22"/>
        </w:rPr>
        <w:t xml:space="preserve">guideline </w:t>
      </w:r>
      <w:r w:rsidRPr="00D562E2">
        <w:rPr>
          <w:rFonts w:cs="Arial"/>
          <w:i/>
          <w:color w:val="000000"/>
          <w:szCs w:val="22"/>
          <w:lang w:eastAsia="en-AU"/>
        </w:rPr>
        <w:t xml:space="preserve">values, where: C:N ratios within the band may </w:t>
      </w:r>
      <w:r w:rsidRPr="00D562E2">
        <w:rPr>
          <w:rFonts w:cs="Arial"/>
          <w:i/>
          <w:color w:val="000000"/>
          <w:szCs w:val="22"/>
        </w:rPr>
        <w:t xml:space="preserve">indicate reduced light availability and/or N enrichment; </w:t>
      </w:r>
      <w:r w:rsidRPr="00D562E2">
        <w:rPr>
          <w:rFonts w:cs="Arial"/>
          <w:i/>
          <w:color w:val="000000"/>
          <w:szCs w:val="22"/>
          <w:lang w:eastAsia="en-AU"/>
        </w:rPr>
        <w:lastRenderedPageBreak/>
        <w:t xml:space="preserve">N:P ratios above the band indicate P limitation, below indicate N limitation and within indicates replete, and; C:P ratios within the band may </w:t>
      </w:r>
      <w:r w:rsidRPr="00D562E2">
        <w:rPr>
          <w:rFonts w:cs="Arial"/>
          <w:i/>
          <w:color w:val="000000"/>
          <w:szCs w:val="22"/>
        </w:rPr>
        <w:t xml:space="preserve">indicate </w:t>
      </w:r>
      <w:r w:rsidRPr="00D562E2">
        <w:rPr>
          <w:rFonts w:cs="Arial"/>
          <w:i/>
          <w:color w:val="000000"/>
          <w:szCs w:val="22"/>
          <w:lang w:eastAsia="en-AU"/>
        </w:rPr>
        <w:t>nutrient rich habitats (large P pool).</w:t>
      </w:r>
      <w:r w:rsidRPr="00D562E2">
        <w:rPr>
          <w:rFonts w:cs="Arial"/>
          <w:color w:val="000000"/>
          <w:szCs w:val="22"/>
          <w:lang w:eastAsia="en-AU"/>
        </w:rPr>
        <w:t xml:space="preserve"> </w:t>
      </w:r>
      <w:r w:rsidRPr="00D562E2">
        <w:rPr>
          <w:rFonts w:cs="Arial"/>
          <w:i/>
          <w:color w:val="000000"/>
          <w:szCs w:val="22"/>
        </w:rPr>
        <w:t xml:space="preserve">Dashed lines in </w:t>
      </w:r>
      <w:r w:rsidR="003C311A">
        <w:rPr>
          <w:rFonts w:cs="Arial"/>
          <w:i/>
          <w:color w:val="000000"/>
          <w:szCs w:val="22"/>
        </w:rPr>
        <w:t>%</w:t>
      </w:r>
      <w:r w:rsidRPr="00D562E2">
        <w:rPr>
          <w:rFonts w:cs="Arial"/>
          <w:i/>
          <w:color w:val="000000"/>
          <w:szCs w:val="22"/>
        </w:rPr>
        <w:t xml:space="preserve">N and </w:t>
      </w:r>
      <w:r w:rsidR="003C311A">
        <w:rPr>
          <w:rFonts w:cs="Arial"/>
          <w:i/>
          <w:color w:val="000000"/>
          <w:szCs w:val="22"/>
        </w:rPr>
        <w:t>%</w:t>
      </w:r>
      <w:r w:rsidRPr="00D562E2">
        <w:rPr>
          <w:rFonts w:cs="Arial"/>
          <w:i/>
          <w:color w:val="000000"/>
          <w:szCs w:val="22"/>
        </w:rPr>
        <w:t>P indicate global median values of 1.8</w:t>
      </w:r>
      <w:r w:rsidR="003C311A">
        <w:rPr>
          <w:rFonts w:cs="Arial"/>
          <w:i/>
          <w:color w:val="000000"/>
          <w:szCs w:val="22"/>
        </w:rPr>
        <w:t xml:space="preserve">% </w:t>
      </w:r>
      <w:r w:rsidRPr="00D562E2">
        <w:rPr>
          <w:rFonts w:cs="Arial"/>
          <w:i/>
          <w:color w:val="000000"/>
          <w:szCs w:val="22"/>
        </w:rPr>
        <w:t>and 0.2</w:t>
      </w:r>
      <w:r w:rsidR="003C311A">
        <w:rPr>
          <w:rFonts w:cs="Arial"/>
          <w:i/>
          <w:color w:val="000000"/>
          <w:szCs w:val="22"/>
        </w:rPr>
        <w:t xml:space="preserve">% </w:t>
      </w:r>
      <w:r w:rsidRPr="00D562E2">
        <w:rPr>
          <w:rFonts w:cs="Arial"/>
          <w:i/>
          <w:color w:val="000000"/>
          <w:szCs w:val="22"/>
        </w:rPr>
        <w:t>for tissue nitrogen and phosphorus, respectively (</w:t>
      </w:r>
      <w:hyperlink w:anchor="_ENREF_53" w:tooltip="Duarte, 1990 #1954" w:history="1">
        <w:r w:rsidR="009A7AB4" w:rsidRPr="00D562E2">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D562E2">
          <w:rPr>
            <w:rFonts w:cs="Arial"/>
            <w:i/>
            <w:color w:val="000000"/>
            <w:szCs w:val="22"/>
          </w:rPr>
          <w:fldChar w:fldCharType="separate"/>
        </w:r>
        <w:r w:rsidR="009A7AB4">
          <w:rPr>
            <w:rFonts w:cs="Arial"/>
            <w:i/>
            <w:noProof/>
            <w:color w:val="000000"/>
            <w:szCs w:val="22"/>
          </w:rPr>
          <w:t>Duarte 1990</w:t>
        </w:r>
        <w:r w:rsidR="009A7AB4" w:rsidRPr="00D562E2">
          <w:rPr>
            <w:rFonts w:cs="Arial"/>
            <w:i/>
            <w:color w:val="000000"/>
            <w:szCs w:val="22"/>
          </w:rPr>
          <w:fldChar w:fldCharType="end"/>
        </w:r>
      </w:hyperlink>
      <w:r w:rsidRPr="00D562E2">
        <w:rPr>
          <w:rFonts w:cs="Arial"/>
          <w:i/>
          <w:color w:val="000000"/>
          <w:szCs w:val="22"/>
        </w:rPr>
        <w:t>).</w:t>
      </w:r>
      <w:r w:rsidR="006341F9" w:rsidRPr="00D562E2">
        <w:rPr>
          <w:rFonts w:cs="Arial"/>
          <w:color w:val="000000"/>
          <w:szCs w:val="22"/>
        </w:rPr>
        <w:t xml:space="preserve"> </w:t>
      </w:r>
    </w:p>
    <w:p w14:paraId="0F466FC6" w14:textId="77777777" w:rsidR="008B0432" w:rsidRPr="00D562E2" w:rsidRDefault="008B0432" w:rsidP="00BC4EC5">
      <w:pPr>
        <w:rPr>
          <w:rFonts w:cs="Arial"/>
          <w:color w:val="000000" w:themeColor="text1"/>
          <w:szCs w:val="22"/>
          <w:lang w:val="en-GB"/>
        </w:rPr>
      </w:pPr>
      <w:bookmarkStart w:id="524" w:name="_Toc232845926"/>
      <w:bookmarkStart w:id="525" w:name="_Toc184102017"/>
    </w:p>
    <w:p w14:paraId="0FA29936" w14:textId="233B441F" w:rsidR="005132EF" w:rsidRPr="00D562E2" w:rsidRDefault="005132EF" w:rsidP="00785606">
      <w:pPr>
        <w:pStyle w:val="Heading4"/>
      </w:pPr>
      <w:bookmarkStart w:id="526" w:name="_Toc37775101"/>
      <w:bookmarkStart w:id="527" w:name="_Toc43987076"/>
      <w:r w:rsidRPr="00D562E2">
        <w:t>Epiphytes and macroalgae</w:t>
      </w:r>
      <w:bookmarkEnd w:id="524"/>
      <w:bookmarkEnd w:id="525"/>
      <w:bookmarkEnd w:id="526"/>
      <w:bookmarkEnd w:id="527"/>
    </w:p>
    <w:p w14:paraId="23FEB1FE" w14:textId="064C817C" w:rsidR="009607B0" w:rsidRPr="00D562E2" w:rsidRDefault="004B656A" w:rsidP="004B656A">
      <w:pPr>
        <w:rPr>
          <w:rFonts w:cs="Arial"/>
          <w:szCs w:val="22"/>
          <w:lang w:val="en-US"/>
        </w:rPr>
      </w:pPr>
      <w:r w:rsidRPr="00D562E2">
        <w:rPr>
          <w:rFonts w:cs="Arial"/>
          <w:szCs w:val="22"/>
          <w:lang w:val="en-US"/>
        </w:rPr>
        <w:t>Epiphyte</w:t>
      </w:r>
      <w:r w:rsidR="008A1426" w:rsidRPr="00D562E2">
        <w:rPr>
          <w:rFonts w:cs="Arial"/>
          <w:szCs w:val="22"/>
          <w:lang w:val="en-US"/>
        </w:rPr>
        <w:t xml:space="preserve"> cover on seagrass leaf blades </w:t>
      </w:r>
      <w:r w:rsidR="008D2412" w:rsidRPr="00D562E2">
        <w:rPr>
          <w:rFonts w:cs="Arial"/>
          <w:szCs w:val="22"/>
          <w:lang w:val="en-US"/>
        </w:rPr>
        <w:t xml:space="preserve">in </w:t>
      </w:r>
      <w:r w:rsidR="00956639" w:rsidRPr="00D562E2">
        <w:rPr>
          <w:rFonts w:cs="Arial"/>
          <w:szCs w:val="22"/>
          <w:lang w:val="en-US"/>
        </w:rPr>
        <w:t>2018–19</w:t>
      </w:r>
      <w:r w:rsidR="00C81636" w:rsidRPr="00D562E2">
        <w:rPr>
          <w:rFonts w:cs="Arial"/>
          <w:szCs w:val="22"/>
          <w:lang w:val="en-US"/>
        </w:rPr>
        <w:t xml:space="preserve"> </w:t>
      </w:r>
      <w:r w:rsidR="008D2412" w:rsidRPr="00D562E2">
        <w:rPr>
          <w:rFonts w:cs="Arial"/>
          <w:szCs w:val="22"/>
          <w:lang w:val="en-US"/>
        </w:rPr>
        <w:t xml:space="preserve">has remained below the </w:t>
      </w:r>
      <w:r w:rsidR="009607B0" w:rsidRPr="00D562E2">
        <w:rPr>
          <w:rFonts w:cs="Arial"/>
          <w:szCs w:val="22"/>
          <w:lang w:val="en-US"/>
        </w:rPr>
        <w:t xml:space="preserve">Reef-wide </w:t>
      </w:r>
      <w:r w:rsidR="008D2412" w:rsidRPr="00D562E2">
        <w:rPr>
          <w:rFonts w:cs="Arial"/>
          <w:szCs w:val="22"/>
          <w:lang w:val="en-US"/>
        </w:rPr>
        <w:t xml:space="preserve">long-term average at estuarine and reef habitats since early 2017, </w:t>
      </w:r>
      <w:r w:rsidR="004C4468">
        <w:rPr>
          <w:rFonts w:cs="Arial"/>
          <w:szCs w:val="22"/>
          <w:lang w:val="en-US"/>
        </w:rPr>
        <w:t>and decreased</w:t>
      </w:r>
      <w:r w:rsidR="0022398D" w:rsidRPr="00D562E2">
        <w:rPr>
          <w:rFonts w:cs="Arial"/>
          <w:szCs w:val="22"/>
          <w:lang w:val="en-US"/>
        </w:rPr>
        <w:t xml:space="preserve"> </w:t>
      </w:r>
      <w:r w:rsidR="004C4468">
        <w:rPr>
          <w:rFonts w:cs="Arial"/>
          <w:szCs w:val="22"/>
          <w:lang w:val="en-US"/>
        </w:rPr>
        <w:t xml:space="preserve">slightly </w:t>
      </w:r>
      <w:r w:rsidR="008D2412" w:rsidRPr="00D562E2">
        <w:rPr>
          <w:rFonts w:cs="Arial"/>
          <w:szCs w:val="22"/>
          <w:lang w:val="en-US"/>
        </w:rPr>
        <w:t>at</w:t>
      </w:r>
      <w:r w:rsidR="0022398D" w:rsidRPr="00D562E2">
        <w:rPr>
          <w:rFonts w:cs="Arial"/>
          <w:szCs w:val="22"/>
          <w:lang w:val="en-US"/>
        </w:rPr>
        <w:t xml:space="preserve"> </w:t>
      </w:r>
      <w:r w:rsidR="008D2412" w:rsidRPr="00D562E2">
        <w:rPr>
          <w:rFonts w:cs="Arial"/>
          <w:szCs w:val="22"/>
          <w:lang w:val="en-US"/>
        </w:rPr>
        <w:t>coastal h</w:t>
      </w:r>
      <w:r w:rsidR="0022398D" w:rsidRPr="00D562E2">
        <w:rPr>
          <w:rFonts w:cs="Arial"/>
          <w:szCs w:val="22"/>
          <w:lang w:val="en-US"/>
        </w:rPr>
        <w:t>abitat</w:t>
      </w:r>
      <w:r w:rsidR="008D2412" w:rsidRPr="00D562E2">
        <w:rPr>
          <w:rFonts w:cs="Arial"/>
          <w:szCs w:val="22"/>
          <w:lang w:val="en-US"/>
        </w:rPr>
        <w:t>s</w:t>
      </w:r>
      <w:r w:rsidR="0022398D" w:rsidRPr="00D562E2">
        <w:rPr>
          <w:rFonts w:cs="Arial"/>
          <w:szCs w:val="22"/>
          <w:lang w:val="en-US"/>
        </w:rPr>
        <w:t xml:space="preserve"> </w:t>
      </w:r>
      <w:r w:rsidR="008D2412" w:rsidRPr="00D562E2">
        <w:rPr>
          <w:rFonts w:cs="Arial"/>
          <w:szCs w:val="22"/>
          <w:lang w:val="en-US"/>
        </w:rPr>
        <w:t>relative</w:t>
      </w:r>
      <w:r w:rsidR="0022398D" w:rsidRPr="00D562E2">
        <w:rPr>
          <w:rFonts w:cs="Arial"/>
          <w:szCs w:val="22"/>
          <w:lang w:val="en-US"/>
        </w:rPr>
        <w:t xml:space="preserve"> to the </w:t>
      </w:r>
      <w:r w:rsidR="008D2412" w:rsidRPr="00D562E2">
        <w:rPr>
          <w:rFonts w:cs="Arial"/>
          <w:szCs w:val="22"/>
          <w:lang w:val="en-US"/>
        </w:rPr>
        <w:t>previous reporting year</w:t>
      </w:r>
      <w:r w:rsidR="0022398D" w:rsidRPr="00D562E2">
        <w:rPr>
          <w:rFonts w:cs="Arial"/>
          <w:szCs w:val="22"/>
          <w:lang w:val="en-US"/>
        </w:rPr>
        <w:t xml:space="preserve"> </w:t>
      </w:r>
      <w:r w:rsidR="00766670" w:rsidRPr="00D562E2">
        <w:rPr>
          <w:rFonts w:cs="Arial"/>
          <w:szCs w:val="22"/>
          <w:lang w:val="en-US"/>
        </w:rPr>
        <w:t>(</w:t>
      </w:r>
      <w:r w:rsidR="00766670" w:rsidRPr="00D562E2">
        <w:rPr>
          <w:rFonts w:cs="Arial"/>
          <w:szCs w:val="22"/>
          <w:lang w:val="en-US"/>
        </w:rPr>
        <w:fldChar w:fldCharType="begin"/>
      </w:r>
      <w:r w:rsidR="00766670" w:rsidRPr="00D562E2">
        <w:rPr>
          <w:rFonts w:cs="Arial"/>
          <w:szCs w:val="22"/>
          <w:lang w:val="en-US"/>
        </w:rPr>
        <w:instrText xml:space="preserve"> REF _Ref211931338 \h  \* MERGEFORMAT </w:instrText>
      </w:r>
      <w:r w:rsidR="00766670" w:rsidRPr="00D562E2">
        <w:rPr>
          <w:rFonts w:cs="Arial"/>
          <w:szCs w:val="22"/>
          <w:lang w:val="en-US"/>
        </w:rPr>
      </w:r>
      <w:r w:rsidR="00766670"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69</w:t>
      </w:r>
      <w:r w:rsidR="00766670" w:rsidRPr="00D562E2">
        <w:rPr>
          <w:rFonts w:cs="Arial"/>
          <w:szCs w:val="22"/>
          <w:lang w:val="en-US"/>
        </w:rPr>
        <w:fldChar w:fldCharType="end"/>
      </w:r>
      <w:r w:rsidR="0022398D" w:rsidRPr="00D562E2">
        <w:rPr>
          <w:rFonts w:cs="Arial"/>
          <w:szCs w:val="22"/>
          <w:lang w:val="en-US"/>
        </w:rPr>
        <w:t xml:space="preserve">). </w:t>
      </w:r>
    </w:p>
    <w:p w14:paraId="6BDC6A0E" w14:textId="76BA8A8B" w:rsidR="008A1426" w:rsidRPr="00D562E2" w:rsidRDefault="004B656A" w:rsidP="004C4468">
      <w:pPr>
        <w:rPr>
          <w:rFonts w:cs="Arial"/>
          <w:szCs w:val="22"/>
          <w:lang w:val="en-US"/>
        </w:rPr>
      </w:pPr>
      <w:r w:rsidRPr="00D562E2">
        <w:rPr>
          <w:rFonts w:cs="Arial"/>
          <w:szCs w:val="22"/>
          <w:lang w:val="en-US"/>
        </w:rPr>
        <w:t>Percentage cover of macroalgae remained unchanged</w:t>
      </w:r>
      <w:r w:rsidR="006B4B31" w:rsidRPr="00D562E2">
        <w:rPr>
          <w:rFonts w:cs="Arial"/>
          <w:szCs w:val="22"/>
          <w:lang w:val="en-US"/>
        </w:rPr>
        <w:t>,</w:t>
      </w:r>
      <w:r w:rsidRPr="00D562E2">
        <w:rPr>
          <w:rFonts w:cs="Arial"/>
          <w:szCs w:val="22"/>
          <w:lang w:val="en-US"/>
        </w:rPr>
        <w:t xml:space="preserve"> </w:t>
      </w:r>
      <w:r w:rsidR="00CB4773" w:rsidRPr="00D562E2">
        <w:rPr>
          <w:rFonts w:cs="Arial"/>
          <w:szCs w:val="22"/>
          <w:lang w:val="en-US"/>
        </w:rPr>
        <w:t xml:space="preserve">at or </w:t>
      </w:r>
      <w:r w:rsidRPr="00D562E2">
        <w:rPr>
          <w:rFonts w:cs="Arial"/>
          <w:szCs w:val="22"/>
          <w:lang w:val="en-US"/>
        </w:rPr>
        <w:t xml:space="preserve">below the </w:t>
      </w:r>
      <w:r w:rsidR="009607B0" w:rsidRPr="00D562E2">
        <w:rPr>
          <w:rFonts w:cs="Arial"/>
          <w:szCs w:val="22"/>
          <w:lang w:val="en-US"/>
        </w:rPr>
        <w:t xml:space="preserve">Reef-wide </w:t>
      </w:r>
      <w:r w:rsidRPr="00D562E2">
        <w:rPr>
          <w:rFonts w:cs="Arial"/>
          <w:szCs w:val="22"/>
          <w:lang w:val="en-US"/>
        </w:rPr>
        <w:t xml:space="preserve">long-term average for </w:t>
      </w:r>
      <w:r w:rsidR="004C4468">
        <w:rPr>
          <w:rFonts w:cs="Arial"/>
          <w:szCs w:val="22"/>
          <w:lang w:val="en-US"/>
        </w:rPr>
        <w:t>estuarine and coastal</w:t>
      </w:r>
      <w:r w:rsidR="00B9236B" w:rsidRPr="00D562E2">
        <w:rPr>
          <w:rFonts w:cs="Arial"/>
          <w:szCs w:val="22"/>
          <w:lang w:val="en-US"/>
        </w:rPr>
        <w:t xml:space="preserve"> habitats </w:t>
      </w:r>
      <w:r w:rsidRPr="00D562E2">
        <w:rPr>
          <w:rFonts w:cs="Arial"/>
          <w:szCs w:val="22"/>
          <w:lang w:val="en-US"/>
        </w:rPr>
        <w:t xml:space="preserve">throughout </w:t>
      </w:r>
      <w:r w:rsidR="004C4468">
        <w:rPr>
          <w:rFonts w:cs="Arial"/>
          <w:szCs w:val="22"/>
          <w:lang w:val="en-US"/>
        </w:rPr>
        <w:t>2018</w:t>
      </w:r>
      <w:r w:rsidR="004916B0" w:rsidRPr="00FA314F">
        <w:rPr>
          <w:rFonts w:cs="Arial"/>
          <w:szCs w:val="22"/>
        </w:rPr>
        <w:t>–</w:t>
      </w:r>
      <w:r w:rsidR="004C4468">
        <w:rPr>
          <w:rFonts w:cs="Arial"/>
          <w:szCs w:val="22"/>
          <w:lang w:val="en-US"/>
        </w:rPr>
        <w:t>19</w:t>
      </w:r>
      <w:r w:rsidRPr="00D562E2">
        <w:rPr>
          <w:rFonts w:cs="Arial"/>
          <w:szCs w:val="22"/>
          <w:lang w:val="en-US"/>
        </w:rPr>
        <w:t xml:space="preserve"> </w:t>
      </w:r>
      <w:r w:rsidR="006B4B31" w:rsidRPr="00D562E2">
        <w:rPr>
          <w:rFonts w:cs="Arial"/>
          <w:szCs w:val="22"/>
          <w:lang w:val="en-US"/>
        </w:rPr>
        <w:t>(</w:t>
      </w:r>
      <w:r w:rsidR="006B4B31" w:rsidRPr="00D562E2">
        <w:rPr>
          <w:rFonts w:cs="Arial"/>
          <w:szCs w:val="22"/>
          <w:lang w:val="en-US"/>
        </w:rPr>
        <w:fldChar w:fldCharType="begin"/>
      </w:r>
      <w:r w:rsidR="006B4B31" w:rsidRPr="00D562E2">
        <w:rPr>
          <w:rFonts w:cs="Arial"/>
          <w:szCs w:val="22"/>
          <w:lang w:val="en-US"/>
        </w:rPr>
        <w:instrText xml:space="preserve"> REF _Ref211931338 \h  \* MERGEFORMAT </w:instrText>
      </w:r>
      <w:r w:rsidR="006B4B31" w:rsidRPr="00D562E2">
        <w:rPr>
          <w:rFonts w:cs="Arial"/>
          <w:szCs w:val="22"/>
          <w:lang w:val="en-US"/>
        </w:rPr>
      </w:r>
      <w:r w:rsidR="006B4B31"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69</w:t>
      </w:r>
      <w:r w:rsidR="006B4B31" w:rsidRPr="00D562E2">
        <w:rPr>
          <w:rFonts w:cs="Arial"/>
          <w:szCs w:val="22"/>
          <w:lang w:val="en-US"/>
        </w:rPr>
        <w:fldChar w:fldCharType="end"/>
      </w:r>
      <w:r w:rsidR="006B4B31" w:rsidRPr="00D562E2">
        <w:rPr>
          <w:rFonts w:cs="Arial"/>
          <w:szCs w:val="22"/>
          <w:lang w:val="en-US"/>
        </w:rPr>
        <w:t>)</w:t>
      </w:r>
      <w:r w:rsidR="004C4468">
        <w:rPr>
          <w:rFonts w:cs="Arial"/>
          <w:szCs w:val="22"/>
          <w:lang w:val="en-US"/>
        </w:rPr>
        <w:t xml:space="preserve">. At reef meadows, however, </w:t>
      </w:r>
      <w:r w:rsidR="004C4468" w:rsidRPr="00D562E2">
        <w:rPr>
          <w:rFonts w:cs="Arial"/>
          <w:szCs w:val="22"/>
          <w:lang w:val="en-US"/>
        </w:rPr>
        <w:t>macroalgae</w:t>
      </w:r>
      <w:r w:rsidR="004C4468">
        <w:rPr>
          <w:rFonts w:cs="Arial"/>
          <w:szCs w:val="22"/>
          <w:lang w:val="en-US"/>
        </w:rPr>
        <w:t xml:space="preserve"> cover increased above the</w:t>
      </w:r>
      <w:r w:rsidR="004C4468" w:rsidRPr="004C4468">
        <w:rPr>
          <w:rFonts w:cs="Arial"/>
          <w:szCs w:val="22"/>
          <w:lang w:val="en-US"/>
        </w:rPr>
        <w:t xml:space="preserve"> </w:t>
      </w:r>
      <w:r w:rsidR="004C4468" w:rsidRPr="00D562E2">
        <w:rPr>
          <w:rFonts w:cs="Arial"/>
          <w:szCs w:val="22"/>
          <w:lang w:val="en-US"/>
        </w:rPr>
        <w:t>Reef-wide long-term average</w:t>
      </w:r>
      <w:r w:rsidR="004C4468">
        <w:rPr>
          <w:rFonts w:cs="Arial"/>
          <w:szCs w:val="22"/>
          <w:lang w:val="en-US"/>
        </w:rPr>
        <w:t xml:space="preserve"> in 2018</w:t>
      </w:r>
      <w:r w:rsidR="004916B0" w:rsidRPr="00FA314F">
        <w:rPr>
          <w:rFonts w:cs="Arial"/>
          <w:szCs w:val="22"/>
        </w:rPr>
        <w:t>–</w:t>
      </w:r>
      <w:r w:rsidR="004C4468">
        <w:rPr>
          <w:rFonts w:cs="Arial"/>
          <w:szCs w:val="22"/>
          <w:lang w:val="en-US"/>
        </w:rPr>
        <w:t xml:space="preserve">19, and was the highest cover observed in over a decade </w:t>
      </w:r>
      <w:r w:rsidR="004C4468" w:rsidRPr="00D562E2">
        <w:rPr>
          <w:rFonts w:cs="Arial"/>
          <w:szCs w:val="22"/>
          <w:lang w:val="en-US"/>
        </w:rPr>
        <w:t>(</w:t>
      </w:r>
      <w:r w:rsidR="004C4468" w:rsidRPr="00D562E2">
        <w:rPr>
          <w:rFonts w:cs="Arial"/>
          <w:szCs w:val="22"/>
          <w:lang w:val="en-US"/>
        </w:rPr>
        <w:fldChar w:fldCharType="begin"/>
      </w:r>
      <w:r w:rsidR="004C4468" w:rsidRPr="00D562E2">
        <w:rPr>
          <w:rFonts w:cs="Arial"/>
          <w:szCs w:val="22"/>
          <w:lang w:val="en-US"/>
        </w:rPr>
        <w:instrText xml:space="preserve"> REF _Ref211931338 \h  \* MERGEFORMAT </w:instrText>
      </w:r>
      <w:r w:rsidR="004C4468" w:rsidRPr="00D562E2">
        <w:rPr>
          <w:rFonts w:cs="Arial"/>
          <w:szCs w:val="22"/>
          <w:lang w:val="en-US"/>
        </w:rPr>
      </w:r>
      <w:r w:rsidR="004C4468"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69</w:t>
      </w:r>
      <w:r w:rsidR="004C4468" w:rsidRPr="00D562E2">
        <w:rPr>
          <w:rFonts w:cs="Arial"/>
          <w:szCs w:val="22"/>
          <w:lang w:val="en-US"/>
        </w:rPr>
        <w:fldChar w:fldCharType="end"/>
      </w:r>
      <w:r w:rsidR="004C4468" w:rsidRPr="00D562E2">
        <w:rPr>
          <w:rFonts w:cs="Arial"/>
          <w:szCs w:val="22"/>
          <w:lang w:val="en-US"/>
        </w:rPr>
        <w:t>)</w:t>
      </w:r>
      <w:r w:rsidR="004C4468">
        <w:rPr>
          <w:rFonts w:cs="Arial"/>
          <w:szCs w:val="22"/>
          <w:lang w:val="en-US"/>
        </w:rPr>
        <w:t>.</w:t>
      </w:r>
    </w:p>
    <w:p w14:paraId="01DD9932" w14:textId="77777777" w:rsidR="008A1426" w:rsidRPr="00D562E2" w:rsidRDefault="004E43E3" w:rsidP="00B9236B">
      <w:pPr>
        <w:keepNext/>
        <w:widowControl w:val="0"/>
        <w:jc w:val="center"/>
        <w:rPr>
          <w:rFonts w:cs="Arial"/>
          <w:szCs w:val="22"/>
          <w:lang w:val="en-US"/>
        </w:rPr>
      </w:pPr>
      <w:r w:rsidRPr="00D562E2">
        <w:rPr>
          <w:rFonts w:cs="Arial"/>
          <w:noProof/>
          <w:szCs w:val="22"/>
          <w:lang w:eastAsia="en-AU"/>
        </w:rPr>
        <w:drawing>
          <wp:inline distT="0" distB="0" distL="0" distR="0" wp14:anchorId="3B5DA405" wp14:editId="0C2ADF8F">
            <wp:extent cx="5156263" cy="2895893"/>
            <wp:effectExtent l="0" t="0" r="6350" b="0"/>
            <wp:docPr id="10146" name="Picture 10146" descr="Set of six bar charts showing long-term trend in mean epiphyte and macroalgae abundance (% cover) at each inshore seagrass habitats in the Mackay Whitsunday NRM region, relative to the long-term average for each inshore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 name="MW_epi_algae_change_2016.png"/>
                    <pic:cNvPicPr/>
                  </pic:nvPicPr>
                  <pic:blipFill>
                    <a:blip r:embed="rId122"/>
                    <a:stretch>
                      <a:fillRect/>
                    </a:stretch>
                  </pic:blipFill>
                  <pic:spPr>
                    <a:xfrm>
                      <a:off x="0" y="0"/>
                      <a:ext cx="5156263" cy="2895893"/>
                    </a:xfrm>
                    <a:prstGeom prst="rect">
                      <a:avLst/>
                    </a:prstGeom>
                  </pic:spPr>
                </pic:pic>
              </a:graphicData>
            </a:graphic>
          </wp:inline>
        </w:drawing>
      </w:r>
    </w:p>
    <w:p w14:paraId="2D4ABB41" w14:textId="26E96D38" w:rsidR="006341F9" w:rsidRPr="00D562E2" w:rsidRDefault="005132EF" w:rsidP="006A6B0C">
      <w:pPr>
        <w:rPr>
          <w:rFonts w:cs="Arial"/>
          <w:i/>
          <w:vanish/>
          <w:szCs w:val="22"/>
          <w:specVanish/>
        </w:rPr>
      </w:pPr>
      <w:bookmarkStart w:id="528" w:name="_Ref211931338"/>
      <w:bookmarkStart w:id="529" w:name="_Toc232846003"/>
      <w:bookmarkStart w:id="530" w:name="_Toc431493880"/>
      <w:bookmarkStart w:id="531" w:name="_Toc38634173"/>
      <w:r w:rsidRPr="00D562E2">
        <w:rPr>
          <w:rFonts w:cs="Arial"/>
          <w:szCs w:val="22"/>
        </w:rPr>
        <w:t xml:space="preserve">Figure </w:t>
      </w:r>
      <w:r w:rsidR="00412A75" w:rsidRPr="00D562E2">
        <w:rPr>
          <w:rFonts w:cs="Arial"/>
          <w:noProof/>
          <w:szCs w:val="22"/>
        </w:rPr>
        <w:fldChar w:fldCharType="begin"/>
      </w:r>
      <w:r w:rsidR="00412A75" w:rsidRPr="00D562E2">
        <w:rPr>
          <w:rFonts w:cs="Arial"/>
          <w:noProof/>
          <w:szCs w:val="22"/>
        </w:rPr>
        <w:instrText xml:space="preserve"> SEQ Figure \* ARABIC </w:instrText>
      </w:r>
      <w:r w:rsidR="00412A75" w:rsidRPr="00D562E2">
        <w:rPr>
          <w:rFonts w:cs="Arial"/>
          <w:noProof/>
          <w:szCs w:val="22"/>
        </w:rPr>
        <w:fldChar w:fldCharType="separate"/>
      </w:r>
      <w:r w:rsidR="0067675D">
        <w:rPr>
          <w:rFonts w:cs="Arial"/>
          <w:noProof/>
          <w:szCs w:val="22"/>
        </w:rPr>
        <w:t>69</w:t>
      </w:r>
      <w:r w:rsidR="00412A75" w:rsidRPr="00D562E2">
        <w:rPr>
          <w:rFonts w:cs="Arial"/>
          <w:noProof/>
          <w:szCs w:val="22"/>
        </w:rPr>
        <w:fldChar w:fldCharType="end"/>
      </w:r>
      <w:bookmarkEnd w:id="528"/>
      <w:r w:rsidRPr="00D562E2">
        <w:rPr>
          <w:rFonts w:cs="Arial"/>
          <w:szCs w:val="22"/>
        </w:rPr>
        <w:t xml:space="preserve">. </w:t>
      </w:r>
      <w:bookmarkEnd w:id="529"/>
      <w:r w:rsidR="008C4B1E" w:rsidRPr="00D562E2">
        <w:rPr>
          <w:rFonts w:cs="Arial"/>
          <w:i/>
          <w:szCs w:val="22"/>
        </w:rPr>
        <w:t>Long-term trend in mean epiphyte and macroalgae abundance (</w:t>
      </w:r>
      <w:r w:rsidR="004916B0">
        <w:rPr>
          <w:rFonts w:cs="Arial"/>
          <w:i/>
          <w:szCs w:val="22"/>
        </w:rPr>
        <w:t>per cent</w:t>
      </w:r>
      <w:r w:rsidR="008C4B1E" w:rsidRPr="00D562E2">
        <w:rPr>
          <w:rFonts w:cs="Arial"/>
          <w:i/>
          <w:szCs w:val="22"/>
        </w:rPr>
        <w:t xml:space="preserve"> cover) relative to the long-term average for each </w:t>
      </w:r>
      <w:r w:rsidR="006341F9" w:rsidRPr="00D562E2">
        <w:rPr>
          <w:rFonts w:cs="Arial"/>
          <w:i/>
          <w:szCs w:val="22"/>
        </w:rPr>
        <w:t xml:space="preserve">inshore intertidal habitat </w:t>
      </w:r>
      <w:r w:rsidR="006341F9" w:rsidRPr="00D562E2">
        <w:rPr>
          <w:rFonts w:cs="Arial"/>
          <w:i/>
          <w:szCs w:val="22"/>
        </w:rPr>
        <w:lastRenderedPageBreak/>
        <w:t xml:space="preserve">in the </w:t>
      </w:r>
      <w:r w:rsidR="00B72AC4">
        <w:rPr>
          <w:rFonts w:cs="Arial"/>
          <w:i/>
          <w:szCs w:val="22"/>
        </w:rPr>
        <w:t>Mackay–Whitsunday</w:t>
      </w:r>
      <w:r w:rsidR="006341F9" w:rsidRPr="00D562E2">
        <w:rPr>
          <w:rFonts w:cs="Arial"/>
          <w:i/>
          <w:szCs w:val="22"/>
        </w:rPr>
        <w:t xml:space="preserve"> region, 1999</w:t>
      </w:r>
      <w:r w:rsidR="00A675DA" w:rsidRPr="00D562E2">
        <w:rPr>
          <w:rFonts w:cs="Arial"/>
          <w:i/>
          <w:szCs w:val="22"/>
        </w:rPr>
        <w:t>–</w:t>
      </w:r>
      <w:r w:rsidR="006341F9" w:rsidRPr="00D562E2">
        <w:rPr>
          <w:rFonts w:cs="Arial"/>
          <w:i/>
          <w:szCs w:val="22"/>
        </w:rPr>
        <w:t>201</w:t>
      </w:r>
      <w:r w:rsidR="00D40A36" w:rsidRPr="00D562E2">
        <w:rPr>
          <w:rFonts w:cs="Arial"/>
          <w:i/>
          <w:szCs w:val="22"/>
        </w:rPr>
        <w:t>8</w:t>
      </w:r>
      <w:bookmarkEnd w:id="530"/>
      <w:bookmarkEnd w:id="531"/>
      <w:r w:rsidR="008C4B1E" w:rsidRPr="00D562E2">
        <w:rPr>
          <w:rFonts w:cs="Arial"/>
          <w:i/>
          <w:szCs w:val="22"/>
        </w:rPr>
        <w:t xml:space="preserve"> </w:t>
      </w:r>
    </w:p>
    <w:p w14:paraId="26FE66E9" w14:textId="60F38DC6" w:rsidR="00BC6384" w:rsidRPr="00D562E2" w:rsidRDefault="006341F9" w:rsidP="00BC6384">
      <w:pPr>
        <w:rPr>
          <w:rFonts w:cs="Arial"/>
          <w:i/>
          <w:szCs w:val="22"/>
        </w:rPr>
      </w:pPr>
      <w:r w:rsidRPr="00D562E2">
        <w:rPr>
          <w:rFonts w:cs="Arial"/>
          <w:i/>
          <w:szCs w:val="22"/>
        </w:rPr>
        <w:t xml:space="preserve"> </w:t>
      </w:r>
      <w:r w:rsidR="008C4B1E" w:rsidRPr="00D562E2">
        <w:rPr>
          <w:rFonts w:cs="Arial"/>
          <w:i/>
          <w:szCs w:val="22"/>
        </w:rPr>
        <w:t xml:space="preserve">(sites pooled, ±SE). </w:t>
      </w:r>
      <w:r w:rsidR="009607B0" w:rsidRPr="00D562E2">
        <w:rPr>
          <w:rFonts w:cs="Arial"/>
          <w:i/>
          <w:szCs w:val="22"/>
        </w:rPr>
        <w:t>Red/green text</w:t>
      </w:r>
    </w:p>
    <w:p w14:paraId="3298629F" w14:textId="77777777" w:rsidR="002F1D37" w:rsidRPr="00D562E2" w:rsidRDefault="002F1D37" w:rsidP="00BC6384">
      <w:pPr>
        <w:rPr>
          <w:rFonts w:cs="Arial"/>
          <w:szCs w:val="22"/>
          <w:lang w:val="en-GB"/>
        </w:rPr>
      </w:pPr>
    </w:p>
    <w:p w14:paraId="565F1368" w14:textId="2E3FA6CE" w:rsidR="00BA409D" w:rsidRPr="00431DDA" w:rsidRDefault="005132EF" w:rsidP="00785606">
      <w:pPr>
        <w:pStyle w:val="Heading2"/>
      </w:pPr>
      <w:r w:rsidRPr="00CB093C">
        <w:br w:type="page"/>
      </w:r>
      <w:bookmarkStart w:id="532" w:name="_Toc175991085"/>
      <w:bookmarkStart w:id="533" w:name="_Toc232845930"/>
      <w:bookmarkStart w:id="534" w:name="_Toc184102023"/>
      <w:bookmarkStart w:id="535" w:name="_Toc431493778"/>
      <w:bookmarkStart w:id="536" w:name="_Toc37775102"/>
      <w:bookmarkStart w:id="537" w:name="_Toc43987077"/>
      <w:bookmarkStart w:id="538" w:name="_Toc170191647"/>
      <w:r w:rsidR="00BA409D" w:rsidRPr="00431DDA">
        <w:lastRenderedPageBreak/>
        <w:t>Fitzroy</w:t>
      </w:r>
      <w:bookmarkEnd w:id="532"/>
      <w:bookmarkEnd w:id="533"/>
      <w:bookmarkEnd w:id="534"/>
      <w:bookmarkEnd w:id="535"/>
      <w:bookmarkEnd w:id="536"/>
      <w:bookmarkEnd w:id="537"/>
    </w:p>
    <w:p w14:paraId="187864B6" w14:textId="19040522" w:rsidR="005132EF" w:rsidRPr="00431DDA" w:rsidRDefault="00956639" w:rsidP="00785606">
      <w:pPr>
        <w:pStyle w:val="Heading3"/>
      </w:pPr>
      <w:bookmarkStart w:id="539" w:name="_Toc184102024"/>
      <w:bookmarkStart w:id="540" w:name="_Toc431493779"/>
      <w:bookmarkStart w:id="541" w:name="_Toc37775103"/>
      <w:bookmarkStart w:id="542" w:name="_Toc43987078"/>
      <w:bookmarkEnd w:id="538"/>
      <w:r w:rsidRPr="00431DDA">
        <w:t>2018–19</w:t>
      </w:r>
      <w:r w:rsidR="005132EF" w:rsidRPr="00431DDA">
        <w:t xml:space="preserve"> Summary</w:t>
      </w:r>
      <w:bookmarkEnd w:id="539"/>
      <w:bookmarkEnd w:id="540"/>
      <w:bookmarkEnd w:id="541"/>
      <w:bookmarkEnd w:id="542"/>
    </w:p>
    <w:p w14:paraId="637EFB3D" w14:textId="0AE81258" w:rsidR="00DF2BD5" w:rsidRPr="00D562E2" w:rsidRDefault="00DF2BD5" w:rsidP="000374E4">
      <w:pPr>
        <w:rPr>
          <w:rFonts w:cs="Arial"/>
          <w:szCs w:val="22"/>
          <w:lang w:val="en-GB"/>
        </w:rPr>
      </w:pPr>
      <w:r w:rsidRPr="00D562E2">
        <w:rPr>
          <w:rFonts w:cs="Arial"/>
          <w:szCs w:val="22"/>
        </w:rPr>
        <w:t xml:space="preserve">Overall, the Fitzroy regional seagrass condition </w:t>
      </w:r>
      <w:r w:rsidR="006F61CD" w:rsidRPr="00D562E2">
        <w:rPr>
          <w:rFonts w:cs="Arial"/>
          <w:szCs w:val="22"/>
        </w:rPr>
        <w:t>score</w:t>
      </w:r>
      <w:r w:rsidRPr="00D562E2">
        <w:rPr>
          <w:rFonts w:cs="Arial"/>
          <w:szCs w:val="22"/>
        </w:rPr>
        <w:t xml:space="preserve"> remain</w:t>
      </w:r>
      <w:r w:rsidR="006F61CD" w:rsidRPr="00D562E2">
        <w:rPr>
          <w:rFonts w:cs="Arial"/>
          <w:szCs w:val="22"/>
        </w:rPr>
        <w:t>ed</w:t>
      </w:r>
      <w:r w:rsidRPr="00D562E2">
        <w:rPr>
          <w:rFonts w:cs="Arial"/>
          <w:szCs w:val="22"/>
        </w:rPr>
        <w:t xml:space="preserve"> graded as </w:t>
      </w:r>
      <w:r w:rsidRPr="00D562E2">
        <w:rPr>
          <w:rFonts w:cs="Arial"/>
          <w:b/>
          <w:szCs w:val="22"/>
        </w:rPr>
        <w:t>poor</w:t>
      </w:r>
      <w:r w:rsidRPr="00D562E2">
        <w:rPr>
          <w:rFonts w:cs="Arial"/>
          <w:szCs w:val="22"/>
        </w:rPr>
        <w:t xml:space="preserve"> in </w:t>
      </w:r>
      <w:r w:rsidR="00956639" w:rsidRPr="00D562E2">
        <w:rPr>
          <w:rFonts w:cs="Arial"/>
          <w:szCs w:val="22"/>
        </w:rPr>
        <w:t>2018–19</w:t>
      </w:r>
      <w:r w:rsidRPr="00D562E2">
        <w:rPr>
          <w:rFonts w:cs="Arial"/>
          <w:szCs w:val="22"/>
        </w:rPr>
        <w:t xml:space="preserve"> (</w:t>
      </w:r>
      <w:r w:rsidRPr="00D562E2">
        <w:rPr>
          <w:rFonts w:cs="Arial"/>
          <w:szCs w:val="22"/>
        </w:rPr>
        <w:fldChar w:fldCharType="begin"/>
      </w:r>
      <w:r w:rsidRPr="00D562E2">
        <w:rPr>
          <w:rFonts w:cs="Arial"/>
          <w:szCs w:val="22"/>
        </w:rPr>
        <w:instrText xml:space="preserve"> REF _Ref442349493 \h </w:instrText>
      </w:r>
      <w:r w:rsidR="00CB093C" w:rsidRPr="00D562E2">
        <w:rPr>
          <w:rFonts w:cs="Arial"/>
          <w:szCs w:val="22"/>
        </w:rPr>
        <w:instrText xml:space="preserve"> \* MERGEFORMAT </w:instrText>
      </w:r>
      <w:r w:rsidRPr="00D562E2">
        <w:rPr>
          <w:rFonts w:cs="Arial"/>
          <w:szCs w:val="22"/>
        </w:rPr>
      </w:r>
      <w:r w:rsidRPr="00D562E2">
        <w:rPr>
          <w:rFonts w:cs="Arial"/>
          <w:szCs w:val="22"/>
        </w:rPr>
        <w:fldChar w:fldCharType="separate"/>
      </w:r>
      <w:r w:rsidR="0067675D" w:rsidRPr="00D562E2">
        <w:rPr>
          <w:rFonts w:cs="Arial"/>
          <w:color w:val="000000"/>
          <w:szCs w:val="22"/>
        </w:rPr>
        <w:t xml:space="preserve">Figure </w:t>
      </w:r>
      <w:r w:rsidR="0067675D">
        <w:rPr>
          <w:rFonts w:cs="Arial"/>
          <w:noProof/>
          <w:color w:val="000000"/>
          <w:szCs w:val="22"/>
        </w:rPr>
        <w:t>70</w:t>
      </w:r>
      <w:r w:rsidRPr="00D562E2">
        <w:rPr>
          <w:rFonts w:cs="Arial"/>
          <w:szCs w:val="22"/>
        </w:rPr>
        <w:fldChar w:fldCharType="end"/>
      </w:r>
      <w:r w:rsidRPr="00D562E2">
        <w:rPr>
          <w:rFonts w:cs="Arial"/>
          <w:szCs w:val="22"/>
        </w:rPr>
        <w:t>).</w:t>
      </w:r>
      <w:r w:rsidR="00A813DF" w:rsidRPr="00D562E2">
        <w:rPr>
          <w:rFonts w:cs="Arial"/>
          <w:szCs w:val="22"/>
        </w:rPr>
        <w:t xml:space="preserve"> </w:t>
      </w:r>
      <w:r w:rsidRPr="00D562E2">
        <w:rPr>
          <w:rFonts w:cs="Arial"/>
          <w:szCs w:val="22"/>
          <w:lang w:eastAsia="en-AU"/>
        </w:rPr>
        <w:t>The</w:t>
      </w:r>
      <w:r w:rsidR="00CC4009" w:rsidRPr="00D562E2">
        <w:rPr>
          <w:rFonts w:cs="Arial"/>
          <w:szCs w:val="22"/>
          <w:lang w:eastAsia="en-AU"/>
        </w:rPr>
        <w:t xml:space="preserve">re were no substantial </w:t>
      </w:r>
      <w:r w:rsidR="00E50C50" w:rsidRPr="00D562E2">
        <w:rPr>
          <w:rFonts w:cs="Arial"/>
          <w:szCs w:val="22"/>
          <w:lang w:eastAsia="en-AU"/>
        </w:rPr>
        <w:t>changes from the previous year in any of the indicators</w:t>
      </w:r>
      <w:r w:rsidR="00D630E2" w:rsidRPr="00D562E2">
        <w:rPr>
          <w:rFonts w:cs="Arial"/>
          <w:szCs w:val="22"/>
          <w:lang w:eastAsia="en-AU"/>
        </w:rPr>
        <w:t>, where</w:t>
      </w:r>
      <w:r w:rsidR="00B672BD" w:rsidRPr="00D562E2">
        <w:rPr>
          <w:rFonts w:cs="Arial"/>
          <w:szCs w:val="22"/>
          <w:lang w:eastAsia="en-AU"/>
        </w:rPr>
        <w:t xml:space="preserve"> the</w:t>
      </w:r>
      <w:r w:rsidRPr="00D562E2">
        <w:rPr>
          <w:rFonts w:cs="Arial"/>
          <w:szCs w:val="22"/>
          <w:lang w:eastAsia="en-AU"/>
        </w:rPr>
        <w:t>:</w:t>
      </w:r>
    </w:p>
    <w:p w14:paraId="1B6C5010" w14:textId="63C1CA91" w:rsidR="00D630E2" w:rsidRPr="00D562E2" w:rsidRDefault="00D630E2" w:rsidP="003F4D32">
      <w:pPr>
        <w:numPr>
          <w:ilvl w:val="0"/>
          <w:numId w:val="18"/>
        </w:numPr>
        <w:spacing w:after="0"/>
        <w:rPr>
          <w:rFonts w:cs="Arial"/>
          <w:szCs w:val="22"/>
        </w:rPr>
      </w:pPr>
      <w:r w:rsidRPr="00D562E2">
        <w:rPr>
          <w:rFonts w:cs="Arial"/>
          <w:szCs w:val="22"/>
        </w:rPr>
        <w:t>abundance score was poor</w:t>
      </w:r>
    </w:p>
    <w:p w14:paraId="25484756" w14:textId="728A745C" w:rsidR="00D630E2" w:rsidRPr="00D562E2" w:rsidRDefault="00D630E2" w:rsidP="003F4D32">
      <w:pPr>
        <w:numPr>
          <w:ilvl w:val="0"/>
          <w:numId w:val="18"/>
        </w:numPr>
        <w:spacing w:after="0"/>
        <w:rPr>
          <w:rFonts w:cs="Arial"/>
          <w:szCs w:val="22"/>
        </w:rPr>
      </w:pPr>
      <w:r w:rsidRPr="00D562E2">
        <w:rPr>
          <w:rFonts w:cs="Arial"/>
          <w:szCs w:val="22"/>
        </w:rPr>
        <w:t>reproduc</w:t>
      </w:r>
      <w:r w:rsidR="00A3427D">
        <w:rPr>
          <w:rFonts w:cs="Arial"/>
          <w:szCs w:val="22"/>
        </w:rPr>
        <w:t>tive effort score was very poor</w:t>
      </w:r>
    </w:p>
    <w:p w14:paraId="60E579B1" w14:textId="23369D9B" w:rsidR="00D630E2" w:rsidRPr="00D562E2" w:rsidRDefault="00D630E2" w:rsidP="003F4D32">
      <w:pPr>
        <w:numPr>
          <w:ilvl w:val="0"/>
          <w:numId w:val="18"/>
        </w:numPr>
        <w:spacing w:after="0"/>
        <w:rPr>
          <w:rFonts w:cs="Arial"/>
          <w:szCs w:val="22"/>
        </w:rPr>
      </w:pPr>
      <w:r w:rsidRPr="00D562E2">
        <w:rPr>
          <w:rFonts w:cs="Arial"/>
          <w:szCs w:val="22"/>
        </w:rPr>
        <w:t>tissue nutrient score was poor.</w:t>
      </w:r>
    </w:p>
    <w:p w14:paraId="182E1A72" w14:textId="49F13D04" w:rsidR="00AE158F" w:rsidRPr="00AE158F" w:rsidRDefault="000374E4" w:rsidP="00AE158F">
      <w:pPr>
        <w:rPr>
          <w:rFonts w:cs="Arial"/>
          <w:szCs w:val="22"/>
          <w:lang w:eastAsia="x-none"/>
        </w:rPr>
      </w:pPr>
      <w:r w:rsidRPr="00D76F82">
        <w:rPr>
          <w:rFonts w:cs="Arial"/>
          <w:szCs w:val="22"/>
          <w:lang w:val="en-GB"/>
        </w:rPr>
        <w:t xml:space="preserve">Approximately </w:t>
      </w:r>
      <w:r w:rsidR="001038C6" w:rsidRPr="00D76F82">
        <w:rPr>
          <w:rFonts w:cs="Arial"/>
          <w:szCs w:val="22"/>
          <w:lang w:val="en-GB"/>
        </w:rPr>
        <w:t>two</w:t>
      </w:r>
      <w:r w:rsidR="001038C6">
        <w:rPr>
          <w:rFonts w:cs="Arial"/>
          <w:szCs w:val="22"/>
          <w:lang w:val="en-GB"/>
        </w:rPr>
        <w:t>-</w:t>
      </w:r>
      <w:r w:rsidR="00D76F82" w:rsidRPr="00D76F82">
        <w:rPr>
          <w:rFonts w:cs="Arial"/>
          <w:szCs w:val="22"/>
          <w:lang w:val="en-GB"/>
        </w:rPr>
        <w:t>third</w:t>
      </w:r>
      <w:r w:rsidR="001038C6">
        <w:rPr>
          <w:rFonts w:cs="Arial"/>
          <w:szCs w:val="22"/>
          <w:lang w:val="en-GB"/>
        </w:rPr>
        <w:t>s</w:t>
      </w:r>
      <w:r w:rsidRPr="00D76F82">
        <w:rPr>
          <w:rFonts w:cs="Arial"/>
          <w:szCs w:val="22"/>
          <w:lang w:val="en-GB"/>
        </w:rPr>
        <w:t xml:space="preserve"> of sites improved in abundance </w:t>
      </w:r>
      <w:r w:rsidR="00DF2BD5" w:rsidRPr="00D76F82">
        <w:rPr>
          <w:rFonts w:cs="Arial"/>
          <w:szCs w:val="22"/>
          <w:lang w:val="en-GB"/>
        </w:rPr>
        <w:t>this year</w:t>
      </w:r>
      <w:r w:rsidRPr="00D76F82">
        <w:rPr>
          <w:rFonts w:cs="Arial"/>
          <w:szCs w:val="22"/>
          <w:lang w:val="en-GB"/>
        </w:rPr>
        <w:t xml:space="preserve">, however half of the </w:t>
      </w:r>
      <w:r w:rsidR="00D76F82" w:rsidRPr="00D76F82">
        <w:rPr>
          <w:rFonts w:cs="Arial"/>
          <w:szCs w:val="22"/>
          <w:lang w:val="en-GB"/>
        </w:rPr>
        <w:t xml:space="preserve">coastal </w:t>
      </w:r>
      <w:r w:rsidRPr="00AE158F">
        <w:rPr>
          <w:rFonts w:cs="Arial"/>
          <w:szCs w:val="22"/>
          <w:lang w:val="en-GB"/>
        </w:rPr>
        <w:t>sites decreased relative to the previous period.</w:t>
      </w:r>
      <w:r w:rsidR="00F712C5" w:rsidRPr="00AE158F">
        <w:rPr>
          <w:rFonts w:cs="Arial"/>
          <w:szCs w:val="22"/>
          <w:lang w:val="en-GB"/>
        </w:rPr>
        <w:t xml:space="preserve"> Abundances at the coastal intertidal sites in Shoalwater Bay remain </w:t>
      </w:r>
      <w:r w:rsidR="00ED2C0B" w:rsidRPr="00AE158F">
        <w:rPr>
          <w:rFonts w:cs="Arial"/>
          <w:szCs w:val="22"/>
          <w:lang w:val="en-GB"/>
        </w:rPr>
        <w:t>near</w:t>
      </w:r>
      <w:r w:rsidR="00F712C5" w:rsidRPr="00AE158F">
        <w:rPr>
          <w:rFonts w:cs="Arial"/>
          <w:szCs w:val="22"/>
          <w:lang w:val="en-GB"/>
        </w:rPr>
        <w:t xml:space="preserve"> record high levels. </w:t>
      </w:r>
      <w:r w:rsidR="00B8079D" w:rsidRPr="00AE158F">
        <w:rPr>
          <w:rFonts w:cs="Arial"/>
          <w:szCs w:val="22"/>
          <w:lang w:val="en-GB"/>
        </w:rPr>
        <w:t>However, m</w:t>
      </w:r>
      <w:r w:rsidR="00F712C5" w:rsidRPr="00AE158F">
        <w:rPr>
          <w:rFonts w:cs="Arial"/>
          <w:szCs w:val="22"/>
          <w:lang w:val="en-GB"/>
        </w:rPr>
        <w:t>eadow</w:t>
      </w:r>
      <w:r w:rsidR="00553A38" w:rsidRPr="00AE158F">
        <w:rPr>
          <w:rFonts w:cs="Arial"/>
          <w:szCs w:val="22"/>
          <w:lang w:val="en-GB"/>
        </w:rPr>
        <w:t xml:space="preserve"> abundance</w:t>
      </w:r>
      <w:r w:rsidR="00F712C5" w:rsidRPr="00AE158F">
        <w:rPr>
          <w:rFonts w:cs="Arial"/>
          <w:szCs w:val="22"/>
          <w:lang w:val="en-GB"/>
        </w:rPr>
        <w:t xml:space="preserve"> </w:t>
      </w:r>
      <w:r w:rsidR="00553A38" w:rsidRPr="00AE158F">
        <w:rPr>
          <w:rFonts w:cs="Arial"/>
          <w:szCs w:val="22"/>
          <w:lang w:val="en-GB"/>
        </w:rPr>
        <w:t>in</w:t>
      </w:r>
      <w:r w:rsidR="00F712C5" w:rsidRPr="00AE158F">
        <w:rPr>
          <w:rFonts w:cs="Arial"/>
          <w:szCs w:val="22"/>
          <w:lang w:val="en-GB"/>
        </w:rPr>
        <w:t xml:space="preserve"> estuarine </w:t>
      </w:r>
      <w:r w:rsidR="00553A38" w:rsidRPr="00AE158F">
        <w:rPr>
          <w:rFonts w:cs="Arial"/>
          <w:szCs w:val="22"/>
          <w:lang w:val="en-GB"/>
        </w:rPr>
        <w:t>habitat</w:t>
      </w:r>
      <w:r w:rsidR="00F712C5" w:rsidRPr="00AE158F">
        <w:rPr>
          <w:rFonts w:cs="Arial"/>
          <w:szCs w:val="22"/>
          <w:lang w:val="en-GB"/>
        </w:rPr>
        <w:t xml:space="preserve"> remain</w:t>
      </w:r>
      <w:r w:rsidR="00553A38" w:rsidRPr="00AE158F">
        <w:rPr>
          <w:rFonts w:cs="Arial"/>
          <w:szCs w:val="22"/>
          <w:lang w:val="en-GB"/>
        </w:rPr>
        <w:t>s</w:t>
      </w:r>
      <w:r w:rsidR="00F712C5" w:rsidRPr="00AE158F">
        <w:rPr>
          <w:rFonts w:cs="Arial"/>
          <w:szCs w:val="22"/>
          <w:lang w:val="en-GB"/>
        </w:rPr>
        <w:t xml:space="preserve"> very low, </w:t>
      </w:r>
      <w:r w:rsidR="00553A38" w:rsidRPr="00AE158F">
        <w:rPr>
          <w:rFonts w:cs="Arial"/>
          <w:szCs w:val="22"/>
          <w:lang w:val="en-GB"/>
        </w:rPr>
        <w:t xml:space="preserve">owing to </w:t>
      </w:r>
      <w:r w:rsidR="00670E55" w:rsidRPr="00AE158F">
        <w:rPr>
          <w:rFonts w:cs="Arial"/>
          <w:szCs w:val="22"/>
          <w:lang w:val="en-GB"/>
        </w:rPr>
        <w:t xml:space="preserve">a </w:t>
      </w:r>
      <w:r w:rsidR="00553A38" w:rsidRPr="00AE158F">
        <w:rPr>
          <w:rFonts w:cs="Arial"/>
          <w:szCs w:val="22"/>
          <w:lang w:val="en-GB"/>
        </w:rPr>
        <w:t>wave of mud and burrowing shrimp activity</w:t>
      </w:r>
      <w:r w:rsidR="00670E55" w:rsidRPr="00AE158F">
        <w:rPr>
          <w:rFonts w:cs="Arial"/>
          <w:szCs w:val="22"/>
          <w:lang w:val="en-GB"/>
        </w:rPr>
        <w:t xml:space="preserve"> moving through the area</w:t>
      </w:r>
      <w:r w:rsidR="00553A38" w:rsidRPr="00AE158F">
        <w:rPr>
          <w:rFonts w:cs="Arial"/>
          <w:szCs w:val="22"/>
          <w:lang w:val="en-GB"/>
        </w:rPr>
        <w:t xml:space="preserve">. The poor condition at the estuarine sites </w:t>
      </w:r>
      <w:r w:rsidR="00F712C5" w:rsidRPr="00AE158F">
        <w:rPr>
          <w:rFonts w:cs="Arial"/>
          <w:szCs w:val="22"/>
          <w:lang w:val="en-GB"/>
        </w:rPr>
        <w:t xml:space="preserve">is consistent with </w:t>
      </w:r>
      <w:r w:rsidR="00553A38" w:rsidRPr="00AE158F">
        <w:rPr>
          <w:rFonts w:cs="Arial"/>
          <w:szCs w:val="22"/>
          <w:lang w:val="en-GB"/>
        </w:rPr>
        <w:t>findings for the Pelican Banks meadow and the Gladstone Healthy Harbour Partnership score for the whole region, both rated as poor in 2018. Abundances remain very low at the reef intertidal sites, with little variability among years</w:t>
      </w:r>
      <w:r w:rsidR="00EA6F7D" w:rsidRPr="00AE158F">
        <w:rPr>
          <w:rFonts w:cs="Arial"/>
          <w:szCs w:val="22"/>
          <w:lang w:val="en-GB"/>
        </w:rPr>
        <w:t xml:space="preserve"> except in the degree of </w:t>
      </w:r>
      <w:r w:rsidR="001B5DBB" w:rsidRPr="00AE158F">
        <w:rPr>
          <w:rFonts w:cs="Arial"/>
          <w:szCs w:val="22"/>
          <w:lang w:val="en-GB"/>
        </w:rPr>
        <w:t>fragmentation as shown by the</w:t>
      </w:r>
      <w:r w:rsidR="00EA6F7D" w:rsidRPr="00AE158F">
        <w:rPr>
          <w:rFonts w:cs="Arial"/>
          <w:szCs w:val="22"/>
          <w:lang w:val="en-GB"/>
        </w:rPr>
        <w:t xml:space="preserve"> seagrass extent</w:t>
      </w:r>
      <w:r w:rsidR="00F712C5" w:rsidRPr="00AE158F">
        <w:rPr>
          <w:rFonts w:cs="Arial"/>
          <w:szCs w:val="22"/>
          <w:lang w:val="en-GB"/>
        </w:rPr>
        <w:t xml:space="preserve">. </w:t>
      </w:r>
      <w:r w:rsidR="005E7837" w:rsidRPr="00AE158F">
        <w:rPr>
          <w:rFonts w:cs="Arial"/>
          <w:szCs w:val="22"/>
          <w:lang w:val="en-GB"/>
        </w:rPr>
        <w:t>However, a reduction in the proportion of colonising species</w:t>
      </w:r>
      <w:r w:rsidR="00A62DBF" w:rsidRPr="00AE158F">
        <w:rPr>
          <w:rFonts w:cs="Arial"/>
          <w:szCs w:val="22"/>
          <w:lang w:val="en-GB"/>
        </w:rPr>
        <w:t xml:space="preserve"> </w:t>
      </w:r>
      <w:r w:rsidR="00670E55" w:rsidRPr="00AE158F">
        <w:rPr>
          <w:rFonts w:cs="Arial"/>
          <w:szCs w:val="22"/>
          <w:lang w:val="en-GB"/>
        </w:rPr>
        <w:t xml:space="preserve">in </w:t>
      </w:r>
      <w:r w:rsidR="00A62DBF" w:rsidRPr="00AE158F">
        <w:rPr>
          <w:rFonts w:cs="Arial"/>
          <w:szCs w:val="22"/>
          <w:lang w:val="en-GB"/>
        </w:rPr>
        <w:t>2018</w:t>
      </w:r>
      <w:r w:rsidR="00A62DBF" w:rsidRPr="00AE158F">
        <w:rPr>
          <w:rFonts w:cs="Arial"/>
          <w:szCs w:val="22"/>
        </w:rPr>
        <w:t>–</w:t>
      </w:r>
      <w:r w:rsidR="00A62DBF" w:rsidRPr="00AE158F">
        <w:rPr>
          <w:rFonts w:cs="Arial"/>
          <w:szCs w:val="22"/>
          <w:lang w:val="en-GB"/>
        </w:rPr>
        <w:t>19</w:t>
      </w:r>
      <w:r w:rsidR="00670E55" w:rsidRPr="00AE158F">
        <w:rPr>
          <w:rFonts w:cs="Arial"/>
          <w:szCs w:val="22"/>
          <w:lang w:val="en-GB"/>
        </w:rPr>
        <w:t xml:space="preserve"> </w:t>
      </w:r>
      <w:r w:rsidR="00A62DBF" w:rsidRPr="00AE158F">
        <w:rPr>
          <w:rFonts w:cs="Arial"/>
          <w:szCs w:val="22"/>
          <w:lang w:val="en-GB"/>
        </w:rPr>
        <w:t>indicates</w:t>
      </w:r>
      <w:r w:rsidR="005E7837" w:rsidRPr="00AE158F">
        <w:rPr>
          <w:rFonts w:cs="Arial"/>
          <w:szCs w:val="22"/>
          <w:lang w:val="en-GB"/>
        </w:rPr>
        <w:t xml:space="preserve"> that the reef meadows </w:t>
      </w:r>
      <w:r w:rsidR="001B5DBB" w:rsidRPr="00AE158F">
        <w:rPr>
          <w:rFonts w:cs="Arial"/>
          <w:szCs w:val="22"/>
          <w:lang w:val="en-GB"/>
        </w:rPr>
        <w:t xml:space="preserve">have been </w:t>
      </w:r>
      <w:r w:rsidR="006E04B1" w:rsidRPr="00AE158F">
        <w:rPr>
          <w:rFonts w:cs="Arial"/>
          <w:szCs w:val="22"/>
          <w:lang w:val="en-GB"/>
        </w:rPr>
        <w:t>re</w:t>
      </w:r>
      <w:r w:rsidR="00A62DBF" w:rsidRPr="00AE158F">
        <w:rPr>
          <w:rFonts w:cs="Arial"/>
          <w:szCs w:val="22"/>
          <w:lang w:val="en-GB"/>
        </w:rPr>
        <w:t>l</w:t>
      </w:r>
      <w:r w:rsidR="006E04B1" w:rsidRPr="00AE158F">
        <w:rPr>
          <w:rFonts w:cs="Arial"/>
          <w:szCs w:val="22"/>
          <w:lang w:val="en-GB"/>
        </w:rPr>
        <w:t xml:space="preserve">atively stable. </w:t>
      </w:r>
      <w:r w:rsidR="00B672BD" w:rsidRPr="00AE158F">
        <w:rPr>
          <w:rFonts w:cs="Arial"/>
          <w:szCs w:val="22"/>
          <w:lang w:val="en-GB"/>
        </w:rPr>
        <w:t xml:space="preserve">The </w:t>
      </w:r>
      <w:r w:rsidR="00AE158F" w:rsidRPr="00AE158F">
        <w:rPr>
          <w:rFonts w:cs="Arial"/>
          <w:szCs w:val="22"/>
          <w:lang w:eastAsia="x-none"/>
        </w:rPr>
        <w:t>long-term trend in seagrass abundance (</w:t>
      </w:r>
      <w:r w:rsidR="004916B0">
        <w:rPr>
          <w:rFonts w:cs="Arial"/>
          <w:szCs w:val="22"/>
          <w:lang w:eastAsia="x-none"/>
        </w:rPr>
        <w:t>per cent</w:t>
      </w:r>
      <w:r w:rsidR="00AE158F" w:rsidRPr="00AE158F">
        <w:rPr>
          <w:rFonts w:cs="Arial"/>
          <w:szCs w:val="22"/>
          <w:lang w:eastAsia="x-none"/>
        </w:rPr>
        <w:t xml:space="preserve"> cover) across the region reveals a significant decrease</w:t>
      </w:r>
      <w:r w:rsidR="00AE158F">
        <w:rPr>
          <w:rFonts w:cs="Arial"/>
          <w:szCs w:val="22"/>
          <w:lang w:eastAsia="x-none"/>
        </w:rPr>
        <w:t>,</w:t>
      </w:r>
      <w:r w:rsidR="00AE158F" w:rsidRPr="00AE158F">
        <w:rPr>
          <w:rFonts w:cs="Arial"/>
          <w:szCs w:val="22"/>
          <w:lang w:eastAsia="x-none"/>
        </w:rPr>
        <w:t xml:space="preserve"> primarily </w:t>
      </w:r>
      <w:r w:rsidR="00AE158F">
        <w:rPr>
          <w:rFonts w:cs="Arial"/>
          <w:szCs w:val="22"/>
          <w:lang w:eastAsia="x-none"/>
        </w:rPr>
        <w:t>driven by</w:t>
      </w:r>
      <w:r w:rsidR="00AE158F" w:rsidRPr="00AE158F">
        <w:rPr>
          <w:rFonts w:cs="Arial"/>
          <w:szCs w:val="22"/>
          <w:lang w:eastAsia="x-none"/>
        </w:rPr>
        <w:t xml:space="preserve"> </w:t>
      </w:r>
      <w:r w:rsidR="00AE158F">
        <w:rPr>
          <w:rFonts w:cs="Arial"/>
          <w:szCs w:val="22"/>
          <w:lang w:eastAsia="x-none"/>
        </w:rPr>
        <w:t>estuary and reef habitats</w:t>
      </w:r>
      <w:r w:rsidR="00AE158F" w:rsidRPr="00AE158F">
        <w:rPr>
          <w:rFonts w:cs="Arial"/>
          <w:szCs w:val="22"/>
          <w:lang w:eastAsia="x-none"/>
        </w:rPr>
        <w:t>.</w:t>
      </w:r>
    </w:p>
    <w:p w14:paraId="5C83FE9A" w14:textId="00D7868D" w:rsidR="00AB500A" w:rsidRPr="00AE158F" w:rsidRDefault="00B8079D" w:rsidP="000374E4">
      <w:pPr>
        <w:rPr>
          <w:rFonts w:cs="Arial"/>
          <w:szCs w:val="22"/>
        </w:rPr>
      </w:pPr>
      <w:r w:rsidRPr="00AE158F">
        <w:rPr>
          <w:rFonts w:cs="Arial"/>
          <w:szCs w:val="22"/>
        </w:rPr>
        <w:t xml:space="preserve">Reproductive effort remains well below historical peaks for all habitats in the region. However, the </w:t>
      </w:r>
      <w:r w:rsidR="00AE158F" w:rsidRPr="00AE158F">
        <w:rPr>
          <w:rFonts w:cs="Arial"/>
          <w:szCs w:val="22"/>
        </w:rPr>
        <w:t xml:space="preserve">consistent </w:t>
      </w:r>
      <w:r w:rsidRPr="00AE158F">
        <w:rPr>
          <w:rFonts w:cs="Arial"/>
          <w:szCs w:val="22"/>
        </w:rPr>
        <w:t xml:space="preserve">presence of some reproductive structures and a persistent seed bank in both coastal and estuarine habitats indicates some resilience and capacity to recover from any </w:t>
      </w:r>
      <w:r w:rsidR="00670E55" w:rsidRPr="00AE158F">
        <w:rPr>
          <w:rFonts w:cs="Arial"/>
          <w:szCs w:val="22"/>
        </w:rPr>
        <w:t xml:space="preserve">future </w:t>
      </w:r>
      <w:r w:rsidRPr="00AE158F">
        <w:rPr>
          <w:rFonts w:cs="Arial"/>
          <w:szCs w:val="22"/>
        </w:rPr>
        <w:t xml:space="preserve">events. Of concern is that reproductive effort at reef sites remains very low to absent, </w:t>
      </w:r>
      <w:r w:rsidR="009C12EA" w:rsidRPr="00AE158F">
        <w:rPr>
          <w:rFonts w:cs="Arial"/>
          <w:szCs w:val="22"/>
        </w:rPr>
        <w:t>and there is no seed</w:t>
      </w:r>
      <w:r w:rsidR="001038C6">
        <w:rPr>
          <w:rFonts w:cs="Arial"/>
          <w:szCs w:val="22"/>
        </w:rPr>
        <w:t xml:space="preserve"> </w:t>
      </w:r>
      <w:r w:rsidR="009C12EA" w:rsidRPr="00AE158F">
        <w:rPr>
          <w:rFonts w:cs="Arial"/>
          <w:szCs w:val="22"/>
        </w:rPr>
        <w:t xml:space="preserve">bank </w:t>
      </w:r>
      <w:r w:rsidRPr="00AE158F">
        <w:rPr>
          <w:rFonts w:cs="Arial"/>
          <w:szCs w:val="22"/>
        </w:rPr>
        <w:t>despite a</w:t>
      </w:r>
      <w:r w:rsidR="009C12EA" w:rsidRPr="00AE158F">
        <w:rPr>
          <w:rFonts w:cs="Arial"/>
          <w:szCs w:val="22"/>
        </w:rPr>
        <w:t xml:space="preserve">n </w:t>
      </w:r>
      <w:r w:rsidRPr="00AE158F">
        <w:rPr>
          <w:rFonts w:cs="Arial"/>
          <w:szCs w:val="22"/>
        </w:rPr>
        <w:t xml:space="preserve">increase in the proportion of </w:t>
      </w:r>
      <w:r w:rsidRPr="00AE158F">
        <w:rPr>
          <w:rFonts w:cs="Arial"/>
          <w:i/>
          <w:szCs w:val="22"/>
        </w:rPr>
        <w:t>H. uninervis</w:t>
      </w:r>
      <w:r w:rsidRPr="00AE158F">
        <w:rPr>
          <w:rFonts w:cs="Arial"/>
          <w:szCs w:val="22"/>
        </w:rPr>
        <w:t>, a species that can contribute</w:t>
      </w:r>
      <w:r w:rsidR="001B5DBB" w:rsidRPr="00AE158F">
        <w:rPr>
          <w:rFonts w:cs="Arial"/>
          <w:szCs w:val="22"/>
        </w:rPr>
        <w:t xml:space="preserve"> to the seed bank</w:t>
      </w:r>
      <w:r w:rsidRPr="00AE158F">
        <w:rPr>
          <w:rFonts w:cs="Arial"/>
          <w:szCs w:val="22"/>
        </w:rPr>
        <w:t xml:space="preserve">. </w:t>
      </w:r>
    </w:p>
    <w:p w14:paraId="6831CDCA" w14:textId="4E398FD2" w:rsidR="00AB500A" w:rsidRPr="00AE158F" w:rsidRDefault="00691978" w:rsidP="00306693">
      <w:pPr>
        <w:rPr>
          <w:rFonts w:cs="Arial"/>
          <w:szCs w:val="22"/>
          <w:lang w:val="en-GB"/>
        </w:rPr>
      </w:pPr>
      <w:r w:rsidRPr="00AE158F">
        <w:rPr>
          <w:rFonts w:cs="Arial"/>
          <w:iCs/>
          <w:szCs w:val="22"/>
        </w:rPr>
        <w:lastRenderedPageBreak/>
        <w:t xml:space="preserve">The seagrass leaf nutrient status remained relatively stable overall in </w:t>
      </w:r>
      <w:r w:rsidR="00B672BD" w:rsidRPr="00AE158F">
        <w:rPr>
          <w:rFonts w:cs="Arial"/>
          <w:szCs w:val="22"/>
          <w:lang w:val="en-GB"/>
        </w:rPr>
        <w:t>2018</w:t>
      </w:r>
      <w:r w:rsidR="00B672BD" w:rsidRPr="00AE158F">
        <w:rPr>
          <w:rFonts w:cs="Arial"/>
          <w:szCs w:val="22"/>
        </w:rPr>
        <w:t>–</w:t>
      </w:r>
      <w:r w:rsidR="00B672BD" w:rsidRPr="00AE158F">
        <w:rPr>
          <w:rFonts w:cs="Arial"/>
          <w:szCs w:val="22"/>
          <w:lang w:val="en-GB"/>
        </w:rPr>
        <w:t>19</w:t>
      </w:r>
      <w:r w:rsidRPr="00AE158F">
        <w:rPr>
          <w:rFonts w:cs="Arial"/>
          <w:iCs/>
          <w:szCs w:val="22"/>
        </w:rPr>
        <w:t xml:space="preserve">, with a slight increase at estuarine sites, and a slight decrease at coastal and reef sites. </w:t>
      </w:r>
      <w:r w:rsidR="000374E4" w:rsidRPr="00AE158F">
        <w:rPr>
          <w:rFonts w:cs="Arial"/>
          <w:iCs/>
          <w:szCs w:val="22"/>
        </w:rPr>
        <w:t>Seagrass leaf molar C:N ratios continue to indicate a surplus of N relative to photosynthetic C incorporation</w:t>
      </w:r>
      <w:r w:rsidR="00B11B57" w:rsidRPr="00AE158F">
        <w:rPr>
          <w:rFonts w:cs="Arial"/>
          <w:iCs/>
          <w:szCs w:val="22"/>
        </w:rPr>
        <w:t xml:space="preserve"> (i.e. </w:t>
      </w:r>
      <w:r w:rsidRPr="00AE158F">
        <w:rPr>
          <w:rFonts w:cs="Arial"/>
          <w:iCs/>
          <w:szCs w:val="22"/>
        </w:rPr>
        <w:t xml:space="preserve">C:N is less than 20) at most sites; </w:t>
      </w:r>
      <w:r w:rsidR="003371EC" w:rsidRPr="00AE158F">
        <w:rPr>
          <w:rFonts w:cs="Arial"/>
          <w:iCs/>
          <w:szCs w:val="22"/>
        </w:rPr>
        <w:t>however,</w:t>
      </w:r>
      <w:r w:rsidR="000374E4" w:rsidRPr="00AE158F">
        <w:rPr>
          <w:rFonts w:cs="Arial"/>
          <w:iCs/>
          <w:szCs w:val="22"/>
        </w:rPr>
        <w:t xml:space="preserve"> there is no indication of elevated N across the region. This is supported by continuing low </w:t>
      </w:r>
      <w:r w:rsidR="000374E4" w:rsidRPr="00AE158F">
        <w:rPr>
          <w:rFonts w:cs="Arial"/>
          <w:szCs w:val="22"/>
          <w:lang w:val="en-US"/>
        </w:rPr>
        <w:t>epiphyte and macroalgae cover.</w:t>
      </w:r>
      <w:r w:rsidR="00B8079D" w:rsidRPr="00AE158F">
        <w:rPr>
          <w:rFonts w:cs="Arial"/>
          <w:szCs w:val="22"/>
          <w:lang w:val="en-GB"/>
        </w:rPr>
        <w:t xml:space="preserve"> </w:t>
      </w:r>
    </w:p>
    <w:p w14:paraId="67DAC838" w14:textId="0A08C356" w:rsidR="00AB500A" w:rsidRPr="00760D06" w:rsidRDefault="00B8079D" w:rsidP="00B8079D">
      <w:pPr>
        <w:rPr>
          <w:rFonts w:cs="Arial"/>
          <w:szCs w:val="22"/>
          <w:lang w:val="en-GB"/>
        </w:rPr>
      </w:pPr>
      <w:r w:rsidRPr="00AE158F">
        <w:rPr>
          <w:rFonts w:cs="Arial"/>
          <w:szCs w:val="22"/>
          <w:lang w:val="en-GB"/>
        </w:rPr>
        <w:t xml:space="preserve">Environmental pressures were similar to the long-term average levels for the region. River discharge was below average, but benthic light levels were slightly lower than average. Average annual water temperature was around the average, but there were a </w:t>
      </w:r>
      <w:r w:rsidRPr="00760D06">
        <w:rPr>
          <w:rFonts w:cs="Arial"/>
          <w:szCs w:val="22"/>
          <w:lang w:val="en-GB"/>
        </w:rPr>
        <w:t xml:space="preserve">number of high temperature days, including three days when temperature exceeded 40°C, a threshold likely to impart stress on all species, and in particular on </w:t>
      </w:r>
      <w:r w:rsidRPr="00760D06">
        <w:rPr>
          <w:rFonts w:cs="Arial"/>
          <w:i/>
          <w:szCs w:val="22"/>
          <w:lang w:val="en-GB"/>
        </w:rPr>
        <w:t>Zostera muelleri</w:t>
      </w:r>
      <w:r w:rsidRPr="00760D06">
        <w:rPr>
          <w:rFonts w:cs="Arial"/>
          <w:szCs w:val="22"/>
          <w:lang w:val="en-GB"/>
        </w:rPr>
        <w:t xml:space="preserve">. </w:t>
      </w:r>
    </w:p>
    <w:p w14:paraId="04D30230" w14:textId="56D42542" w:rsidR="000374E4" w:rsidRPr="00760D06" w:rsidRDefault="008D74B2" w:rsidP="000374E4">
      <w:pPr>
        <w:rPr>
          <w:rFonts w:cs="Arial"/>
          <w:szCs w:val="22"/>
        </w:rPr>
      </w:pPr>
      <w:r w:rsidRPr="00760D06">
        <w:rPr>
          <w:rFonts w:cs="Arial"/>
          <w:szCs w:val="22"/>
        </w:rPr>
        <w:t>Inshore s</w:t>
      </w:r>
      <w:r w:rsidR="000374E4" w:rsidRPr="00760D06">
        <w:rPr>
          <w:rFonts w:cs="Arial"/>
          <w:szCs w:val="22"/>
        </w:rPr>
        <w:t xml:space="preserve">eagrass </w:t>
      </w:r>
      <w:r w:rsidRPr="00760D06">
        <w:rPr>
          <w:rFonts w:cs="Arial"/>
          <w:szCs w:val="22"/>
        </w:rPr>
        <w:t xml:space="preserve">meadows </w:t>
      </w:r>
      <w:r w:rsidR="000374E4" w:rsidRPr="00760D06">
        <w:rPr>
          <w:rFonts w:cs="Arial"/>
          <w:szCs w:val="22"/>
        </w:rPr>
        <w:t xml:space="preserve">across the region remain in the early stages of recovering from </w:t>
      </w:r>
      <w:r w:rsidR="000374E4" w:rsidRPr="00760D06">
        <w:rPr>
          <w:rFonts w:cs="Arial"/>
          <w:szCs w:val="22"/>
          <w:lang w:eastAsia="en-AU"/>
        </w:rPr>
        <w:t>multiple years of climate related impacts which</w:t>
      </w:r>
      <w:r w:rsidRPr="00760D06">
        <w:rPr>
          <w:rFonts w:cs="Arial"/>
          <w:szCs w:val="22"/>
          <w:lang w:eastAsia="en-AU"/>
        </w:rPr>
        <w:t xml:space="preserve">, </w:t>
      </w:r>
      <w:r w:rsidR="003371EC" w:rsidRPr="00760D06">
        <w:rPr>
          <w:rFonts w:cs="Arial"/>
          <w:szCs w:val="22"/>
          <w:lang w:eastAsia="en-AU"/>
        </w:rPr>
        <w:t>similar</w:t>
      </w:r>
      <w:r w:rsidRPr="00760D06">
        <w:rPr>
          <w:rFonts w:cs="Arial"/>
          <w:szCs w:val="22"/>
          <w:lang w:eastAsia="en-AU"/>
        </w:rPr>
        <w:t xml:space="preserve"> to </w:t>
      </w:r>
      <w:r w:rsidR="00B72AC4">
        <w:rPr>
          <w:rFonts w:cs="Arial"/>
          <w:szCs w:val="22"/>
          <w:lang w:eastAsia="en-AU"/>
        </w:rPr>
        <w:t>Mackay–Whitsunday</w:t>
      </w:r>
      <w:r w:rsidRPr="00760D06">
        <w:rPr>
          <w:rFonts w:cs="Arial"/>
          <w:szCs w:val="22"/>
          <w:lang w:eastAsia="en-AU"/>
        </w:rPr>
        <w:t>,</w:t>
      </w:r>
      <w:r w:rsidR="000374E4" w:rsidRPr="00760D06">
        <w:rPr>
          <w:rFonts w:cs="Arial"/>
          <w:szCs w:val="22"/>
          <w:lang w:eastAsia="en-AU"/>
        </w:rPr>
        <w:t xml:space="preserve"> are more recent than in other regions. The coastal habitats have been improving, while other habitats demonstrate a legacy of reduced resilience. </w:t>
      </w:r>
    </w:p>
    <w:p w14:paraId="6DCCCAF5" w14:textId="77777777" w:rsidR="00F7114B" w:rsidRPr="00D562E2" w:rsidRDefault="004E43E3" w:rsidP="00F7114B">
      <w:pPr>
        <w:keepNext/>
        <w:widowControl w:val="0"/>
        <w:jc w:val="center"/>
        <w:rPr>
          <w:rFonts w:cs="Arial"/>
          <w:color w:val="000000"/>
          <w:szCs w:val="22"/>
        </w:rPr>
      </w:pPr>
      <w:r w:rsidRPr="00D562E2">
        <w:rPr>
          <w:rFonts w:cs="Arial"/>
          <w:noProof/>
          <w:color w:val="000000"/>
          <w:szCs w:val="22"/>
          <w:lang w:eastAsia="en-AU"/>
        </w:rPr>
        <w:drawing>
          <wp:inline distT="0" distB="0" distL="0" distR="0" wp14:anchorId="0EDF1246" wp14:editId="1E6455B3">
            <wp:extent cx="3748965" cy="2519999"/>
            <wp:effectExtent l="0" t="0" r="4445" b="0"/>
            <wp:docPr id="10149" name="Picture 10149" descr="Scatter plot with straight lines and markers showing seagrass condition index (including standard errors), with contributing indicator scores for the Fitzroy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 name="INDEX_F_2016.png"/>
                    <pic:cNvPicPr/>
                  </pic:nvPicPr>
                  <pic:blipFill>
                    <a:blip r:embed="rId123"/>
                    <a:stretch>
                      <a:fillRect/>
                    </a:stretch>
                  </pic:blipFill>
                  <pic:spPr>
                    <a:xfrm>
                      <a:off x="0" y="0"/>
                      <a:ext cx="3748965" cy="2519999"/>
                    </a:xfrm>
                    <a:prstGeom prst="rect">
                      <a:avLst/>
                    </a:prstGeom>
                  </pic:spPr>
                </pic:pic>
              </a:graphicData>
            </a:graphic>
          </wp:inline>
        </w:drawing>
      </w:r>
    </w:p>
    <w:p w14:paraId="649316BB" w14:textId="61164A65" w:rsidR="00F7114B" w:rsidRPr="00D562E2" w:rsidRDefault="00F7114B" w:rsidP="008A5BB8">
      <w:pPr>
        <w:rPr>
          <w:rFonts w:cs="Arial"/>
          <w:i/>
          <w:vanish/>
          <w:color w:val="000000"/>
          <w:szCs w:val="22"/>
          <w:specVanish/>
        </w:rPr>
      </w:pPr>
      <w:bookmarkStart w:id="543" w:name="_Ref442349493"/>
      <w:bookmarkStart w:id="544" w:name="_Toc431493886"/>
      <w:bookmarkStart w:id="545" w:name="_Toc38634174"/>
      <w:r w:rsidRPr="00D562E2">
        <w:rPr>
          <w:rFonts w:cs="Arial"/>
          <w:color w:val="000000"/>
          <w:szCs w:val="22"/>
        </w:rPr>
        <w:t xml:space="preserve">Figure </w:t>
      </w:r>
      <w:r w:rsidRPr="00D562E2">
        <w:rPr>
          <w:rFonts w:cs="Arial"/>
          <w:color w:val="000000"/>
          <w:szCs w:val="22"/>
        </w:rPr>
        <w:fldChar w:fldCharType="begin"/>
      </w:r>
      <w:r w:rsidRPr="00D562E2">
        <w:rPr>
          <w:rFonts w:cs="Arial"/>
          <w:color w:val="000000"/>
          <w:szCs w:val="22"/>
        </w:rPr>
        <w:instrText xml:space="preserve"> SEQ Figure \* ARABIC </w:instrText>
      </w:r>
      <w:r w:rsidRPr="00D562E2">
        <w:rPr>
          <w:rFonts w:cs="Arial"/>
          <w:color w:val="000000"/>
          <w:szCs w:val="22"/>
        </w:rPr>
        <w:fldChar w:fldCharType="separate"/>
      </w:r>
      <w:r w:rsidR="0067675D">
        <w:rPr>
          <w:rFonts w:cs="Arial"/>
          <w:noProof/>
          <w:color w:val="000000"/>
          <w:szCs w:val="22"/>
        </w:rPr>
        <w:t>70</w:t>
      </w:r>
      <w:r w:rsidRPr="00D562E2">
        <w:rPr>
          <w:rFonts w:cs="Arial"/>
          <w:color w:val="000000"/>
          <w:szCs w:val="22"/>
        </w:rPr>
        <w:fldChar w:fldCharType="end"/>
      </w:r>
      <w:bookmarkEnd w:id="543"/>
      <w:r w:rsidRPr="00D562E2">
        <w:rPr>
          <w:rFonts w:cs="Arial"/>
          <w:color w:val="000000"/>
          <w:szCs w:val="22"/>
        </w:rPr>
        <w:t xml:space="preserve">. </w:t>
      </w:r>
      <w:r w:rsidRPr="00D562E2">
        <w:rPr>
          <w:rFonts w:cs="Arial"/>
          <w:i/>
          <w:color w:val="000000"/>
          <w:szCs w:val="22"/>
        </w:rPr>
        <w:t xml:space="preserve">Report card of seagrass status </w:t>
      </w:r>
      <w:r w:rsidR="008538C7" w:rsidRPr="00D562E2">
        <w:rPr>
          <w:rFonts w:cs="Arial"/>
          <w:i/>
          <w:color w:val="000000"/>
          <w:szCs w:val="22"/>
        </w:rPr>
        <w:t xml:space="preserve">index and </w:t>
      </w:r>
      <w:r w:rsidRPr="00D562E2">
        <w:rPr>
          <w:rFonts w:cs="Arial"/>
          <w:i/>
          <w:color w:val="000000"/>
          <w:szCs w:val="22"/>
        </w:rPr>
        <w:t>indicators for the Fitzroy NRM region</w:t>
      </w:r>
      <w:bookmarkEnd w:id="544"/>
      <w:bookmarkEnd w:id="545"/>
    </w:p>
    <w:p w14:paraId="6659E4C1" w14:textId="6A0E0990" w:rsidR="008A59C6" w:rsidRPr="00D562E2" w:rsidRDefault="00F7114B" w:rsidP="008A5BB8">
      <w:pPr>
        <w:rPr>
          <w:rFonts w:cs="Arial"/>
          <w:i/>
          <w:color w:val="000000"/>
          <w:szCs w:val="22"/>
        </w:rPr>
      </w:pPr>
      <w:r w:rsidRPr="00D562E2">
        <w:rPr>
          <w:rFonts w:cs="Arial"/>
          <w:i/>
          <w:color w:val="000000"/>
          <w:szCs w:val="22"/>
        </w:rPr>
        <w:t xml:space="preserve"> (averages across habitats and </w:t>
      </w:r>
      <w:r w:rsidRPr="00D562E2">
        <w:rPr>
          <w:rFonts w:cs="Arial"/>
          <w:i/>
          <w:szCs w:val="22"/>
        </w:rPr>
        <w:t xml:space="preserve">sites). </w:t>
      </w:r>
      <w:r w:rsidR="0098351A" w:rsidRPr="00D562E2">
        <w:rPr>
          <w:rFonts w:cs="Arial"/>
          <w:i/>
          <w:szCs w:val="22"/>
        </w:rPr>
        <w:t xml:space="preserve">Values are indexed scores scaled from 0–100 and graded: </w:t>
      </w:r>
      <w:r w:rsidR="0098351A" w:rsidRPr="00D562E2">
        <w:rPr>
          <w:rFonts w:cs="Arial"/>
          <w:color w:val="008000"/>
          <w:szCs w:val="22"/>
        </w:rPr>
        <w:t>●</w:t>
      </w:r>
      <w:r w:rsidR="0098351A" w:rsidRPr="00D562E2">
        <w:rPr>
          <w:rFonts w:cs="Arial"/>
          <w:i/>
          <w:szCs w:val="22"/>
        </w:rPr>
        <w:t xml:space="preserve"> = very good (81-100), </w:t>
      </w:r>
      <w:r w:rsidR="0098351A" w:rsidRPr="00D562E2">
        <w:rPr>
          <w:rFonts w:cs="Arial"/>
          <w:color w:val="92D050"/>
          <w:szCs w:val="22"/>
        </w:rPr>
        <w:t>●</w:t>
      </w:r>
      <w:r w:rsidR="0098351A" w:rsidRPr="00D562E2">
        <w:rPr>
          <w:rFonts w:cs="Arial"/>
          <w:i/>
          <w:szCs w:val="22"/>
        </w:rPr>
        <w:t xml:space="preserve"> = good (61 - 80), </w:t>
      </w:r>
      <w:r w:rsidR="0098351A" w:rsidRPr="00D562E2">
        <w:rPr>
          <w:rFonts w:cs="Arial"/>
          <w:color w:val="FFFF00"/>
          <w:szCs w:val="22"/>
        </w:rPr>
        <w:lastRenderedPageBreak/>
        <w:t>●</w:t>
      </w:r>
      <w:r w:rsidR="0098351A" w:rsidRPr="00D562E2">
        <w:rPr>
          <w:rFonts w:cs="Arial"/>
          <w:i/>
          <w:szCs w:val="22"/>
        </w:rPr>
        <w:t xml:space="preserve"> = moderate (41 - 60), </w:t>
      </w:r>
      <w:r w:rsidR="0098351A" w:rsidRPr="00D562E2">
        <w:rPr>
          <w:rFonts w:cs="Arial"/>
          <w:i/>
          <w:color w:val="FFC000"/>
          <w:szCs w:val="22"/>
        </w:rPr>
        <w:t>●</w:t>
      </w:r>
      <w:r w:rsidR="0098351A" w:rsidRPr="00D562E2">
        <w:rPr>
          <w:rFonts w:cs="Arial"/>
          <w:i/>
          <w:szCs w:val="22"/>
        </w:rPr>
        <w:t xml:space="preserve"> = poor (21 - 40), </w:t>
      </w:r>
      <w:r w:rsidR="0098351A" w:rsidRPr="00D562E2">
        <w:rPr>
          <w:rFonts w:cs="Arial"/>
          <w:i/>
          <w:color w:val="FF0000"/>
          <w:szCs w:val="22"/>
        </w:rPr>
        <w:t>●</w:t>
      </w:r>
      <w:r w:rsidR="0098351A" w:rsidRPr="00D562E2">
        <w:rPr>
          <w:rFonts w:cs="Arial"/>
          <w:i/>
          <w:szCs w:val="22"/>
        </w:rPr>
        <w:t> = very poor (0 - 20).</w:t>
      </w:r>
      <w:r w:rsidR="0098351A" w:rsidRPr="00D562E2">
        <w:rPr>
          <w:rFonts w:cs="Arial"/>
          <w:i/>
          <w:color w:val="000000"/>
          <w:szCs w:val="22"/>
        </w:rPr>
        <w:t xml:space="preserve"> NB: Scores</w:t>
      </w:r>
      <w:r w:rsidR="0098351A" w:rsidRPr="00D562E2">
        <w:rPr>
          <w:rFonts w:cs="Arial"/>
          <w:i/>
          <w:szCs w:val="22"/>
        </w:rPr>
        <w:t xml:space="preserve"> are unitless.</w:t>
      </w:r>
    </w:p>
    <w:p w14:paraId="5228B492" w14:textId="449B43F7" w:rsidR="008A5BB8" w:rsidRPr="00431DDA" w:rsidRDefault="008A5BB8" w:rsidP="00785606">
      <w:pPr>
        <w:pStyle w:val="Heading3"/>
      </w:pPr>
      <w:bookmarkStart w:id="546" w:name="_Toc37775104"/>
      <w:bookmarkStart w:id="547" w:name="_Toc43987079"/>
      <w:r w:rsidRPr="00431DDA">
        <w:t>Climate and environmental pressures</w:t>
      </w:r>
      <w:bookmarkEnd w:id="546"/>
      <w:bookmarkEnd w:id="547"/>
    </w:p>
    <w:p w14:paraId="5FD3DFF6" w14:textId="6B5C621B" w:rsidR="00221433" w:rsidRPr="00D562E2" w:rsidRDefault="00A23A41" w:rsidP="00A23A41">
      <w:pPr>
        <w:rPr>
          <w:rFonts w:cs="Arial"/>
          <w:szCs w:val="22"/>
          <w:lang w:val="en-GB"/>
        </w:rPr>
      </w:pPr>
      <w:bookmarkStart w:id="548" w:name="_Toc431493781"/>
      <w:r w:rsidRPr="00D562E2">
        <w:rPr>
          <w:rFonts w:cs="Arial"/>
          <w:color w:val="000000" w:themeColor="text1"/>
          <w:szCs w:val="22"/>
        </w:rPr>
        <w:t xml:space="preserve">Rainfall and river discharge in </w:t>
      </w:r>
      <w:r w:rsidR="00956639" w:rsidRPr="00D562E2">
        <w:rPr>
          <w:rFonts w:cs="Arial"/>
          <w:color w:val="000000" w:themeColor="text1"/>
          <w:szCs w:val="22"/>
        </w:rPr>
        <w:t>2018–19</w:t>
      </w:r>
      <w:r w:rsidRPr="00D562E2">
        <w:rPr>
          <w:rFonts w:cs="Arial"/>
          <w:color w:val="000000" w:themeColor="text1"/>
          <w:szCs w:val="22"/>
        </w:rPr>
        <w:t xml:space="preserve"> were </w:t>
      </w:r>
      <w:r w:rsidR="00037DE8" w:rsidRPr="00D562E2">
        <w:rPr>
          <w:rFonts w:cs="Arial"/>
          <w:color w:val="000000" w:themeColor="text1"/>
          <w:szCs w:val="22"/>
        </w:rPr>
        <w:t xml:space="preserve">well </w:t>
      </w:r>
      <w:r w:rsidRPr="00D562E2">
        <w:rPr>
          <w:rFonts w:cs="Arial"/>
          <w:color w:val="000000" w:themeColor="text1"/>
          <w:szCs w:val="22"/>
        </w:rPr>
        <w:t>below the long-term average for the Fitzroy region (</w:t>
      </w:r>
      <w:r w:rsidR="001927E1" w:rsidRPr="00D562E2">
        <w:rPr>
          <w:rFonts w:cs="Arial"/>
          <w:color w:val="0000FF"/>
          <w:szCs w:val="22"/>
          <w:lang w:val="en-GB"/>
        </w:rPr>
        <w:fldChar w:fldCharType="begin"/>
      </w:r>
      <w:r w:rsidR="001927E1" w:rsidRPr="00D562E2">
        <w:rPr>
          <w:rFonts w:cs="Arial"/>
          <w:color w:val="000000" w:themeColor="text1"/>
          <w:szCs w:val="22"/>
        </w:rPr>
        <w:instrText xml:space="preserve"> REF _Ref533507693 \h </w:instrText>
      </w:r>
      <w:r w:rsidR="00CB093C" w:rsidRPr="00D562E2">
        <w:rPr>
          <w:rFonts w:cs="Arial"/>
          <w:color w:val="0000FF"/>
          <w:szCs w:val="22"/>
          <w:lang w:val="en-GB"/>
        </w:rPr>
        <w:instrText xml:space="preserve"> \* MERGEFORMAT </w:instrText>
      </w:r>
      <w:r w:rsidR="001927E1" w:rsidRPr="00D562E2">
        <w:rPr>
          <w:rFonts w:cs="Arial"/>
          <w:color w:val="0000FF"/>
          <w:szCs w:val="22"/>
          <w:lang w:val="en-GB"/>
        </w:rPr>
      </w:r>
      <w:r w:rsidR="001927E1" w:rsidRPr="00D562E2">
        <w:rPr>
          <w:rFonts w:cs="Arial"/>
          <w:color w:val="0000FF"/>
          <w:szCs w:val="22"/>
          <w:lang w:val="en-GB"/>
        </w:rPr>
        <w:fldChar w:fldCharType="separate"/>
      </w:r>
      <w:r w:rsidR="0067675D" w:rsidRPr="00D562E2">
        <w:rPr>
          <w:rFonts w:cs="Arial"/>
          <w:szCs w:val="22"/>
        </w:rPr>
        <w:t xml:space="preserve">Figure </w:t>
      </w:r>
      <w:r w:rsidR="0067675D">
        <w:rPr>
          <w:rFonts w:cs="Arial"/>
          <w:noProof/>
          <w:szCs w:val="22"/>
        </w:rPr>
        <w:t>71</w:t>
      </w:r>
      <w:r w:rsidR="001927E1" w:rsidRPr="00D562E2">
        <w:rPr>
          <w:rFonts w:cs="Arial"/>
          <w:color w:val="0000FF"/>
          <w:szCs w:val="22"/>
          <w:lang w:val="en-GB"/>
        </w:rPr>
        <w:fldChar w:fldCharType="end"/>
      </w:r>
      <w:r w:rsidRPr="00D562E2">
        <w:rPr>
          <w:rFonts w:cs="Arial"/>
          <w:color w:val="000000" w:themeColor="text1"/>
          <w:szCs w:val="22"/>
        </w:rPr>
        <w:t xml:space="preserve">). </w:t>
      </w:r>
      <w:r w:rsidRPr="00D562E2">
        <w:rPr>
          <w:rFonts w:cs="Arial"/>
          <w:szCs w:val="22"/>
          <w:lang w:val="en-GB"/>
        </w:rPr>
        <w:t xml:space="preserve">Exposure of inshore seagrass to turbid waters during the wet season was similar to the long-term average, </w:t>
      </w:r>
      <w:r w:rsidR="00315355" w:rsidRPr="00D562E2">
        <w:rPr>
          <w:rFonts w:cs="Arial"/>
          <w:szCs w:val="22"/>
          <w:lang w:val="en-GB"/>
        </w:rPr>
        <w:t>with the coastal and estuarine sites exposed to highly turbid ‘brown’ water in most weeks. By contrast, the reef sites were exposed only to ‘green’ water whi</w:t>
      </w:r>
      <w:r w:rsidR="00D76F82">
        <w:rPr>
          <w:rFonts w:cs="Arial"/>
          <w:szCs w:val="22"/>
          <w:lang w:val="en-GB"/>
        </w:rPr>
        <w:t>ch has lower light attenuation.</w:t>
      </w:r>
    </w:p>
    <w:p w14:paraId="732BCDBE" w14:textId="04E4AFCF" w:rsidR="00F52182" w:rsidRPr="00D562E2" w:rsidRDefault="003420F5" w:rsidP="00221433">
      <w:pPr>
        <w:rPr>
          <w:rFonts w:cs="Arial"/>
          <w:szCs w:val="22"/>
          <w:lang w:val="en-GB"/>
        </w:rPr>
      </w:pPr>
      <w:r w:rsidRPr="00D562E2">
        <w:rPr>
          <w:rFonts w:cs="Arial"/>
          <w:szCs w:val="22"/>
          <w:lang w:val="en-GB"/>
        </w:rPr>
        <w:t>A</w:t>
      </w:r>
      <w:r w:rsidR="00E827D3" w:rsidRPr="00D562E2">
        <w:rPr>
          <w:rFonts w:cs="Arial"/>
          <w:szCs w:val="22"/>
          <w:lang w:val="en-GB"/>
        </w:rPr>
        <w:t xml:space="preserve">nnual within-canopy light availability was </w:t>
      </w:r>
      <w:r w:rsidRPr="00D562E2">
        <w:rPr>
          <w:rFonts w:cs="Arial"/>
          <w:szCs w:val="22"/>
          <w:lang w:val="en-GB"/>
        </w:rPr>
        <w:t xml:space="preserve">similar </w:t>
      </w:r>
      <w:r w:rsidRPr="00D562E2">
        <w:rPr>
          <w:rFonts w:cs="Arial"/>
          <w:color w:val="000000" w:themeColor="text1"/>
          <w:szCs w:val="22"/>
        </w:rPr>
        <w:t xml:space="preserve">in 2018–19 </w:t>
      </w:r>
      <w:r w:rsidRPr="00D562E2">
        <w:rPr>
          <w:rFonts w:cs="Arial"/>
          <w:szCs w:val="22"/>
          <w:lang w:val="en-GB"/>
        </w:rPr>
        <w:t>to the long-term average for the region</w:t>
      </w:r>
      <w:r w:rsidR="00E827D3" w:rsidRPr="00D562E2">
        <w:rPr>
          <w:rFonts w:cs="Arial"/>
          <w:szCs w:val="22"/>
          <w:lang w:val="en-GB"/>
        </w:rPr>
        <w:t xml:space="preserve"> </w:t>
      </w:r>
      <w:r w:rsidR="00E827D3" w:rsidRPr="00D562E2">
        <w:rPr>
          <w:rFonts w:cs="Arial"/>
          <w:color w:val="000000" w:themeColor="text1"/>
          <w:szCs w:val="22"/>
        </w:rPr>
        <w:t>(</w:t>
      </w:r>
      <w:r w:rsidR="00E827D3" w:rsidRPr="00D562E2">
        <w:rPr>
          <w:rFonts w:cs="Arial"/>
          <w:color w:val="000000" w:themeColor="text1"/>
          <w:szCs w:val="22"/>
        </w:rPr>
        <w:fldChar w:fldCharType="begin"/>
      </w:r>
      <w:r w:rsidR="00E827D3" w:rsidRPr="00D562E2">
        <w:rPr>
          <w:rFonts w:cs="Arial"/>
          <w:color w:val="000000" w:themeColor="text1"/>
          <w:szCs w:val="22"/>
        </w:rPr>
        <w:instrText xml:space="preserve"> REF _Ref507596879 \h  \* MERGEFORMAT </w:instrText>
      </w:r>
      <w:r w:rsidR="00E827D3" w:rsidRPr="00D562E2">
        <w:rPr>
          <w:rFonts w:cs="Arial"/>
          <w:color w:val="000000" w:themeColor="text1"/>
          <w:szCs w:val="22"/>
        </w:rPr>
      </w:r>
      <w:r w:rsidR="00E827D3" w:rsidRPr="00D562E2">
        <w:rPr>
          <w:rFonts w:cs="Arial"/>
          <w:color w:val="000000" w:themeColor="text1"/>
          <w:szCs w:val="22"/>
        </w:rPr>
        <w:fldChar w:fldCharType="separate"/>
      </w:r>
      <w:r w:rsidR="0067675D" w:rsidRPr="00C26B18">
        <w:rPr>
          <w:rFonts w:cs="Arial"/>
          <w:szCs w:val="22"/>
        </w:rPr>
        <w:t xml:space="preserve">Figure </w:t>
      </w:r>
      <w:r w:rsidR="0067675D">
        <w:rPr>
          <w:rFonts w:cs="Arial"/>
          <w:noProof/>
          <w:szCs w:val="22"/>
        </w:rPr>
        <w:t>9</w:t>
      </w:r>
      <w:r w:rsidR="00E827D3" w:rsidRPr="00D562E2">
        <w:rPr>
          <w:rFonts w:cs="Arial"/>
          <w:color w:val="000000" w:themeColor="text1"/>
          <w:szCs w:val="22"/>
        </w:rPr>
        <w:fldChar w:fldCharType="end"/>
      </w:r>
      <w:r w:rsidR="00E827D3" w:rsidRPr="00D562E2">
        <w:rPr>
          <w:rFonts w:cs="Arial"/>
          <w:color w:val="000000" w:themeColor="text1"/>
          <w:szCs w:val="22"/>
        </w:rPr>
        <w:t xml:space="preserve">, </w:t>
      </w:r>
      <w:r w:rsidR="00E827D3" w:rsidRPr="00D562E2">
        <w:rPr>
          <w:rFonts w:cs="Arial"/>
          <w:color w:val="0000FF"/>
          <w:szCs w:val="22"/>
          <w:lang w:val="en-GB"/>
        </w:rPr>
        <w:fldChar w:fldCharType="begin"/>
      </w:r>
      <w:r w:rsidR="00E827D3" w:rsidRPr="00D562E2">
        <w:rPr>
          <w:rFonts w:cs="Arial"/>
          <w:color w:val="000000" w:themeColor="text1"/>
          <w:szCs w:val="22"/>
        </w:rPr>
        <w:instrText xml:space="preserve"> REF _Ref533507693 \h </w:instrText>
      </w:r>
      <w:r w:rsidR="00E827D3" w:rsidRPr="00D562E2">
        <w:rPr>
          <w:rFonts w:cs="Arial"/>
          <w:color w:val="0000FF"/>
          <w:szCs w:val="22"/>
          <w:lang w:val="en-GB"/>
        </w:rPr>
        <w:instrText xml:space="preserve"> \* MERGEFORMAT </w:instrText>
      </w:r>
      <w:r w:rsidR="00E827D3" w:rsidRPr="00D562E2">
        <w:rPr>
          <w:rFonts w:cs="Arial"/>
          <w:color w:val="0000FF"/>
          <w:szCs w:val="22"/>
          <w:lang w:val="en-GB"/>
        </w:rPr>
      </w:r>
      <w:r w:rsidR="00E827D3" w:rsidRPr="00D562E2">
        <w:rPr>
          <w:rFonts w:cs="Arial"/>
          <w:color w:val="0000FF"/>
          <w:szCs w:val="22"/>
          <w:lang w:val="en-GB"/>
        </w:rPr>
        <w:fldChar w:fldCharType="separate"/>
      </w:r>
      <w:r w:rsidR="0067675D" w:rsidRPr="00D562E2">
        <w:rPr>
          <w:rFonts w:cs="Arial"/>
          <w:szCs w:val="22"/>
        </w:rPr>
        <w:t xml:space="preserve">Figure </w:t>
      </w:r>
      <w:r w:rsidR="0067675D">
        <w:rPr>
          <w:rFonts w:cs="Arial"/>
          <w:noProof/>
          <w:szCs w:val="22"/>
        </w:rPr>
        <w:t>71</w:t>
      </w:r>
      <w:r w:rsidR="00E827D3" w:rsidRPr="00D562E2">
        <w:rPr>
          <w:rFonts w:cs="Arial"/>
          <w:color w:val="0000FF"/>
          <w:szCs w:val="22"/>
          <w:lang w:val="en-GB"/>
        </w:rPr>
        <w:fldChar w:fldCharType="end"/>
      </w:r>
      <w:r w:rsidR="00E827D3" w:rsidRPr="00D562E2">
        <w:rPr>
          <w:rFonts w:cs="Arial"/>
          <w:color w:val="000000" w:themeColor="text1"/>
          <w:szCs w:val="22"/>
        </w:rPr>
        <w:t>)</w:t>
      </w:r>
      <w:r w:rsidR="00E827D3" w:rsidRPr="00D562E2">
        <w:rPr>
          <w:rFonts w:cs="Arial"/>
          <w:szCs w:val="22"/>
          <w:lang w:val="en-GB"/>
        </w:rPr>
        <w:t xml:space="preserve">. </w:t>
      </w:r>
      <w:r w:rsidR="00A23A41" w:rsidRPr="00D562E2">
        <w:rPr>
          <w:rFonts w:cs="Arial"/>
          <w:szCs w:val="22"/>
          <w:lang w:val="en-GB"/>
        </w:rPr>
        <w:t xml:space="preserve">The </w:t>
      </w:r>
      <w:r w:rsidR="00221433" w:rsidRPr="00D562E2">
        <w:rPr>
          <w:rFonts w:cs="Arial"/>
          <w:szCs w:val="22"/>
          <w:lang w:val="en-GB"/>
        </w:rPr>
        <w:t>most notable change in benthic light levels occurred at Shoalwater Bay, where benthic light levels (15.5 mol m</w:t>
      </w:r>
      <w:r w:rsidR="00221433" w:rsidRPr="00D562E2">
        <w:rPr>
          <w:rFonts w:cs="Arial"/>
          <w:szCs w:val="22"/>
          <w:vertAlign w:val="superscript"/>
          <w:lang w:val="en-GB"/>
        </w:rPr>
        <w:t>-2</w:t>
      </w:r>
      <w:r w:rsidR="00221433" w:rsidRPr="00D562E2">
        <w:rPr>
          <w:rFonts w:cs="Arial"/>
          <w:szCs w:val="22"/>
          <w:lang w:val="en-GB"/>
        </w:rPr>
        <w:t xml:space="preserve"> d</w:t>
      </w:r>
      <w:r w:rsidR="00221433" w:rsidRPr="00D562E2">
        <w:rPr>
          <w:rFonts w:cs="Arial"/>
          <w:szCs w:val="22"/>
          <w:vertAlign w:val="superscript"/>
          <w:lang w:val="en-GB"/>
        </w:rPr>
        <w:t>-1</w:t>
      </w:r>
      <w:r w:rsidR="00221433" w:rsidRPr="00D562E2">
        <w:rPr>
          <w:rFonts w:cs="Arial"/>
          <w:szCs w:val="22"/>
          <w:lang w:val="en-GB"/>
        </w:rPr>
        <w:t>) were below the long-term average (18.4 mol m</w:t>
      </w:r>
      <w:r w:rsidR="00221433" w:rsidRPr="00D562E2">
        <w:rPr>
          <w:rFonts w:cs="Arial"/>
          <w:szCs w:val="22"/>
          <w:vertAlign w:val="superscript"/>
          <w:lang w:val="en-GB"/>
        </w:rPr>
        <w:t>-2</w:t>
      </w:r>
      <w:r w:rsidR="00221433" w:rsidRPr="00D562E2">
        <w:rPr>
          <w:rFonts w:cs="Arial"/>
          <w:szCs w:val="22"/>
          <w:lang w:val="en-GB"/>
        </w:rPr>
        <w:t xml:space="preserve"> d</w:t>
      </w:r>
      <w:r w:rsidR="00221433" w:rsidRPr="00D562E2">
        <w:rPr>
          <w:rFonts w:cs="Arial"/>
          <w:szCs w:val="22"/>
          <w:vertAlign w:val="superscript"/>
          <w:lang w:val="en-GB"/>
        </w:rPr>
        <w:t>-1</w:t>
      </w:r>
      <w:r w:rsidR="00221433" w:rsidRPr="00D562E2">
        <w:rPr>
          <w:rFonts w:cs="Arial"/>
          <w:szCs w:val="22"/>
          <w:lang w:val="en-GB"/>
        </w:rPr>
        <w:t xml:space="preserve">). </w:t>
      </w:r>
      <w:r w:rsidR="00544845">
        <w:rPr>
          <w:rFonts w:cs="Arial"/>
          <w:szCs w:val="22"/>
          <w:lang w:val="en-GB"/>
        </w:rPr>
        <w:t>D</w:t>
      </w:r>
      <w:r w:rsidR="00221433" w:rsidRPr="00D562E2">
        <w:rPr>
          <w:rFonts w:cs="Arial"/>
          <w:szCs w:val="22"/>
          <w:lang w:val="en-GB"/>
        </w:rPr>
        <w:t>espite this, light levels at Shoalwater Bay were the highest among all sites in the region because they are very shallow and frequently expose to full sunlight</w:t>
      </w:r>
      <w:r w:rsidR="00A23A41" w:rsidRPr="00D562E2">
        <w:rPr>
          <w:rFonts w:cs="Arial"/>
          <w:szCs w:val="22"/>
          <w:lang w:val="en-GB"/>
        </w:rPr>
        <w:t xml:space="preserve"> </w:t>
      </w:r>
      <w:r w:rsidR="00895210" w:rsidRPr="00D562E2">
        <w:rPr>
          <w:rFonts w:cs="Arial"/>
          <w:szCs w:val="22"/>
          <w:lang w:val="en-GB"/>
        </w:rPr>
        <w:t>(</w:t>
      </w:r>
      <w:r w:rsidR="00895210" w:rsidRPr="00D562E2">
        <w:rPr>
          <w:rFonts w:cs="Arial"/>
          <w:szCs w:val="22"/>
          <w:lang w:val="en-GB"/>
        </w:rPr>
        <w:fldChar w:fldCharType="begin"/>
      </w:r>
      <w:r w:rsidR="00895210" w:rsidRPr="00D562E2">
        <w:rPr>
          <w:rFonts w:cs="Arial"/>
          <w:szCs w:val="22"/>
          <w:lang w:val="en-GB"/>
        </w:rPr>
        <w:instrText xml:space="preserve"> REF _Ref410307245 \h </w:instrText>
      </w:r>
      <w:r w:rsidR="00CB093C" w:rsidRPr="00D562E2">
        <w:rPr>
          <w:rFonts w:cs="Arial"/>
          <w:szCs w:val="22"/>
          <w:lang w:val="en-GB"/>
        </w:rPr>
        <w:instrText xml:space="preserve"> \* MERGEFORMAT </w:instrText>
      </w:r>
      <w:r w:rsidR="00895210" w:rsidRPr="00D562E2">
        <w:rPr>
          <w:rFonts w:cs="Arial"/>
          <w:szCs w:val="22"/>
          <w:lang w:val="en-GB"/>
        </w:rPr>
      </w:r>
      <w:r w:rsidR="00895210" w:rsidRPr="00D562E2">
        <w:rPr>
          <w:rFonts w:cs="Arial"/>
          <w:szCs w:val="22"/>
          <w:lang w:val="en-GB"/>
        </w:rPr>
        <w:fldChar w:fldCharType="separate"/>
      </w:r>
      <w:r w:rsidR="0067675D" w:rsidRPr="00867E8C">
        <w:rPr>
          <w:rFonts w:cs="Arial"/>
          <w:color w:val="000000"/>
          <w:szCs w:val="22"/>
        </w:rPr>
        <w:t xml:space="preserve">Figure </w:t>
      </w:r>
      <w:r w:rsidR="0067675D">
        <w:rPr>
          <w:rFonts w:cs="Arial"/>
          <w:noProof/>
          <w:color w:val="000000"/>
          <w:szCs w:val="22"/>
        </w:rPr>
        <w:t>104</w:t>
      </w:r>
      <w:r w:rsidR="00895210" w:rsidRPr="00D562E2">
        <w:rPr>
          <w:rFonts w:cs="Arial"/>
          <w:szCs w:val="22"/>
          <w:lang w:val="en-GB"/>
        </w:rPr>
        <w:fldChar w:fldCharType="end"/>
      </w:r>
      <w:r w:rsidR="00895210" w:rsidRPr="00D562E2">
        <w:rPr>
          <w:rFonts w:cs="Arial"/>
          <w:szCs w:val="22"/>
          <w:lang w:val="en-GB"/>
        </w:rPr>
        <w:t>)</w:t>
      </w:r>
      <w:r w:rsidR="00F52182" w:rsidRPr="00D562E2">
        <w:rPr>
          <w:rFonts w:cs="Arial"/>
          <w:szCs w:val="22"/>
          <w:lang w:val="en-GB"/>
        </w:rPr>
        <w:t xml:space="preserve">. </w:t>
      </w:r>
      <w:r w:rsidR="00615D34" w:rsidRPr="00D562E2">
        <w:rPr>
          <w:rFonts w:cs="Arial"/>
          <w:szCs w:val="22"/>
          <w:lang w:val="en-GB"/>
        </w:rPr>
        <w:t>Predicted d</w:t>
      </w:r>
      <w:r w:rsidR="00A23A41" w:rsidRPr="00D562E2">
        <w:rPr>
          <w:rFonts w:cs="Arial"/>
          <w:szCs w:val="22"/>
          <w:lang w:val="en-GB"/>
        </w:rPr>
        <w:t xml:space="preserve">aytime tidal exposure </w:t>
      </w:r>
      <w:r w:rsidR="00615D34" w:rsidRPr="00D562E2">
        <w:rPr>
          <w:rFonts w:cs="Arial"/>
          <w:szCs w:val="22"/>
          <w:lang w:val="en-GB"/>
        </w:rPr>
        <w:t xml:space="preserve">was considerably greater </w:t>
      </w:r>
      <w:r w:rsidR="00A23A41" w:rsidRPr="00D562E2">
        <w:rPr>
          <w:rFonts w:cs="Arial"/>
          <w:szCs w:val="22"/>
          <w:lang w:val="en-GB"/>
        </w:rPr>
        <w:t xml:space="preserve">than </w:t>
      </w:r>
      <w:r w:rsidR="00615D34" w:rsidRPr="00D562E2">
        <w:rPr>
          <w:rFonts w:cs="Arial"/>
          <w:szCs w:val="22"/>
          <w:lang w:val="en-GB"/>
        </w:rPr>
        <w:t xml:space="preserve">the long-term </w:t>
      </w:r>
      <w:r w:rsidR="00A23A41" w:rsidRPr="00D562E2">
        <w:rPr>
          <w:rFonts w:cs="Arial"/>
          <w:szCs w:val="22"/>
          <w:lang w:val="en-GB"/>
        </w:rPr>
        <w:t>average</w:t>
      </w:r>
      <w:r w:rsidR="00615D34" w:rsidRPr="00D562E2">
        <w:rPr>
          <w:rFonts w:cs="Arial"/>
          <w:szCs w:val="22"/>
          <w:lang w:val="en-GB"/>
        </w:rPr>
        <w:t xml:space="preserve"> for the region, which increases the risk of desiccation stress, but can provide windows of light for photosynthesis</w:t>
      </w:r>
      <w:r w:rsidR="00895210" w:rsidRPr="00D562E2">
        <w:rPr>
          <w:rFonts w:cs="Arial"/>
          <w:szCs w:val="22"/>
          <w:lang w:val="en-GB"/>
        </w:rPr>
        <w:t xml:space="preserve"> (</w:t>
      </w:r>
      <w:r w:rsidR="00895210" w:rsidRPr="00D562E2">
        <w:rPr>
          <w:rFonts w:cs="Arial"/>
          <w:szCs w:val="22"/>
          <w:lang w:val="en-GB"/>
        </w:rPr>
        <w:fldChar w:fldCharType="begin"/>
      </w:r>
      <w:r w:rsidR="00895210" w:rsidRPr="00D562E2">
        <w:rPr>
          <w:rFonts w:cs="Arial"/>
          <w:szCs w:val="22"/>
          <w:lang w:val="en-GB"/>
        </w:rPr>
        <w:instrText xml:space="preserve"> REF _Ref410305493 \h </w:instrText>
      </w:r>
      <w:r w:rsidR="00CB093C" w:rsidRPr="00D562E2">
        <w:rPr>
          <w:rFonts w:cs="Arial"/>
          <w:szCs w:val="22"/>
          <w:lang w:val="en-GB"/>
        </w:rPr>
        <w:instrText xml:space="preserve"> \* MERGEFORMAT </w:instrText>
      </w:r>
      <w:r w:rsidR="00895210" w:rsidRPr="00D562E2">
        <w:rPr>
          <w:rFonts w:cs="Arial"/>
          <w:szCs w:val="22"/>
          <w:lang w:val="en-GB"/>
        </w:rPr>
      </w:r>
      <w:r w:rsidR="00895210" w:rsidRPr="00D562E2">
        <w:rPr>
          <w:rFonts w:cs="Arial"/>
          <w:szCs w:val="22"/>
          <w:lang w:val="en-GB"/>
        </w:rPr>
        <w:fldChar w:fldCharType="separate"/>
      </w:r>
      <w:r w:rsidR="0067675D" w:rsidRPr="00867E8C">
        <w:rPr>
          <w:rFonts w:cs="Arial"/>
          <w:szCs w:val="22"/>
        </w:rPr>
        <w:t xml:space="preserve">Figure </w:t>
      </w:r>
      <w:r w:rsidR="0067675D">
        <w:rPr>
          <w:rFonts w:cs="Arial"/>
          <w:noProof/>
          <w:szCs w:val="22"/>
        </w:rPr>
        <w:t>97</w:t>
      </w:r>
      <w:r w:rsidR="00895210" w:rsidRPr="00D562E2">
        <w:rPr>
          <w:rFonts w:cs="Arial"/>
          <w:szCs w:val="22"/>
          <w:lang w:val="en-GB"/>
        </w:rPr>
        <w:fldChar w:fldCharType="end"/>
      </w:r>
      <w:r w:rsidR="00895210" w:rsidRPr="00D562E2">
        <w:rPr>
          <w:rFonts w:cs="Arial"/>
          <w:szCs w:val="22"/>
          <w:lang w:val="en-GB"/>
        </w:rPr>
        <w:t>)</w:t>
      </w:r>
      <w:r w:rsidR="00A23A41" w:rsidRPr="00D562E2">
        <w:rPr>
          <w:rFonts w:cs="Arial"/>
          <w:szCs w:val="22"/>
          <w:lang w:val="en-GB"/>
        </w:rPr>
        <w:t xml:space="preserve">. </w:t>
      </w:r>
    </w:p>
    <w:p w14:paraId="37E8199B" w14:textId="4DF62838" w:rsidR="00D35476" w:rsidRPr="00D562E2" w:rsidRDefault="00D35476" w:rsidP="00A23A41">
      <w:pPr>
        <w:rPr>
          <w:rFonts w:cs="Arial"/>
          <w:szCs w:val="22"/>
        </w:rPr>
      </w:pPr>
      <w:r w:rsidRPr="00D562E2">
        <w:rPr>
          <w:rFonts w:cs="Arial"/>
          <w:color w:val="000000" w:themeColor="text1"/>
          <w:szCs w:val="22"/>
        </w:rPr>
        <w:t xml:space="preserve">2018–19 </w:t>
      </w:r>
      <w:r w:rsidR="00A23A41" w:rsidRPr="00D562E2">
        <w:rPr>
          <w:rFonts w:cs="Arial"/>
          <w:szCs w:val="22"/>
          <w:lang w:val="en-GB"/>
        </w:rPr>
        <w:t xml:space="preserve">was the </w:t>
      </w:r>
      <w:r w:rsidRPr="00D562E2">
        <w:rPr>
          <w:rFonts w:cs="Arial"/>
          <w:szCs w:val="22"/>
          <w:lang w:val="en-GB"/>
        </w:rPr>
        <w:t>first year that within-canopy</w:t>
      </w:r>
      <w:r w:rsidRPr="00D562E2">
        <w:rPr>
          <w:rFonts w:cs="Arial"/>
          <w:szCs w:val="22"/>
        </w:rPr>
        <w:t xml:space="preserve"> temperatures were similar to the long-term average</w:t>
      </w:r>
      <w:r w:rsidRPr="00D562E2">
        <w:rPr>
          <w:rFonts w:cs="Arial"/>
          <w:szCs w:val="22"/>
          <w:lang w:val="en-GB"/>
        </w:rPr>
        <w:t xml:space="preserve"> after five</w:t>
      </w:r>
      <w:r w:rsidR="00A23A41" w:rsidRPr="00D562E2">
        <w:rPr>
          <w:rFonts w:cs="Arial"/>
          <w:szCs w:val="22"/>
        </w:rPr>
        <w:t xml:space="preserve"> consecutive year</w:t>
      </w:r>
      <w:r w:rsidRPr="00D562E2">
        <w:rPr>
          <w:rFonts w:cs="Arial"/>
          <w:szCs w:val="22"/>
        </w:rPr>
        <w:t>s</w:t>
      </w:r>
      <w:r w:rsidR="00A23A41" w:rsidRPr="00D562E2">
        <w:rPr>
          <w:rFonts w:cs="Arial"/>
          <w:szCs w:val="22"/>
        </w:rPr>
        <w:t xml:space="preserve"> </w:t>
      </w:r>
      <w:r w:rsidRPr="00D562E2">
        <w:rPr>
          <w:rFonts w:cs="Arial"/>
          <w:szCs w:val="22"/>
        </w:rPr>
        <w:t>where they</w:t>
      </w:r>
      <w:r w:rsidR="00A23A41" w:rsidRPr="00D562E2">
        <w:rPr>
          <w:rFonts w:cs="Arial"/>
          <w:szCs w:val="22"/>
        </w:rPr>
        <w:t xml:space="preserve"> were above the long-term average (</w:t>
      </w:r>
      <w:r w:rsidR="00A23A41" w:rsidRPr="00D76F82">
        <w:rPr>
          <w:rFonts w:cs="Arial"/>
          <w:szCs w:val="22"/>
        </w:rPr>
        <w:fldChar w:fldCharType="begin"/>
      </w:r>
      <w:r w:rsidR="00A23A41" w:rsidRPr="00D76F82">
        <w:rPr>
          <w:rFonts w:cs="Arial"/>
          <w:szCs w:val="22"/>
        </w:rPr>
        <w:instrText xml:space="preserve"> REF _Ref533507693 \h </w:instrText>
      </w:r>
      <w:r w:rsidR="00CB093C" w:rsidRPr="00D76F82">
        <w:rPr>
          <w:rFonts w:cs="Arial"/>
          <w:szCs w:val="22"/>
        </w:rPr>
        <w:instrText xml:space="preserve"> \* MERGEFORMAT </w:instrText>
      </w:r>
      <w:r w:rsidR="00A23A41" w:rsidRPr="00D76F82">
        <w:rPr>
          <w:rFonts w:cs="Arial"/>
          <w:szCs w:val="22"/>
        </w:rPr>
      </w:r>
      <w:r w:rsidR="00A23A41" w:rsidRPr="00D76F82">
        <w:rPr>
          <w:rFonts w:cs="Arial"/>
          <w:szCs w:val="22"/>
        </w:rPr>
        <w:fldChar w:fldCharType="separate"/>
      </w:r>
      <w:r w:rsidR="0067675D" w:rsidRPr="00D562E2">
        <w:rPr>
          <w:rFonts w:cs="Arial"/>
          <w:szCs w:val="22"/>
        </w:rPr>
        <w:t xml:space="preserve">Figure </w:t>
      </w:r>
      <w:r w:rsidR="0067675D">
        <w:rPr>
          <w:rFonts w:cs="Arial"/>
          <w:noProof/>
          <w:szCs w:val="22"/>
        </w:rPr>
        <w:t>71</w:t>
      </w:r>
      <w:r w:rsidR="00A23A41" w:rsidRPr="00D76F82">
        <w:rPr>
          <w:rFonts w:cs="Arial"/>
          <w:szCs w:val="22"/>
        </w:rPr>
        <w:fldChar w:fldCharType="end"/>
      </w:r>
      <w:r w:rsidR="00A23A41" w:rsidRPr="00D76F82">
        <w:rPr>
          <w:rFonts w:cs="Arial"/>
          <w:szCs w:val="22"/>
        </w:rPr>
        <w:t xml:space="preserve">). </w:t>
      </w:r>
      <w:r w:rsidR="00A23A41" w:rsidRPr="00F13B59">
        <w:rPr>
          <w:rFonts w:cs="Arial"/>
          <w:szCs w:val="22"/>
        </w:rPr>
        <w:t xml:space="preserve">Maximum intertidal </w:t>
      </w:r>
      <w:r w:rsidR="00A23A41" w:rsidRPr="00F13B59">
        <w:rPr>
          <w:rFonts w:cs="Arial"/>
          <w:szCs w:val="22"/>
          <w:lang w:val="en-GB"/>
        </w:rPr>
        <w:t xml:space="preserve">within-canopy </w:t>
      </w:r>
      <w:r w:rsidR="00A23A41" w:rsidRPr="00F13B59">
        <w:rPr>
          <w:rFonts w:cs="Arial"/>
          <w:szCs w:val="22"/>
        </w:rPr>
        <w:t>temperatures exceeded 35</w:t>
      </w:r>
      <w:r w:rsidR="00A23A41" w:rsidRPr="00F13B59">
        <w:rPr>
          <w:rFonts w:cs="Arial"/>
          <w:szCs w:val="22"/>
          <w:lang w:val="en-GB"/>
        </w:rPr>
        <w:t>°C</w:t>
      </w:r>
      <w:r w:rsidR="00A23A41" w:rsidRPr="00F13B59">
        <w:rPr>
          <w:rFonts w:cs="Arial"/>
          <w:szCs w:val="22"/>
        </w:rPr>
        <w:t xml:space="preserve"> for a total of </w:t>
      </w:r>
      <w:r w:rsidR="00D76F82" w:rsidRPr="00F13B59">
        <w:rPr>
          <w:rFonts w:cs="Arial"/>
          <w:szCs w:val="22"/>
        </w:rPr>
        <w:t>5</w:t>
      </w:r>
      <w:r w:rsidR="00F13B59" w:rsidRPr="00F13B59">
        <w:rPr>
          <w:rFonts w:cs="Arial"/>
          <w:szCs w:val="22"/>
        </w:rPr>
        <w:t>6</w:t>
      </w:r>
      <w:r w:rsidR="00A23A41" w:rsidRPr="00F13B59">
        <w:rPr>
          <w:rFonts w:cs="Arial"/>
          <w:szCs w:val="22"/>
        </w:rPr>
        <w:t xml:space="preserve"> days during </w:t>
      </w:r>
      <w:r w:rsidR="00956639" w:rsidRPr="00F13B59">
        <w:rPr>
          <w:rFonts w:cs="Arial"/>
          <w:szCs w:val="22"/>
        </w:rPr>
        <w:t>2018–19</w:t>
      </w:r>
      <w:r w:rsidR="00A23A41" w:rsidRPr="00F13B59">
        <w:rPr>
          <w:rFonts w:cs="Arial"/>
          <w:szCs w:val="22"/>
        </w:rPr>
        <w:t>, with the highest temperature recorded in the region at 4</w:t>
      </w:r>
      <w:r w:rsidR="00F13B59" w:rsidRPr="00F13B59">
        <w:rPr>
          <w:rFonts w:cs="Arial"/>
          <w:szCs w:val="22"/>
        </w:rPr>
        <w:t>0.3</w:t>
      </w:r>
      <w:r w:rsidR="00A23A41" w:rsidRPr="00F13B59">
        <w:rPr>
          <w:rFonts w:cs="Arial"/>
          <w:szCs w:val="22"/>
          <w:lang w:val="en-GB"/>
        </w:rPr>
        <w:t>°C</w:t>
      </w:r>
      <w:r w:rsidR="00A23A41" w:rsidRPr="00F13B59">
        <w:rPr>
          <w:rFonts w:cs="Arial"/>
          <w:szCs w:val="22"/>
        </w:rPr>
        <w:t xml:space="preserve"> (</w:t>
      </w:r>
      <w:r w:rsidR="00F13B59" w:rsidRPr="00F13B59">
        <w:rPr>
          <w:rFonts w:cs="Arial"/>
          <w:szCs w:val="22"/>
        </w:rPr>
        <w:t>RC</w:t>
      </w:r>
      <w:r w:rsidR="00A23A41" w:rsidRPr="00F13B59">
        <w:rPr>
          <w:rFonts w:cs="Arial"/>
          <w:szCs w:val="22"/>
        </w:rPr>
        <w:t xml:space="preserve">1, 1pm </w:t>
      </w:r>
      <w:r w:rsidR="00F13B59" w:rsidRPr="00F13B59">
        <w:rPr>
          <w:rFonts w:cs="Arial"/>
          <w:szCs w:val="22"/>
        </w:rPr>
        <w:t>13Feb19</w:t>
      </w:r>
      <w:r w:rsidR="00A23A41" w:rsidRPr="00F13B59">
        <w:rPr>
          <w:rFonts w:cs="Arial"/>
          <w:szCs w:val="22"/>
        </w:rPr>
        <w:t>).</w:t>
      </w:r>
      <w:r w:rsidR="00895210" w:rsidRPr="00D562E2">
        <w:rPr>
          <w:rFonts w:cs="Arial"/>
          <w:szCs w:val="22"/>
        </w:rPr>
        <w:t xml:space="preserve"> </w:t>
      </w:r>
      <w:r w:rsidR="00F13B59">
        <w:rPr>
          <w:rFonts w:cs="Arial"/>
          <w:szCs w:val="22"/>
          <w:lang w:val="en-GB"/>
        </w:rPr>
        <w:t>Daily tidal</w:t>
      </w:r>
      <w:r w:rsidR="00F13B59" w:rsidRPr="00D5126A">
        <w:rPr>
          <w:rFonts w:cs="Arial"/>
          <w:szCs w:val="22"/>
          <w:lang w:val="en-GB"/>
        </w:rPr>
        <w:t xml:space="preserve"> exposure was above the long</w:t>
      </w:r>
      <w:r w:rsidR="00F13B59" w:rsidRPr="00D5126A">
        <w:rPr>
          <w:rFonts w:ascii="Cambria Math" w:hAnsi="Cambria Math" w:cs="Cambria Math"/>
          <w:szCs w:val="22"/>
          <w:lang w:val="en-GB"/>
        </w:rPr>
        <w:t>‐</w:t>
      </w:r>
      <w:r w:rsidR="00F13B59" w:rsidRPr="00D5126A">
        <w:rPr>
          <w:rFonts w:cs="Arial"/>
          <w:szCs w:val="22"/>
          <w:lang w:val="en-GB"/>
        </w:rPr>
        <w:t xml:space="preserve">term average in 2018–19 for the first time in three </w:t>
      </w:r>
      <w:r w:rsidR="00F13B59">
        <w:rPr>
          <w:rFonts w:cs="Arial"/>
          <w:szCs w:val="22"/>
          <w:lang w:val="en-GB"/>
        </w:rPr>
        <w:t xml:space="preserve">to four </w:t>
      </w:r>
      <w:r w:rsidR="00F13B59" w:rsidRPr="00D5126A">
        <w:rPr>
          <w:rFonts w:cs="Arial"/>
          <w:szCs w:val="22"/>
          <w:lang w:val="en-GB"/>
        </w:rPr>
        <w:t>years</w:t>
      </w:r>
      <w:r w:rsidR="00F13B59" w:rsidRPr="005641E3">
        <w:rPr>
          <w:rFonts w:cs="Arial"/>
          <w:szCs w:val="22"/>
          <w:lang w:val="en-GB"/>
        </w:rPr>
        <w:t xml:space="preserve"> (</w:t>
      </w:r>
      <w:r w:rsidR="00F13B59" w:rsidRPr="005641E3">
        <w:rPr>
          <w:rFonts w:cs="Arial"/>
          <w:szCs w:val="22"/>
        </w:rPr>
        <w:fldChar w:fldCharType="begin"/>
      </w:r>
      <w:r w:rsidR="00F13B59" w:rsidRPr="005641E3">
        <w:rPr>
          <w:rFonts w:cs="Arial"/>
          <w:szCs w:val="22"/>
        </w:rPr>
        <w:instrText xml:space="preserve"> REF _Ref533507597 \h  \* MERGEFORMAT </w:instrText>
      </w:r>
      <w:r w:rsidR="00F13B59" w:rsidRPr="005641E3">
        <w:rPr>
          <w:rFonts w:cs="Arial"/>
          <w:szCs w:val="22"/>
        </w:rPr>
      </w:r>
      <w:r w:rsidR="00F13B59" w:rsidRPr="005641E3">
        <w:rPr>
          <w:rFonts w:cs="Arial"/>
          <w:szCs w:val="22"/>
        </w:rPr>
        <w:fldChar w:fldCharType="separate"/>
      </w:r>
      <w:r w:rsidR="0067675D" w:rsidRPr="00D562E2">
        <w:rPr>
          <w:rFonts w:cs="Arial"/>
          <w:szCs w:val="22"/>
        </w:rPr>
        <w:t xml:space="preserve">Figure </w:t>
      </w:r>
      <w:r w:rsidR="0067675D">
        <w:rPr>
          <w:rFonts w:cs="Arial"/>
          <w:noProof/>
          <w:szCs w:val="22"/>
        </w:rPr>
        <w:t>62</w:t>
      </w:r>
      <w:r w:rsidR="00F13B59" w:rsidRPr="005641E3">
        <w:rPr>
          <w:rFonts w:cs="Arial"/>
          <w:szCs w:val="22"/>
        </w:rPr>
        <w:fldChar w:fldCharType="end"/>
      </w:r>
      <w:r w:rsidR="00F13B59" w:rsidRPr="005641E3">
        <w:rPr>
          <w:rFonts w:cs="Arial"/>
          <w:szCs w:val="22"/>
          <w:lang w:val="en-GB"/>
        </w:rPr>
        <w:t xml:space="preserve">, </w:t>
      </w:r>
      <w:r w:rsidR="00F13B59" w:rsidRPr="005641E3">
        <w:rPr>
          <w:rFonts w:cs="Arial"/>
          <w:szCs w:val="22"/>
          <w:lang w:val="en-GB"/>
        </w:rPr>
        <w:fldChar w:fldCharType="begin"/>
      </w:r>
      <w:r w:rsidR="00F13B59" w:rsidRPr="005641E3">
        <w:rPr>
          <w:rFonts w:cs="Arial"/>
          <w:szCs w:val="22"/>
          <w:lang w:val="en-GB"/>
        </w:rPr>
        <w:instrText xml:space="preserve"> REF _Ref410297244 \h  \* MERGEFORMAT </w:instrText>
      </w:r>
      <w:r w:rsidR="00F13B59" w:rsidRPr="005641E3">
        <w:rPr>
          <w:rFonts w:cs="Arial"/>
          <w:szCs w:val="22"/>
          <w:lang w:val="en-GB"/>
        </w:rPr>
      </w:r>
      <w:r w:rsidR="00F13B59" w:rsidRPr="005641E3">
        <w:rPr>
          <w:rFonts w:cs="Arial"/>
          <w:szCs w:val="22"/>
          <w:lang w:val="en-GB"/>
        </w:rPr>
        <w:fldChar w:fldCharType="separate"/>
      </w:r>
      <w:r w:rsidR="0067675D" w:rsidRPr="00867E8C">
        <w:rPr>
          <w:rFonts w:cs="Arial"/>
          <w:szCs w:val="22"/>
        </w:rPr>
        <w:t xml:space="preserve">Figure </w:t>
      </w:r>
      <w:r w:rsidR="0067675D">
        <w:rPr>
          <w:rFonts w:cs="Arial"/>
          <w:noProof/>
          <w:szCs w:val="22"/>
        </w:rPr>
        <w:t>96</w:t>
      </w:r>
      <w:r w:rsidR="00F13B59" w:rsidRPr="005641E3">
        <w:rPr>
          <w:rFonts w:cs="Arial"/>
          <w:szCs w:val="22"/>
          <w:lang w:val="en-GB"/>
        </w:rPr>
        <w:fldChar w:fldCharType="end"/>
      </w:r>
      <w:r w:rsidR="00F13B59" w:rsidRPr="005641E3">
        <w:rPr>
          <w:rFonts w:cs="Arial"/>
          <w:szCs w:val="22"/>
          <w:lang w:val="en-GB"/>
        </w:rPr>
        <w:t>), which may have exacerbate</w:t>
      </w:r>
      <w:r w:rsidR="00F13B59">
        <w:rPr>
          <w:rFonts w:cs="Arial"/>
          <w:szCs w:val="22"/>
          <w:lang w:val="en-GB"/>
        </w:rPr>
        <w:t>d</w:t>
      </w:r>
      <w:r w:rsidR="00F13B59" w:rsidRPr="005641E3">
        <w:rPr>
          <w:rFonts w:cs="Arial"/>
          <w:szCs w:val="22"/>
          <w:lang w:val="en-GB"/>
        </w:rPr>
        <w:t xml:space="preserve"> stresses </w:t>
      </w:r>
      <w:r w:rsidR="00F13B59">
        <w:rPr>
          <w:rFonts w:cs="Arial"/>
          <w:szCs w:val="22"/>
          <w:lang w:val="en-GB"/>
        </w:rPr>
        <w:t>experienced at intertidal sites</w:t>
      </w:r>
      <w:r w:rsidR="00F13B59" w:rsidRPr="005641E3">
        <w:rPr>
          <w:rFonts w:cs="Arial"/>
          <w:szCs w:val="22"/>
          <w:lang w:val="en-GB"/>
        </w:rPr>
        <w:t>.</w:t>
      </w:r>
    </w:p>
    <w:p w14:paraId="67806DC2" w14:textId="4AB109C7" w:rsidR="00873BF5" w:rsidRPr="00D562E2" w:rsidRDefault="00037DE8" w:rsidP="00873BF5">
      <w:pPr>
        <w:rPr>
          <w:rFonts w:cs="Arial"/>
          <w:szCs w:val="22"/>
          <w:lang w:val="en-GB"/>
        </w:rPr>
      </w:pPr>
      <w:r w:rsidRPr="00FA45A0">
        <w:rPr>
          <w:rFonts w:cs="Arial"/>
          <w:szCs w:val="22"/>
          <w:lang w:val="en-GB"/>
        </w:rPr>
        <w:t>The</w:t>
      </w:r>
      <w:r w:rsidR="00873BF5" w:rsidRPr="00FA45A0">
        <w:rPr>
          <w:rFonts w:cs="Arial"/>
          <w:szCs w:val="22"/>
          <w:lang w:val="en-GB"/>
        </w:rPr>
        <w:t xml:space="preserve"> proportion of fine grains in meadow sediments </w:t>
      </w:r>
      <w:r w:rsidR="00F13B59" w:rsidRPr="00FA45A0">
        <w:rPr>
          <w:rFonts w:cs="Arial"/>
          <w:szCs w:val="22"/>
          <w:lang w:val="en-GB"/>
        </w:rPr>
        <w:t xml:space="preserve">generally </w:t>
      </w:r>
      <w:r w:rsidR="00873BF5" w:rsidRPr="00FA45A0">
        <w:rPr>
          <w:rFonts w:cs="Arial"/>
          <w:szCs w:val="22"/>
          <w:lang w:val="en-GB"/>
        </w:rPr>
        <w:t xml:space="preserve">decreases with distance from the coast/river mouths. Estuarine sediments were composed primarily of finer sediments, with the mud portion around the </w:t>
      </w:r>
      <w:r w:rsidRPr="00FA45A0">
        <w:rPr>
          <w:rFonts w:cs="Arial"/>
          <w:szCs w:val="22"/>
          <w:lang w:val="en-GB"/>
        </w:rPr>
        <w:t xml:space="preserve">Reef-wide </w:t>
      </w:r>
      <w:r w:rsidR="00873BF5" w:rsidRPr="00FA45A0">
        <w:rPr>
          <w:rFonts w:cs="Arial"/>
          <w:szCs w:val="22"/>
          <w:lang w:val="en-GB"/>
        </w:rPr>
        <w:t xml:space="preserve">long-term average, although one site (GH1) </w:t>
      </w:r>
      <w:r w:rsidR="00FA45A0" w:rsidRPr="00FA45A0">
        <w:rPr>
          <w:rFonts w:cs="Arial"/>
          <w:szCs w:val="22"/>
          <w:lang w:val="en-GB"/>
        </w:rPr>
        <w:t>continued to be</w:t>
      </w:r>
      <w:r w:rsidR="00873BF5" w:rsidRPr="00FA45A0">
        <w:rPr>
          <w:rFonts w:cs="Arial"/>
          <w:szCs w:val="22"/>
          <w:lang w:val="en-GB"/>
        </w:rPr>
        <w:t xml:space="preserve"> much muddier </w:t>
      </w:r>
      <w:r w:rsidRPr="00FA45A0">
        <w:rPr>
          <w:rFonts w:cs="Arial"/>
          <w:szCs w:val="22"/>
          <w:lang w:val="en-GB"/>
        </w:rPr>
        <w:t>this year</w:t>
      </w:r>
      <w:r w:rsidR="00873BF5" w:rsidRPr="00FA45A0">
        <w:rPr>
          <w:rFonts w:cs="Arial"/>
          <w:szCs w:val="22"/>
          <w:lang w:val="en-GB"/>
        </w:rPr>
        <w:t xml:space="preserve"> (</w:t>
      </w:r>
      <w:r w:rsidR="00873BF5" w:rsidRPr="00FA45A0">
        <w:rPr>
          <w:rFonts w:cs="Arial"/>
          <w:szCs w:val="22"/>
          <w:lang w:val="en-GB"/>
        </w:rPr>
        <w:fldChar w:fldCharType="begin"/>
      </w:r>
      <w:r w:rsidR="00873BF5" w:rsidRPr="00FA45A0">
        <w:rPr>
          <w:rFonts w:cs="Arial"/>
          <w:szCs w:val="22"/>
          <w:lang w:val="en-GB"/>
        </w:rPr>
        <w:instrText xml:space="preserve"> REF _Ref511131821 \h  \* MERGEFORMAT </w:instrText>
      </w:r>
      <w:r w:rsidR="00873BF5" w:rsidRPr="00FA45A0">
        <w:rPr>
          <w:rFonts w:cs="Arial"/>
          <w:szCs w:val="22"/>
          <w:lang w:val="en-GB"/>
        </w:rPr>
      </w:r>
      <w:r w:rsidR="00873BF5" w:rsidRPr="00FA45A0">
        <w:rPr>
          <w:rFonts w:cs="Arial"/>
          <w:szCs w:val="22"/>
          <w:lang w:val="en-GB"/>
        </w:rPr>
        <w:fldChar w:fldCharType="separate"/>
      </w:r>
      <w:r w:rsidR="0067675D" w:rsidRPr="00867E8C">
        <w:rPr>
          <w:rFonts w:cs="Arial"/>
          <w:szCs w:val="22"/>
        </w:rPr>
        <w:t xml:space="preserve">Figure </w:t>
      </w:r>
      <w:r w:rsidR="0067675D">
        <w:rPr>
          <w:rFonts w:cs="Arial"/>
          <w:noProof/>
          <w:szCs w:val="22"/>
        </w:rPr>
        <w:t>117</w:t>
      </w:r>
      <w:r w:rsidR="00873BF5" w:rsidRPr="00FA45A0">
        <w:rPr>
          <w:rFonts w:cs="Arial"/>
          <w:szCs w:val="22"/>
          <w:lang w:val="en-GB"/>
        </w:rPr>
        <w:fldChar w:fldCharType="end"/>
      </w:r>
      <w:r w:rsidR="00873BF5" w:rsidRPr="00FA45A0">
        <w:rPr>
          <w:rFonts w:cs="Arial"/>
          <w:szCs w:val="22"/>
          <w:lang w:val="en-GB"/>
        </w:rPr>
        <w:t xml:space="preserve">). Coastal and reef habitat sediments </w:t>
      </w:r>
      <w:r w:rsidR="00FA45A0" w:rsidRPr="00FA45A0">
        <w:rPr>
          <w:rFonts w:cs="Arial"/>
          <w:szCs w:val="22"/>
          <w:lang w:val="en-GB"/>
        </w:rPr>
        <w:t>are</w:t>
      </w:r>
      <w:r w:rsidR="00873BF5" w:rsidRPr="00FA45A0">
        <w:rPr>
          <w:rFonts w:cs="Arial"/>
          <w:szCs w:val="22"/>
          <w:lang w:val="en-GB"/>
        </w:rPr>
        <w:t xml:space="preserve"> dominated by fine </w:t>
      </w:r>
      <w:r w:rsidR="00873BF5" w:rsidRPr="00FA45A0">
        <w:rPr>
          <w:rFonts w:cs="Arial"/>
          <w:szCs w:val="22"/>
          <w:lang w:val="en-GB"/>
        </w:rPr>
        <w:lastRenderedPageBreak/>
        <w:t xml:space="preserve">sand/sand, but the proportion of mud in coastal habitats </w:t>
      </w:r>
      <w:r w:rsidR="00FA45A0" w:rsidRPr="00FA45A0">
        <w:rPr>
          <w:rFonts w:cs="Arial"/>
          <w:szCs w:val="22"/>
          <w:lang w:val="en-GB"/>
        </w:rPr>
        <w:t xml:space="preserve">continued to </w:t>
      </w:r>
      <w:r w:rsidR="00873BF5" w:rsidRPr="00FA45A0">
        <w:rPr>
          <w:rFonts w:cs="Arial"/>
          <w:szCs w:val="22"/>
          <w:lang w:val="en-GB"/>
        </w:rPr>
        <w:t xml:space="preserve">increased greatly in </w:t>
      </w:r>
      <w:r w:rsidR="00956639" w:rsidRPr="00FA45A0">
        <w:rPr>
          <w:rFonts w:cs="Arial"/>
          <w:szCs w:val="22"/>
          <w:lang w:val="en-GB"/>
        </w:rPr>
        <w:t>2018–19</w:t>
      </w:r>
      <w:r w:rsidR="00873BF5" w:rsidRPr="00FA45A0">
        <w:rPr>
          <w:rFonts w:cs="Arial"/>
          <w:szCs w:val="22"/>
          <w:lang w:val="en-GB"/>
        </w:rPr>
        <w:t xml:space="preserve"> above the </w:t>
      </w:r>
      <w:r w:rsidR="003158FC" w:rsidRPr="00FA45A0">
        <w:rPr>
          <w:rFonts w:cs="Arial"/>
          <w:szCs w:val="22"/>
          <w:lang w:val="en-GB"/>
        </w:rPr>
        <w:t>Reef</w:t>
      </w:r>
      <w:r w:rsidR="00873BF5" w:rsidRPr="00FA45A0">
        <w:rPr>
          <w:rFonts w:cs="Arial"/>
          <w:szCs w:val="22"/>
          <w:lang w:val="en-GB"/>
        </w:rPr>
        <w:t xml:space="preserve"> long-term average (</w:t>
      </w:r>
      <w:r w:rsidR="00873BF5" w:rsidRPr="00FA45A0">
        <w:rPr>
          <w:rFonts w:cs="Arial"/>
          <w:szCs w:val="22"/>
          <w:lang w:val="en-GB"/>
        </w:rPr>
        <w:fldChar w:fldCharType="begin"/>
      </w:r>
      <w:r w:rsidR="00873BF5" w:rsidRPr="00FA45A0">
        <w:rPr>
          <w:rFonts w:cs="Arial"/>
          <w:szCs w:val="22"/>
          <w:lang w:val="en-GB"/>
        </w:rPr>
        <w:instrText xml:space="preserve"> REF _Ref511131832 \h  \* MERGEFORMAT </w:instrText>
      </w:r>
      <w:r w:rsidR="00873BF5" w:rsidRPr="00FA45A0">
        <w:rPr>
          <w:rFonts w:cs="Arial"/>
          <w:szCs w:val="22"/>
          <w:lang w:val="en-GB"/>
        </w:rPr>
      </w:r>
      <w:r w:rsidR="00873BF5" w:rsidRPr="00FA45A0">
        <w:rPr>
          <w:rFonts w:cs="Arial"/>
          <w:szCs w:val="22"/>
          <w:lang w:val="en-GB"/>
        </w:rPr>
        <w:fldChar w:fldCharType="separate"/>
      </w:r>
      <w:r w:rsidR="0067675D" w:rsidRPr="00867E8C">
        <w:rPr>
          <w:rFonts w:cs="Arial"/>
          <w:szCs w:val="22"/>
        </w:rPr>
        <w:t xml:space="preserve">Figure </w:t>
      </w:r>
      <w:r w:rsidR="0067675D">
        <w:rPr>
          <w:rFonts w:cs="Arial"/>
          <w:noProof/>
          <w:szCs w:val="22"/>
        </w:rPr>
        <w:t>118</w:t>
      </w:r>
      <w:r w:rsidR="00873BF5" w:rsidRPr="00FA45A0">
        <w:rPr>
          <w:rFonts w:cs="Arial"/>
          <w:szCs w:val="22"/>
          <w:lang w:val="en-GB"/>
        </w:rPr>
        <w:fldChar w:fldCharType="end"/>
      </w:r>
      <w:r w:rsidR="00873BF5" w:rsidRPr="00FA45A0">
        <w:rPr>
          <w:rFonts w:cs="Arial"/>
          <w:szCs w:val="22"/>
          <w:lang w:val="en-GB"/>
        </w:rPr>
        <w:t xml:space="preserve">, </w:t>
      </w:r>
      <w:r w:rsidR="00873BF5" w:rsidRPr="00FA45A0">
        <w:rPr>
          <w:rFonts w:cs="Arial"/>
          <w:szCs w:val="22"/>
          <w:lang w:val="en-GB"/>
        </w:rPr>
        <w:fldChar w:fldCharType="begin"/>
      </w:r>
      <w:r w:rsidR="00873BF5" w:rsidRPr="00FA45A0">
        <w:rPr>
          <w:rFonts w:cs="Arial"/>
          <w:szCs w:val="22"/>
          <w:lang w:val="en-GB"/>
        </w:rPr>
        <w:instrText xml:space="preserve"> REF _Ref511131835 \h  \* MERGEFORMAT </w:instrText>
      </w:r>
      <w:r w:rsidR="00873BF5" w:rsidRPr="00FA45A0">
        <w:rPr>
          <w:rFonts w:cs="Arial"/>
          <w:szCs w:val="22"/>
          <w:lang w:val="en-GB"/>
        </w:rPr>
      </w:r>
      <w:r w:rsidR="00873BF5" w:rsidRPr="00FA45A0">
        <w:rPr>
          <w:rFonts w:cs="Arial"/>
          <w:szCs w:val="22"/>
          <w:lang w:val="en-GB"/>
        </w:rPr>
        <w:fldChar w:fldCharType="separate"/>
      </w:r>
      <w:r w:rsidR="0067675D" w:rsidRPr="00867E8C">
        <w:rPr>
          <w:rFonts w:cs="Arial"/>
          <w:szCs w:val="22"/>
        </w:rPr>
        <w:t xml:space="preserve">Figure </w:t>
      </w:r>
      <w:r w:rsidR="0067675D">
        <w:rPr>
          <w:rFonts w:cs="Arial"/>
          <w:noProof/>
          <w:szCs w:val="22"/>
        </w:rPr>
        <w:t>119</w:t>
      </w:r>
      <w:r w:rsidR="00873BF5" w:rsidRPr="00FA45A0">
        <w:rPr>
          <w:rFonts w:cs="Arial"/>
          <w:szCs w:val="22"/>
          <w:lang w:val="en-GB"/>
        </w:rPr>
        <w:fldChar w:fldCharType="end"/>
      </w:r>
      <w:r w:rsidR="00873BF5" w:rsidRPr="00FA45A0">
        <w:rPr>
          <w:rFonts w:cs="Arial"/>
          <w:szCs w:val="22"/>
          <w:lang w:val="en-GB"/>
        </w:rPr>
        <w:t>).</w:t>
      </w:r>
    </w:p>
    <w:p w14:paraId="1474E13E" w14:textId="77777777" w:rsidR="00873BF5" w:rsidRPr="00D562E2" w:rsidRDefault="00873BF5" w:rsidP="00A23A41">
      <w:pPr>
        <w:rPr>
          <w:rFonts w:cs="Arial"/>
          <w:szCs w:val="22"/>
        </w:rPr>
      </w:pPr>
    </w:p>
    <w:p w14:paraId="7ED5D3B7" w14:textId="28DCE595" w:rsidR="00204236" w:rsidRPr="00D562E2" w:rsidRDefault="00C21390" w:rsidP="00204236">
      <w:pPr>
        <w:rPr>
          <w:rFonts w:cs="Arial"/>
          <w:szCs w:val="22"/>
          <w:lang w:val="en-GB"/>
        </w:rPr>
      </w:pPr>
      <w:r w:rsidRPr="00D562E2">
        <w:rPr>
          <w:rFonts w:cs="Arial"/>
          <w:szCs w:val="22"/>
        </w:rPr>
        <w:t xml:space="preserve"> </w:t>
      </w:r>
      <w:r w:rsidR="00204236" w:rsidRPr="00D562E2">
        <w:rPr>
          <w:rFonts w:cs="Arial"/>
          <w:color w:val="000000" w:themeColor="text1"/>
          <w:szCs w:val="22"/>
        </w:rPr>
        <w:br w:type="column"/>
      </w:r>
      <w:r w:rsidR="001063D8" w:rsidRPr="00D562E2">
        <w:rPr>
          <w:rFonts w:cs="Arial"/>
          <w:noProof/>
          <w:szCs w:val="22"/>
          <w:lang w:eastAsia="en-AU"/>
        </w:rPr>
        <w:lastRenderedPageBreak/>
        <w:drawing>
          <wp:inline distT="0" distB="0" distL="0" distR="0" wp14:anchorId="353EE244" wp14:editId="4B01D079">
            <wp:extent cx="5803337" cy="7714651"/>
            <wp:effectExtent l="0" t="0" r="6985" b="635"/>
            <wp:docPr id="547" name="Picture 547" descr="Figures show extent of plumes, colour class, light and temperate data" title="environmental pressures fitzr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CY Pressures page.png"/>
                    <pic:cNvPicPr/>
                  </pic:nvPicPr>
                  <pic:blipFill>
                    <a:blip r:embed="rId124">
                      <a:extLst>
                        <a:ext uri="{28A0092B-C50C-407E-A947-70E740481C1C}">
                          <a14:useLocalDpi xmlns:a14="http://schemas.microsoft.com/office/drawing/2010/main" val="0"/>
                        </a:ext>
                      </a:extLst>
                    </a:blip>
                    <a:stretch>
                      <a:fillRect/>
                    </a:stretch>
                  </pic:blipFill>
                  <pic:spPr>
                    <a:xfrm>
                      <a:off x="0" y="0"/>
                      <a:ext cx="5803337" cy="7714651"/>
                    </a:xfrm>
                    <a:prstGeom prst="rect">
                      <a:avLst/>
                    </a:prstGeom>
                  </pic:spPr>
                </pic:pic>
              </a:graphicData>
            </a:graphic>
          </wp:inline>
        </w:drawing>
      </w:r>
    </w:p>
    <w:p w14:paraId="17A766ED" w14:textId="69D131E0" w:rsidR="001B1A95" w:rsidRPr="00D562E2" w:rsidRDefault="00204236" w:rsidP="001B1A95">
      <w:pPr>
        <w:rPr>
          <w:rFonts w:cs="Arial"/>
          <w:i/>
          <w:iCs/>
          <w:vanish/>
          <w:szCs w:val="22"/>
          <w:lang w:eastAsia="en-AU"/>
          <w:specVanish/>
        </w:rPr>
      </w:pPr>
      <w:bookmarkStart w:id="549" w:name="_Ref533507693"/>
      <w:bookmarkStart w:id="550" w:name="_Toc38634175"/>
      <w:r w:rsidRPr="00D562E2">
        <w:rPr>
          <w:rFonts w:cs="Arial"/>
          <w:szCs w:val="22"/>
        </w:rPr>
        <w:lastRenderedPageBreak/>
        <w:t xml:space="preserve">Figure </w:t>
      </w:r>
      <w:r w:rsidR="000E4688" w:rsidRPr="00D562E2">
        <w:rPr>
          <w:rFonts w:cs="Arial"/>
          <w:noProof/>
          <w:szCs w:val="22"/>
        </w:rPr>
        <w:fldChar w:fldCharType="begin"/>
      </w:r>
      <w:r w:rsidR="000E4688" w:rsidRPr="00D562E2">
        <w:rPr>
          <w:rFonts w:cs="Arial"/>
          <w:noProof/>
          <w:szCs w:val="22"/>
        </w:rPr>
        <w:instrText xml:space="preserve"> SEQ Figure \* ARABIC </w:instrText>
      </w:r>
      <w:r w:rsidR="000E4688" w:rsidRPr="00D562E2">
        <w:rPr>
          <w:rFonts w:cs="Arial"/>
          <w:noProof/>
          <w:szCs w:val="22"/>
        </w:rPr>
        <w:fldChar w:fldCharType="separate"/>
      </w:r>
      <w:r w:rsidR="0067675D">
        <w:rPr>
          <w:rFonts w:cs="Arial"/>
          <w:noProof/>
          <w:szCs w:val="22"/>
        </w:rPr>
        <w:t>71</w:t>
      </w:r>
      <w:r w:rsidR="000E4688" w:rsidRPr="00D562E2">
        <w:rPr>
          <w:rFonts w:cs="Arial"/>
          <w:noProof/>
          <w:szCs w:val="22"/>
        </w:rPr>
        <w:fldChar w:fldCharType="end"/>
      </w:r>
      <w:bookmarkEnd w:id="549"/>
      <w:r w:rsidRPr="00D562E2">
        <w:rPr>
          <w:rFonts w:cs="Arial"/>
          <w:szCs w:val="22"/>
        </w:rPr>
        <w:t xml:space="preserve">. </w:t>
      </w:r>
      <w:r w:rsidRPr="00D562E2">
        <w:rPr>
          <w:rFonts w:cs="Arial"/>
          <w:i/>
          <w:szCs w:val="22"/>
        </w:rPr>
        <w:t>Environmental pressures in the Fitzroy region</w:t>
      </w:r>
      <w:bookmarkEnd w:id="550"/>
    </w:p>
    <w:p w14:paraId="0C13A2AE" w14:textId="4BC4231E" w:rsidR="00204236" w:rsidRPr="00D562E2" w:rsidRDefault="001B1A95" w:rsidP="001B1A95">
      <w:pPr>
        <w:rPr>
          <w:rFonts w:cs="Arial"/>
          <w:i/>
          <w:color w:val="000000"/>
          <w:szCs w:val="22"/>
        </w:rPr>
      </w:pPr>
      <w:r w:rsidRPr="00D562E2">
        <w:rPr>
          <w:rFonts w:cs="Arial"/>
          <w:i/>
          <w:szCs w:val="22"/>
          <w:lang w:eastAsia="en-AU"/>
        </w:rPr>
        <w:t xml:space="preserve"> </w:t>
      </w:r>
      <w:r w:rsidR="00204236" w:rsidRPr="00D562E2">
        <w:rPr>
          <w:rFonts w:cs="Arial"/>
          <w:i/>
          <w:szCs w:val="22"/>
        </w:rPr>
        <w:t>including</w:t>
      </w:r>
      <w:r w:rsidRPr="00D562E2">
        <w:rPr>
          <w:rFonts w:cs="Arial"/>
          <w:i/>
          <w:szCs w:val="22"/>
        </w:rPr>
        <w:t>:</w:t>
      </w:r>
      <w:r w:rsidR="00204236" w:rsidRPr="00D562E2">
        <w:rPr>
          <w:rFonts w:cs="Arial"/>
          <w:i/>
          <w:szCs w:val="22"/>
        </w:rPr>
        <w:t xml:space="preserve"> a.</w:t>
      </w:r>
      <w:r w:rsidR="00204236" w:rsidRPr="00D562E2">
        <w:rPr>
          <w:rFonts w:cs="Arial"/>
          <w:szCs w:val="22"/>
        </w:rPr>
        <w:t xml:space="preserve"> </w:t>
      </w:r>
      <w:r w:rsidR="00204236" w:rsidRPr="00D562E2">
        <w:rPr>
          <w:rFonts w:cs="Arial"/>
          <w:i/>
          <w:szCs w:val="22"/>
        </w:rPr>
        <w:t>frequency of exposure to turbid water (colour classes 1</w:t>
      </w:r>
      <w:r w:rsidR="00A675DA" w:rsidRPr="00D562E2">
        <w:rPr>
          <w:rFonts w:cs="Arial"/>
          <w:i/>
          <w:szCs w:val="22"/>
        </w:rPr>
        <w:t>–</w:t>
      </w:r>
      <w:r w:rsidR="00204236" w:rsidRPr="00D562E2">
        <w:rPr>
          <w:rFonts w:cs="Arial"/>
          <w:i/>
          <w:szCs w:val="22"/>
        </w:rPr>
        <w:t xml:space="preserve">5) (from </w:t>
      </w:r>
      <w:hyperlink w:anchor="_ENREF_68" w:tooltip="Gruber, 2019 #11860" w:history="1">
        <w:r w:rsidR="009A7AB4" w:rsidRPr="00D562E2">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D562E2">
          <w:rPr>
            <w:rFonts w:cs="Arial"/>
            <w:i/>
            <w:szCs w:val="22"/>
          </w:rPr>
          <w:fldChar w:fldCharType="separate"/>
        </w:r>
        <w:r w:rsidR="009A7AB4">
          <w:rPr>
            <w:rFonts w:cs="Arial"/>
            <w:i/>
            <w:noProof/>
            <w:szCs w:val="22"/>
          </w:rPr>
          <w:t>Gruber et al. 2019b</w:t>
        </w:r>
        <w:r w:rsidR="009A7AB4" w:rsidRPr="00D562E2">
          <w:rPr>
            <w:rFonts w:cs="Arial"/>
            <w:i/>
            <w:szCs w:val="22"/>
          </w:rPr>
          <w:fldChar w:fldCharType="end"/>
        </w:r>
      </w:hyperlink>
      <w:r w:rsidR="00204236" w:rsidRPr="00D562E2">
        <w:rPr>
          <w:rFonts w:cs="Arial"/>
          <w:i/>
          <w:szCs w:val="22"/>
        </w:rPr>
        <w:t>)</w:t>
      </w:r>
      <w:r w:rsidRPr="00D562E2">
        <w:rPr>
          <w:rFonts w:cs="Arial"/>
          <w:i/>
          <w:szCs w:val="22"/>
        </w:rPr>
        <w:t>;</w:t>
      </w:r>
      <w:r w:rsidR="00204236" w:rsidRPr="00D562E2">
        <w:rPr>
          <w:rFonts w:cs="Arial"/>
          <w:i/>
          <w:szCs w:val="22"/>
        </w:rPr>
        <w:t xml:space="preserve"> b. wet season water type at each </w:t>
      </w:r>
      <w:r w:rsidRPr="00D562E2">
        <w:rPr>
          <w:rFonts w:cs="Arial"/>
          <w:i/>
          <w:szCs w:val="22"/>
        </w:rPr>
        <w:t>site;</w:t>
      </w:r>
      <w:r w:rsidR="00204236" w:rsidRPr="00D562E2">
        <w:rPr>
          <w:rFonts w:cs="Arial"/>
          <w:i/>
          <w:szCs w:val="22"/>
        </w:rPr>
        <w:t xml:space="preserve"> c. average conditions over the long-term and in </w:t>
      </w:r>
      <w:r w:rsidR="00956639" w:rsidRPr="00D562E2">
        <w:rPr>
          <w:rFonts w:cs="Arial"/>
          <w:i/>
          <w:szCs w:val="22"/>
        </w:rPr>
        <w:t>2018–19</w:t>
      </w:r>
      <w:r w:rsidRPr="00D562E2">
        <w:rPr>
          <w:rFonts w:cs="Arial"/>
          <w:i/>
          <w:szCs w:val="22"/>
        </w:rPr>
        <w:t>;</w:t>
      </w:r>
      <w:r w:rsidR="00204236" w:rsidRPr="00D562E2">
        <w:rPr>
          <w:rFonts w:cs="Arial"/>
          <w:i/>
          <w:szCs w:val="22"/>
        </w:rPr>
        <w:t xml:space="preserve"> d. daily light and the 28-day rolling mean of daily light for all sites</w:t>
      </w:r>
      <w:r w:rsidRPr="00D562E2">
        <w:rPr>
          <w:rFonts w:cs="Arial"/>
          <w:i/>
          <w:szCs w:val="22"/>
        </w:rPr>
        <w:t>;</w:t>
      </w:r>
      <w:r w:rsidR="00204236" w:rsidRPr="00D562E2">
        <w:rPr>
          <w:rFonts w:cs="Arial"/>
          <w:i/>
          <w:szCs w:val="22"/>
        </w:rPr>
        <w:t xml:space="preserve"> e. number of day temperature exceeded 35°C, 38°C, 40°C and</w:t>
      </w:r>
      <w:r w:rsidRPr="00D562E2">
        <w:rPr>
          <w:rFonts w:cs="Arial"/>
          <w:i/>
          <w:szCs w:val="22"/>
        </w:rPr>
        <w:t>;</w:t>
      </w:r>
      <w:r w:rsidR="00204236" w:rsidRPr="00D562E2">
        <w:rPr>
          <w:rFonts w:cs="Arial"/>
          <w:i/>
          <w:szCs w:val="22"/>
        </w:rPr>
        <w:t xml:space="preserve"> 43°C, and f. deviations from 1</w:t>
      </w:r>
      <w:r w:rsidR="0098351A" w:rsidRPr="00D562E2">
        <w:rPr>
          <w:rFonts w:cs="Arial"/>
          <w:i/>
          <w:szCs w:val="22"/>
        </w:rPr>
        <w:t>2</w:t>
      </w:r>
      <w:r w:rsidR="00204236" w:rsidRPr="00D562E2">
        <w:rPr>
          <w:rFonts w:cs="Arial"/>
          <w:i/>
          <w:szCs w:val="22"/>
        </w:rPr>
        <w:t xml:space="preserve">-year </w:t>
      </w:r>
      <w:r w:rsidR="00204236" w:rsidRPr="00D562E2">
        <w:rPr>
          <w:rFonts w:cs="Arial"/>
          <w:i/>
          <w:color w:val="000000"/>
          <w:szCs w:val="22"/>
        </w:rPr>
        <w:t>mean weekly temperature records.</w:t>
      </w:r>
    </w:p>
    <w:p w14:paraId="43A9C43E" w14:textId="6D98EE7E" w:rsidR="00A23A41" w:rsidRPr="00D562E2" w:rsidRDefault="00A23A41" w:rsidP="00A23A41">
      <w:pPr>
        <w:rPr>
          <w:rFonts w:cs="Arial"/>
          <w:szCs w:val="22"/>
          <w:lang w:val="en-GB"/>
        </w:rPr>
      </w:pPr>
    </w:p>
    <w:p w14:paraId="1F02586D" w14:textId="77777777" w:rsidR="00A23A41" w:rsidRPr="00D562E2" w:rsidRDefault="00A23A41" w:rsidP="00A23A41">
      <w:pPr>
        <w:rPr>
          <w:rFonts w:cs="Arial"/>
          <w:szCs w:val="22"/>
          <w:lang w:val="en-GB"/>
        </w:rPr>
      </w:pPr>
    </w:p>
    <w:p w14:paraId="2E971E74" w14:textId="77777777" w:rsidR="00A23A41" w:rsidRPr="00431DDA" w:rsidRDefault="00A23A41" w:rsidP="00785606">
      <w:pPr>
        <w:pStyle w:val="Heading3"/>
      </w:pPr>
      <w:bookmarkStart w:id="551" w:name="_Toc37775105"/>
      <w:bookmarkStart w:id="552" w:name="_Toc43987080"/>
      <w:r w:rsidRPr="00431DDA">
        <w:t>Inshore seagrass and habitat condition</w:t>
      </w:r>
      <w:bookmarkEnd w:id="551"/>
      <w:bookmarkEnd w:id="552"/>
    </w:p>
    <w:p w14:paraId="2502FB2A" w14:textId="38D2C88E" w:rsidR="00995B85" w:rsidRPr="00D562E2" w:rsidRDefault="007C507A" w:rsidP="00C36ADD">
      <w:pPr>
        <w:rPr>
          <w:rFonts w:cs="Arial"/>
          <w:szCs w:val="22"/>
          <w:lang w:eastAsia="x-none"/>
        </w:rPr>
      </w:pPr>
      <w:r>
        <w:rPr>
          <w:rFonts w:cs="Arial"/>
          <w:color w:val="000000" w:themeColor="text1"/>
          <w:szCs w:val="22"/>
          <w:lang w:eastAsia="x-none"/>
        </w:rPr>
        <w:t>There are 6 seagrass monitoring sites in the Fitzroy from 3 locations</w:t>
      </w:r>
      <w:r w:rsidR="00227F64">
        <w:rPr>
          <w:rFonts w:cs="Arial"/>
          <w:color w:val="000000" w:themeColor="text1"/>
          <w:szCs w:val="22"/>
          <w:lang w:eastAsia="x-none"/>
        </w:rPr>
        <w:t xml:space="preserve"> </w:t>
      </w:r>
      <w:r w:rsidR="00227F64" w:rsidRPr="00D562E2">
        <w:rPr>
          <w:rFonts w:cs="Arial"/>
          <w:szCs w:val="22"/>
          <w:lang w:eastAsia="x-none"/>
        </w:rPr>
        <w:t>(</w:t>
      </w:r>
      <w:r w:rsidR="00227F64" w:rsidRPr="00D562E2">
        <w:rPr>
          <w:rFonts w:cs="Arial"/>
          <w:szCs w:val="22"/>
          <w:lang w:eastAsia="x-none"/>
        </w:rPr>
        <w:fldChar w:fldCharType="begin"/>
      </w:r>
      <w:r w:rsidR="00227F64" w:rsidRPr="00D562E2">
        <w:rPr>
          <w:rFonts w:cs="Arial"/>
          <w:szCs w:val="22"/>
          <w:lang w:eastAsia="x-none"/>
        </w:rPr>
        <w:instrText xml:space="preserve"> REF _Ref473898487 \h  \* MERGEFORMAT </w:instrText>
      </w:r>
      <w:r w:rsidR="00227F64" w:rsidRPr="00D562E2">
        <w:rPr>
          <w:rFonts w:cs="Arial"/>
          <w:szCs w:val="22"/>
          <w:lang w:eastAsia="x-none"/>
        </w:rPr>
      </w:r>
      <w:r w:rsidR="00227F64"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15</w:t>
      </w:r>
      <w:r w:rsidR="00227F64" w:rsidRPr="00D562E2">
        <w:rPr>
          <w:rFonts w:cs="Arial"/>
          <w:szCs w:val="22"/>
          <w:lang w:eastAsia="x-none"/>
        </w:rPr>
        <w:fldChar w:fldCharType="end"/>
      </w:r>
      <w:r w:rsidR="00227F64">
        <w:rPr>
          <w:rFonts w:cs="Arial"/>
          <w:szCs w:val="22"/>
          <w:lang w:eastAsia="x-none"/>
        </w:rPr>
        <w:t>)</w:t>
      </w:r>
      <w:r>
        <w:rPr>
          <w:rFonts w:cs="Arial"/>
          <w:szCs w:val="22"/>
        </w:rPr>
        <w:t xml:space="preserve">. </w:t>
      </w:r>
      <w:r w:rsidR="00995B85" w:rsidRPr="00D562E2">
        <w:rPr>
          <w:rFonts w:cs="Arial"/>
          <w:szCs w:val="22"/>
          <w:lang w:eastAsia="x-none"/>
        </w:rPr>
        <w:t xml:space="preserve">Three seagrass habitat types were assessed across the region in </w:t>
      </w:r>
      <w:r w:rsidR="00956639" w:rsidRPr="00D562E2">
        <w:rPr>
          <w:rFonts w:cs="Arial"/>
          <w:szCs w:val="22"/>
          <w:lang w:eastAsia="x-none"/>
        </w:rPr>
        <w:t>2018–19</w:t>
      </w:r>
      <w:r w:rsidR="00995B85" w:rsidRPr="00D562E2">
        <w:rPr>
          <w:rFonts w:cs="Arial"/>
          <w:szCs w:val="22"/>
          <w:lang w:eastAsia="x-none"/>
        </w:rPr>
        <w:t>, with data from 6 sites (</w:t>
      </w:r>
      <w:r w:rsidR="00995B85" w:rsidRPr="00D562E2">
        <w:rPr>
          <w:rFonts w:cs="Arial"/>
          <w:szCs w:val="22"/>
          <w:lang w:eastAsia="x-none"/>
        </w:rPr>
        <w:fldChar w:fldCharType="begin"/>
      </w:r>
      <w:r w:rsidR="00995B85" w:rsidRPr="00D562E2">
        <w:rPr>
          <w:rFonts w:cs="Arial"/>
          <w:szCs w:val="22"/>
          <w:lang w:eastAsia="x-none"/>
        </w:rPr>
        <w:instrText xml:space="preserve"> REF _Ref473898487 \h </w:instrText>
      </w:r>
      <w:r w:rsidR="00580DDA" w:rsidRPr="00D562E2">
        <w:rPr>
          <w:rFonts w:cs="Arial"/>
          <w:szCs w:val="22"/>
          <w:lang w:eastAsia="x-none"/>
        </w:rPr>
        <w:instrText xml:space="preserve"> \* MERGEFORMAT </w:instrText>
      </w:r>
      <w:r w:rsidR="00995B85" w:rsidRPr="00D562E2">
        <w:rPr>
          <w:rFonts w:cs="Arial"/>
          <w:szCs w:val="22"/>
          <w:lang w:eastAsia="x-none"/>
        </w:rPr>
      </w:r>
      <w:r w:rsidR="00995B85"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15</w:t>
      </w:r>
      <w:r w:rsidR="00995B85" w:rsidRPr="00D562E2">
        <w:rPr>
          <w:rFonts w:cs="Arial"/>
          <w:szCs w:val="22"/>
          <w:lang w:eastAsia="x-none"/>
        </w:rPr>
        <w:fldChar w:fldCharType="end"/>
      </w:r>
      <w:r w:rsidR="00995B85" w:rsidRPr="00D562E2">
        <w:rPr>
          <w:rFonts w:cs="Arial"/>
          <w:szCs w:val="22"/>
          <w:lang w:eastAsia="x-none"/>
        </w:rPr>
        <w:t>).</w:t>
      </w:r>
    </w:p>
    <w:p w14:paraId="37B9537A" w14:textId="6BFFF852" w:rsidR="00995B85" w:rsidRPr="00D562E2" w:rsidRDefault="00995B85" w:rsidP="00C36ADD">
      <w:pPr>
        <w:rPr>
          <w:rFonts w:cs="Arial"/>
          <w:i/>
          <w:vanish/>
          <w:szCs w:val="22"/>
          <w:specVanish/>
        </w:rPr>
      </w:pPr>
      <w:bookmarkStart w:id="553" w:name="_Ref473898487"/>
      <w:bookmarkStart w:id="554" w:name="_Toc37787067"/>
      <w:bookmarkStart w:id="555" w:name="_Toc47600689"/>
      <w:r w:rsidRPr="00D562E2">
        <w:rPr>
          <w:rFonts w:cs="Arial"/>
          <w:szCs w:val="22"/>
        </w:rPr>
        <w:t xml:space="preserve">Table </w:t>
      </w:r>
      <w:r w:rsidR="00C506C7" w:rsidRPr="00D562E2">
        <w:rPr>
          <w:rFonts w:cs="Arial"/>
          <w:noProof/>
          <w:szCs w:val="22"/>
        </w:rPr>
        <w:fldChar w:fldCharType="begin"/>
      </w:r>
      <w:r w:rsidR="00C506C7" w:rsidRPr="00D562E2">
        <w:rPr>
          <w:rFonts w:cs="Arial"/>
          <w:noProof/>
          <w:szCs w:val="22"/>
        </w:rPr>
        <w:instrText xml:space="preserve"> SEQ Table \* ARABIC </w:instrText>
      </w:r>
      <w:r w:rsidR="00C506C7" w:rsidRPr="00D562E2">
        <w:rPr>
          <w:rFonts w:cs="Arial"/>
          <w:noProof/>
          <w:szCs w:val="22"/>
        </w:rPr>
        <w:fldChar w:fldCharType="separate"/>
      </w:r>
      <w:r w:rsidR="0067675D">
        <w:rPr>
          <w:rFonts w:cs="Arial"/>
          <w:noProof/>
          <w:szCs w:val="22"/>
        </w:rPr>
        <w:t>15</w:t>
      </w:r>
      <w:r w:rsidR="00C506C7" w:rsidRPr="00D562E2">
        <w:rPr>
          <w:rFonts w:cs="Arial"/>
          <w:noProof/>
          <w:szCs w:val="22"/>
        </w:rPr>
        <w:fldChar w:fldCharType="end"/>
      </w:r>
      <w:bookmarkEnd w:id="553"/>
      <w:r w:rsidRPr="00D562E2">
        <w:rPr>
          <w:rFonts w:cs="Arial"/>
          <w:szCs w:val="22"/>
        </w:rPr>
        <w:t xml:space="preserve">. </w:t>
      </w:r>
      <w:r w:rsidRPr="00D562E2">
        <w:rPr>
          <w:rFonts w:cs="Arial"/>
          <w:i/>
          <w:szCs w:val="22"/>
        </w:rPr>
        <w:t>List of data sources of seagrass and environmental condition indicators for each seagrass habitat type in the Fitzroy NRM region.</w:t>
      </w:r>
      <w:bookmarkEnd w:id="554"/>
      <w:bookmarkEnd w:id="555"/>
    </w:p>
    <w:p w14:paraId="343B3C0B" w14:textId="59772361" w:rsidR="00995B85" w:rsidRPr="00D562E2" w:rsidRDefault="00995B85" w:rsidP="00C36ADD">
      <w:pPr>
        <w:rPr>
          <w:rFonts w:cs="Arial"/>
          <w:i/>
          <w:color w:val="000000"/>
          <w:szCs w:val="22"/>
        </w:rPr>
      </w:pPr>
      <w:r w:rsidRPr="00D562E2">
        <w:rPr>
          <w:rFonts w:cs="Arial"/>
          <w:i/>
          <w:szCs w:val="22"/>
        </w:rPr>
        <w:t xml:space="preserve">  For site details see </w:t>
      </w:r>
      <w:r w:rsidRPr="00D562E2">
        <w:rPr>
          <w:rFonts w:cs="Arial"/>
          <w:i/>
          <w:szCs w:val="22"/>
        </w:rPr>
        <w:fldChar w:fldCharType="begin"/>
      </w:r>
      <w:r w:rsidRPr="00D562E2">
        <w:rPr>
          <w:rFonts w:cs="Arial"/>
          <w:i/>
          <w:szCs w:val="22"/>
        </w:rPr>
        <w:instrText xml:space="preserve"> REF _Ref236539751 \h </w:instrText>
      </w:r>
      <w:r w:rsidR="00580DDA" w:rsidRPr="00D562E2">
        <w:rPr>
          <w:rFonts w:cs="Arial"/>
          <w:i/>
          <w:szCs w:val="22"/>
        </w:rPr>
        <w:instrText xml:space="preserve"> \* MERGEFORMAT </w:instrText>
      </w:r>
      <w:r w:rsidRPr="00D562E2">
        <w:rPr>
          <w:rFonts w:cs="Arial"/>
          <w:i/>
          <w:szCs w:val="22"/>
        </w:rPr>
      </w:r>
      <w:r w:rsidRPr="00D562E2">
        <w:rPr>
          <w:rFonts w:cs="Arial"/>
          <w:i/>
          <w:szCs w:val="22"/>
        </w:rPr>
        <w:fldChar w:fldCharType="separate"/>
      </w:r>
      <w:r w:rsidR="0067675D" w:rsidRPr="00D051A4">
        <w:rPr>
          <w:rFonts w:cs="Arial"/>
          <w:color w:val="000000"/>
          <w:szCs w:val="22"/>
        </w:rPr>
        <w:t xml:space="preserve">Table </w:t>
      </w:r>
      <w:r w:rsidR="0067675D">
        <w:rPr>
          <w:rFonts w:cs="Arial"/>
          <w:noProof/>
          <w:color w:val="000000"/>
          <w:szCs w:val="22"/>
        </w:rPr>
        <w:t>2</w:t>
      </w:r>
      <w:r w:rsidRPr="00D562E2">
        <w:rPr>
          <w:rFonts w:cs="Arial"/>
          <w:i/>
          <w:szCs w:val="22"/>
        </w:rPr>
        <w:fldChar w:fldCharType="end"/>
      </w:r>
      <w:r w:rsidRPr="00D562E2">
        <w:rPr>
          <w:rFonts w:cs="Arial"/>
          <w:i/>
          <w:szCs w:val="22"/>
        </w:rPr>
        <w:t xml:space="preserve"> and </w:t>
      </w:r>
      <w:r w:rsidRPr="00D562E2">
        <w:rPr>
          <w:rFonts w:cs="Arial"/>
          <w:i/>
          <w:szCs w:val="22"/>
        </w:rPr>
        <w:fldChar w:fldCharType="begin"/>
      </w:r>
      <w:r w:rsidRPr="00D562E2">
        <w:rPr>
          <w:rFonts w:cs="Arial"/>
          <w:i/>
          <w:szCs w:val="22"/>
        </w:rPr>
        <w:instrText xml:space="preserve"> REF _Ref461186562 \h </w:instrText>
      </w:r>
      <w:r w:rsidR="00580DDA" w:rsidRPr="00D562E2">
        <w:rPr>
          <w:rFonts w:cs="Arial"/>
          <w:i/>
          <w:szCs w:val="22"/>
        </w:rPr>
        <w:instrText xml:space="preserve"> \* MERGEFORMAT </w:instrText>
      </w:r>
      <w:r w:rsidRPr="00D562E2">
        <w:rPr>
          <w:rFonts w:cs="Arial"/>
          <w:i/>
          <w:szCs w:val="22"/>
        </w:rPr>
      </w:r>
      <w:r w:rsidRPr="00D562E2">
        <w:rPr>
          <w:rFonts w:cs="Arial"/>
          <w:i/>
          <w:szCs w:val="22"/>
        </w:rPr>
        <w:fldChar w:fldCharType="separate"/>
      </w:r>
      <w:r w:rsidR="0067675D" w:rsidRPr="00CB093C">
        <w:rPr>
          <w:rFonts w:cs="Arial"/>
          <w:color w:val="000000"/>
          <w:szCs w:val="22"/>
        </w:rPr>
        <w:t xml:space="preserve">Table </w:t>
      </w:r>
      <w:r w:rsidR="0067675D">
        <w:rPr>
          <w:rFonts w:cs="Arial"/>
          <w:noProof/>
          <w:color w:val="000000"/>
          <w:szCs w:val="22"/>
        </w:rPr>
        <w:t>3</w:t>
      </w:r>
      <w:r w:rsidRPr="00D562E2">
        <w:rPr>
          <w:rFonts w:cs="Arial"/>
          <w:i/>
          <w:szCs w:val="22"/>
        </w:rPr>
        <w:fldChar w:fldCharType="end"/>
      </w:r>
      <w:r w:rsidRPr="00D562E2">
        <w:rPr>
          <w:rFonts w:cs="Arial"/>
          <w:i/>
          <w:szCs w:val="22"/>
        </w:rPr>
        <w:t>.</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4"/>
        <w:gridCol w:w="674"/>
        <w:gridCol w:w="2804"/>
        <w:gridCol w:w="467"/>
        <w:gridCol w:w="467"/>
        <w:gridCol w:w="467"/>
        <w:gridCol w:w="467"/>
        <w:gridCol w:w="467"/>
        <w:gridCol w:w="467"/>
        <w:gridCol w:w="467"/>
        <w:gridCol w:w="467"/>
        <w:gridCol w:w="467"/>
      </w:tblGrid>
      <w:tr w:rsidR="00995B85" w:rsidRPr="00DB1ACE" w14:paraId="6023584D" w14:textId="77777777" w:rsidTr="00D562E2">
        <w:trPr>
          <w:cantSplit/>
          <w:trHeight w:val="1928"/>
          <w:jc w:val="center"/>
        </w:trPr>
        <w:tc>
          <w:tcPr>
            <w:tcW w:w="1714" w:type="dxa"/>
            <w:shd w:val="clear" w:color="auto" w:fill="BBE0E3"/>
            <w:vAlign w:val="center"/>
          </w:tcPr>
          <w:p w14:paraId="5F7B314F" w14:textId="77777777" w:rsidR="00995B85" w:rsidRPr="00DB1ACE" w:rsidRDefault="00995B85" w:rsidP="00A3427D">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Habitat</w:t>
            </w:r>
          </w:p>
        </w:tc>
        <w:tc>
          <w:tcPr>
            <w:tcW w:w="3478" w:type="dxa"/>
            <w:gridSpan w:val="2"/>
            <w:shd w:val="clear" w:color="auto" w:fill="BBE0E3"/>
            <w:noWrap/>
            <w:vAlign w:val="center"/>
          </w:tcPr>
          <w:p w14:paraId="141F9033" w14:textId="77777777" w:rsidR="00995B85" w:rsidRPr="00DB1ACE" w:rsidRDefault="00995B85" w:rsidP="00A3427D">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Site</w:t>
            </w:r>
          </w:p>
        </w:tc>
        <w:tc>
          <w:tcPr>
            <w:tcW w:w="467" w:type="dxa"/>
            <w:shd w:val="clear" w:color="auto" w:fill="BBE0E3"/>
            <w:textDirection w:val="btLr"/>
            <w:vAlign w:val="center"/>
          </w:tcPr>
          <w:p w14:paraId="19EBA89B" w14:textId="77777777" w:rsidR="00995B85" w:rsidRPr="00DB1ACE" w:rsidRDefault="00995B85" w:rsidP="00A3427D">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abundance</w:t>
            </w:r>
          </w:p>
        </w:tc>
        <w:tc>
          <w:tcPr>
            <w:tcW w:w="467" w:type="dxa"/>
            <w:shd w:val="clear" w:color="auto" w:fill="BBE0E3"/>
            <w:textDirection w:val="btLr"/>
            <w:vAlign w:val="center"/>
          </w:tcPr>
          <w:p w14:paraId="00AFFF01" w14:textId="77777777" w:rsidR="00995B85" w:rsidRPr="00DB1ACE" w:rsidRDefault="00995B85" w:rsidP="00A3427D">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 xml:space="preserve">composition </w:t>
            </w:r>
          </w:p>
        </w:tc>
        <w:tc>
          <w:tcPr>
            <w:tcW w:w="467" w:type="dxa"/>
            <w:shd w:val="clear" w:color="auto" w:fill="BBE0E3"/>
            <w:textDirection w:val="btLr"/>
            <w:vAlign w:val="center"/>
          </w:tcPr>
          <w:p w14:paraId="7AD681C8" w14:textId="77777777" w:rsidR="00995B85" w:rsidRPr="00DB1ACE" w:rsidRDefault="00995B85" w:rsidP="00A3427D">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distribution</w:t>
            </w:r>
          </w:p>
        </w:tc>
        <w:tc>
          <w:tcPr>
            <w:tcW w:w="467" w:type="dxa"/>
            <w:shd w:val="clear" w:color="auto" w:fill="BBE0E3"/>
            <w:textDirection w:val="btLr"/>
            <w:vAlign w:val="center"/>
          </w:tcPr>
          <w:p w14:paraId="123DCD3F" w14:textId="60A1ED45" w:rsidR="00995B85" w:rsidRPr="00DB1ACE" w:rsidRDefault="00D562E2" w:rsidP="00A3427D">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r</w:t>
            </w:r>
            <w:r w:rsidR="00995B85" w:rsidRPr="00DB1ACE">
              <w:rPr>
                <w:rFonts w:asciiTheme="minorHAnsi" w:hAnsiTheme="minorHAnsi" w:cstheme="minorHAnsi"/>
                <w:b/>
                <w:bCs/>
                <w:color w:val="000000"/>
                <w:sz w:val="20"/>
                <w:szCs w:val="20"/>
              </w:rPr>
              <w:t>eproductive effort</w:t>
            </w:r>
          </w:p>
        </w:tc>
        <w:tc>
          <w:tcPr>
            <w:tcW w:w="467" w:type="dxa"/>
            <w:shd w:val="clear" w:color="auto" w:fill="BBE0E3"/>
            <w:textDirection w:val="btLr"/>
            <w:vAlign w:val="center"/>
          </w:tcPr>
          <w:p w14:paraId="67F7A501" w14:textId="77777777" w:rsidR="00995B85" w:rsidRPr="00DB1ACE" w:rsidRDefault="00995B85" w:rsidP="00A3427D">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seed banks</w:t>
            </w:r>
          </w:p>
        </w:tc>
        <w:tc>
          <w:tcPr>
            <w:tcW w:w="467" w:type="dxa"/>
            <w:shd w:val="clear" w:color="auto" w:fill="BBE0E3"/>
            <w:textDirection w:val="btLr"/>
            <w:vAlign w:val="center"/>
          </w:tcPr>
          <w:p w14:paraId="2281FD45" w14:textId="4AEECD69" w:rsidR="00995B85" w:rsidRPr="00DB1ACE" w:rsidRDefault="00D562E2" w:rsidP="00A3427D">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l</w:t>
            </w:r>
            <w:r w:rsidR="00995B85" w:rsidRPr="00DB1ACE">
              <w:rPr>
                <w:rFonts w:asciiTheme="minorHAnsi" w:hAnsiTheme="minorHAnsi" w:cstheme="minorHAnsi"/>
                <w:b/>
                <w:bCs/>
                <w:color w:val="000000"/>
                <w:sz w:val="20"/>
                <w:szCs w:val="20"/>
              </w:rPr>
              <w:t>eaf tissue nutrients</w:t>
            </w:r>
          </w:p>
        </w:tc>
        <w:tc>
          <w:tcPr>
            <w:tcW w:w="467" w:type="dxa"/>
            <w:shd w:val="clear" w:color="auto" w:fill="BBE0E3"/>
            <w:textDirection w:val="btLr"/>
            <w:vAlign w:val="center"/>
          </w:tcPr>
          <w:p w14:paraId="6FDDF4BD" w14:textId="1CFBD839" w:rsidR="00995B85" w:rsidRPr="00DB1ACE" w:rsidRDefault="00D562E2" w:rsidP="00A3427D">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995B85" w:rsidRPr="00DB1ACE">
              <w:rPr>
                <w:rFonts w:asciiTheme="minorHAnsi" w:hAnsiTheme="minorHAnsi" w:cstheme="minorHAnsi"/>
                <w:b/>
                <w:bCs/>
                <w:color w:val="000000"/>
                <w:sz w:val="20"/>
                <w:szCs w:val="20"/>
              </w:rPr>
              <w:t>eadow sediments</w:t>
            </w:r>
          </w:p>
        </w:tc>
        <w:tc>
          <w:tcPr>
            <w:tcW w:w="467" w:type="dxa"/>
            <w:shd w:val="clear" w:color="auto" w:fill="BBE0E3"/>
            <w:textDirection w:val="btLr"/>
            <w:vAlign w:val="center"/>
          </w:tcPr>
          <w:p w14:paraId="3102EB1A" w14:textId="726FA3F8" w:rsidR="00995B85" w:rsidRPr="00DB1ACE" w:rsidRDefault="00D562E2" w:rsidP="00A3427D">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e</w:t>
            </w:r>
            <w:r w:rsidR="00995B85" w:rsidRPr="00DB1ACE">
              <w:rPr>
                <w:rFonts w:asciiTheme="minorHAnsi" w:hAnsiTheme="minorHAnsi" w:cstheme="minorHAnsi"/>
                <w:b/>
                <w:bCs/>
                <w:color w:val="000000"/>
                <w:sz w:val="20"/>
                <w:szCs w:val="20"/>
              </w:rPr>
              <w:t>piphytes</w:t>
            </w:r>
          </w:p>
        </w:tc>
        <w:tc>
          <w:tcPr>
            <w:tcW w:w="467" w:type="dxa"/>
            <w:shd w:val="clear" w:color="auto" w:fill="BBE0E3"/>
            <w:textDirection w:val="btLr"/>
          </w:tcPr>
          <w:p w14:paraId="58020269" w14:textId="25C7BD5A" w:rsidR="00995B85" w:rsidRPr="00DB1ACE" w:rsidRDefault="00D562E2" w:rsidP="00A3427D">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995B85" w:rsidRPr="00DB1ACE">
              <w:rPr>
                <w:rFonts w:asciiTheme="minorHAnsi" w:hAnsiTheme="minorHAnsi" w:cstheme="minorHAnsi"/>
                <w:b/>
                <w:bCs/>
                <w:color w:val="000000"/>
                <w:sz w:val="20"/>
                <w:szCs w:val="20"/>
              </w:rPr>
              <w:t>acroalgae</w:t>
            </w:r>
          </w:p>
        </w:tc>
      </w:tr>
      <w:tr w:rsidR="00DB1ACE" w:rsidRPr="00DB1ACE" w14:paraId="6E05E2B0" w14:textId="77777777" w:rsidTr="00995B85">
        <w:trPr>
          <w:trHeight w:val="170"/>
          <w:jc w:val="center"/>
        </w:trPr>
        <w:tc>
          <w:tcPr>
            <w:tcW w:w="1714" w:type="dxa"/>
            <w:vMerge w:val="restart"/>
            <w:shd w:val="clear" w:color="auto" w:fill="E7F3F4"/>
            <w:vAlign w:val="center"/>
          </w:tcPr>
          <w:p w14:paraId="46FF59D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estuary intertidal</w:t>
            </w:r>
          </w:p>
        </w:tc>
        <w:tc>
          <w:tcPr>
            <w:tcW w:w="674" w:type="dxa"/>
            <w:shd w:val="clear" w:color="auto" w:fill="E7F3F4"/>
            <w:noWrap/>
            <w:vAlign w:val="center"/>
          </w:tcPr>
          <w:p w14:paraId="4D274F99"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GH1</w:t>
            </w:r>
          </w:p>
        </w:tc>
        <w:tc>
          <w:tcPr>
            <w:tcW w:w="2804" w:type="dxa"/>
            <w:shd w:val="clear" w:color="auto" w:fill="E7F3F4"/>
            <w:noWrap/>
            <w:vAlign w:val="center"/>
          </w:tcPr>
          <w:p w14:paraId="78257207" w14:textId="6D5C5DF2" w:rsidR="00DB1ACE" w:rsidRPr="00DB1ACE" w:rsidRDefault="00544845" w:rsidP="00A3427D">
            <w:pPr>
              <w:spacing w:before="0"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Gladstone Harbour</w:t>
            </w:r>
          </w:p>
        </w:tc>
        <w:tc>
          <w:tcPr>
            <w:tcW w:w="467" w:type="dxa"/>
            <w:shd w:val="clear" w:color="auto" w:fill="E7F3F4"/>
            <w:vAlign w:val="center"/>
          </w:tcPr>
          <w:p w14:paraId="4F946164"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0A69141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C33A8B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4DD4F5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938F5F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9403A1A"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001D494"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145298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555F788"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DB1ACE" w:rsidRPr="00DB1ACE" w14:paraId="7BD7D1FB" w14:textId="77777777" w:rsidTr="00995B85">
        <w:trPr>
          <w:trHeight w:val="170"/>
          <w:jc w:val="center"/>
        </w:trPr>
        <w:tc>
          <w:tcPr>
            <w:tcW w:w="1714" w:type="dxa"/>
            <w:vMerge/>
            <w:shd w:val="clear" w:color="auto" w:fill="E7F3F4"/>
            <w:vAlign w:val="center"/>
          </w:tcPr>
          <w:p w14:paraId="72D6624F" w14:textId="77777777" w:rsidR="00DB1ACE" w:rsidRPr="00DB1ACE" w:rsidRDefault="00DB1ACE" w:rsidP="00A3427D">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258671F4"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GH2</w:t>
            </w:r>
          </w:p>
        </w:tc>
        <w:tc>
          <w:tcPr>
            <w:tcW w:w="2804" w:type="dxa"/>
            <w:shd w:val="clear" w:color="auto" w:fill="E7F3F4"/>
            <w:noWrap/>
            <w:vAlign w:val="center"/>
          </w:tcPr>
          <w:p w14:paraId="31CE5DDB" w14:textId="666D683D" w:rsidR="00DB1ACE" w:rsidRPr="00DB1ACE" w:rsidRDefault="00544845" w:rsidP="00A3427D">
            <w:pPr>
              <w:spacing w:before="0" w:after="0"/>
              <w:jc w:val="center"/>
              <w:rPr>
                <w:rFonts w:asciiTheme="minorHAnsi" w:hAnsiTheme="minorHAnsi" w:cstheme="minorHAnsi"/>
                <w:i/>
                <w:color w:val="000000"/>
                <w:sz w:val="20"/>
                <w:szCs w:val="20"/>
              </w:rPr>
            </w:pPr>
            <w:r>
              <w:rPr>
                <w:rFonts w:asciiTheme="minorHAnsi" w:hAnsiTheme="minorHAnsi" w:cstheme="minorHAnsi"/>
                <w:color w:val="000000"/>
                <w:sz w:val="20"/>
                <w:szCs w:val="20"/>
              </w:rPr>
              <w:t>Gladstone Harbour</w:t>
            </w:r>
          </w:p>
        </w:tc>
        <w:tc>
          <w:tcPr>
            <w:tcW w:w="467" w:type="dxa"/>
            <w:shd w:val="clear" w:color="auto" w:fill="E7F3F4"/>
            <w:vAlign w:val="center"/>
          </w:tcPr>
          <w:p w14:paraId="54F36795"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8D9B4D8"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2FB83A7"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5F69EEC"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13B83F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341CE4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E9455AF"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BA8023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769406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DB1ACE" w:rsidRPr="00DB1ACE" w14:paraId="23CAB9F3" w14:textId="77777777" w:rsidTr="00995B85">
        <w:trPr>
          <w:trHeight w:val="170"/>
          <w:jc w:val="center"/>
        </w:trPr>
        <w:tc>
          <w:tcPr>
            <w:tcW w:w="1714" w:type="dxa"/>
            <w:vMerge w:val="restart"/>
            <w:shd w:val="clear" w:color="auto" w:fill="F3F9FA"/>
            <w:vAlign w:val="center"/>
          </w:tcPr>
          <w:p w14:paraId="219F76FB"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coastal subtidal</w:t>
            </w:r>
          </w:p>
        </w:tc>
        <w:tc>
          <w:tcPr>
            <w:tcW w:w="674" w:type="dxa"/>
            <w:shd w:val="clear" w:color="auto" w:fill="F3F9FA"/>
            <w:noWrap/>
            <w:vAlign w:val="center"/>
          </w:tcPr>
          <w:p w14:paraId="7DA44B2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RC1</w:t>
            </w:r>
          </w:p>
        </w:tc>
        <w:tc>
          <w:tcPr>
            <w:tcW w:w="2804" w:type="dxa"/>
            <w:shd w:val="clear" w:color="auto" w:fill="F3F9FA"/>
            <w:noWrap/>
            <w:vAlign w:val="center"/>
          </w:tcPr>
          <w:p w14:paraId="22E329E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Ross Creek (Shoalwater Bay)</w:t>
            </w:r>
          </w:p>
        </w:tc>
        <w:tc>
          <w:tcPr>
            <w:tcW w:w="467" w:type="dxa"/>
            <w:shd w:val="clear" w:color="auto" w:fill="F3F9FA"/>
            <w:vAlign w:val="center"/>
          </w:tcPr>
          <w:p w14:paraId="7FCC232A"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56DF9B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7710E9D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EE6F40E"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D2DA41C"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AFDBD0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348D2B7"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0BC879EB"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24F9F22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DB1ACE" w:rsidRPr="00DB1ACE" w14:paraId="685ED151" w14:textId="77777777" w:rsidTr="00227F64">
        <w:trPr>
          <w:trHeight w:val="170"/>
          <w:jc w:val="center"/>
        </w:trPr>
        <w:tc>
          <w:tcPr>
            <w:tcW w:w="1714" w:type="dxa"/>
            <w:vMerge/>
            <w:tcBorders>
              <w:bottom w:val="single" w:sz="4" w:space="0" w:color="auto"/>
            </w:tcBorders>
            <w:shd w:val="clear" w:color="auto" w:fill="F3F9FA"/>
            <w:vAlign w:val="center"/>
          </w:tcPr>
          <w:p w14:paraId="334C7093" w14:textId="77777777" w:rsidR="00DB1ACE" w:rsidRPr="00DB1ACE" w:rsidRDefault="00DB1ACE" w:rsidP="00A3427D">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1687945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WH1</w:t>
            </w:r>
          </w:p>
        </w:tc>
        <w:tc>
          <w:tcPr>
            <w:tcW w:w="2804" w:type="dxa"/>
            <w:shd w:val="clear" w:color="auto" w:fill="F3F9FA"/>
            <w:noWrap/>
            <w:vAlign w:val="center"/>
          </w:tcPr>
          <w:p w14:paraId="6A51A3E4"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Wheelans Hut (Shoalwater Bay)</w:t>
            </w:r>
          </w:p>
        </w:tc>
        <w:tc>
          <w:tcPr>
            <w:tcW w:w="467" w:type="dxa"/>
            <w:shd w:val="clear" w:color="auto" w:fill="F3F9FA"/>
            <w:vAlign w:val="center"/>
          </w:tcPr>
          <w:p w14:paraId="5909521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59E5A2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36F4527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560BAA9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89B5DA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B63EB57"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3483A2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64EACF7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F3F9FA"/>
            <w:vAlign w:val="center"/>
          </w:tcPr>
          <w:p w14:paraId="1F24F885"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DB1ACE" w:rsidRPr="00DB1ACE" w14:paraId="355914AD" w14:textId="77777777" w:rsidTr="00227F64">
        <w:trPr>
          <w:trHeight w:val="170"/>
          <w:jc w:val="center"/>
        </w:trPr>
        <w:tc>
          <w:tcPr>
            <w:tcW w:w="1714" w:type="dxa"/>
            <w:vMerge w:val="restart"/>
            <w:tcBorders>
              <w:bottom w:val="single" w:sz="4" w:space="0" w:color="auto"/>
            </w:tcBorders>
            <w:shd w:val="clear" w:color="auto" w:fill="E7F3F4"/>
            <w:vAlign w:val="center"/>
          </w:tcPr>
          <w:p w14:paraId="189109D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reef intertidal</w:t>
            </w:r>
          </w:p>
        </w:tc>
        <w:tc>
          <w:tcPr>
            <w:tcW w:w="674" w:type="dxa"/>
            <w:shd w:val="clear" w:color="auto" w:fill="E7F3F4"/>
            <w:noWrap/>
            <w:vAlign w:val="center"/>
          </w:tcPr>
          <w:p w14:paraId="0F322DEF"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GK1</w:t>
            </w:r>
          </w:p>
        </w:tc>
        <w:tc>
          <w:tcPr>
            <w:tcW w:w="2804" w:type="dxa"/>
            <w:shd w:val="clear" w:color="auto" w:fill="E7F3F4"/>
            <w:noWrap/>
            <w:vAlign w:val="bottom"/>
          </w:tcPr>
          <w:p w14:paraId="1318D43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Great Keppel Is.</w:t>
            </w:r>
          </w:p>
        </w:tc>
        <w:tc>
          <w:tcPr>
            <w:tcW w:w="467" w:type="dxa"/>
            <w:shd w:val="clear" w:color="auto" w:fill="E7F3F4"/>
            <w:vAlign w:val="center"/>
          </w:tcPr>
          <w:p w14:paraId="3A92D44B"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DE71A9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5F2CD92"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EC529EA"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0CE5C19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6541621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85C5C08"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A434C50"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72D375BF"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DB1ACE" w:rsidRPr="00DB1ACE" w14:paraId="61950E9A" w14:textId="77777777" w:rsidTr="00227F64">
        <w:trPr>
          <w:trHeight w:val="170"/>
          <w:jc w:val="center"/>
        </w:trPr>
        <w:tc>
          <w:tcPr>
            <w:tcW w:w="1714" w:type="dxa"/>
            <w:vMerge/>
            <w:tcBorders>
              <w:bottom w:val="single" w:sz="4" w:space="0" w:color="auto"/>
            </w:tcBorders>
            <w:shd w:val="clear" w:color="auto" w:fill="E7F3F4"/>
            <w:vAlign w:val="center"/>
          </w:tcPr>
          <w:p w14:paraId="357B0717" w14:textId="77777777" w:rsidR="00DB1ACE" w:rsidRPr="00DB1ACE" w:rsidRDefault="00DB1ACE" w:rsidP="00A3427D">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4BCBD9D1"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GK2</w:t>
            </w:r>
          </w:p>
        </w:tc>
        <w:tc>
          <w:tcPr>
            <w:tcW w:w="2804" w:type="dxa"/>
            <w:shd w:val="clear" w:color="auto" w:fill="E7F3F4"/>
            <w:noWrap/>
            <w:vAlign w:val="center"/>
          </w:tcPr>
          <w:p w14:paraId="6670064F"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Great Keppel Is.</w:t>
            </w:r>
          </w:p>
        </w:tc>
        <w:tc>
          <w:tcPr>
            <w:tcW w:w="467" w:type="dxa"/>
            <w:shd w:val="clear" w:color="auto" w:fill="E7F3F4"/>
            <w:vAlign w:val="center"/>
          </w:tcPr>
          <w:p w14:paraId="72AEE74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3AEC76AD"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C918E8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714EBE5"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18AA5B6E"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A823704"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50858D29"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2E854FA3"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67" w:type="dxa"/>
            <w:shd w:val="clear" w:color="auto" w:fill="E7F3F4"/>
            <w:vAlign w:val="center"/>
          </w:tcPr>
          <w:p w14:paraId="4B4CEFB7" w14:textId="77777777" w:rsidR="00DB1ACE" w:rsidRPr="00DB1ACE" w:rsidRDefault="00DB1ACE" w:rsidP="00A3427D">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bookmarkEnd w:id="548"/>
    </w:tbl>
    <w:p w14:paraId="14A9E923" w14:textId="77777777" w:rsidR="001063D8" w:rsidRPr="00D562E2" w:rsidRDefault="001063D8" w:rsidP="00447BD8">
      <w:pPr>
        <w:rPr>
          <w:rFonts w:cs="Arial"/>
          <w:color w:val="000000" w:themeColor="text1"/>
          <w:szCs w:val="22"/>
        </w:rPr>
      </w:pPr>
    </w:p>
    <w:p w14:paraId="3A8150B7" w14:textId="546954AC" w:rsidR="00A23A41" w:rsidRPr="00D562E2" w:rsidRDefault="00A23A41" w:rsidP="00785606">
      <w:pPr>
        <w:pStyle w:val="Heading4"/>
      </w:pPr>
      <w:bookmarkStart w:id="556" w:name="_Toc37775106"/>
      <w:bookmarkStart w:id="557" w:name="_Toc43987081"/>
      <w:r w:rsidRPr="00D562E2">
        <w:t>Seagrass index and indicator scores</w:t>
      </w:r>
      <w:bookmarkEnd w:id="556"/>
      <w:bookmarkEnd w:id="557"/>
    </w:p>
    <w:p w14:paraId="20611635" w14:textId="1C952F96" w:rsidR="00B6321C" w:rsidRPr="00D562E2" w:rsidRDefault="00A23A41" w:rsidP="00306693">
      <w:pPr>
        <w:rPr>
          <w:rFonts w:cs="Arial"/>
          <w:szCs w:val="22"/>
          <w:lang w:val="en-GB"/>
        </w:rPr>
      </w:pPr>
      <w:r w:rsidRPr="00D562E2">
        <w:rPr>
          <w:rFonts w:cs="Arial"/>
          <w:szCs w:val="22"/>
          <w:lang w:val="en-GB"/>
        </w:rPr>
        <w:t>In the 201</w:t>
      </w:r>
      <w:r w:rsidR="00306693" w:rsidRPr="00D562E2">
        <w:rPr>
          <w:rFonts w:cs="Arial"/>
          <w:szCs w:val="22"/>
          <w:lang w:val="en-GB"/>
        </w:rPr>
        <w:t>8–</w:t>
      </w:r>
      <w:r w:rsidR="001927E1" w:rsidRPr="00D562E2">
        <w:rPr>
          <w:rFonts w:cs="Arial"/>
          <w:szCs w:val="22"/>
          <w:lang w:val="en-GB"/>
        </w:rPr>
        <w:t>1</w:t>
      </w:r>
      <w:r w:rsidR="00306693" w:rsidRPr="00D562E2">
        <w:rPr>
          <w:rFonts w:cs="Arial"/>
          <w:szCs w:val="22"/>
          <w:lang w:val="en-GB"/>
        </w:rPr>
        <w:t>9</w:t>
      </w:r>
      <w:r w:rsidRPr="00D562E2">
        <w:rPr>
          <w:rFonts w:cs="Arial"/>
          <w:szCs w:val="22"/>
          <w:lang w:val="en-GB"/>
        </w:rPr>
        <w:t xml:space="preserve"> monitori</w:t>
      </w:r>
      <w:r w:rsidR="001927E1" w:rsidRPr="00D562E2">
        <w:rPr>
          <w:rFonts w:cs="Arial"/>
          <w:szCs w:val="22"/>
          <w:lang w:val="en-GB"/>
        </w:rPr>
        <w:t xml:space="preserve">ng period, the seagrass condition index </w:t>
      </w:r>
      <w:r w:rsidRPr="00D562E2">
        <w:rPr>
          <w:rFonts w:cs="Arial"/>
          <w:szCs w:val="22"/>
          <w:lang w:val="en-GB"/>
        </w:rPr>
        <w:t xml:space="preserve">remained </w:t>
      </w:r>
      <w:r w:rsidR="00306693" w:rsidRPr="00D562E2">
        <w:rPr>
          <w:rFonts w:cs="Arial"/>
          <w:szCs w:val="22"/>
          <w:lang w:val="en-GB"/>
        </w:rPr>
        <w:t xml:space="preserve">relatively stable and was </w:t>
      </w:r>
      <w:r w:rsidR="00334D79" w:rsidRPr="00D562E2">
        <w:rPr>
          <w:rFonts w:cs="Arial"/>
          <w:szCs w:val="22"/>
          <w:lang w:val="en-GB"/>
        </w:rPr>
        <w:t xml:space="preserve">graded as </w:t>
      </w:r>
      <w:r w:rsidRPr="00D562E2">
        <w:rPr>
          <w:rFonts w:cs="Arial"/>
          <w:b/>
          <w:szCs w:val="22"/>
          <w:lang w:val="en-GB"/>
        </w:rPr>
        <w:t>poor</w:t>
      </w:r>
      <w:r w:rsidR="002D3041" w:rsidRPr="00D562E2">
        <w:rPr>
          <w:rFonts w:cs="Arial"/>
          <w:szCs w:val="22"/>
          <w:lang w:val="en-GB"/>
        </w:rPr>
        <w:t xml:space="preserve"> (</w:t>
      </w:r>
      <w:r w:rsidR="002D3041" w:rsidRPr="00D562E2">
        <w:rPr>
          <w:rFonts w:cs="Arial"/>
          <w:szCs w:val="22"/>
          <w:lang w:val="en-GB"/>
        </w:rPr>
        <w:fldChar w:fldCharType="begin"/>
      </w:r>
      <w:r w:rsidR="002D3041" w:rsidRPr="00D562E2">
        <w:rPr>
          <w:rFonts w:cs="Arial"/>
          <w:szCs w:val="22"/>
          <w:lang w:val="en-GB"/>
        </w:rPr>
        <w:instrText xml:space="preserve"> REF _Ref533852573 \h </w:instrText>
      </w:r>
      <w:r w:rsidR="00CB093C" w:rsidRPr="00D562E2">
        <w:rPr>
          <w:rFonts w:cs="Arial"/>
          <w:szCs w:val="22"/>
          <w:lang w:val="en-GB"/>
        </w:rPr>
        <w:instrText xml:space="preserve"> \* MERGEFORMAT </w:instrText>
      </w:r>
      <w:r w:rsidR="002D3041" w:rsidRPr="00D562E2">
        <w:rPr>
          <w:rFonts w:cs="Arial"/>
          <w:szCs w:val="22"/>
          <w:lang w:val="en-GB"/>
        </w:rPr>
      </w:r>
      <w:r w:rsidR="002D3041"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72</w:t>
      </w:r>
      <w:r w:rsidR="002D3041" w:rsidRPr="00D562E2">
        <w:rPr>
          <w:rFonts w:cs="Arial"/>
          <w:szCs w:val="22"/>
          <w:lang w:val="en-GB"/>
        </w:rPr>
        <w:fldChar w:fldCharType="end"/>
      </w:r>
      <w:r w:rsidR="002D3041" w:rsidRPr="00D562E2">
        <w:rPr>
          <w:rFonts w:cs="Arial"/>
          <w:szCs w:val="22"/>
          <w:lang w:val="en-GB"/>
        </w:rPr>
        <w:t>)</w:t>
      </w:r>
      <w:r w:rsidRPr="00D562E2">
        <w:rPr>
          <w:rFonts w:cs="Arial"/>
          <w:szCs w:val="22"/>
          <w:lang w:val="en-GB"/>
        </w:rPr>
        <w:t xml:space="preserve">. </w:t>
      </w:r>
    </w:p>
    <w:p w14:paraId="0FE82D0E" w14:textId="75BD1D2E" w:rsidR="00B6321C" w:rsidRPr="00D562E2" w:rsidRDefault="007D727C" w:rsidP="00BB0047">
      <w:pPr>
        <w:rPr>
          <w:rFonts w:cs="Arial"/>
          <w:szCs w:val="22"/>
          <w:lang w:val="en-GB"/>
        </w:rPr>
      </w:pPr>
      <w:r w:rsidRPr="00D562E2">
        <w:rPr>
          <w:rFonts w:cs="Arial"/>
          <w:szCs w:val="22"/>
          <w:lang w:val="en-GB"/>
        </w:rPr>
        <w:lastRenderedPageBreak/>
        <w:t>T</w:t>
      </w:r>
      <w:r w:rsidR="00A23A41" w:rsidRPr="00D562E2">
        <w:rPr>
          <w:rFonts w:cs="Arial"/>
          <w:szCs w:val="22"/>
          <w:lang w:val="en-GB"/>
        </w:rPr>
        <w:t>he abundance score</w:t>
      </w:r>
      <w:r w:rsidRPr="00D562E2">
        <w:rPr>
          <w:rFonts w:cs="Arial"/>
          <w:szCs w:val="22"/>
          <w:lang w:val="en-GB"/>
        </w:rPr>
        <w:t xml:space="preserve"> </w:t>
      </w:r>
      <w:r w:rsidR="00FA45A0">
        <w:rPr>
          <w:rFonts w:cs="Arial"/>
          <w:szCs w:val="22"/>
          <w:lang w:val="en-GB"/>
        </w:rPr>
        <w:t>declined marginally</w:t>
      </w:r>
      <w:r w:rsidR="00334D79" w:rsidRPr="00D562E2">
        <w:rPr>
          <w:rFonts w:cs="Arial"/>
          <w:szCs w:val="22"/>
          <w:lang w:val="en-GB"/>
        </w:rPr>
        <w:t xml:space="preserve">, </w:t>
      </w:r>
      <w:r w:rsidR="00FA45A0">
        <w:rPr>
          <w:rFonts w:cs="Arial"/>
          <w:szCs w:val="22"/>
          <w:lang w:val="en-GB"/>
        </w:rPr>
        <w:t>which</w:t>
      </w:r>
      <w:r w:rsidR="00334D79" w:rsidRPr="00D562E2">
        <w:rPr>
          <w:rFonts w:cs="Arial"/>
          <w:szCs w:val="22"/>
          <w:lang w:val="en-GB"/>
        </w:rPr>
        <w:t xml:space="preserve"> was offset by a </w:t>
      </w:r>
      <w:r w:rsidR="00FA45A0">
        <w:rPr>
          <w:rFonts w:cs="Arial"/>
          <w:szCs w:val="22"/>
          <w:lang w:val="en-GB"/>
        </w:rPr>
        <w:t>marginal improvement</w:t>
      </w:r>
      <w:r w:rsidR="00334D79" w:rsidRPr="00D562E2">
        <w:rPr>
          <w:rFonts w:cs="Arial"/>
          <w:szCs w:val="22"/>
          <w:lang w:val="en-GB"/>
        </w:rPr>
        <w:t xml:space="preserve"> in </w:t>
      </w:r>
      <w:r w:rsidR="002D3041" w:rsidRPr="00D562E2">
        <w:rPr>
          <w:rFonts w:cs="Arial"/>
          <w:szCs w:val="22"/>
          <w:lang w:val="en-GB"/>
        </w:rPr>
        <w:t xml:space="preserve">the </w:t>
      </w:r>
      <w:r w:rsidR="00A23A41" w:rsidRPr="00D562E2">
        <w:rPr>
          <w:rFonts w:cs="Arial"/>
          <w:szCs w:val="22"/>
          <w:lang w:val="en-GB"/>
        </w:rPr>
        <w:t>tissue nutrients score</w:t>
      </w:r>
      <w:r w:rsidR="002D3041" w:rsidRPr="00D562E2">
        <w:rPr>
          <w:rFonts w:cs="Arial"/>
          <w:szCs w:val="22"/>
          <w:lang w:val="en-GB"/>
        </w:rPr>
        <w:t xml:space="preserve"> and </w:t>
      </w:r>
      <w:r w:rsidR="00A23A41" w:rsidRPr="00D562E2">
        <w:rPr>
          <w:rFonts w:cs="Arial"/>
          <w:szCs w:val="22"/>
          <w:lang w:val="en-GB"/>
        </w:rPr>
        <w:t xml:space="preserve">the reproductive effort score </w:t>
      </w:r>
      <w:r w:rsidR="002D3041" w:rsidRPr="00D562E2">
        <w:rPr>
          <w:rFonts w:cs="Arial"/>
          <w:szCs w:val="22"/>
          <w:lang w:val="en-GB"/>
        </w:rPr>
        <w:t xml:space="preserve">remaining at </w:t>
      </w:r>
      <w:r w:rsidR="00A23A41" w:rsidRPr="00D562E2">
        <w:rPr>
          <w:rFonts w:cs="Arial"/>
          <w:szCs w:val="22"/>
          <w:lang w:val="en-GB"/>
        </w:rPr>
        <w:t>zero</w:t>
      </w:r>
      <w:r w:rsidR="002D3041" w:rsidRPr="00D562E2">
        <w:rPr>
          <w:rFonts w:cs="Arial"/>
          <w:szCs w:val="22"/>
          <w:lang w:val="en-GB"/>
        </w:rPr>
        <w:t xml:space="preserve"> (</w:t>
      </w:r>
      <w:r w:rsidR="002D3041" w:rsidRPr="00D562E2">
        <w:rPr>
          <w:rFonts w:cs="Arial"/>
          <w:szCs w:val="22"/>
          <w:lang w:val="en-GB"/>
        </w:rPr>
        <w:fldChar w:fldCharType="begin"/>
      </w:r>
      <w:r w:rsidR="002D3041" w:rsidRPr="00D562E2">
        <w:rPr>
          <w:rFonts w:cs="Arial"/>
          <w:szCs w:val="22"/>
          <w:lang w:val="en-GB"/>
        </w:rPr>
        <w:instrText xml:space="preserve"> REF _Ref533852573 \h </w:instrText>
      </w:r>
      <w:r w:rsidR="00CB093C" w:rsidRPr="00D562E2">
        <w:rPr>
          <w:rFonts w:cs="Arial"/>
          <w:szCs w:val="22"/>
          <w:lang w:val="en-GB"/>
        </w:rPr>
        <w:instrText xml:space="preserve"> \* MERGEFORMAT </w:instrText>
      </w:r>
      <w:r w:rsidR="002D3041" w:rsidRPr="00D562E2">
        <w:rPr>
          <w:rFonts w:cs="Arial"/>
          <w:szCs w:val="22"/>
          <w:lang w:val="en-GB"/>
        </w:rPr>
      </w:r>
      <w:r w:rsidR="002D3041"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72</w:t>
      </w:r>
      <w:r w:rsidR="002D3041" w:rsidRPr="00D562E2">
        <w:rPr>
          <w:rFonts w:cs="Arial"/>
          <w:szCs w:val="22"/>
          <w:lang w:val="en-GB"/>
        </w:rPr>
        <w:fldChar w:fldCharType="end"/>
      </w:r>
      <w:r w:rsidR="002D3041" w:rsidRPr="00D562E2">
        <w:rPr>
          <w:rFonts w:cs="Arial"/>
          <w:szCs w:val="22"/>
          <w:lang w:val="en-GB"/>
        </w:rPr>
        <w:t>).</w:t>
      </w:r>
    </w:p>
    <w:p w14:paraId="1A2F63EB" w14:textId="23A865B0" w:rsidR="00B6321C" w:rsidRPr="00D562E2" w:rsidRDefault="00BB0047" w:rsidP="00BB0047">
      <w:pPr>
        <w:rPr>
          <w:rFonts w:cs="Arial"/>
          <w:szCs w:val="22"/>
          <w:lang w:eastAsia="x-none"/>
        </w:rPr>
      </w:pPr>
      <w:r w:rsidRPr="00D562E2">
        <w:rPr>
          <w:rFonts w:cs="Arial"/>
          <w:szCs w:val="22"/>
          <w:lang w:val="en-GB"/>
        </w:rPr>
        <w:t>Reproductive effort has remained low since 2011</w:t>
      </w:r>
      <w:r w:rsidR="00B6321C" w:rsidRPr="00D562E2">
        <w:rPr>
          <w:rFonts w:cs="Arial"/>
          <w:szCs w:val="22"/>
          <w:lang w:val="en-GB"/>
        </w:rPr>
        <w:t>–</w:t>
      </w:r>
      <w:r w:rsidR="0098351A" w:rsidRPr="00D562E2">
        <w:rPr>
          <w:rFonts w:cs="Arial"/>
          <w:szCs w:val="22"/>
          <w:lang w:val="en-GB"/>
        </w:rPr>
        <w:t>20</w:t>
      </w:r>
      <w:r w:rsidRPr="00D562E2">
        <w:rPr>
          <w:rFonts w:cs="Arial"/>
          <w:szCs w:val="22"/>
          <w:lang w:val="en-GB"/>
        </w:rPr>
        <w:t>12, and f</w:t>
      </w:r>
      <w:r w:rsidR="003371EC" w:rsidRPr="00D562E2">
        <w:rPr>
          <w:rFonts w:cs="Arial"/>
          <w:szCs w:val="22"/>
          <w:lang w:eastAsia="x-none"/>
        </w:rPr>
        <w:t>luctuations</w:t>
      </w:r>
      <w:r w:rsidRPr="00D562E2">
        <w:rPr>
          <w:rFonts w:cs="Arial"/>
          <w:szCs w:val="22"/>
          <w:lang w:eastAsia="x-none"/>
        </w:rPr>
        <w:t xml:space="preserve"> in the seagrass condition index over the last 7 monitoring periods have been primarily driven by fluctuations in abundance and tissue nutrient status. </w:t>
      </w:r>
    </w:p>
    <w:p w14:paraId="3D1DA3DD" w14:textId="73F1787E" w:rsidR="00B6321C" w:rsidRPr="00D562E2" w:rsidRDefault="00036BE4" w:rsidP="00BB0047">
      <w:pPr>
        <w:rPr>
          <w:rFonts w:cs="Arial"/>
          <w:szCs w:val="22"/>
          <w:lang w:eastAsia="x-none"/>
        </w:rPr>
      </w:pPr>
      <w:r w:rsidRPr="00D562E2">
        <w:rPr>
          <w:rFonts w:cs="Arial"/>
          <w:szCs w:val="22"/>
          <w:lang w:eastAsia="x-none"/>
        </w:rPr>
        <w:t xml:space="preserve">Of </w:t>
      </w:r>
      <w:r w:rsidR="00B6321C" w:rsidRPr="00D562E2">
        <w:rPr>
          <w:rFonts w:cs="Arial"/>
          <w:szCs w:val="22"/>
          <w:lang w:eastAsia="x-none"/>
        </w:rPr>
        <w:t xml:space="preserve">particular </w:t>
      </w:r>
      <w:r w:rsidRPr="00D562E2">
        <w:rPr>
          <w:rFonts w:cs="Arial"/>
          <w:szCs w:val="22"/>
          <w:lang w:eastAsia="x-none"/>
        </w:rPr>
        <w:t>concern is that s</w:t>
      </w:r>
      <w:r w:rsidR="00BB0047" w:rsidRPr="00D562E2">
        <w:rPr>
          <w:rFonts w:cs="Arial"/>
          <w:szCs w:val="22"/>
          <w:lang w:eastAsia="x-none"/>
        </w:rPr>
        <w:t>eagrass abundance (</w:t>
      </w:r>
      <w:r w:rsidR="004916B0">
        <w:rPr>
          <w:rFonts w:cs="Arial"/>
          <w:szCs w:val="22"/>
          <w:lang w:eastAsia="x-none"/>
        </w:rPr>
        <w:t>per cent</w:t>
      </w:r>
      <w:r w:rsidR="00BB0047" w:rsidRPr="00D562E2">
        <w:rPr>
          <w:rFonts w:cs="Arial"/>
          <w:szCs w:val="22"/>
          <w:lang w:eastAsia="x-none"/>
        </w:rPr>
        <w:t xml:space="preserve"> cover) ha</w:t>
      </w:r>
      <w:r w:rsidRPr="00D562E2">
        <w:rPr>
          <w:rFonts w:cs="Arial"/>
          <w:szCs w:val="22"/>
          <w:lang w:eastAsia="x-none"/>
        </w:rPr>
        <w:t>s</w:t>
      </w:r>
      <w:r w:rsidR="00411968">
        <w:rPr>
          <w:rFonts w:cs="Arial"/>
          <w:szCs w:val="22"/>
          <w:lang w:eastAsia="x-none"/>
        </w:rPr>
        <w:t xml:space="preserve"> significantly decreased </w:t>
      </w:r>
      <w:r w:rsidR="00A22B24">
        <w:rPr>
          <w:rFonts w:cs="Arial"/>
          <w:szCs w:val="22"/>
          <w:lang w:eastAsia="x-none"/>
        </w:rPr>
        <w:t>since 2008 at</w:t>
      </w:r>
      <w:r w:rsidR="00F620A4">
        <w:rPr>
          <w:rFonts w:cs="Arial"/>
          <w:szCs w:val="22"/>
          <w:lang w:eastAsia="x-none"/>
        </w:rPr>
        <w:t xml:space="preserve"> </w:t>
      </w:r>
      <w:r w:rsidR="000652EF">
        <w:rPr>
          <w:rFonts w:cs="Arial"/>
          <w:szCs w:val="22"/>
          <w:lang w:eastAsia="x-none"/>
        </w:rPr>
        <w:t>estuarine sites</w:t>
      </w:r>
      <w:r w:rsidR="000305CC" w:rsidRPr="000305CC">
        <w:rPr>
          <w:rFonts w:cs="Arial"/>
          <w:szCs w:val="22"/>
          <w:lang w:eastAsia="x-none"/>
        </w:rPr>
        <w:t xml:space="preserve"> </w:t>
      </w:r>
      <w:r w:rsidR="000305CC">
        <w:rPr>
          <w:rFonts w:cs="Arial"/>
          <w:szCs w:val="22"/>
          <w:lang w:eastAsia="x-none"/>
        </w:rPr>
        <w:t xml:space="preserve">in Gladstone Harbour, due predominantly to a mud wave that has moved through and recovery is expected </w:t>
      </w:r>
      <w:r w:rsidR="00BB0047" w:rsidRPr="00D562E2">
        <w:rPr>
          <w:rFonts w:cs="Arial"/>
          <w:szCs w:val="22"/>
          <w:lang w:val="en-GB"/>
        </w:rPr>
        <w:t>(</w:t>
      </w:r>
      <w:r w:rsidR="00BB0047" w:rsidRPr="00D562E2">
        <w:rPr>
          <w:rFonts w:cs="Arial"/>
          <w:szCs w:val="22"/>
          <w:lang w:val="en-GB"/>
        </w:rPr>
        <w:fldChar w:fldCharType="begin"/>
      </w:r>
      <w:r w:rsidR="00BB0047" w:rsidRPr="00D562E2">
        <w:rPr>
          <w:rFonts w:cs="Arial"/>
          <w:szCs w:val="22"/>
          <w:lang w:val="en-GB"/>
        </w:rPr>
        <w:instrText xml:space="preserve"> REF _Ref533852573 \h </w:instrText>
      </w:r>
      <w:r w:rsidR="00CB093C" w:rsidRPr="00D562E2">
        <w:rPr>
          <w:rFonts w:cs="Arial"/>
          <w:szCs w:val="22"/>
          <w:lang w:val="en-GB"/>
        </w:rPr>
        <w:instrText xml:space="preserve"> \* MERGEFORMAT </w:instrText>
      </w:r>
      <w:r w:rsidR="00BB0047" w:rsidRPr="00D562E2">
        <w:rPr>
          <w:rFonts w:cs="Arial"/>
          <w:szCs w:val="22"/>
          <w:lang w:val="en-GB"/>
        </w:rPr>
      </w:r>
      <w:r w:rsidR="00BB0047"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72</w:t>
      </w:r>
      <w:r w:rsidR="00BB0047" w:rsidRPr="00D562E2">
        <w:rPr>
          <w:rFonts w:cs="Arial"/>
          <w:szCs w:val="22"/>
          <w:lang w:val="en-GB"/>
        </w:rPr>
        <w:fldChar w:fldCharType="end"/>
      </w:r>
      <w:r w:rsidR="00BB0047" w:rsidRPr="00D562E2">
        <w:rPr>
          <w:rFonts w:cs="Arial"/>
          <w:szCs w:val="22"/>
          <w:lang w:val="en-GB"/>
        </w:rPr>
        <w:t>,</w:t>
      </w:r>
      <w:r w:rsidR="00BB0047" w:rsidRPr="00D562E2">
        <w:rPr>
          <w:rFonts w:cs="Arial"/>
          <w:szCs w:val="22"/>
          <w:lang w:eastAsia="x-none"/>
        </w:rPr>
        <w:t xml:space="preserve"> </w:t>
      </w:r>
      <w:r w:rsidR="00BB0047" w:rsidRPr="00D562E2">
        <w:rPr>
          <w:rFonts w:cs="Arial"/>
          <w:szCs w:val="22"/>
          <w:lang w:eastAsia="x-none"/>
        </w:rPr>
        <w:fldChar w:fldCharType="begin"/>
      </w:r>
      <w:r w:rsidR="00BB0047" w:rsidRPr="00D562E2">
        <w:rPr>
          <w:rFonts w:cs="Arial"/>
          <w:szCs w:val="22"/>
          <w:lang w:eastAsia="x-none"/>
        </w:rPr>
        <w:instrText xml:space="preserve"> REF _Ref511310045 \h </w:instrText>
      </w:r>
      <w:r w:rsidR="00CB093C" w:rsidRPr="00D562E2">
        <w:rPr>
          <w:rFonts w:cs="Arial"/>
          <w:szCs w:val="22"/>
          <w:lang w:eastAsia="x-none"/>
        </w:rPr>
        <w:instrText xml:space="preserve"> \* MERGEFORMAT </w:instrText>
      </w:r>
      <w:r w:rsidR="00BB0047" w:rsidRPr="00D562E2">
        <w:rPr>
          <w:rFonts w:cs="Arial"/>
          <w:szCs w:val="22"/>
          <w:lang w:eastAsia="x-none"/>
        </w:rPr>
      </w:r>
      <w:r w:rsidR="00BB0047" w:rsidRPr="00D562E2">
        <w:rPr>
          <w:rFonts w:cs="Arial"/>
          <w:szCs w:val="22"/>
          <w:lang w:eastAsia="x-none"/>
        </w:rPr>
        <w:fldChar w:fldCharType="separate"/>
      </w:r>
      <w:r w:rsidR="0067675D" w:rsidRPr="00867E8C">
        <w:rPr>
          <w:rFonts w:cs="Arial"/>
          <w:szCs w:val="22"/>
        </w:rPr>
        <w:t xml:space="preserve">Table </w:t>
      </w:r>
      <w:r w:rsidR="0067675D">
        <w:rPr>
          <w:rFonts w:cs="Arial"/>
          <w:noProof/>
          <w:szCs w:val="22"/>
        </w:rPr>
        <w:t>20</w:t>
      </w:r>
      <w:r w:rsidR="00BB0047" w:rsidRPr="00D562E2">
        <w:rPr>
          <w:rFonts w:cs="Arial"/>
          <w:szCs w:val="22"/>
          <w:lang w:eastAsia="x-none"/>
        </w:rPr>
        <w:fldChar w:fldCharType="end"/>
      </w:r>
      <w:r w:rsidR="00BB0047" w:rsidRPr="00D562E2">
        <w:rPr>
          <w:rFonts w:cs="Arial"/>
          <w:szCs w:val="22"/>
          <w:lang w:eastAsia="x-none"/>
        </w:rPr>
        <w:t>)</w:t>
      </w:r>
      <w:r w:rsidRPr="00D562E2">
        <w:rPr>
          <w:rFonts w:cs="Arial"/>
          <w:szCs w:val="22"/>
          <w:lang w:eastAsia="x-none"/>
        </w:rPr>
        <w:t xml:space="preserve">. </w:t>
      </w:r>
    </w:p>
    <w:p w14:paraId="6FA91743" w14:textId="5C7979A0" w:rsidR="00A23A41" w:rsidRPr="00D562E2" w:rsidRDefault="00544845" w:rsidP="00BB0047">
      <w:pPr>
        <w:rPr>
          <w:rFonts w:cs="Arial"/>
          <w:szCs w:val="22"/>
          <w:lang w:eastAsia="x-none"/>
        </w:rPr>
      </w:pPr>
      <w:r w:rsidRPr="00D562E2">
        <w:rPr>
          <w:rFonts w:cs="Arial"/>
          <w:szCs w:val="22"/>
        </w:rPr>
        <w:t>Long-term</w:t>
      </w:r>
      <w:r w:rsidR="00036BE4" w:rsidRPr="00D562E2">
        <w:rPr>
          <w:rFonts w:cs="Arial"/>
          <w:szCs w:val="22"/>
        </w:rPr>
        <w:t xml:space="preserve"> trends using GAM plots </w:t>
      </w:r>
      <w:r w:rsidR="00FA45A0">
        <w:rPr>
          <w:rFonts w:cs="Arial"/>
          <w:szCs w:val="22"/>
        </w:rPr>
        <w:t xml:space="preserve">also </w:t>
      </w:r>
      <w:r w:rsidR="00036BE4" w:rsidRPr="00D562E2">
        <w:rPr>
          <w:rFonts w:cs="Arial"/>
          <w:szCs w:val="22"/>
        </w:rPr>
        <w:t xml:space="preserve">suggests </w:t>
      </w:r>
      <w:r w:rsidR="00036BE4" w:rsidRPr="00D562E2">
        <w:rPr>
          <w:rFonts w:cs="Arial"/>
          <w:szCs w:val="22"/>
          <w:lang w:eastAsia="x-none"/>
        </w:rPr>
        <w:t xml:space="preserve">tissue nutrient elemental C:N </w:t>
      </w:r>
      <w:r w:rsidR="00036BE4" w:rsidRPr="00D562E2">
        <w:rPr>
          <w:rFonts w:cs="Arial"/>
          <w:szCs w:val="22"/>
        </w:rPr>
        <w:t xml:space="preserve">has been declining since 2005 </w:t>
      </w:r>
      <w:r w:rsidR="00B6321C" w:rsidRPr="00D562E2">
        <w:rPr>
          <w:rFonts w:cs="Arial"/>
          <w:szCs w:val="22"/>
        </w:rPr>
        <w:t xml:space="preserve">across the region </w:t>
      </w:r>
      <w:r w:rsidR="00036BE4" w:rsidRPr="00D562E2">
        <w:rPr>
          <w:rFonts w:cs="Arial"/>
          <w:szCs w:val="22"/>
          <w:lang w:val="en-GB"/>
        </w:rPr>
        <w:t>(</w:t>
      </w:r>
      <w:r w:rsidR="00B06A8D" w:rsidRPr="00D562E2">
        <w:rPr>
          <w:rFonts w:cs="Arial"/>
          <w:szCs w:val="22"/>
          <w:lang w:val="en-GB"/>
        </w:rPr>
        <w:fldChar w:fldCharType="begin"/>
      </w:r>
      <w:r w:rsidR="00B06A8D" w:rsidRPr="00D562E2">
        <w:rPr>
          <w:rFonts w:cs="Arial"/>
          <w:szCs w:val="22"/>
          <w:lang w:val="en-GB"/>
        </w:rPr>
        <w:instrText xml:space="preserve"> REF _Ref533852573 \h </w:instrText>
      </w:r>
      <w:r w:rsidR="00CB093C" w:rsidRPr="00D562E2">
        <w:rPr>
          <w:rFonts w:cs="Arial"/>
          <w:szCs w:val="22"/>
          <w:lang w:val="en-GB"/>
        </w:rPr>
        <w:instrText xml:space="preserve"> \* MERGEFORMAT </w:instrText>
      </w:r>
      <w:r w:rsidR="00B06A8D" w:rsidRPr="00D562E2">
        <w:rPr>
          <w:rFonts w:cs="Arial"/>
          <w:szCs w:val="22"/>
          <w:lang w:val="en-GB"/>
        </w:rPr>
      </w:r>
      <w:r w:rsidR="00B06A8D" w:rsidRPr="00D562E2">
        <w:rPr>
          <w:rFonts w:cs="Arial"/>
          <w:szCs w:val="22"/>
          <w:lang w:val="en-GB"/>
        </w:rPr>
        <w:fldChar w:fldCharType="separate"/>
      </w:r>
      <w:r w:rsidR="0067675D" w:rsidRPr="00D562E2">
        <w:rPr>
          <w:rFonts w:cs="Arial"/>
          <w:szCs w:val="22"/>
        </w:rPr>
        <w:t xml:space="preserve">Figure </w:t>
      </w:r>
      <w:r w:rsidR="0067675D">
        <w:rPr>
          <w:rFonts w:cs="Arial"/>
          <w:noProof/>
          <w:szCs w:val="22"/>
        </w:rPr>
        <w:t>72</w:t>
      </w:r>
      <w:r w:rsidR="00B06A8D" w:rsidRPr="00D562E2">
        <w:rPr>
          <w:rFonts w:cs="Arial"/>
          <w:szCs w:val="22"/>
          <w:lang w:val="en-GB"/>
        </w:rPr>
        <w:fldChar w:fldCharType="end"/>
      </w:r>
      <w:r w:rsidR="00036BE4" w:rsidRPr="00D562E2">
        <w:rPr>
          <w:rFonts w:cs="Arial"/>
          <w:szCs w:val="22"/>
          <w:lang w:val="en-GB"/>
        </w:rPr>
        <w:t>)</w:t>
      </w:r>
      <w:r w:rsidR="00036BE4" w:rsidRPr="00D562E2">
        <w:rPr>
          <w:rFonts w:cs="Arial"/>
          <w:szCs w:val="22"/>
        </w:rPr>
        <w:t>.</w:t>
      </w:r>
    </w:p>
    <w:p w14:paraId="3041D10D" w14:textId="77777777" w:rsidR="00A23A41" w:rsidRPr="00D562E2" w:rsidRDefault="00A23A41" w:rsidP="00A23A41">
      <w:pPr>
        <w:rPr>
          <w:rFonts w:cs="Arial"/>
          <w:szCs w:val="22"/>
          <w:lang w:eastAsia="x-none"/>
        </w:rPr>
      </w:pPr>
    </w:p>
    <w:p w14:paraId="5D496AD1" w14:textId="77777777" w:rsidR="001063D8" w:rsidRPr="00D562E2" w:rsidRDefault="001063D8" w:rsidP="001063D8">
      <w:pPr>
        <w:keepNext/>
        <w:widowControl w:val="0"/>
        <w:jc w:val="center"/>
        <w:rPr>
          <w:rFonts w:cs="Arial"/>
          <w:color w:val="000000"/>
          <w:szCs w:val="22"/>
        </w:rPr>
      </w:pPr>
      <w:r w:rsidRPr="00D562E2">
        <w:rPr>
          <w:rFonts w:cs="Arial"/>
          <w:noProof/>
          <w:color w:val="000000"/>
          <w:szCs w:val="22"/>
          <w:lang w:eastAsia="en-AU"/>
        </w:rPr>
        <w:lastRenderedPageBreak/>
        <w:drawing>
          <wp:inline distT="0" distB="0" distL="0" distR="0" wp14:anchorId="15257C3D" wp14:editId="25DD2069">
            <wp:extent cx="4860000" cy="4550679"/>
            <wp:effectExtent l="0" t="0" r="0" b="2540"/>
            <wp:docPr id="548" name="Picture 548" descr="Composite figure of four graphs showing temporal trends in the Fitzroy NRM region seagrass condition index and each of the individual indicators used to calculate the index, represented by GAM plots and coloured lines representing location trends, with coloured dots representing individual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Y_cvr_GAM_Dec16.png"/>
                    <pic:cNvPicPr/>
                  </pic:nvPicPr>
                  <pic:blipFill>
                    <a:blip r:embed="rId125"/>
                    <a:stretch>
                      <a:fillRect/>
                    </a:stretch>
                  </pic:blipFill>
                  <pic:spPr>
                    <a:xfrm>
                      <a:off x="0" y="0"/>
                      <a:ext cx="4860000" cy="4550679"/>
                    </a:xfrm>
                    <a:prstGeom prst="rect">
                      <a:avLst/>
                    </a:prstGeom>
                  </pic:spPr>
                </pic:pic>
              </a:graphicData>
            </a:graphic>
          </wp:inline>
        </w:drawing>
      </w:r>
    </w:p>
    <w:p w14:paraId="26060E59" w14:textId="7A3E4903" w:rsidR="00076C1A" w:rsidRPr="00D562E2" w:rsidRDefault="001063D8" w:rsidP="00076C1A">
      <w:pPr>
        <w:rPr>
          <w:rFonts w:cs="Arial"/>
          <w:vanish/>
          <w:color w:val="000000"/>
          <w:szCs w:val="22"/>
          <w:specVanish/>
        </w:rPr>
      </w:pPr>
      <w:bookmarkStart w:id="558" w:name="_Ref533852573"/>
      <w:bookmarkStart w:id="559" w:name="_Toc38634176"/>
      <w:r w:rsidRPr="00D562E2">
        <w:rPr>
          <w:rFonts w:cs="Arial"/>
          <w:szCs w:val="22"/>
        </w:rPr>
        <w:t xml:space="preserve">Figure </w:t>
      </w:r>
      <w:r w:rsidRPr="00D562E2">
        <w:rPr>
          <w:rFonts w:cs="Arial"/>
          <w:noProof/>
          <w:szCs w:val="22"/>
        </w:rPr>
        <w:fldChar w:fldCharType="begin"/>
      </w:r>
      <w:r w:rsidRPr="00D562E2">
        <w:rPr>
          <w:rFonts w:cs="Arial"/>
          <w:noProof/>
          <w:szCs w:val="22"/>
        </w:rPr>
        <w:instrText xml:space="preserve"> SEQ Figure \* ARABIC </w:instrText>
      </w:r>
      <w:r w:rsidRPr="00D562E2">
        <w:rPr>
          <w:rFonts w:cs="Arial"/>
          <w:noProof/>
          <w:szCs w:val="22"/>
        </w:rPr>
        <w:fldChar w:fldCharType="separate"/>
      </w:r>
      <w:r w:rsidR="0067675D">
        <w:rPr>
          <w:rFonts w:cs="Arial"/>
          <w:noProof/>
          <w:szCs w:val="22"/>
        </w:rPr>
        <w:t>72</w:t>
      </w:r>
      <w:r w:rsidRPr="00D562E2">
        <w:rPr>
          <w:rFonts w:cs="Arial"/>
          <w:noProof/>
          <w:szCs w:val="22"/>
        </w:rPr>
        <w:fldChar w:fldCharType="end"/>
      </w:r>
      <w:bookmarkEnd w:id="558"/>
      <w:r w:rsidRPr="00D562E2">
        <w:rPr>
          <w:rFonts w:cs="Arial"/>
          <w:szCs w:val="22"/>
        </w:rPr>
        <w:t xml:space="preserve">.  </w:t>
      </w:r>
      <w:r w:rsidR="00076C1A" w:rsidRPr="00D562E2">
        <w:rPr>
          <w:rFonts w:cs="Arial"/>
          <w:i/>
          <w:szCs w:val="22"/>
        </w:rPr>
        <w:t>Temporal trends in the Fitzroy seagrass condition index and the indicators used to calculate the index</w:t>
      </w:r>
      <w:bookmarkEnd w:id="559"/>
    </w:p>
    <w:p w14:paraId="6493C84A" w14:textId="6ABF2CDA" w:rsidR="001063D8" w:rsidRPr="00D562E2" w:rsidRDefault="00076C1A" w:rsidP="00076C1A">
      <w:pPr>
        <w:rPr>
          <w:rFonts w:cs="Arial"/>
          <w:i/>
          <w:szCs w:val="22"/>
          <w:lang w:val="en-GB"/>
        </w:rPr>
      </w:pPr>
      <w:r w:rsidRPr="00D562E2">
        <w:rPr>
          <w:rFonts w:cs="Arial"/>
          <w:i/>
          <w:szCs w:val="22"/>
        </w:rPr>
        <w:t>: a. seagrass condition index (circles) and indicator trends (lines); b. GAM plots of seagrass abundance (</w:t>
      </w:r>
      <w:r w:rsidR="004916B0">
        <w:rPr>
          <w:rFonts w:cs="Arial"/>
          <w:i/>
          <w:szCs w:val="22"/>
        </w:rPr>
        <w:t>per cent</w:t>
      </w:r>
      <w:r w:rsidRPr="00D562E2">
        <w:rPr>
          <w:rFonts w:cs="Arial"/>
          <w:i/>
          <w:szCs w:val="22"/>
        </w:rPr>
        <w:t xml:space="preserve"> cover) trends for each location (coloured lines) and the region (black line with grey shaded area defining 95</w:t>
      </w:r>
      <w:r w:rsidR="003C311A">
        <w:rPr>
          <w:rFonts w:cs="Arial"/>
          <w:i/>
          <w:szCs w:val="22"/>
        </w:rPr>
        <w:t xml:space="preserve">% </w:t>
      </w:r>
      <w:r w:rsidRPr="00D562E2">
        <w:rPr>
          <w:rFonts w:cs="Arial"/>
          <w:i/>
          <w:szCs w:val="22"/>
        </w:rPr>
        <w:t>confidence intervals); c. average number of reproductive structures (±SE) (GAM not possible due to high count of zero values); and d. elemental ratios (atomic) of leaf tissue C:N nutrient content at each site (coloured circles) and regional trend represented by a GAM plot as dark line with shaded areas defining 95</w:t>
      </w:r>
      <w:r w:rsidR="003C311A">
        <w:rPr>
          <w:rFonts w:cs="Arial"/>
          <w:i/>
          <w:szCs w:val="22"/>
        </w:rPr>
        <w:t xml:space="preserve">% </w:t>
      </w:r>
      <w:r w:rsidRPr="00D562E2">
        <w:rPr>
          <w:rFonts w:cs="Arial"/>
          <w:i/>
          <w:szCs w:val="22"/>
        </w:rPr>
        <w:t>confidence intervals of the trend</w:t>
      </w:r>
    </w:p>
    <w:p w14:paraId="0401A616" w14:textId="6172ACF4" w:rsidR="00A23A41" w:rsidRPr="00D562E2" w:rsidRDefault="00A23A41" w:rsidP="00785606">
      <w:pPr>
        <w:pStyle w:val="Heading4"/>
      </w:pPr>
      <w:bookmarkStart w:id="560" w:name="_Toc37775107"/>
      <w:bookmarkStart w:id="561" w:name="_Toc43987082"/>
      <w:r w:rsidRPr="00D562E2">
        <w:t xml:space="preserve">Seagrass abundance, </w:t>
      </w:r>
      <w:r w:rsidR="002D3041" w:rsidRPr="00D562E2">
        <w:t>composition</w:t>
      </w:r>
      <w:r w:rsidRPr="00D562E2">
        <w:t xml:space="preserve"> and extent</w:t>
      </w:r>
      <w:bookmarkEnd w:id="560"/>
      <w:bookmarkEnd w:id="561"/>
    </w:p>
    <w:p w14:paraId="6C86191B" w14:textId="40766241" w:rsidR="002F7B2F" w:rsidRDefault="00AE158F" w:rsidP="0014227E">
      <w:pPr>
        <w:rPr>
          <w:rFonts w:cs="Arial"/>
          <w:szCs w:val="22"/>
          <w:lang w:val="en-GB"/>
        </w:rPr>
      </w:pPr>
      <w:r>
        <w:rPr>
          <w:rFonts w:cs="Arial"/>
          <w:szCs w:val="22"/>
          <w:lang w:val="en-GB"/>
        </w:rPr>
        <w:t>In 2018-19, a</w:t>
      </w:r>
      <w:r w:rsidR="00357FED" w:rsidRPr="00D76F82">
        <w:rPr>
          <w:rFonts w:cs="Arial"/>
          <w:szCs w:val="22"/>
          <w:lang w:val="en-GB"/>
        </w:rPr>
        <w:t>pproximately two third of sites improved in abundance, however half of the coastal sites decreased relative to the previous period.</w:t>
      </w:r>
      <w:r>
        <w:rPr>
          <w:rFonts w:cs="Arial"/>
          <w:szCs w:val="22"/>
          <w:lang w:val="en-GB"/>
        </w:rPr>
        <w:t xml:space="preserve"> </w:t>
      </w:r>
      <w:r w:rsidR="0014227E" w:rsidRPr="002003F4">
        <w:rPr>
          <w:rFonts w:cs="Arial"/>
          <w:szCs w:val="22"/>
          <w:lang w:val="en-GB"/>
        </w:rPr>
        <w:t xml:space="preserve">Seagrass </w:t>
      </w:r>
      <w:r w:rsidR="0014227E" w:rsidRPr="002003F4">
        <w:rPr>
          <w:rFonts w:cs="Arial"/>
          <w:szCs w:val="22"/>
          <w:lang w:val="en-GB"/>
        </w:rPr>
        <w:lastRenderedPageBreak/>
        <w:t>abundance</w:t>
      </w:r>
      <w:r w:rsidR="00D57854" w:rsidRPr="002003F4">
        <w:rPr>
          <w:rFonts w:cs="Arial"/>
          <w:szCs w:val="22"/>
          <w:lang w:val="en-GB"/>
        </w:rPr>
        <w:t>s</w:t>
      </w:r>
      <w:r w:rsidR="0014227E" w:rsidRPr="002003F4">
        <w:rPr>
          <w:rFonts w:cs="Arial"/>
          <w:szCs w:val="22"/>
          <w:lang w:val="en-GB"/>
        </w:rPr>
        <w:t xml:space="preserve"> (</w:t>
      </w:r>
      <w:r w:rsidR="004916B0">
        <w:rPr>
          <w:rFonts w:cs="Arial"/>
          <w:szCs w:val="22"/>
          <w:lang w:val="en-GB"/>
        </w:rPr>
        <w:t>per cent</w:t>
      </w:r>
      <w:r w:rsidR="0014227E" w:rsidRPr="002003F4">
        <w:rPr>
          <w:rFonts w:cs="Arial"/>
          <w:szCs w:val="22"/>
          <w:lang w:val="en-GB"/>
        </w:rPr>
        <w:t xml:space="preserve"> cover) in the </w:t>
      </w:r>
      <w:r w:rsidR="00D57854" w:rsidRPr="002003F4">
        <w:rPr>
          <w:rFonts w:cs="Arial"/>
          <w:szCs w:val="22"/>
          <w:lang w:val="en-GB"/>
        </w:rPr>
        <w:t>Fitzroy</w:t>
      </w:r>
      <w:r w:rsidR="0014227E" w:rsidRPr="002003F4">
        <w:rPr>
          <w:rFonts w:cs="Arial"/>
          <w:szCs w:val="22"/>
          <w:lang w:val="en-GB"/>
        </w:rPr>
        <w:t xml:space="preserve"> region </w:t>
      </w:r>
      <w:r w:rsidR="002003F4" w:rsidRPr="002003F4">
        <w:rPr>
          <w:rFonts w:cs="Arial"/>
          <w:szCs w:val="22"/>
          <w:lang w:val="en-GB"/>
        </w:rPr>
        <w:t xml:space="preserve">in 2018-19 </w:t>
      </w:r>
      <w:r w:rsidR="00CB7184" w:rsidRPr="002003F4">
        <w:rPr>
          <w:rFonts w:cs="Arial"/>
          <w:szCs w:val="22"/>
          <w:lang w:val="en-GB"/>
        </w:rPr>
        <w:t>we</w:t>
      </w:r>
      <w:r w:rsidR="00D57854" w:rsidRPr="002003F4">
        <w:rPr>
          <w:rFonts w:cs="Arial"/>
          <w:szCs w:val="22"/>
          <w:lang w:val="en-GB"/>
        </w:rPr>
        <w:t>re</w:t>
      </w:r>
      <w:r w:rsidR="0014227E" w:rsidRPr="002003F4">
        <w:rPr>
          <w:rFonts w:cs="Arial"/>
          <w:szCs w:val="22"/>
          <w:lang w:val="en-GB"/>
        </w:rPr>
        <w:t xml:space="preserve"> </w:t>
      </w:r>
      <w:r w:rsidR="00D57854" w:rsidRPr="002003F4">
        <w:rPr>
          <w:rFonts w:cs="Arial"/>
          <w:szCs w:val="22"/>
          <w:lang w:val="en-GB"/>
        </w:rPr>
        <w:t xml:space="preserve">significantly </w:t>
      </w:r>
      <w:r w:rsidR="0014227E" w:rsidRPr="002003F4">
        <w:rPr>
          <w:rFonts w:cs="Arial"/>
          <w:szCs w:val="22"/>
          <w:lang w:val="en-GB"/>
        </w:rPr>
        <w:t>higher in coastal (</w:t>
      </w:r>
      <w:r w:rsidR="00D57854" w:rsidRPr="002003F4">
        <w:rPr>
          <w:rFonts w:cs="Arial"/>
          <w:szCs w:val="22"/>
          <w:lang w:val="en-GB"/>
        </w:rPr>
        <w:t>2</w:t>
      </w:r>
      <w:r w:rsidR="002003F4" w:rsidRPr="002003F4">
        <w:rPr>
          <w:rFonts w:cs="Arial"/>
          <w:szCs w:val="22"/>
          <w:lang w:val="en-GB"/>
        </w:rPr>
        <w:t>3.5</w:t>
      </w:r>
      <w:r w:rsidR="00D57854" w:rsidRPr="002003F4">
        <w:rPr>
          <w:rFonts w:cs="Arial"/>
          <w:szCs w:val="22"/>
          <w:lang w:val="en-GB"/>
        </w:rPr>
        <w:t xml:space="preserve"> ±1.</w:t>
      </w:r>
      <w:r w:rsidR="002003F4" w:rsidRPr="002003F4">
        <w:rPr>
          <w:rFonts w:cs="Arial"/>
          <w:szCs w:val="22"/>
          <w:lang w:val="en-GB"/>
        </w:rPr>
        <w:t>0</w:t>
      </w:r>
      <w:r w:rsidR="006D2E41">
        <w:rPr>
          <w:rFonts w:cs="Arial"/>
          <w:szCs w:val="22"/>
          <w:lang w:val="en-GB"/>
        </w:rPr>
        <w:t>%</w:t>
      </w:r>
      <w:r w:rsidR="0014227E" w:rsidRPr="002003F4">
        <w:rPr>
          <w:rFonts w:cs="Arial"/>
          <w:szCs w:val="22"/>
          <w:lang w:val="en-GB"/>
        </w:rPr>
        <w:t xml:space="preserve">) </w:t>
      </w:r>
      <w:r w:rsidR="00D57854" w:rsidRPr="002003F4">
        <w:rPr>
          <w:rFonts w:cs="Arial"/>
          <w:szCs w:val="22"/>
          <w:lang w:val="en-GB"/>
        </w:rPr>
        <w:t>and</w:t>
      </w:r>
      <w:r w:rsidR="0014227E" w:rsidRPr="002003F4">
        <w:rPr>
          <w:rFonts w:cs="Arial"/>
          <w:szCs w:val="22"/>
          <w:lang w:val="en-GB"/>
        </w:rPr>
        <w:t xml:space="preserve"> estuarine (</w:t>
      </w:r>
      <w:r w:rsidR="002003F4" w:rsidRPr="002003F4">
        <w:rPr>
          <w:rFonts w:cs="Arial"/>
          <w:szCs w:val="22"/>
          <w:lang w:val="en-GB"/>
        </w:rPr>
        <w:t>8.3</w:t>
      </w:r>
      <w:r w:rsidR="00D57854" w:rsidRPr="002003F4">
        <w:rPr>
          <w:rFonts w:cs="Arial"/>
          <w:szCs w:val="22"/>
          <w:lang w:val="en-GB"/>
        </w:rPr>
        <w:t xml:space="preserve"> ±</w:t>
      </w:r>
      <w:r w:rsidR="002003F4" w:rsidRPr="002003F4">
        <w:rPr>
          <w:rFonts w:cs="Arial"/>
          <w:szCs w:val="22"/>
          <w:lang w:val="en-GB"/>
        </w:rPr>
        <w:t>2.0</w:t>
      </w:r>
      <w:r w:rsidR="006D2E41">
        <w:rPr>
          <w:rFonts w:cs="Arial"/>
          <w:szCs w:val="22"/>
          <w:lang w:val="en-GB"/>
        </w:rPr>
        <w:t>%</w:t>
      </w:r>
      <w:r w:rsidR="0014227E" w:rsidRPr="002003F4">
        <w:rPr>
          <w:rFonts w:cs="Arial"/>
          <w:szCs w:val="22"/>
          <w:lang w:val="en-GB"/>
        </w:rPr>
        <w:t>)</w:t>
      </w:r>
      <w:r w:rsidR="00873BF5" w:rsidRPr="002003F4">
        <w:rPr>
          <w:rFonts w:cs="Arial"/>
          <w:szCs w:val="22"/>
          <w:lang w:val="en-GB"/>
        </w:rPr>
        <w:t xml:space="preserve"> habitats</w:t>
      </w:r>
      <w:r w:rsidR="00D57854" w:rsidRPr="002003F4">
        <w:rPr>
          <w:rFonts w:cs="Arial"/>
          <w:szCs w:val="22"/>
          <w:lang w:val="en-GB"/>
        </w:rPr>
        <w:t>,</w:t>
      </w:r>
      <w:r w:rsidR="0014227E" w:rsidRPr="002003F4">
        <w:rPr>
          <w:rFonts w:cs="Arial"/>
          <w:szCs w:val="22"/>
          <w:lang w:val="en-GB"/>
        </w:rPr>
        <w:t xml:space="preserve"> </w:t>
      </w:r>
      <w:r w:rsidR="00D57854" w:rsidRPr="002003F4">
        <w:rPr>
          <w:rFonts w:cs="Arial"/>
          <w:szCs w:val="22"/>
          <w:lang w:val="en-GB"/>
        </w:rPr>
        <w:t xml:space="preserve">than reef </w:t>
      </w:r>
      <w:r w:rsidR="0014227E" w:rsidRPr="002003F4">
        <w:rPr>
          <w:rFonts w:cs="Arial"/>
          <w:szCs w:val="22"/>
          <w:lang w:val="en-GB"/>
        </w:rPr>
        <w:t>(</w:t>
      </w:r>
      <w:r w:rsidR="002003F4" w:rsidRPr="002003F4">
        <w:rPr>
          <w:rFonts w:cs="Arial"/>
          <w:szCs w:val="22"/>
          <w:lang w:val="en-GB"/>
        </w:rPr>
        <w:t>2.9</w:t>
      </w:r>
      <w:r w:rsidR="00D57854" w:rsidRPr="002003F4">
        <w:rPr>
          <w:rFonts w:cs="Arial"/>
          <w:szCs w:val="22"/>
          <w:lang w:val="en-GB"/>
        </w:rPr>
        <w:t xml:space="preserve"> ±0.</w:t>
      </w:r>
      <w:r w:rsidR="002003F4" w:rsidRPr="002003F4">
        <w:rPr>
          <w:rFonts w:cs="Arial"/>
          <w:szCs w:val="22"/>
          <w:lang w:val="en-GB"/>
        </w:rPr>
        <w:t>7</w:t>
      </w:r>
      <w:r w:rsidR="006D2E41">
        <w:rPr>
          <w:rFonts w:cs="Arial"/>
          <w:szCs w:val="22"/>
          <w:lang w:val="en-GB"/>
        </w:rPr>
        <w:t>%</w:t>
      </w:r>
      <w:r w:rsidR="0014227E" w:rsidRPr="002003F4">
        <w:rPr>
          <w:rFonts w:cs="Arial"/>
          <w:szCs w:val="22"/>
          <w:lang w:val="en-GB"/>
        </w:rPr>
        <w:t>)</w:t>
      </w:r>
      <w:r w:rsidR="00D57854" w:rsidRPr="002003F4">
        <w:rPr>
          <w:rFonts w:cs="Arial"/>
          <w:szCs w:val="22"/>
          <w:lang w:val="en-GB"/>
        </w:rPr>
        <w:t xml:space="preserve"> </w:t>
      </w:r>
      <w:r w:rsidR="00873BF5" w:rsidRPr="002003F4">
        <w:rPr>
          <w:rFonts w:cs="Arial"/>
          <w:szCs w:val="22"/>
          <w:lang w:val="en-GB"/>
        </w:rPr>
        <w:t>(</w:t>
      </w:r>
      <w:r w:rsidR="00873BF5" w:rsidRPr="002003F4">
        <w:rPr>
          <w:rFonts w:cs="Arial"/>
          <w:szCs w:val="22"/>
          <w:lang w:val="en-GB"/>
        </w:rPr>
        <w:fldChar w:fldCharType="begin"/>
      </w:r>
      <w:r w:rsidR="00873BF5" w:rsidRPr="002003F4">
        <w:rPr>
          <w:rFonts w:cs="Arial"/>
          <w:szCs w:val="22"/>
          <w:lang w:val="en-GB"/>
        </w:rPr>
        <w:instrText xml:space="preserve"> REF _Ref533856131 \h </w:instrText>
      </w:r>
      <w:r w:rsidR="00CB093C" w:rsidRPr="002003F4">
        <w:rPr>
          <w:rFonts w:cs="Arial"/>
          <w:szCs w:val="22"/>
          <w:lang w:val="en-GB"/>
        </w:rPr>
        <w:instrText xml:space="preserve"> \* MERGEFORMAT </w:instrText>
      </w:r>
      <w:r w:rsidR="00873BF5" w:rsidRPr="002003F4">
        <w:rPr>
          <w:rFonts w:cs="Arial"/>
          <w:szCs w:val="22"/>
          <w:lang w:val="en-GB"/>
        </w:rPr>
      </w:r>
      <w:r w:rsidR="00873BF5" w:rsidRPr="002003F4">
        <w:rPr>
          <w:rFonts w:cs="Arial"/>
          <w:szCs w:val="22"/>
          <w:lang w:val="en-GB"/>
        </w:rPr>
        <w:fldChar w:fldCharType="separate"/>
      </w:r>
      <w:r w:rsidR="0067675D" w:rsidRPr="00D562E2">
        <w:rPr>
          <w:rFonts w:cs="Arial"/>
          <w:szCs w:val="22"/>
        </w:rPr>
        <w:t xml:space="preserve">Figure </w:t>
      </w:r>
      <w:r w:rsidR="0067675D">
        <w:rPr>
          <w:rFonts w:cs="Arial"/>
          <w:noProof/>
          <w:szCs w:val="22"/>
        </w:rPr>
        <w:t>73</w:t>
      </w:r>
      <w:r w:rsidR="00873BF5" w:rsidRPr="002003F4">
        <w:rPr>
          <w:rFonts w:cs="Arial"/>
          <w:szCs w:val="22"/>
          <w:lang w:val="en-GB"/>
        </w:rPr>
        <w:fldChar w:fldCharType="end"/>
      </w:r>
      <w:r w:rsidR="00873BF5" w:rsidRPr="002003F4">
        <w:rPr>
          <w:rFonts w:cs="Arial"/>
          <w:szCs w:val="22"/>
          <w:lang w:val="en-GB"/>
        </w:rPr>
        <w:t>)</w:t>
      </w:r>
      <w:r w:rsidR="0014227E" w:rsidRPr="002003F4">
        <w:rPr>
          <w:rFonts w:cs="Arial"/>
          <w:szCs w:val="22"/>
          <w:lang w:val="en-GB"/>
        </w:rPr>
        <w:t xml:space="preserve">. </w:t>
      </w:r>
      <w:r w:rsidR="00D57854" w:rsidRPr="002003F4">
        <w:rPr>
          <w:rFonts w:cs="Arial"/>
          <w:szCs w:val="22"/>
          <w:lang w:val="en-GB"/>
        </w:rPr>
        <w:t xml:space="preserve">With the exception of </w:t>
      </w:r>
      <w:r w:rsidR="002003F4" w:rsidRPr="002003F4">
        <w:rPr>
          <w:rFonts w:cs="Arial"/>
          <w:szCs w:val="22"/>
          <w:lang w:val="en-GB"/>
        </w:rPr>
        <w:t>reef</w:t>
      </w:r>
      <w:r w:rsidR="00CB7184" w:rsidRPr="002003F4">
        <w:rPr>
          <w:rFonts w:cs="Arial"/>
          <w:szCs w:val="22"/>
          <w:lang w:val="en-GB"/>
        </w:rPr>
        <w:t xml:space="preserve"> habitats, there wa</w:t>
      </w:r>
      <w:r w:rsidR="00D57854" w:rsidRPr="002003F4">
        <w:rPr>
          <w:rFonts w:cs="Arial"/>
          <w:szCs w:val="22"/>
          <w:lang w:val="en-GB"/>
        </w:rPr>
        <w:t xml:space="preserve">s little difference in seagrass abundance between the seasons. In </w:t>
      </w:r>
      <w:r w:rsidR="002003F4" w:rsidRPr="002003F4">
        <w:rPr>
          <w:rFonts w:cs="Arial"/>
          <w:szCs w:val="22"/>
          <w:lang w:val="en-GB"/>
        </w:rPr>
        <w:t>reef</w:t>
      </w:r>
      <w:r w:rsidR="00D57854" w:rsidRPr="002003F4">
        <w:rPr>
          <w:rFonts w:cs="Arial"/>
          <w:szCs w:val="22"/>
          <w:lang w:val="en-GB"/>
        </w:rPr>
        <w:t xml:space="preserve"> </w:t>
      </w:r>
      <w:r w:rsidR="00873BF5" w:rsidRPr="002003F4">
        <w:rPr>
          <w:rFonts w:cs="Arial"/>
          <w:szCs w:val="22"/>
          <w:lang w:val="en-GB"/>
        </w:rPr>
        <w:t>habitats, a</w:t>
      </w:r>
      <w:r w:rsidR="00CB7184" w:rsidRPr="002003F4">
        <w:rPr>
          <w:rFonts w:cs="Arial"/>
          <w:szCs w:val="22"/>
          <w:lang w:val="en-GB"/>
        </w:rPr>
        <w:t>bundances we</w:t>
      </w:r>
      <w:r w:rsidR="0014227E" w:rsidRPr="002003F4">
        <w:rPr>
          <w:rFonts w:cs="Arial"/>
          <w:szCs w:val="22"/>
          <w:lang w:val="en-GB"/>
        </w:rPr>
        <w:t xml:space="preserve">re higher in the </w:t>
      </w:r>
      <w:r w:rsidR="002003F4" w:rsidRPr="002003F4">
        <w:rPr>
          <w:rFonts w:cs="Arial"/>
          <w:szCs w:val="22"/>
          <w:lang w:val="en-GB"/>
        </w:rPr>
        <w:t xml:space="preserve">late </w:t>
      </w:r>
      <w:r w:rsidR="0014227E" w:rsidRPr="002003F4">
        <w:rPr>
          <w:rFonts w:cs="Arial"/>
          <w:szCs w:val="22"/>
          <w:lang w:val="en-GB"/>
        </w:rPr>
        <w:t xml:space="preserve">dry than the </w:t>
      </w:r>
      <w:r w:rsidR="002003F4" w:rsidRPr="002003F4">
        <w:rPr>
          <w:rFonts w:cs="Arial"/>
          <w:szCs w:val="22"/>
          <w:lang w:val="en-GB"/>
        </w:rPr>
        <w:t xml:space="preserve">late </w:t>
      </w:r>
      <w:r w:rsidR="0014227E" w:rsidRPr="002003F4">
        <w:rPr>
          <w:rFonts w:cs="Arial"/>
          <w:szCs w:val="22"/>
          <w:lang w:val="en-GB"/>
        </w:rPr>
        <w:t>wet season (</w:t>
      </w:r>
      <w:r w:rsidR="002003F4" w:rsidRPr="002003F4">
        <w:rPr>
          <w:rFonts w:cs="Arial"/>
          <w:szCs w:val="22"/>
          <w:lang w:val="en-GB"/>
        </w:rPr>
        <w:t>5.5</w:t>
      </w:r>
      <w:r w:rsidR="00873BF5" w:rsidRPr="002003F4">
        <w:rPr>
          <w:rFonts w:cs="Arial"/>
          <w:szCs w:val="22"/>
          <w:lang w:val="en-GB"/>
        </w:rPr>
        <w:t xml:space="preserve"> ±</w:t>
      </w:r>
      <w:r w:rsidR="002003F4" w:rsidRPr="002003F4">
        <w:rPr>
          <w:rFonts w:cs="Arial"/>
          <w:szCs w:val="22"/>
          <w:lang w:val="en-GB"/>
        </w:rPr>
        <w:t>0.9</w:t>
      </w:r>
      <w:r w:rsidR="003C311A">
        <w:rPr>
          <w:rFonts w:cs="Arial"/>
          <w:szCs w:val="22"/>
          <w:lang w:val="en-GB"/>
        </w:rPr>
        <w:t xml:space="preserve">% </w:t>
      </w:r>
      <w:r w:rsidR="002003F4" w:rsidRPr="002003F4">
        <w:rPr>
          <w:rFonts w:cs="Arial"/>
          <w:szCs w:val="22"/>
          <w:lang w:val="en-GB"/>
        </w:rPr>
        <w:t>and 0.2</w:t>
      </w:r>
      <w:r w:rsidR="00873BF5" w:rsidRPr="002003F4">
        <w:rPr>
          <w:rFonts w:cs="Arial"/>
          <w:szCs w:val="22"/>
          <w:lang w:val="en-GB"/>
        </w:rPr>
        <w:t xml:space="preserve"> ±</w:t>
      </w:r>
      <w:r w:rsidR="002003F4" w:rsidRPr="002003F4">
        <w:rPr>
          <w:rFonts w:cs="Arial"/>
          <w:szCs w:val="22"/>
          <w:lang w:val="en-GB"/>
        </w:rPr>
        <w:t>0.1</w:t>
      </w:r>
      <w:r w:rsidR="006D2E41">
        <w:rPr>
          <w:rFonts w:cs="Arial"/>
          <w:szCs w:val="22"/>
          <w:lang w:val="en-GB"/>
        </w:rPr>
        <w:t>%</w:t>
      </w:r>
      <w:r w:rsidR="002003F4" w:rsidRPr="002003F4">
        <w:rPr>
          <w:rFonts w:cs="Arial"/>
          <w:szCs w:val="22"/>
          <w:lang w:val="en-GB"/>
        </w:rPr>
        <w:t>, respectively</w:t>
      </w:r>
      <w:r w:rsidR="0014227E" w:rsidRPr="002003F4">
        <w:rPr>
          <w:rFonts w:cs="Arial"/>
          <w:szCs w:val="22"/>
          <w:lang w:val="en-GB"/>
        </w:rPr>
        <w:t>).</w:t>
      </w:r>
    </w:p>
    <w:p w14:paraId="7CC444DA" w14:textId="0384F780" w:rsidR="002F7B2F" w:rsidRPr="002003F4" w:rsidRDefault="00873BF5" w:rsidP="0014227E">
      <w:pPr>
        <w:rPr>
          <w:rFonts w:cs="Arial"/>
          <w:szCs w:val="22"/>
          <w:lang w:val="en-GB"/>
        </w:rPr>
      </w:pPr>
      <w:r w:rsidRPr="002003F4">
        <w:rPr>
          <w:rFonts w:cs="Arial"/>
          <w:szCs w:val="22"/>
          <w:lang w:val="en-GB"/>
        </w:rPr>
        <w:t>Seagrass abundance at estuary and coastal intertidal habitats has fluctuated greatly between years over the life of the monitoring, with some sites experiencing total or near total loss followed by recovery (</w:t>
      </w:r>
      <w:r w:rsidRPr="002003F4">
        <w:rPr>
          <w:rFonts w:cs="Arial"/>
          <w:szCs w:val="22"/>
          <w:lang w:val="en-GB"/>
        </w:rPr>
        <w:fldChar w:fldCharType="begin"/>
      </w:r>
      <w:r w:rsidRPr="002003F4">
        <w:rPr>
          <w:rFonts w:cs="Arial"/>
          <w:szCs w:val="22"/>
          <w:lang w:val="en-GB"/>
        </w:rPr>
        <w:instrText xml:space="preserve"> REF _Ref533856131 \h </w:instrText>
      </w:r>
      <w:r w:rsidR="00CB093C" w:rsidRPr="002003F4">
        <w:rPr>
          <w:rFonts w:cs="Arial"/>
          <w:szCs w:val="22"/>
          <w:lang w:val="en-GB"/>
        </w:rPr>
        <w:instrText xml:space="preserve"> \* MERGEFORMAT </w:instrText>
      </w:r>
      <w:r w:rsidRPr="002003F4">
        <w:rPr>
          <w:rFonts w:cs="Arial"/>
          <w:szCs w:val="22"/>
          <w:lang w:val="en-GB"/>
        </w:rPr>
      </w:r>
      <w:r w:rsidRPr="002003F4">
        <w:rPr>
          <w:rFonts w:cs="Arial"/>
          <w:szCs w:val="22"/>
          <w:lang w:val="en-GB"/>
        </w:rPr>
        <w:fldChar w:fldCharType="separate"/>
      </w:r>
      <w:r w:rsidR="0067675D" w:rsidRPr="00D562E2">
        <w:rPr>
          <w:rFonts w:cs="Arial"/>
          <w:szCs w:val="22"/>
        </w:rPr>
        <w:t xml:space="preserve">Figure </w:t>
      </w:r>
      <w:r w:rsidR="0067675D">
        <w:rPr>
          <w:rFonts w:cs="Arial"/>
          <w:noProof/>
          <w:szCs w:val="22"/>
        </w:rPr>
        <w:t>73</w:t>
      </w:r>
      <w:r w:rsidRPr="002003F4">
        <w:rPr>
          <w:rFonts w:cs="Arial"/>
          <w:szCs w:val="22"/>
          <w:lang w:val="en-GB"/>
        </w:rPr>
        <w:fldChar w:fldCharType="end"/>
      </w:r>
      <w:r w:rsidRPr="002003F4">
        <w:rPr>
          <w:rFonts w:cs="Arial"/>
          <w:szCs w:val="22"/>
          <w:lang w:val="en-GB"/>
        </w:rPr>
        <w:t xml:space="preserve">). In </w:t>
      </w:r>
      <w:r w:rsidR="00956639" w:rsidRPr="002003F4">
        <w:rPr>
          <w:rFonts w:cs="Arial"/>
          <w:szCs w:val="22"/>
          <w:lang w:val="en-GB"/>
        </w:rPr>
        <w:t>2018–19</w:t>
      </w:r>
      <w:r w:rsidRPr="002003F4">
        <w:rPr>
          <w:rFonts w:cs="Arial"/>
          <w:szCs w:val="22"/>
          <w:lang w:val="en-GB"/>
        </w:rPr>
        <w:t xml:space="preserve">, half of the </w:t>
      </w:r>
      <w:r w:rsidR="002003F4" w:rsidRPr="002003F4">
        <w:rPr>
          <w:rFonts w:cs="Arial"/>
          <w:szCs w:val="22"/>
          <w:lang w:val="en-GB"/>
        </w:rPr>
        <w:t>coastal</w:t>
      </w:r>
      <w:r w:rsidRPr="002003F4">
        <w:rPr>
          <w:rFonts w:cs="Arial"/>
          <w:szCs w:val="22"/>
          <w:lang w:val="en-GB"/>
        </w:rPr>
        <w:t xml:space="preserve"> sites decreased in abundance </w:t>
      </w:r>
      <w:r w:rsidR="0014227E" w:rsidRPr="002003F4">
        <w:rPr>
          <w:rFonts w:cs="Arial"/>
          <w:szCs w:val="22"/>
          <w:lang w:val="en-GB"/>
        </w:rPr>
        <w:t>relative to the previous period</w:t>
      </w:r>
      <w:r w:rsidRPr="002003F4">
        <w:rPr>
          <w:rFonts w:cs="Arial"/>
          <w:szCs w:val="22"/>
          <w:lang w:val="en-GB"/>
        </w:rPr>
        <w:t xml:space="preserve">, with all remaining sites, including all </w:t>
      </w:r>
      <w:r w:rsidR="002003F4" w:rsidRPr="002003F4">
        <w:rPr>
          <w:rFonts w:cs="Arial"/>
          <w:szCs w:val="22"/>
          <w:lang w:val="en-GB"/>
        </w:rPr>
        <w:t>reef</w:t>
      </w:r>
      <w:r w:rsidRPr="002003F4">
        <w:rPr>
          <w:rFonts w:cs="Arial"/>
          <w:szCs w:val="22"/>
          <w:lang w:val="en-GB"/>
        </w:rPr>
        <w:t xml:space="preserve"> sites, increasing</w:t>
      </w:r>
      <w:r w:rsidR="002003F4" w:rsidRPr="002003F4">
        <w:rPr>
          <w:rFonts w:cs="Arial"/>
          <w:szCs w:val="22"/>
          <w:lang w:val="en-GB"/>
        </w:rPr>
        <w:t xml:space="preserve"> or remaining stable</w:t>
      </w:r>
      <w:r w:rsidRPr="002003F4">
        <w:rPr>
          <w:rFonts w:cs="Arial"/>
          <w:szCs w:val="22"/>
          <w:lang w:val="en-GB"/>
        </w:rPr>
        <w:t xml:space="preserve"> (</w:t>
      </w:r>
      <w:r w:rsidRPr="002003F4">
        <w:rPr>
          <w:rFonts w:cs="Arial"/>
          <w:szCs w:val="22"/>
          <w:lang w:val="en-GB"/>
        </w:rPr>
        <w:fldChar w:fldCharType="begin"/>
      </w:r>
      <w:r w:rsidRPr="002003F4">
        <w:rPr>
          <w:rFonts w:cs="Arial"/>
          <w:szCs w:val="22"/>
          <w:lang w:val="en-GB"/>
        </w:rPr>
        <w:instrText xml:space="preserve"> REF _Ref533856131 \h </w:instrText>
      </w:r>
      <w:r w:rsidR="00CB093C" w:rsidRPr="002003F4">
        <w:rPr>
          <w:rFonts w:cs="Arial"/>
          <w:szCs w:val="22"/>
          <w:lang w:val="en-GB"/>
        </w:rPr>
        <w:instrText xml:space="preserve"> \* MERGEFORMAT </w:instrText>
      </w:r>
      <w:r w:rsidRPr="002003F4">
        <w:rPr>
          <w:rFonts w:cs="Arial"/>
          <w:szCs w:val="22"/>
          <w:lang w:val="en-GB"/>
        </w:rPr>
      </w:r>
      <w:r w:rsidRPr="002003F4">
        <w:rPr>
          <w:rFonts w:cs="Arial"/>
          <w:szCs w:val="22"/>
          <w:lang w:val="en-GB"/>
        </w:rPr>
        <w:fldChar w:fldCharType="separate"/>
      </w:r>
      <w:r w:rsidR="0067675D" w:rsidRPr="00D562E2">
        <w:rPr>
          <w:rFonts w:cs="Arial"/>
          <w:szCs w:val="22"/>
        </w:rPr>
        <w:t xml:space="preserve">Figure </w:t>
      </w:r>
      <w:r w:rsidR="0067675D">
        <w:rPr>
          <w:rFonts w:cs="Arial"/>
          <w:noProof/>
          <w:szCs w:val="22"/>
        </w:rPr>
        <w:t>73</w:t>
      </w:r>
      <w:r w:rsidRPr="002003F4">
        <w:rPr>
          <w:rFonts w:cs="Arial"/>
          <w:szCs w:val="22"/>
          <w:lang w:val="en-GB"/>
        </w:rPr>
        <w:fldChar w:fldCharType="end"/>
      </w:r>
      <w:r w:rsidRPr="002003F4">
        <w:rPr>
          <w:rFonts w:cs="Arial"/>
          <w:szCs w:val="22"/>
          <w:lang w:val="en-GB"/>
        </w:rPr>
        <w:t>).</w:t>
      </w:r>
      <w:r w:rsidR="00CB7184" w:rsidRPr="002003F4">
        <w:rPr>
          <w:rFonts w:cs="Arial"/>
          <w:szCs w:val="22"/>
          <w:lang w:val="en-GB"/>
        </w:rPr>
        <w:t xml:space="preserve"> </w:t>
      </w:r>
    </w:p>
    <w:p w14:paraId="55389A61" w14:textId="5E28E0AB" w:rsidR="00873BF5" w:rsidRPr="002003F4" w:rsidRDefault="00CB7184" w:rsidP="0014227E">
      <w:pPr>
        <w:rPr>
          <w:rFonts w:cs="Arial"/>
          <w:szCs w:val="22"/>
          <w:lang w:val="en-GB"/>
        </w:rPr>
      </w:pPr>
      <w:r w:rsidRPr="002003F4">
        <w:rPr>
          <w:rFonts w:cs="Arial"/>
          <w:szCs w:val="22"/>
          <w:lang w:val="en-GB"/>
        </w:rPr>
        <w:t xml:space="preserve">Examination of the long-term trend in </w:t>
      </w:r>
      <w:r w:rsidRPr="002003F4">
        <w:rPr>
          <w:rFonts w:cs="Arial"/>
          <w:szCs w:val="22"/>
          <w:lang w:eastAsia="x-none"/>
        </w:rPr>
        <w:t>seagrass abundance (</w:t>
      </w:r>
      <w:r w:rsidR="004916B0">
        <w:rPr>
          <w:rFonts w:cs="Arial"/>
          <w:szCs w:val="22"/>
          <w:lang w:eastAsia="x-none"/>
        </w:rPr>
        <w:t>per cent</w:t>
      </w:r>
      <w:r w:rsidRPr="002003F4">
        <w:rPr>
          <w:rFonts w:cs="Arial"/>
          <w:szCs w:val="22"/>
          <w:lang w:eastAsia="x-none"/>
        </w:rPr>
        <w:t xml:space="preserve"> cover) across the region reveals a significant decrease </w:t>
      </w:r>
      <w:r w:rsidRPr="002003F4">
        <w:rPr>
          <w:rFonts w:cs="Arial"/>
          <w:szCs w:val="22"/>
          <w:lang w:val="en-GB"/>
        </w:rPr>
        <w:t>(</w:t>
      </w:r>
      <w:r w:rsidRPr="002003F4">
        <w:rPr>
          <w:rFonts w:cs="Arial"/>
          <w:szCs w:val="22"/>
          <w:lang w:val="en-GB"/>
        </w:rPr>
        <w:fldChar w:fldCharType="begin"/>
      </w:r>
      <w:r w:rsidRPr="002003F4">
        <w:rPr>
          <w:rFonts w:cs="Arial"/>
          <w:szCs w:val="22"/>
          <w:lang w:val="en-GB"/>
        </w:rPr>
        <w:instrText xml:space="preserve"> REF _Ref533852573 \h </w:instrText>
      </w:r>
      <w:r w:rsidR="00CB093C" w:rsidRPr="002003F4">
        <w:rPr>
          <w:rFonts w:cs="Arial"/>
          <w:szCs w:val="22"/>
          <w:lang w:val="en-GB"/>
        </w:rPr>
        <w:instrText xml:space="preserve"> \* MERGEFORMAT </w:instrText>
      </w:r>
      <w:r w:rsidRPr="002003F4">
        <w:rPr>
          <w:rFonts w:cs="Arial"/>
          <w:szCs w:val="22"/>
          <w:lang w:val="en-GB"/>
        </w:rPr>
      </w:r>
      <w:r w:rsidRPr="002003F4">
        <w:rPr>
          <w:rFonts w:cs="Arial"/>
          <w:szCs w:val="22"/>
          <w:lang w:val="en-GB"/>
        </w:rPr>
        <w:fldChar w:fldCharType="separate"/>
      </w:r>
      <w:r w:rsidR="0067675D" w:rsidRPr="00D562E2">
        <w:rPr>
          <w:rFonts w:cs="Arial"/>
          <w:szCs w:val="22"/>
        </w:rPr>
        <w:t xml:space="preserve">Figure </w:t>
      </w:r>
      <w:r w:rsidR="0067675D">
        <w:rPr>
          <w:rFonts w:cs="Arial"/>
          <w:noProof/>
          <w:szCs w:val="22"/>
        </w:rPr>
        <w:t>72</w:t>
      </w:r>
      <w:r w:rsidRPr="002003F4">
        <w:rPr>
          <w:rFonts w:cs="Arial"/>
          <w:szCs w:val="22"/>
          <w:lang w:val="en-GB"/>
        </w:rPr>
        <w:fldChar w:fldCharType="end"/>
      </w:r>
      <w:r w:rsidRPr="002003F4">
        <w:rPr>
          <w:rFonts w:cs="Arial"/>
          <w:szCs w:val="22"/>
          <w:lang w:val="en-GB"/>
        </w:rPr>
        <w:t>,</w:t>
      </w:r>
      <w:r w:rsidRPr="002003F4">
        <w:rPr>
          <w:rFonts w:cs="Arial"/>
          <w:szCs w:val="22"/>
          <w:lang w:eastAsia="x-none"/>
        </w:rPr>
        <w:t xml:space="preserve"> </w:t>
      </w:r>
      <w:r w:rsidRPr="002003F4">
        <w:rPr>
          <w:rFonts w:cs="Arial"/>
          <w:szCs w:val="22"/>
          <w:lang w:eastAsia="x-none"/>
        </w:rPr>
        <w:fldChar w:fldCharType="begin"/>
      </w:r>
      <w:r w:rsidRPr="002003F4">
        <w:rPr>
          <w:rFonts w:cs="Arial"/>
          <w:szCs w:val="22"/>
          <w:lang w:eastAsia="x-none"/>
        </w:rPr>
        <w:instrText xml:space="preserve"> REF _Ref511310045 \h </w:instrText>
      </w:r>
      <w:r w:rsidR="00CB093C" w:rsidRPr="002003F4">
        <w:rPr>
          <w:rFonts w:cs="Arial"/>
          <w:szCs w:val="22"/>
          <w:lang w:eastAsia="x-none"/>
        </w:rPr>
        <w:instrText xml:space="preserve"> \* MERGEFORMAT </w:instrText>
      </w:r>
      <w:r w:rsidRPr="002003F4">
        <w:rPr>
          <w:rFonts w:cs="Arial"/>
          <w:szCs w:val="22"/>
          <w:lang w:eastAsia="x-none"/>
        </w:rPr>
      </w:r>
      <w:r w:rsidRPr="002003F4">
        <w:rPr>
          <w:rFonts w:cs="Arial"/>
          <w:szCs w:val="22"/>
          <w:lang w:eastAsia="x-none"/>
        </w:rPr>
        <w:fldChar w:fldCharType="separate"/>
      </w:r>
      <w:r w:rsidR="0067675D" w:rsidRPr="00867E8C">
        <w:rPr>
          <w:rFonts w:cs="Arial"/>
          <w:szCs w:val="22"/>
        </w:rPr>
        <w:t xml:space="preserve">Table </w:t>
      </w:r>
      <w:r w:rsidR="0067675D">
        <w:rPr>
          <w:rFonts w:cs="Arial"/>
          <w:noProof/>
          <w:szCs w:val="22"/>
        </w:rPr>
        <w:t>20</w:t>
      </w:r>
      <w:r w:rsidRPr="002003F4">
        <w:rPr>
          <w:rFonts w:cs="Arial"/>
          <w:szCs w:val="22"/>
          <w:lang w:eastAsia="x-none"/>
        </w:rPr>
        <w:fldChar w:fldCharType="end"/>
      </w:r>
      <w:r w:rsidRPr="002003F4">
        <w:rPr>
          <w:rFonts w:cs="Arial"/>
          <w:szCs w:val="22"/>
          <w:lang w:eastAsia="x-none"/>
        </w:rPr>
        <w:t>).</w:t>
      </w:r>
      <w:r w:rsidR="002003F4" w:rsidRPr="002003F4">
        <w:rPr>
          <w:rFonts w:cs="Arial"/>
          <w:szCs w:val="22"/>
          <w:lang w:eastAsia="x-none"/>
        </w:rPr>
        <w:t xml:space="preserve"> </w:t>
      </w:r>
      <w:r w:rsidRPr="002003F4">
        <w:rPr>
          <w:rFonts w:cs="Arial"/>
          <w:szCs w:val="22"/>
          <w:lang w:eastAsia="x-none"/>
        </w:rPr>
        <w:t xml:space="preserve">These decreases </w:t>
      </w:r>
      <w:r w:rsidR="00713044" w:rsidRPr="002003F4">
        <w:rPr>
          <w:rFonts w:cs="Arial"/>
          <w:szCs w:val="22"/>
          <w:lang w:eastAsia="x-none"/>
        </w:rPr>
        <w:t>have</w:t>
      </w:r>
      <w:r w:rsidRPr="002003F4">
        <w:rPr>
          <w:rFonts w:cs="Arial"/>
          <w:szCs w:val="22"/>
          <w:lang w:eastAsia="x-none"/>
        </w:rPr>
        <w:t xml:space="preserve"> </w:t>
      </w:r>
      <w:r w:rsidR="007A70FE" w:rsidRPr="002003F4">
        <w:rPr>
          <w:rFonts w:cs="Arial"/>
          <w:szCs w:val="22"/>
          <w:lang w:eastAsia="x-none"/>
        </w:rPr>
        <w:t>primarily</w:t>
      </w:r>
      <w:r w:rsidRPr="002003F4">
        <w:rPr>
          <w:rFonts w:cs="Arial"/>
          <w:szCs w:val="22"/>
          <w:lang w:eastAsia="x-none"/>
        </w:rPr>
        <w:t xml:space="preserve"> </w:t>
      </w:r>
      <w:r w:rsidR="00713044" w:rsidRPr="002003F4">
        <w:rPr>
          <w:rFonts w:cs="Arial"/>
          <w:szCs w:val="22"/>
          <w:lang w:eastAsia="x-none"/>
        </w:rPr>
        <w:t>occurred in the estuary and reef habitats, although two thirds of all monitoring sites in the region (including coastal) show no significant trend (</w:t>
      </w:r>
      <w:r w:rsidR="00713044" w:rsidRPr="002003F4">
        <w:rPr>
          <w:rFonts w:cs="Arial"/>
          <w:szCs w:val="22"/>
          <w:lang w:eastAsia="x-none"/>
        </w:rPr>
        <w:fldChar w:fldCharType="begin"/>
      </w:r>
      <w:r w:rsidR="00713044" w:rsidRPr="002003F4">
        <w:rPr>
          <w:rFonts w:cs="Arial"/>
          <w:szCs w:val="22"/>
          <w:lang w:eastAsia="x-none"/>
        </w:rPr>
        <w:instrText xml:space="preserve"> REF _Ref511310045 \h </w:instrText>
      </w:r>
      <w:r w:rsidR="00CB093C" w:rsidRPr="002003F4">
        <w:rPr>
          <w:rFonts w:cs="Arial"/>
          <w:szCs w:val="22"/>
          <w:lang w:eastAsia="x-none"/>
        </w:rPr>
        <w:instrText xml:space="preserve"> \* MERGEFORMAT </w:instrText>
      </w:r>
      <w:r w:rsidR="00713044" w:rsidRPr="002003F4">
        <w:rPr>
          <w:rFonts w:cs="Arial"/>
          <w:szCs w:val="22"/>
          <w:lang w:eastAsia="x-none"/>
        </w:rPr>
      </w:r>
      <w:r w:rsidR="00713044" w:rsidRPr="002003F4">
        <w:rPr>
          <w:rFonts w:cs="Arial"/>
          <w:szCs w:val="22"/>
          <w:lang w:eastAsia="x-none"/>
        </w:rPr>
        <w:fldChar w:fldCharType="separate"/>
      </w:r>
      <w:r w:rsidR="0067675D" w:rsidRPr="00867E8C">
        <w:rPr>
          <w:rFonts w:cs="Arial"/>
          <w:szCs w:val="22"/>
        </w:rPr>
        <w:t xml:space="preserve">Table </w:t>
      </w:r>
      <w:r w:rsidR="0067675D">
        <w:rPr>
          <w:rFonts w:cs="Arial"/>
          <w:noProof/>
          <w:szCs w:val="22"/>
        </w:rPr>
        <w:t>20</w:t>
      </w:r>
      <w:r w:rsidR="00713044" w:rsidRPr="002003F4">
        <w:rPr>
          <w:rFonts w:cs="Arial"/>
          <w:szCs w:val="22"/>
          <w:lang w:eastAsia="x-none"/>
        </w:rPr>
        <w:fldChar w:fldCharType="end"/>
      </w:r>
      <w:r w:rsidR="00713044" w:rsidRPr="002003F4">
        <w:rPr>
          <w:rFonts w:cs="Arial"/>
          <w:szCs w:val="22"/>
          <w:lang w:eastAsia="x-none"/>
        </w:rPr>
        <w:t xml:space="preserve">). </w:t>
      </w:r>
    </w:p>
    <w:p w14:paraId="037CBD6A" w14:textId="51B4655A" w:rsidR="002F7B2F" w:rsidRPr="002003F4" w:rsidRDefault="00CB7184" w:rsidP="00D56475">
      <w:pPr>
        <w:rPr>
          <w:rFonts w:cs="Arial"/>
          <w:szCs w:val="22"/>
        </w:rPr>
      </w:pPr>
      <w:r w:rsidRPr="002003F4">
        <w:rPr>
          <w:rFonts w:cs="Arial"/>
          <w:szCs w:val="22"/>
        </w:rPr>
        <w:t xml:space="preserve">The </w:t>
      </w:r>
      <w:r w:rsidR="00D56475" w:rsidRPr="002003F4">
        <w:rPr>
          <w:rFonts w:cs="Arial"/>
          <w:szCs w:val="22"/>
        </w:rPr>
        <w:t xml:space="preserve">low </w:t>
      </w:r>
      <w:r w:rsidRPr="002003F4">
        <w:rPr>
          <w:rFonts w:cs="Arial"/>
          <w:szCs w:val="22"/>
        </w:rPr>
        <w:t>s</w:t>
      </w:r>
      <w:r w:rsidR="00036BE4" w:rsidRPr="002003F4">
        <w:rPr>
          <w:rFonts w:cs="Arial"/>
          <w:szCs w:val="22"/>
        </w:rPr>
        <w:t xml:space="preserve">eagrass abundance in </w:t>
      </w:r>
      <w:r w:rsidRPr="002003F4">
        <w:rPr>
          <w:rFonts w:cs="Arial"/>
          <w:szCs w:val="22"/>
        </w:rPr>
        <w:t xml:space="preserve">the </w:t>
      </w:r>
      <w:r w:rsidR="00036BE4" w:rsidRPr="002003F4">
        <w:rPr>
          <w:rFonts w:cs="Arial"/>
          <w:szCs w:val="22"/>
        </w:rPr>
        <w:t xml:space="preserve">estuarine habitat appears </w:t>
      </w:r>
      <w:r w:rsidR="00D56475" w:rsidRPr="002003F4">
        <w:rPr>
          <w:rFonts w:cs="Arial"/>
          <w:szCs w:val="22"/>
        </w:rPr>
        <w:t>a legacy of decline in 2016</w:t>
      </w:r>
      <w:r w:rsidR="00A675DA" w:rsidRPr="002003F4">
        <w:rPr>
          <w:rFonts w:cs="Arial"/>
          <w:szCs w:val="22"/>
        </w:rPr>
        <w:t>–</w:t>
      </w:r>
      <w:r w:rsidR="00D56475" w:rsidRPr="002003F4">
        <w:rPr>
          <w:rFonts w:cs="Arial"/>
          <w:szCs w:val="22"/>
        </w:rPr>
        <w:t>17, the result of</w:t>
      </w:r>
      <w:r w:rsidR="00036BE4" w:rsidRPr="002003F4">
        <w:rPr>
          <w:rFonts w:cs="Arial"/>
          <w:szCs w:val="22"/>
        </w:rPr>
        <w:t xml:space="preserve"> </w:t>
      </w:r>
      <w:r w:rsidR="00D56475" w:rsidRPr="002003F4">
        <w:rPr>
          <w:rFonts w:cs="Arial"/>
          <w:szCs w:val="22"/>
        </w:rPr>
        <w:t xml:space="preserve">a </w:t>
      </w:r>
      <w:r w:rsidR="00036BE4" w:rsidRPr="002003F4">
        <w:rPr>
          <w:rFonts w:cs="Arial"/>
          <w:szCs w:val="22"/>
        </w:rPr>
        <w:t>mud</w:t>
      </w:r>
      <w:r w:rsidR="00D56475" w:rsidRPr="002003F4">
        <w:rPr>
          <w:rFonts w:cs="Arial"/>
          <w:szCs w:val="22"/>
        </w:rPr>
        <w:t xml:space="preserve"> wave</w:t>
      </w:r>
      <w:r w:rsidR="00036BE4" w:rsidRPr="002003F4">
        <w:rPr>
          <w:rFonts w:cs="Arial"/>
          <w:szCs w:val="22"/>
        </w:rPr>
        <w:t xml:space="preserve"> </w:t>
      </w:r>
      <w:r w:rsidR="008D74B2" w:rsidRPr="002003F4">
        <w:rPr>
          <w:rFonts w:cs="Arial"/>
          <w:szCs w:val="22"/>
        </w:rPr>
        <w:t>traversing</w:t>
      </w:r>
      <w:r w:rsidR="00D56475" w:rsidRPr="002003F4">
        <w:rPr>
          <w:rFonts w:cs="Arial"/>
          <w:szCs w:val="22"/>
        </w:rPr>
        <w:t xml:space="preserve"> across the meadow. </w:t>
      </w:r>
      <w:r w:rsidR="00D73BD0" w:rsidRPr="002003F4">
        <w:rPr>
          <w:rFonts w:cs="Arial"/>
          <w:szCs w:val="22"/>
        </w:rPr>
        <w:t>As t</w:t>
      </w:r>
      <w:r w:rsidR="00D56475" w:rsidRPr="002003F4">
        <w:rPr>
          <w:rFonts w:cs="Arial"/>
          <w:szCs w:val="22"/>
        </w:rPr>
        <w:t xml:space="preserve">he mud wave dissipated in </w:t>
      </w:r>
      <w:r w:rsidR="00956639" w:rsidRPr="002003F4">
        <w:rPr>
          <w:rFonts w:cs="Arial"/>
          <w:szCs w:val="22"/>
        </w:rPr>
        <w:t>2018–19</w:t>
      </w:r>
      <w:r w:rsidR="00D56475" w:rsidRPr="002003F4">
        <w:rPr>
          <w:rFonts w:cs="Arial"/>
          <w:szCs w:val="22"/>
        </w:rPr>
        <w:t xml:space="preserve">, meadow integrity </w:t>
      </w:r>
      <w:r w:rsidR="00D73BD0" w:rsidRPr="002003F4">
        <w:rPr>
          <w:rFonts w:cs="Arial"/>
          <w:szCs w:val="22"/>
        </w:rPr>
        <w:t xml:space="preserve">(e.g. reduced scarring) </w:t>
      </w:r>
      <w:r w:rsidR="00D56475" w:rsidRPr="002003F4">
        <w:rPr>
          <w:rFonts w:cs="Arial"/>
          <w:szCs w:val="22"/>
        </w:rPr>
        <w:t>improved.</w:t>
      </w:r>
      <w:r w:rsidR="00036BE4" w:rsidRPr="002003F4">
        <w:rPr>
          <w:rFonts w:cs="Arial"/>
          <w:szCs w:val="22"/>
        </w:rPr>
        <w:t xml:space="preserve"> </w:t>
      </w:r>
    </w:p>
    <w:p w14:paraId="2D744DCB" w14:textId="52852EB5" w:rsidR="002F7B2F" w:rsidRPr="00FC3EBA" w:rsidRDefault="00D73BD0" w:rsidP="00D56475">
      <w:pPr>
        <w:rPr>
          <w:rFonts w:cs="Arial"/>
          <w:szCs w:val="22"/>
        </w:rPr>
      </w:pPr>
      <w:r w:rsidRPr="00FC3EBA">
        <w:rPr>
          <w:rFonts w:cs="Arial"/>
          <w:szCs w:val="22"/>
        </w:rPr>
        <w:t xml:space="preserve">In the north of the region, </w:t>
      </w:r>
      <w:r w:rsidR="00713044" w:rsidRPr="00FC3EBA">
        <w:rPr>
          <w:rFonts w:cs="Arial"/>
          <w:szCs w:val="22"/>
        </w:rPr>
        <w:t xml:space="preserve">coastal sites </w:t>
      </w:r>
      <w:r w:rsidRPr="00FC3EBA">
        <w:rPr>
          <w:rFonts w:cs="Arial"/>
          <w:szCs w:val="22"/>
        </w:rPr>
        <w:t>receive</w:t>
      </w:r>
      <w:r w:rsidR="00713044" w:rsidRPr="00FC3EBA">
        <w:rPr>
          <w:rFonts w:cs="Arial"/>
          <w:szCs w:val="22"/>
        </w:rPr>
        <w:t xml:space="preserve"> </w:t>
      </w:r>
      <w:r w:rsidRPr="00FC3EBA">
        <w:rPr>
          <w:rFonts w:cs="Arial"/>
          <w:szCs w:val="22"/>
        </w:rPr>
        <w:t xml:space="preserve">low </w:t>
      </w:r>
      <w:r w:rsidR="00713044" w:rsidRPr="00FC3EBA">
        <w:rPr>
          <w:rFonts w:cs="Arial"/>
          <w:szCs w:val="22"/>
        </w:rPr>
        <w:t xml:space="preserve">river discharge, however, the meadows </w:t>
      </w:r>
      <w:r w:rsidRPr="00FC3EBA">
        <w:rPr>
          <w:rFonts w:cs="Arial"/>
          <w:szCs w:val="22"/>
        </w:rPr>
        <w:t>were</w:t>
      </w:r>
      <w:r w:rsidR="00713044" w:rsidRPr="00FC3EBA">
        <w:rPr>
          <w:rFonts w:cs="Arial"/>
          <w:szCs w:val="22"/>
        </w:rPr>
        <w:t xml:space="preserve"> still exposed to turbid ‘brown’ sediment laden waters for much of the year. There turbid waters </w:t>
      </w:r>
      <w:r w:rsidRPr="00FC3EBA">
        <w:rPr>
          <w:rFonts w:cs="Arial"/>
          <w:szCs w:val="22"/>
        </w:rPr>
        <w:t xml:space="preserve">could be </w:t>
      </w:r>
      <w:r w:rsidR="00713044" w:rsidRPr="00FC3EBA">
        <w:rPr>
          <w:rFonts w:cs="Arial"/>
          <w:szCs w:val="22"/>
        </w:rPr>
        <w:t xml:space="preserve">partly the result of </w:t>
      </w:r>
      <w:r w:rsidR="00E44907" w:rsidRPr="00FC3EBA">
        <w:rPr>
          <w:rFonts w:cs="Arial"/>
          <w:szCs w:val="22"/>
        </w:rPr>
        <w:t>wind</w:t>
      </w:r>
      <w:r w:rsidR="00E44907">
        <w:rPr>
          <w:rFonts w:cs="Arial"/>
          <w:szCs w:val="22"/>
        </w:rPr>
        <w:t>-</w:t>
      </w:r>
      <w:r w:rsidR="00713044" w:rsidRPr="00FC3EBA">
        <w:rPr>
          <w:rFonts w:cs="Arial"/>
          <w:szCs w:val="22"/>
        </w:rPr>
        <w:t xml:space="preserve">driven </w:t>
      </w:r>
      <w:r w:rsidR="00E44907">
        <w:rPr>
          <w:rFonts w:cs="Arial"/>
          <w:szCs w:val="22"/>
        </w:rPr>
        <w:t>re</w:t>
      </w:r>
      <w:r w:rsidR="00713044" w:rsidRPr="00FC3EBA">
        <w:rPr>
          <w:rFonts w:cs="Arial"/>
          <w:szCs w:val="22"/>
        </w:rPr>
        <w:t xml:space="preserve">suspension, but </w:t>
      </w:r>
      <w:r w:rsidRPr="00FC3EBA">
        <w:rPr>
          <w:rFonts w:cs="Arial"/>
          <w:szCs w:val="22"/>
        </w:rPr>
        <w:t xml:space="preserve">appear </w:t>
      </w:r>
      <w:r w:rsidR="00713044" w:rsidRPr="00FC3EBA">
        <w:rPr>
          <w:rFonts w:cs="Arial"/>
          <w:szCs w:val="22"/>
        </w:rPr>
        <w:t xml:space="preserve">mainly the consequence of the extreme tidal movement in Shoalwater Bay (some of the highest along the Queensland coast). </w:t>
      </w:r>
    </w:p>
    <w:p w14:paraId="56717DEA" w14:textId="50884BA1" w:rsidR="002F7B2F" w:rsidRPr="00D562E2" w:rsidRDefault="00713044" w:rsidP="00D56475">
      <w:pPr>
        <w:rPr>
          <w:rFonts w:cs="Arial"/>
          <w:szCs w:val="22"/>
        </w:rPr>
      </w:pPr>
      <w:r w:rsidRPr="00D562E2">
        <w:rPr>
          <w:rFonts w:cs="Arial"/>
          <w:szCs w:val="22"/>
        </w:rPr>
        <w:t xml:space="preserve">Seagrasses in Shoalwater Bay are able to persist on the large intertidal banks, where periods of shallowing water provide some respite from the highly turbid waters. However, these periods of shallowing water and </w:t>
      </w:r>
      <w:r w:rsidR="00AC4C70" w:rsidRPr="00D562E2">
        <w:rPr>
          <w:rFonts w:cs="Arial"/>
          <w:szCs w:val="22"/>
        </w:rPr>
        <w:t xml:space="preserve">carbon limitation (when </w:t>
      </w:r>
      <w:r w:rsidRPr="00D562E2">
        <w:rPr>
          <w:rFonts w:cs="Arial"/>
          <w:szCs w:val="22"/>
        </w:rPr>
        <w:t>exposure to air</w:t>
      </w:r>
      <w:r w:rsidR="00AC4C70" w:rsidRPr="00D562E2">
        <w:rPr>
          <w:rFonts w:cs="Arial"/>
          <w:szCs w:val="22"/>
        </w:rPr>
        <w:t xml:space="preserve"> </w:t>
      </w:r>
      <w:r w:rsidR="002F7B2F" w:rsidRPr="00D562E2">
        <w:rPr>
          <w:rFonts w:cs="Arial"/>
          <w:szCs w:val="22"/>
        </w:rPr>
        <w:t xml:space="preserve">coincides with </w:t>
      </w:r>
      <w:r w:rsidR="00AC4C70" w:rsidRPr="00D562E2">
        <w:rPr>
          <w:rFonts w:cs="Arial"/>
          <w:szCs w:val="22"/>
        </w:rPr>
        <w:t xml:space="preserve">low spring tides) not only stress plants with </w:t>
      </w:r>
      <w:r w:rsidR="007A70FE" w:rsidRPr="00D562E2">
        <w:rPr>
          <w:rFonts w:cs="Arial"/>
          <w:szCs w:val="22"/>
        </w:rPr>
        <w:t>desiccation</w:t>
      </w:r>
      <w:r w:rsidR="00AC4C70" w:rsidRPr="00D562E2">
        <w:rPr>
          <w:rFonts w:cs="Arial"/>
          <w:szCs w:val="22"/>
        </w:rPr>
        <w:t xml:space="preserve">, but also fluctuating water temperatures. </w:t>
      </w:r>
    </w:p>
    <w:p w14:paraId="52A2EB0B" w14:textId="6599653F" w:rsidR="00036BE4" w:rsidRPr="0008028A" w:rsidRDefault="00D34DC4" w:rsidP="00D56475">
      <w:pPr>
        <w:rPr>
          <w:rFonts w:cs="Arial"/>
          <w:szCs w:val="22"/>
        </w:rPr>
      </w:pPr>
      <w:r w:rsidRPr="0008028A">
        <w:rPr>
          <w:rFonts w:cs="Arial"/>
          <w:szCs w:val="22"/>
        </w:rPr>
        <w:lastRenderedPageBreak/>
        <w:t xml:space="preserve">Maximum </w:t>
      </w:r>
      <w:r w:rsidR="00E864EE" w:rsidRPr="0008028A">
        <w:rPr>
          <w:rFonts w:cs="Arial"/>
          <w:szCs w:val="22"/>
        </w:rPr>
        <w:t xml:space="preserve">water </w:t>
      </w:r>
      <w:r w:rsidRPr="0008028A">
        <w:rPr>
          <w:rFonts w:cs="Arial"/>
          <w:szCs w:val="22"/>
        </w:rPr>
        <w:t>temperatures exceeded 35</w:t>
      </w:r>
      <w:r w:rsidRPr="0008028A">
        <w:rPr>
          <w:rFonts w:cs="Arial"/>
          <w:szCs w:val="22"/>
          <w:lang w:val="en-GB"/>
        </w:rPr>
        <w:t>°C</w:t>
      </w:r>
      <w:r w:rsidRPr="0008028A">
        <w:rPr>
          <w:rFonts w:cs="Arial"/>
          <w:szCs w:val="22"/>
        </w:rPr>
        <w:t xml:space="preserve"> for a total of </w:t>
      </w:r>
      <w:r w:rsidR="00FC3EBA" w:rsidRPr="0008028A">
        <w:rPr>
          <w:rFonts w:cs="Arial"/>
          <w:szCs w:val="22"/>
        </w:rPr>
        <w:t>54</w:t>
      </w:r>
      <w:r w:rsidRPr="0008028A">
        <w:rPr>
          <w:rFonts w:cs="Arial"/>
          <w:szCs w:val="22"/>
        </w:rPr>
        <w:t xml:space="preserve"> days </w:t>
      </w:r>
      <w:r w:rsidR="00E864EE" w:rsidRPr="0008028A">
        <w:rPr>
          <w:rFonts w:cs="Arial"/>
          <w:szCs w:val="22"/>
        </w:rPr>
        <w:t xml:space="preserve">in Shoalwater Bay </w:t>
      </w:r>
      <w:r w:rsidRPr="0008028A">
        <w:rPr>
          <w:rFonts w:cs="Arial"/>
          <w:szCs w:val="22"/>
        </w:rPr>
        <w:t xml:space="preserve">during </w:t>
      </w:r>
      <w:r w:rsidR="00956639" w:rsidRPr="0008028A">
        <w:rPr>
          <w:rFonts w:cs="Arial"/>
          <w:szCs w:val="22"/>
        </w:rPr>
        <w:t>2018–19</w:t>
      </w:r>
      <w:r w:rsidRPr="0008028A">
        <w:rPr>
          <w:rFonts w:cs="Arial"/>
          <w:szCs w:val="22"/>
        </w:rPr>
        <w:t xml:space="preserve">, with </w:t>
      </w:r>
      <w:r w:rsidR="00E864EE" w:rsidRPr="0008028A">
        <w:rPr>
          <w:rFonts w:cs="Arial"/>
          <w:szCs w:val="22"/>
        </w:rPr>
        <w:t>a</w:t>
      </w:r>
      <w:r w:rsidRPr="0008028A">
        <w:rPr>
          <w:rFonts w:cs="Arial"/>
          <w:szCs w:val="22"/>
        </w:rPr>
        <w:t xml:space="preserve"> highest temperature </w:t>
      </w:r>
      <w:r w:rsidR="00E864EE" w:rsidRPr="0008028A">
        <w:rPr>
          <w:rFonts w:cs="Arial"/>
          <w:szCs w:val="22"/>
        </w:rPr>
        <w:t>of</w:t>
      </w:r>
      <w:r w:rsidRPr="0008028A">
        <w:rPr>
          <w:rFonts w:cs="Arial"/>
          <w:szCs w:val="22"/>
        </w:rPr>
        <w:t xml:space="preserve"> </w:t>
      </w:r>
      <w:r w:rsidR="00FC3EBA" w:rsidRPr="0008028A">
        <w:rPr>
          <w:rFonts w:cs="Arial"/>
          <w:szCs w:val="22"/>
        </w:rPr>
        <w:t>40.3</w:t>
      </w:r>
      <w:r w:rsidRPr="0008028A">
        <w:rPr>
          <w:rFonts w:cs="Arial"/>
          <w:szCs w:val="22"/>
          <w:lang w:val="en-GB"/>
        </w:rPr>
        <w:t>°C</w:t>
      </w:r>
      <w:r w:rsidRPr="0008028A">
        <w:rPr>
          <w:rFonts w:cs="Arial"/>
          <w:szCs w:val="22"/>
        </w:rPr>
        <w:t>.</w:t>
      </w:r>
      <w:r w:rsidR="00E864EE" w:rsidRPr="0008028A">
        <w:rPr>
          <w:rFonts w:cs="Arial"/>
          <w:szCs w:val="22"/>
        </w:rPr>
        <w:t xml:space="preserve"> </w:t>
      </w:r>
      <w:r w:rsidR="00036BE4" w:rsidRPr="0008028A">
        <w:rPr>
          <w:rFonts w:cs="Arial"/>
          <w:szCs w:val="22"/>
        </w:rPr>
        <w:t xml:space="preserve">The high temperatures are particularly stressful for </w:t>
      </w:r>
      <w:r w:rsidR="00036BE4" w:rsidRPr="0008028A">
        <w:rPr>
          <w:rFonts w:cs="Arial"/>
          <w:i/>
          <w:szCs w:val="22"/>
        </w:rPr>
        <w:t>Z. muelleri</w:t>
      </w:r>
      <w:r w:rsidR="00036BE4" w:rsidRPr="0008028A">
        <w:rPr>
          <w:rFonts w:cs="Arial"/>
          <w:szCs w:val="22"/>
        </w:rPr>
        <w:t xml:space="preserve"> communities </w:t>
      </w:r>
      <w:r w:rsidR="00AC4C70" w:rsidRPr="0008028A">
        <w:rPr>
          <w:rFonts w:cs="Arial"/>
          <w:szCs w:val="22"/>
        </w:rPr>
        <w:t xml:space="preserve">which dominate the coastal habitats </w:t>
      </w:r>
      <w:r w:rsidR="00036BE4" w:rsidRPr="0008028A">
        <w:rPr>
          <w:rFonts w:cs="Arial"/>
          <w:szCs w:val="22"/>
        </w:rPr>
        <w:t>as it has a thermal optima for overall net primary productivity of 24°C and above 35°C net productivity goes into deficit</w:t>
      </w:r>
      <w:r w:rsidRPr="0008028A">
        <w:rPr>
          <w:rFonts w:cs="Arial"/>
          <w:szCs w:val="22"/>
        </w:rPr>
        <w:t>,</w:t>
      </w:r>
      <w:r w:rsidR="00036BE4" w:rsidRPr="0008028A">
        <w:rPr>
          <w:rFonts w:cs="Arial"/>
          <w:szCs w:val="22"/>
        </w:rPr>
        <w:t xml:space="preserve"> i.e. it loses energy (Collier </w:t>
      </w:r>
      <w:r w:rsidR="00036BE4" w:rsidRPr="0008028A">
        <w:rPr>
          <w:rFonts w:cs="Arial"/>
          <w:i/>
          <w:szCs w:val="22"/>
        </w:rPr>
        <w:t>et al</w:t>
      </w:r>
      <w:r w:rsidR="004E7359" w:rsidRPr="0008028A">
        <w:rPr>
          <w:rFonts w:cs="Arial"/>
          <w:i/>
          <w:szCs w:val="22"/>
        </w:rPr>
        <w:t>.</w:t>
      </w:r>
      <w:r w:rsidR="00036BE4" w:rsidRPr="0008028A">
        <w:rPr>
          <w:rFonts w:cs="Arial"/>
          <w:szCs w:val="22"/>
        </w:rPr>
        <w:t xml:space="preserve"> 2017). This is in stark contrast to other tropical species (</w:t>
      </w:r>
      <w:r w:rsidR="00036BE4" w:rsidRPr="0008028A">
        <w:rPr>
          <w:rFonts w:cs="Arial"/>
          <w:i/>
          <w:szCs w:val="22"/>
        </w:rPr>
        <w:t>H. uninervis</w:t>
      </w:r>
      <w:r w:rsidR="00036BE4" w:rsidRPr="0008028A">
        <w:rPr>
          <w:rFonts w:cs="Arial"/>
          <w:szCs w:val="22"/>
        </w:rPr>
        <w:t xml:space="preserve"> and </w:t>
      </w:r>
      <w:r w:rsidR="00036BE4" w:rsidRPr="0008028A">
        <w:rPr>
          <w:rFonts w:cs="Arial"/>
          <w:i/>
          <w:szCs w:val="22"/>
        </w:rPr>
        <w:t>C. serrulata</w:t>
      </w:r>
      <w:r w:rsidR="00036BE4" w:rsidRPr="0008028A">
        <w:rPr>
          <w:rFonts w:cs="Arial"/>
          <w:szCs w:val="22"/>
        </w:rPr>
        <w:t xml:space="preserve">), which must exceed 40°C for respiration rates and photoinhibition to cause the plants to lose energy for pulsed exposure (Collier </w:t>
      </w:r>
      <w:r w:rsidR="00036BE4" w:rsidRPr="0008028A">
        <w:rPr>
          <w:rFonts w:cs="Arial"/>
          <w:i/>
          <w:szCs w:val="22"/>
        </w:rPr>
        <w:t>et al</w:t>
      </w:r>
      <w:r w:rsidR="004E7359" w:rsidRPr="0008028A">
        <w:rPr>
          <w:rFonts w:cs="Arial"/>
          <w:i/>
          <w:szCs w:val="22"/>
        </w:rPr>
        <w:t>.</w:t>
      </w:r>
      <w:r w:rsidR="00036BE4" w:rsidRPr="0008028A">
        <w:rPr>
          <w:rFonts w:cs="Arial"/>
          <w:szCs w:val="22"/>
        </w:rPr>
        <w:t xml:space="preserve"> 2017). </w:t>
      </w:r>
      <w:r w:rsidR="003371EC" w:rsidRPr="0008028A">
        <w:rPr>
          <w:rFonts w:cs="Arial"/>
          <w:szCs w:val="22"/>
        </w:rPr>
        <w:t>Similarly,</w:t>
      </w:r>
      <w:r w:rsidR="00036BE4" w:rsidRPr="0008028A">
        <w:rPr>
          <w:rFonts w:cs="Arial"/>
          <w:szCs w:val="22"/>
        </w:rPr>
        <w:t xml:space="preserve"> water temperature exceeded 35°C </w:t>
      </w:r>
      <w:r w:rsidR="00D73BD0" w:rsidRPr="0008028A">
        <w:rPr>
          <w:rFonts w:cs="Arial"/>
          <w:szCs w:val="22"/>
        </w:rPr>
        <w:t>(max 37.</w:t>
      </w:r>
      <w:r w:rsidR="00FC3EBA" w:rsidRPr="0008028A">
        <w:rPr>
          <w:rFonts w:cs="Arial"/>
          <w:szCs w:val="22"/>
        </w:rPr>
        <w:t>4</w:t>
      </w:r>
      <w:r w:rsidR="00D73BD0" w:rsidRPr="0008028A">
        <w:rPr>
          <w:rFonts w:cs="Arial"/>
          <w:szCs w:val="22"/>
        </w:rPr>
        <w:t xml:space="preserve">) </w:t>
      </w:r>
      <w:r w:rsidR="00036BE4" w:rsidRPr="0008028A">
        <w:rPr>
          <w:rFonts w:cs="Arial"/>
          <w:szCs w:val="22"/>
        </w:rPr>
        <w:t xml:space="preserve">on </w:t>
      </w:r>
      <w:r w:rsidR="00FC3EBA" w:rsidRPr="0008028A">
        <w:rPr>
          <w:rFonts w:cs="Arial"/>
          <w:szCs w:val="22"/>
        </w:rPr>
        <w:t>8</w:t>
      </w:r>
      <w:r w:rsidR="00036BE4" w:rsidRPr="0008028A">
        <w:rPr>
          <w:rFonts w:cs="Arial"/>
          <w:szCs w:val="22"/>
        </w:rPr>
        <w:t xml:space="preserve"> days </w:t>
      </w:r>
      <w:r w:rsidR="00E864EE" w:rsidRPr="0008028A">
        <w:rPr>
          <w:rFonts w:cs="Arial"/>
          <w:szCs w:val="22"/>
        </w:rPr>
        <w:t xml:space="preserve">at Pelican banks in Gladstone Harbour </w:t>
      </w:r>
      <w:r w:rsidR="00036BE4" w:rsidRPr="0008028A">
        <w:rPr>
          <w:rFonts w:cs="Arial"/>
          <w:szCs w:val="22"/>
        </w:rPr>
        <w:t xml:space="preserve">and </w:t>
      </w:r>
      <w:r w:rsidR="00E864EE" w:rsidRPr="0008028A">
        <w:rPr>
          <w:rFonts w:cs="Arial"/>
          <w:szCs w:val="22"/>
        </w:rPr>
        <w:t>this wa</w:t>
      </w:r>
      <w:r w:rsidR="00036BE4" w:rsidRPr="0008028A">
        <w:rPr>
          <w:rFonts w:cs="Arial"/>
          <w:szCs w:val="22"/>
        </w:rPr>
        <w:t xml:space="preserve">s likely to have placed a substantial stress on these </w:t>
      </w:r>
      <w:r w:rsidR="00036BE4" w:rsidRPr="0008028A">
        <w:rPr>
          <w:rFonts w:cs="Arial"/>
          <w:i/>
          <w:szCs w:val="22"/>
        </w:rPr>
        <w:t>Z. muelleri</w:t>
      </w:r>
      <w:r w:rsidR="00036BE4" w:rsidRPr="0008028A">
        <w:rPr>
          <w:rFonts w:cs="Arial"/>
          <w:szCs w:val="22"/>
        </w:rPr>
        <w:t xml:space="preserve"> dominated communities. </w:t>
      </w:r>
    </w:p>
    <w:p w14:paraId="7E977AD6" w14:textId="77777777" w:rsidR="00202B9D" w:rsidRPr="0008028A" w:rsidRDefault="00202B9D" w:rsidP="001063D8">
      <w:pPr>
        <w:rPr>
          <w:rFonts w:cs="Arial"/>
          <w:szCs w:val="22"/>
        </w:rPr>
      </w:pPr>
    </w:p>
    <w:p w14:paraId="4CB8D856" w14:textId="77777777" w:rsidR="001063D8" w:rsidRPr="00D562E2" w:rsidRDefault="001063D8" w:rsidP="001063D8">
      <w:pPr>
        <w:rPr>
          <w:rFonts w:cs="Arial"/>
          <w:szCs w:val="22"/>
        </w:rPr>
      </w:pPr>
      <w:r w:rsidRPr="00D562E2">
        <w:rPr>
          <w:rFonts w:cs="Arial"/>
          <w:noProof/>
          <w:szCs w:val="22"/>
          <w:lang w:eastAsia="en-AU"/>
        </w:rPr>
        <w:drawing>
          <wp:inline distT="0" distB="0" distL="0" distR="0" wp14:anchorId="7E684E4F" wp14:editId="4812D49F">
            <wp:extent cx="5727700" cy="3404762"/>
            <wp:effectExtent l="0" t="0" r="6350" b="5715"/>
            <wp:docPr id="550" name="Picture 550" descr="Panel of eight graphs, displayed in two by four matrix, showing seagrass percent cover measures per quadrat (sites pooled) for each habitat monitored from 2002 to 2019 in the Fitzroy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er MMP_period boxplot_CY_perHab_newformat-01.png"/>
                    <pic:cNvPicPr/>
                  </pic:nvPicPr>
                  <pic:blipFill>
                    <a:blip r:embed="rId126"/>
                    <a:stretch>
                      <a:fillRect/>
                    </a:stretch>
                  </pic:blipFill>
                  <pic:spPr>
                    <a:xfrm>
                      <a:off x="0" y="0"/>
                      <a:ext cx="5727700" cy="3404762"/>
                    </a:xfrm>
                    <a:prstGeom prst="rect">
                      <a:avLst/>
                    </a:prstGeom>
                  </pic:spPr>
                </pic:pic>
              </a:graphicData>
            </a:graphic>
          </wp:inline>
        </w:drawing>
      </w:r>
    </w:p>
    <w:p w14:paraId="00BC9FEB" w14:textId="1DA74349" w:rsidR="00A355AB" w:rsidRPr="00D562E2" w:rsidRDefault="001063D8" w:rsidP="00A355AB">
      <w:pPr>
        <w:rPr>
          <w:rFonts w:cs="Arial"/>
          <w:i/>
          <w:vanish/>
          <w:szCs w:val="22"/>
          <w:specVanish/>
        </w:rPr>
      </w:pPr>
      <w:bookmarkStart w:id="562" w:name="_Ref533856131"/>
      <w:bookmarkStart w:id="563" w:name="_Toc38634177"/>
      <w:r w:rsidRPr="00D562E2">
        <w:rPr>
          <w:rFonts w:cs="Arial"/>
          <w:szCs w:val="22"/>
        </w:rPr>
        <w:t xml:space="preserve">Figure </w:t>
      </w:r>
      <w:r w:rsidR="00DC649E" w:rsidRPr="00D562E2">
        <w:rPr>
          <w:rFonts w:cs="Arial"/>
          <w:noProof/>
          <w:szCs w:val="22"/>
        </w:rPr>
        <w:fldChar w:fldCharType="begin"/>
      </w:r>
      <w:r w:rsidR="00DC649E" w:rsidRPr="00D562E2">
        <w:rPr>
          <w:rFonts w:cs="Arial"/>
          <w:noProof/>
          <w:szCs w:val="22"/>
        </w:rPr>
        <w:instrText xml:space="preserve"> SEQ Figure \* ARABIC </w:instrText>
      </w:r>
      <w:r w:rsidR="00DC649E" w:rsidRPr="00D562E2">
        <w:rPr>
          <w:rFonts w:cs="Arial"/>
          <w:noProof/>
          <w:szCs w:val="22"/>
        </w:rPr>
        <w:fldChar w:fldCharType="separate"/>
      </w:r>
      <w:r w:rsidR="0067675D">
        <w:rPr>
          <w:rFonts w:cs="Arial"/>
          <w:noProof/>
          <w:szCs w:val="22"/>
        </w:rPr>
        <w:t>73</w:t>
      </w:r>
      <w:r w:rsidR="00DC649E" w:rsidRPr="00D562E2">
        <w:rPr>
          <w:rFonts w:cs="Arial"/>
          <w:noProof/>
          <w:szCs w:val="22"/>
        </w:rPr>
        <w:fldChar w:fldCharType="end"/>
      </w:r>
      <w:bookmarkEnd w:id="562"/>
      <w:r w:rsidRPr="00D562E2">
        <w:rPr>
          <w:rFonts w:cs="Arial"/>
          <w:szCs w:val="22"/>
        </w:rPr>
        <w:t xml:space="preserve">. </w:t>
      </w:r>
      <w:r w:rsidR="00A355AB" w:rsidRPr="00D562E2">
        <w:rPr>
          <w:rFonts w:cs="Arial"/>
          <w:i/>
          <w:szCs w:val="22"/>
        </w:rPr>
        <w:t xml:space="preserve">Seagrass per cent cover measures per quadrat (sites pooled) and long-term trends, for each habitat monitored in the </w:t>
      </w:r>
      <w:r w:rsidR="00A355AB" w:rsidRPr="00D562E2">
        <w:rPr>
          <w:rFonts w:cs="Arial"/>
          <w:i/>
          <w:color w:val="000000"/>
          <w:szCs w:val="22"/>
        </w:rPr>
        <w:t xml:space="preserve">Fitzroy NRM </w:t>
      </w:r>
      <w:r w:rsidR="00A355AB" w:rsidRPr="00D562E2">
        <w:rPr>
          <w:rFonts w:cs="Arial"/>
          <w:i/>
          <w:szCs w:val="22"/>
        </w:rPr>
        <w:t>region from 2002 to 201</w:t>
      </w:r>
      <w:r w:rsidR="00371FEA" w:rsidRPr="00D562E2">
        <w:rPr>
          <w:rFonts w:cs="Arial"/>
          <w:i/>
          <w:szCs w:val="22"/>
        </w:rPr>
        <w:t>9</w:t>
      </w:r>
      <w:r w:rsidR="00A355AB" w:rsidRPr="00D562E2">
        <w:rPr>
          <w:rFonts w:cs="Arial"/>
          <w:i/>
          <w:szCs w:val="22"/>
        </w:rPr>
        <w:t>.</w:t>
      </w:r>
      <w:bookmarkEnd w:id="563"/>
    </w:p>
    <w:p w14:paraId="24F3F711" w14:textId="5F4F9D10" w:rsidR="001063D8" w:rsidRPr="00D562E2" w:rsidRDefault="00A355AB" w:rsidP="00A355AB">
      <w:pPr>
        <w:rPr>
          <w:rFonts w:cs="Arial"/>
          <w:szCs w:val="22"/>
          <w:lang w:val="en-GB"/>
        </w:rPr>
      </w:pPr>
      <w:r w:rsidRPr="00D562E2">
        <w:rPr>
          <w:rFonts w:cs="Arial"/>
          <w:i/>
          <w:szCs w:val="22"/>
          <w:lang w:val="en-GB"/>
        </w:rPr>
        <w:t xml:space="preserve"> Whisker plots (top) show th</w:t>
      </w:r>
      <w:r w:rsidRPr="00D562E2">
        <w:rPr>
          <w:rFonts w:cs="Arial"/>
          <w:i/>
          <w:szCs w:val="22"/>
        </w:rPr>
        <w:t>e box representing the interquartile range of values, where the boundary of the box closest to zero indicates the 25</w:t>
      </w:r>
      <w:r w:rsidRPr="00D562E2">
        <w:rPr>
          <w:rFonts w:cs="Arial"/>
          <w:i/>
          <w:szCs w:val="22"/>
          <w:vertAlign w:val="superscript"/>
        </w:rPr>
        <w:t>th</w:t>
      </w:r>
      <w:r w:rsidRPr="00D562E2">
        <w:rPr>
          <w:rFonts w:cs="Arial"/>
          <w:i/>
          <w:szCs w:val="22"/>
        </w:rPr>
        <w:t xml:space="preserve"> percentile, a line within the box marks the median, and the boundary of </w:t>
      </w:r>
      <w:r w:rsidRPr="00D562E2">
        <w:rPr>
          <w:rFonts w:cs="Arial"/>
          <w:i/>
          <w:szCs w:val="22"/>
        </w:rPr>
        <w:lastRenderedPageBreak/>
        <w:t>the box farthest from zero indicates the 75</w:t>
      </w:r>
      <w:r w:rsidRPr="00D562E2">
        <w:rPr>
          <w:rFonts w:cs="Arial"/>
          <w:i/>
          <w:szCs w:val="22"/>
          <w:vertAlign w:val="superscript"/>
        </w:rPr>
        <w:t>th</w:t>
      </w:r>
      <w:r w:rsidRPr="00D562E2">
        <w:rPr>
          <w:rFonts w:cs="Arial"/>
          <w:i/>
          <w:szCs w:val="22"/>
        </w:rPr>
        <w:t xml:space="preserve"> percentile. Whiskers (error bars) above and below the box indicate the 90</w:t>
      </w:r>
      <w:r w:rsidRPr="00D562E2">
        <w:rPr>
          <w:rFonts w:cs="Arial"/>
          <w:i/>
          <w:szCs w:val="22"/>
          <w:vertAlign w:val="superscript"/>
        </w:rPr>
        <w:t>th</w:t>
      </w:r>
      <w:r w:rsidRPr="00D562E2">
        <w:rPr>
          <w:rFonts w:cs="Arial"/>
          <w:i/>
          <w:szCs w:val="22"/>
        </w:rPr>
        <w:t xml:space="preserve"> and 10</w:t>
      </w:r>
      <w:r w:rsidRPr="00D562E2">
        <w:rPr>
          <w:rFonts w:cs="Arial"/>
          <w:i/>
          <w:szCs w:val="22"/>
          <w:vertAlign w:val="superscript"/>
        </w:rPr>
        <w:t>th</w:t>
      </w:r>
      <w:r w:rsidRPr="00D562E2">
        <w:rPr>
          <w:rFonts w:cs="Arial"/>
          <w:i/>
          <w:szCs w:val="22"/>
        </w:rPr>
        <w:t xml:space="preserve"> percentiles, and the dots represent outlying points.</w:t>
      </w:r>
      <w:r w:rsidRPr="00D562E2">
        <w:rPr>
          <w:rFonts w:cs="Arial"/>
          <w:i/>
          <w:szCs w:val="22"/>
          <w:lang w:val="en-GB"/>
        </w:rPr>
        <w:t xml:space="preserve"> </w:t>
      </w:r>
      <w:r w:rsidRPr="00D562E2">
        <w:rPr>
          <w:rFonts w:cs="Arial"/>
          <w:i/>
          <w:szCs w:val="22"/>
        </w:rPr>
        <w:t>GAMM plots (bottom), show trends for each habitat and coloured lines represent individual site trends</w:t>
      </w:r>
      <w:r w:rsidR="0091038E" w:rsidRPr="00D562E2">
        <w:rPr>
          <w:rFonts w:cs="Arial"/>
          <w:i/>
          <w:szCs w:val="22"/>
        </w:rPr>
        <w:t>.</w:t>
      </w:r>
    </w:p>
    <w:p w14:paraId="1D7384A5" w14:textId="75B3B5BC" w:rsidR="004C1F3E" w:rsidRPr="009F2F83" w:rsidRDefault="007E1DF9" w:rsidP="00034AD4">
      <w:pPr>
        <w:rPr>
          <w:rFonts w:cs="Arial"/>
          <w:szCs w:val="22"/>
        </w:rPr>
      </w:pPr>
      <w:r w:rsidRPr="009F2F83">
        <w:rPr>
          <w:rFonts w:cs="Arial"/>
          <w:szCs w:val="22"/>
        </w:rPr>
        <w:t>Coastal meadows in Shoalwater Bay (Ross Creek and Wheelans Hut) had an increased proportion of colonising species (</w:t>
      </w:r>
      <w:r w:rsidRPr="009F2F83">
        <w:rPr>
          <w:rFonts w:cs="Arial"/>
          <w:i/>
          <w:szCs w:val="22"/>
        </w:rPr>
        <w:t>H. ovalis</w:t>
      </w:r>
      <w:r w:rsidRPr="009F2F83">
        <w:rPr>
          <w:rFonts w:cs="Arial"/>
          <w:szCs w:val="22"/>
        </w:rPr>
        <w:t xml:space="preserve">) after 2011 but remained dominated (&gt;0.5) by the opportunistic species </w:t>
      </w:r>
      <w:r w:rsidRPr="009F2F83">
        <w:rPr>
          <w:rFonts w:cs="Arial"/>
          <w:i/>
          <w:szCs w:val="22"/>
        </w:rPr>
        <w:t>Z. muelleri</w:t>
      </w:r>
      <w:r w:rsidRPr="009F2F83">
        <w:rPr>
          <w:rFonts w:cs="Arial"/>
          <w:szCs w:val="22"/>
        </w:rPr>
        <w:t xml:space="preserve"> and </w:t>
      </w:r>
      <w:r w:rsidRPr="009F2F83">
        <w:rPr>
          <w:rFonts w:cs="Arial"/>
          <w:i/>
          <w:szCs w:val="22"/>
        </w:rPr>
        <w:t>H. uninervis</w:t>
      </w:r>
      <w:r w:rsidR="00433675" w:rsidRPr="009F2F83">
        <w:rPr>
          <w:rFonts w:cs="Arial"/>
          <w:i/>
          <w:szCs w:val="22"/>
        </w:rPr>
        <w:t xml:space="preserve"> </w:t>
      </w:r>
      <w:r w:rsidR="00433675" w:rsidRPr="009F2F83">
        <w:rPr>
          <w:rFonts w:cs="Arial"/>
          <w:szCs w:val="22"/>
        </w:rPr>
        <w:t>(</w:t>
      </w:r>
      <w:r w:rsidR="00433675" w:rsidRPr="009F2F83">
        <w:rPr>
          <w:rFonts w:cs="Arial"/>
          <w:szCs w:val="22"/>
        </w:rPr>
        <w:fldChar w:fldCharType="begin"/>
      </w:r>
      <w:r w:rsidR="00433675" w:rsidRPr="009F2F83">
        <w:rPr>
          <w:rFonts w:cs="Arial"/>
          <w:szCs w:val="22"/>
        </w:rPr>
        <w:instrText xml:space="preserve"> REF _Ref382209569 \h </w:instrText>
      </w:r>
      <w:r w:rsidR="00580DDA" w:rsidRPr="009F2F83">
        <w:rPr>
          <w:rFonts w:cs="Arial"/>
          <w:szCs w:val="22"/>
        </w:rPr>
        <w:instrText xml:space="preserve"> \* MERGEFORMAT </w:instrText>
      </w:r>
      <w:r w:rsidR="00433675" w:rsidRPr="009F2F83">
        <w:rPr>
          <w:rFonts w:cs="Arial"/>
          <w:szCs w:val="22"/>
        </w:rPr>
      </w:r>
      <w:r w:rsidR="00433675" w:rsidRPr="009F2F83">
        <w:rPr>
          <w:rFonts w:cs="Arial"/>
          <w:szCs w:val="22"/>
        </w:rPr>
        <w:fldChar w:fldCharType="separate"/>
      </w:r>
      <w:r w:rsidR="0067675D" w:rsidRPr="0067675D">
        <w:rPr>
          <w:rFonts w:cs="Arial"/>
          <w:szCs w:val="22"/>
        </w:rPr>
        <w:t xml:space="preserve">Figure </w:t>
      </w:r>
      <w:r w:rsidR="0067675D" w:rsidRPr="0067675D">
        <w:rPr>
          <w:rFonts w:cs="Arial"/>
          <w:noProof/>
          <w:szCs w:val="22"/>
        </w:rPr>
        <w:t>74</w:t>
      </w:r>
      <w:r w:rsidR="00433675" w:rsidRPr="009F2F83">
        <w:rPr>
          <w:rFonts w:cs="Arial"/>
          <w:szCs w:val="22"/>
        </w:rPr>
        <w:fldChar w:fldCharType="end"/>
      </w:r>
      <w:r w:rsidR="00433675" w:rsidRPr="009F2F83">
        <w:rPr>
          <w:rFonts w:cs="Arial"/>
          <w:szCs w:val="22"/>
        </w:rPr>
        <w:t>)</w:t>
      </w:r>
      <w:r w:rsidR="00BF7E27" w:rsidRPr="009F2F83">
        <w:rPr>
          <w:rFonts w:cs="Arial"/>
          <w:szCs w:val="22"/>
        </w:rPr>
        <w:t xml:space="preserve">. In </w:t>
      </w:r>
      <w:r w:rsidR="00956639" w:rsidRPr="009F2F83">
        <w:rPr>
          <w:rFonts w:cs="Arial"/>
          <w:szCs w:val="22"/>
        </w:rPr>
        <w:t>2018–19</w:t>
      </w:r>
      <w:r w:rsidRPr="009F2F83">
        <w:rPr>
          <w:rFonts w:cs="Arial"/>
          <w:szCs w:val="22"/>
        </w:rPr>
        <w:t xml:space="preserve">, the proportion of these opportunistic species </w:t>
      </w:r>
      <w:r w:rsidR="008D74B2" w:rsidRPr="009F2F83">
        <w:rPr>
          <w:rFonts w:cs="Arial"/>
          <w:szCs w:val="22"/>
        </w:rPr>
        <w:t>in</w:t>
      </w:r>
      <w:r w:rsidR="004C1F3E" w:rsidRPr="009F2F83">
        <w:rPr>
          <w:rFonts w:cs="Arial"/>
          <w:szCs w:val="22"/>
        </w:rPr>
        <w:t>creased at both the coastal and estuarine sites (</w:t>
      </w:r>
      <w:r w:rsidR="000F727B" w:rsidRPr="009F2F83">
        <w:rPr>
          <w:rFonts w:cs="Arial"/>
          <w:szCs w:val="22"/>
        </w:rPr>
        <w:fldChar w:fldCharType="begin"/>
      </w:r>
      <w:r w:rsidR="000F727B" w:rsidRPr="009F2F83">
        <w:rPr>
          <w:rFonts w:cs="Arial"/>
          <w:szCs w:val="22"/>
        </w:rPr>
        <w:instrText xml:space="preserve"> REF _Ref382209569 \h </w:instrText>
      </w:r>
      <w:r w:rsidR="00CB093C" w:rsidRPr="009F2F83">
        <w:rPr>
          <w:rFonts w:cs="Arial"/>
          <w:szCs w:val="22"/>
        </w:rPr>
        <w:instrText xml:space="preserve"> \* MERGEFORMAT </w:instrText>
      </w:r>
      <w:r w:rsidR="000F727B" w:rsidRPr="009F2F83">
        <w:rPr>
          <w:rFonts w:cs="Arial"/>
          <w:szCs w:val="22"/>
        </w:rPr>
      </w:r>
      <w:r w:rsidR="000F727B" w:rsidRPr="009F2F83">
        <w:rPr>
          <w:rFonts w:cs="Arial"/>
          <w:szCs w:val="22"/>
        </w:rPr>
        <w:fldChar w:fldCharType="separate"/>
      </w:r>
      <w:r w:rsidR="0067675D" w:rsidRPr="0067675D">
        <w:rPr>
          <w:rFonts w:cs="Arial"/>
          <w:szCs w:val="22"/>
        </w:rPr>
        <w:t xml:space="preserve">Figure </w:t>
      </w:r>
      <w:r w:rsidR="0067675D" w:rsidRPr="0067675D">
        <w:rPr>
          <w:rFonts w:cs="Arial"/>
          <w:noProof/>
          <w:szCs w:val="22"/>
        </w:rPr>
        <w:t>74</w:t>
      </w:r>
      <w:r w:rsidR="000F727B" w:rsidRPr="009F2F83">
        <w:rPr>
          <w:rFonts w:cs="Arial"/>
          <w:szCs w:val="22"/>
        </w:rPr>
        <w:fldChar w:fldCharType="end"/>
      </w:r>
      <w:r w:rsidR="004C1F3E" w:rsidRPr="009F2F83">
        <w:rPr>
          <w:rFonts w:cs="Arial"/>
          <w:szCs w:val="22"/>
        </w:rPr>
        <w:t xml:space="preserve">) which continued to be dominated by </w:t>
      </w:r>
      <w:r w:rsidR="004C1F3E" w:rsidRPr="009F2F83">
        <w:rPr>
          <w:rFonts w:cs="Arial"/>
          <w:i/>
          <w:szCs w:val="22"/>
        </w:rPr>
        <w:t>Zostera muelleri</w:t>
      </w:r>
      <w:r w:rsidR="004C1F3E" w:rsidRPr="009F2F83">
        <w:rPr>
          <w:rFonts w:cs="Arial"/>
          <w:szCs w:val="22"/>
        </w:rPr>
        <w:t>. Colonising species, however, continued to dominate the reef habitat sites</w:t>
      </w:r>
      <w:r w:rsidR="000F727B" w:rsidRPr="009F2F83">
        <w:rPr>
          <w:rFonts w:cs="Arial"/>
          <w:szCs w:val="22"/>
        </w:rPr>
        <w:t xml:space="preserve"> (well above the </w:t>
      </w:r>
      <w:r w:rsidR="002F7B2F" w:rsidRPr="009F2F83">
        <w:rPr>
          <w:rFonts w:cs="Arial"/>
          <w:szCs w:val="22"/>
        </w:rPr>
        <w:t xml:space="preserve">Reef-wide </w:t>
      </w:r>
      <w:r w:rsidR="000F727B" w:rsidRPr="009F2F83">
        <w:rPr>
          <w:rFonts w:cs="Arial"/>
          <w:szCs w:val="22"/>
        </w:rPr>
        <w:t>long-term average)</w:t>
      </w:r>
      <w:r w:rsidR="004C1F3E" w:rsidRPr="009F2F83">
        <w:rPr>
          <w:rFonts w:cs="Arial"/>
          <w:szCs w:val="22"/>
        </w:rPr>
        <w:t xml:space="preserve">, </w:t>
      </w:r>
      <w:r w:rsidR="000F727B" w:rsidRPr="009F2F83">
        <w:rPr>
          <w:rFonts w:cs="Arial"/>
          <w:szCs w:val="22"/>
        </w:rPr>
        <w:t>which appears a direct relationship with decreased</w:t>
      </w:r>
      <w:r w:rsidR="004C1F3E" w:rsidRPr="009F2F83">
        <w:rPr>
          <w:rFonts w:cs="Arial"/>
          <w:szCs w:val="22"/>
        </w:rPr>
        <w:t xml:space="preserve"> abundance</w:t>
      </w:r>
      <w:r w:rsidR="000F727B" w:rsidRPr="009F2F83">
        <w:rPr>
          <w:rFonts w:cs="Arial"/>
          <w:szCs w:val="22"/>
        </w:rPr>
        <w:t>s over the last few years (</w:t>
      </w:r>
      <w:r w:rsidR="000F727B" w:rsidRPr="009F2F83">
        <w:rPr>
          <w:rFonts w:cs="Arial"/>
          <w:szCs w:val="22"/>
        </w:rPr>
        <w:fldChar w:fldCharType="begin"/>
      </w:r>
      <w:r w:rsidR="000F727B" w:rsidRPr="009F2F83">
        <w:rPr>
          <w:rFonts w:cs="Arial"/>
          <w:szCs w:val="22"/>
        </w:rPr>
        <w:instrText xml:space="preserve"> REF _Ref382209569 \h </w:instrText>
      </w:r>
      <w:r w:rsidR="00CB093C" w:rsidRPr="009F2F83">
        <w:rPr>
          <w:rFonts w:cs="Arial"/>
          <w:szCs w:val="22"/>
        </w:rPr>
        <w:instrText xml:space="preserve"> \* MERGEFORMAT </w:instrText>
      </w:r>
      <w:r w:rsidR="000F727B" w:rsidRPr="009F2F83">
        <w:rPr>
          <w:rFonts w:cs="Arial"/>
          <w:szCs w:val="22"/>
        </w:rPr>
      </w:r>
      <w:r w:rsidR="000F727B" w:rsidRPr="009F2F83">
        <w:rPr>
          <w:rFonts w:cs="Arial"/>
          <w:szCs w:val="22"/>
        </w:rPr>
        <w:fldChar w:fldCharType="separate"/>
      </w:r>
      <w:r w:rsidR="0067675D" w:rsidRPr="0067675D">
        <w:rPr>
          <w:rFonts w:cs="Arial"/>
          <w:szCs w:val="22"/>
        </w:rPr>
        <w:t xml:space="preserve">Figure </w:t>
      </w:r>
      <w:r w:rsidR="0067675D" w:rsidRPr="0067675D">
        <w:rPr>
          <w:rFonts w:cs="Arial"/>
          <w:noProof/>
          <w:szCs w:val="22"/>
        </w:rPr>
        <w:t>74</w:t>
      </w:r>
      <w:r w:rsidR="000F727B" w:rsidRPr="009F2F83">
        <w:rPr>
          <w:rFonts w:cs="Arial"/>
          <w:szCs w:val="22"/>
        </w:rPr>
        <w:fldChar w:fldCharType="end"/>
      </w:r>
      <w:r w:rsidR="000F727B" w:rsidRPr="009F2F83">
        <w:rPr>
          <w:rFonts w:cs="Arial"/>
          <w:szCs w:val="22"/>
        </w:rPr>
        <w:t>)</w:t>
      </w:r>
      <w:r w:rsidR="004C1F3E" w:rsidRPr="009F2F83">
        <w:rPr>
          <w:rFonts w:cs="Arial"/>
          <w:szCs w:val="22"/>
        </w:rPr>
        <w:t>.</w:t>
      </w:r>
    </w:p>
    <w:p w14:paraId="066D3805" w14:textId="77777777" w:rsidR="0018374A" w:rsidRPr="00D562E2" w:rsidRDefault="0018374A" w:rsidP="00034AD4">
      <w:pPr>
        <w:rPr>
          <w:rFonts w:cs="Arial"/>
          <w:szCs w:val="22"/>
        </w:rPr>
      </w:pPr>
    </w:p>
    <w:p w14:paraId="3F275588" w14:textId="77777777" w:rsidR="007E1DF9" w:rsidRPr="00D562E2" w:rsidRDefault="00EB62A9" w:rsidP="00C91494">
      <w:pPr>
        <w:keepNext/>
        <w:widowControl w:val="0"/>
        <w:jc w:val="center"/>
        <w:rPr>
          <w:rFonts w:cs="Arial"/>
          <w:color w:val="000000"/>
          <w:szCs w:val="22"/>
        </w:rPr>
      </w:pPr>
      <w:r w:rsidRPr="00D562E2">
        <w:rPr>
          <w:rFonts w:cs="Arial"/>
          <w:noProof/>
          <w:color w:val="000000"/>
          <w:szCs w:val="22"/>
          <w:lang w:eastAsia="en-AU"/>
        </w:rPr>
        <w:drawing>
          <wp:inline distT="0" distB="0" distL="0" distR="0" wp14:anchorId="617968CA" wp14:editId="1F70A05E">
            <wp:extent cx="4855315" cy="1739217"/>
            <wp:effectExtent l="0" t="0" r="2540" b="0"/>
            <wp:docPr id="10156" name="Picture 10156" descr="Panel of three graphs showing proportion of total seagrass abundance composed of species displaying colonising traits (e.g. Halophila ovalis) in each inshore intertidal habitat (sites pooled) in the Fitzroy NRM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 name="F_colonising_2016.png"/>
                    <pic:cNvPicPr/>
                  </pic:nvPicPr>
                  <pic:blipFill>
                    <a:blip r:embed="rId127"/>
                    <a:stretch>
                      <a:fillRect/>
                    </a:stretch>
                  </pic:blipFill>
                  <pic:spPr>
                    <a:xfrm>
                      <a:off x="0" y="0"/>
                      <a:ext cx="4888662" cy="1751162"/>
                    </a:xfrm>
                    <a:prstGeom prst="rect">
                      <a:avLst/>
                    </a:prstGeom>
                  </pic:spPr>
                </pic:pic>
              </a:graphicData>
            </a:graphic>
          </wp:inline>
        </w:drawing>
      </w:r>
    </w:p>
    <w:p w14:paraId="6309253C" w14:textId="7F2FD042" w:rsidR="00244FEE" w:rsidRPr="00D562E2" w:rsidRDefault="008C4B1E" w:rsidP="00244FEE">
      <w:pPr>
        <w:rPr>
          <w:rFonts w:cs="Arial"/>
          <w:i/>
          <w:vanish/>
          <w:szCs w:val="22"/>
          <w:specVanish/>
        </w:rPr>
      </w:pPr>
      <w:bookmarkStart w:id="564" w:name="_Ref382209569"/>
      <w:bookmarkStart w:id="565" w:name="_Toc431493888"/>
      <w:bookmarkStart w:id="566" w:name="_Toc38634178"/>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74</w:t>
      </w:r>
      <w:r w:rsidR="0073595B" w:rsidRPr="00D562E2">
        <w:rPr>
          <w:rFonts w:cs="Arial"/>
          <w:color w:val="000000"/>
          <w:szCs w:val="22"/>
        </w:rPr>
        <w:fldChar w:fldCharType="end"/>
      </w:r>
      <w:bookmarkEnd w:id="564"/>
      <w:r w:rsidRPr="00D562E2">
        <w:rPr>
          <w:rFonts w:cs="Arial"/>
          <w:color w:val="000000"/>
          <w:szCs w:val="22"/>
        </w:rPr>
        <w:t xml:space="preserve">. </w:t>
      </w:r>
      <w:r w:rsidRPr="00D562E2">
        <w:rPr>
          <w:rFonts w:cs="Arial"/>
          <w:i/>
          <w:color w:val="000000"/>
          <w:szCs w:val="22"/>
        </w:rPr>
        <w:t xml:space="preserve">Proportion of seagrass abundance composed of </w:t>
      </w:r>
      <w:r w:rsidR="007E1DF9" w:rsidRPr="00D562E2">
        <w:rPr>
          <w:rFonts w:cs="Arial"/>
          <w:i/>
          <w:color w:val="000000"/>
          <w:szCs w:val="22"/>
        </w:rPr>
        <w:t>colonising</w:t>
      </w:r>
      <w:r w:rsidRPr="00D562E2">
        <w:rPr>
          <w:rFonts w:cs="Arial"/>
          <w:i/>
          <w:color w:val="000000"/>
          <w:szCs w:val="22"/>
        </w:rPr>
        <w:t xml:space="preserve"> species</w:t>
      </w:r>
      <w:r w:rsidR="00244FEE" w:rsidRPr="00D562E2">
        <w:rPr>
          <w:rFonts w:cs="Arial"/>
          <w:i/>
          <w:color w:val="000000"/>
          <w:szCs w:val="22"/>
        </w:rPr>
        <w:t xml:space="preserve"> in inshore intertidal </w:t>
      </w:r>
      <w:r w:rsidR="00244FEE" w:rsidRPr="00D562E2">
        <w:rPr>
          <w:rFonts w:cs="Arial"/>
          <w:i/>
          <w:szCs w:val="22"/>
        </w:rPr>
        <w:t>habitats of the Fitzroy region, 2001</w:t>
      </w:r>
      <w:r w:rsidR="00A675DA" w:rsidRPr="00D562E2">
        <w:rPr>
          <w:rFonts w:cs="Arial"/>
          <w:i/>
          <w:szCs w:val="22"/>
        </w:rPr>
        <w:t>–</w:t>
      </w:r>
      <w:r w:rsidR="00244FEE" w:rsidRPr="00D562E2">
        <w:rPr>
          <w:rFonts w:cs="Arial"/>
          <w:i/>
          <w:szCs w:val="22"/>
        </w:rPr>
        <w:t>201</w:t>
      </w:r>
      <w:r w:rsidR="00371FEA" w:rsidRPr="00D562E2">
        <w:rPr>
          <w:rFonts w:cs="Arial"/>
          <w:i/>
          <w:szCs w:val="22"/>
        </w:rPr>
        <w:t>9</w:t>
      </w:r>
      <w:r w:rsidRPr="00D562E2">
        <w:rPr>
          <w:rFonts w:cs="Arial"/>
          <w:i/>
          <w:szCs w:val="22"/>
        </w:rPr>
        <w:t>.</w:t>
      </w:r>
      <w:bookmarkEnd w:id="565"/>
      <w:bookmarkEnd w:id="566"/>
      <w:r w:rsidRPr="00D562E2">
        <w:rPr>
          <w:rFonts w:cs="Arial"/>
          <w:i/>
          <w:szCs w:val="22"/>
        </w:rPr>
        <w:t xml:space="preserve"> </w:t>
      </w:r>
    </w:p>
    <w:p w14:paraId="70E65F09" w14:textId="784126E2" w:rsidR="00244FEE" w:rsidRPr="00D562E2" w:rsidRDefault="008C4B1E" w:rsidP="00244FEE">
      <w:pPr>
        <w:rPr>
          <w:rFonts w:cs="Arial"/>
          <w:color w:val="000000"/>
          <w:szCs w:val="22"/>
        </w:rPr>
      </w:pPr>
      <w:r w:rsidRPr="00D562E2">
        <w:rPr>
          <w:rFonts w:cs="Arial"/>
          <w:i/>
          <w:szCs w:val="22"/>
        </w:rPr>
        <w:t xml:space="preserve">Grey area represents </w:t>
      </w:r>
      <w:r w:rsidR="003158FC" w:rsidRPr="00D562E2">
        <w:rPr>
          <w:rFonts w:cs="Arial"/>
          <w:i/>
          <w:szCs w:val="22"/>
        </w:rPr>
        <w:t>Reef</w:t>
      </w:r>
      <w:r w:rsidRPr="00D562E2">
        <w:rPr>
          <w:rFonts w:cs="Arial"/>
          <w:i/>
          <w:szCs w:val="22"/>
        </w:rPr>
        <w:t xml:space="preserve"> long-term average proportion </w:t>
      </w:r>
      <w:r w:rsidRPr="00D562E2">
        <w:rPr>
          <w:rFonts w:cs="Arial"/>
          <w:i/>
          <w:color w:val="000000"/>
          <w:szCs w:val="22"/>
        </w:rPr>
        <w:t xml:space="preserve">of </w:t>
      </w:r>
      <w:r w:rsidR="007E1DF9" w:rsidRPr="00D562E2">
        <w:rPr>
          <w:rFonts w:cs="Arial"/>
          <w:i/>
          <w:color w:val="000000"/>
          <w:szCs w:val="22"/>
        </w:rPr>
        <w:t xml:space="preserve">colonising </w:t>
      </w:r>
      <w:r w:rsidRPr="00D562E2">
        <w:rPr>
          <w:rFonts w:cs="Arial"/>
          <w:i/>
          <w:color w:val="000000"/>
          <w:szCs w:val="22"/>
        </w:rPr>
        <w:t>species for each habitat type.</w:t>
      </w:r>
      <w:r w:rsidR="00244FEE" w:rsidRPr="00D562E2">
        <w:rPr>
          <w:rFonts w:cs="Arial"/>
          <w:color w:val="000000"/>
          <w:szCs w:val="22"/>
        </w:rPr>
        <w:t xml:space="preserve"> </w:t>
      </w:r>
    </w:p>
    <w:p w14:paraId="52DD4C5F" w14:textId="6809410D" w:rsidR="000F727B" w:rsidRPr="009F2F83" w:rsidRDefault="005132EF" w:rsidP="00034AD4">
      <w:pPr>
        <w:rPr>
          <w:rFonts w:cs="Arial"/>
          <w:szCs w:val="22"/>
        </w:rPr>
      </w:pPr>
      <w:bookmarkStart w:id="567" w:name="_Toc176158946"/>
      <w:bookmarkStart w:id="568" w:name="_Ref211934301"/>
      <w:r w:rsidRPr="009F2F83">
        <w:rPr>
          <w:rFonts w:cs="Arial"/>
          <w:szCs w:val="22"/>
        </w:rPr>
        <w:t xml:space="preserve">The </w:t>
      </w:r>
      <w:r w:rsidR="00C91494" w:rsidRPr="009F2F83">
        <w:rPr>
          <w:rFonts w:cs="Arial"/>
          <w:szCs w:val="22"/>
        </w:rPr>
        <w:t xml:space="preserve">extent of the </w:t>
      </w:r>
      <w:r w:rsidRPr="009F2F83">
        <w:rPr>
          <w:rFonts w:cs="Arial"/>
          <w:szCs w:val="22"/>
        </w:rPr>
        <w:t xml:space="preserve">coastal meadows </w:t>
      </w:r>
      <w:r w:rsidR="00C91494" w:rsidRPr="009F2F83">
        <w:rPr>
          <w:rFonts w:cs="Arial"/>
          <w:szCs w:val="22"/>
        </w:rPr>
        <w:t xml:space="preserve">within monitoring sites </w:t>
      </w:r>
      <w:r w:rsidRPr="009F2F83">
        <w:rPr>
          <w:rFonts w:cs="Arial"/>
          <w:szCs w:val="22"/>
        </w:rPr>
        <w:t>in Shoalwater Bay ha</w:t>
      </w:r>
      <w:r w:rsidR="00C91494" w:rsidRPr="009F2F83">
        <w:rPr>
          <w:rFonts w:cs="Arial"/>
          <w:szCs w:val="22"/>
        </w:rPr>
        <w:t>s</w:t>
      </w:r>
      <w:r w:rsidRPr="009F2F83">
        <w:rPr>
          <w:rFonts w:cs="Arial"/>
          <w:szCs w:val="22"/>
        </w:rPr>
        <w:t xml:space="preserve"> remained stable </w:t>
      </w:r>
      <w:r w:rsidR="00D56284" w:rsidRPr="009F2F83">
        <w:rPr>
          <w:rFonts w:cs="Arial"/>
          <w:szCs w:val="22"/>
        </w:rPr>
        <w:t xml:space="preserve">at </w:t>
      </w:r>
      <w:r w:rsidR="009F2F83" w:rsidRPr="009F2F83">
        <w:rPr>
          <w:rFonts w:cs="Arial"/>
          <w:szCs w:val="22"/>
        </w:rPr>
        <w:t xml:space="preserve">or near </w:t>
      </w:r>
      <w:r w:rsidR="00C91494" w:rsidRPr="009F2F83">
        <w:rPr>
          <w:rFonts w:cs="Arial"/>
          <w:szCs w:val="22"/>
        </w:rPr>
        <w:t xml:space="preserve">the </w:t>
      </w:r>
      <w:r w:rsidR="00D56284" w:rsidRPr="009F2F83">
        <w:rPr>
          <w:rFonts w:cs="Arial"/>
          <w:szCs w:val="22"/>
        </w:rPr>
        <w:t>maximum</w:t>
      </w:r>
      <w:r w:rsidRPr="009F2F83">
        <w:rPr>
          <w:rFonts w:cs="Arial"/>
          <w:szCs w:val="22"/>
        </w:rPr>
        <w:t xml:space="preserve"> since monitoring </w:t>
      </w:r>
      <w:r w:rsidR="00C91494" w:rsidRPr="009F2F83">
        <w:rPr>
          <w:rFonts w:cs="Arial"/>
          <w:szCs w:val="22"/>
        </w:rPr>
        <w:t>commenced in 2005</w:t>
      </w:r>
      <w:r w:rsidR="00212E8E" w:rsidRPr="009F2F83">
        <w:rPr>
          <w:rFonts w:cs="Arial"/>
          <w:szCs w:val="22"/>
        </w:rPr>
        <w:t xml:space="preserve">. The </w:t>
      </w:r>
      <w:r w:rsidR="00C91494" w:rsidRPr="009F2F83">
        <w:rPr>
          <w:rFonts w:cs="Arial"/>
          <w:szCs w:val="22"/>
        </w:rPr>
        <w:t xml:space="preserve">extent of the </w:t>
      </w:r>
      <w:r w:rsidR="00212E8E" w:rsidRPr="009F2F83">
        <w:rPr>
          <w:rFonts w:cs="Arial"/>
          <w:szCs w:val="22"/>
        </w:rPr>
        <w:t>estuarine meadows ha</w:t>
      </w:r>
      <w:r w:rsidR="00C91494" w:rsidRPr="009F2F83">
        <w:rPr>
          <w:rFonts w:cs="Arial"/>
          <w:szCs w:val="22"/>
        </w:rPr>
        <w:t>s</w:t>
      </w:r>
      <w:r w:rsidR="00212E8E" w:rsidRPr="009F2F83">
        <w:rPr>
          <w:rFonts w:cs="Arial"/>
          <w:szCs w:val="22"/>
        </w:rPr>
        <w:t xml:space="preserve"> </w:t>
      </w:r>
      <w:r w:rsidR="000F727B" w:rsidRPr="009F2F83">
        <w:rPr>
          <w:rFonts w:cs="Arial"/>
          <w:szCs w:val="22"/>
        </w:rPr>
        <w:t>fluctuated</w:t>
      </w:r>
      <w:r w:rsidR="00212E8E" w:rsidRPr="009F2F83">
        <w:rPr>
          <w:rFonts w:cs="Arial"/>
          <w:szCs w:val="22"/>
        </w:rPr>
        <w:t xml:space="preserve"> </w:t>
      </w:r>
      <w:r w:rsidR="000F727B" w:rsidRPr="009F2F83">
        <w:rPr>
          <w:rFonts w:cs="Arial"/>
          <w:szCs w:val="22"/>
        </w:rPr>
        <w:t>since</w:t>
      </w:r>
      <w:r w:rsidR="00792C0E" w:rsidRPr="009F2F83">
        <w:rPr>
          <w:rFonts w:cs="Arial"/>
          <w:szCs w:val="22"/>
        </w:rPr>
        <w:t xml:space="preserve"> 2016 when there was a large reduction in one of the sites</w:t>
      </w:r>
      <w:r w:rsidR="000F727B" w:rsidRPr="009F2F83">
        <w:rPr>
          <w:rFonts w:cs="Arial"/>
          <w:szCs w:val="22"/>
        </w:rPr>
        <w:t xml:space="preserve"> due to extensive scarring and sediment deposition</w:t>
      </w:r>
      <w:r w:rsidR="00C91494" w:rsidRPr="009F2F83">
        <w:rPr>
          <w:rFonts w:cs="Arial"/>
          <w:szCs w:val="22"/>
        </w:rPr>
        <w:t xml:space="preserve">. </w:t>
      </w:r>
      <w:r w:rsidR="002F7B2F" w:rsidRPr="009F2F83">
        <w:rPr>
          <w:rFonts w:cs="Arial"/>
          <w:szCs w:val="22"/>
        </w:rPr>
        <w:t>This year</w:t>
      </w:r>
      <w:r w:rsidR="000F727B" w:rsidRPr="009F2F83">
        <w:rPr>
          <w:rFonts w:cs="Arial"/>
          <w:szCs w:val="22"/>
        </w:rPr>
        <w:t xml:space="preserve"> the scarring had abated and the meadow was </w:t>
      </w:r>
      <w:r w:rsidR="000F727B" w:rsidRPr="009F2F83">
        <w:rPr>
          <w:rFonts w:cs="Arial"/>
          <w:szCs w:val="22"/>
        </w:rPr>
        <w:lastRenderedPageBreak/>
        <w:t xml:space="preserve">showing signs of recovering, </w:t>
      </w:r>
      <w:r w:rsidR="004765F2" w:rsidRPr="009F2F83">
        <w:rPr>
          <w:rFonts w:cs="Arial"/>
          <w:szCs w:val="22"/>
        </w:rPr>
        <w:t>e.g.</w:t>
      </w:r>
      <w:r w:rsidR="000F727B" w:rsidRPr="009F2F83">
        <w:rPr>
          <w:rFonts w:cs="Arial"/>
          <w:szCs w:val="22"/>
        </w:rPr>
        <w:t xml:space="preserve"> shoot extension and </w:t>
      </w:r>
      <w:r w:rsidR="004765F2" w:rsidRPr="009F2F83">
        <w:rPr>
          <w:rFonts w:cs="Arial"/>
          <w:szCs w:val="22"/>
        </w:rPr>
        <w:t xml:space="preserve">improved </w:t>
      </w:r>
      <w:r w:rsidR="000F727B" w:rsidRPr="009F2F83">
        <w:rPr>
          <w:rFonts w:cs="Arial"/>
          <w:szCs w:val="22"/>
        </w:rPr>
        <w:t xml:space="preserve">meadow </w:t>
      </w:r>
      <w:r w:rsidR="008D74B2" w:rsidRPr="009F2F83">
        <w:rPr>
          <w:rFonts w:cs="Arial"/>
          <w:szCs w:val="22"/>
        </w:rPr>
        <w:t>cohesion</w:t>
      </w:r>
      <w:r w:rsidR="000F727B" w:rsidRPr="009F2F83">
        <w:rPr>
          <w:rFonts w:cs="Arial"/>
          <w:szCs w:val="22"/>
        </w:rPr>
        <w:t>. Conversely, meadows on the reef flat at Great Keppel Island remained highly fragmented after the 2016 losses an</w:t>
      </w:r>
      <w:r w:rsidR="004765F2" w:rsidRPr="009F2F83">
        <w:rPr>
          <w:rFonts w:cs="Arial"/>
          <w:szCs w:val="22"/>
        </w:rPr>
        <w:t>d show little sign of recovery, e.g. unstable sediments.</w:t>
      </w:r>
    </w:p>
    <w:p w14:paraId="66D5A73A" w14:textId="77777777" w:rsidR="004765F2" w:rsidRPr="00D562E2" w:rsidRDefault="004765F2" w:rsidP="00034AD4">
      <w:pPr>
        <w:rPr>
          <w:rFonts w:cs="Arial"/>
          <w:szCs w:val="22"/>
        </w:rPr>
      </w:pPr>
    </w:p>
    <w:p w14:paraId="2B1E993D" w14:textId="77777777" w:rsidR="007E1DF9" w:rsidRPr="00D562E2" w:rsidRDefault="00EB62A9" w:rsidP="00C91494">
      <w:pPr>
        <w:keepNext/>
        <w:widowControl w:val="0"/>
        <w:jc w:val="center"/>
        <w:rPr>
          <w:rFonts w:cs="Arial"/>
          <w:szCs w:val="22"/>
        </w:rPr>
      </w:pPr>
      <w:r w:rsidRPr="00D562E2">
        <w:rPr>
          <w:rFonts w:cs="Arial"/>
          <w:noProof/>
          <w:szCs w:val="22"/>
          <w:lang w:eastAsia="en-AU"/>
        </w:rPr>
        <w:drawing>
          <wp:inline distT="0" distB="0" distL="0" distR="0" wp14:anchorId="269BD788" wp14:editId="4E36C45E">
            <wp:extent cx="4483353" cy="1981200"/>
            <wp:effectExtent l="0" t="0" r="0" b="0"/>
            <wp:docPr id="10157" name="Picture 10157" descr="Line graph showing spatial extent of seagrass meadows within a 100m radius of monitoring sites for each habitat and monitoring period across the Fitzroy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7" name="F_extent_avg_2016.png"/>
                    <pic:cNvPicPr/>
                  </pic:nvPicPr>
                  <pic:blipFill>
                    <a:blip r:embed="rId128"/>
                    <a:stretch>
                      <a:fillRect/>
                    </a:stretch>
                  </pic:blipFill>
                  <pic:spPr>
                    <a:xfrm>
                      <a:off x="0" y="0"/>
                      <a:ext cx="4491423" cy="1984766"/>
                    </a:xfrm>
                    <a:prstGeom prst="rect">
                      <a:avLst/>
                    </a:prstGeom>
                  </pic:spPr>
                </pic:pic>
              </a:graphicData>
            </a:graphic>
          </wp:inline>
        </w:drawing>
      </w:r>
    </w:p>
    <w:p w14:paraId="4FE98B48" w14:textId="0A502C10" w:rsidR="008C4B1E" w:rsidRPr="00D562E2" w:rsidRDefault="005132EF" w:rsidP="008C4B1E">
      <w:pPr>
        <w:rPr>
          <w:rFonts w:cs="Arial"/>
          <w:i/>
          <w:szCs w:val="22"/>
        </w:rPr>
      </w:pPr>
      <w:bookmarkStart w:id="569" w:name="_Ref179512152"/>
      <w:bookmarkStart w:id="570" w:name="_Toc176158920"/>
      <w:bookmarkStart w:id="571" w:name="_Toc232846022"/>
      <w:bookmarkStart w:id="572" w:name="_Toc431493889"/>
      <w:bookmarkStart w:id="573" w:name="_Toc38634179"/>
      <w:r w:rsidRPr="00D562E2">
        <w:rPr>
          <w:rFonts w:cs="Arial"/>
          <w:szCs w:val="22"/>
        </w:rPr>
        <w:t xml:space="preserve">Figure </w:t>
      </w:r>
      <w:r w:rsidR="0073595B" w:rsidRPr="00D562E2">
        <w:rPr>
          <w:rFonts w:cs="Arial"/>
          <w:szCs w:val="22"/>
        </w:rPr>
        <w:fldChar w:fldCharType="begin"/>
      </w:r>
      <w:r w:rsidR="0073595B" w:rsidRPr="00D562E2">
        <w:rPr>
          <w:rFonts w:cs="Arial"/>
          <w:szCs w:val="22"/>
        </w:rPr>
        <w:instrText xml:space="preserve"> SEQ Figure \* ARABIC </w:instrText>
      </w:r>
      <w:r w:rsidR="0073595B" w:rsidRPr="00D562E2">
        <w:rPr>
          <w:rFonts w:cs="Arial"/>
          <w:szCs w:val="22"/>
        </w:rPr>
        <w:fldChar w:fldCharType="separate"/>
      </w:r>
      <w:r w:rsidR="0067675D">
        <w:rPr>
          <w:rFonts w:cs="Arial"/>
          <w:noProof/>
          <w:szCs w:val="22"/>
        </w:rPr>
        <w:t>75</w:t>
      </w:r>
      <w:r w:rsidR="0073595B" w:rsidRPr="00D562E2">
        <w:rPr>
          <w:rFonts w:cs="Arial"/>
          <w:szCs w:val="22"/>
        </w:rPr>
        <w:fldChar w:fldCharType="end"/>
      </w:r>
      <w:bookmarkEnd w:id="569"/>
      <w:r w:rsidRPr="00D562E2">
        <w:rPr>
          <w:rFonts w:cs="Arial"/>
          <w:szCs w:val="22"/>
        </w:rPr>
        <w:t xml:space="preserve">. </w:t>
      </w:r>
      <w:bookmarkEnd w:id="570"/>
      <w:bookmarkEnd w:id="571"/>
      <w:r w:rsidR="008C4B1E" w:rsidRPr="00D562E2">
        <w:rPr>
          <w:rFonts w:cs="Arial"/>
          <w:i/>
          <w:szCs w:val="22"/>
        </w:rPr>
        <w:t xml:space="preserve">Change in spatial extent of seagrass meadows within monitoring sites for each </w:t>
      </w:r>
      <w:r w:rsidR="00244FEE" w:rsidRPr="00D562E2">
        <w:rPr>
          <w:rFonts w:cs="Arial"/>
          <w:i/>
          <w:szCs w:val="22"/>
        </w:rPr>
        <w:t xml:space="preserve">inshore intertidal </w:t>
      </w:r>
      <w:r w:rsidR="008C4B1E" w:rsidRPr="00D562E2">
        <w:rPr>
          <w:rFonts w:cs="Arial"/>
          <w:i/>
          <w:szCs w:val="22"/>
        </w:rPr>
        <w:t xml:space="preserve">habitat across the </w:t>
      </w:r>
      <w:r w:rsidR="003126B8" w:rsidRPr="00D562E2">
        <w:rPr>
          <w:rFonts w:cs="Arial"/>
          <w:i/>
          <w:szCs w:val="22"/>
        </w:rPr>
        <w:t xml:space="preserve">Fitzroy </w:t>
      </w:r>
      <w:r w:rsidR="008C4B1E" w:rsidRPr="00D562E2">
        <w:rPr>
          <w:rFonts w:cs="Arial"/>
          <w:i/>
          <w:szCs w:val="22"/>
        </w:rPr>
        <w:t>NRM region</w:t>
      </w:r>
      <w:r w:rsidR="00244FEE" w:rsidRPr="00D562E2">
        <w:rPr>
          <w:rFonts w:cs="Arial"/>
          <w:i/>
          <w:szCs w:val="22"/>
        </w:rPr>
        <w:t>, 2005</w:t>
      </w:r>
      <w:r w:rsidR="00A675DA" w:rsidRPr="00D562E2">
        <w:rPr>
          <w:rFonts w:cs="Arial"/>
          <w:i/>
          <w:szCs w:val="22"/>
        </w:rPr>
        <w:t>–</w:t>
      </w:r>
      <w:r w:rsidR="00244FEE" w:rsidRPr="00D562E2">
        <w:rPr>
          <w:rFonts w:cs="Arial"/>
          <w:i/>
          <w:szCs w:val="22"/>
        </w:rPr>
        <w:t>201</w:t>
      </w:r>
      <w:r w:rsidR="00371FEA" w:rsidRPr="00D562E2">
        <w:rPr>
          <w:rFonts w:cs="Arial"/>
          <w:i/>
          <w:szCs w:val="22"/>
        </w:rPr>
        <w:t>9</w:t>
      </w:r>
      <w:r w:rsidR="008C4B1E" w:rsidRPr="00D562E2">
        <w:rPr>
          <w:rFonts w:cs="Arial"/>
          <w:i/>
          <w:szCs w:val="22"/>
        </w:rPr>
        <w:t>.</w:t>
      </w:r>
      <w:bookmarkEnd w:id="572"/>
      <w:bookmarkEnd w:id="573"/>
    </w:p>
    <w:p w14:paraId="4927A953" w14:textId="7C526E0B" w:rsidR="005132EF" w:rsidRPr="00D562E2" w:rsidRDefault="005132EF" w:rsidP="00785606">
      <w:pPr>
        <w:pStyle w:val="Heading4"/>
      </w:pPr>
      <w:bookmarkStart w:id="574" w:name="_Toc184102028"/>
      <w:bookmarkStart w:id="575" w:name="_Toc37775108"/>
      <w:bookmarkStart w:id="576" w:name="_Toc43987083"/>
      <w:bookmarkEnd w:id="567"/>
      <w:bookmarkEnd w:id="568"/>
      <w:r w:rsidRPr="00D562E2">
        <w:t>Seagrass reproductive status</w:t>
      </w:r>
      <w:bookmarkEnd w:id="574"/>
      <w:bookmarkEnd w:id="575"/>
      <w:bookmarkEnd w:id="576"/>
    </w:p>
    <w:p w14:paraId="1197C240" w14:textId="01F5AF16" w:rsidR="007E1DF9" w:rsidRPr="00FA2840" w:rsidRDefault="004765F2" w:rsidP="007E1DF9">
      <w:pPr>
        <w:rPr>
          <w:rFonts w:cs="Arial"/>
          <w:szCs w:val="22"/>
          <w:lang w:eastAsia="en-AU"/>
        </w:rPr>
      </w:pPr>
      <w:r w:rsidRPr="00FA2840">
        <w:rPr>
          <w:rFonts w:cs="Arial"/>
          <w:szCs w:val="22"/>
          <w:lang w:eastAsia="en-AU"/>
        </w:rPr>
        <w:t>Reproductive effort has varied inconsistently among habitats</w:t>
      </w:r>
      <w:r w:rsidRPr="00FA2840">
        <w:rPr>
          <w:rFonts w:cs="Arial"/>
          <w:szCs w:val="22"/>
          <w:lang w:val="en-GB"/>
        </w:rPr>
        <w:t xml:space="preserve"> in the Fitzroy region over the life of the MMP (</w:t>
      </w:r>
      <w:r w:rsidRPr="00FA2840">
        <w:rPr>
          <w:rFonts w:cs="Arial"/>
          <w:szCs w:val="22"/>
          <w:lang w:val="en-GB"/>
        </w:rPr>
        <w:fldChar w:fldCharType="begin"/>
      </w:r>
      <w:r w:rsidRPr="00FA2840">
        <w:rPr>
          <w:rFonts w:cs="Arial"/>
          <w:szCs w:val="22"/>
          <w:lang w:val="en-GB"/>
        </w:rPr>
        <w:instrText xml:space="preserve"> REF _Ref382209642 \h </w:instrText>
      </w:r>
      <w:r w:rsidR="00CB093C" w:rsidRPr="00FA2840">
        <w:rPr>
          <w:rFonts w:cs="Arial"/>
          <w:szCs w:val="22"/>
          <w:lang w:val="en-GB"/>
        </w:rPr>
        <w:instrText xml:space="preserve"> \* MERGEFORMAT </w:instrText>
      </w:r>
      <w:r w:rsidRPr="00FA2840">
        <w:rPr>
          <w:rFonts w:cs="Arial"/>
          <w:szCs w:val="22"/>
          <w:lang w:val="en-GB"/>
        </w:rPr>
      </w:r>
      <w:r w:rsidRPr="00FA2840">
        <w:rPr>
          <w:rFonts w:cs="Arial"/>
          <w:szCs w:val="22"/>
          <w:lang w:val="en-GB"/>
        </w:rPr>
        <w:fldChar w:fldCharType="separate"/>
      </w:r>
      <w:r w:rsidR="0067675D" w:rsidRPr="0067675D">
        <w:rPr>
          <w:rFonts w:cs="Arial"/>
          <w:szCs w:val="22"/>
        </w:rPr>
        <w:t xml:space="preserve">Figure </w:t>
      </w:r>
      <w:r w:rsidR="0067675D" w:rsidRPr="0067675D">
        <w:rPr>
          <w:rFonts w:cs="Arial"/>
          <w:noProof/>
          <w:szCs w:val="22"/>
        </w:rPr>
        <w:t>76</w:t>
      </w:r>
      <w:r w:rsidRPr="00FA2840">
        <w:rPr>
          <w:rFonts w:cs="Arial"/>
          <w:szCs w:val="22"/>
          <w:lang w:val="en-GB"/>
        </w:rPr>
        <w:fldChar w:fldCharType="end"/>
      </w:r>
      <w:r w:rsidRPr="00FA2840">
        <w:rPr>
          <w:rFonts w:cs="Arial"/>
          <w:szCs w:val="22"/>
          <w:lang w:val="en-GB"/>
        </w:rPr>
        <w:t xml:space="preserve">). </w:t>
      </w:r>
      <w:r w:rsidR="00F4037E" w:rsidRPr="00FA2840">
        <w:rPr>
          <w:rFonts w:cs="Arial"/>
          <w:szCs w:val="22"/>
          <w:lang w:eastAsia="en-AU"/>
        </w:rPr>
        <w:t xml:space="preserve">Reproductive effort </w:t>
      </w:r>
      <w:r w:rsidR="00FA2840" w:rsidRPr="00FA2840">
        <w:rPr>
          <w:rFonts w:cs="Arial"/>
          <w:szCs w:val="22"/>
          <w:lang w:eastAsia="en-AU"/>
        </w:rPr>
        <w:t xml:space="preserve">is higher in the late dry season and remained steady </w:t>
      </w:r>
      <w:r w:rsidR="00297FAD" w:rsidRPr="00FA2840">
        <w:rPr>
          <w:rFonts w:cs="Arial"/>
          <w:szCs w:val="22"/>
          <w:lang w:eastAsia="en-AU"/>
        </w:rPr>
        <w:t xml:space="preserve">at </w:t>
      </w:r>
      <w:r w:rsidR="00710BBC" w:rsidRPr="00FA2840">
        <w:rPr>
          <w:rFonts w:cs="Arial"/>
          <w:szCs w:val="22"/>
          <w:lang w:eastAsia="en-AU"/>
        </w:rPr>
        <w:t>coastal</w:t>
      </w:r>
      <w:r w:rsidR="00297FAD" w:rsidRPr="00FA2840">
        <w:rPr>
          <w:rFonts w:cs="Arial"/>
          <w:szCs w:val="22"/>
          <w:lang w:eastAsia="en-AU"/>
        </w:rPr>
        <w:t xml:space="preserve"> </w:t>
      </w:r>
      <w:r w:rsidRPr="00FA2840">
        <w:rPr>
          <w:rFonts w:cs="Arial"/>
          <w:szCs w:val="22"/>
          <w:lang w:eastAsia="en-AU"/>
        </w:rPr>
        <w:t xml:space="preserve">and estuary </w:t>
      </w:r>
      <w:r w:rsidR="00297FAD" w:rsidRPr="00FA2840">
        <w:rPr>
          <w:rFonts w:cs="Arial"/>
          <w:szCs w:val="22"/>
          <w:lang w:eastAsia="en-AU"/>
        </w:rPr>
        <w:t xml:space="preserve">sites in </w:t>
      </w:r>
      <w:r w:rsidR="00956639" w:rsidRPr="00FA2840">
        <w:rPr>
          <w:rFonts w:cs="Arial"/>
          <w:szCs w:val="22"/>
          <w:lang w:eastAsia="en-AU"/>
        </w:rPr>
        <w:t>2018–19</w:t>
      </w:r>
      <w:r w:rsidR="00FA2840" w:rsidRPr="00FA2840">
        <w:rPr>
          <w:rFonts w:cs="Arial"/>
          <w:szCs w:val="22"/>
          <w:lang w:eastAsia="en-AU"/>
        </w:rPr>
        <w:t xml:space="preserve"> </w:t>
      </w:r>
      <w:r w:rsidR="00FA2840" w:rsidRPr="00FA2840">
        <w:rPr>
          <w:rFonts w:cs="Arial"/>
          <w:szCs w:val="22"/>
          <w:lang w:val="en-GB"/>
        </w:rPr>
        <w:t>(</w:t>
      </w:r>
      <w:r w:rsidR="00FA2840" w:rsidRPr="00FA2840">
        <w:rPr>
          <w:rFonts w:cs="Arial"/>
          <w:szCs w:val="22"/>
          <w:lang w:val="en-GB"/>
        </w:rPr>
        <w:fldChar w:fldCharType="begin"/>
      </w:r>
      <w:r w:rsidR="00FA2840" w:rsidRPr="00FA2840">
        <w:rPr>
          <w:rFonts w:cs="Arial"/>
          <w:szCs w:val="22"/>
          <w:lang w:val="en-GB"/>
        </w:rPr>
        <w:instrText xml:space="preserve"> REF _Ref382209642 \h  \* MERGEFORMAT </w:instrText>
      </w:r>
      <w:r w:rsidR="00FA2840" w:rsidRPr="00FA2840">
        <w:rPr>
          <w:rFonts w:cs="Arial"/>
          <w:szCs w:val="22"/>
          <w:lang w:val="en-GB"/>
        </w:rPr>
      </w:r>
      <w:r w:rsidR="00FA2840" w:rsidRPr="00FA2840">
        <w:rPr>
          <w:rFonts w:cs="Arial"/>
          <w:szCs w:val="22"/>
          <w:lang w:val="en-GB"/>
        </w:rPr>
        <w:fldChar w:fldCharType="separate"/>
      </w:r>
      <w:r w:rsidR="0067675D" w:rsidRPr="0067675D">
        <w:rPr>
          <w:rFonts w:cs="Arial"/>
          <w:szCs w:val="22"/>
        </w:rPr>
        <w:t xml:space="preserve">Figure </w:t>
      </w:r>
      <w:r w:rsidR="0067675D" w:rsidRPr="0067675D">
        <w:rPr>
          <w:rFonts w:cs="Arial"/>
          <w:noProof/>
          <w:szCs w:val="22"/>
        </w:rPr>
        <w:t>76</w:t>
      </w:r>
      <w:r w:rsidR="00FA2840" w:rsidRPr="00FA2840">
        <w:rPr>
          <w:rFonts w:cs="Arial"/>
          <w:szCs w:val="22"/>
          <w:lang w:val="en-GB"/>
        </w:rPr>
        <w:fldChar w:fldCharType="end"/>
      </w:r>
      <w:r w:rsidR="00FA2840" w:rsidRPr="00FA2840">
        <w:rPr>
          <w:rFonts w:cs="Arial"/>
          <w:szCs w:val="22"/>
          <w:lang w:val="en-GB"/>
        </w:rPr>
        <w:t>).</w:t>
      </w:r>
      <w:r w:rsidR="00297FAD" w:rsidRPr="00FA2840">
        <w:rPr>
          <w:rFonts w:cs="Arial"/>
          <w:szCs w:val="22"/>
          <w:lang w:eastAsia="en-AU"/>
        </w:rPr>
        <w:t xml:space="preserve"> </w:t>
      </w:r>
      <w:r w:rsidR="00FA2840" w:rsidRPr="00FA2840">
        <w:rPr>
          <w:rFonts w:cs="Arial"/>
          <w:szCs w:val="22"/>
          <w:lang w:eastAsia="en-AU"/>
        </w:rPr>
        <w:t>A</w:t>
      </w:r>
      <w:r w:rsidRPr="00FA2840">
        <w:rPr>
          <w:rFonts w:cs="Arial"/>
          <w:szCs w:val="22"/>
          <w:lang w:eastAsia="en-AU"/>
        </w:rPr>
        <w:t xml:space="preserve"> </w:t>
      </w:r>
      <w:r w:rsidR="00F4037E" w:rsidRPr="00FA2840">
        <w:rPr>
          <w:rFonts w:cs="Arial"/>
          <w:szCs w:val="22"/>
          <w:lang w:eastAsia="en-AU"/>
        </w:rPr>
        <w:t>seed bank</w:t>
      </w:r>
      <w:r w:rsidRPr="00FA2840">
        <w:rPr>
          <w:rFonts w:cs="Arial"/>
          <w:szCs w:val="22"/>
          <w:lang w:eastAsia="en-AU"/>
        </w:rPr>
        <w:t xml:space="preserve"> has </w:t>
      </w:r>
      <w:r w:rsidR="00FA2840" w:rsidRPr="00FA2840">
        <w:rPr>
          <w:rFonts w:cs="Arial"/>
          <w:szCs w:val="22"/>
          <w:lang w:eastAsia="en-AU"/>
        </w:rPr>
        <w:t xml:space="preserve">also </w:t>
      </w:r>
      <w:r w:rsidRPr="00FA2840">
        <w:rPr>
          <w:rFonts w:cs="Arial"/>
          <w:szCs w:val="22"/>
          <w:lang w:eastAsia="en-AU"/>
        </w:rPr>
        <w:t xml:space="preserve">persisted </w:t>
      </w:r>
      <w:r w:rsidR="00FA2840" w:rsidRPr="00FA2840">
        <w:rPr>
          <w:rFonts w:cs="Arial"/>
          <w:szCs w:val="22"/>
          <w:lang w:eastAsia="en-AU"/>
        </w:rPr>
        <w:t xml:space="preserve">at coastal and estuary sites </w:t>
      </w:r>
      <w:r w:rsidRPr="00FA2840">
        <w:rPr>
          <w:rFonts w:cs="Arial"/>
          <w:szCs w:val="22"/>
          <w:lang w:eastAsia="en-AU"/>
        </w:rPr>
        <w:t>since 2012</w:t>
      </w:r>
      <w:r w:rsidR="00F4037E" w:rsidRPr="00FA2840">
        <w:rPr>
          <w:rFonts w:cs="Arial"/>
          <w:szCs w:val="22"/>
          <w:lang w:eastAsia="en-AU"/>
        </w:rPr>
        <w:t xml:space="preserve">. </w:t>
      </w:r>
      <w:r w:rsidR="00297FAD" w:rsidRPr="00FA2840">
        <w:rPr>
          <w:rFonts w:cs="Arial"/>
          <w:szCs w:val="22"/>
          <w:lang w:eastAsia="en-AU"/>
        </w:rPr>
        <w:t xml:space="preserve">Reproductive effort has </w:t>
      </w:r>
      <w:r w:rsidR="007E1DF9" w:rsidRPr="00FA2840">
        <w:rPr>
          <w:rFonts w:cs="Arial"/>
          <w:szCs w:val="22"/>
          <w:lang w:eastAsia="en-AU"/>
        </w:rPr>
        <w:t>remained very lo</w:t>
      </w:r>
      <w:r w:rsidR="0039608D" w:rsidRPr="00FA2840">
        <w:rPr>
          <w:rFonts w:cs="Arial"/>
          <w:szCs w:val="22"/>
          <w:lang w:eastAsia="en-AU"/>
        </w:rPr>
        <w:t xml:space="preserve">w </w:t>
      </w:r>
      <w:r w:rsidR="007C0808" w:rsidRPr="00FA2840">
        <w:rPr>
          <w:rFonts w:cs="Arial"/>
          <w:szCs w:val="22"/>
          <w:lang w:eastAsia="en-AU"/>
        </w:rPr>
        <w:t>at reef sites</w:t>
      </w:r>
      <w:r w:rsidR="0039608D" w:rsidRPr="00FA2840">
        <w:rPr>
          <w:rFonts w:cs="Arial"/>
          <w:szCs w:val="22"/>
          <w:lang w:eastAsia="en-AU"/>
        </w:rPr>
        <w:t xml:space="preserve">, </w:t>
      </w:r>
      <w:r w:rsidRPr="00FA2840">
        <w:rPr>
          <w:rFonts w:cs="Arial"/>
          <w:szCs w:val="22"/>
          <w:lang w:eastAsia="en-AU"/>
        </w:rPr>
        <w:t>and seed banks remain absent</w:t>
      </w:r>
      <w:r w:rsidR="007E1DF9" w:rsidRPr="00FA2840">
        <w:rPr>
          <w:rFonts w:cs="Arial"/>
          <w:szCs w:val="22"/>
          <w:lang w:eastAsia="en-AU"/>
        </w:rPr>
        <w:t xml:space="preserve"> (</w:t>
      </w:r>
      <w:r w:rsidR="00993358" w:rsidRPr="00FA2840">
        <w:rPr>
          <w:rFonts w:cs="Arial"/>
          <w:szCs w:val="22"/>
          <w:lang w:eastAsia="en-AU"/>
        </w:rPr>
        <w:fldChar w:fldCharType="begin"/>
      </w:r>
      <w:r w:rsidR="00993358" w:rsidRPr="00FA2840">
        <w:rPr>
          <w:rFonts w:cs="Arial"/>
          <w:szCs w:val="22"/>
          <w:lang w:eastAsia="en-AU"/>
        </w:rPr>
        <w:instrText xml:space="preserve"> REF _Ref382209642 \h </w:instrText>
      </w:r>
      <w:r w:rsidR="00580DDA" w:rsidRPr="00FA2840">
        <w:rPr>
          <w:rFonts w:cs="Arial"/>
          <w:szCs w:val="22"/>
          <w:lang w:eastAsia="en-AU"/>
        </w:rPr>
        <w:instrText xml:space="preserve"> \* MERGEFORMAT </w:instrText>
      </w:r>
      <w:r w:rsidR="00993358" w:rsidRPr="00FA2840">
        <w:rPr>
          <w:rFonts w:cs="Arial"/>
          <w:szCs w:val="22"/>
          <w:lang w:eastAsia="en-AU"/>
        </w:rPr>
      </w:r>
      <w:r w:rsidR="00993358" w:rsidRPr="00FA2840">
        <w:rPr>
          <w:rFonts w:cs="Arial"/>
          <w:szCs w:val="22"/>
          <w:lang w:eastAsia="en-AU"/>
        </w:rPr>
        <w:fldChar w:fldCharType="separate"/>
      </w:r>
      <w:r w:rsidR="0067675D" w:rsidRPr="0067675D">
        <w:rPr>
          <w:rFonts w:cs="Arial"/>
          <w:szCs w:val="22"/>
        </w:rPr>
        <w:t xml:space="preserve">Figure </w:t>
      </w:r>
      <w:r w:rsidR="0067675D" w:rsidRPr="0067675D">
        <w:rPr>
          <w:rFonts w:cs="Arial"/>
          <w:noProof/>
          <w:szCs w:val="22"/>
        </w:rPr>
        <w:t>76</w:t>
      </w:r>
      <w:r w:rsidR="00993358" w:rsidRPr="00FA2840">
        <w:rPr>
          <w:rFonts w:cs="Arial"/>
          <w:szCs w:val="22"/>
          <w:lang w:eastAsia="en-AU"/>
        </w:rPr>
        <w:fldChar w:fldCharType="end"/>
      </w:r>
      <w:r w:rsidR="007E1DF9" w:rsidRPr="00FA2840">
        <w:rPr>
          <w:rFonts w:cs="Arial"/>
          <w:szCs w:val="22"/>
          <w:lang w:eastAsia="en-AU"/>
        </w:rPr>
        <w:t xml:space="preserve">). </w:t>
      </w:r>
      <w:r w:rsidR="00297FAD" w:rsidRPr="00FA2840">
        <w:rPr>
          <w:rFonts w:cs="Arial"/>
          <w:szCs w:val="22"/>
          <w:lang w:eastAsia="en-AU"/>
        </w:rPr>
        <w:t xml:space="preserve">This limits the meadow capacity to recover following further disturbance. </w:t>
      </w:r>
    </w:p>
    <w:p w14:paraId="04E17458" w14:textId="77777777" w:rsidR="004765F2" w:rsidRPr="00D562E2" w:rsidRDefault="004765F2" w:rsidP="007E1DF9">
      <w:pPr>
        <w:rPr>
          <w:rFonts w:cs="Arial"/>
          <w:szCs w:val="22"/>
          <w:lang w:eastAsia="en-AU"/>
        </w:rPr>
      </w:pPr>
    </w:p>
    <w:p w14:paraId="0603D6B6" w14:textId="77777777" w:rsidR="007E1DF9" w:rsidRPr="00D562E2" w:rsidRDefault="00EB62A9" w:rsidP="004D6DEF">
      <w:pPr>
        <w:keepNext/>
        <w:widowControl w:val="0"/>
        <w:jc w:val="center"/>
        <w:rPr>
          <w:rFonts w:cs="Arial"/>
          <w:color w:val="000000"/>
          <w:szCs w:val="22"/>
          <w:lang w:eastAsia="en-AU"/>
        </w:rPr>
      </w:pPr>
      <w:r w:rsidRPr="00D562E2">
        <w:rPr>
          <w:rFonts w:cs="Arial"/>
          <w:noProof/>
          <w:color w:val="000000"/>
          <w:szCs w:val="22"/>
          <w:lang w:eastAsia="en-AU"/>
        </w:rPr>
        <w:lastRenderedPageBreak/>
        <w:drawing>
          <wp:inline distT="0" distB="0" distL="0" distR="0" wp14:anchorId="361B9428" wp14:editId="1A7228FE">
            <wp:extent cx="5790128" cy="1443957"/>
            <wp:effectExtent l="0" t="0" r="1270" b="4445"/>
            <wp:docPr id="10158" name="Picture 10158" descr="Panel of three composite bar and scatter plot graphs showing seed banks (bars) and reproductive effort (dots) at inshore intertidal habitats in the Fitzro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 name="F_repro16.png"/>
                    <pic:cNvPicPr/>
                  </pic:nvPicPr>
                  <pic:blipFill>
                    <a:blip r:embed="rId129"/>
                    <a:stretch>
                      <a:fillRect/>
                    </a:stretch>
                  </pic:blipFill>
                  <pic:spPr>
                    <a:xfrm>
                      <a:off x="0" y="0"/>
                      <a:ext cx="5790128" cy="1443957"/>
                    </a:xfrm>
                    <a:prstGeom prst="rect">
                      <a:avLst/>
                    </a:prstGeom>
                  </pic:spPr>
                </pic:pic>
              </a:graphicData>
            </a:graphic>
          </wp:inline>
        </w:drawing>
      </w:r>
    </w:p>
    <w:p w14:paraId="5C50C634" w14:textId="36DE070F" w:rsidR="00244FEE" w:rsidRPr="00D562E2" w:rsidRDefault="005132EF" w:rsidP="00244FEE">
      <w:pPr>
        <w:autoSpaceDE w:val="0"/>
        <w:autoSpaceDN w:val="0"/>
        <w:adjustRightInd w:val="0"/>
        <w:rPr>
          <w:rFonts w:cs="Arial"/>
          <w:i/>
          <w:vanish/>
          <w:szCs w:val="22"/>
          <w:specVanish/>
        </w:rPr>
      </w:pPr>
      <w:bookmarkStart w:id="577" w:name="_Ref382209642"/>
      <w:bookmarkStart w:id="578" w:name="_Toc431493890"/>
      <w:bookmarkStart w:id="579" w:name="_Toc38634180"/>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76</w:t>
      </w:r>
      <w:r w:rsidR="0073595B" w:rsidRPr="00D562E2">
        <w:rPr>
          <w:rFonts w:cs="Arial"/>
          <w:color w:val="000000"/>
          <w:szCs w:val="22"/>
        </w:rPr>
        <w:fldChar w:fldCharType="end"/>
      </w:r>
      <w:bookmarkEnd w:id="577"/>
      <w:r w:rsidRPr="00D562E2">
        <w:rPr>
          <w:rFonts w:cs="Arial"/>
          <w:color w:val="000000"/>
          <w:szCs w:val="22"/>
        </w:rPr>
        <w:t>.</w:t>
      </w:r>
      <w:r w:rsidRPr="00D562E2">
        <w:rPr>
          <w:rFonts w:cs="Arial"/>
          <w:i/>
          <w:color w:val="000000"/>
          <w:szCs w:val="22"/>
        </w:rPr>
        <w:t xml:space="preserve"> </w:t>
      </w:r>
      <w:r w:rsidR="00202B9D" w:rsidRPr="00D562E2">
        <w:rPr>
          <w:rFonts w:cs="Arial"/>
          <w:i/>
          <w:color w:val="000000"/>
          <w:szCs w:val="22"/>
        </w:rPr>
        <w:t>R</w:t>
      </w:r>
      <w:r w:rsidR="00244FEE" w:rsidRPr="00D562E2">
        <w:rPr>
          <w:rFonts w:cs="Arial"/>
          <w:i/>
          <w:color w:val="000000"/>
          <w:szCs w:val="22"/>
        </w:rPr>
        <w:t xml:space="preserve">eproductive effort for inshore intertidal coastal, estuary </w:t>
      </w:r>
      <w:r w:rsidR="00244FEE" w:rsidRPr="00D562E2">
        <w:rPr>
          <w:rFonts w:cs="Arial"/>
          <w:i/>
          <w:szCs w:val="22"/>
        </w:rPr>
        <w:t xml:space="preserve">and reef habitats in the </w:t>
      </w:r>
      <w:r w:rsidR="008C23B1" w:rsidRPr="00D562E2">
        <w:rPr>
          <w:rFonts w:cs="Arial"/>
          <w:i/>
          <w:szCs w:val="22"/>
        </w:rPr>
        <w:t>Fitzroy</w:t>
      </w:r>
      <w:r w:rsidR="00244FEE" w:rsidRPr="00D562E2">
        <w:rPr>
          <w:rFonts w:cs="Arial"/>
          <w:i/>
          <w:szCs w:val="22"/>
        </w:rPr>
        <w:t xml:space="preserve"> region, 200</w:t>
      </w:r>
      <w:r w:rsidR="00F45DFA" w:rsidRPr="00D562E2">
        <w:rPr>
          <w:rFonts w:cs="Arial"/>
          <w:i/>
          <w:szCs w:val="22"/>
        </w:rPr>
        <w:t>5</w:t>
      </w:r>
      <w:r w:rsidR="00A675DA" w:rsidRPr="00D562E2">
        <w:rPr>
          <w:rFonts w:cs="Arial"/>
          <w:i/>
          <w:szCs w:val="22"/>
        </w:rPr>
        <w:t>–</w:t>
      </w:r>
      <w:r w:rsidR="00244FEE" w:rsidRPr="00D562E2">
        <w:rPr>
          <w:rFonts w:cs="Arial"/>
          <w:i/>
          <w:szCs w:val="22"/>
        </w:rPr>
        <w:t>201</w:t>
      </w:r>
      <w:r w:rsidR="00371FEA" w:rsidRPr="00D562E2">
        <w:rPr>
          <w:rFonts w:cs="Arial"/>
          <w:i/>
          <w:szCs w:val="22"/>
        </w:rPr>
        <w:t>9</w:t>
      </w:r>
      <w:r w:rsidR="00244FEE" w:rsidRPr="00D562E2">
        <w:rPr>
          <w:rFonts w:cs="Arial"/>
          <w:i/>
          <w:szCs w:val="22"/>
        </w:rPr>
        <w:t>.</w:t>
      </w:r>
      <w:bookmarkEnd w:id="578"/>
      <w:bookmarkEnd w:id="579"/>
      <w:r w:rsidR="00244FEE" w:rsidRPr="00D562E2">
        <w:rPr>
          <w:rFonts w:cs="Arial"/>
          <w:i/>
          <w:szCs w:val="22"/>
        </w:rPr>
        <w:t xml:space="preserve"> </w:t>
      </w:r>
    </w:p>
    <w:p w14:paraId="21D09AAD" w14:textId="77777777" w:rsidR="00BC4EC5" w:rsidRPr="00D562E2" w:rsidRDefault="00244FEE" w:rsidP="00BC5E5C">
      <w:pPr>
        <w:autoSpaceDE w:val="0"/>
        <w:autoSpaceDN w:val="0"/>
        <w:adjustRightInd w:val="0"/>
        <w:rPr>
          <w:rFonts w:cs="Arial"/>
          <w:color w:val="000000"/>
          <w:szCs w:val="22"/>
        </w:rPr>
      </w:pPr>
      <w:r w:rsidRPr="00D562E2">
        <w:rPr>
          <w:rFonts w:cs="Arial"/>
          <w:i/>
          <w:szCs w:val="22"/>
        </w:rPr>
        <w:t>S</w:t>
      </w:r>
      <w:r w:rsidR="008C23B1" w:rsidRPr="00D562E2">
        <w:rPr>
          <w:rFonts w:cs="Arial"/>
          <w:i/>
          <w:szCs w:val="22"/>
        </w:rPr>
        <w:t xml:space="preserve">eed bank presented as the total number of seeds </w:t>
      </w:r>
      <w:r w:rsidR="008C23B1" w:rsidRPr="00D562E2">
        <w:rPr>
          <w:rFonts w:cs="Arial"/>
          <w:i/>
          <w:color w:val="000000"/>
          <w:szCs w:val="22"/>
        </w:rPr>
        <w:t>per m</w:t>
      </w:r>
      <w:r w:rsidR="008C23B1" w:rsidRPr="00D562E2">
        <w:rPr>
          <w:rFonts w:cs="Arial"/>
          <w:i/>
          <w:color w:val="000000"/>
          <w:szCs w:val="22"/>
          <w:vertAlign w:val="superscript"/>
        </w:rPr>
        <w:t>2</w:t>
      </w:r>
      <w:r w:rsidR="008C23B1" w:rsidRPr="00D562E2">
        <w:rPr>
          <w:rFonts w:cs="Arial"/>
          <w:i/>
          <w:color w:val="000000"/>
          <w:szCs w:val="22"/>
        </w:rPr>
        <w:t xml:space="preserve"> sediment surface and late dry season reproductive effort presented as the average number of reproductive structures per core (species and sites pooled).</w:t>
      </w:r>
      <w:r w:rsidRPr="00D562E2">
        <w:rPr>
          <w:rFonts w:cs="Arial"/>
          <w:i/>
          <w:color w:val="000000"/>
          <w:szCs w:val="22"/>
        </w:rPr>
        <w:t xml:space="preserve"> </w:t>
      </w:r>
    </w:p>
    <w:p w14:paraId="481E0961" w14:textId="33B060E0" w:rsidR="00A23A41" w:rsidRPr="00D562E2" w:rsidRDefault="00A23A41" w:rsidP="00785606">
      <w:pPr>
        <w:pStyle w:val="Heading4"/>
      </w:pPr>
      <w:bookmarkStart w:id="580" w:name="_Toc37775109"/>
      <w:bookmarkStart w:id="581" w:name="_Toc43987084"/>
      <w:r w:rsidRPr="00D562E2">
        <w:t>Seagrass leaf tissue nutrients</w:t>
      </w:r>
      <w:bookmarkEnd w:id="580"/>
      <w:bookmarkEnd w:id="581"/>
    </w:p>
    <w:p w14:paraId="02395F64" w14:textId="70ABA2ED" w:rsidR="00694E02" w:rsidRPr="00D562E2" w:rsidRDefault="00694E02" w:rsidP="00694E02">
      <w:pPr>
        <w:rPr>
          <w:rFonts w:cs="Arial"/>
          <w:iCs/>
          <w:szCs w:val="22"/>
        </w:rPr>
      </w:pPr>
      <w:r w:rsidRPr="00D562E2">
        <w:rPr>
          <w:rFonts w:cs="Arial"/>
          <w:iCs/>
          <w:szCs w:val="22"/>
        </w:rPr>
        <w:t xml:space="preserve">Seagrass leaf molar C:N ratios marginally declined across all habitats in </w:t>
      </w:r>
      <w:r w:rsidR="00956639" w:rsidRPr="00D562E2">
        <w:rPr>
          <w:rFonts w:cs="Arial"/>
          <w:iCs/>
          <w:szCs w:val="22"/>
        </w:rPr>
        <w:t>2018–19</w:t>
      </w:r>
      <w:r w:rsidRPr="00D562E2">
        <w:rPr>
          <w:rFonts w:cs="Arial"/>
          <w:iCs/>
          <w:szCs w:val="22"/>
        </w:rPr>
        <w:t xml:space="preserve"> relative to the previous year, remaining </w:t>
      </w:r>
      <w:r w:rsidR="00FA2840">
        <w:rPr>
          <w:rFonts w:cs="Arial"/>
          <w:iCs/>
          <w:szCs w:val="22"/>
        </w:rPr>
        <w:t xml:space="preserve">at or </w:t>
      </w:r>
      <w:r w:rsidRPr="00D562E2">
        <w:rPr>
          <w:rFonts w:cs="Arial"/>
          <w:iCs/>
          <w:szCs w:val="22"/>
        </w:rPr>
        <w:t>below 20 (</w:t>
      </w:r>
      <w:r w:rsidRPr="00D562E2">
        <w:rPr>
          <w:rFonts w:cs="Arial"/>
          <w:iCs/>
          <w:szCs w:val="22"/>
        </w:rPr>
        <w:fldChar w:fldCharType="begin"/>
      </w:r>
      <w:r w:rsidRPr="00D562E2">
        <w:rPr>
          <w:rFonts w:cs="Arial"/>
          <w:iCs/>
          <w:szCs w:val="22"/>
        </w:rPr>
        <w:instrText xml:space="preserve"> REF _Ref271130459 \h  \* MERGEFORMAT </w:instrText>
      </w:r>
      <w:r w:rsidRPr="00D562E2">
        <w:rPr>
          <w:rFonts w:cs="Arial"/>
          <w:iCs/>
          <w:szCs w:val="22"/>
        </w:rPr>
      </w:r>
      <w:r w:rsidRPr="00D562E2">
        <w:rPr>
          <w:rFonts w:cs="Arial"/>
          <w:iCs/>
          <w:szCs w:val="22"/>
        </w:rPr>
        <w:fldChar w:fldCharType="separate"/>
      </w:r>
      <w:r w:rsidR="0067675D" w:rsidRPr="0067675D">
        <w:rPr>
          <w:rFonts w:cs="Arial"/>
          <w:szCs w:val="22"/>
        </w:rPr>
        <w:t xml:space="preserve">Figure </w:t>
      </w:r>
      <w:r w:rsidR="0067675D" w:rsidRPr="0067675D">
        <w:rPr>
          <w:rFonts w:cs="Arial"/>
          <w:noProof/>
          <w:szCs w:val="22"/>
        </w:rPr>
        <w:t>68</w:t>
      </w:r>
      <w:r w:rsidRPr="00D562E2">
        <w:rPr>
          <w:rFonts w:cs="Arial"/>
          <w:iCs/>
          <w:szCs w:val="22"/>
        </w:rPr>
        <w:fldChar w:fldCharType="end"/>
      </w:r>
      <w:r w:rsidRPr="00D562E2">
        <w:rPr>
          <w:rFonts w:cs="Arial"/>
          <w:iCs/>
          <w:szCs w:val="22"/>
        </w:rPr>
        <w:t>), indicating a surplus of N relative to photosynthetic C incorporation. N:P ratios marginally increase</w:t>
      </w:r>
      <w:r w:rsidR="00FA2840">
        <w:rPr>
          <w:rFonts w:cs="Arial"/>
          <w:iCs/>
          <w:szCs w:val="22"/>
        </w:rPr>
        <w:t>d</w:t>
      </w:r>
      <w:r w:rsidRPr="00D562E2">
        <w:rPr>
          <w:rFonts w:cs="Arial"/>
          <w:iCs/>
          <w:szCs w:val="22"/>
        </w:rPr>
        <w:t xml:space="preserve"> across all habitats, which combined with C:N indicates sufficient availability of N across the region</w:t>
      </w:r>
      <w:r w:rsidR="005029A0" w:rsidRPr="00D562E2">
        <w:rPr>
          <w:rFonts w:cs="Arial"/>
          <w:iCs/>
          <w:szCs w:val="22"/>
        </w:rPr>
        <w:t xml:space="preserve"> relative to seagrass growth requirements</w:t>
      </w:r>
      <w:r w:rsidRPr="00D562E2">
        <w:rPr>
          <w:rFonts w:cs="Arial"/>
          <w:iCs/>
          <w:szCs w:val="22"/>
        </w:rPr>
        <w:t xml:space="preserve">. There is no indication of elevated N, despite </w:t>
      </w:r>
      <w:r w:rsidR="003C311A">
        <w:rPr>
          <w:rFonts w:cs="Arial"/>
          <w:iCs/>
          <w:szCs w:val="22"/>
        </w:rPr>
        <w:t>%</w:t>
      </w:r>
      <w:r w:rsidRPr="00D562E2">
        <w:rPr>
          <w:rFonts w:cs="Arial"/>
          <w:iCs/>
          <w:szCs w:val="22"/>
        </w:rPr>
        <w:t>N remaining above the global median. The low δ</w:t>
      </w:r>
      <w:r w:rsidRPr="00D562E2">
        <w:rPr>
          <w:rFonts w:cs="Arial"/>
          <w:iCs/>
          <w:szCs w:val="22"/>
          <w:vertAlign w:val="superscript"/>
        </w:rPr>
        <w:t>15</w:t>
      </w:r>
      <w:r w:rsidRPr="00D562E2">
        <w:rPr>
          <w:rFonts w:cs="Arial"/>
          <w:iCs/>
          <w:szCs w:val="22"/>
        </w:rPr>
        <w:t xml:space="preserve">N (e.g. decreasing at reef habitats), suggests </w:t>
      </w:r>
      <w:r w:rsidR="007A70FE" w:rsidRPr="00D562E2">
        <w:rPr>
          <w:rFonts w:cs="Arial"/>
          <w:iCs/>
          <w:szCs w:val="22"/>
        </w:rPr>
        <w:t>negligible</w:t>
      </w:r>
      <w:r w:rsidRPr="00D562E2">
        <w:rPr>
          <w:rFonts w:cs="Arial"/>
          <w:iCs/>
          <w:szCs w:val="22"/>
        </w:rPr>
        <w:t xml:space="preserve"> influence of an anthropogenic source of N (</w:t>
      </w:r>
      <w:r w:rsidRPr="00D562E2">
        <w:rPr>
          <w:rFonts w:cs="Arial"/>
          <w:iCs/>
          <w:szCs w:val="22"/>
        </w:rPr>
        <w:fldChar w:fldCharType="begin"/>
      </w:r>
      <w:r w:rsidRPr="00D562E2">
        <w:rPr>
          <w:rFonts w:cs="Arial"/>
          <w:iCs/>
          <w:szCs w:val="22"/>
        </w:rPr>
        <w:instrText xml:space="preserve"> REF _Ref271130459 \h  \* MERGEFORMAT </w:instrText>
      </w:r>
      <w:r w:rsidRPr="00D562E2">
        <w:rPr>
          <w:rFonts w:cs="Arial"/>
          <w:iCs/>
          <w:szCs w:val="22"/>
        </w:rPr>
      </w:r>
      <w:r w:rsidRPr="00D562E2">
        <w:rPr>
          <w:rFonts w:cs="Arial"/>
          <w:iCs/>
          <w:szCs w:val="22"/>
        </w:rPr>
        <w:fldChar w:fldCharType="separate"/>
      </w:r>
      <w:r w:rsidR="0067675D" w:rsidRPr="0067675D">
        <w:rPr>
          <w:rFonts w:cs="Arial"/>
          <w:szCs w:val="22"/>
        </w:rPr>
        <w:t xml:space="preserve">Figure </w:t>
      </w:r>
      <w:r w:rsidR="0067675D" w:rsidRPr="0067675D">
        <w:rPr>
          <w:rFonts w:cs="Arial"/>
          <w:noProof/>
          <w:szCs w:val="22"/>
        </w:rPr>
        <w:t>68</w:t>
      </w:r>
      <w:r w:rsidRPr="00D562E2">
        <w:rPr>
          <w:rFonts w:cs="Arial"/>
          <w:iCs/>
          <w:szCs w:val="22"/>
        </w:rPr>
        <w:fldChar w:fldCharType="end"/>
      </w:r>
      <w:r w:rsidRPr="00D562E2">
        <w:rPr>
          <w:rFonts w:cs="Arial"/>
          <w:iCs/>
          <w:szCs w:val="22"/>
        </w:rPr>
        <w:t>)</w:t>
      </w:r>
      <w:r w:rsidRPr="00D562E2">
        <w:rPr>
          <w:rFonts w:cs="Arial"/>
          <w:szCs w:val="22"/>
          <w:lang w:val="en-GB"/>
        </w:rPr>
        <w:t>.</w:t>
      </w:r>
    </w:p>
    <w:p w14:paraId="7ACC1472" w14:textId="77777777" w:rsidR="00694E02" w:rsidRPr="00D562E2" w:rsidRDefault="00694E02" w:rsidP="007E1DF9">
      <w:pPr>
        <w:autoSpaceDE w:val="0"/>
        <w:autoSpaceDN w:val="0"/>
        <w:adjustRightInd w:val="0"/>
        <w:rPr>
          <w:rFonts w:cs="Arial"/>
          <w:iCs/>
          <w:szCs w:val="22"/>
        </w:rPr>
      </w:pPr>
    </w:p>
    <w:p w14:paraId="221E837B" w14:textId="77777777" w:rsidR="007E1DF9" w:rsidRPr="00D562E2" w:rsidRDefault="00EB62A9" w:rsidP="004D6DEF">
      <w:pPr>
        <w:keepNext/>
        <w:widowControl w:val="0"/>
        <w:autoSpaceDE w:val="0"/>
        <w:autoSpaceDN w:val="0"/>
        <w:adjustRightInd w:val="0"/>
        <w:jc w:val="center"/>
        <w:rPr>
          <w:rFonts w:cs="Arial"/>
          <w:color w:val="000000"/>
          <w:szCs w:val="22"/>
        </w:rPr>
      </w:pPr>
      <w:r w:rsidRPr="00D562E2">
        <w:rPr>
          <w:rFonts w:cs="Arial"/>
          <w:noProof/>
          <w:color w:val="000000"/>
          <w:szCs w:val="22"/>
          <w:lang w:eastAsia="en-AU"/>
        </w:rPr>
        <w:lastRenderedPageBreak/>
        <w:drawing>
          <wp:inline distT="0" distB="0" distL="0" distR="0" wp14:anchorId="025EA9A2" wp14:editId="6AD3853C">
            <wp:extent cx="5487494" cy="6522449"/>
            <wp:effectExtent l="0" t="0" r="0" b="0"/>
            <wp:docPr id="10159" name="Picture 10159" descr="Set of twenty one scatter plots, displayed in seven by three matrix, with straight lines and markers showing annual elemental ratios (atomic) of seagrass leaf tissue C:N, N:P, C:P, percent Nitrogen, percent Phosphorous, delta 13 Carbon and delta 15 Nitrogen concentrations for the three seagrass habitats in the Fitzroy NRM region from 2005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 name="F_CN_yr_Dec16.png"/>
                    <pic:cNvPicPr/>
                  </pic:nvPicPr>
                  <pic:blipFill>
                    <a:blip r:embed="rId130"/>
                    <a:stretch>
                      <a:fillRect/>
                    </a:stretch>
                  </pic:blipFill>
                  <pic:spPr bwMode="auto">
                    <a:xfrm>
                      <a:off x="0" y="0"/>
                      <a:ext cx="5487494" cy="6522449"/>
                    </a:xfrm>
                    <a:prstGeom prst="rect">
                      <a:avLst/>
                    </a:prstGeom>
                    <a:ln>
                      <a:noFill/>
                    </a:ln>
                    <a:extLst>
                      <a:ext uri="{53640926-AAD7-44D8-BBD7-CCE9431645EC}">
                        <a14:shadowObscured xmlns:a14="http://schemas.microsoft.com/office/drawing/2010/main"/>
                      </a:ext>
                    </a:extLst>
                  </pic:spPr>
                </pic:pic>
              </a:graphicData>
            </a:graphic>
          </wp:inline>
        </w:drawing>
      </w:r>
    </w:p>
    <w:p w14:paraId="7D7710F9" w14:textId="0C943693" w:rsidR="004E65AD" w:rsidRPr="00D562E2" w:rsidRDefault="005132EF" w:rsidP="004E65AD">
      <w:pPr>
        <w:rPr>
          <w:rFonts w:cs="Arial"/>
          <w:i/>
          <w:vanish/>
          <w:color w:val="000000" w:themeColor="text1"/>
          <w:szCs w:val="22"/>
          <w:specVanish/>
        </w:rPr>
      </w:pPr>
      <w:bookmarkStart w:id="582" w:name="_Ref271133742"/>
      <w:bookmarkStart w:id="583" w:name="_Toc431493892"/>
      <w:bookmarkStart w:id="584" w:name="_Toc38634181"/>
      <w:r w:rsidRPr="00D562E2">
        <w:rPr>
          <w:rFonts w:cs="Arial"/>
          <w:color w:val="000000"/>
          <w:szCs w:val="22"/>
        </w:rPr>
        <w:t xml:space="preserve">Figure </w:t>
      </w:r>
      <w:r w:rsidR="0073595B" w:rsidRPr="00D562E2">
        <w:rPr>
          <w:rFonts w:cs="Arial"/>
          <w:color w:val="000000"/>
          <w:szCs w:val="22"/>
        </w:rPr>
        <w:fldChar w:fldCharType="begin"/>
      </w:r>
      <w:r w:rsidR="0073595B" w:rsidRPr="00D562E2">
        <w:rPr>
          <w:rFonts w:cs="Arial"/>
          <w:color w:val="000000"/>
          <w:szCs w:val="22"/>
        </w:rPr>
        <w:instrText xml:space="preserve"> SEQ Figure \* ARABIC </w:instrText>
      </w:r>
      <w:r w:rsidR="0073595B" w:rsidRPr="00D562E2">
        <w:rPr>
          <w:rFonts w:cs="Arial"/>
          <w:color w:val="000000"/>
          <w:szCs w:val="22"/>
        </w:rPr>
        <w:fldChar w:fldCharType="separate"/>
      </w:r>
      <w:r w:rsidR="0067675D">
        <w:rPr>
          <w:rFonts w:cs="Arial"/>
          <w:noProof/>
          <w:color w:val="000000"/>
          <w:szCs w:val="22"/>
        </w:rPr>
        <w:t>77</w:t>
      </w:r>
      <w:r w:rsidR="0073595B" w:rsidRPr="00D562E2">
        <w:rPr>
          <w:rFonts w:cs="Arial"/>
          <w:color w:val="000000"/>
          <w:szCs w:val="22"/>
        </w:rPr>
        <w:fldChar w:fldCharType="end"/>
      </w:r>
      <w:bookmarkEnd w:id="582"/>
      <w:r w:rsidRPr="00D562E2">
        <w:rPr>
          <w:rFonts w:cs="Arial"/>
          <w:color w:val="000000"/>
          <w:szCs w:val="22"/>
        </w:rPr>
        <w:t xml:space="preserve">. </w:t>
      </w:r>
      <w:bookmarkEnd w:id="583"/>
      <w:r w:rsidR="004E65AD" w:rsidRPr="00D562E2">
        <w:rPr>
          <w:rFonts w:cs="Arial"/>
          <w:i/>
          <w:color w:val="000000"/>
          <w:szCs w:val="22"/>
          <w:lang w:eastAsia="en-AU"/>
        </w:rPr>
        <w:t xml:space="preserve">Seagrass leaf tissue nutrient elemental ratios (C:N:P) and </w:t>
      </w:r>
      <w:r w:rsidR="004E65AD" w:rsidRPr="00D562E2">
        <w:rPr>
          <w:rFonts w:cs="Arial"/>
          <w:i/>
          <w:color w:val="000000"/>
          <w:szCs w:val="22"/>
          <w:lang w:val="en-US"/>
        </w:rPr>
        <w:t>concentrations (</w:t>
      </w:r>
      <w:r w:rsidR="003C311A">
        <w:rPr>
          <w:rFonts w:cs="Arial"/>
          <w:i/>
          <w:color w:val="000000"/>
          <w:szCs w:val="22"/>
          <w:lang w:eastAsia="en-AU"/>
        </w:rPr>
        <w:t>%</w:t>
      </w:r>
      <w:r w:rsidR="004E65AD" w:rsidRPr="00D562E2">
        <w:rPr>
          <w:rFonts w:cs="Arial"/>
          <w:i/>
          <w:color w:val="000000"/>
          <w:szCs w:val="22"/>
          <w:lang w:eastAsia="en-AU"/>
        </w:rPr>
        <w:t xml:space="preserve">N, </w:t>
      </w:r>
      <w:r w:rsidR="003C311A">
        <w:rPr>
          <w:rFonts w:cs="Arial"/>
          <w:i/>
          <w:color w:val="000000"/>
          <w:szCs w:val="22"/>
          <w:lang w:eastAsia="en-AU"/>
        </w:rPr>
        <w:t>%</w:t>
      </w:r>
      <w:r w:rsidR="004E65AD" w:rsidRPr="00D562E2">
        <w:rPr>
          <w:rFonts w:cs="Arial"/>
          <w:i/>
          <w:color w:val="000000"/>
          <w:szCs w:val="22"/>
          <w:lang w:eastAsia="en-AU"/>
        </w:rPr>
        <w:t xml:space="preserve">P, </w:t>
      </w:r>
      <w:r w:rsidR="004E65AD" w:rsidRPr="00D562E2">
        <w:rPr>
          <w:rFonts w:cs="Arial"/>
          <w:i/>
          <w:color w:val="000000"/>
          <w:szCs w:val="22"/>
        </w:rPr>
        <w:t>δ</w:t>
      </w:r>
      <w:r w:rsidR="004E65AD" w:rsidRPr="00D562E2">
        <w:rPr>
          <w:rFonts w:cs="Arial"/>
          <w:i/>
          <w:color w:val="000000"/>
          <w:szCs w:val="22"/>
          <w:vertAlign w:val="superscript"/>
        </w:rPr>
        <w:t>13</w:t>
      </w:r>
      <w:r w:rsidR="004E65AD" w:rsidRPr="00D562E2">
        <w:rPr>
          <w:rFonts w:cs="Arial"/>
          <w:i/>
          <w:color w:val="000000"/>
          <w:szCs w:val="22"/>
        </w:rPr>
        <w:t>C</w:t>
      </w:r>
      <w:r w:rsidR="004E65AD" w:rsidRPr="00D562E2">
        <w:rPr>
          <w:rFonts w:cs="Arial"/>
          <w:i/>
          <w:color w:val="000000"/>
          <w:szCs w:val="22"/>
          <w:lang w:val="en-US"/>
        </w:rPr>
        <w:t xml:space="preserve"> and </w:t>
      </w:r>
      <w:r w:rsidR="004E65AD" w:rsidRPr="00D562E2">
        <w:rPr>
          <w:rFonts w:cs="Arial"/>
          <w:i/>
          <w:color w:val="000000"/>
          <w:szCs w:val="22"/>
        </w:rPr>
        <w:t>δ</w:t>
      </w:r>
      <w:r w:rsidR="004E65AD" w:rsidRPr="00D562E2">
        <w:rPr>
          <w:rFonts w:cs="Arial"/>
          <w:i/>
          <w:color w:val="000000"/>
          <w:szCs w:val="22"/>
          <w:vertAlign w:val="superscript"/>
        </w:rPr>
        <w:t>15</w:t>
      </w:r>
      <w:r w:rsidR="004E65AD" w:rsidRPr="00D562E2">
        <w:rPr>
          <w:rFonts w:cs="Arial"/>
          <w:i/>
          <w:color w:val="000000"/>
          <w:szCs w:val="22"/>
        </w:rPr>
        <w:t>N)</w:t>
      </w:r>
      <w:r w:rsidR="004E65AD" w:rsidRPr="00D562E2">
        <w:rPr>
          <w:rFonts w:cs="Arial"/>
          <w:i/>
          <w:color w:val="000000"/>
          <w:szCs w:val="22"/>
          <w:lang w:val="en-US"/>
        </w:rPr>
        <w:t xml:space="preserve"> </w:t>
      </w:r>
      <w:r w:rsidR="004E65AD" w:rsidRPr="00D562E2">
        <w:rPr>
          <w:rFonts w:cs="Arial"/>
          <w:i/>
          <w:color w:val="000000"/>
          <w:szCs w:val="22"/>
          <w:lang w:eastAsia="en-AU"/>
        </w:rPr>
        <w:t>for each habitat in the Fitzroy region</w:t>
      </w:r>
      <w:bookmarkEnd w:id="584"/>
    </w:p>
    <w:p w14:paraId="2627DCE2" w14:textId="6C3C076C" w:rsidR="005132EF" w:rsidRPr="00D562E2" w:rsidRDefault="004E65AD" w:rsidP="004E65AD">
      <w:pPr>
        <w:rPr>
          <w:rFonts w:cs="Arial"/>
          <w:color w:val="000000"/>
          <w:szCs w:val="22"/>
        </w:rPr>
      </w:pPr>
      <w:r w:rsidRPr="00D562E2">
        <w:rPr>
          <w:rFonts w:cs="Arial"/>
          <w:i/>
          <w:color w:val="000000"/>
          <w:szCs w:val="22"/>
          <w:lang w:eastAsia="en-AU"/>
        </w:rPr>
        <w:t xml:space="preserve"> (± SE) (foundation species pooled). Horizontal shaded bands or dashed lines represents the accepted seagrass </w:t>
      </w:r>
      <w:r w:rsidRPr="00D562E2">
        <w:rPr>
          <w:rFonts w:cs="Arial"/>
          <w:i/>
          <w:color w:val="000000"/>
          <w:szCs w:val="22"/>
        </w:rPr>
        <w:t xml:space="preserve">guideline </w:t>
      </w:r>
      <w:r w:rsidRPr="00D562E2">
        <w:rPr>
          <w:rFonts w:cs="Arial"/>
          <w:i/>
          <w:color w:val="000000"/>
          <w:szCs w:val="22"/>
          <w:lang w:eastAsia="en-AU"/>
        </w:rPr>
        <w:t xml:space="preserve">values, where: C:N ratios within the </w:t>
      </w:r>
      <w:r w:rsidRPr="00D562E2">
        <w:rPr>
          <w:rFonts w:cs="Arial"/>
          <w:i/>
          <w:color w:val="000000"/>
          <w:szCs w:val="22"/>
          <w:lang w:eastAsia="en-AU"/>
        </w:rPr>
        <w:lastRenderedPageBreak/>
        <w:t xml:space="preserve">band may </w:t>
      </w:r>
      <w:r w:rsidRPr="00D562E2">
        <w:rPr>
          <w:rFonts w:cs="Arial"/>
          <w:i/>
          <w:color w:val="000000"/>
          <w:szCs w:val="22"/>
        </w:rPr>
        <w:t xml:space="preserve">indicate reduced light availability and/or N enrichment; </w:t>
      </w:r>
      <w:r w:rsidRPr="00D562E2">
        <w:rPr>
          <w:rFonts w:cs="Arial"/>
          <w:i/>
          <w:color w:val="000000"/>
          <w:szCs w:val="22"/>
          <w:lang w:eastAsia="en-AU"/>
        </w:rPr>
        <w:t xml:space="preserve">N:P ratios above the band indicate P limitation, below indicate N limitation and within indicates replete, and; C:P ratios within the band may </w:t>
      </w:r>
      <w:r w:rsidRPr="00D562E2">
        <w:rPr>
          <w:rFonts w:cs="Arial"/>
          <w:i/>
          <w:color w:val="000000"/>
          <w:szCs w:val="22"/>
        </w:rPr>
        <w:t xml:space="preserve">indicate </w:t>
      </w:r>
      <w:r w:rsidRPr="00D562E2">
        <w:rPr>
          <w:rFonts w:cs="Arial"/>
          <w:i/>
          <w:color w:val="000000"/>
          <w:szCs w:val="22"/>
          <w:lang w:eastAsia="en-AU"/>
        </w:rPr>
        <w:t>nutrient rich habitats (large P pool).</w:t>
      </w:r>
      <w:r w:rsidRPr="00D562E2">
        <w:rPr>
          <w:rFonts w:cs="Arial"/>
          <w:color w:val="000000"/>
          <w:szCs w:val="22"/>
          <w:lang w:eastAsia="en-AU"/>
        </w:rPr>
        <w:t xml:space="preserve"> </w:t>
      </w:r>
      <w:r w:rsidRPr="00D562E2">
        <w:rPr>
          <w:rFonts w:cs="Arial"/>
          <w:i/>
          <w:color w:val="000000"/>
          <w:szCs w:val="22"/>
        </w:rPr>
        <w:t xml:space="preserve">Dashed lines in </w:t>
      </w:r>
      <w:r w:rsidR="003C311A">
        <w:rPr>
          <w:rFonts w:cs="Arial"/>
          <w:i/>
          <w:color w:val="000000"/>
          <w:szCs w:val="22"/>
        </w:rPr>
        <w:t>%</w:t>
      </w:r>
      <w:r w:rsidRPr="00D562E2">
        <w:rPr>
          <w:rFonts w:cs="Arial"/>
          <w:i/>
          <w:color w:val="000000"/>
          <w:szCs w:val="22"/>
        </w:rPr>
        <w:t xml:space="preserve">N and </w:t>
      </w:r>
      <w:r w:rsidR="003C311A">
        <w:rPr>
          <w:rFonts w:cs="Arial"/>
          <w:i/>
          <w:color w:val="000000"/>
          <w:szCs w:val="22"/>
        </w:rPr>
        <w:t>%</w:t>
      </w:r>
      <w:r w:rsidRPr="00D562E2">
        <w:rPr>
          <w:rFonts w:cs="Arial"/>
          <w:i/>
          <w:color w:val="000000"/>
          <w:szCs w:val="22"/>
        </w:rPr>
        <w:t>P indicate global median values of 1.8</w:t>
      </w:r>
      <w:r w:rsidR="003C311A">
        <w:rPr>
          <w:rFonts w:cs="Arial"/>
          <w:i/>
          <w:color w:val="000000"/>
          <w:szCs w:val="22"/>
        </w:rPr>
        <w:t xml:space="preserve">% </w:t>
      </w:r>
      <w:r w:rsidRPr="00D562E2">
        <w:rPr>
          <w:rFonts w:cs="Arial"/>
          <w:i/>
          <w:color w:val="000000"/>
          <w:szCs w:val="22"/>
        </w:rPr>
        <w:t>and 0.2</w:t>
      </w:r>
      <w:r w:rsidR="003C311A">
        <w:rPr>
          <w:rFonts w:cs="Arial"/>
          <w:i/>
          <w:color w:val="000000"/>
          <w:szCs w:val="22"/>
        </w:rPr>
        <w:t xml:space="preserve">% </w:t>
      </w:r>
      <w:r w:rsidRPr="00D562E2">
        <w:rPr>
          <w:rFonts w:cs="Arial"/>
          <w:i/>
          <w:color w:val="000000"/>
          <w:szCs w:val="22"/>
        </w:rPr>
        <w:t>for tissue nitrogen and phosphorus, respectively (</w:t>
      </w:r>
      <w:hyperlink w:anchor="_ENREF_53" w:tooltip="Duarte, 1990 #1954" w:history="1">
        <w:r w:rsidR="009A7AB4" w:rsidRPr="00D562E2">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D562E2">
          <w:rPr>
            <w:rFonts w:cs="Arial"/>
            <w:i/>
            <w:color w:val="000000"/>
            <w:szCs w:val="22"/>
          </w:rPr>
          <w:fldChar w:fldCharType="separate"/>
        </w:r>
        <w:r w:rsidR="009A7AB4">
          <w:rPr>
            <w:rFonts w:cs="Arial"/>
            <w:i/>
            <w:noProof/>
            <w:color w:val="000000"/>
            <w:szCs w:val="22"/>
          </w:rPr>
          <w:t>Duarte 1990</w:t>
        </w:r>
        <w:r w:rsidR="009A7AB4" w:rsidRPr="00D562E2">
          <w:rPr>
            <w:rFonts w:cs="Arial"/>
            <w:i/>
            <w:color w:val="000000"/>
            <w:szCs w:val="22"/>
          </w:rPr>
          <w:fldChar w:fldCharType="end"/>
        </w:r>
      </w:hyperlink>
      <w:r w:rsidRPr="00D562E2">
        <w:rPr>
          <w:rFonts w:cs="Arial"/>
          <w:i/>
          <w:color w:val="000000"/>
          <w:szCs w:val="22"/>
        </w:rPr>
        <w:t>).</w:t>
      </w:r>
    </w:p>
    <w:p w14:paraId="6C5BDE02" w14:textId="21707DA8" w:rsidR="005132EF" w:rsidRPr="00D562E2" w:rsidRDefault="005132EF" w:rsidP="00785606">
      <w:pPr>
        <w:pStyle w:val="Heading4"/>
      </w:pPr>
      <w:bookmarkStart w:id="585" w:name="_Toc232845932"/>
      <w:bookmarkStart w:id="586" w:name="_Toc184102031"/>
      <w:bookmarkStart w:id="587" w:name="_Toc37775110"/>
      <w:bookmarkStart w:id="588" w:name="_Toc43987085"/>
      <w:r w:rsidRPr="00D562E2">
        <w:t>Epiphytes and Macroalgae</w:t>
      </w:r>
      <w:bookmarkEnd w:id="585"/>
      <w:bookmarkEnd w:id="586"/>
      <w:bookmarkEnd w:id="587"/>
      <w:bookmarkEnd w:id="588"/>
    </w:p>
    <w:p w14:paraId="3D5A2665" w14:textId="146173CE" w:rsidR="002F7B2F" w:rsidRPr="00D562E2" w:rsidRDefault="00D50307" w:rsidP="00034AD4">
      <w:pPr>
        <w:rPr>
          <w:rFonts w:cs="Arial"/>
          <w:szCs w:val="22"/>
          <w:lang w:val="en-US"/>
        </w:rPr>
      </w:pPr>
      <w:r w:rsidRPr="00D562E2">
        <w:rPr>
          <w:rFonts w:cs="Arial"/>
          <w:szCs w:val="22"/>
          <w:lang w:val="en-US"/>
        </w:rPr>
        <w:t>E</w:t>
      </w:r>
      <w:r w:rsidR="005132EF" w:rsidRPr="00D562E2">
        <w:rPr>
          <w:rFonts w:cs="Arial"/>
          <w:szCs w:val="22"/>
          <w:lang w:val="en-US"/>
        </w:rPr>
        <w:t xml:space="preserve">piphyte cover </w:t>
      </w:r>
      <w:r w:rsidR="00744B02" w:rsidRPr="00D562E2">
        <w:rPr>
          <w:rFonts w:cs="Arial"/>
          <w:szCs w:val="22"/>
          <w:lang w:val="en-US"/>
        </w:rPr>
        <w:t xml:space="preserve">on the leaves of seagrass </w:t>
      </w:r>
      <w:r w:rsidR="00631F2E" w:rsidRPr="00D562E2">
        <w:rPr>
          <w:rFonts w:cs="Arial"/>
          <w:szCs w:val="22"/>
          <w:lang w:val="en-US"/>
        </w:rPr>
        <w:t xml:space="preserve">across the Fitzroy region either remained below the </w:t>
      </w:r>
      <w:r w:rsidR="002F7B2F" w:rsidRPr="00D562E2">
        <w:rPr>
          <w:rFonts w:cs="Arial"/>
          <w:szCs w:val="22"/>
          <w:lang w:val="en-GB"/>
        </w:rPr>
        <w:t xml:space="preserve">Reef-wide </w:t>
      </w:r>
      <w:r w:rsidR="00631F2E" w:rsidRPr="00D562E2">
        <w:rPr>
          <w:rFonts w:cs="Arial"/>
          <w:szCs w:val="22"/>
          <w:lang w:val="en-GB"/>
        </w:rPr>
        <w:t xml:space="preserve">long-term average for the fifth consecutive year (estuarine and reef habitats), or </w:t>
      </w:r>
      <w:r w:rsidR="00744B02" w:rsidRPr="00D562E2">
        <w:rPr>
          <w:rFonts w:cs="Arial"/>
          <w:szCs w:val="22"/>
          <w:lang w:val="en-US"/>
        </w:rPr>
        <w:t>declined</w:t>
      </w:r>
      <w:r w:rsidR="00631F2E" w:rsidRPr="00D562E2">
        <w:rPr>
          <w:rFonts w:cs="Arial"/>
          <w:szCs w:val="22"/>
          <w:lang w:val="en-US"/>
        </w:rPr>
        <w:t xml:space="preserve"> (coastal habitat)</w:t>
      </w:r>
      <w:r w:rsidR="00744B02" w:rsidRPr="00D562E2">
        <w:rPr>
          <w:rFonts w:cs="Arial"/>
          <w:szCs w:val="22"/>
          <w:lang w:val="en-US"/>
        </w:rPr>
        <w:t xml:space="preserve"> </w:t>
      </w:r>
      <w:r w:rsidR="00631F2E" w:rsidRPr="00D562E2">
        <w:rPr>
          <w:rFonts w:cs="Arial"/>
          <w:szCs w:val="22"/>
          <w:lang w:val="en-US"/>
        </w:rPr>
        <w:t xml:space="preserve">in </w:t>
      </w:r>
      <w:r w:rsidR="00956639" w:rsidRPr="00D562E2">
        <w:rPr>
          <w:rFonts w:cs="Arial"/>
          <w:szCs w:val="22"/>
          <w:lang w:val="en-US"/>
        </w:rPr>
        <w:t>2018–19</w:t>
      </w:r>
      <w:r w:rsidR="00C81636" w:rsidRPr="00D562E2">
        <w:rPr>
          <w:rFonts w:cs="Arial"/>
          <w:szCs w:val="22"/>
          <w:lang w:val="en-US"/>
        </w:rPr>
        <w:t xml:space="preserve"> </w:t>
      </w:r>
      <w:r w:rsidR="00744B02" w:rsidRPr="00D562E2">
        <w:rPr>
          <w:rFonts w:cs="Arial"/>
          <w:szCs w:val="22"/>
          <w:lang w:val="en-US"/>
        </w:rPr>
        <w:t xml:space="preserve">compared </w:t>
      </w:r>
      <w:r w:rsidR="00631F2E" w:rsidRPr="00D562E2">
        <w:rPr>
          <w:rFonts w:cs="Arial"/>
          <w:szCs w:val="22"/>
          <w:lang w:val="en-US"/>
        </w:rPr>
        <w:t xml:space="preserve">to the previous reporting year </w:t>
      </w:r>
      <w:r w:rsidR="005132EF" w:rsidRPr="00D562E2">
        <w:rPr>
          <w:rFonts w:cs="Arial"/>
          <w:szCs w:val="22"/>
          <w:lang w:val="en-US"/>
        </w:rPr>
        <w:t>(</w:t>
      </w:r>
      <w:r w:rsidR="00005FEC" w:rsidRPr="00D562E2">
        <w:rPr>
          <w:rFonts w:cs="Arial"/>
          <w:szCs w:val="22"/>
          <w:lang w:val="en-US"/>
        </w:rPr>
        <w:fldChar w:fldCharType="begin"/>
      </w:r>
      <w:r w:rsidR="00005FEC" w:rsidRPr="00D562E2">
        <w:rPr>
          <w:rFonts w:cs="Arial"/>
          <w:szCs w:val="22"/>
          <w:lang w:val="en-US"/>
        </w:rPr>
        <w:instrText xml:space="preserve"> REF _Ref382209856 \h </w:instrText>
      </w:r>
      <w:r w:rsidR="00015190" w:rsidRPr="00D562E2">
        <w:rPr>
          <w:rFonts w:cs="Arial"/>
          <w:szCs w:val="22"/>
          <w:lang w:val="en-US"/>
        </w:rPr>
        <w:instrText xml:space="preserve"> \* MERGEFORMAT </w:instrText>
      </w:r>
      <w:r w:rsidR="00005FEC" w:rsidRPr="00D562E2">
        <w:rPr>
          <w:rFonts w:cs="Arial"/>
          <w:szCs w:val="22"/>
          <w:lang w:val="en-US"/>
        </w:rPr>
      </w:r>
      <w:r w:rsidR="00005FEC"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78</w:t>
      </w:r>
      <w:r w:rsidR="00005FEC" w:rsidRPr="00D562E2">
        <w:rPr>
          <w:rFonts w:cs="Arial"/>
          <w:szCs w:val="22"/>
          <w:lang w:val="en-US"/>
        </w:rPr>
        <w:fldChar w:fldCharType="end"/>
      </w:r>
      <w:r w:rsidR="005132EF" w:rsidRPr="00D562E2">
        <w:rPr>
          <w:rFonts w:cs="Arial"/>
          <w:szCs w:val="22"/>
          <w:lang w:val="en-US"/>
        </w:rPr>
        <w:t>)</w:t>
      </w:r>
      <w:r w:rsidRPr="00D562E2">
        <w:rPr>
          <w:rFonts w:cs="Arial"/>
          <w:szCs w:val="22"/>
          <w:lang w:val="en-US"/>
        </w:rPr>
        <w:t xml:space="preserve">. </w:t>
      </w:r>
    </w:p>
    <w:p w14:paraId="1B60DC3A" w14:textId="11B88863" w:rsidR="005132EF" w:rsidRPr="00D562E2" w:rsidRDefault="00005FEC" w:rsidP="00034AD4">
      <w:pPr>
        <w:rPr>
          <w:rFonts w:cs="Arial"/>
          <w:szCs w:val="22"/>
          <w:lang w:val="en-US"/>
        </w:rPr>
      </w:pPr>
      <w:r w:rsidRPr="00D562E2">
        <w:rPr>
          <w:rFonts w:cs="Arial"/>
          <w:szCs w:val="22"/>
          <w:lang w:val="en-US"/>
        </w:rPr>
        <w:t xml:space="preserve">Macroalgae cover remained </w:t>
      </w:r>
      <w:r w:rsidR="00631F2E" w:rsidRPr="00D562E2">
        <w:rPr>
          <w:rFonts w:cs="Arial"/>
          <w:szCs w:val="22"/>
          <w:lang w:val="en-US"/>
        </w:rPr>
        <w:t xml:space="preserve">very low and </w:t>
      </w:r>
      <w:r w:rsidRPr="00D562E2">
        <w:rPr>
          <w:rFonts w:cs="Arial"/>
          <w:szCs w:val="22"/>
          <w:lang w:val="en-US"/>
        </w:rPr>
        <w:t xml:space="preserve">unchanged at </w:t>
      </w:r>
      <w:r w:rsidR="004563F0" w:rsidRPr="00D562E2">
        <w:rPr>
          <w:rFonts w:cs="Arial"/>
          <w:szCs w:val="22"/>
          <w:lang w:val="en-US"/>
        </w:rPr>
        <w:t>all habitats in the Fitzroy region</w:t>
      </w:r>
      <w:r w:rsidR="00631F2E" w:rsidRPr="00D562E2">
        <w:rPr>
          <w:rFonts w:cs="Arial"/>
          <w:szCs w:val="22"/>
          <w:lang w:val="en-US"/>
        </w:rPr>
        <w:t>, with the exception of a minor increase in the late wet 2018 at the reef habitat</w:t>
      </w:r>
      <w:r w:rsidR="004563F0" w:rsidRPr="00D562E2">
        <w:rPr>
          <w:rFonts w:cs="Arial"/>
          <w:szCs w:val="22"/>
          <w:lang w:val="en-US"/>
        </w:rPr>
        <w:t xml:space="preserve"> </w:t>
      </w:r>
      <w:r w:rsidR="001C443C" w:rsidRPr="00D562E2">
        <w:rPr>
          <w:rFonts w:cs="Arial"/>
          <w:szCs w:val="22"/>
          <w:lang w:val="en-US"/>
        </w:rPr>
        <w:t>(</w:t>
      </w:r>
      <w:r w:rsidR="001C443C" w:rsidRPr="00D562E2">
        <w:rPr>
          <w:rFonts w:cs="Arial"/>
          <w:szCs w:val="22"/>
          <w:lang w:val="en-US"/>
        </w:rPr>
        <w:fldChar w:fldCharType="begin"/>
      </w:r>
      <w:r w:rsidR="001C443C" w:rsidRPr="00D562E2">
        <w:rPr>
          <w:rFonts w:cs="Arial"/>
          <w:szCs w:val="22"/>
          <w:lang w:val="en-US"/>
        </w:rPr>
        <w:instrText xml:space="preserve"> REF _Ref382209856 \h </w:instrText>
      </w:r>
      <w:r w:rsidR="00015190" w:rsidRPr="00D562E2">
        <w:rPr>
          <w:rFonts w:cs="Arial"/>
          <w:szCs w:val="22"/>
          <w:lang w:val="en-US"/>
        </w:rPr>
        <w:instrText xml:space="preserve"> \* MERGEFORMAT </w:instrText>
      </w:r>
      <w:r w:rsidR="001C443C" w:rsidRPr="00D562E2">
        <w:rPr>
          <w:rFonts w:cs="Arial"/>
          <w:szCs w:val="22"/>
          <w:lang w:val="en-US"/>
        </w:rPr>
      </w:r>
      <w:r w:rsidR="001C443C" w:rsidRPr="00D562E2">
        <w:rPr>
          <w:rFonts w:cs="Arial"/>
          <w:szCs w:val="22"/>
          <w:lang w:val="en-US"/>
        </w:rPr>
        <w:fldChar w:fldCharType="separate"/>
      </w:r>
      <w:r w:rsidR="0067675D" w:rsidRPr="00D562E2">
        <w:rPr>
          <w:rFonts w:cs="Arial"/>
          <w:szCs w:val="22"/>
        </w:rPr>
        <w:t xml:space="preserve">Figure </w:t>
      </w:r>
      <w:r w:rsidR="0067675D">
        <w:rPr>
          <w:rFonts w:cs="Arial"/>
          <w:noProof/>
          <w:szCs w:val="22"/>
        </w:rPr>
        <w:t>78</w:t>
      </w:r>
      <w:r w:rsidR="001C443C" w:rsidRPr="00D562E2">
        <w:rPr>
          <w:rFonts w:cs="Arial"/>
          <w:szCs w:val="22"/>
          <w:lang w:val="en-US"/>
        </w:rPr>
        <w:fldChar w:fldCharType="end"/>
      </w:r>
      <w:r w:rsidR="001C443C" w:rsidRPr="00D562E2">
        <w:rPr>
          <w:rFonts w:cs="Arial"/>
          <w:szCs w:val="22"/>
          <w:lang w:val="en-US"/>
        </w:rPr>
        <w:t>).</w:t>
      </w:r>
    </w:p>
    <w:p w14:paraId="6DED6D51" w14:textId="77777777" w:rsidR="0045784E" w:rsidRPr="00D562E2" w:rsidRDefault="00EB62A9" w:rsidP="003126B8">
      <w:pPr>
        <w:keepNext/>
        <w:jc w:val="center"/>
        <w:rPr>
          <w:rFonts w:cs="Arial"/>
          <w:szCs w:val="22"/>
          <w:lang w:val="en-US"/>
        </w:rPr>
      </w:pPr>
      <w:bookmarkStart w:id="589" w:name="_Ref211934058"/>
      <w:bookmarkStart w:id="590" w:name="_Toc232846019"/>
      <w:r w:rsidRPr="00D562E2">
        <w:rPr>
          <w:rFonts w:cs="Arial"/>
          <w:noProof/>
          <w:szCs w:val="22"/>
          <w:lang w:eastAsia="en-AU"/>
        </w:rPr>
        <w:drawing>
          <wp:inline distT="0" distB="0" distL="0" distR="0" wp14:anchorId="3FCB0D43" wp14:editId="3882E29A">
            <wp:extent cx="5734757" cy="3225800"/>
            <wp:effectExtent l="0" t="0" r="0" b="0"/>
            <wp:docPr id="10161" name="Picture 10161" descr="Set of six bar charts showing long-term trend in mean epiphyte and macroalgae abundance (% cover) at each inshore seagrass habitats in the Fitzroy NRM region, relative to the long-term average for each inshore GBR seagrass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 name="F_epi_algae_change_2016.png"/>
                    <pic:cNvPicPr/>
                  </pic:nvPicPr>
                  <pic:blipFill>
                    <a:blip r:embed="rId131"/>
                    <a:stretch>
                      <a:fillRect/>
                    </a:stretch>
                  </pic:blipFill>
                  <pic:spPr>
                    <a:xfrm>
                      <a:off x="0" y="0"/>
                      <a:ext cx="5744521" cy="3231292"/>
                    </a:xfrm>
                    <a:prstGeom prst="rect">
                      <a:avLst/>
                    </a:prstGeom>
                  </pic:spPr>
                </pic:pic>
              </a:graphicData>
            </a:graphic>
          </wp:inline>
        </w:drawing>
      </w:r>
    </w:p>
    <w:p w14:paraId="4887AADF" w14:textId="78867B2E" w:rsidR="005E3260" w:rsidRPr="00D562E2" w:rsidRDefault="005132EF" w:rsidP="005E3260">
      <w:pPr>
        <w:rPr>
          <w:rFonts w:cs="Arial"/>
          <w:i/>
          <w:vanish/>
          <w:szCs w:val="22"/>
          <w:specVanish/>
        </w:rPr>
      </w:pPr>
      <w:bookmarkStart w:id="591" w:name="_Ref382209856"/>
      <w:bookmarkStart w:id="592" w:name="_Toc431493894"/>
      <w:bookmarkStart w:id="593" w:name="_Toc38634182"/>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78</w:t>
      </w:r>
      <w:r w:rsidR="00C506C7" w:rsidRPr="00D562E2">
        <w:rPr>
          <w:rFonts w:cs="Arial"/>
          <w:noProof/>
          <w:szCs w:val="22"/>
        </w:rPr>
        <w:fldChar w:fldCharType="end"/>
      </w:r>
      <w:bookmarkEnd w:id="589"/>
      <w:bookmarkEnd w:id="591"/>
      <w:r w:rsidRPr="00D562E2">
        <w:rPr>
          <w:rFonts w:cs="Arial"/>
          <w:szCs w:val="22"/>
        </w:rPr>
        <w:t xml:space="preserve">. </w:t>
      </w:r>
      <w:bookmarkEnd w:id="590"/>
      <w:r w:rsidR="003126B8" w:rsidRPr="00D562E2">
        <w:rPr>
          <w:rFonts w:cs="Arial"/>
          <w:i/>
          <w:szCs w:val="22"/>
        </w:rPr>
        <w:t>Long-term trend in mean epiphyte and macroalgae abundance (</w:t>
      </w:r>
      <w:r w:rsidR="004916B0">
        <w:rPr>
          <w:rFonts w:cs="Arial"/>
          <w:i/>
          <w:szCs w:val="22"/>
        </w:rPr>
        <w:t>per cent</w:t>
      </w:r>
      <w:r w:rsidR="003126B8" w:rsidRPr="00D562E2">
        <w:rPr>
          <w:rFonts w:cs="Arial"/>
          <w:i/>
          <w:szCs w:val="22"/>
        </w:rPr>
        <w:t xml:space="preserve"> cover) relative to the long-term average </w:t>
      </w:r>
      <w:r w:rsidR="009F33B9" w:rsidRPr="00D562E2">
        <w:rPr>
          <w:rFonts w:cs="Arial"/>
          <w:i/>
          <w:szCs w:val="22"/>
        </w:rPr>
        <w:t xml:space="preserve">(2005-2018) </w:t>
      </w:r>
      <w:r w:rsidR="003126B8" w:rsidRPr="00D562E2">
        <w:rPr>
          <w:rFonts w:cs="Arial"/>
          <w:i/>
          <w:szCs w:val="22"/>
        </w:rPr>
        <w:t xml:space="preserve">for each </w:t>
      </w:r>
      <w:r w:rsidR="005E3260" w:rsidRPr="00D562E2">
        <w:rPr>
          <w:rFonts w:cs="Arial"/>
          <w:i/>
          <w:szCs w:val="22"/>
        </w:rPr>
        <w:t xml:space="preserve">inshore intertidal </w:t>
      </w:r>
      <w:r w:rsidR="003126B8" w:rsidRPr="00D562E2">
        <w:rPr>
          <w:rFonts w:cs="Arial"/>
          <w:i/>
          <w:szCs w:val="22"/>
        </w:rPr>
        <w:t>seagrass habitat in the Fitzroy region</w:t>
      </w:r>
      <w:r w:rsidR="005E3260" w:rsidRPr="00D562E2">
        <w:rPr>
          <w:rFonts w:cs="Arial"/>
          <w:i/>
          <w:szCs w:val="22"/>
        </w:rPr>
        <w:t>, 2005</w:t>
      </w:r>
      <w:r w:rsidR="00A675DA" w:rsidRPr="00D562E2">
        <w:rPr>
          <w:rFonts w:cs="Arial"/>
          <w:i/>
          <w:szCs w:val="22"/>
        </w:rPr>
        <w:t>–</w:t>
      </w:r>
      <w:r w:rsidR="005E3260" w:rsidRPr="00D562E2">
        <w:rPr>
          <w:rFonts w:cs="Arial"/>
          <w:i/>
          <w:szCs w:val="22"/>
        </w:rPr>
        <w:t>201</w:t>
      </w:r>
      <w:bookmarkEnd w:id="592"/>
      <w:r w:rsidR="00371FEA" w:rsidRPr="00D562E2">
        <w:rPr>
          <w:rFonts w:cs="Arial"/>
          <w:i/>
          <w:szCs w:val="22"/>
        </w:rPr>
        <w:t>9</w:t>
      </w:r>
      <w:bookmarkEnd w:id="593"/>
    </w:p>
    <w:p w14:paraId="17B2FCF7" w14:textId="6C5BF1BF" w:rsidR="00C361E3" w:rsidRPr="00D562E2" w:rsidRDefault="005E3260" w:rsidP="00BC6384">
      <w:pPr>
        <w:rPr>
          <w:rFonts w:cs="Arial"/>
          <w:i/>
          <w:szCs w:val="22"/>
        </w:rPr>
      </w:pPr>
      <w:r w:rsidRPr="00D562E2">
        <w:rPr>
          <w:rFonts w:cs="Arial"/>
          <w:i/>
          <w:szCs w:val="22"/>
        </w:rPr>
        <w:t xml:space="preserve"> </w:t>
      </w:r>
      <w:r w:rsidR="009F33B9" w:rsidRPr="00D562E2">
        <w:rPr>
          <w:rFonts w:cs="Arial"/>
          <w:i/>
          <w:szCs w:val="22"/>
        </w:rPr>
        <w:t>(sites pooled, ±SE).</w:t>
      </w:r>
    </w:p>
    <w:p w14:paraId="43D02344" w14:textId="77777777" w:rsidR="00A23A41" w:rsidRPr="00D562E2" w:rsidRDefault="00A23A41" w:rsidP="00BC6384">
      <w:pPr>
        <w:rPr>
          <w:rFonts w:cs="Arial"/>
          <w:szCs w:val="22"/>
          <w:lang w:val="en-GB"/>
        </w:rPr>
      </w:pPr>
    </w:p>
    <w:p w14:paraId="782C3274" w14:textId="2921E636" w:rsidR="00AB6175" w:rsidRPr="00431DDA" w:rsidRDefault="005132EF" w:rsidP="00785606">
      <w:pPr>
        <w:pStyle w:val="Heading2"/>
      </w:pPr>
      <w:r w:rsidRPr="00CB093C">
        <w:rPr>
          <w:lang w:val="en-GB"/>
        </w:rPr>
        <w:br w:type="page"/>
      </w:r>
      <w:bookmarkStart w:id="594" w:name="_Toc43987086"/>
      <w:r w:rsidR="00B72AC4">
        <w:lastRenderedPageBreak/>
        <w:t>Burnett–Mary</w:t>
      </w:r>
      <w:bookmarkEnd w:id="594"/>
    </w:p>
    <w:p w14:paraId="529889CB" w14:textId="4DC30FFB" w:rsidR="005132EF" w:rsidRPr="00431DDA" w:rsidRDefault="00956639" w:rsidP="008416AD">
      <w:pPr>
        <w:pStyle w:val="Heading3"/>
      </w:pPr>
      <w:bookmarkStart w:id="595" w:name="_Toc184102038"/>
      <w:bookmarkStart w:id="596" w:name="_Toc431493784"/>
      <w:bookmarkStart w:id="597" w:name="_Toc37775112"/>
      <w:bookmarkStart w:id="598" w:name="_Toc43987087"/>
      <w:r w:rsidRPr="00431DDA">
        <w:t>2018–19</w:t>
      </w:r>
      <w:r w:rsidR="00C81636" w:rsidRPr="00431DDA">
        <w:t xml:space="preserve"> </w:t>
      </w:r>
      <w:r w:rsidR="005132EF" w:rsidRPr="00431DDA">
        <w:t>Summary</w:t>
      </w:r>
      <w:bookmarkEnd w:id="595"/>
      <w:bookmarkEnd w:id="596"/>
      <w:bookmarkEnd w:id="597"/>
      <w:bookmarkEnd w:id="598"/>
    </w:p>
    <w:p w14:paraId="70F82904" w14:textId="4312173F" w:rsidR="00A813DF" w:rsidRPr="00D562E2" w:rsidRDefault="00A813DF" w:rsidP="00A813DF">
      <w:pPr>
        <w:rPr>
          <w:rFonts w:cs="Arial"/>
          <w:szCs w:val="22"/>
        </w:rPr>
      </w:pPr>
      <w:bookmarkStart w:id="599" w:name="_Toc184102039"/>
      <w:bookmarkStart w:id="600" w:name="_Toc431493785"/>
      <w:r w:rsidRPr="00D562E2">
        <w:rPr>
          <w:rFonts w:cs="Arial"/>
          <w:szCs w:val="22"/>
        </w:rPr>
        <w:t>Inshore s</w:t>
      </w:r>
      <w:r w:rsidR="00C03DA1" w:rsidRPr="00D562E2">
        <w:rPr>
          <w:rFonts w:cs="Arial"/>
          <w:szCs w:val="22"/>
        </w:rPr>
        <w:t xml:space="preserve">eagrass meadows across the </w:t>
      </w:r>
      <w:r w:rsidR="00B72AC4">
        <w:rPr>
          <w:rFonts w:cs="Arial"/>
          <w:szCs w:val="22"/>
          <w:lang w:val="en-GB"/>
        </w:rPr>
        <w:t>Burnett–Mary</w:t>
      </w:r>
      <w:r w:rsidR="00C03DA1" w:rsidRPr="00D562E2">
        <w:rPr>
          <w:rFonts w:cs="Arial"/>
          <w:szCs w:val="22"/>
          <w:lang w:val="en-GB"/>
        </w:rPr>
        <w:t xml:space="preserve"> </w:t>
      </w:r>
      <w:r w:rsidR="00C03DA1" w:rsidRPr="00D562E2">
        <w:rPr>
          <w:rFonts w:cs="Arial"/>
          <w:szCs w:val="22"/>
        </w:rPr>
        <w:t xml:space="preserve">NRM region </w:t>
      </w:r>
      <w:r w:rsidR="002828E7" w:rsidRPr="00D562E2">
        <w:rPr>
          <w:rFonts w:cs="Arial"/>
          <w:szCs w:val="22"/>
        </w:rPr>
        <w:t>increased</w:t>
      </w:r>
      <w:r w:rsidR="00C03DA1" w:rsidRPr="00D562E2">
        <w:rPr>
          <w:rFonts w:cs="Arial"/>
          <w:szCs w:val="22"/>
        </w:rPr>
        <w:t xml:space="preserve"> in overall condition</w:t>
      </w:r>
      <w:r w:rsidR="002828E7" w:rsidRPr="00D562E2">
        <w:rPr>
          <w:rFonts w:cs="Arial"/>
          <w:szCs w:val="22"/>
        </w:rPr>
        <w:t xml:space="preserve"> in </w:t>
      </w:r>
      <w:r w:rsidR="00956639" w:rsidRPr="00D562E2">
        <w:rPr>
          <w:rFonts w:cs="Arial"/>
          <w:szCs w:val="22"/>
        </w:rPr>
        <w:t>2018–19</w:t>
      </w:r>
      <w:r w:rsidR="002828E7" w:rsidRPr="00D562E2">
        <w:rPr>
          <w:rFonts w:cs="Arial"/>
          <w:szCs w:val="22"/>
        </w:rPr>
        <w:t xml:space="preserve"> and </w:t>
      </w:r>
      <w:r w:rsidR="004C6C62" w:rsidRPr="00D562E2">
        <w:rPr>
          <w:rFonts w:cs="Arial"/>
          <w:szCs w:val="22"/>
        </w:rPr>
        <w:t xml:space="preserve">the </w:t>
      </w:r>
      <w:r w:rsidR="00B3597E">
        <w:rPr>
          <w:rFonts w:cs="Arial"/>
          <w:szCs w:val="22"/>
        </w:rPr>
        <w:t xml:space="preserve">index </w:t>
      </w:r>
      <w:r w:rsidR="004C6C62" w:rsidRPr="00D562E2">
        <w:rPr>
          <w:rFonts w:cs="Arial"/>
          <w:szCs w:val="22"/>
        </w:rPr>
        <w:t xml:space="preserve">score </w:t>
      </w:r>
      <w:r w:rsidR="009E4AAA">
        <w:rPr>
          <w:rFonts w:cs="Arial"/>
          <w:szCs w:val="22"/>
        </w:rPr>
        <w:t>rose</w:t>
      </w:r>
      <w:r w:rsidR="009E4AAA" w:rsidRPr="00D562E2">
        <w:rPr>
          <w:rFonts w:cs="Arial"/>
          <w:szCs w:val="22"/>
        </w:rPr>
        <w:t xml:space="preserve"> </w:t>
      </w:r>
      <w:r w:rsidR="002828E7" w:rsidRPr="00D562E2">
        <w:rPr>
          <w:rFonts w:cs="Arial"/>
          <w:szCs w:val="22"/>
        </w:rPr>
        <w:t xml:space="preserve">from very poor to a </w:t>
      </w:r>
      <w:r w:rsidR="002828E7" w:rsidRPr="00D562E2">
        <w:rPr>
          <w:rFonts w:cs="Arial"/>
          <w:b/>
          <w:szCs w:val="22"/>
        </w:rPr>
        <w:t>poor</w:t>
      </w:r>
      <w:r w:rsidR="002828E7" w:rsidRPr="00D562E2">
        <w:rPr>
          <w:rFonts w:cs="Arial"/>
          <w:szCs w:val="22"/>
        </w:rPr>
        <w:t xml:space="preserve"> </w:t>
      </w:r>
      <w:r w:rsidR="002F7B2F" w:rsidRPr="00D562E2">
        <w:rPr>
          <w:rFonts w:cs="Arial"/>
          <w:szCs w:val="22"/>
          <w:lang w:val="en-GB"/>
        </w:rPr>
        <w:t>grade (</w:t>
      </w:r>
      <w:r w:rsidR="00EE6D60">
        <w:rPr>
          <w:rFonts w:cs="Arial"/>
          <w:szCs w:val="22"/>
          <w:lang w:val="en-GB"/>
        </w:rPr>
        <w:fldChar w:fldCharType="begin"/>
      </w:r>
      <w:r w:rsidR="00EE6D60">
        <w:rPr>
          <w:rFonts w:cs="Arial"/>
          <w:szCs w:val="22"/>
          <w:lang w:val="en-GB"/>
        </w:rPr>
        <w:instrText xml:space="preserve"> REF _Ref442377974 \h </w:instrText>
      </w:r>
      <w:r w:rsidR="00EE6D60">
        <w:rPr>
          <w:rFonts w:cs="Arial"/>
          <w:szCs w:val="22"/>
          <w:lang w:val="en-GB"/>
        </w:rPr>
      </w:r>
      <w:r w:rsidR="00EE6D60">
        <w:rPr>
          <w:rFonts w:cs="Arial"/>
          <w:szCs w:val="22"/>
          <w:lang w:val="en-GB"/>
        </w:rPr>
        <w:fldChar w:fldCharType="separate"/>
      </w:r>
      <w:r w:rsidR="0067675D" w:rsidRPr="00D562E2">
        <w:rPr>
          <w:rFonts w:cs="Arial"/>
          <w:color w:val="000000"/>
          <w:szCs w:val="22"/>
        </w:rPr>
        <w:t xml:space="preserve">Figure </w:t>
      </w:r>
      <w:r w:rsidR="0067675D">
        <w:rPr>
          <w:rFonts w:cs="Arial"/>
          <w:noProof/>
          <w:color w:val="000000"/>
          <w:szCs w:val="22"/>
        </w:rPr>
        <w:t>79</w:t>
      </w:r>
      <w:r w:rsidR="00EE6D60">
        <w:rPr>
          <w:rFonts w:cs="Arial"/>
          <w:szCs w:val="22"/>
          <w:lang w:val="en-GB"/>
        </w:rPr>
        <w:fldChar w:fldCharType="end"/>
      </w:r>
      <w:r w:rsidR="002F7B2F" w:rsidRPr="00D562E2">
        <w:rPr>
          <w:rFonts w:cs="Arial"/>
          <w:szCs w:val="22"/>
          <w:lang w:val="en-GB"/>
        </w:rPr>
        <w:t>)</w:t>
      </w:r>
      <w:r w:rsidR="00C03DA1" w:rsidRPr="00D562E2">
        <w:rPr>
          <w:rFonts w:cs="Arial"/>
          <w:szCs w:val="22"/>
        </w:rPr>
        <w:t xml:space="preserve">. </w:t>
      </w:r>
      <w:r w:rsidR="004C6C62" w:rsidRPr="00D562E2">
        <w:rPr>
          <w:rFonts w:cs="Arial"/>
          <w:szCs w:val="22"/>
        </w:rPr>
        <w:t>The scores</w:t>
      </w:r>
      <w:r w:rsidR="002828E7" w:rsidRPr="00D562E2">
        <w:rPr>
          <w:rFonts w:cs="Arial"/>
          <w:szCs w:val="22"/>
        </w:rPr>
        <w:t xml:space="preserve"> of </w:t>
      </w:r>
      <w:r w:rsidR="004C6C62" w:rsidRPr="00D562E2">
        <w:rPr>
          <w:rFonts w:cs="Arial"/>
          <w:szCs w:val="22"/>
        </w:rPr>
        <w:t xml:space="preserve">each of </w:t>
      </w:r>
      <w:r w:rsidR="002828E7" w:rsidRPr="00D562E2">
        <w:rPr>
          <w:rFonts w:cs="Arial"/>
          <w:szCs w:val="22"/>
        </w:rPr>
        <w:t xml:space="preserve">the indicators increased marginally but </w:t>
      </w:r>
      <w:r w:rsidR="004C6C62" w:rsidRPr="00D562E2">
        <w:rPr>
          <w:rFonts w:cs="Arial"/>
          <w:szCs w:val="22"/>
        </w:rPr>
        <w:t>the grades for each of</w:t>
      </w:r>
      <w:r w:rsidR="003D332F" w:rsidRPr="00D562E2">
        <w:rPr>
          <w:rFonts w:cs="Arial"/>
          <w:szCs w:val="22"/>
        </w:rPr>
        <w:t xml:space="preserve"> the indicators remained unchanged</w:t>
      </w:r>
      <w:r w:rsidR="002828E7" w:rsidRPr="00D562E2">
        <w:rPr>
          <w:rFonts w:cs="Arial"/>
          <w:szCs w:val="22"/>
        </w:rPr>
        <w:t xml:space="preserve">. </w:t>
      </w:r>
      <w:r w:rsidRPr="00D562E2">
        <w:rPr>
          <w:rFonts w:cs="Arial"/>
          <w:color w:val="000000" w:themeColor="text1"/>
          <w:szCs w:val="22"/>
        </w:rPr>
        <w:t xml:space="preserve">Contributing indicators </w:t>
      </w:r>
      <w:r w:rsidR="002828E7" w:rsidRPr="00D562E2">
        <w:rPr>
          <w:rFonts w:cs="Arial"/>
          <w:color w:val="000000" w:themeColor="text1"/>
          <w:szCs w:val="22"/>
        </w:rPr>
        <w:t xml:space="preserve">to the overall score </w:t>
      </w:r>
      <w:r w:rsidRPr="00D562E2">
        <w:rPr>
          <w:rFonts w:cs="Arial"/>
          <w:color w:val="000000" w:themeColor="text1"/>
          <w:szCs w:val="22"/>
        </w:rPr>
        <w:t>were</w:t>
      </w:r>
      <w:r w:rsidRPr="00D562E2">
        <w:rPr>
          <w:rFonts w:cs="Arial"/>
          <w:szCs w:val="22"/>
        </w:rPr>
        <w:t>:</w:t>
      </w:r>
    </w:p>
    <w:p w14:paraId="7B4A78CF" w14:textId="068D3662" w:rsidR="00A813DF" w:rsidRPr="00D562E2" w:rsidRDefault="00A813DF" w:rsidP="003F4D32">
      <w:pPr>
        <w:numPr>
          <w:ilvl w:val="0"/>
          <w:numId w:val="18"/>
        </w:numPr>
        <w:spacing w:after="0"/>
        <w:rPr>
          <w:rFonts w:cs="Arial"/>
          <w:szCs w:val="22"/>
        </w:rPr>
      </w:pPr>
      <w:r w:rsidRPr="00D562E2">
        <w:rPr>
          <w:rFonts w:cs="Arial"/>
          <w:szCs w:val="22"/>
        </w:rPr>
        <w:t>abundance score was poor</w:t>
      </w:r>
    </w:p>
    <w:p w14:paraId="73098EDD" w14:textId="16BEC6D7" w:rsidR="00A813DF" w:rsidRPr="00D562E2" w:rsidRDefault="00A813DF" w:rsidP="003F4D32">
      <w:pPr>
        <w:numPr>
          <w:ilvl w:val="0"/>
          <w:numId w:val="18"/>
        </w:numPr>
        <w:spacing w:after="0"/>
        <w:rPr>
          <w:rFonts w:cs="Arial"/>
          <w:szCs w:val="22"/>
        </w:rPr>
      </w:pPr>
      <w:r w:rsidRPr="00D562E2">
        <w:rPr>
          <w:rFonts w:cs="Arial"/>
          <w:szCs w:val="22"/>
        </w:rPr>
        <w:t xml:space="preserve">reproductive effort score was very poor </w:t>
      </w:r>
    </w:p>
    <w:p w14:paraId="50BAA341" w14:textId="7DA4711B" w:rsidR="00A813DF" w:rsidRPr="00D562E2" w:rsidRDefault="00A813DF" w:rsidP="003F4D32">
      <w:pPr>
        <w:numPr>
          <w:ilvl w:val="0"/>
          <w:numId w:val="18"/>
        </w:numPr>
        <w:spacing w:after="0"/>
        <w:rPr>
          <w:rFonts w:cs="Arial"/>
          <w:szCs w:val="22"/>
        </w:rPr>
      </w:pPr>
      <w:r w:rsidRPr="00D562E2">
        <w:rPr>
          <w:rFonts w:cs="Arial"/>
          <w:szCs w:val="22"/>
        </w:rPr>
        <w:t>tissue nutrient score was poor.</w:t>
      </w:r>
      <w:r w:rsidRPr="00D562E2">
        <w:rPr>
          <w:rFonts w:cs="Arial"/>
          <w:color w:val="000000" w:themeColor="text1"/>
          <w:szCs w:val="22"/>
        </w:rPr>
        <w:t xml:space="preserve"> </w:t>
      </w:r>
    </w:p>
    <w:p w14:paraId="778DDC6C" w14:textId="51E8934D" w:rsidR="00C03DA1" w:rsidRPr="00D562E2" w:rsidRDefault="00075E6F" w:rsidP="00C03DA1">
      <w:pPr>
        <w:rPr>
          <w:rFonts w:cs="Arial"/>
          <w:szCs w:val="22"/>
        </w:rPr>
      </w:pPr>
      <w:r w:rsidRPr="00D562E2">
        <w:rPr>
          <w:rFonts w:cs="Arial"/>
          <w:szCs w:val="22"/>
        </w:rPr>
        <w:t>S</w:t>
      </w:r>
      <w:r w:rsidR="00C03DA1" w:rsidRPr="00D562E2">
        <w:rPr>
          <w:rFonts w:cs="Arial"/>
          <w:szCs w:val="22"/>
        </w:rPr>
        <w:t xml:space="preserve">eagrass abundance </w:t>
      </w:r>
      <w:r w:rsidRPr="00D562E2">
        <w:rPr>
          <w:rFonts w:cs="Arial"/>
          <w:szCs w:val="22"/>
        </w:rPr>
        <w:t xml:space="preserve">increased overall, but there are </w:t>
      </w:r>
      <w:r w:rsidR="009F6AC9" w:rsidRPr="00D562E2">
        <w:rPr>
          <w:rFonts w:cs="Arial"/>
          <w:szCs w:val="22"/>
        </w:rPr>
        <w:t>location</w:t>
      </w:r>
      <w:r w:rsidRPr="00D562E2">
        <w:rPr>
          <w:rFonts w:cs="Arial"/>
          <w:szCs w:val="22"/>
        </w:rPr>
        <w:t xml:space="preserve">-specific variations in </w:t>
      </w:r>
      <w:r w:rsidR="009F6AC9" w:rsidRPr="00D562E2">
        <w:rPr>
          <w:rFonts w:cs="Arial"/>
          <w:szCs w:val="22"/>
        </w:rPr>
        <w:t>the trends in the region</w:t>
      </w:r>
      <w:r w:rsidRPr="00D562E2">
        <w:rPr>
          <w:rFonts w:cs="Arial"/>
          <w:szCs w:val="22"/>
        </w:rPr>
        <w:t xml:space="preserve">. </w:t>
      </w:r>
      <w:r w:rsidR="009F6AC9" w:rsidRPr="00D562E2">
        <w:rPr>
          <w:rFonts w:cs="Arial"/>
          <w:szCs w:val="22"/>
        </w:rPr>
        <w:t>Abundance increased at Rodds Bay and B</w:t>
      </w:r>
      <w:r w:rsidRPr="00D562E2">
        <w:rPr>
          <w:rFonts w:cs="Arial"/>
          <w:szCs w:val="22"/>
        </w:rPr>
        <w:t xml:space="preserve">urrum </w:t>
      </w:r>
      <w:r w:rsidR="009F6AC9" w:rsidRPr="00D562E2">
        <w:rPr>
          <w:rFonts w:cs="Arial"/>
          <w:szCs w:val="22"/>
        </w:rPr>
        <w:t>H</w:t>
      </w:r>
      <w:r w:rsidRPr="00D562E2">
        <w:rPr>
          <w:rFonts w:cs="Arial"/>
          <w:szCs w:val="22"/>
        </w:rPr>
        <w:t>eads</w:t>
      </w:r>
      <w:r w:rsidR="00B3597E">
        <w:rPr>
          <w:rFonts w:cs="Arial"/>
          <w:szCs w:val="22"/>
        </w:rPr>
        <w:t>,</w:t>
      </w:r>
      <w:r w:rsidRPr="00D562E2">
        <w:rPr>
          <w:rFonts w:cs="Arial"/>
          <w:szCs w:val="22"/>
        </w:rPr>
        <w:t xml:space="preserve"> </w:t>
      </w:r>
      <w:r w:rsidR="009F6AC9" w:rsidRPr="00D562E2">
        <w:rPr>
          <w:rFonts w:cs="Arial"/>
          <w:szCs w:val="22"/>
        </w:rPr>
        <w:t xml:space="preserve">but </w:t>
      </w:r>
      <w:r w:rsidR="00413961" w:rsidRPr="00D562E2">
        <w:rPr>
          <w:rFonts w:cs="Arial"/>
          <w:szCs w:val="22"/>
        </w:rPr>
        <w:t xml:space="preserve">at Burrum Heads, there was a large increase in the proportion of colonising species. Abundance </w:t>
      </w:r>
      <w:r w:rsidR="00B3597E">
        <w:rPr>
          <w:rFonts w:cs="Arial"/>
          <w:szCs w:val="22"/>
        </w:rPr>
        <w:t xml:space="preserve">and meadow extent </w:t>
      </w:r>
      <w:r w:rsidR="009F6AC9" w:rsidRPr="00D562E2">
        <w:rPr>
          <w:rFonts w:cs="Arial"/>
          <w:szCs w:val="22"/>
        </w:rPr>
        <w:t>declined at Urangan</w:t>
      </w:r>
      <w:r w:rsidR="00413961" w:rsidRPr="00D562E2">
        <w:rPr>
          <w:rFonts w:cs="Arial"/>
          <w:szCs w:val="22"/>
        </w:rPr>
        <w:t xml:space="preserve"> and this</w:t>
      </w:r>
      <w:r w:rsidR="00616BCA" w:rsidRPr="00D562E2">
        <w:rPr>
          <w:rFonts w:cs="Arial"/>
          <w:szCs w:val="22"/>
        </w:rPr>
        <w:t xml:space="preserve"> </w:t>
      </w:r>
      <w:r w:rsidR="00C03DA1" w:rsidRPr="00D562E2">
        <w:rPr>
          <w:rFonts w:cs="Arial"/>
          <w:szCs w:val="22"/>
        </w:rPr>
        <w:t>w</w:t>
      </w:r>
      <w:r w:rsidR="00413961" w:rsidRPr="00D562E2">
        <w:rPr>
          <w:rFonts w:cs="Arial"/>
          <w:szCs w:val="22"/>
        </w:rPr>
        <w:t>as</w:t>
      </w:r>
      <w:r w:rsidR="00C03DA1" w:rsidRPr="00D562E2">
        <w:rPr>
          <w:rFonts w:cs="Arial"/>
          <w:szCs w:val="22"/>
        </w:rPr>
        <w:t xml:space="preserve"> </w:t>
      </w:r>
      <w:r w:rsidR="00616BCA" w:rsidRPr="00D562E2">
        <w:rPr>
          <w:rFonts w:cs="Arial"/>
          <w:szCs w:val="22"/>
        </w:rPr>
        <w:t>associated with increased activity of burrowing shrimps and the presence of fine mud</w:t>
      </w:r>
      <w:r w:rsidR="009F6AC9" w:rsidRPr="00D562E2">
        <w:rPr>
          <w:rFonts w:cs="Arial"/>
          <w:szCs w:val="22"/>
        </w:rPr>
        <w:t>.</w:t>
      </w:r>
    </w:p>
    <w:p w14:paraId="4F788208" w14:textId="18CDE234" w:rsidR="002F7B2F" w:rsidRPr="000A46DE" w:rsidRDefault="00C03DA1" w:rsidP="00C03DA1">
      <w:pPr>
        <w:ind w:right="232"/>
        <w:rPr>
          <w:rFonts w:cs="Arial"/>
          <w:szCs w:val="22"/>
        </w:rPr>
      </w:pPr>
      <w:r w:rsidRPr="000A46DE">
        <w:rPr>
          <w:rFonts w:cs="Arial"/>
          <w:iCs/>
          <w:szCs w:val="22"/>
        </w:rPr>
        <w:t>T</w:t>
      </w:r>
      <w:r w:rsidRPr="000A46DE">
        <w:rPr>
          <w:rFonts w:cs="Arial"/>
          <w:szCs w:val="22"/>
        </w:rPr>
        <w:t xml:space="preserve">he increased seed banks </w:t>
      </w:r>
      <w:r w:rsidR="00B3597E" w:rsidRPr="000A46DE">
        <w:rPr>
          <w:rFonts w:cs="Arial"/>
          <w:szCs w:val="22"/>
        </w:rPr>
        <w:t xml:space="preserve">coupled with improved abundances in meadows in the north of the region </w:t>
      </w:r>
      <w:r w:rsidRPr="000A46DE">
        <w:rPr>
          <w:rFonts w:cs="Arial"/>
          <w:szCs w:val="22"/>
          <w:lang w:val="en-GB"/>
        </w:rPr>
        <w:t xml:space="preserve">may </w:t>
      </w:r>
      <w:r w:rsidR="00B3597E" w:rsidRPr="000A46DE">
        <w:rPr>
          <w:rFonts w:cs="Arial"/>
          <w:szCs w:val="22"/>
        </w:rPr>
        <w:t xml:space="preserve">indicate an improved resilience with </w:t>
      </w:r>
      <w:r w:rsidRPr="000A46DE">
        <w:rPr>
          <w:rFonts w:cs="Arial"/>
          <w:szCs w:val="22"/>
        </w:rPr>
        <w:t>greater capacity for recover</w:t>
      </w:r>
      <w:r w:rsidR="00B3597E" w:rsidRPr="000A46DE">
        <w:rPr>
          <w:rFonts w:cs="Arial"/>
          <w:szCs w:val="22"/>
        </w:rPr>
        <w:t>y if threatened by larger scale disturbances</w:t>
      </w:r>
      <w:r w:rsidRPr="000A46DE">
        <w:rPr>
          <w:rFonts w:cs="Arial"/>
          <w:szCs w:val="22"/>
          <w:lang w:val="en-GB"/>
        </w:rPr>
        <w:t xml:space="preserve">. </w:t>
      </w:r>
      <w:r w:rsidRPr="000A46DE">
        <w:rPr>
          <w:rFonts w:cs="Arial"/>
          <w:szCs w:val="22"/>
        </w:rPr>
        <w:t>However reproductive effort continues to remain very low across habitats</w:t>
      </w:r>
      <w:r w:rsidR="000A46DE" w:rsidRPr="000A46DE">
        <w:rPr>
          <w:rFonts w:cs="Arial"/>
          <w:szCs w:val="22"/>
        </w:rPr>
        <w:t xml:space="preserve"> in the south of the region</w:t>
      </w:r>
      <w:r w:rsidRPr="000A46DE">
        <w:rPr>
          <w:rFonts w:cs="Arial"/>
          <w:szCs w:val="22"/>
        </w:rPr>
        <w:t xml:space="preserve">, possibly limiting replenishment of seed bank. </w:t>
      </w:r>
    </w:p>
    <w:p w14:paraId="184E009D" w14:textId="73E57A7D" w:rsidR="00C03DA1" w:rsidRPr="000A46DE" w:rsidRDefault="00C03DA1" w:rsidP="00C03DA1">
      <w:pPr>
        <w:ind w:right="232"/>
        <w:rPr>
          <w:rFonts w:cs="Arial"/>
          <w:iCs/>
          <w:szCs w:val="22"/>
        </w:rPr>
      </w:pPr>
      <w:r w:rsidRPr="000A46DE">
        <w:rPr>
          <w:rFonts w:cs="Arial"/>
          <w:szCs w:val="22"/>
        </w:rPr>
        <w:t>In late 201</w:t>
      </w:r>
      <w:r w:rsidR="000A46DE" w:rsidRPr="000A46DE">
        <w:rPr>
          <w:rFonts w:cs="Arial"/>
          <w:szCs w:val="22"/>
        </w:rPr>
        <w:t>8</w:t>
      </w:r>
      <w:r w:rsidRPr="000A46DE">
        <w:rPr>
          <w:rFonts w:cs="Arial"/>
          <w:szCs w:val="22"/>
        </w:rPr>
        <w:t>, s</w:t>
      </w:r>
      <w:r w:rsidRPr="000A46DE">
        <w:rPr>
          <w:rFonts w:cs="Arial"/>
          <w:iCs/>
          <w:szCs w:val="22"/>
        </w:rPr>
        <w:t xml:space="preserve">eagrass leaf tissue </w:t>
      </w:r>
      <w:r w:rsidR="000A46DE" w:rsidRPr="000A46DE">
        <w:rPr>
          <w:rFonts w:cs="Arial"/>
          <w:iCs/>
          <w:szCs w:val="22"/>
        </w:rPr>
        <w:t xml:space="preserve">nutrient concentrations and </w:t>
      </w:r>
      <w:r w:rsidRPr="000A46DE">
        <w:rPr>
          <w:rFonts w:cs="Arial"/>
          <w:iCs/>
          <w:szCs w:val="22"/>
        </w:rPr>
        <w:t>ratios continue to indicate surplus (elevated) availability of N</w:t>
      </w:r>
      <w:r w:rsidR="000A46DE" w:rsidRPr="000A46DE">
        <w:rPr>
          <w:rFonts w:cs="Arial"/>
          <w:iCs/>
          <w:szCs w:val="22"/>
        </w:rPr>
        <w:t xml:space="preserve"> in estuarine and coastal meadows</w:t>
      </w:r>
      <w:r w:rsidRPr="000A46DE">
        <w:rPr>
          <w:rFonts w:cs="Arial"/>
          <w:iCs/>
          <w:szCs w:val="22"/>
        </w:rPr>
        <w:t>; from natural N-fixation rather than anthropogenic sources</w:t>
      </w:r>
      <w:r w:rsidRPr="000A46DE">
        <w:rPr>
          <w:rFonts w:cs="Arial"/>
          <w:szCs w:val="22"/>
          <w:lang w:val="en-GB"/>
        </w:rPr>
        <w:t xml:space="preserve">. Although </w:t>
      </w:r>
      <w:r w:rsidR="000A46DE" w:rsidRPr="000A46DE">
        <w:rPr>
          <w:rFonts w:cs="Arial"/>
          <w:szCs w:val="22"/>
          <w:lang w:val="en-GB"/>
        </w:rPr>
        <w:t xml:space="preserve">N availability may be high, it does not appear to have influenced epiphyte and </w:t>
      </w:r>
      <w:r w:rsidRPr="000A46DE">
        <w:rPr>
          <w:rFonts w:cs="Arial"/>
          <w:szCs w:val="22"/>
          <w:lang w:val="en-GB"/>
        </w:rPr>
        <w:t xml:space="preserve">macroalgae abundances </w:t>
      </w:r>
      <w:r w:rsidR="000A46DE" w:rsidRPr="000A46DE">
        <w:rPr>
          <w:rFonts w:cs="Arial"/>
          <w:szCs w:val="22"/>
          <w:lang w:val="en-GB"/>
        </w:rPr>
        <w:t>which remain low across the region</w:t>
      </w:r>
      <w:r w:rsidRPr="000A46DE">
        <w:rPr>
          <w:rFonts w:cs="Arial"/>
          <w:szCs w:val="22"/>
          <w:lang w:val="en-US"/>
        </w:rPr>
        <w:t>.</w:t>
      </w:r>
    </w:p>
    <w:p w14:paraId="2461C516" w14:textId="352C6F23" w:rsidR="00413961" w:rsidRPr="00D562E2" w:rsidRDefault="00413961" w:rsidP="002F7B2F">
      <w:pPr>
        <w:ind w:right="232"/>
        <w:rPr>
          <w:rFonts w:cs="Arial"/>
          <w:iCs/>
          <w:szCs w:val="22"/>
        </w:rPr>
      </w:pPr>
      <w:r w:rsidRPr="000A46DE">
        <w:rPr>
          <w:rFonts w:cs="Arial"/>
          <w:szCs w:val="22"/>
        </w:rPr>
        <w:t>Rainfall and river discharge were below average, and yet all sites were exposed to high</w:t>
      </w:r>
      <w:r w:rsidRPr="00D562E2">
        <w:rPr>
          <w:rFonts w:cs="Arial"/>
          <w:szCs w:val="22"/>
        </w:rPr>
        <w:t xml:space="preserve"> levels of turbidity, predominantly ‘brown’ water, for all weeks (100</w:t>
      </w:r>
      <w:r w:rsidR="006D2E41">
        <w:rPr>
          <w:rFonts w:cs="Arial"/>
          <w:szCs w:val="22"/>
        </w:rPr>
        <w:t>%</w:t>
      </w:r>
      <w:r w:rsidRPr="00D562E2">
        <w:rPr>
          <w:rFonts w:cs="Arial"/>
          <w:szCs w:val="22"/>
        </w:rPr>
        <w:t xml:space="preserve">) during the wet season. Within-canopy temperatures in 2018–19 were </w:t>
      </w:r>
      <w:r w:rsidRPr="00D562E2">
        <w:rPr>
          <w:rFonts w:cs="Arial"/>
          <w:szCs w:val="22"/>
        </w:rPr>
        <w:lastRenderedPageBreak/>
        <w:t>around the long-term average. This follows after five consecutive years where they were above the long-term average.</w:t>
      </w:r>
    </w:p>
    <w:p w14:paraId="4D4E0315" w14:textId="557E2D2F" w:rsidR="0029353F" w:rsidRPr="00D562E2" w:rsidRDefault="0029353F" w:rsidP="0029353F">
      <w:pPr>
        <w:rPr>
          <w:rFonts w:cs="Arial"/>
          <w:szCs w:val="22"/>
          <w:lang w:val="en-GB"/>
        </w:rPr>
      </w:pPr>
      <w:r w:rsidRPr="00D562E2">
        <w:rPr>
          <w:rFonts w:cs="Arial"/>
          <w:szCs w:val="22"/>
          <w:lang w:val="en-GB"/>
        </w:rPr>
        <w:t xml:space="preserve">The </w:t>
      </w:r>
      <w:r w:rsidR="00B3597E">
        <w:rPr>
          <w:rFonts w:cs="Arial"/>
          <w:szCs w:val="22"/>
          <w:lang w:val="en-GB"/>
        </w:rPr>
        <w:t>marginal increase in</w:t>
      </w:r>
      <w:r w:rsidRPr="00D562E2">
        <w:rPr>
          <w:rFonts w:cs="Arial"/>
          <w:szCs w:val="22"/>
        </w:rPr>
        <w:t xml:space="preserve"> </w:t>
      </w:r>
      <w:r w:rsidR="00B72AC4">
        <w:rPr>
          <w:rFonts w:cs="Arial"/>
          <w:szCs w:val="22"/>
        </w:rPr>
        <w:t>Burnett–Mary</w:t>
      </w:r>
      <w:r w:rsidRPr="00D562E2">
        <w:rPr>
          <w:rFonts w:cs="Arial"/>
          <w:szCs w:val="22"/>
        </w:rPr>
        <w:t xml:space="preserve"> region seagrass condition index in the </w:t>
      </w:r>
      <w:r w:rsidR="00956639" w:rsidRPr="00D562E2">
        <w:rPr>
          <w:rFonts w:cs="Arial"/>
          <w:szCs w:val="22"/>
          <w:lang w:val="en-GB"/>
        </w:rPr>
        <w:t>2018–19</w:t>
      </w:r>
      <w:r w:rsidRPr="00D562E2">
        <w:rPr>
          <w:rFonts w:cs="Arial"/>
          <w:szCs w:val="22"/>
          <w:lang w:val="en-GB"/>
        </w:rPr>
        <w:t xml:space="preserve"> follows the decline</w:t>
      </w:r>
      <w:r w:rsidR="00B3597E">
        <w:rPr>
          <w:rFonts w:cs="Arial"/>
          <w:szCs w:val="22"/>
          <w:lang w:val="en-GB"/>
        </w:rPr>
        <w:t>s</w:t>
      </w:r>
      <w:r w:rsidRPr="00D562E2">
        <w:rPr>
          <w:rFonts w:cs="Arial"/>
          <w:szCs w:val="22"/>
          <w:lang w:val="en-GB"/>
        </w:rPr>
        <w:t xml:space="preserve"> in 2016</w:t>
      </w:r>
      <w:r w:rsidR="00A675DA" w:rsidRPr="00D562E2">
        <w:rPr>
          <w:rFonts w:cs="Arial"/>
          <w:szCs w:val="22"/>
          <w:lang w:val="en-GB"/>
        </w:rPr>
        <w:t>–</w:t>
      </w:r>
      <w:r w:rsidRPr="00D562E2">
        <w:rPr>
          <w:rFonts w:cs="Arial"/>
          <w:szCs w:val="22"/>
          <w:lang w:val="en-GB"/>
        </w:rPr>
        <w:t>17</w:t>
      </w:r>
      <w:r w:rsidR="00B3597E">
        <w:rPr>
          <w:rFonts w:cs="Arial"/>
          <w:szCs w:val="22"/>
          <w:lang w:val="en-GB"/>
        </w:rPr>
        <w:t xml:space="preserve"> and 2017-18</w:t>
      </w:r>
      <w:r w:rsidRPr="00D562E2">
        <w:rPr>
          <w:rFonts w:cs="Arial"/>
          <w:szCs w:val="22"/>
          <w:lang w:val="en-GB"/>
        </w:rPr>
        <w:t xml:space="preserve">, from the highest score in 10 years, and appears predominately driven by </w:t>
      </w:r>
      <w:r w:rsidR="00B3597E">
        <w:rPr>
          <w:rFonts w:cs="Arial"/>
          <w:szCs w:val="22"/>
          <w:lang w:val="en-GB"/>
        </w:rPr>
        <w:t>marginal improvments in all indicators</w:t>
      </w:r>
      <w:r w:rsidRPr="00D562E2">
        <w:rPr>
          <w:rFonts w:cs="Arial"/>
          <w:szCs w:val="22"/>
          <w:lang w:val="en-GB"/>
        </w:rPr>
        <w:t xml:space="preserve">. </w:t>
      </w:r>
    </w:p>
    <w:p w14:paraId="0082772D" w14:textId="77777777" w:rsidR="00F7114B" w:rsidRPr="00D562E2" w:rsidRDefault="005B1EEC" w:rsidP="00C4117D">
      <w:pPr>
        <w:keepNext/>
        <w:widowControl w:val="0"/>
        <w:jc w:val="center"/>
        <w:rPr>
          <w:rFonts w:cs="Arial"/>
          <w:color w:val="000000"/>
          <w:szCs w:val="22"/>
        </w:rPr>
      </w:pPr>
      <w:r w:rsidRPr="00D562E2">
        <w:rPr>
          <w:rFonts w:cs="Arial"/>
          <w:noProof/>
          <w:color w:val="000000"/>
          <w:szCs w:val="22"/>
          <w:lang w:eastAsia="en-AU"/>
        </w:rPr>
        <w:drawing>
          <wp:inline distT="0" distB="0" distL="0" distR="0" wp14:anchorId="0C9004E0" wp14:editId="27EAF0AD">
            <wp:extent cx="3848275" cy="2519999"/>
            <wp:effectExtent l="0" t="0" r="0" b="0"/>
            <wp:docPr id="15" name="Picture 15" descr="Scatter plot with straight lines and markers showing seagrass condition index (including standard errors), with contributing indicator scores for the Burnett Mary NRM region for each monitoring period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DEX_BM_2016.png"/>
                    <pic:cNvPicPr/>
                  </pic:nvPicPr>
                  <pic:blipFill>
                    <a:blip r:embed="rId132"/>
                    <a:stretch>
                      <a:fillRect/>
                    </a:stretch>
                  </pic:blipFill>
                  <pic:spPr>
                    <a:xfrm>
                      <a:off x="0" y="0"/>
                      <a:ext cx="3848275" cy="2519999"/>
                    </a:xfrm>
                    <a:prstGeom prst="rect">
                      <a:avLst/>
                    </a:prstGeom>
                  </pic:spPr>
                </pic:pic>
              </a:graphicData>
            </a:graphic>
          </wp:inline>
        </w:drawing>
      </w:r>
    </w:p>
    <w:p w14:paraId="2822BA3D" w14:textId="6475FED3" w:rsidR="00F7114B" w:rsidRPr="00D562E2" w:rsidRDefault="00F7114B" w:rsidP="00F7114B">
      <w:pPr>
        <w:rPr>
          <w:rFonts w:cs="Arial"/>
          <w:i/>
          <w:vanish/>
          <w:color w:val="000000"/>
          <w:szCs w:val="22"/>
          <w:specVanish/>
        </w:rPr>
      </w:pPr>
      <w:bookmarkStart w:id="601" w:name="_Ref442377974"/>
      <w:bookmarkStart w:id="602" w:name="_Toc431493900"/>
      <w:bookmarkStart w:id="603" w:name="_Toc38634183"/>
      <w:r w:rsidRPr="00D562E2">
        <w:rPr>
          <w:rFonts w:cs="Arial"/>
          <w:color w:val="000000"/>
          <w:szCs w:val="22"/>
        </w:rPr>
        <w:t xml:space="preserve">Figure </w:t>
      </w:r>
      <w:r w:rsidRPr="00D562E2">
        <w:rPr>
          <w:rFonts w:cs="Arial"/>
          <w:color w:val="000000"/>
          <w:szCs w:val="22"/>
        </w:rPr>
        <w:fldChar w:fldCharType="begin"/>
      </w:r>
      <w:r w:rsidRPr="00D562E2">
        <w:rPr>
          <w:rFonts w:cs="Arial"/>
          <w:color w:val="000000"/>
          <w:szCs w:val="22"/>
        </w:rPr>
        <w:instrText xml:space="preserve"> SEQ Figure \* ARABIC </w:instrText>
      </w:r>
      <w:r w:rsidRPr="00D562E2">
        <w:rPr>
          <w:rFonts w:cs="Arial"/>
          <w:color w:val="000000"/>
          <w:szCs w:val="22"/>
        </w:rPr>
        <w:fldChar w:fldCharType="separate"/>
      </w:r>
      <w:r w:rsidR="0067675D">
        <w:rPr>
          <w:rFonts w:cs="Arial"/>
          <w:noProof/>
          <w:color w:val="000000"/>
          <w:szCs w:val="22"/>
        </w:rPr>
        <w:t>79</w:t>
      </w:r>
      <w:r w:rsidRPr="00D562E2">
        <w:rPr>
          <w:rFonts w:cs="Arial"/>
          <w:color w:val="000000"/>
          <w:szCs w:val="22"/>
        </w:rPr>
        <w:fldChar w:fldCharType="end"/>
      </w:r>
      <w:bookmarkEnd w:id="601"/>
      <w:r w:rsidRPr="00D562E2">
        <w:rPr>
          <w:rFonts w:cs="Arial"/>
          <w:color w:val="000000"/>
          <w:szCs w:val="22"/>
        </w:rPr>
        <w:t xml:space="preserve">. </w:t>
      </w:r>
      <w:r w:rsidRPr="00D562E2">
        <w:rPr>
          <w:rFonts w:cs="Arial"/>
          <w:i/>
          <w:color w:val="000000"/>
          <w:szCs w:val="22"/>
        </w:rPr>
        <w:t xml:space="preserve">Report card of seagrass </w:t>
      </w:r>
      <w:r w:rsidR="00871BFC" w:rsidRPr="00D562E2">
        <w:rPr>
          <w:rFonts w:cs="Arial"/>
          <w:i/>
          <w:color w:val="000000"/>
          <w:szCs w:val="22"/>
        </w:rPr>
        <w:t xml:space="preserve">index and </w:t>
      </w:r>
      <w:r w:rsidRPr="00D562E2">
        <w:rPr>
          <w:rFonts w:cs="Arial"/>
          <w:i/>
          <w:color w:val="000000"/>
          <w:szCs w:val="22"/>
        </w:rPr>
        <w:t xml:space="preserve">indicators for the </w:t>
      </w:r>
      <w:r w:rsidR="00B72AC4">
        <w:rPr>
          <w:rFonts w:cs="Arial"/>
          <w:i/>
          <w:color w:val="000000"/>
          <w:szCs w:val="22"/>
        </w:rPr>
        <w:t>Burnett–Mary</w:t>
      </w:r>
      <w:r w:rsidRPr="00D562E2">
        <w:rPr>
          <w:rFonts w:cs="Arial"/>
          <w:i/>
          <w:color w:val="000000"/>
          <w:szCs w:val="22"/>
        </w:rPr>
        <w:t xml:space="preserve"> region</w:t>
      </w:r>
      <w:bookmarkEnd w:id="602"/>
      <w:bookmarkEnd w:id="603"/>
    </w:p>
    <w:p w14:paraId="574F752D" w14:textId="2DBF9471" w:rsidR="00F7114B" w:rsidRPr="00D562E2" w:rsidRDefault="00F7114B" w:rsidP="00F7114B">
      <w:pPr>
        <w:rPr>
          <w:rFonts w:cs="Arial"/>
          <w:i/>
          <w:szCs w:val="22"/>
        </w:rPr>
      </w:pPr>
      <w:r w:rsidRPr="00D562E2">
        <w:rPr>
          <w:rFonts w:cs="Arial"/>
          <w:i/>
          <w:color w:val="000000"/>
          <w:szCs w:val="22"/>
        </w:rPr>
        <w:t xml:space="preserve"> (averages </w:t>
      </w:r>
      <w:r w:rsidRPr="00D562E2">
        <w:rPr>
          <w:rFonts w:cs="Arial"/>
          <w:i/>
          <w:szCs w:val="22"/>
        </w:rPr>
        <w:t xml:space="preserve">across habitats and sites). </w:t>
      </w:r>
      <w:r w:rsidR="00A813DF" w:rsidRPr="00D562E2">
        <w:rPr>
          <w:rFonts w:cs="Arial"/>
          <w:i/>
          <w:szCs w:val="22"/>
        </w:rPr>
        <w:t xml:space="preserve">Values are indexed scores scaled from 0–100 and graded: </w:t>
      </w:r>
      <w:r w:rsidR="00A813DF" w:rsidRPr="00D562E2">
        <w:rPr>
          <w:rFonts w:cs="Arial"/>
          <w:color w:val="008000"/>
          <w:szCs w:val="22"/>
        </w:rPr>
        <w:t>●</w:t>
      </w:r>
      <w:r w:rsidR="00A813DF" w:rsidRPr="00D562E2">
        <w:rPr>
          <w:rFonts w:cs="Arial"/>
          <w:i/>
          <w:szCs w:val="22"/>
        </w:rPr>
        <w:t xml:space="preserve"> = very good (81-100), </w:t>
      </w:r>
      <w:r w:rsidR="00A813DF" w:rsidRPr="00D562E2">
        <w:rPr>
          <w:rFonts w:cs="Arial"/>
          <w:color w:val="92D050"/>
          <w:szCs w:val="22"/>
        </w:rPr>
        <w:t>●</w:t>
      </w:r>
      <w:r w:rsidR="00A813DF" w:rsidRPr="00D562E2">
        <w:rPr>
          <w:rFonts w:cs="Arial"/>
          <w:i/>
          <w:szCs w:val="22"/>
        </w:rPr>
        <w:t xml:space="preserve"> = good (61 - 80), </w:t>
      </w:r>
      <w:r w:rsidR="00A813DF" w:rsidRPr="00D562E2">
        <w:rPr>
          <w:rFonts w:cs="Arial"/>
          <w:color w:val="FFFF00"/>
          <w:szCs w:val="22"/>
        </w:rPr>
        <w:t>●</w:t>
      </w:r>
      <w:r w:rsidR="00A813DF" w:rsidRPr="00D562E2">
        <w:rPr>
          <w:rFonts w:cs="Arial"/>
          <w:i/>
          <w:szCs w:val="22"/>
        </w:rPr>
        <w:t xml:space="preserve"> = moderate (41 - 60), </w:t>
      </w:r>
      <w:r w:rsidR="00A813DF" w:rsidRPr="00D562E2">
        <w:rPr>
          <w:rFonts w:cs="Arial"/>
          <w:i/>
          <w:color w:val="FFC000"/>
          <w:szCs w:val="22"/>
        </w:rPr>
        <w:t>●</w:t>
      </w:r>
      <w:r w:rsidR="00A813DF" w:rsidRPr="00D562E2">
        <w:rPr>
          <w:rFonts w:cs="Arial"/>
          <w:i/>
          <w:szCs w:val="22"/>
        </w:rPr>
        <w:t xml:space="preserve"> = poor (21 - 40), </w:t>
      </w:r>
      <w:r w:rsidR="00A813DF" w:rsidRPr="00D562E2">
        <w:rPr>
          <w:rFonts w:cs="Arial"/>
          <w:i/>
          <w:color w:val="FF0000"/>
          <w:szCs w:val="22"/>
        </w:rPr>
        <w:t>●</w:t>
      </w:r>
      <w:r w:rsidR="00A813DF" w:rsidRPr="00D562E2">
        <w:rPr>
          <w:rFonts w:cs="Arial"/>
          <w:i/>
          <w:szCs w:val="22"/>
        </w:rPr>
        <w:t> = very poor (0 - 20).</w:t>
      </w:r>
      <w:r w:rsidR="00A813DF" w:rsidRPr="00D562E2">
        <w:rPr>
          <w:rFonts w:cs="Arial"/>
          <w:i/>
          <w:color w:val="000000"/>
          <w:szCs w:val="22"/>
        </w:rPr>
        <w:t xml:space="preserve"> NB: Scores</w:t>
      </w:r>
      <w:r w:rsidR="00A813DF" w:rsidRPr="00D562E2">
        <w:rPr>
          <w:rFonts w:cs="Arial"/>
          <w:i/>
          <w:szCs w:val="22"/>
        </w:rPr>
        <w:t xml:space="preserve"> are unitless.</w:t>
      </w:r>
    </w:p>
    <w:p w14:paraId="42BA31D2" w14:textId="25A3C5A2" w:rsidR="00C4117D" w:rsidRPr="00431DDA" w:rsidRDefault="00C4117D" w:rsidP="008416AD">
      <w:pPr>
        <w:pStyle w:val="Heading3"/>
      </w:pPr>
      <w:bookmarkStart w:id="604" w:name="_Toc37775113"/>
      <w:bookmarkStart w:id="605" w:name="_Toc43987088"/>
      <w:r w:rsidRPr="00431DDA">
        <w:t>Climate and environmental pressures</w:t>
      </w:r>
      <w:bookmarkEnd w:id="604"/>
      <w:bookmarkEnd w:id="605"/>
    </w:p>
    <w:p w14:paraId="393CFC33" w14:textId="4846A25A" w:rsidR="005173D2" w:rsidRPr="00D562E2" w:rsidRDefault="00A23A41" w:rsidP="00A23A41">
      <w:pPr>
        <w:rPr>
          <w:rFonts w:cs="Arial"/>
          <w:color w:val="000000" w:themeColor="text1"/>
          <w:szCs w:val="22"/>
        </w:rPr>
      </w:pPr>
      <w:bookmarkStart w:id="606" w:name="_Toc431493786"/>
      <w:bookmarkEnd w:id="599"/>
      <w:bookmarkEnd w:id="600"/>
      <w:r w:rsidRPr="00D562E2">
        <w:rPr>
          <w:rFonts w:cs="Arial"/>
          <w:szCs w:val="22"/>
        </w:rPr>
        <w:t xml:space="preserve">During </w:t>
      </w:r>
      <w:r w:rsidR="00956639" w:rsidRPr="00D562E2">
        <w:rPr>
          <w:rFonts w:cs="Arial"/>
          <w:szCs w:val="22"/>
        </w:rPr>
        <w:t>2018–19</w:t>
      </w:r>
      <w:r w:rsidRPr="00D562E2">
        <w:rPr>
          <w:rFonts w:cs="Arial"/>
          <w:szCs w:val="22"/>
        </w:rPr>
        <w:t xml:space="preserve">, </w:t>
      </w:r>
      <w:r w:rsidR="00EC190D" w:rsidRPr="00D562E2">
        <w:rPr>
          <w:rFonts w:cs="Arial"/>
          <w:szCs w:val="22"/>
        </w:rPr>
        <w:t xml:space="preserve">rainfall and river discharge in </w:t>
      </w:r>
      <w:r w:rsidRPr="00D562E2">
        <w:rPr>
          <w:rFonts w:cs="Arial"/>
          <w:szCs w:val="22"/>
        </w:rPr>
        <w:t xml:space="preserve">the </w:t>
      </w:r>
      <w:r w:rsidR="00B72AC4">
        <w:rPr>
          <w:rFonts w:cs="Arial"/>
          <w:szCs w:val="22"/>
        </w:rPr>
        <w:t>Burnett–Mary</w:t>
      </w:r>
      <w:r w:rsidRPr="00D562E2">
        <w:rPr>
          <w:rFonts w:cs="Arial"/>
          <w:szCs w:val="22"/>
        </w:rPr>
        <w:t xml:space="preserve"> region </w:t>
      </w:r>
      <w:r w:rsidR="00EC190D" w:rsidRPr="00D562E2">
        <w:rPr>
          <w:rFonts w:cs="Arial"/>
          <w:szCs w:val="22"/>
        </w:rPr>
        <w:t>were below</w:t>
      </w:r>
      <w:r w:rsidR="00390AF8" w:rsidRPr="00D562E2">
        <w:rPr>
          <w:rFonts w:cs="Arial"/>
          <w:szCs w:val="22"/>
        </w:rPr>
        <w:t xml:space="preserve"> </w:t>
      </w:r>
      <w:r w:rsidRPr="00D562E2">
        <w:rPr>
          <w:rFonts w:cs="Arial"/>
          <w:szCs w:val="22"/>
        </w:rPr>
        <w:t>average (</w:t>
      </w:r>
      <w:r w:rsidR="00EC190D" w:rsidRPr="00D562E2">
        <w:rPr>
          <w:rFonts w:cs="Arial"/>
          <w:szCs w:val="22"/>
        </w:rPr>
        <w:fldChar w:fldCharType="begin"/>
      </w:r>
      <w:r w:rsidR="00EC190D" w:rsidRPr="00D562E2">
        <w:rPr>
          <w:rFonts w:cs="Arial"/>
          <w:szCs w:val="22"/>
        </w:rPr>
        <w:instrText xml:space="preserve"> REF _Ref442377832 \h </w:instrText>
      </w:r>
      <w:r w:rsidR="00D562E2">
        <w:rPr>
          <w:rFonts w:cs="Arial"/>
          <w:szCs w:val="22"/>
        </w:rPr>
        <w:instrText xml:space="preserve"> \* MERGEFORMAT </w:instrText>
      </w:r>
      <w:r w:rsidR="00EC190D" w:rsidRPr="00D562E2">
        <w:rPr>
          <w:rFonts w:cs="Arial"/>
          <w:szCs w:val="22"/>
        </w:rPr>
      </w:r>
      <w:r w:rsidR="00EC190D" w:rsidRPr="00D562E2">
        <w:rPr>
          <w:rFonts w:cs="Arial"/>
          <w:szCs w:val="22"/>
        </w:rPr>
        <w:fldChar w:fldCharType="separate"/>
      </w:r>
      <w:r w:rsidR="0067675D" w:rsidRPr="00D562E2">
        <w:rPr>
          <w:rFonts w:cs="Arial"/>
          <w:szCs w:val="22"/>
        </w:rPr>
        <w:t xml:space="preserve">Figure </w:t>
      </w:r>
      <w:r w:rsidR="0067675D">
        <w:rPr>
          <w:rFonts w:cs="Arial"/>
          <w:noProof/>
          <w:szCs w:val="22"/>
        </w:rPr>
        <w:t>80</w:t>
      </w:r>
      <w:r w:rsidR="00EC190D" w:rsidRPr="00D562E2">
        <w:rPr>
          <w:rFonts w:cs="Arial"/>
          <w:szCs w:val="22"/>
        </w:rPr>
        <w:fldChar w:fldCharType="end"/>
      </w:r>
      <w:r w:rsidR="00EC190D" w:rsidRPr="00D562E2">
        <w:rPr>
          <w:rFonts w:cs="Arial"/>
          <w:szCs w:val="22"/>
        </w:rPr>
        <w:t xml:space="preserve">, </w:t>
      </w:r>
      <w:r w:rsidRPr="00D562E2">
        <w:rPr>
          <w:rFonts w:cs="Arial"/>
          <w:szCs w:val="22"/>
        </w:rPr>
        <w:t xml:space="preserve">Table 9). </w:t>
      </w:r>
      <w:r w:rsidR="00EC190D" w:rsidRPr="00D562E2">
        <w:rPr>
          <w:rFonts w:cs="Arial"/>
          <w:szCs w:val="22"/>
        </w:rPr>
        <w:t xml:space="preserve">But despite this, </w:t>
      </w:r>
      <w:r w:rsidR="00EE6D60">
        <w:rPr>
          <w:rFonts w:cs="Arial"/>
          <w:szCs w:val="22"/>
        </w:rPr>
        <w:t>monitoring sites</w:t>
      </w:r>
      <w:r w:rsidR="00EC190D" w:rsidRPr="00D562E2">
        <w:rPr>
          <w:rFonts w:cs="Arial"/>
          <w:szCs w:val="22"/>
        </w:rPr>
        <w:t xml:space="preserve"> wer</w:t>
      </w:r>
      <w:r w:rsidR="00E16BC9" w:rsidRPr="00D562E2">
        <w:rPr>
          <w:rFonts w:cs="Arial"/>
          <w:szCs w:val="22"/>
        </w:rPr>
        <w:t>e</w:t>
      </w:r>
      <w:r w:rsidR="00EC190D" w:rsidRPr="00D562E2">
        <w:rPr>
          <w:rFonts w:cs="Arial"/>
          <w:szCs w:val="22"/>
        </w:rPr>
        <w:t xml:space="preserve"> exposed to turbid water, predominantly ‘brown’ </w:t>
      </w:r>
      <w:r w:rsidR="00E16BC9" w:rsidRPr="00D562E2">
        <w:rPr>
          <w:rFonts w:cs="Arial"/>
          <w:szCs w:val="22"/>
        </w:rPr>
        <w:t xml:space="preserve">turbid </w:t>
      </w:r>
      <w:r w:rsidR="00EC190D" w:rsidRPr="00D562E2">
        <w:rPr>
          <w:rFonts w:cs="Arial"/>
          <w:szCs w:val="22"/>
        </w:rPr>
        <w:t>water for 100</w:t>
      </w:r>
      <w:r w:rsidR="003C311A">
        <w:rPr>
          <w:rFonts w:cs="Arial"/>
          <w:szCs w:val="22"/>
        </w:rPr>
        <w:t xml:space="preserve">% </w:t>
      </w:r>
      <w:r w:rsidR="00EC190D" w:rsidRPr="00D562E2">
        <w:rPr>
          <w:rFonts w:cs="Arial"/>
          <w:szCs w:val="22"/>
        </w:rPr>
        <w:t xml:space="preserve">of the wet season. </w:t>
      </w:r>
      <w:r w:rsidRPr="00D562E2">
        <w:rPr>
          <w:rFonts w:cs="Arial"/>
          <w:szCs w:val="22"/>
        </w:rPr>
        <w:t xml:space="preserve">The most significant </w:t>
      </w:r>
      <w:r w:rsidRPr="00D562E2">
        <w:rPr>
          <w:rFonts w:cs="Arial"/>
          <w:color w:val="000000" w:themeColor="text1"/>
          <w:szCs w:val="22"/>
        </w:rPr>
        <w:t xml:space="preserve">flow events from the largest rivers </w:t>
      </w:r>
      <w:r w:rsidR="00EE6D60">
        <w:rPr>
          <w:rFonts w:cs="Arial"/>
          <w:color w:val="000000" w:themeColor="text1"/>
          <w:szCs w:val="22"/>
        </w:rPr>
        <w:t xml:space="preserve">last </w:t>
      </w:r>
      <w:r w:rsidRPr="00D562E2">
        <w:rPr>
          <w:rFonts w:cs="Arial"/>
          <w:color w:val="000000" w:themeColor="text1"/>
          <w:szCs w:val="22"/>
        </w:rPr>
        <w:t>occurred in</w:t>
      </w:r>
      <w:r w:rsidRPr="00D562E2">
        <w:rPr>
          <w:rFonts w:cs="Arial"/>
          <w:szCs w:val="22"/>
        </w:rPr>
        <w:t xml:space="preserve"> October 2017</w:t>
      </w:r>
      <w:r w:rsidR="000F181D" w:rsidRPr="00D562E2">
        <w:rPr>
          <w:rFonts w:cs="Arial"/>
          <w:szCs w:val="22"/>
        </w:rPr>
        <w:t xml:space="preserve"> </w:t>
      </w:r>
      <w:r w:rsidR="009E2E50" w:rsidRPr="00D562E2">
        <w:rPr>
          <w:rFonts w:cs="Arial"/>
          <w:szCs w:val="22"/>
        </w:rPr>
        <w:t>(</w:t>
      </w:r>
      <w:hyperlink w:anchor="_ENREF_68" w:tooltip="Gruber, 2019 #11860" w:history="1">
        <w:r w:rsidR="009A7AB4" w:rsidRPr="00D562E2">
          <w:rPr>
            <w:rFonts w:cs="Arial"/>
            <w:szCs w:val="22"/>
          </w:rPr>
          <w:fldChar w:fldCharType="begin"/>
        </w:r>
        <w:r w:rsidR="009A7AB4">
          <w:rPr>
            <w:rFonts w:cs="Arial"/>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D562E2">
          <w:rPr>
            <w:rFonts w:cs="Arial"/>
            <w:szCs w:val="22"/>
          </w:rPr>
          <w:fldChar w:fldCharType="separate"/>
        </w:r>
        <w:r w:rsidR="009A7AB4">
          <w:rPr>
            <w:rFonts w:cs="Arial"/>
            <w:noProof/>
            <w:szCs w:val="22"/>
          </w:rPr>
          <w:t>Gruber</w:t>
        </w:r>
        <w:r w:rsidR="009A7AB4" w:rsidRPr="003B40D3">
          <w:rPr>
            <w:rFonts w:cs="Arial"/>
            <w:i/>
            <w:noProof/>
            <w:szCs w:val="22"/>
          </w:rPr>
          <w:t xml:space="preserve"> et al.</w:t>
        </w:r>
        <w:r w:rsidR="009A7AB4">
          <w:rPr>
            <w:rFonts w:cs="Arial"/>
            <w:noProof/>
            <w:szCs w:val="22"/>
          </w:rPr>
          <w:t xml:space="preserve"> 2019b</w:t>
        </w:r>
        <w:r w:rsidR="009A7AB4" w:rsidRPr="00D562E2">
          <w:rPr>
            <w:rFonts w:cs="Arial"/>
            <w:szCs w:val="22"/>
          </w:rPr>
          <w:fldChar w:fldCharType="end"/>
        </w:r>
      </w:hyperlink>
      <w:r w:rsidR="00EE6D60">
        <w:rPr>
          <w:rFonts w:cs="Arial"/>
          <w:color w:val="000000" w:themeColor="text1"/>
          <w:szCs w:val="22"/>
        </w:rPr>
        <w:t>).</w:t>
      </w:r>
    </w:p>
    <w:p w14:paraId="2DAABC89" w14:textId="6BCA615F" w:rsidR="00364338" w:rsidRPr="00D562E2" w:rsidRDefault="00E16BC9" w:rsidP="00A23A41">
      <w:pPr>
        <w:rPr>
          <w:rFonts w:cs="Arial"/>
          <w:color w:val="000000" w:themeColor="text1"/>
          <w:szCs w:val="22"/>
        </w:rPr>
      </w:pPr>
      <w:r w:rsidRPr="00D562E2">
        <w:rPr>
          <w:rFonts w:cs="Arial"/>
          <w:szCs w:val="22"/>
          <w:lang w:val="en-GB"/>
        </w:rPr>
        <w:t>W</w:t>
      </w:r>
      <w:r w:rsidR="00A23A41" w:rsidRPr="00D562E2">
        <w:rPr>
          <w:rFonts w:cs="Arial"/>
          <w:szCs w:val="22"/>
          <w:lang w:val="en-GB"/>
        </w:rPr>
        <w:t xml:space="preserve">ithin-canopy light </w:t>
      </w:r>
      <w:r w:rsidRPr="00D562E2">
        <w:rPr>
          <w:rFonts w:cs="Arial"/>
          <w:szCs w:val="22"/>
        </w:rPr>
        <w:t xml:space="preserve">was lower than the long-term average for the region as a whole </w:t>
      </w:r>
      <w:r w:rsidR="00264C6E" w:rsidRPr="00D562E2">
        <w:rPr>
          <w:rFonts w:cs="Arial"/>
          <w:szCs w:val="22"/>
        </w:rPr>
        <w:t>(</w:t>
      </w:r>
      <w:r w:rsidR="00264C6E" w:rsidRPr="00D562E2">
        <w:rPr>
          <w:rFonts w:cs="Arial"/>
          <w:szCs w:val="22"/>
        </w:rPr>
        <w:fldChar w:fldCharType="begin"/>
      </w:r>
      <w:r w:rsidR="00264C6E" w:rsidRPr="00D562E2">
        <w:rPr>
          <w:rFonts w:cs="Arial"/>
          <w:szCs w:val="22"/>
        </w:rPr>
        <w:instrText xml:space="preserve"> REF _Ref442377832 \h </w:instrText>
      </w:r>
      <w:r w:rsidR="00D562E2">
        <w:rPr>
          <w:rFonts w:cs="Arial"/>
          <w:szCs w:val="22"/>
        </w:rPr>
        <w:instrText xml:space="preserve"> \* MERGEFORMAT </w:instrText>
      </w:r>
      <w:r w:rsidR="00264C6E" w:rsidRPr="00D562E2">
        <w:rPr>
          <w:rFonts w:cs="Arial"/>
          <w:szCs w:val="22"/>
        </w:rPr>
      </w:r>
      <w:r w:rsidR="00264C6E" w:rsidRPr="00D562E2">
        <w:rPr>
          <w:rFonts w:cs="Arial"/>
          <w:szCs w:val="22"/>
        </w:rPr>
        <w:fldChar w:fldCharType="separate"/>
      </w:r>
      <w:r w:rsidR="0067675D" w:rsidRPr="00D562E2">
        <w:rPr>
          <w:rFonts w:cs="Arial"/>
          <w:szCs w:val="22"/>
        </w:rPr>
        <w:t xml:space="preserve">Figure </w:t>
      </w:r>
      <w:r w:rsidR="0067675D">
        <w:rPr>
          <w:rFonts w:cs="Arial"/>
          <w:noProof/>
          <w:szCs w:val="22"/>
        </w:rPr>
        <w:t>80</w:t>
      </w:r>
      <w:r w:rsidR="00264C6E" w:rsidRPr="00D562E2">
        <w:rPr>
          <w:rFonts w:cs="Arial"/>
          <w:szCs w:val="22"/>
        </w:rPr>
        <w:fldChar w:fldCharType="end"/>
      </w:r>
      <w:r w:rsidR="00264C6E" w:rsidRPr="00D562E2">
        <w:rPr>
          <w:rFonts w:cs="Arial"/>
          <w:szCs w:val="22"/>
        </w:rPr>
        <w:t xml:space="preserve">, </w:t>
      </w:r>
      <w:r w:rsidR="00264C6E" w:rsidRPr="00D562E2">
        <w:rPr>
          <w:rFonts w:cs="Arial"/>
          <w:szCs w:val="22"/>
          <w:lang w:val="en-GB"/>
        </w:rPr>
        <w:fldChar w:fldCharType="begin"/>
      </w:r>
      <w:r w:rsidR="00264C6E" w:rsidRPr="00D562E2">
        <w:rPr>
          <w:rFonts w:cs="Arial"/>
          <w:szCs w:val="22"/>
          <w:lang w:val="en-GB"/>
        </w:rPr>
        <w:instrText xml:space="preserve"> REF _Ref410309889 \h  \* MERGEFORMAT </w:instrText>
      </w:r>
      <w:r w:rsidR="00264C6E" w:rsidRPr="00D562E2">
        <w:rPr>
          <w:rFonts w:cs="Arial"/>
          <w:szCs w:val="22"/>
          <w:lang w:val="en-GB"/>
        </w:rPr>
      </w:r>
      <w:r w:rsidR="00264C6E" w:rsidRPr="00D562E2">
        <w:rPr>
          <w:rFonts w:cs="Arial"/>
          <w:szCs w:val="22"/>
          <w:lang w:val="en-GB"/>
        </w:rPr>
        <w:fldChar w:fldCharType="separate"/>
      </w:r>
      <w:r w:rsidR="0067675D" w:rsidRPr="00867E8C">
        <w:rPr>
          <w:rFonts w:cs="Arial"/>
          <w:szCs w:val="22"/>
        </w:rPr>
        <w:t xml:space="preserve">Figure </w:t>
      </w:r>
      <w:r w:rsidR="0067675D">
        <w:rPr>
          <w:rFonts w:cs="Arial"/>
          <w:noProof/>
          <w:szCs w:val="22"/>
        </w:rPr>
        <w:t>98</w:t>
      </w:r>
      <w:r w:rsidR="00264C6E" w:rsidRPr="00D562E2">
        <w:rPr>
          <w:rFonts w:cs="Arial"/>
          <w:szCs w:val="22"/>
          <w:lang w:val="en-GB"/>
        </w:rPr>
        <w:fldChar w:fldCharType="end"/>
      </w:r>
      <w:r w:rsidR="00264C6E" w:rsidRPr="00D562E2">
        <w:rPr>
          <w:rFonts w:cs="Arial"/>
          <w:szCs w:val="22"/>
          <w:lang w:val="en-GB"/>
        </w:rPr>
        <w:t xml:space="preserve">). </w:t>
      </w:r>
      <w:r w:rsidR="003228A0" w:rsidRPr="00D562E2">
        <w:rPr>
          <w:rFonts w:cs="Arial"/>
          <w:szCs w:val="22"/>
          <w:lang w:val="en-GB"/>
        </w:rPr>
        <w:t>However, d</w:t>
      </w:r>
      <w:r w:rsidRPr="00D562E2">
        <w:rPr>
          <w:rFonts w:cs="Arial"/>
          <w:szCs w:val="22"/>
        </w:rPr>
        <w:t xml:space="preserve">ue to relocation of </w:t>
      </w:r>
      <w:r w:rsidR="003228A0" w:rsidRPr="00D562E2">
        <w:rPr>
          <w:rFonts w:cs="Arial"/>
          <w:szCs w:val="22"/>
        </w:rPr>
        <w:t>RD2 to RD3</w:t>
      </w:r>
      <w:r w:rsidR="00473F4E" w:rsidRPr="00D562E2">
        <w:rPr>
          <w:rFonts w:cs="Arial"/>
          <w:szCs w:val="22"/>
        </w:rPr>
        <w:t xml:space="preserve"> and </w:t>
      </w:r>
      <w:r w:rsidR="003228A0" w:rsidRPr="00D562E2">
        <w:rPr>
          <w:rFonts w:cs="Arial"/>
          <w:szCs w:val="22"/>
        </w:rPr>
        <w:lastRenderedPageBreak/>
        <w:t xml:space="preserve">the </w:t>
      </w:r>
      <w:r w:rsidR="00473F4E" w:rsidRPr="00D562E2">
        <w:rPr>
          <w:rFonts w:cs="Arial"/>
          <w:szCs w:val="22"/>
        </w:rPr>
        <w:t xml:space="preserve">recent addition of light monitoring to the Burrum Heads </w:t>
      </w:r>
      <w:r w:rsidR="00EE6D60">
        <w:rPr>
          <w:rFonts w:cs="Arial"/>
          <w:szCs w:val="22"/>
        </w:rPr>
        <w:t>stes</w:t>
      </w:r>
      <w:r w:rsidR="00473F4E" w:rsidRPr="00D562E2">
        <w:rPr>
          <w:rFonts w:cs="Arial"/>
          <w:szCs w:val="22"/>
        </w:rPr>
        <w:t>, it is difficult to assess trend</w:t>
      </w:r>
      <w:r w:rsidR="00EE6D60">
        <w:rPr>
          <w:rFonts w:cs="Arial"/>
          <w:szCs w:val="22"/>
        </w:rPr>
        <w:t>s in light levels at this time.</w:t>
      </w:r>
    </w:p>
    <w:p w14:paraId="7173F22F" w14:textId="6137746B" w:rsidR="005173D2" w:rsidRPr="00D562E2" w:rsidRDefault="00915FF0" w:rsidP="008A59C6">
      <w:pPr>
        <w:rPr>
          <w:rFonts w:cs="Arial"/>
          <w:szCs w:val="22"/>
        </w:rPr>
      </w:pPr>
      <w:r w:rsidRPr="00256349">
        <w:rPr>
          <w:rFonts w:cs="Arial"/>
          <w:szCs w:val="22"/>
          <w:lang w:val="en-GB"/>
        </w:rPr>
        <w:t>Within-canopy</w:t>
      </w:r>
      <w:r w:rsidRPr="00256349">
        <w:rPr>
          <w:rFonts w:cs="Arial"/>
          <w:szCs w:val="22"/>
        </w:rPr>
        <w:t xml:space="preserve"> temperatures in </w:t>
      </w:r>
      <w:r w:rsidR="00956639" w:rsidRPr="00256349">
        <w:rPr>
          <w:rFonts w:cs="Arial"/>
          <w:szCs w:val="22"/>
          <w:lang w:val="en-GB"/>
        </w:rPr>
        <w:t>2018–19</w:t>
      </w:r>
      <w:r w:rsidR="008A59C6" w:rsidRPr="00256349">
        <w:rPr>
          <w:rFonts w:cs="Arial"/>
          <w:szCs w:val="22"/>
          <w:lang w:val="en-GB"/>
        </w:rPr>
        <w:t xml:space="preserve"> </w:t>
      </w:r>
      <w:r w:rsidRPr="00256349">
        <w:rPr>
          <w:rFonts w:cs="Arial"/>
          <w:szCs w:val="22"/>
          <w:lang w:val="en-GB"/>
        </w:rPr>
        <w:t>were at the long-term average following on five</w:t>
      </w:r>
      <w:r w:rsidR="008A59C6" w:rsidRPr="00256349">
        <w:rPr>
          <w:rFonts w:cs="Arial"/>
          <w:szCs w:val="22"/>
        </w:rPr>
        <w:t xml:space="preserve"> consecutive year</w:t>
      </w:r>
      <w:r w:rsidRPr="00256349">
        <w:rPr>
          <w:rFonts w:cs="Arial"/>
          <w:szCs w:val="22"/>
        </w:rPr>
        <w:t>s</w:t>
      </w:r>
      <w:r w:rsidR="008A59C6" w:rsidRPr="00256349">
        <w:rPr>
          <w:rFonts w:cs="Arial"/>
          <w:szCs w:val="22"/>
        </w:rPr>
        <w:t xml:space="preserve"> </w:t>
      </w:r>
      <w:r w:rsidRPr="00256349">
        <w:rPr>
          <w:rFonts w:cs="Arial"/>
          <w:szCs w:val="22"/>
        </w:rPr>
        <w:t>when they were</w:t>
      </w:r>
      <w:r w:rsidR="008A59C6" w:rsidRPr="00256349">
        <w:rPr>
          <w:rFonts w:cs="Arial"/>
          <w:szCs w:val="22"/>
        </w:rPr>
        <w:t xml:space="preserve"> above the long-term average (</w:t>
      </w:r>
      <w:r w:rsidR="008A59C6" w:rsidRPr="00256349">
        <w:rPr>
          <w:rFonts w:cs="Arial"/>
          <w:szCs w:val="22"/>
        </w:rPr>
        <w:fldChar w:fldCharType="begin"/>
      </w:r>
      <w:r w:rsidR="008A59C6" w:rsidRPr="00256349">
        <w:rPr>
          <w:rFonts w:cs="Arial"/>
          <w:szCs w:val="22"/>
        </w:rPr>
        <w:instrText xml:space="preserve"> REF _Ref442377832 \h </w:instrText>
      </w:r>
      <w:r w:rsidR="00CB093C" w:rsidRPr="00256349">
        <w:rPr>
          <w:rFonts w:cs="Arial"/>
          <w:szCs w:val="22"/>
        </w:rPr>
        <w:instrText xml:space="preserve"> \* MERGEFORMAT </w:instrText>
      </w:r>
      <w:r w:rsidR="008A59C6" w:rsidRPr="00256349">
        <w:rPr>
          <w:rFonts w:cs="Arial"/>
          <w:szCs w:val="22"/>
        </w:rPr>
      </w:r>
      <w:r w:rsidR="008A59C6" w:rsidRPr="00256349">
        <w:rPr>
          <w:rFonts w:cs="Arial"/>
          <w:szCs w:val="22"/>
        </w:rPr>
        <w:fldChar w:fldCharType="separate"/>
      </w:r>
      <w:r w:rsidR="0067675D" w:rsidRPr="00D562E2">
        <w:rPr>
          <w:rFonts w:cs="Arial"/>
          <w:szCs w:val="22"/>
        </w:rPr>
        <w:t xml:space="preserve">Figure </w:t>
      </w:r>
      <w:r w:rsidR="0067675D">
        <w:rPr>
          <w:rFonts w:cs="Arial"/>
          <w:noProof/>
          <w:szCs w:val="22"/>
        </w:rPr>
        <w:t>80</w:t>
      </w:r>
      <w:r w:rsidR="008A59C6" w:rsidRPr="00256349">
        <w:rPr>
          <w:rFonts w:cs="Arial"/>
          <w:szCs w:val="22"/>
        </w:rPr>
        <w:fldChar w:fldCharType="end"/>
      </w:r>
      <w:r w:rsidR="008A59C6" w:rsidRPr="00256349">
        <w:rPr>
          <w:rFonts w:cs="Arial"/>
          <w:szCs w:val="22"/>
        </w:rPr>
        <w:t xml:space="preserve">). Maximum intertidal </w:t>
      </w:r>
      <w:r w:rsidR="008A59C6" w:rsidRPr="00256349">
        <w:rPr>
          <w:rFonts w:cs="Arial"/>
          <w:szCs w:val="22"/>
          <w:lang w:val="en-GB"/>
        </w:rPr>
        <w:t xml:space="preserve">within-canopy </w:t>
      </w:r>
      <w:r w:rsidR="008A59C6" w:rsidRPr="00256349">
        <w:rPr>
          <w:rFonts w:cs="Arial"/>
          <w:szCs w:val="22"/>
        </w:rPr>
        <w:t>temperatures exceeded 35</w:t>
      </w:r>
      <w:r w:rsidR="008A59C6" w:rsidRPr="00256349">
        <w:rPr>
          <w:rFonts w:cs="Arial"/>
          <w:szCs w:val="22"/>
          <w:lang w:val="en-GB"/>
        </w:rPr>
        <w:t>°C</w:t>
      </w:r>
      <w:r w:rsidR="008A59C6" w:rsidRPr="00256349">
        <w:rPr>
          <w:rFonts w:cs="Arial"/>
          <w:szCs w:val="22"/>
        </w:rPr>
        <w:t xml:space="preserve"> for a total of </w:t>
      </w:r>
      <w:r w:rsidR="00EE6D60" w:rsidRPr="00256349">
        <w:rPr>
          <w:rFonts w:cs="Arial"/>
          <w:szCs w:val="22"/>
        </w:rPr>
        <w:t>9</w:t>
      </w:r>
      <w:r w:rsidR="008A59C6" w:rsidRPr="00256349">
        <w:rPr>
          <w:rFonts w:cs="Arial"/>
          <w:szCs w:val="22"/>
        </w:rPr>
        <w:t xml:space="preserve"> days during </w:t>
      </w:r>
      <w:r w:rsidR="00956639" w:rsidRPr="00256349">
        <w:rPr>
          <w:rFonts w:cs="Arial"/>
          <w:szCs w:val="22"/>
        </w:rPr>
        <w:t>2018–19</w:t>
      </w:r>
      <w:r w:rsidR="008A59C6" w:rsidRPr="00256349">
        <w:rPr>
          <w:rFonts w:cs="Arial"/>
          <w:szCs w:val="22"/>
        </w:rPr>
        <w:t>, with the highest temperature recorded at 3</w:t>
      </w:r>
      <w:r w:rsidR="00EE6D60" w:rsidRPr="00256349">
        <w:rPr>
          <w:rFonts w:cs="Arial"/>
          <w:szCs w:val="22"/>
        </w:rPr>
        <w:t>8.3</w:t>
      </w:r>
      <w:r w:rsidR="008A59C6" w:rsidRPr="00256349">
        <w:rPr>
          <w:rFonts w:cs="Arial"/>
          <w:szCs w:val="22"/>
          <w:lang w:val="en-GB"/>
        </w:rPr>
        <w:t>°C</w:t>
      </w:r>
      <w:r w:rsidR="008A59C6" w:rsidRPr="00256349">
        <w:rPr>
          <w:rFonts w:cs="Arial"/>
          <w:szCs w:val="22"/>
        </w:rPr>
        <w:t xml:space="preserve"> (</w:t>
      </w:r>
      <w:r w:rsidR="00256349" w:rsidRPr="00256349">
        <w:rPr>
          <w:rFonts w:cs="Arial"/>
          <w:szCs w:val="22"/>
        </w:rPr>
        <w:t>UG2</w:t>
      </w:r>
      <w:r w:rsidR="008A59C6" w:rsidRPr="00256349">
        <w:rPr>
          <w:rFonts w:cs="Arial"/>
          <w:szCs w:val="22"/>
        </w:rPr>
        <w:t xml:space="preserve">, </w:t>
      </w:r>
      <w:r w:rsidR="00256349" w:rsidRPr="00256349">
        <w:rPr>
          <w:rFonts w:cs="Arial"/>
          <w:szCs w:val="22"/>
        </w:rPr>
        <w:t>1pm 20Dec18</w:t>
      </w:r>
      <w:r w:rsidR="008A59C6" w:rsidRPr="00256349">
        <w:rPr>
          <w:rFonts w:cs="Arial"/>
          <w:szCs w:val="22"/>
        </w:rPr>
        <w:t>).</w:t>
      </w:r>
      <w:r w:rsidR="008A59C6" w:rsidRPr="00D562E2">
        <w:rPr>
          <w:rFonts w:cs="Arial"/>
          <w:szCs w:val="22"/>
        </w:rPr>
        <w:t xml:space="preserve"> </w:t>
      </w:r>
    </w:p>
    <w:p w14:paraId="21DB75AC" w14:textId="54106240" w:rsidR="008A59C6" w:rsidRPr="00BC3A73" w:rsidRDefault="00256349" w:rsidP="008A59C6">
      <w:pPr>
        <w:rPr>
          <w:rFonts w:cs="Arial"/>
          <w:szCs w:val="22"/>
          <w:lang w:val="en-GB"/>
        </w:rPr>
      </w:pPr>
      <w:r>
        <w:rPr>
          <w:rFonts w:cs="Arial"/>
          <w:szCs w:val="22"/>
          <w:lang w:val="en-GB"/>
        </w:rPr>
        <w:t>Although d</w:t>
      </w:r>
      <w:r w:rsidR="008A59C6" w:rsidRPr="00D562E2">
        <w:rPr>
          <w:rFonts w:cs="Arial"/>
          <w:szCs w:val="22"/>
          <w:lang w:val="en-GB"/>
        </w:rPr>
        <w:t>aily tid</w:t>
      </w:r>
      <w:r>
        <w:rPr>
          <w:rFonts w:cs="Arial"/>
          <w:szCs w:val="22"/>
          <w:lang w:val="en-GB"/>
        </w:rPr>
        <w:t>al</w:t>
      </w:r>
      <w:r w:rsidR="008A59C6" w:rsidRPr="00D562E2">
        <w:rPr>
          <w:rFonts w:cs="Arial"/>
          <w:szCs w:val="22"/>
          <w:lang w:val="en-GB"/>
        </w:rPr>
        <w:t xml:space="preserve"> exposure </w:t>
      </w:r>
      <w:r>
        <w:rPr>
          <w:rFonts w:cs="Arial"/>
          <w:szCs w:val="22"/>
          <w:lang w:val="en-GB"/>
        </w:rPr>
        <w:t xml:space="preserve">was below the </w:t>
      </w:r>
      <w:r w:rsidRPr="00D562E2">
        <w:rPr>
          <w:rFonts w:cs="Arial"/>
          <w:szCs w:val="22"/>
          <w:lang w:val="en-GB"/>
        </w:rPr>
        <w:t>long</w:t>
      </w:r>
      <w:r w:rsidRPr="00D562E2">
        <w:rPr>
          <w:rFonts w:ascii="Cambria Math" w:hAnsi="Cambria Math" w:cs="Cambria Math"/>
          <w:szCs w:val="22"/>
          <w:lang w:val="en-GB"/>
        </w:rPr>
        <w:t>‐</w:t>
      </w:r>
      <w:r w:rsidRPr="00D562E2">
        <w:rPr>
          <w:rFonts w:cs="Arial"/>
          <w:szCs w:val="22"/>
          <w:lang w:val="en-GB"/>
        </w:rPr>
        <w:t xml:space="preserve">term average </w:t>
      </w:r>
      <w:r>
        <w:rPr>
          <w:rFonts w:cs="Arial"/>
          <w:szCs w:val="22"/>
          <w:lang w:val="en-GB"/>
        </w:rPr>
        <w:t xml:space="preserve">for the region </w:t>
      </w:r>
      <w:r w:rsidRPr="00D562E2">
        <w:rPr>
          <w:rFonts w:cs="Arial"/>
          <w:szCs w:val="22"/>
        </w:rPr>
        <w:t>(</w:t>
      </w:r>
      <w:r w:rsidRPr="00D562E2">
        <w:rPr>
          <w:rFonts w:cs="Arial"/>
          <w:szCs w:val="22"/>
        </w:rPr>
        <w:fldChar w:fldCharType="begin"/>
      </w:r>
      <w:r w:rsidRPr="00D562E2">
        <w:rPr>
          <w:rFonts w:cs="Arial"/>
          <w:szCs w:val="22"/>
        </w:rPr>
        <w:instrText xml:space="preserve"> REF _Ref442377832 \h  \* MERGEFORMAT </w:instrText>
      </w:r>
      <w:r w:rsidRPr="00D562E2">
        <w:rPr>
          <w:rFonts w:cs="Arial"/>
          <w:szCs w:val="22"/>
        </w:rPr>
      </w:r>
      <w:r w:rsidRPr="00D562E2">
        <w:rPr>
          <w:rFonts w:cs="Arial"/>
          <w:szCs w:val="22"/>
        </w:rPr>
        <w:fldChar w:fldCharType="separate"/>
      </w:r>
      <w:r w:rsidR="0067675D" w:rsidRPr="00D562E2">
        <w:rPr>
          <w:rFonts w:cs="Arial"/>
          <w:szCs w:val="22"/>
        </w:rPr>
        <w:t xml:space="preserve">Figure </w:t>
      </w:r>
      <w:r w:rsidR="0067675D">
        <w:rPr>
          <w:rFonts w:cs="Arial"/>
          <w:noProof/>
          <w:szCs w:val="22"/>
        </w:rPr>
        <w:t>80</w:t>
      </w:r>
      <w:r w:rsidRPr="00D562E2">
        <w:rPr>
          <w:rFonts w:cs="Arial"/>
          <w:szCs w:val="22"/>
        </w:rPr>
        <w:fldChar w:fldCharType="end"/>
      </w:r>
      <w:r w:rsidRPr="00D562E2">
        <w:rPr>
          <w:rFonts w:cs="Arial"/>
          <w:szCs w:val="22"/>
        </w:rPr>
        <w:t>)</w:t>
      </w:r>
      <w:r w:rsidRPr="00D562E2">
        <w:rPr>
          <w:rFonts w:cs="Arial"/>
          <w:szCs w:val="22"/>
          <w:lang w:val="en-GB"/>
        </w:rPr>
        <w:t xml:space="preserve">, </w:t>
      </w:r>
      <w:r>
        <w:rPr>
          <w:rFonts w:cs="Arial"/>
          <w:szCs w:val="22"/>
          <w:lang w:val="en-GB"/>
        </w:rPr>
        <w:t xml:space="preserve">levels of exposure differed with meadows in the north exposed for longer </w:t>
      </w:r>
      <w:r w:rsidR="00BC3A73">
        <w:rPr>
          <w:rFonts w:cs="Arial"/>
          <w:szCs w:val="22"/>
          <w:lang w:val="en-GB"/>
        </w:rPr>
        <w:t>than</w:t>
      </w:r>
      <w:r>
        <w:rPr>
          <w:rFonts w:cs="Arial"/>
          <w:szCs w:val="22"/>
          <w:lang w:val="en-GB"/>
        </w:rPr>
        <w:t xml:space="preserve"> those in the south </w:t>
      </w:r>
      <w:r w:rsidR="008A59C6" w:rsidRPr="00D562E2">
        <w:rPr>
          <w:rFonts w:cs="Arial"/>
          <w:szCs w:val="22"/>
          <w:lang w:val="en-GB"/>
        </w:rPr>
        <w:t>(</w:t>
      </w:r>
      <w:r w:rsidR="008A59C6" w:rsidRPr="00D562E2">
        <w:rPr>
          <w:rFonts w:cs="Arial"/>
          <w:szCs w:val="22"/>
          <w:lang w:val="en-GB"/>
        </w:rPr>
        <w:fldChar w:fldCharType="begin"/>
      </w:r>
      <w:r w:rsidR="008A59C6" w:rsidRPr="00D562E2">
        <w:rPr>
          <w:rFonts w:cs="Arial"/>
          <w:szCs w:val="22"/>
          <w:lang w:val="en-GB"/>
        </w:rPr>
        <w:instrText xml:space="preserve"> REF _Ref410309889 \h </w:instrText>
      </w:r>
      <w:r w:rsidR="00CB093C" w:rsidRPr="00D562E2">
        <w:rPr>
          <w:rFonts w:cs="Arial"/>
          <w:szCs w:val="22"/>
          <w:lang w:val="en-GB"/>
        </w:rPr>
        <w:instrText xml:space="preserve"> \* MERGEFORMAT </w:instrText>
      </w:r>
      <w:r w:rsidR="008A59C6" w:rsidRPr="00D562E2">
        <w:rPr>
          <w:rFonts w:cs="Arial"/>
          <w:szCs w:val="22"/>
          <w:lang w:val="en-GB"/>
        </w:rPr>
      </w:r>
      <w:r w:rsidR="008A59C6" w:rsidRPr="00D562E2">
        <w:rPr>
          <w:rFonts w:cs="Arial"/>
          <w:szCs w:val="22"/>
          <w:lang w:val="en-GB"/>
        </w:rPr>
        <w:fldChar w:fldCharType="separate"/>
      </w:r>
      <w:r w:rsidR="0067675D" w:rsidRPr="00867E8C">
        <w:rPr>
          <w:rFonts w:cs="Arial"/>
          <w:szCs w:val="22"/>
        </w:rPr>
        <w:t xml:space="preserve">Figure </w:t>
      </w:r>
      <w:r w:rsidR="0067675D">
        <w:rPr>
          <w:rFonts w:cs="Arial"/>
          <w:noProof/>
          <w:szCs w:val="22"/>
        </w:rPr>
        <w:t>98</w:t>
      </w:r>
      <w:r w:rsidR="008A59C6" w:rsidRPr="00D562E2">
        <w:rPr>
          <w:rFonts w:cs="Arial"/>
          <w:szCs w:val="22"/>
          <w:lang w:val="en-GB"/>
        </w:rPr>
        <w:fldChar w:fldCharType="end"/>
      </w:r>
      <w:r w:rsidR="008A59C6" w:rsidRPr="00D562E2">
        <w:rPr>
          <w:rFonts w:cs="Arial"/>
          <w:szCs w:val="22"/>
          <w:lang w:val="en-GB"/>
        </w:rPr>
        <w:t>)</w:t>
      </w:r>
      <w:r w:rsidR="00915FF0" w:rsidRPr="00D562E2">
        <w:rPr>
          <w:rFonts w:cs="Arial"/>
          <w:szCs w:val="22"/>
          <w:lang w:val="en-GB"/>
        </w:rPr>
        <w:t>. Th</w:t>
      </w:r>
      <w:r w:rsidR="00BC3A73">
        <w:rPr>
          <w:rFonts w:cs="Arial"/>
          <w:szCs w:val="22"/>
          <w:lang w:val="en-GB"/>
        </w:rPr>
        <w:t xml:space="preserve">e less than long-term </w:t>
      </w:r>
      <w:r w:rsidR="00BC3A73" w:rsidRPr="00D562E2">
        <w:rPr>
          <w:rFonts w:cs="Arial"/>
          <w:szCs w:val="22"/>
          <w:lang w:val="en-GB"/>
        </w:rPr>
        <w:t xml:space="preserve">average </w:t>
      </w:r>
      <w:r w:rsidR="00BC3A73">
        <w:rPr>
          <w:rFonts w:cs="Arial"/>
          <w:szCs w:val="22"/>
          <w:lang w:val="en-GB"/>
        </w:rPr>
        <w:t xml:space="preserve">exposure may have reduced </w:t>
      </w:r>
      <w:r w:rsidR="00915FF0" w:rsidRPr="00D562E2">
        <w:rPr>
          <w:rFonts w:cs="Arial"/>
          <w:szCs w:val="22"/>
          <w:lang w:val="en-GB"/>
        </w:rPr>
        <w:t>the risk of temperature and desiccation stress</w:t>
      </w:r>
      <w:r w:rsidR="00BC3A73" w:rsidRPr="00BC3A73">
        <w:rPr>
          <w:rFonts w:cs="Arial"/>
          <w:szCs w:val="22"/>
          <w:lang w:val="en-GB"/>
        </w:rPr>
        <w:t xml:space="preserve"> </w:t>
      </w:r>
      <w:r w:rsidR="00BC3A73">
        <w:rPr>
          <w:rFonts w:cs="Arial"/>
          <w:szCs w:val="22"/>
          <w:lang w:val="en-GB"/>
        </w:rPr>
        <w:t>in the south</w:t>
      </w:r>
      <w:r w:rsidR="00915FF0" w:rsidRPr="00D562E2">
        <w:rPr>
          <w:rFonts w:cs="Arial"/>
          <w:szCs w:val="22"/>
          <w:lang w:val="en-GB"/>
        </w:rPr>
        <w:t xml:space="preserve">, but may also increase the risk of light </w:t>
      </w:r>
      <w:r w:rsidR="00915FF0" w:rsidRPr="00BC3A73">
        <w:rPr>
          <w:rFonts w:cs="Arial"/>
          <w:szCs w:val="22"/>
          <w:lang w:val="en-GB"/>
        </w:rPr>
        <w:t>limitat</w:t>
      </w:r>
      <w:r w:rsidR="00BC3A73" w:rsidRPr="00BC3A73">
        <w:rPr>
          <w:rFonts w:cs="Arial"/>
          <w:szCs w:val="22"/>
          <w:lang w:val="en-GB"/>
        </w:rPr>
        <w:t>ion in the turbid water areas.</w:t>
      </w:r>
    </w:p>
    <w:p w14:paraId="5D640C0E" w14:textId="4646B3A5" w:rsidR="00364338" w:rsidRPr="00D562E2" w:rsidRDefault="008A59C6" w:rsidP="00461F1D">
      <w:pPr>
        <w:rPr>
          <w:rFonts w:cs="Arial"/>
          <w:color w:val="000000" w:themeColor="text1"/>
          <w:szCs w:val="22"/>
        </w:rPr>
      </w:pPr>
      <w:r w:rsidRPr="00BC3A73">
        <w:rPr>
          <w:rFonts w:cs="Arial"/>
          <w:szCs w:val="22"/>
        </w:rPr>
        <w:t xml:space="preserve">Sediments in the estuary seagrass habitats of the </w:t>
      </w:r>
      <w:r w:rsidR="00B72AC4">
        <w:rPr>
          <w:rFonts w:cs="Arial"/>
          <w:szCs w:val="22"/>
        </w:rPr>
        <w:t>Burnett–Mary</w:t>
      </w:r>
      <w:r w:rsidRPr="00BC3A73">
        <w:rPr>
          <w:rFonts w:cs="Arial"/>
          <w:szCs w:val="22"/>
        </w:rPr>
        <w:t xml:space="preserve"> region </w:t>
      </w:r>
      <w:r w:rsidR="00BC3A73" w:rsidRPr="00BC3A73">
        <w:rPr>
          <w:rFonts w:cs="Arial"/>
          <w:szCs w:val="22"/>
        </w:rPr>
        <w:t>are generally</w:t>
      </w:r>
      <w:r w:rsidRPr="00BC3A73">
        <w:rPr>
          <w:rFonts w:cs="Arial"/>
          <w:szCs w:val="22"/>
        </w:rPr>
        <w:t xml:space="preserve"> dominated by mud, </w:t>
      </w:r>
      <w:r w:rsidR="00BC3A73" w:rsidRPr="00BC3A73">
        <w:rPr>
          <w:rFonts w:cs="Arial"/>
          <w:szCs w:val="22"/>
        </w:rPr>
        <w:t xml:space="preserve">but </w:t>
      </w:r>
      <w:r w:rsidRPr="00BC3A73">
        <w:rPr>
          <w:rFonts w:cs="Arial"/>
          <w:szCs w:val="22"/>
        </w:rPr>
        <w:t xml:space="preserve">in </w:t>
      </w:r>
      <w:r w:rsidR="00956639" w:rsidRPr="00BC3A73">
        <w:rPr>
          <w:rFonts w:cs="Arial"/>
          <w:szCs w:val="22"/>
        </w:rPr>
        <w:t>2018–19</w:t>
      </w:r>
      <w:r w:rsidRPr="00BC3A73">
        <w:rPr>
          <w:rFonts w:cs="Arial"/>
          <w:szCs w:val="22"/>
        </w:rPr>
        <w:t xml:space="preserve"> </w:t>
      </w:r>
      <w:r w:rsidR="00BC3A73" w:rsidRPr="00BC3A73">
        <w:rPr>
          <w:rFonts w:cs="Arial"/>
          <w:szCs w:val="22"/>
        </w:rPr>
        <w:t xml:space="preserve">the meadows in the south became more sandy with lower mud contact, while meadows in the north </w:t>
      </w:r>
      <w:r w:rsidRPr="00BC3A73">
        <w:rPr>
          <w:rFonts w:cs="Arial"/>
          <w:szCs w:val="22"/>
        </w:rPr>
        <w:t>remained relatively stable, albeit with seasonal variability (</w:t>
      </w:r>
      <w:r w:rsidRPr="00BC3A73">
        <w:rPr>
          <w:rFonts w:cs="Arial"/>
          <w:szCs w:val="22"/>
        </w:rPr>
        <w:fldChar w:fldCharType="begin"/>
      </w:r>
      <w:r w:rsidRPr="00BC3A73">
        <w:rPr>
          <w:rFonts w:cs="Arial"/>
          <w:szCs w:val="22"/>
        </w:rPr>
        <w:instrText xml:space="preserve"> REF _Ref461779411 \h  \* MERGEFORMAT </w:instrText>
      </w:r>
      <w:r w:rsidRPr="00BC3A73">
        <w:rPr>
          <w:rFonts w:cs="Arial"/>
          <w:szCs w:val="22"/>
        </w:rPr>
      </w:r>
      <w:r w:rsidRPr="00BC3A73">
        <w:rPr>
          <w:rFonts w:cs="Arial"/>
          <w:szCs w:val="22"/>
        </w:rPr>
        <w:fldChar w:fldCharType="separate"/>
      </w:r>
      <w:r w:rsidR="0067675D" w:rsidRPr="00867E8C">
        <w:rPr>
          <w:rFonts w:cs="Arial"/>
          <w:szCs w:val="22"/>
        </w:rPr>
        <w:t xml:space="preserve">Figure </w:t>
      </w:r>
      <w:r w:rsidR="0067675D">
        <w:rPr>
          <w:rFonts w:cs="Arial"/>
          <w:noProof/>
          <w:szCs w:val="22"/>
        </w:rPr>
        <w:t>120</w:t>
      </w:r>
      <w:r w:rsidRPr="00BC3A73">
        <w:rPr>
          <w:rFonts w:cs="Arial"/>
          <w:szCs w:val="22"/>
        </w:rPr>
        <w:fldChar w:fldCharType="end"/>
      </w:r>
      <w:r w:rsidRPr="00BC3A73">
        <w:rPr>
          <w:rFonts w:cs="Arial"/>
          <w:szCs w:val="22"/>
        </w:rPr>
        <w:t xml:space="preserve">). Coastal meadows in </w:t>
      </w:r>
      <w:r w:rsidR="00956639" w:rsidRPr="00BC3A73">
        <w:rPr>
          <w:rFonts w:cs="Arial"/>
          <w:szCs w:val="22"/>
        </w:rPr>
        <w:t>2018–19</w:t>
      </w:r>
      <w:r w:rsidRPr="00BC3A73">
        <w:rPr>
          <w:rFonts w:cs="Arial"/>
          <w:szCs w:val="22"/>
        </w:rPr>
        <w:t xml:space="preserve"> continued to be dominated by fine sand with little change from the previous year (</w:t>
      </w:r>
      <w:r w:rsidRPr="00BC3A73">
        <w:rPr>
          <w:rFonts w:cs="Arial"/>
          <w:szCs w:val="22"/>
        </w:rPr>
        <w:fldChar w:fldCharType="begin"/>
      </w:r>
      <w:r w:rsidRPr="00BC3A73">
        <w:rPr>
          <w:rFonts w:cs="Arial"/>
          <w:szCs w:val="22"/>
        </w:rPr>
        <w:instrText xml:space="preserve"> REF _Ref511132115 \h  \* MERGEFORMAT </w:instrText>
      </w:r>
      <w:r w:rsidRPr="00BC3A73">
        <w:rPr>
          <w:rFonts w:cs="Arial"/>
          <w:szCs w:val="22"/>
        </w:rPr>
      </w:r>
      <w:r w:rsidRPr="00BC3A73">
        <w:rPr>
          <w:rFonts w:cs="Arial"/>
          <w:szCs w:val="22"/>
        </w:rPr>
        <w:fldChar w:fldCharType="separate"/>
      </w:r>
      <w:r w:rsidR="0067675D" w:rsidRPr="00867E8C">
        <w:rPr>
          <w:rFonts w:cs="Arial"/>
          <w:szCs w:val="22"/>
        </w:rPr>
        <w:t xml:space="preserve">Figure </w:t>
      </w:r>
      <w:r w:rsidR="0067675D">
        <w:rPr>
          <w:rFonts w:cs="Arial"/>
          <w:noProof/>
          <w:szCs w:val="22"/>
        </w:rPr>
        <w:t>121</w:t>
      </w:r>
      <w:r w:rsidRPr="00BC3A73">
        <w:rPr>
          <w:rFonts w:cs="Arial"/>
          <w:szCs w:val="22"/>
        </w:rPr>
        <w:fldChar w:fldCharType="end"/>
      </w:r>
      <w:r w:rsidRPr="00BC3A73">
        <w:rPr>
          <w:rFonts w:cs="Arial"/>
          <w:szCs w:val="22"/>
        </w:rPr>
        <w:t xml:space="preserve">). </w:t>
      </w:r>
    </w:p>
    <w:p w14:paraId="287CF681" w14:textId="12328587" w:rsidR="00E547A7" w:rsidRPr="00D562E2" w:rsidRDefault="00704CE4" w:rsidP="00DD3BAE">
      <w:pPr>
        <w:keepNext/>
        <w:widowControl w:val="0"/>
        <w:jc w:val="center"/>
        <w:rPr>
          <w:rFonts w:cs="Arial"/>
          <w:color w:val="000000"/>
          <w:szCs w:val="22"/>
        </w:rPr>
      </w:pPr>
      <w:r w:rsidRPr="00D562E2">
        <w:rPr>
          <w:rFonts w:cs="Arial"/>
          <w:noProof/>
          <w:color w:val="000000"/>
          <w:szCs w:val="22"/>
          <w:lang w:eastAsia="en-AU"/>
        </w:rPr>
        <w:lastRenderedPageBreak/>
        <w:drawing>
          <wp:inline distT="0" distB="0" distL="0" distR="0" wp14:anchorId="3739406B" wp14:editId="122722E6">
            <wp:extent cx="5491033" cy="7309475"/>
            <wp:effectExtent l="0" t="0" r="0" b="6350"/>
            <wp:docPr id="523" name="Picture 523" descr="Figures show extent of plumes, colour class, light and temperate data" title="environmental pressures Burnett-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BM Pressures page-01.png"/>
                    <pic:cNvPicPr/>
                  </pic:nvPicPr>
                  <pic:blipFill>
                    <a:blip r:embed="rId133">
                      <a:extLst>
                        <a:ext uri="{28A0092B-C50C-407E-A947-70E740481C1C}">
                          <a14:useLocalDpi xmlns:a14="http://schemas.microsoft.com/office/drawing/2010/main" val="0"/>
                        </a:ext>
                      </a:extLst>
                    </a:blip>
                    <a:stretch>
                      <a:fillRect/>
                    </a:stretch>
                  </pic:blipFill>
                  <pic:spPr>
                    <a:xfrm>
                      <a:off x="0" y="0"/>
                      <a:ext cx="5491033" cy="7309475"/>
                    </a:xfrm>
                    <a:prstGeom prst="rect">
                      <a:avLst/>
                    </a:prstGeom>
                  </pic:spPr>
                </pic:pic>
              </a:graphicData>
            </a:graphic>
          </wp:inline>
        </w:drawing>
      </w:r>
    </w:p>
    <w:p w14:paraId="4FC671F2" w14:textId="0B02297E" w:rsidR="000C5E7B" w:rsidRPr="00D562E2" w:rsidRDefault="0059610E" w:rsidP="000C5E7B">
      <w:pPr>
        <w:rPr>
          <w:rFonts w:cs="Arial"/>
          <w:i/>
          <w:vanish/>
          <w:szCs w:val="22"/>
          <w:specVanish/>
        </w:rPr>
      </w:pPr>
      <w:bookmarkStart w:id="607" w:name="_Ref442377832"/>
      <w:bookmarkStart w:id="608" w:name="_Toc38634184"/>
      <w:r w:rsidRPr="00D562E2">
        <w:rPr>
          <w:rFonts w:cs="Arial"/>
          <w:szCs w:val="22"/>
        </w:rPr>
        <w:lastRenderedPageBreak/>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80</w:t>
      </w:r>
      <w:r w:rsidR="00C506C7" w:rsidRPr="00D562E2">
        <w:rPr>
          <w:rFonts w:cs="Arial"/>
          <w:noProof/>
          <w:szCs w:val="22"/>
        </w:rPr>
        <w:fldChar w:fldCharType="end"/>
      </w:r>
      <w:bookmarkEnd w:id="607"/>
      <w:r w:rsidRPr="00D562E2">
        <w:rPr>
          <w:rFonts w:cs="Arial"/>
          <w:szCs w:val="22"/>
        </w:rPr>
        <w:t xml:space="preserve">. </w:t>
      </w:r>
      <w:r w:rsidR="00704CE4" w:rsidRPr="00D562E2">
        <w:rPr>
          <w:rFonts w:cs="Arial"/>
          <w:i/>
          <w:szCs w:val="22"/>
        </w:rPr>
        <w:t>Environmental pressure</w:t>
      </w:r>
      <w:r w:rsidR="004826ED" w:rsidRPr="00D562E2">
        <w:rPr>
          <w:rFonts w:cs="Arial"/>
          <w:i/>
          <w:szCs w:val="22"/>
        </w:rPr>
        <w:t xml:space="preserve">s in the </w:t>
      </w:r>
      <w:r w:rsidR="00B72AC4">
        <w:rPr>
          <w:rFonts w:cs="Arial"/>
          <w:i/>
          <w:szCs w:val="22"/>
        </w:rPr>
        <w:t>Burnett–Mary</w:t>
      </w:r>
      <w:r w:rsidR="00704CE4" w:rsidRPr="00D562E2">
        <w:rPr>
          <w:rFonts w:cs="Arial"/>
          <w:i/>
          <w:szCs w:val="22"/>
        </w:rPr>
        <w:t xml:space="preserve"> region</w:t>
      </w:r>
      <w:bookmarkEnd w:id="608"/>
    </w:p>
    <w:p w14:paraId="6A1A2984" w14:textId="1F61EAD0" w:rsidR="00704CE4" w:rsidRPr="00D562E2" w:rsidRDefault="000C5E7B" w:rsidP="000C5E7B">
      <w:pPr>
        <w:rPr>
          <w:rFonts w:cs="Arial"/>
          <w:i/>
          <w:color w:val="000000"/>
          <w:szCs w:val="22"/>
          <w:lang w:val="en-GB"/>
        </w:rPr>
      </w:pPr>
      <w:r w:rsidRPr="00D562E2">
        <w:rPr>
          <w:rFonts w:cs="Arial"/>
          <w:i/>
          <w:szCs w:val="22"/>
        </w:rPr>
        <w:t xml:space="preserve"> </w:t>
      </w:r>
      <w:r w:rsidR="00704CE4" w:rsidRPr="00D562E2">
        <w:rPr>
          <w:rFonts w:cs="Arial"/>
          <w:i/>
          <w:szCs w:val="22"/>
        </w:rPr>
        <w:t>including</w:t>
      </w:r>
      <w:r w:rsidR="004826ED" w:rsidRPr="00D562E2">
        <w:rPr>
          <w:rFonts w:cs="Arial"/>
          <w:i/>
          <w:szCs w:val="22"/>
        </w:rPr>
        <w:t>:</w:t>
      </w:r>
      <w:r w:rsidR="00704CE4" w:rsidRPr="00D562E2">
        <w:rPr>
          <w:rFonts w:cs="Arial"/>
          <w:i/>
          <w:szCs w:val="22"/>
        </w:rPr>
        <w:t xml:space="preserve"> a.</w:t>
      </w:r>
      <w:r w:rsidR="00704CE4" w:rsidRPr="00D562E2">
        <w:rPr>
          <w:rFonts w:cs="Arial"/>
          <w:szCs w:val="22"/>
        </w:rPr>
        <w:t xml:space="preserve"> </w:t>
      </w:r>
      <w:r w:rsidR="00704CE4" w:rsidRPr="00D562E2">
        <w:rPr>
          <w:rFonts w:cs="Arial"/>
          <w:i/>
          <w:szCs w:val="22"/>
        </w:rPr>
        <w:t>frequency of exposure to turbid water (colour classes 1</w:t>
      </w:r>
      <w:r w:rsidR="00A675DA" w:rsidRPr="00D562E2">
        <w:rPr>
          <w:rFonts w:cs="Arial"/>
          <w:i/>
          <w:szCs w:val="22"/>
        </w:rPr>
        <w:t>–</w:t>
      </w:r>
      <w:r w:rsidR="00704CE4" w:rsidRPr="00D562E2">
        <w:rPr>
          <w:rFonts w:cs="Arial"/>
          <w:i/>
          <w:szCs w:val="22"/>
        </w:rPr>
        <w:t xml:space="preserve">5) (from </w:t>
      </w:r>
      <w:hyperlink w:anchor="_ENREF_68" w:tooltip="Gruber, 2019 #11860" w:history="1">
        <w:r w:rsidR="009A7AB4" w:rsidRPr="00D562E2">
          <w:rPr>
            <w:rFonts w:cs="Arial"/>
            <w:i/>
            <w:szCs w:val="22"/>
          </w:rPr>
          <w:fldChar w:fldCharType="begin"/>
        </w:r>
        <w:r w:rsidR="009A7AB4">
          <w:rPr>
            <w:rFonts w:cs="Arial"/>
            <w:i/>
            <w:szCs w:val="22"/>
          </w:rPr>
          <w:instrText xml:space="preserve"> ADDIN EN.CITE &lt;EndNote&gt;&lt;Cite&gt;&lt;Author&gt;Gruber&lt;/Author&gt;&lt;Year&gt;2019&lt;/Year&gt;&lt;RecNum&gt;11860&lt;/RecNum&gt;&lt;DisplayText&gt;Gruber&lt;style face="italic"&gt; et al.&lt;/style&gt; 2019b&lt;/DisplayText&gt;&lt;record&gt;&lt;rec-number&gt;11860&lt;/rec-number&gt;&lt;foreign-keys&gt;&lt;key app="EN" db-id="0eve55x9y5vfd6e9dacxtew4eatve2dzds9a" timestamp="1545262870"&gt;11860&lt;/key&gt;&lt;/foreign-keys&gt;&lt;ref-type name="Book"&gt;6&lt;/ref-type&gt;&lt;contributors&gt;&lt;authors&gt;&lt;author&gt;Gruber, R&lt;/author&gt;&lt;author&gt;Waterhouse, J&lt;/author&gt;&lt;author&gt;Logan, M&lt;/author&gt;&lt;author&gt;Petus, C&lt;/author&gt;&lt;author&gt;Howley, C&lt;/author&gt;&lt;author&gt;Lewis, S&lt;/author&gt;&lt;author&gt;Tracey, D&lt;/author&gt;&lt;author&gt;Langlois, L&lt;/author&gt;&lt;author&gt;Tonin, H&lt;/author&gt;&lt;author&gt;Skuza, M&lt;/author&gt;&lt;author&gt;Costello, P&lt;/author&gt;&lt;author&gt;Davidson, J&lt;/author&gt;&lt;author&gt;Gunn, K&lt;/author&gt;&lt;author&gt;Lefevre, C&lt;/author&gt;&lt;author&gt;Shanahan, M&lt;/author&gt;&lt;author&gt;Wright, M&lt;/author&gt;&lt;author&gt;Zagorskis, I&lt;/author&gt;&lt;author&gt;Kroon, F&lt;/author&gt;&lt;author&gt;Neilen, A&lt;/author&gt;&lt;/authors&gt;&lt;/contributors&gt;&lt;titles&gt;&lt;title&gt;Marine Monitoring Program: Annual Report for inshore water quality monitoring 2017-2018. Report for the Great Barrier Reef Marine Park Authority&lt;/title&gt;&lt;/titles&gt;&lt;pages&gt;288&lt;/pages&gt;&lt;dates&gt;&lt;year&gt;2019&lt;/year&gt;&lt;/dates&gt;&lt;pub-location&gt;Townsville&lt;/pub-location&gt;&lt;publisher&gt;Great Barrier Reef Marine Park Authority, Australian Institute of Marine Science and JCU TropWATER&lt;/publisher&gt;&lt;urls&gt;&lt;/urls&gt;&lt;/record&gt;&lt;/Cite&gt;&lt;/EndNote&gt;</w:instrText>
        </w:r>
        <w:r w:rsidR="009A7AB4" w:rsidRPr="00D562E2">
          <w:rPr>
            <w:rFonts w:cs="Arial"/>
            <w:i/>
            <w:szCs w:val="22"/>
          </w:rPr>
          <w:fldChar w:fldCharType="separate"/>
        </w:r>
        <w:r w:rsidR="009A7AB4">
          <w:rPr>
            <w:rFonts w:cs="Arial"/>
            <w:i/>
            <w:noProof/>
            <w:szCs w:val="22"/>
          </w:rPr>
          <w:t>Gruber et al. 2019b</w:t>
        </w:r>
        <w:r w:rsidR="009A7AB4" w:rsidRPr="00D562E2">
          <w:rPr>
            <w:rFonts w:cs="Arial"/>
            <w:i/>
            <w:szCs w:val="22"/>
          </w:rPr>
          <w:fldChar w:fldCharType="end"/>
        </w:r>
      </w:hyperlink>
      <w:r w:rsidR="00704CE4" w:rsidRPr="00D562E2">
        <w:rPr>
          <w:rFonts w:cs="Arial"/>
          <w:i/>
          <w:szCs w:val="22"/>
        </w:rPr>
        <w:t>)</w:t>
      </w:r>
      <w:r w:rsidR="001B1A95" w:rsidRPr="00D562E2">
        <w:rPr>
          <w:rFonts w:cs="Arial"/>
          <w:i/>
          <w:szCs w:val="22"/>
        </w:rPr>
        <w:t>;</w:t>
      </w:r>
      <w:r w:rsidR="00704CE4" w:rsidRPr="00D562E2">
        <w:rPr>
          <w:rFonts w:cs="Arial"/>
          <w:i/>
          <w:szCs w:val="22"/>
        </w:rPr>
        <w:t xml:space="preserve"> b. wet season water type at each </w:t>
      </w:r>
      <w:r w:rsidR="001B1A95" w:rsidRPr="00D562E2">
        <w:rPr>
          <w:rFonts w:cs="Arial"/>
          <w:i/>
          <w:szCs w:val="22"/>
        </w:rPr>
        <w:t>site;</w:t>
      </w:r>
      <w:r w:rsidR="00704CE4" w:rsidRPr="00D562E2">
        <w:rPr>
          <w:rFonts w:cs="Arial"/>
          <w:i/>
          <w:szCs w:val="22"/>
        </w:rPr>
        <w:t xml:space="preserve"> c. average conditions over the long-term and in </w:t>
      </w:r>
      <w:r w:rsidR="00956639" w:rsidRPr="00D562E2">
        <w:rPr>
          <w:rFonts w:cs="Arial"/>
          <w:i/>
          <w:szCs w:val="22"/>
        </w:rPr>
        <w:t>2018–19</w:t>
      </w:r>
      <w:r w:rsidR="001B1A95" w:rsidRPr="00D562E2">
        <w:rPr>
          <w:rFonts w:cs="Arial"/>
          <w:i/>
          <w:szCs w:val="22"/>
        </w:rPr>
        <w:t>;</w:t>
      </w:r>
      <w:r w:rsidR="00704CE4" w:rsidRPr="00D562E2">
        <w:rPr>
          <w:rFonts w:cs="Arial"/>
          <w:i/>
          <w:szCs w:val="22"/>
        </w:rPr>
        <w:t xml:space="preserve"> d. daily light and the 28-day rolling mean of daily light for all sites</w:t>
      </w:r>
      <w:r w:rsidR="001B1A95" w:rsidRPr="00D562E2">
        <w:rPr>
          <w:rFonts w:cs="Arial"/>
          <w:i/>
          <w:szCs w:val="22"/>
        </w:rPr>
        <w:t>;</w:t>
      </w:r>
      <w:r w:rsidR="00704CE4" w:rsidRPr="00D562E2">
        <w:rPr>
          <w:rFonts w:cs="Arial"/>
          <w:i/>
          <w:szCs w:val="22"/>
        </w:rPr>
        <w:t xml:space="preserve"> e. number of day temperature </w:t>
      </w:r>
      <w:r w:rsidR="00704CE4" w:rsidRPr="00D562E2">
        <w:rPr>
          <w:rFonts w:cs="Arial"/>
          <w:i/>
          <w:szCs w:val="22"/>
          <w:lang w:val="en-GB"/>
        </w:rPr>
        <w:t>exceeded 35°C, 38°C, 40°C and 43°C</w:t>
      </w:r>
      <w:r w:rsidR="00704CE4" w:rsidRPr="00D562E2">
        <w:rPr>
          <w:rFonts w:cs="Arial"/>
          <w:i/>
          <w:szCs w:val="22"/>
        </w:rPr>
        <w:t>, and</w:t>
      </w:r>
      <w:r w:rsidR="001B1A95" w:rsidRPr="00D562E2">
        <w:rPr>
          <w:rFonts w:cs="Arial"/>
          <w:i/>
          <w:szCs w:val="22"/>
        </w:rPr>
        <w:t>;</w:t>
      </w:r>
      <w:r w:rsidR="00704CE4" w:rsidRPr="00D562E2">
        <w:rPr>
          <w:rFonts w:cs="Arial"/>
          <w:i/>
          <w:szCs w:val="22"/>
        </w:rPr>
        <w:t xml:space="preserve"> f.</w:t>
      </w:r>
      <w:r w:rsidR="00704CE4" w:rsidRPr="00D562E2">
        <w:rPr>
          <w:rFonts w:cs="Arial"/>
          <w:i/>
          <w:szCs w:val="22"/>
          <w:lang w:val="en-GB"/>
        </w:rPr>
        <w:t xml:space="preserve"> deviations from 13-year </w:t>
      </w:r>
      <w:r w:rsidR="00704CE4" w:rsidRPr="00D562E2">
        <w:rPr>
          <w:rFonts w:cs="Arial"/>
          <w:i/>
          <w:color w:val="000000"/>
          <w:szCs w:val="22"/>
          <w:lang w:val="en-GB"/>
        </w:rPr>
        <w:t>mean weekly temperature records.</w:t>
      </w:r>
    </w:p>
    <w:p w14:paraId="78B0BD82" w14:textId="77777777" w:rsidR="00461F1D" w:rsidRPr="00431DDA" w:rsidRDefault="00461F1D" w:rsidP="008416AD">
      <w:pPr>
        <w:pStyle w:val="Heading3"/>
      </w:pPr>
      <w:bookmarkStart w:id="609" w:name="_Toc37775114"/>
      <w:bookmarkStart w:id="610" w:name="_Toc43987089"/>
      <w:r w:rsidRPr="00431DDA">
        <w:t>Inshore seagrass and habitat condition</w:t>
      </w:r>
      <w:bookmarkEnd w:id="609"/>
      <w:bookmarkEnd w:id="610"/>
    </w:p>
    <w:bookmarkEnd w:id="606"/>
    <w:p w14:paraId="35083C23" w14:textId="6DED8E79" w:rsidR="00995B85" w:rsidRPr="00D562E2" w:rsidRDefault="00172866" w:rsidP="00DD3BAE">
      <w:pPr>
        <w:rPr>
          <w:rFonts w:cs="Arial"/>
          <w:szCs w:val="22"/>
          <w:lang w:eastAsia="x-none"/>
        </w:rPr>
      </w:pPr>
      <w:r>
        <w:rPr>
          <w:rFonts w:cs="Arial"/>
          <w:color w:val="000000" w:themeColor="text1"/>
          <w:szCs w:val="22"/>
          <w:lang w:eastAsia="x-none"/>
        </w:rPr>
        <w:t xml:space="preserve">There are 6 seagrass monitoring sites in the </w:t>
      </w:r>
      <w:r w:rsidR="00B72AC4">
        <w:rPr>
          <w:rFonts w:cs="Arial"/>
          <w:color w:val="000000" w:themeColor="text1"/>
          <w:szCs w:val="22"/>
          <w:lang w:eastAsia="x-none"/>
        </w:rPr>
        <w:t>Burnett–Mary</w:t>
      </w:r>
      <w:r>
        <w:rPr>
          <w:rFonts w:cs="Arial"/>
          <w:color w:val="000000" w:themeColor="text1"/>
          <w:szCs w:val="22"/>
          <w:lang w:eastAsia="x-none"/>
        </w:rPr>
        <w:t xml:space="preserve"> from 3 locations</w:t>
      </w:r>
      <w:r w:rsidR="00DE7111">
        <w:rPr>
          <w:rFonts w:cs="Arial"/>
          <w:color w:val="000000" w:themeColor="text1"/>
          <w:szCs w:val="22"/>
          <w:lang w:eastAsia="x-none"/>
        </w:rPr>
        <w:t xml:space="preserve"> </w:t>
      </w:r>
      <w:r w:rsidR="00DE7111" w:rsidRPr="00D562E2">
        <w:rPr>
          <w:rFonts w:cs="Arial"/>
          <w:szCs w:val="22"/>
          <w:lang w:eastAsia="x-none"/>
        </w:rPr>
        <w:t>(</w:t>
      </w:r>
      <w:r w:rsidR="00DE7111" w:rsidRPr="00D562E2">
        <w:rPr>
          <w:rFonts w:cs="Arial"/>
          <w:szCs w:val="22"/>
          <w:lang w:eastAsia="x-none"/>
        </w:rPr>
        <w:fldChar w:fldCharType="begin"/>
      </w:r>
      <w:r w:rsidR="00DE7111" w:rsidRPr="00D562E2">
        <w:rPr>
          <w:rFonts w:cs="Arial"/>
          <w:szCs w:val="22"/>
          <w:lang w:eastAsia="x-none"/>
        </w:rPr>
        <w:instrText xml:space="preserve"> REF _Ref473898769 \h  \* MERGEFORMAT </w:instrText>
      </w:r>
      <w:r w:rsidR="00DE7111" w:rsidRPr="00D562E2">
        <w:rPr>
          <w:rFonts w:cs="Arial"/>
          <w:szCs w:val="22"/>
          <w:lang w:eastAsia="x-none"/>
        </w:rPr>
      </w:r>
      <w:r w:rsidR="00DE7111"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16</w:t>
      </w:r>
      <w:r w:rsidR="00DE7111" w:rsidRPr="00D562E2">
        <w:rPr>
          <w:rFonts w:cs="Arial"/>
          <w:szCs w:val="22"/>
          <w:lang w:eastAsia="x-none"/>
        </w:rPr>
        <w:fldChar w:fldCharType="end"/>
      </w:r>
      <w:r w:rsidR="00DE7111">
        <w:rPr>
          <w:rFonts w:cs="Arial"/>
          <w:szCs w:val="22"/>
          <w:lang w:eastAsia="x-none"/>
        </w:rPr>
        <w:t>)</w:t>
      </w:r>
      <w:r>
        <w:rPr>
          <w:rFonts w:cs="Arial"/>
          <w:szCs w:val="22"/>
        </w:rPr>
        <w:t xml:space="preserve">. </w:t>
      </w:r>
      <w:r w:rsidR="00364338" w:rsidRPr="00D562E2">
        <w:rPr>
          <w:rFonts w:cs="Arial"/>
          <w:szCs w:val="22"/>
        </w:rPr>
        <w:t xml:space="preserve">Only estuarine and coastal habitats </w:t>
      </w:r>
      <w:r w:rsidR="00995B85" w:rsidRPr="00D562E2">
        <w:rPr>
          <w:rFonts w:cs="Arial"/>
          <w:szCs w:val="22"/>
          <w:lang w:eastAsia="x-none"/>
        </w:rPr>
        <w:t xml:space="preserve">were assessed across the </w:t>
      </w:r>
      <w:r w:rsidR="00B72AC4">
        <w:rPr>
          <w:rFonts w:cs="Arial"/>
          <w:szCs w:val="22"/>
          <w:lang w:eastAsia="x-none"/>
        </w:rPr>
        <w:t>Burnett–Mary</w:t>
      </w:r>
      <w:r w:rsidR="00DE7111">
        <w:rPr>
          <w:rFonts w:cs="Arial"/>
          <w:szCs w:val="22"/>
          <w:lang w:eastAsia="x-none"/>
        </w:rPr>
        <w:t xml:space="preserve"> </w:t>
      </w:r>
      <w:r w:rsidR="00995B85" w:rsidRPr="00D562E2">
        <w:rPr>
          <w:rFonts w:cs="Arial"/>
          <w:szCs w:val="22"/>
          <w:lang w:eastAsia="x-none"/>
        </w:rPr>
        <w:t xml:space="preserve">region in </w:t>
      </w:r>
      <w:r w:rsidR="00956639" w:rsidRPr="00D562E2">
        <w:rPr>
          <w:rFonts w:cs="Arial"/>
          <w:szCs w:val="22"/>
          <w:lang w:eastAsia="x-none"/>
        </w:rPr>
        <w:t>2018–19</w:t>
      </w:r>
      <w:r>
        <w:rPr>
          <w:rFonts w:cs="Arial"/>
          <w:szCs w:val="22"/>
          <w:lang w:eastAsia="x-none"/>
        </w:rPr>
        <w:t xml:space="preserve"> </w:t>
      </w:r>
      <w:r w:rsidR="00995B85" w:rsidRPr="00D562E2">
        <w:rPr>
          <w:rFonts w:cs="Arial"/>
          <w:szCs w:val="22"/>
          <w:lang w:eastAsia="x-none"/>
        </w:rPr>
        <w:t>(</w:t>
      </w:r>
      <w:r w:rsidR="00995B85" w:rsidRPr="00D562E2">
        <w:rPr>
          <w:rFonts w:cs="Arial"/>
          <w:szCs w:val="22"/>
          <w:lang w:eastAsia="x-none"/>
        </w:rPr>
        <w:fldChar w:fldCharType="begin"/>
      </w:r>
      <w:r w:rsidR="00995B85" w:rsidRPr="00D562E2">
        <w:rPr>
          <w:rFonts w:cs="Arial"/>
          <w:szCs w:val="22"/>
          <w:lang w:eastAsia="x-none"/>
        </w:rPr>
        <w:instrText xml:space="preserve"> REF _Ref473898769 \h </w:instrText>
      </w:r>
      <w:r w:rsidR="00580DDA" w:rsidRPr="00D562E2">
        <w:rPr>
          <w:rFonts w:cs="Arial"/>
          <w:szCs w:val="22"/>
          <w:lang w:eastAsia="x-none"/>
        </w:rPr>
        <w:instrText xml:space="preserve"> \* MERGEFORMAT </w:instrText>
      </w:r>
      <w:r w:rsidR="00995B85" w:rsidRPr="00D562E2">
        <w:rPr>
          <w:rFonts w:cs="Arial"/>
          <w:szCs w:val="22"/>
          <w:lang w:eastAsia="x-none"/>
        </w:rPr>
      </w:r>
      <w:r w:rsidR="00995B85" w:rsidRPr="00D562E2">
        <w:rPr>
          <w:rFonts w:cs="Arial"/>
          <w:szCs w:val="22"/>
          <w:lang w:eastAsia="x-none"/>
        </w:rPr>
        <w:fldChar w:fldCharType="separate"/>
      </w:r>
      <w:r w:rsidR="0067675D" w:rsidRPr="00D562E2">
        <w:rPr>
          <w:rFonts w:cs="Arial"/>
          <w:szCs w:val="22"/>
        </w:rPr>
        <w:t xml:space="preserve">Table </w:t>
      </w:r>
      <w:r w:rsidR="0067675D">
        <w:rPr>
          <w:rFonts w:cs="Arial"/>
          <w:noProof/>
          <w:szCs w:val="22"/>
        </w:rPr>
        <w:t>16</w:t>
      </w:r>
      <w:r w:rsidR="00995B85" w:rsidRPr="00D562E2">
        <w:rPr>
          <w:rFonts w:cs="Arial"/>
          <w:szCs w:val="22"/>
          <w:lang w:eastAsia="x-none"/>
        </w:rPr>
        <w:fldChar w:fldCharType="end"/>
      </w:r>
      <w:r w:rsidR="00995B85" w:rsidRPr="00D562E2">
        <w:rPr>
          <w:rFonts w:cs="Arial"/>
          <w:szCs w:val="22"/>
          <w:lang w:eastAsia="x-none"/>
        </w:rPr>
        <w:t>).</w:t>
      </w:r>
    </w:p>
    <w:p w14:paraId="14F59773" w14:textId="6FF316AB" w:rsidR="00995B85" w:rsidRPr="00D562E2" w:rsidRDefault="00995B85" w:rsidP="00DD3BAE">
      <w:pPr>
        <w:widowControl w:val="0"/>
        <w:rPr>
          <w:rFonts w:cs="Arial"/>
          <w:i/>
          <w:vanish/>
          <w:szCs w:val="22"/>
          <w:specVanish/>
        </w:rPr>
      </w:pPr>
      <w:bookmarkStart w:id="611" w:name="_Ref473898769"/>
      <w:bookmarkStart w:id="612" w:name="_Toc37787068"/>
      <w:bookmarkStart w:id="613" w:name="_Toc47600690"/>
      <w:r w:rsidRPr="00D562E2">
        <w:rPr>
          <w:rFonts w:cs="Arial"/>
          <w:szCs w:val="22"/>
        </w:rPr>
        <w:t xml:space="preserve">Table </w:t>
      </w:r>
      <w:r w:rsidR="00C506C7" w:rsidRPr="00D562E2">
        <w:rPr>
          <w:rFonts w:cs="Arial"/>
          <w:noProof/>
          <w:szCs w:val="22"/>
        </w:rPr>
        <w:fldChar w:fldCharType="begin"/>
      </w:r>
      <w:r w:rsidR="00C506C7" w:rsidRPr="00D562E2">
        <w:rPr>
          <w:rFonts w:cs="Arial"/>
          <w:noProof/>
          <w:szCs w:val="22"/>
        </w:rPr>
        <w:instrText xml:space="preserve"> SEQ Table \* ARABIC </w:instrText>
      </w:r>
      <w:r w:rsidR="00C506C7" w:rsidRPr="00D562E2">
        <w:rPr>
          <w:rFonts w:cs="Arial"/>
          <w:noProof/>
          <w:szCs w:val="22"/>
        </w:rPr>
        <w:fldChar w:fldCharType="separate"/>
      </w:r>
      <w:r w:rsidR="0067675D">
        <w:rPr>
          <w:rFonts w:cs="Arial"/>
          <w:noProof/>
          <w:szCs w:val="22"/>
        </w:rPr>
        <w:t>16</w:t>
      </w:r>
      <w:r w:rsidR="00C506C7" w:rsidRPr="00D562E2">
        <w:rPr>
          <w:rFonts w:cs="Arial"/>
          <w:noProof/>
          <w:szCs w:val="22"/>
        </w:rPr>
        <w:fldChar w:fldCharType="end"/>
      </w:r>
      <w:bookmarkEnd w:id="611"/>
      <w:r w:rsidRPr="00D562E2">
        <w:rPr>
          <w:rFonts w:cs="Arial"/>
          <w:szCs w:val="22"/>
        </w:rPr>
        <w:t xml:space="preserve">. </w:t>
      </w:r>
      <w:r w:rsidRPr="00D562E2">
        <w:rPr>
          <w:rFonts w:cs="Arial"/>
          <w:i/>
          <w:szCs w:val="22"/>
        </w:rPr>
        <w:t xml:space="preserve">List of data sources of seagrass and environmental condition indicators for each seagrass habitat type in the </w:t>
      </w:r>
      <w:r w:rsidR="00B72AC4">
        <w:rPr>
          <w:rFonts w:cs="Arial"/>
          <w:i/>
          <w:szCs w:val="22"/>
        </w:rPr>
        <w:t>Burnett–Mary</w:t>
      </w:r>
      <w:r w:rsidRPr="00D562E2">
        <w:rPr>
          <w:rFonts w:cs="Arial"/>
          <w:i/>
          <w:szCs w:val="22"/>
        </w:rPr>
        <w:t xml:space="preserve"> NRM region.</w:t>
      </w:r>
      <w:bookmarkEnd w:id="612"/>
      <w:bookmarkEnd w:id="613"/>
      <w:r w:rsidRPr="00D562E2">
        <w:rPr>
          <w:rFonts w:cs="Arial"/>
          <w:i/>
          <w:vanish/>
          <w:szCs w:val="22"/>
          <w:specVanish/>
        </w:rPr>
        <w:t xml:space="preserve"> </w:t>
      </w:r>
    </w:p>
    <w:p w14:paraId="699D2EFF" w14:textId="5CE7F154" w:rsidR="00995B85" w:rsidRPr="00D562E2" w:rsidRDefault="00995B85" w:rsidP="00DD3BAE">
      <w:pPr>
        <w:rPr>
          <w:rFonts w:cs="Arial"/>
          <w:i/>
          <w:color w:val="000000"/>
          <w:szCs w:val="22"/>
        </w:rPr>
      </w:pPr>
      <w:r w:rsidRPr="00D562E2">
        <w:rPr>
          <w:rFonts w:cs="Arial"/>
          <w:i/>
          <w:szCs w:val="22"/>
        </w:rPr>
        <w:t xml:space="preserve"> For site details see </w:t>
      </w:r>
      <w:r w:rsidRPr="00D562E2">
        <w:rPr>
          <w:rFonts w:cs="Arial"/>
          <w:i/>
          <w:szCs w:val="22"/>
        </w:rPr>
        <w:fldChar w:fldCharType="begin"/>
      </w:r>
      <w:r w:rsidRPr="00D562E2">
        <w:rPr>
          <w:rFonts w:cs="Arial"/>
          <w:i/>
          <w:szCs w:val="22"/>
        </w:rPr>
        <w:instrText xml:space="preserve"> REF _Ref236539751 \h  \* MERGEFORMAT </w:instrText>
      </w:r>
      <w:r w:rsidRPr="00D562E2">
        <w:rPr>
          <w:rFonts w:cs="Arial"/>
          <w:i/>
          <w:szCs w:val="22"/>
        </w:rPr>
      </w:r>
      <w:r w:rsidRPr="00D562E2">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2</w:t>
      </w:r>
      <w:r w:rsidRPr="00D562E2">
        <w:rPr>
          <w:rFonts w:cs="Arial"/>
          <w:i/>
          <w:szCs w:val="22"/>
        </w:rPr>
        <w:fldChar w:fldCharType="end"/>
      </w:r>
      <w:r w:rsidRPr="00D562E2">
        <w:rPr>
          <w:rFonts w:cs="Arial"/>
          <w:i/>
          <w:szCs w:val="22"/>
        </w:rPr>
        <w:t xml:space="preserve"> and </w:t>
      </w:r>
      <w:r w:rsidRPr="00D562E2">
        <w:rPr>
          <w:rFonts w:cs="Arial"/>
          <w:i/>
          <w:szCs w:val="22"/>
        </w:rPr>
        <w:fldChar w:fldCharType="begin"/>
      </w:r>
      <w:r w:rsidRPr="00D562E2">
        <w:rPr>
          <w:rFonts w:cs="Arial"/>
          <w:i/>
          <w:szCs w:val="22"/>
        </w:rPr>
        <w:instrText xml:space="preserve"> REF _Ref461186562 \h  \* MERGEFORMAT </w:instrText>
      </w:r>
      <w:r w:rsidRPr="00D562E2">
        <w:rPr>
          <w:rFonts w:cs="Arial"/>
          <w:i/>
          <w:szCs w:val="22"/>
        </w:rPr>
      </w:r>
      <w:r w:rsidRPr="00D562E2">
        <w:rPr>
          <w:rFonts w:cs="Arial"/>
          <w:i/>
          <w:szCs w:val="22"/>
        </w:rPr>
        <w:fldChar w:fldCharType="separate"/>
      </w:r>
      <w:r w:rsidR="0067675D" w:rsidRPr="0067675D">
        <w:rPr>
          <w:rFonts w:cs="Arial"/>
          <w:i/>
          <w:color w:val="000000"/>
          <w:szCs w:val="22"/>
        </w:rPr>
        <w:t xml:space="preserve">Table </w:t>
      </w:r>
      <w:r w:rsidR="0067675D" w:rsidRPr="0067675D">
        <w:rPr>
          <w:rFonts w:cs="Arial"/>
          <w:i/>
          <w:noProof/>
          <w:color w:val="000000"/>
          <w:szCs w:val="22"/>
        </w:rPr>
        <w:t>3</w:t>
      </w:r>
      <w:r w:rsidRPr="00D562E2">
        <w:rPr>
          <w:rFonts w:cs="Arial"/>
          <w:i/>
          <w:szCs w:val="22"/>
        </w:rPr>
        <w:fldChar w:fldCharType="end"/>
      </w:r>
      <w:r w:rsidRPr="00D562E2">
        <w:rPr>
          <w:rFonts w:cs="Arial"/>
          <w:i/>
          <w:szCs w:val="22"/>
        </w:rPr>
        <w:t>.</w:t>
      </w:r>
    </w:p>
    <w:tbl>
      <w:tblPr>
        <w:tblW w:w="7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674"/>
        <w:gridCol w:w="1483"/>
        <w:gridCol w:w="473"/>
        <w:gridCol w:w="473"/>
        <w:gridCol w:w="473"/>
        <w:gridCol w:w="473"/>
        <w:gridCol w:w="473"/>
        <w:gridCol w:w="473"/>
        <w:gridCol w:w="473"/>
        <w:gridCol w:w="473"/>
      </w:tblGrid>
      <w:tr w:rsidR="00995B85" w:rsidRPr="00DB1ACE" w14:paraId="39A149CF" w14:textId="77777777" w:rsidTr="005F11C1">
        <w:trPr>
          <w:cantSplit/>
          <w:trHeight w:val="2375"/>
          <w:jc w:val="center"/>
        </w:trPr>
        <w:tc>
          <w:tcPr>
            <w:tcW w:w="1666" w:type="dxa"/>
            <w:shd w:val="clear" w:color="auto" w:fill="BBE0E3"/>
            <w:vAlign w:val="center"/>
          </w:tcPr>
          <w:p w14:paraId="4E20D04A" w14:textId="77777777" w:rsidR="00995B85" w:rsidRPr="00DB1ACE" w:rsidRDefault="00995B85" w:rsidP="00B8623B">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Habitat</w:t>
            </w:r>
          </w:p>
        </w:tc>
        <w:tc>
          <w:tcPr>
            <w:tcW w:w="2157" w:type="dxa"/>
            <w:gridSpan w:val="2"/>
            <w:shd w:val="clear" w:color="auto" w:fill="BBE0E3"/>
            <w:noWrap/>
            <w:vAlign w:val="center"/>
          </w:tcPr>
          <w:p w14:paraId="5BE3970D" w14:textId="77777777" w:rsidR="00995B85" w:rsidRPr="00DB1ACE" w:rsidRDefault="00995B85" w:rsidP="00B8623B">
            <w:pPr>
              <w:spacing w:before="0" w:after="0"/>
              <w:jc w:val="center"/>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Site</w:t>
            </w:r>
          </w:p>
        </w:tc>
        <w:tc>
          <w:tcPr>
            <w:tcW w:w="473" w:type="dxa"/>
            <w:shd w:val="clear" w:color="auto" w:fill="BBE0E3"/>
            <w:textDirection w:val="btLr"/>
            <w:vAlign w:val="center"/>
          </w:tcPr>
          <w:p w14:paraId="4526A457" w14:textId="77777777" w:rsidR="00995B85" w:rsidRPr="00DB1ACE" w:rsidRDefault="00995B85" w:rsidP="00B8623B">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abundance</w:t>
            </w:r>
          </w:p>
        </w:tc>
        <w:tc>
          <w:tcPr>
            <w:tcW w:w="473" w:type="dxa"/>
            <w:shd w:val="clear" w:color="auto" w:fill="BBE0E3"/>
            <w:textDirection w:val="btLr"/>
            <w:vAlign w:val="center"/>
          </w:tcPr>
          <w:p w14:paraId="767B768B" w14:textId="77777777" w:rsidR="00995B85" w:rsidRPr="00DB1ACE" w:rsidRDefault="00995B85" w:rsidP="00B8623B">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 xml:space="preserve">composition </w:t>
            </w:r>
          </w:p>
        </w:tc>
        <w:tc>
          <w:tcPr>
            <w:tcW w:w="473" w:type="dxa"/>
            <w:shd w:val="clear" w:color="auto" w:fill="BBE0E3"/>
            <w:textDirection w:val="btLr"/>
            <w:vAlign w:val="center"/>
          </w:tcPr>
          <w:p w14:paraId="797FA3A2" w14:textId="77777777" w:rsidR="00995B85" w:rsidRPr="00DB1ACE" w:rsidRDefault="00995B85" w:rsidP="00B8623B">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distribution</w:t>
            </w:r>
          </w:p>
        </w:tc>
        <w:tc>
          <w:tcPr>
            <w:tcW w:w="473" w:type="dxa"/>
            <w:shd w:val="clear" w:color="auto" w:fill="BBE0E3"/>
            <w:textDirection w:val="btLr"/>
            <w:vAlign w:val="center"/>
          </w:tcPr>
          <w:p w14:paraId="30B588D8" w14:textId="2E7CA8DB" w:rsidR="00995B85" w:rsidRPr="00DB1ACE" w:rsidRDefault="00D562E2" w:rsidP="00B8623B">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r</w:t>
            </w:r>
            <w:r w:rsidR="00995B85" w:rsidRPr="00DB1ACE">
              <w:rPr>
                <w:rFonts w:asciiTheme="minorHAnsi" w:hAnsiTheme="minorHAnsi" w:cstheme="minorHAnsi"/>
                <w:b/>
                <w:bCs/>
                <w:color w:val="000000"/>
                <w:sz w:val="20"/>
                <w:szCs w:val="20"/>
              </w:rPr>
              <w:t>eproductive effort</w:t>
            </w:r>
          </w:p>
        </w:tc>
        <w:tc>
          <w:tcPr>
            <w:tcW w:w="473" w:type="dxa"/>
            <w:shd w:val="clear" w:color="auto" w:fill="BBE0E3"/>
            <w:textDirection w:val="btLr"/>
            <w:vAlign w:val="center"/>
          </w:tcPr>
          <w:p w14:paraId="3F4F9E36" w14:textId="77777777" w:rsidR="00995B85" w:rsidRPr="00DB1ACE" w:rsidRDefault="00995B85" w:rsidP="00B8623B">
            <w:pPr>
              <w:spacing w:before="0" w:after="0"/>
              <w:ind w:left="57"/>
              <w:rPr>
                <w:rFonts w:asciiTheme="minorHAnsi" w:hAnsiTheme="minorHAnsi" w:cstheme="minorHAnsi"/>
                <w:b/>
                <w:bCs/>
                <w:color w:val="000000"/>
                <w:sz w:val="20"/>
                <w:szCs w:val="20"/>
              </w:rPr>
            </w:pPr>
            <w:r w:rsidRPr="00DB1ACE">
              <w:rPr>
                <w:rFonts w:asciiTheme="minorHAnsi" w:hAnsiTheme="minorHAnsi" w:cstheme="minorHAnsi"/>
                <w:b/>
                <w:bCs/>
                <w:color w:val="000000"/>
                <w:sz w:val="20"/>
                <w:szCs w:val="20"/>
              </w:rPr>
              <w:t>seed banks</w:t>
            </w:r>
          </w:p>
        </w:tc>
        <w:tc>
          <w:tcPr>
            <w:tcW w:w="473" w:type="dxa"/>
            <w:shd w:val="clear" w:color="auto" w:fill="BBE0E3"/>
            <w:textDirection w:val="btLr"/>
            <w:vAlign w:val="center"/>
          </w:tcPr>
          <w:p w14:paraId="6C754BFD" w14:textId="433B9B24" w:rsidR="00995B85" w:rsidRPr="00DB1ACE" w:rsidRDefault="00D562E2" w:rsidP="00B8623B">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l</w:t>
            </w:r>
            <w:r w:rsidR="00995B85" w:rsidRPr="00DB1ACE">
              <w:rPr>
                <w:rFonts w:asciiTheme="minorHAnsi" w:hAnsiTheme="minorHAnsi" w:cstheme="minorHAnsi"/>
                <w:b/>
                <w:bCs/>
                <w:color w:val="000000"/>
                <w:sz w:val="20"/>
                <w:szCs w:val="20"/>
              </w:rPr>
              <w:t>eaf tissue nutrients</w:t>
            </w:r>
          </w:p>
        </w:tc>
        <w:tc>
          <w:tcPr>
            <w:tcW w:w="473" w:type="dxa"/>
            <w:shd w:val="clear" w:color="auto" w:fill="BBE0E3"/>
            <w:textDirection w:val="btLr"/>
            <w:vAlign w:val="center"/>
          </w:tcPr>
          <w:p w14:paraId="6AF128F6" w14:textId="3F942A7D" w:rsidR="00995B85" w:rsidRPr="00DB1ACE" w:rsidRDefault="00D562E2" w:rsidP="00B8623B">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m</w:t>
            </w:r>
            <w:r w:rsidR="00995B85" w:rsidRPr="00DB1ACE">
              <w:rPr>
                <w:rFonts w:asciiTheme="minorHAnsi" w:hAnsiTheme="minorHAnsi" w:cstheme="minorHAnsi"/>
                <w:b/>
                <w:bCs/>
                <w:color w:val="000000"/>
                <w:sz w:val="20"/>
                <w:szCs w:val="20"/>
              </w:rPr>
              <w:t>eadow sediments</w:t>
            </w:r>
          </w:p>
        </w:tc>
        <w:tc>
          <w:tcPr>
            <w:tcW w:w="473" w:type="dxa"/>
            <w:shd w:val="clear" w:color="auto" w:fill="BBE0E3"/>
            <w:textDirection w:val="btLr"/>
            <w:vAlign w:val="center"/>
          </w:tcPr>
          <w:p w14:paraId="40BD4F8A" w14:textId="366B78C0" w:rsidR="00995B85" w:rsidRPr="00DB1ACE" w:rsidRDefault="00D562E2" w:rsidP="00B8623B">
            <w:pPr>
              <w:spacing w:before="0" w:after="0"/>
              <w:ind w:left="57"/>
              <w:rPr>
                <w:rFonts w:asciiTheme="minorHAnsi" w:hAnsiTheme="minorHAnsi" w:cstheme="minorHAnsi"/>
                <w:b/>
                <w:bCs/>
                <w:color w:val="000000"/>
                <w:sz w:val="20"/>
                <w:szCs w:val="20"/>
              </w:rPr>
            </w:pPr>
            <w:r>
              <w:rPr>
                <w:rFonts w:asciiTheme="minorHAnsi" w:hAnsiTheme="minorHAnsi" w:cstheme="minorHAnsi"/>
                <w:b/>
                <w:bCs/>
                <w:color w:val="000000"/>
                <w:sz w:val="20"/>
                <w:szCs w:val="20"/>
              </w:rPr>
              <w:t>e</w:t>
            </w:r>
            <w:r w:rsidR="00995B85" w:rsidRPr="00DB1ACE">
              <w:rPr>
                <w:rFonts w:asciiTheme="minorHAnsi" w:hAnsiTheme="minorHAnsi" w:cstheme="minorHAnsi"/>
                <w:b/>
                <w:bCs/>
                <w:color w:val="000000"/>
                <w:sz w:val="20"/>
                <w:szCs w:val="20"/>
              </w:rPr>
              <w:t>piphytes &amp; macroalgae</w:t>
            </w:r>
          </w:p>
        </w:tc>
      </w:tr>
      <w:tr w:rsidR="00995B85" w:rsidRPr="00DB1ACE" w14:paraId="340065BE" w14:textId="77777777" w:rsidTr="005F11C1">
        <w:trPr>
          <w:trHeight w:val="170"/>
          <w:jc w:val="center"/>
        </w:trPr>
        <w:tc>
          <w:tcPr>
            <w:tcW w:w="1666" w:type="dxa"/>
            <w:vMerge w:val="restart"/>
            <w:shd w:val="clear" w:color="auto" w:fill="E7F3F4"/>
            <w:vAlign w:val="center"/>
          </w:tcPr>
          <w:p w14:paraId="7B995A85"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estuary intertidal</w:t>
            </w:r>
          </w:p>
        </w:tc>
        <w:tc>
          <w:tcPr>
            <w:tcW w:w="674" w:type="dxa"/>
            <w:shd w:val="clear" w:color="auto" w:fill="E7F3F4"/>
            <w:noWrap/>
            <w:vAlign w:val="center"/>
          </w:tcPr>
          <w:p w14:paraId="453295BB" w14:textId="77777777" w:rsidR="00995B85" w:rsidRPr="00DB1ACE" w:rsidRDefault="00995B85" w:rsidP="00B8623B">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RD1</w:t>
            </w:r>
          </w:p>
        </w:tc>
        <w:tc>
          <w:tcPr>
            <w:tcW w:w="1483" w:type="dxa"/>
            <w:shd w:val="clear" w:color="auto" w:fill="E7F3F4"/>
            <w:noWrap/>
            <w:vAlign w:val="center"/>
          </w:tcPr>
          <w:p w14:paraId="40A6F2B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Rodds Bay</w:t>
            </w:r>
          </w:p>
        </w:tc>
        <w:tc>
          <w:tcPr>
            <w:tcW w:w="473" w:type="dxa"/>
            <w:shd w:val="clear" w:color="auto" w:fill="E7F3F4"/>
            <w:vAlign w:val="center"/>
          </w:tcPr>
          <w:p w14:paraId="5FB915E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A8A92E4"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1132095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479D70F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7E03F1E5"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7863DE8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2A5D5A2E"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A596EE6"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995B85" w:rsidRPr="00DB1ACE" w14:paraId="41EA5389" w14:textId="77777777" w:rsidTr="005F11C1">
        <w:trPr>
          <w:trHeight w:val="170"/>
          <w:jc w:val="center"/>
        </w:trPr>
        <w:tc>
          <w:tcPr>
            <w:tcW w:w="1666" w:type="dxa"/>
            <w:vMerge/>
            <w:shd w:val="clear" w:color="auto" w:fill="E7F3F4"/>
            <w:vAlign w:val="center"/>
          </w:tcPr>
          <w:p w14:paraId="0E4BEAFD" w14:textId="77777777" w:rsidR="00995B85" w:rsidRPr="00DB1ACE" w:rsidRDefault="00995B85" w:rsidP="00B8623B">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1182B1E5" w14:textId="77777777" w:rsidR="00995B85" w:rsidRPr="00DB1ACE" w:rsidRDefault="00995B85" w:rsidP="00B8623B">
            <w:pPr>
              <w:spacing w:before="0" w:after="0"/>
              <w:jc w:val="center"/>
              <w:rPr>
                <w:rFonts w:asciiTheme="minorHAnsi" w:hAnsiTheme="minorHAnsi" w:cstheme="minorHAnsi"/>
                <w:iCs/>
                <w:color w:val="000000"/>
                <w:sz w:val="20"/>
                <w:szCs w:val="20"/>
              </w:rPr>
            </w:pPr>
            <w:r w:rsidRPr="00DB1ACE">
              <w:rPr>
                <w:rFonts w:asciiTheme="minorHAnsi" w:hAnsiTheme="minorHAnsi" w:cstheme="minorHAnsi"/>
                <w:iCs/>
                <w:color w:val="000000"/>
                <w:sz w:val="20"/>
                <w:szCs w:val="20"/>
              </w:rPr>
              <w:t>RD2</w:t>
            </w:r>
          </w:p>
        </w:tc>
        <w:tc>
          <w:tcPr>
            <w:tcW w:w="1483" w:type="dxa"/>
            <w:shd w:val="clear" w:color="auto" w:fill="E7F3F4"/>
            <w:noWrap/>
            <w:vAlign w:val="center"/>
          </w:tcPr>
          <w:p w14:paraId="5DEF6AB1"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Rodds Bay</w:t>
            </w:r>
          </w:p>
        </w:tc>
        <w:tc>
          <w:tcPr>
            <w:tcW w:w="473" w:type="dxa"/>
            <w:shd w:val="clear" w:color="auto" w:fill="E7F3F4"/>
            <w:vAlign w:val="center"/>
          </w:tcPr>
          <w:p w14:paraId="44DCF39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6B7A129D"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45290FA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34AC5B2"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768F2ECE"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6E03795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1651E23C"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E60C82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995B85" w:rsidRPr="00DB1ACE" w14:paraId="65EEEC0B" w14:textId="77777777" w:rsidTr="005F11C1">
        <w:trPr>
          <w:trHeight w:val="170"/>
          <w:jc w:val="center"/>
        </w:trPr>
        <w:tc>
          <w:tcPr>
            <w:tcW w:w="1666" w:type="dxa"/>
            <w:vMerge/>
            <w:shd w:val="clear" w:color="auto" w:fill="E7F3F4"/>
            <w:vAlign w:val="center"/>
          </w:tcPr>
          <w:p w14:paraId="5593756D" w14:textId="77777777" w:rsidR="00995B85" w:rsidRPr="00DB1ACE" w:rsidRDefault="00995B85" w:rsidP="00B8623B">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150CBB74"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UG1</w:t>
            </w:r>
          </w:p>
        </w:tc>
        <w:tc>
          <w:tcPr>
            <w:tcW w:w="1483" w:type="dxa"/>
            <w:shd w:val="clear" w:color="auto" w:fill="E7F3F4"/>
            <w:noWrap/>
            <w:vAlign w:val="center"/>
          </w:tcPr>
          <w:p w14:paraId="2480175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Urangan</w:t>
            </w:r>
          </w:p>
        </w:tc>
        <w:tc>
          <w:tcPr>
            <w:tcW w:w="473" w:type="dxa"/>
            <w:shd w:val="clear" w:color="auto" w:fill="E7F3F4"/>
            <w:vAlign w:val="center"/>
          </w:tcPr>
          <w:p w14:paraId="610C92BD"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3A663B98"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7F09156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1A85F7F1"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208599F7"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4070622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3272990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7165B573"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995B85" w:rsidRPr="00DB1ACE" w14:paraId="61D58D35" w14:textId="77777777" w:rsidTr="005F11C1">
        <w:trPr>
          <w:trHeight w:val="170"/>
          <w:jc w:val="center"/>
        </w:trPr>
        <w:tc>
          <w:tcPr>
            <w:tcW w:w="1666" w:type="dxa"/>
            <w:vMerge/>
            <w:shd w:val="clear" w:color="auto" w:fill="E7F3F4"/>
            <w:vAlign w:val="center"/>
          </w:tcPr>
          <w:p w14:paraId="19E25829" w14:textId="77777777" w:rsidR="00995B85" w:rsidRPr="00DB1ACE" w:rsidRDefault="00995B85" w:rsidP="00B8623B">
            <w:pPr>
              <w:spacing w:before="0" w:after="0"/>
              <w:jc w:val="center"/>
              <w:rPr>
                <w:rFonts w:asciiTheme="minorHAnsi" w:hAnsiTheme="minorHAnsi" w:cstheme="minorHAnsi"/>
                <w:color w:val="000000"/>
                <w:sz w:val="20"/>
                <w:szCs w:val="20"/>
              </w:rPr>
            </w:pPr>
          </w:p>
        </w:tc>
        <w:tc>
          <w:tcPr>
            <w:tcW w:w="674" w:type="dxa"/>
            <w:shd w:val="clear" w:color="auto" w:fill="E7F3F4"/>
            <w:noWrap/>
            <w:vAlign w:val="center"/>
          </w:tcPr>
          <w:p w14:paraId="1B5CE188"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UG2</w:t>
            </w:r>
          </w:p>
        </w:tc>
        <w:tc>
          <w:tcPr>
            <w:tcW w:w="1483" w:type="dxa"/>
            <w:shd w:val="clear" w:color="auto" w:fill="E7F3F4"/>
            <w:noWrap/>
            <w:vAlign w:val="center"/>
          </w:tcPr>
          <w:p w14:paraId="5544E091"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Urangan</w:t>
            </w:r>
          </w:p>
        </w:tc>
        <w:tc>
          <w:tcPr>
            <w:tcW w:w="473" w:type="dxa"/>
            <w:shd w:val="clear" w:color="auto" w:fill="E7F3F4"/>
            <w:vAlign w:val="center"/>
          </w:tcPr>
          <w:p w14:paraId="4E68036D"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075843E5"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60314CC1"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E5A7A87"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501B74E5"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48604597"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305A87E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E7F3F4"/>
            <w:vAlign w:val="center"/>
          </w:tcPr>
          <w:p w14:paraId="1C1B63EF"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995B85" w:rsidRPr="00DB1ACE" w14:paraId="73EE8834" w14:textId="77777777" w:rsidTr="005F11C1">
        <w:trPr>
          <w:trHeight w:val="170"/>
          <w:jc w:val="center"/>
        </w:trPr>
        <w:tc>
          <w:tcPr>
            <w:tcW w:w="1666" w:type="dxa"/>
            <w:vMerge w:val="restart"/>
            <w:shd w:val="clear" w:color="auto" w:fill="F3F9FA"/>
            <w:vAlign w:val="center"/>
          </w:tcPr>
          <w:p w14:paraId="58970BBC" w14:textId="4296F00F"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 xml:space="preserve">coastal </w:t>
            </w:r>
            <w:r w:rsidR="00FD58A8" w:rsidRPr="00DB1ACE">
              <w:rPr>
                <w:rFonts w:asciiTheme="minorHAnsi" w:hAnsiTheme="minorHAnsi" w:cstheme="minorHAnsi"/>
                <w:color w:val="000000"/>
                <w:sz w:val="20"/>
                <w:szCs w:val="20"/>
              </w:rPr>
              <w:t>intertidal</w:t>
            </w:r>
          </w:p>
        </w:tc>
        <w:tc>
          <w:tcPr>
            <w:tcW w:w="674" w:type="dxa"/>
            <w:shd w:val="clear" w:color="auto" w:fill="F3F9FA"/>
            <w:noWrap/>
            <w:vAlign w:val="center"/>
          </w:tcPr>
          <w:p w14:paraId="35AA1133" w14:textId="60C5E699"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BH1</w:t>
            </w:r>
          </w:p>
        </w:tc>
        <w:tc>
          <w:tcPr>
            <w:tcW w:w="1483" w:type="dxa"/>
            <w:shd w:val="clear" w:color="auto" w:fill="F3F9FA"/>
            <w:noWrap/>
            <w:vAlign w:val="center"/>
          </w:tcPr>
          <w:p w14:paraId="5862AC9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Burrum Heads</w:t>
            </w:r>
          </w:p>
        </w:tc>
        <w:tc>
          <w:tcPr>
            <w:tcW w:w="473" w:type="dxa"/>
            <w:shd w:val="clear" w:color="auto" w:fill="F3F9FA"/>
            <w:vAlign w:val="center"/>
          </w:tcPr>
          <w:p w14:paraId="5C8304C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295A1DEE"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013B07AF" w14:textId="11F2D156"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50A27E58" w14:textId="0E1D73D1"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04D5D18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19D4325D" w14:textId="22ECBC72"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7C9CD91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28418094"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r w:rsidR="00995B85" w:rsidRPr="00DB1ACE" w14:paraId="0D115BDA" w14:textId="77777777" w:rsidTr="005F11C1">
        <w:trPr>
          <w:trHeight w:val="170"/>
          <w:jc w:val="center"/>
        </w:trPr>
        <w:tc>
          <w:tcPr>
            <w:tcW w:w="1666" w:type="dxa"/>
            <w:vMerge/>
            <w:shd w:val="clear" w:color="auto" w:fill="F3F9FA"/>
            <w:vAlign w:val="center"/>
          </w:tcPr>
          <w:p w14:paraId="20EC15F3" w14:textId="77777777" w:rsidR="00995B85" w:rsidRPr="00DB1ACE" w:rsidRDefault="00995B85" w:rsidP="00B8623B">
            <w:pPr>
              <w:spacing w:before="0" w:after="0"/>
              <w:jc w:val="center"/>
              <w:rPr>
                <w:rFonts w:asciiTheme="minorHAnsi" w:hAnsiTheme="minorHAnsi" w:cstheme="minorHAnsi"/>
                <w:color w:val="000000"/>
                <w:sz w:val="20"/>
                <w:szCs w:val="20"/>
              </w:rPr>
            </w:pPr>
          </w:p>
        </w:tc>
        <w:tc>
          <w:tcPr>
            <w:tcW w:w="674" w:type="dxa"/>
            <w:shd w:val="clear" w:color="auto" w:fill="F3F9FA"/>
            <w:noWrap/>
            <w:vAlign w:val="center"/>
          </w:tcPr>
          <w:p w14:paraId="1C12C3DA" w14:textId="223BD6CD"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BH3</w:t>
            </w:r>
          </w:p>
        </w:tc>
        <w:tc>
          <w:tcPr>
            <w:tcW w:w="1483" w:type="dxa"/>
            <w:shd w:val="clear" w:color="auto" w:fill="F3F9FA"/>
            <w:noWrap/>
            <w:vAlign w:val="center"/>
          </w:tcPr>
          <w:p w14:paraId="16F03AFE"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t>Burrum Heads</w:t>
            </w:r>
          </w:p>
        </w:tc>
        <w:tc>
          <w:tcPr>
            <w:tcW w:w="473" w:type="dxa"/>
            <w:shd w:val="clear" w:color="auto" w:fill="F3F9FA"/>
            <w:vAlign w:val="center"/>
          </w:tcPr>
          <w:p w14:paraId="1913EFF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2CEA0B2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29BAE65C" w14:textId="2B559AB9"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02240F53" w14:textId="1AF0CCC7"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3C6C8399"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2A015103" w14:textId="6F062632" w:rsidR="00995B85" w:rsidRPr="00DB1ACE" w:rsidRDefault="00A72A98"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0F8DB510"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c>
          <w:tcPr>
            <w:tcW w:w="473" w:type="dxa"/>
            <w:shd w:val="clear" w:color="auto" w:fill="F3F9FA"/>
            <w:vAlign w:val="center"/>
          </w:tcPr>
          <w:p w14:paraId="4A67D98A" w14:textId="77777777" w:rsidR="00995B85" w:rsidRPr="00DB1ACE" w:rsidRDefault="00995B85" w:rsidP="00B8623B">
            <w:pPr>
              <w:spacing w:before="0" w:after="0"/>
              <w:jc w:val="center"/>
              <w:rPr>
                <w:rFonts w:asciiTheme="minorHAnsi" w:hAnsiTheme="minorHAnsi" w:cstheme="minorHAnsi"/>
                <w:color w:val="000000"/>
                <w:sz w:val="20"/>
                <w:szCs w:val="20"/>
              </w:rPr>
            </w:pPr>
            <w:r w:rsidRPr="00DB1ACE">
              <w:rPr>
                <w:rFonts w:asciiTheme="minorHAnsi" w:hAnsiTheme="minorHAnsi" w:cstheme="minorHAnsi"/>
                <w:color w:val="000000"/>
                <w:sz w:val="20"/>
                <w:szCs w:val="20"/>
              </w:rPr>
              <w:sym w:font="Wingdings" w:char="F06E"/>
            </w:r>
          </w:p>
        </w:tc>
      </w:tr>
    </w:tbl>
    <w:p w14:paraId="1F573AD0" w14:textId="6687D0C1" w:rsidR="00364338" w:rsidRPr="00D562E2" w:rsidRDefault="00364338" w:rsidP="008416AD">
      <w:pPr>
        <w:pStyle w:val="Heading4"/>
      </w:pPr>
      <w:bookmarkStart w:id="614" w:name="_Toc37775115"/>
      <w:bookmarkStart w:id="615" w:name="_Toc43987090"/>
      <w:r w:rsidRPr="00D562E2">
        <w:t>Seagrass index and indicator scores</w:t>
      </w:r>
      <w:bookmarkEnd w:id="614"/>
      <w:bookmarkEnd w:id="615"/>
    </w:p>
    <w:p w14:paraId="36B133DA" w14:textId="1170F72A" w:rsidR="00D838CB" w:rsidRPr="00D009B8" w:rsidRDefault="00461F1D" w:rsidP="00D838CB">
      <w:pPr>
        <w:rPr>
          <w:rFonts w:cs="Arial"/>
          <w:szCs w:val="22"/>
          <w:lang w:val="en-GB"/>
        </w:rPr>
      </w:pPr>
      <w:r w:rsidRPr="00D009B8">
        <w:rPr>
          <w:rFonts w:cs="Arial"/>
          <w:szCs w:val="22"/>
          <w:lang w:val="en-GB"/>
        </w:rPr>
        <w:t xml:space="preserve">In the </w:t>
      </w:r>
      <w:r w:rsidR="00956639" w:rsidRPr="00D009B8">
        <w:rPr>
          <w:rFonts w:cs="Arial"/>
          <w:szCs w:val="22"/>
          <w:lang w:val="en-GB"/>
        </w:rPr>
        <w:t>2018–19</w:t>
      </w:r>
      <w:r w:rsidR="00D838CB" w:rsidRPr="00D009B8">
        <w:rPr>
          <w:rFonts w:cs="Arial"/>
          <w:szCs w:val="22"/>
          <w:lang w:val="en-GB"/>
        </w:rPr>
        <w:t xml:space="preserve"> monitoring period, the </w:t>
      </w:r>
      <w:r w:rsidR="00B72AC4">
        <w:rPr>
          <w:rFonts w:cs="Arial"/>
          <w:szCs w:val="22"/>
          <w:lang w:val="en-GB"/>
        </w:rPr>
        <w:t>Burnett–Mary</w:t>
      </w:r>
      <w:r w:rsidR="00D838CB" w:rsidRPr="00D009B8">
        <w:rPr>
          <w:rFonts w:cs="Arial"/>
          <w:szCs w:val="22"/>
          <w:lang w:val="en-GB"/>
        </w:rPr>
        <w:t xml:space="preserve"> region seagrass condition index </w:t>
      </w:r>
      <w:r w:rsidR="00D009B8" w:rsidRPr="00D009B8">
        <w:rPr>
          <w:rFonts w:cs="Arial"/>
          <w:szCs w:val="22"/>
          <w:lang w:val="en-GB"/>
        </w:rPr>
        <w:t xml:space="preserve">increased from very poor to </w:t>
      </w:r>
      <w:r w:rsidR="00D838CB" w:rsidRPr="00D009B8">
        <w:rPr>
          <w:rFonts w:cs="Arial"/>
          <w:szCs w:val="22"/>
          <w:lang w:val="en-GB"/>
        </w:rPr>
        <w:t>a poor grade (</w:t>
      </w:r>
      <w:r w:rsidR="00D838CB" w:rsidRPr="00D009B8">
        <w:rPr>
          <w:rFonts w:cs="Arial"/>
          <w:szCs w:val="22"/>
          <w:lang w:val="en-GB"/>
        </w:rPr>
        <w:fldChar w:fldCharType="begin"/>
      </w:r>
      <w:r w:rsidR="00D838CB" w:rsidRPr="00D009B8">
        <w:rPr>
          <w:rFonts w:cs="Arial"/>
          <w:szCs w:val="22"/>
          <w:lang w:val="en-GB"/>
        </w:rPr>
        <w:instrText xml:space="preserve"> REF _Ref442449961 \h </w:instrText>
      </w:r>
      <w:r w:rsidR="00CB093C" w:rsidRPr="00D009B8">
        <w:rPr>
          <w:rFonts w:cs="Arial"/>
          <w:szCs w:val="22"/>
          <w:lang w:val="en-GB"/>
        </w:rPr>
        <w:instrText xml:space="preserve"> \* MERGEFORMAT </w:instrText>
      </w:r>
      <w:r w:rsidR="00D838CB" w:rsidRPr="00D009B8">
        <w:rPr>
          <w:rFonts w:cs="Arial"/>
          <w:szCs w:val="22"/>
          <w:lang w:val="en-GB"/>
        </w:rPr>
      </w:r>
      <w:r w:rsidR="00D838CB" w:rsidRPr="00D009B8">
        <w:rPr>
          <w:rFonts w:cs="Arial"/>
          <w:szCs w:val="22"/>
          <w:lang w:val="en-GB"/>
        </w:rPr>
        <w:fldChar w:fldCharType="separate"/>
      </w:r>
      <w:r w:rsidR="0067675D" w:rsidRPr="00D562E2">
        <w:rPr>
          <w:rFonts w:cs="Arial"/>
          <w:szCs w:val="22"/>
        </w:rPr>
        <w:t xml:space="preserve">Figure </w:t>
      </w:r>
      <w:r w:rsidR="0067675D">
        <w:rPr>
          <w:rFonts w:cs="Arial"/>
          <w:noProof/>
          <w:szCs w:val="22"/>
        </w:rPr>
        <w:t>81</w:t>
      </w:r>
      <w:r w:rsidR="00D838CB" w:rsidRPr="00D009B8">
        <w:rPr>
          <w:rFonts w:cs="Arial"/>
          <w:szCs w:val="22"/>
          <w:lang w:val="en-GB"/>
        </w:rPr>
        <w:fldChar w:fldCharType="end"/>
      </w:r>
      <w:r w:rsidR="00D838CB" w:rsidRPr="00D009B8">
        <w:rPr>
          <w:rFonts w:cs="Arial"/>
          <w:szCs w:val="22"/>
          <w:lang w:val="en-GB"/>
        </w:rPr>
        <w:t xml:space="preserve">). The </w:t>
      </w:r>
      <w:r w:rsidR="00D009B8" w:rsidRPr="00D009B8">
        <w:rPr>
          <w:rFonts w:cs="Arial"/>
          <w:szCs w:val="22"/>
          <w:lang w:val="en-GB"/>
        </w:rPr>
        <w:t>increase</w:t>
      </w:r>
      <w:r w:rsidR="00B24600" w:rsidRPr="00D009B8">
        <w:rPr>
          <w:rFonts w:cs="Arial"/>
          <w:szCs w:val="22"/>
          <w:lang w:val="en-GB"/>
        </w:rPr>
        <w:t xml:space="preserve"> </w:t>
      </w:r>
      <w:r w:rsidR="005173D2" w:rsidRPr="00D009B8">
        <w:rPr>
          <w:rFonts w:cs="Arial"/>
          <w:szCs w:val="22"/>
          <w:lang w:val="en-GB"/>
        </w:rPr>
        <w:t>this year</w:t>
      </w:r>
      <w:r w:rsidR="00B24600" w:rsidRPr="00D009B8">
        <w:rPr>
          <w:rFonts w:cs="Arial"/>
          <w:szCs w:val="22"/>
          <w:lang w:val="en-GB"/>
        </w:rPr>
        <w:t xml:space="preserve"> </w:t>
      </w:r>
      <w:r w:rsidR="009D6E29" w:rsidRPr="00D009B8">
        <w:rPr>
          <w:rFonts w:cs="Arial"/>
          <w:szCs w:val="22"/>
          <w:lang w:val="en-GB"/>
        </w:rPr>
        <w:t>follows</w:t>
      </w:r>
      <w:r w:rsidR="00B24600" w:rsidRPr="00D009B8">
        <w:rPr>
          <w:rFonts w:cs="Arial"/>
          <w:szCs w:val="22"/>
          <w:lang w:val="en-GB"/>
        </w:rPr>
        <w:t xml:space="preserve"> </w:t>
      </w:r>
      <w:r w:rsidR="00D009B8" w:rsidRPr="00D009B8">
        <w:rPr>
          <w:rFonts w:cs="Arial"/>
          <w:szCs w:val="22"/>
          <w:lang w:val="en-GB"/>
        </w:rPr>
        <w:t xml:space="preserve">two years of </w:t>
      </w:r>
      <w:r w:rsidR="00B24600" w:rsidRPr="00D009B8">
        <w:rPr>
          <w:rFonts w:cs="Arial"/>
          <w:szCs w:val="22"/>
          <w:lang w:val="en-GB"/>
        </w:rPr>
        <w:t xml:space="preserve">decline </w:t>
      </w:r>
      <w:r w:rsidR="00D009B8" w:rsidRPr="00D009B8">
        <w:rPr>
          <w:rFonts w:cs="Arial"/>
          <w:szCs w:val="22"/>
          <w:lang w:val="en-GB"/>
        </w:rPr>
        <w:t xml:space="preserve">since the seagrass index peaked in 2015–2016, </w:t>
      </w:r>
      <w:r w:rsidR="00B24600" w:rsidRPr="00D009B8">
        <w:rPr>
          <w:rFonts w:cs="Arial"/>
          <w:szCs w:val="22"/>
          <w:lang w:val="en-GB"/>
        </w:rPr>
        <w:t xml:space="preserve">predominately driven by declining </w:t>
      </w:r>
      <w:r w:rsidR="009D6E29" w:rsidRPr="00D009B8">
        <w:rPr>
          <w:rFonts w:cs="Arial"/>
          <w:szCs w:val="22"/>
          <w:lang w:val="en-GB"/>
        </w:rPr>
        <w:t xml:space="preserve">nutrient status and very low </w:t>
      </w:r>
      <w:r w:rsidR="00B24600" w:rsidRPr="00D009B8">
        <w:rPr>
          <w:rFonts w:cs="Arial"/>
          <w:szCs w:val="22"/>
          <w:lang w:val="en-GB"/>
        </w:rPr>
        <w:t>reproductive effort (</w:t>
      </w:r>
      <w:r w:rsidR="00B24600" w:rsidRPr="00D009B8">
        <w:rPr>
          <w:rFonts w:cs="Arial"/>
          <w:szCs w:val="22"/>
          <w:lang w:val="en-GB"/>
        </w:rPr>
        <w:fldChar w:fldCharType="begin"/>
      </w:r>
      <w:r w:rsidR="00B24600" w:rsidRPr="00D009B8">
        <w:rPr>
          <w:rFonts w:cs="Arial"/>
          <w:szCs w:val="22"/>
          <w:lang w:val="en-GB"/>
        </w:rPr>
        <w:instrText xml:space="preserve"> REF _Ref442449961 \h </w:instrText>
      </w:r>
      <w:r w:rsidR="00CB093C" w:rsidRPr="00D009B8">
        <w:rPr>
          <w:rFonts w:cs="Arial"/>
          <w:szCs w:val="22"/>
          <w:lang w:val="en-GB"/>
        </w:rPr>
        <w:instrText xml:space="preserve"> \* MERGEFORMAT </w:instrText>
      </w:r>
      <w:r w:rsidR="00B24600" w:rsidRPr="00D009B8">
        <w:rPr>
          <w:rFonts w:cs="Arial"/>
          <w:szCs w:val="22"/>
          <w:lang w:val="en-GB"/>
        </w:rPr>
      </w:r>
      <w:r w:rsidR="00B24600" w:rsidRPr="00D009B8">
        <w:rPr>
          <w:rFonts w:cs="Arial"/>
          <w:szCs w:val="22"/>
          <w:lang w:val="en-GB"/>
        </w:rPr>
        <w:fldChar w:fldCharType="separate"/>
      </w:r>
      <w:r w:rsidR="0067675D" w:rsidRPr="00D562E2">
        <w:rPr>
          <w:rFonts w:cs="Arial"/>
          <w:szCs w:val="22"/>
        </w:rPr>
        <w:t xml:space="preserve">Figure </w:t>
      </w:r>
      <w:r w:rsidR="0067675D">
        <w:rPr>
          <w:rFonts w:cs="Arial"/>
          <w:noProof/>
          <w:szCs w:val="22"/>
        </w:rPr>
        <w:t>81</w:t>
      </w:r>
      <w:r w:rsidR="00B24600" w:rsidRPr="00D009B8">
        <w:rPr>
          <w:rFonts w:cs="Arial"/>
          <w:szCs w:val="22"/>
          <w:lang w:val="en-GB"/>
        </w:rPr>
        <w:fldChar w:fldCharType="end"/>
      </w:r>
      <w:r w:rsidR="00B24600" w:rsidRPr="00D009B8">
        <w:rPr>
          <w:rFonts w:cs="Arial"/>
          <w:szCs w:val="22"/>
          <w:lang w:val="en-GB"/>
        </w:rPr>
        <w:t>).</w:t>
      </w:r>
    </w:p>
    <w:p w14:paraId="6461C56D" w14:textId="6A2AE108" w:rsidR="005173D2" w:rsidRPr="00183919" w:rsidRDefault="009D6E29" w:rsidP="00B24600">
      <w:pPr>
        <w:rPr>
          <w:rFonts w:cs="Arial"/>
          <w:szCs w:val="22"/>
        </w:rPr>
      </w:pPr>
      <w:r w:rsidRPr="00183919">
        <w:rPr>
          <w:rFonts w:cs="Arial"/>
          <w:szCs w:val="22"/>
          <w:lang w:eastAsia="x-none"/>
        </w:rPr>
        <w:lastRenderedPageBreak/>
        <w:t xml:space="preserve">Over the long term, </w:t>
      </w:r>
      <w:r w:rsidR="00334C99" w:rsidRPr="00183919">
        <w:rPr>
          <w:rFonts w:cs="Arial"/>
          <w:szCs w:val="22"/>
          <w:lang w:eastAsia="x-none"/>
        </w:rPr>
        <w:t xml:space="preserve">seagrass abundance regionally has </w:t>
      </w:r>
      <w:r w:rsidRPr="00183919">
        <w:rPr>
          <w:rFonts w:cs="Arial"/>
          <w:szCs w:val="22"/>
          <w:lang w:eastAsia="x-none"/>
        </w:rPr>
        <w:t>fluctuat</w:t>
      </w:r>
      <w:r w:rsidR="00334C99" w:rsidRPr="00183919">
        <w:rPr>
          <w:rFonts w:cs="Arial"/>
          <w:szCs w:val="22"/>
          <w:lang w:eastAsia="x-none"/>
        </w:rPr>
        <w:t>ed greatly</w:t>
      </w:r>
      <w:r w:rsidRPr="00183919">
        <w:rPr>
          <w:rFonts w:cs="Arial"/>
          <w:szCs w:val="22"/>
          <w:lang w:eastAsia="x-none"/>
        </w:rPr>
        <w:t xml:space="preserve"> (e.g. periods of loss and subsequent recovery)</w:t>
      </w:r>
      <w:r w:rsidR="00334C99" w:rsidRPr="00183919">
        <w:rPr>
          <w:rFonts w:cs="Arial"/>
          <w:szCs w:val="22"/>
          <w:lang w:eastAsia="x-none"/>
        </w:rPr>
        <w:t>.</w:t>
      </w:r>
      <w:r w:rsidRPr="00183919">
        <w:rPr>
          <w:rFonts w:cs="Arial"/>
          <w:szCs w:val="22"/>
          <w:lang w:eastAsia="x-none"/>
        </w:rPr>
        <w:t xml:space="preserve"> </w:t>
      </w:r>
      <w:r w:rsidR="00334C99" w:rsidRPr="00183919">
        <w:rPr>
          <w:rFonts w:cs="Arial"/>
          <w:szCs w:val="22"/>
        </w:rPr>
        <w:t>Increases between 2012 and 2016 placed the meadows on a pathway towards recovery. The long-term trend suggests that the losses observed in 2016</w:t>
      </w:r>
      <w:r w:rsidR="00461F1D" w:rsidRPr="00183919">
        <w:rPr>
          <w:rFonts w:cs="Arial"/>
          <w:szCs w:val="22"/>
        </w:rPr>
        <w:t>–20</w:t>
      </w:r>
      <w:r w:rsidR="00334C99" w:rsidRPr="00183919">
        <w:rPr>
          <w:rFonts w:cs="Arial"/>
          <w:szCs w:val="22"/>
        </w:rPr>
        <w:t xml:space="preserve">17 and </w:t>
      </w:r>
      <w:r w:rsidR="00956639" w:rsidRPr="00183919">
        <w:rPr>
          <w:rFonts w:cs="Arial"/>
          <w:szCs w:val="22"/>
        </w:rPr>
        <w:t>2018–19</w:t>
      </w:r>
      <w:r w:rsidR="00334C99" w:rsidRPr="00183919">
        <w:rPr>
          <w:rFonts w:cs="Arial"/>
          <w:szCs w:val="22"/>
        </w:rPr>
        <w:t xml:space="preserve"> may not be part of a declining trend </w:t>
      </w:r>
      <w:r w:rsidR="00334C99" w:rsidRPr="00183919">
        <w:rPr>
          <w:rFonts w:cs="Arial"/>
          <w:szCs w:val="22"/>
          <w:lang w:eastAsia="x-none"/>
        </w:rPr>
        <w:t>(</w:t>
      </w:r>
      <w:r w:rsidR="00334C99" w:rsidRPr="00183919">
        <w:rPr>
          <w:rFonts w:cs="Arial"/>
          <w:szCs w:val="22"/>
          <w:lang w:eastAsia="x-none"/>
        </w:rPr>
        <w:fldChar w:fldCharType="begin"/>
      </w:r>
      <w:r w:rsidR="00334C99" w:rsidRPr="00183919">
        <w:rPr>
          <w:rFonts w:cs="Arial"/>
          <w:szCs w:val="22"/>
          <w:lang w:eastAsia="x-none"/>
        </w:rPr>
        <w:instrText xml:space="preserve"> REF _Ref511310045 \h </w:instrText>
      </w:r>
      <w:r w:rsidR="00CB093C" w:rsidRPr="00183919">
        <w:rPr>
          <w:rFonts w:cs="Arial"/>
          <w:szCs w:val="22"/>
          <w:lang w:eastAsia="x-none"/>
        </w:rPr>
        <w:instrText xml:space="preserve"> \* MERGEFORMAT </w:instrText>
      </w:r>
      <w:r w:rsidR="00334C99" w:rsidRPr="00183919">
        <w:rPr>
          <w:rFonts w:cs="Arial"/>
          <w:szCs w:val="22"/>
          <w:lang w:eastAsia="x-none"/>
        </w:rPr>
      </w:r>
      <w:r w:rsidR="00334C99" w:rsidRPr="00183919">
        <w:rPr>
          <w:rFonts w:cs="Arial"/>
          <w:szCs w:val="22"/>
          <w:lang w:eastAsia="x-none"/>
        </w:rPr>
        <w:fldChar w:fldCharType="separate"/>
      </w:r>
      <w:r w:rsidR="0067675D" w:rsidRPr="00867E8C">
        <w:rPr>
          <w:rFonts w:cs="Arial"/>
          <w:szCs w:val="22"/>
        </w:rPr>
        <w:t xml:space="preserve">Table </w:t>
      </w:r>
      <w:r w:rsidR="0067675D">
        <w:rPr>
          <w:rFonts w:cs="Arial"/>
          <w:noProof/>
          <w:szCs w:val="22"/>
        </w:rPr>
        <w:t>20</w:t>
      </w:r>
      <w:r w:rsidR="00334C99" w:rsidRPr="00183919">
        <w:rPr>
          <w:rFonts w:cs="Arial"/>
          <w:szCs w:val="22"/>
          <w:lang w:eastAsia="x-none"/>
        </w:rPr>
        <w:fldChar w:fldCharType="end"/>
      </w:r>
      <w:r w:rsidR="00334C99" w:rsidRPr="00183919">
        <w:rPr>
          <w:rFonts w:cs="Arial"/>
          <w:szCs w:val="22"/>
          <w:lang w:eastAsia="x-none"/>
        </w:rPr>
        <w:t>)</w:t>
      </w:r>
      <w:r w:rsidR="00334C99" w:rsidRPr="00183919">
        <w:rPr>
          <w:rFonts w:cs="Arial"/>
          <w:szCs w:val="22"/>
        </w:rPr>
        <w:t xml:space="preserve">, despite reduction in the abundance score. </w:t>
      </w:r>
    </w:p>
    <w:p w14:paraId="496F7A9A" w14:textId="53026110" w:rsidR="005173D2" w:rsidRPr="00183919" w:rsidRDefault="009D6E29" w:rsidP="00B24600">
      <w:pPr>
        <w:rPr>
          <w:rFonts w:cs="Arial"/>
          <w:szCs w:val="22"/>
        </w:rPr>
      </w:pPr>
      <w:r w:rsidRPr="00183919">
        <w:rPr>
          <w:rFonts w:cs="Arial"/>
          <w:szCs w:val="22"/>
          <w:lang w:eastAsia="x-none"/>
        </w:rPr>
        <w:t>Similarly, a</w:t>
      </w:r>
      <w:r w:rsidRPr="00183919">
        <w:rPr>
          <w:rFonts w:cs="Arial"/>
          <w:szCs w:val="22"/>
        </w:rPr>
        <w:t xml:space="preserve">n examination of the long term trends across the </w:t>
      </w:r>
      <w:r w:rsidR="00B72AC4">
        <w:rPr>
          <w:rFonts w:cs="Arial"/>
          <w:szCs w:val="22"/>
        </w:rPr>
        <w:t>Burnett–Mary</w:t>
      </w:r>
      <w:r w:rsidRPr="00183919">
        <w:rPr>
          <w:rFonts w:cs="Arial"/>
          <w:szCs w:val="22"/>
        </w:rPr>
        <w:t xml:space="preserve"> region using GAM plots suggests </w:t>
      </w:r>
      <w:r w:rsidRPr="00183919">
        <w:rPr>
          <w:rFonts w:cs="Arial"/>
          <w:szCs w:val="22"/>
          <w:lang w:eastAsia="x-none"/>
        </w:rPr>
        <w:t xml:space="preserve">tissue nutrient elemental C:N </w:t>
      </w:r>
      <w:r w:rsidRPr="00183919">
        <w:rPr>
          <w:rFonts w:cs="Arial"/>
          <w:szCs w:val="22"/>
        </w:rPr>
        <w:t xml:space="preserve">has no discernible trend since 2005 </w:t>
      </w:r>
      <w:r w:rsidRPr="00183919">
        <w:rPr>
          <w:rFonts w:cs="Arial"/>
          <w:szCs w:val="22"/>
          <w:lang w:val="en-GB"/>
        </w:rPr>
        <w:t>(</w:t>
      </w:r>
      <w:r w:rsidR="00334C99" w:rsidRPr="00183919">
        <w:rPr>
          <w:rFonts w:cs="Arial"/>
          <w:szCs w:val="22"/>
          <w:lang w:val="en-GB"/>
        </w:rPr>
        <w:fldChar w:fldCharType="begin"/>
      </w:r>
      <w:r w:rsidR="00334C99" w:rsidRPr="00183919">
        <w:rPr>
          <w:rFonts w:cs="Arial"/>
          <w:szCs w:val="22"/>
          <w:lang w:val="en-GB"/>
        </w:rPr>
        <w:instrText xml:space="preserve"> REF _Ref442449961 \h </w:instrText>
      </w:r>
      <w:r w:rsidR="00CB093C" w:rsidRPr="00183919">
        <w:rPr>
          <w:rFonts w:cs="Arial"/>
          <w:szCs w:val="22"/>
          <w:lang w:val="en-GB"/>
        </w:rPr>
        <w:instrText xml:space="preserve"> \* MERGEFORMAT </w:instrText>
      </w:r>
      <w:r w:rsidR="00334C99" w:rsidRPr="00183919">
        <w:rPr>
          <w:rFonts w:cs="Arial"/>
          <w:szCs w:val="22"/>
          <w:lang w:val="en-GB"/>
        </w:rPr>
      </w:r>
      <w:r w:rsidR="00334C99" w:rsidRPr="00183919">
        <w:rPr>
          <w:rFonts w:cs="Arial"/>
          <w:szCs w:val="22"/>
          <w:lang w:val="en-GB"/>
        </w:rPr>
        <w:fldChar w:fldCharType="separate"/>
      </w:r>
      <w:r w:rsidR="0067675D" w:rsidRPr="00D562E2">
        <w:rPr>
          <w:rFonts w:cs="Arial"/>
          <w:szCs w:val="22"/>
        </w:rPr>
        <w:t xml:space="preserve">Figure </w:t>
      </w:r>
      <w:r w:rsidR="0067675D">
        <w:rPr>
          <w:rFonts w:cs="Arial"/>
          <w:noProof/>
          <w:szCs w:val="22"/>
        </w:rPr>
        <w:t>81</w:t>
      </w:r>
      <w:r w:rsidR="00334C99" w:rsidRPr="00183919">
        <w:rPr>
          <w:rFonts w:cs="Arial"/>
          <w:szCs w:val="22"/>
          <w:lang w:val="en-GB"/>
        </w:rPr>
        <w:fldChar w:fldCharType="end"/>
      </w:r>
      <w:r w:rsidRPr="00183919">
        <w:rPr>
          <w:rFonts w:cs="Arial"/>
          <w:szCs w:val="22"/>
          <w:lang w:val="en-GB"/>
        </w:rPr>
        <w:t>)</w:t>
      </w:r>
      <w:r w:rsidRPr="00183919">
        <w:rPr>
          <w:rFonts w:cs="Arial"/>
          <w:szCs w:val="22"/>
        </w:rPr>
        <w:t xml:space="preserve">. </w:t>
      </w:r>
    </w:p>
    <w:p w14:paraId="2F3DFE97" w14:textId="0E9C678C" w:rsidR="009D6E29" w:rsidRPr="00183919" w:rsidRDefault="009D6E29" w:rsidP="00B24600">
      <w:pPr>
        <w:rPr>
          <w:rFonts w:cs="Arial"/>
          <w:szCs w:val="22"/>
          <w:lang w:eastAsia="x-none"/>
        </w:rPr>
      </w:pPr>
      <w:r w:rsidRPr="00183919">
        <w:rPr>
          <w:rFonts w:cs="Arial"/>
          <w:szCs w:val="22"/>
        </w:rPr>
        <w:t xml:space="preserve">Reproductive effort, however, appears generally low with occasional increases </w:t>
      </w:r>
      <w:r w:rsidR="00334C99" w:rsidRPr="00183919">
        <w:rPr>
          <w:rFonts w:cs="Arial"/>
          <w:szCs w:val="22"/>
        </w:rPr>
        <w:t>in the number of reproductive structures corresponding to increased</w:t>
      </w:r>
      <w:r w:rsidRPr="00183919">
        <w:rPr>
          <w:rFonts w:cs="Arial"/>
          <w:szCs w:val="22"/>
        </w:rPr>
        <w:t xml:space="preserve"> seagrass abundance (</w:t>
      </w:r>
      <w:r w:rsidR="00334C99" w:rsidRPr="00183919">
        <w:rPr>
          <w:rFonts w:cs="Arial"/>
          <w:szCs w:val="22"/>
          <w:lang w:val="en-GB"/>
        </w:rPr>
        <w:fldChar w:fldCharType="begin"/>
      </w:r>
      <w:r w:rsidR="00334C99" w:rsidRPr="00183919">
        <w:rPr>
          <w:rFonts w:cs="Arial"/>
          <w:szCs w:val="22"/>
          <w:lang w:val="en-GB"/>
        </w:rPr>
        <w:instrText xml:space="preserve"> REF _Ref442449961 \h </w:instrText>
      </w:r>
      <w:r w:rsidR="00CB093C" w:rsidRPr="00183919">
        <w:rPr>
          <w:rFonts w:cs="Arial"/>
          <w:szCs w:val="22"/>
          <w:lang w:val="en-GB"/>
        </w:rPr>
        <w:instrText xml:space="preserve"> \* MERGEFORMAT </w:instrText>
      </w:r>
      <w:r w:rsidR="00334C99" w:rsidRPr="00183919">
        <w:rPr>
          <w:rFonts w:cs="Arial"/>
          <w:szCs w:val="22"/>
          <w:lang w:val="en-GB"/>
        </w:rPr>
      </w:r>
      <w:r w:rsidR="00334C99" w:rsidRPr="00183919">
        <w:rPr>
          <w:rFonts w:cs="Arial"/>
          <w:szCs w:val="22"/>
          <w:lang w:val="en-GB"/>
        </w:rPr>
        <w:fldChar w:fldCharType="separate"/>
      </w:r>
      <w:r w:rsidR="0067675D" w:rsidRPr="00D562E2">
        <w:rPr>
          <w:rFonts w:cs="Arial"/>
          <w:szCs w:val="22"/>
        </w:rPr>
        <w:t xml:space="preserve">Figure </w:t>
      </w:r>
      <w:r w:rsidR="0067675D">
        <w:rPr>
          <w:rFonts w:cs="Arial"/>
          <w:noProof/>
          <w:szCs w:val="22"/>
        </w:rPr>
        <w:t>81</w:t>
      </w:r>
      <w:r w:rsidR="00334C99" w:rsidRPr="00183919">
        <w:rPr>
          <w:rFonts w:cs="Arial"/>
          <w:szCs w:val="22"/>
          <w:lang w:val="en-GB"/>
        </w:rPr>
        <w:fldChar w:fldCharType="end"/>
      </w:r>
      <w:r w:rsidRPr="00183919">
        <w:rPr>
          <w:rFonts w:cs="Arial"/>
          <w:szCs w:val="22"/>
        </w:rPr>
        <w:t>)</w:t>
      </w:r>
      <w:r w:rsidR="00334C99" w:rsidRPr="00183919">
        <w:rPr>
          <w:rFonts w:cs="Arial"/>
          <w:szCs w:val="22"/>
        </w:rPr>
        <w:t>.</w:t>
      </w:r>
    </w:p>
    <w:p w14:paraId="4B0232C3" w14:textId="2EC65CD1" w:rsidR="00364338" w:rsidRPr="00D562E2" w:rsidRDefault="00364338" w:rsidP="00364338">
      <w:pPr>
        <w:rPr>
          <w:rFonts w:cs="Arial"/>
          <w:szCs w:val="22"/>
        </w:rPr>
      </w:pPr>
    </w:p>
    <w:p w14:paraId="43FED2C9" w14:textId="77777777" w:rsidR="001A5B38" w:rsidRPr="00D562E2" w:rsidRDefault="005B1EEC" w:rsidP="00DD3BAE">
      <w:pPr>
        <w:keepNext/>
        <w:widowControl w:val="0"/>
        <w:jc w:val="center"/>
        <w:rPr>
          <w:rFonts w:cs="Arial"/>
          <w:szCs w:val="22"/>
        </w:rPr>
      </w:pPr>
      <w:r w:rsidRPr="00D562E2">
        <w:rPr>
          <w:rFonts w:cs="Arial"/>
          <w:noProof/>
          <w:szCs w:val="22"/>
          <w:lang w:eastAsia="en-AU"/>
        </w:rPr>
        <w:lastRenderedPageBreak/>
        <w:drawing>
          <wp:inline distT="0" distB="0" distL="0" distR="0" wp14:anchorId="242472AD" wp14:editId="7E9AA378">
            <wp:extent cx="5090393" cy="4768717"/>
            <wp:effectExtent l="0" t="0" r="0" b="0"/>
            <wp:docPr id="518" name="Picture 518" descr="Composite figure of four graphs showing temporal trends in the Burnett Mary NRM region seagrass condition index and each of the individual indicators used to calculate the index, represented by GAM plots and coloured lines representing location trends, with coloured dots representing individual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BM_cvr_GAM_Dec16.png"/>
                    <pic:cNvPicPr/>
                  </pic:nvPicPr>
                  <pic:blipFill>
                    <a:blip r:embed="rId134"/>
                    <a:stretch>
                      <a:fillRect/>
                    </a:stretch>
                  </pic:blipFill>
                  <pic:spPr>
                    <a:xfrm>
                      <a:off x="0" y="0"/>
                      <a:ext cx="5090393" cy="4768717"/>
                    </a:xfrm>
                    <a:prstGeom prst="rect">
                      <a:avLst/>
                    </a:prstGeom>
                  </pic:spPr>
                </pic:pic>
              </a:graphicData>
            </a:graphic>
          </wp:inline>
        </w:drawing>
      </w:r>
    </w:p>
    <w:p w14:paraId="7D24065A" w14:textId="6E5FE6C8" w:rsidR="00076C1A" w:rsidRPr="00D562E2" w:rsidRDefault="001A5B38" w:rsidP="00076C1A">
      <w:pPr>
        <w:rPr>
          <w:rFonts w:cs="Arial"/>
          <w:vanish/>
          <w:color w:val="000000"/>
          <w:szCs w:val="22"/>
          <w:specVanish/>
        </w:rPr>
      </w:pPr>
      <w:bookmarkStart w:id="616" w:name="_Ref442449961"/>
      <w:bookmarkStart w:id="617" w:name="_Toc38634185"/>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81</w:t>
      </w:r>
      <w:r w:rsidR="00C506C7" w:rsidRPr="00D562E2">
        <w:rPr>
          <w:rFonts w:cs="Arial"/>
          <w:noProof/>
          <w:szCs w:val="22"/>
        </w:rPr>
        <w:fldChar w:fldCharType="end"/>
      </w:r>
      <w:bookmarkEnd w:id="616"/>
      <w:r w:rsidRPr="00D562E2">
        <w:rPr>
          <w:rFonts w:cs="Arial"/>
          <w:szCs w:val="22"/>
        </w:rPr>
        <w:t xml:space="preserve">.  </w:t>
      </w:r>
      <w:r w:rsidR="00076C1A" w:rsidRPr="00D562E2">
        <w:rPr>
          <w:rFonts w:cs="Arial"/>
          <w:i/>
          <w:szCs w:val="22"/>
        </w:rPr>
        <w:t xml:space="preserve">Temporal trends in the </w:t>
      </w:r>
      <w:r w:rsidR="00B72AC4">
        <w:rPr>
          <w:rFonts w:cs="Arial"/>
          <w:i/>
          <w:szCs w:val="22"/>
        </w:rPr>
        <w:t>Burnett–Mary</w:t>
      </w:r>
      <w:r w:rsidR="00076C1A" w:rsidRPr="00D562E2">
        <w:rPr>
          <w:rFonts w:cs="Arial"/>
          <w:i/>
          <w:szCs w:val="22"/>
        </w:rPr>
        <w:t xml:space="preserve"> seagrass condition index and the indicators used to calculate the index</w:t>
      </w:r>
      <w:bookmarkEnd w:id="617"/>
    </w:p>
    <w:p w14:paraId="430C354F" w14:textId="4E5F2F7D" w:rsidR="005B1EEC" w:rsidRPr="00D562E2" w:rsidRDefault="00076C1A" w:rsidP="00076C1A">
      <w:pPr>
        <w:rPr>
          <w:rFonts w:cs="Arial"/>
          <w:noProof/>
          <w:szCs w:val="22"/>
          <w:lang w:eastAsia="en-AU"/>
        </w:rPr>
      </w:pPr>
      <w:r w:rsidRPr="00D562E2">
        <w:rPr>
          <w:rFonts w:cs="Arial"/>
          <w:i/>
          <w:szCs w:val="22"/>
        </w:rPr>
        <w:t>: a. seagrass condition index (circles) and indicator trends (lines); b. GAM plots of seagrass abundance (</w:t>
      </w:r>
      <w:r w:rsidR="004916B0">
        <w:rPr>
          <w:rFonts w:cs="Arial"/>
          <w:i/>
          <w:szCs w:val="22"/>
        </w:rPr>
        <w:t>per cent</w:t>
      </w:r>
      <w:r w:rsidRPr="00D562E2">
        <w:rPr>
          <w:rFonts w:cs="Arial"/>
          <w:i/>
          <w:szCs w:val="22"/>
        </w:rPr>
        <w:t xml:space="preserve"> cover) trends for each location (coloured lines) and the region (black line with grey shaded area defining 95</w:t>
      </w:r>
      <w:r w:rsidR="003C311A">
        <w:rPr>
          <w:rFonts w:cs="Arial"/>
          <w:i/>
          <w:szCs w:val="22"/>
        </w:rPr>
        <w:t xml:space="preserve">% </w:t>
      </w:r>
      <w:r w:rsidRPr="00D562E2">
        <w:rPr>
          <w:rFonts w:cs="Arial"/>
          <w:i/>
          <w:szCs w:val="22"/>
        </w:rPr>
        <w:t>confidence intervals); c. average number of reproductive structures (±SE) (GAM not possible due to high count of zero values); and d. elemental ratios (atomic) of leaf tissue C:N nutrient content at each site (coloured circles) and regional trend represented by a GAM plot as dark line with shaded areas defining 95</w:t>
      </w:r>
      <w:r w:rsidR="003C311A">
        <w:rPr>
          <w:rFonts w:cs="Arial"/>
          <w:i/>
          <w:szCs w:val="22"/>
        </w:rPr>
        <w:t xml:space="preserve">% </w:t>
      </w:r>
      <w:r w:rsidRPr="00D562E2">
        <w:rPr>
          <w:rFonts w:cs="Arial"/>
          <w:i/>
          <w:szCs w:val="22"/>
        </w:rPr>
        <w:t>confidence intervals of the trend</w:t>
      </w:r>
      <w:r w:rsidR="00FA5182" w:rsidRPr="00D562E2">
        <w:rPr>
          <w:rFonts w:cs="Arial"/>
          <w:i/>
          <w:szCs w:val="22"/>
        </w:rPr>
        <w:t>.</w:t>
      </w:r>
    </w:p>
    <w:p w14:paraId="4D7A1C57" w14:textId="609E0687" w:rsidR="004B1AB9" w:rsidRPr="00D562E2" w:rsidRDefault="004B1AB9" w:rsidP="00DD3BAE">
      <w:pPr>
        <w:rPr>
          <w:rFonts w:cs="Arial"/>
          <w:iCs/>
          <w:color w:val="000000" w:themeColor="text1"/>
          <w:szCs w:val="22"/>
        </w:rPr>
      </w:pPr>
    </w:p>
    <w:p w14:paraId="58857C3F" w14:textId="7CA933C3" w:rsidR="00364338" w:rsidRPr="00D562E2" w:rsidRDefault="00364338" w:rsidP="008416AD">
      <w:pPr>
        <w:pStyle w:val="Heading4"/>
      </w:pPr>
      <w:bookmarkStart w:id="618" w:name="_Toc37775116"/>
      <w:bookmarkStart w:id="619" w:name="_Toc43987091"/>
      <w:r w:rsidRPr="00D562E2">
        <w:lastRenderedPageBreak/>
        <w:t xml:space="preserve">Seagrass abundance, </w:t>
      </w:r>
      <w:r w:rsidR="00334C99" w:rsidRPr="00D562E2">
        <w:t>composition</w:t>
      </w:r>
      <w:r w:rsidRPr="00D562E2">
        <w:t xml:space="preserve"> and extent</w:t>
      </w:r>
      <w:bookmarkEnd w:id="618"/>
      <w:bookmarkEnd w:id="619"/>
    </w:p>
    <w:p w14:paraId="448A778F" w14:textId="0AE220A7" w:rsidR="00B835D4" w:rsidRPr="00915D2C" w:rsidRDefault="00084779" w:rsidP="00364338">
      <w:pPr>
        <w:rPr>
          <w:rFonts w:cs="Arial"/>
          <w:szCs w:val="22"/>
        </w:rPr>
      </w:pPr>
      <w:r w:rsidRPr="00915D2C">
        <w:rPr>
          <w:rFonts w:cs="Arial"/>
          <w:szCs w:val="22"/>
          <w:lang w:val="en-GB"/>
        </w:rPr>
        <w:t>Seagrass abundances (</w:t>
      </w:r>
      <w:r w:rsidR="004916B0">
        <w:rPr>
          <w:rFonts w:cs="Arial"/>
          <w:szCs w:val="22"/>
          <w:lang w:val="en-GB"/>
        </w:rPr>
        <w:t>per cent</w:t>
      </w:r>
      <w:r w:rsidRPr="00915D2C">
        <w:rPr>
          <w:rFonts w:cs="Arial"/>
          <w:szCs w:val="22"/>
          <w:lang w:val="en-GB"/>
        </w:rPr>
        <w:t xml:space="preserve"> cover) </w:t>
      </w:r>
      <w:r w:rsidR="00183919" w:rsidRPr="00915D2C">
        <w:rPr>
          <w:rFonts w:cs="Arial"/>
          <w:szCs w:val="22"/>
          <w:lang w:val="en-GB"/>
        </w:rPr>
        <w:t>across</w:t>
      </w:r>
      <w:r w:rsidRPr="00915D2C">
        <w:rPr>
          <w:rFonts w:cs="Arial"/>
          <w:szCs w:val="22"/>
          <w:lang w:val="en-GB"/>
        </w:rPr>
        <w:t xml:space="preserve"> the </w:t>
      </w:r>
      <w:r w:rsidR="00B72AC4">
        <w:rPr>
          <w:rFonts w:cs="Arial"/>
          <w:szCs w:val="22"/>
          <w:lang w:val="en-GB"/>
        </w:rPr>
        <w:t>Burnett–Mary</w:t>
      </w:r>
      <w:r w:rsidRPr="00915D2C">
        <w:rPr>
          <w:rFonts w:cs="Arial"/>
          <w:szCs w:val="22"/>
          <w:lang w:val="en-GB"/>
        </w:rPr>
        <w:t xml:space="preserve"> region </w:t>
      </w:r>
      <w:r w:rsidR="00183919" w:rsidRPr="00915D2C">
        <w:rPr>
          <w:rFonts w:cs="Arial"/>
          <w:szCs w:val="22"/>
          <w:lang w:val="en-GB"/>
        </w:rPr>
        <w:t xml:space="preserve">in 2018-19 </w:t>
      </w:r>
      <w:r w:rsidRPr="00915D2C">
        <w:rPr>
          <w:rFonts w:cs="Arial"/>
          <w:szCs w:val="22"/>
          <w:lang w:val="en-GB"/>
        </w:rPr>
        <w:t xml:space="preserve">were </w:t>
      </w:r>
      <w:r w:rsidR="004A33BA" w:rsidRPr="00915D2C">
        <w:rPr>
          <w:rFonts w:cs="Arial"/>
          <w:szCs w:val="22"/>
          <w:lang w:val="en-GB"/>
        </w:rPr>
        <w:t xml:space="preserve">greater in </w:t>
      </w:r>
      <w:r w:rsidR="00DD5C21" w:rsidRPr="00915D2C">
        <w:rPr>
          <w:rFonts w:cs="Arial"/>
          <w:szCs w:val="22"/>
        </w:rPr>
        <w:t>coastal</w:t>
      </w:r>
      <w:r w:rsidR="004A33BA" w:rsidRPr="00915D2C">
        <w:rPr>
          <w:rFonts w:cs="Arial"/>
          <w:szCs w:val="22"/>
        </w:rPr>
        <w:t xml:space="preserve"> than estuarine habitats (14.7 </w:t>
      </w:r>
      <w:r w:rsidR="00DD5C21" w:rsidRPr="00915D2C">
        <w:rPr>
          <w:rFonts w:cs="Arial"/>
          <w:szCs w:val="22"/>
          <w:lang w:val="en-GB"/>
        </w:rPr>
        <w:t>±</w:t>
      </w:r>
      <w:r w:rsidR="00DD5C21" w:rsidRPr="00915D2C">
        <w:rPr>
          <w:rFonts w:cs="Arial"/>
          <w:szCs w:val="22"/>
        </w:rPr>
        <w:t>0.</w:t>
      </w:r>
      <w:r w:rsidR="004A33BA" w:rsidRPr="00915D2C">
        <w:rPr>
          <w:rFonts w:cs="Arial"/>
          <w:szCs w:val="22"/>
        </w:rPr>
        <w:t>6</w:t>
      </w:r>
      <w:r w:rsidR="003C311A">
        <w:rPr>
          <w:rFonts w:cs="Arial"/>
          <w:szCs w:val="22"/>
        </w:rPr>
        <w:t xml:space="preserve">% </w:t>
      </w:r>
      <w:r w:rsidR="004A33BA" w:rsidRPr="00915D2C">
        <w:rPr>
          <w:rFonts w:cs="Arial"/>
          <w:szCs w:val="22"/>
        </w:rPr>
        <w:t>and</w:t>
      </w:r>
      <w:r w:rsidR="00DD5C21" w:rsidRPr="00915D2C">
        <w:rPr>
          <w:rFonts w:cs="Arial"/>
          <w:szCs w:val="22"/>
        </w:rPr>
        <w:t xml:space="preserve"> </w:t>
      </w:r>
      <w:r w:rsidR="004A33BA" w:rsidRPr="00915D2C">
        <w:rPr>
          <w:rFonts w:cs="Arial"/>
          <w:szCs w:val="22"/>
        </w:rPr>
        <w:t>8</w:t>
      </w:r>
      <w:r w:rsidR="00DD5C21" w:rsidRPr="00915D2C">
        <w:rPr>
          <w:rFonts w:cs="Arial"/>
          <w:szCs w:val="22"/>
        </w:rPr>
        <w:t>.2</w:t>
      </w:r>
      <w:r w:rsidR="00DD5C21" w:rsidRPr="00915D2C">
        <w:rPr>
          <w:rFonts w:cs="Arial"/>
          <w:szCs w:val="22"/>
          <w:lang w:val="en-GB"/>
        </w:rPr>
        <w:t xml:space="preserve"> ±</w:t>
      </w:r>
      <w:r w:rsidR="00DD5C21" w:rsidRPr="00915D2C">
        <w:rPr>
          <w:rFonts w:cs="Arial"/>
          <w:szCs w:val="22"/>
        </w:rPr>
        <w:t>1.</w:t>
      </w:r>
      <w:r w:rsidR="004A33BA" w:rsidRPr="00915D2C">
        <w:rPr>
          <w:rFonts w:cs="Arial"/>
          <w:szCs w:val="22"/>
        </w:rPr>
        <w:t>2</w:t>
      </w:r>
      <w:r w:rsidR="0042155C">
        <w:rPr>
          <w:rFonts w:cs="Arial"/>
          <w:szCs w:val="22"/>
        </w:rPr>
        <w:t>%</w:t>
      </w:r>
      <w:r w:rsidR="004A33BA" w:rsidRPr="00915D2C">
        <w:rPr>
          <w:rFonts w:cs="Arial"/>
          <w:szCs w:val="22"/>
        </w:rPr>
        <w:t>, respectively</w:t>
      </w:r>
      <w:r w:rsidRPr="00915D2C">
        <w:rPr>
          <w:rFonts w:cs="Arial"/>
          <w:szCs w:val="22"/>
          <w:lang w:val="en-GB"/>
        </w:rPr>
        <w:t>)</w:t>
      </w:r>
      <w:r w:rsidR="00DD5C21" w:rsidRPr="00915D2C">
        <w:rPr>
          <w:rFonts w:cs="Arial"/>
          <w:szCs w:val="22"/>
          <w:lang w:val="en-GB"/>
        </w:rPr>
        <w:t>, however</w:t>
      </w:r>
      <w:r w:rsidRPr="00915D2C">
        <w:rPr>
          <w:rFonts w:cs="Arial"/>
          <w:szCs w:val="22"/>
          <w:lang w:val="en-GB"/>
        </w:rPr>
        <w:t xml:space="preserve"> estuarine </w:t>
      </w:r>
      <w:r w:rsidR="00DD5C21" w:rsidRPr="00915D2C">
        <w:rPr>
          <w:rFonts w:cs="Arial"/>
          <w:szCs w:val="22"/>
          <w:lang w:val="en-GB"/>
        </w:rPr>
        <w:t>abundances</w:t>
      </w:r>
      <w:r w:rsidRPr="00915D2C">
        <w:rPr>
          <w:rFonts w:cs="Arial"/>
          <w:szCs w:val="22"/>
          <w:lang w:val="en-GB"/>
        </w:rPr>
        <w:t xml:space="preserve"> were higher in the </w:t>
      </w:r>
      <w:r w:rsidR="004A33BA" w:rsidRPr="00915D2C">
        <w:rPr>
          <w:rFonts w:cs="Arial"/>
          <w:szCs w:val="22"/>
          <w:lang w:val="en-GB"/>
        </w:rPr>
        <w:t xml:space="preserve">late </w:t>
      </w:r>
      <w:r w:rsidRPr="00915D2C">
        <w:rPr>
          <w:rFonts w:cs="Arial"/>
          <w:szCs w:val="22"/>
          <w:lang w:val="en-GB"/>
        </w:rPr>
        <w:t xml:space="preserve">dry than the </w:t>
      </w:r>
      <w:r w:rsidR="004A33BA" w:rsidRPr="00915D2C">
        <w:rPr>
          <w:rFonts w:cs="Arial"/>
          <w:szCs w:val="22"/>
          <w:lang w:val="en-GB"/>
        </w:rPr>
        <w:t xml:space="preserve">late </w:t>
      </w:r>
      <w:r w:rsidRPr="00915D2C">
        <w:rPr>
          <w:rFonts w:cs="Arial"/>
          <w:szCs w:val="22"/>
          <w:lang w:val="en-GB"/>
        </w:rPr>
        <w:t>wet season (</w:t>
      </w:r>
      <w:r w:rsidR="004A33BA" w:rsidRPr="00915D2C">
        <w:rPr>
          <w:rFonts w:cs="Arial"/>
          <w:szCs w:val="22"/>
        </w:rPr>
        <w:t>11.7</w:t>
      </w:r>
      <w:r w:rsidR="00DD5C21" w:rsidRPr="00915D2C">
        <w:rPr>
          <w:rFonts w:cs="Arial"/>
          <w:szCs w:val="22"/>
          <w:lang w:val="en-GB"/>
        </w:rPr>
        <w:t xml:space="preserve"> ±</w:t>
      </w:r>
      <w:r w:rsidR="00DD5C21" w:rsidRPr="00915D2C">
        <w:rPr>
          <w:rFonts w:cs="Arial"/>
          <w:szCs w:val="22"/>
        </w:rPr>
        <w:t>1.</w:t>
      </w:r>
      <w:r w:rsidR="004A33BA" w:rsidRPr="00915D2C">
        <w:rPr>
          <w:rFonts w:cs="Arial"/>
          <w:szCs w:val="22"/>
        </w:rPr>
        <w:t>4</w:t>
      </w:r>
      <w:r w:rsidR="003C311A">
        <w:rPr>
          <w:rFonts w:cs="Arial"/>
          <w:szCs w:val="22"/>
        </w:rPr>
        <w:t xml:space="preserve">% </w:t>
      </w:r>
      <w:r w:rsidR="004A33BA" w:rsidRPr="00915D2C">
        <w:rPr>
          <w:rFonts w:cs="Arial"/>
          <w:szCs w:val="22"/>
        </w:rPr>
        <w:t>and</w:t>
      </w:r>
      <w:r w:rsidR="00DD5C21" w:rsidRPr="00915D2C">
        <w:rPr>
          <w:rFonts w:cs="Arial"/>
          <w:szCs w:val="22"/>
        </w:rPr>
        <w:t xml:space="preserve"> </w:t>
      </w:r>
      <w:r w:rsidR="004A33BA" w:rsidRPr="00915D2C">
        <w:rPr>
          <w:rFonts w:cs="Arial"/>
          <w:szCs w:val="22"/>
        </w:rPr>
        <w:t>4.8</w:t>
      </w:r>
      <w:r w:rsidR="00DD5C21" w:rsidRPr="00915D2C">
        <w:rPr>
          <w:rFonts w:cs="Arial"/>
          <w:szCs w:val="22"/>
          <w:lang w:val="en-GB"/>
        </w:rPr>
        <w:t xml:space="preserve"> ±</w:t>
      </w:r>
      <w:r w:rsidR="00DD5C21" w:rsidRPr="00915D2C">
        <w:rPr>
          <w:rFonts w:cs="Arial"/>
          <w:szCs w:val="22"/>
        </w:rPr>
        <w:t>1.0</w:t>
      </w:r>
      <w:r w:rsidR="0042155C">
        <w:rPr>
          <w:rFonts w:cs="Arial"/>
          <w:szCs w:val="22"/>
        </w:rPr>
        <w:t>%</w:t>
      </w:r>
      <w:r w:rsidR="004A33BA" w:rsidRPr="00915D2C">
        <w:rPr>
          <w:rFonts w:cs="Arial"/>
          <w:szCs w:val="22"/>
        </w:rPr>
        <w:t>, respectively</w:t>
      </w:r>
      <w:r w:rsidRPr="00915D2C">
        <w:rPr>
          <w:rFonts w:cs="Arial"/>
          <w:szCs w:val="22"/>
          <w:lang w:val="en-GB"/>
        </w:rPr>
        <w:t>).</w:t>
      </w:r>
      <w:r w:rsidR="00B835D4" w:rsidRPr="00915D2C">
        <w:rPr>
          <w:rFonts w:cs="Arial"/>
          <w:szCs w:val="22"/>
          <w:lang w:val="en-GB"/>
        </w:rPr>
        <w:t xml:space="preserve"> </w:t>
      </w:r>
      <w:r w:rsidR="00915D2C" w:rsidRPr="00915D2C">
        <w:rPr>
          <w:rFonts w:cs="Arial"/>
          <w:szCs w:val="22"/>
          <w:lang w:val="en-GB"/>
        </w:rPr>
        <w:t xml:space="preserve">Two thirds </w:t>
      </w:r>
      <w:r w:rsidR="00B835D4" w:rsidRPr="00915D2C">
        <w:rPr>
          <w:rFonts w:cs="Arial"/>
          <w:szCs w:val="22"/>
        </w:rPr>
        <w:t xml:space="preserve">of monitoring sites </w:t>
      </w:r>
      <w:r w:rsidR="00915D2C" w:rsidRPr="00915D2C">
        <w:rPr>
          <w:rFonts w:cs="Arial"/>
          <w:szCs w:val="22"/>
        </w:rPr>
        <w:t>increased</w:t>
      </w:r>
      <w:r w:rsidR="00B835D4" w:rsidRPr="00915D2C">
        <w:rPr>
          <w:rFonts w:cs="Arial"/>
          <w:szCs w:val="22"/>
        </w:rPr>
        <w:t xml:space="preserve"> in abundance in </w:t>
      </w:r>
      <w:r w:rsidR="00956639" w:rsidRPr="00915D2C">
        <w:rPr>
          <w:rFonts w:cs="Arial"/>
          <w:szCs w:val="22"/>
        </w:rPr>
        <w:t>2018–19</w:t>
      </w:r>
      <w:r w:rsidR="00B835D4" w:rsidRPr="00915D2C">
        <w:rPr>
          <w:rFonts w:cs="Arial"/>
          <w:szCs w:val="22"/>
        </w:rPr>
        <w:t xml:space="preserve"> relative to the previous period, </w:t>
      </w:r>
      <w:r w:rsidR="00915D2C" w:rsidRPr="00915D2C">
        <w:rPr>
          <w:rFonts w:cs="Arial"/>
          <w:szCs w:val="22"/>
        </w:rPr>
        <w:t>with the remain</w:t>
      </w:r>
      <w:r w:rsidR="00F776EF">
        <w:rPr>
          <w:rFonts w:cs="Arial"/>
          <w:szCs w:val="22"/>
        </w:rPr>
        <w:t>in</w:t>
      </w:r>
      <w:r w:rsidR="00915D2C" w:rsidRPr="00915D2C">
        <w:rPr>
          <w:rFonts w:cs="Arial"/>
          <w:szCs w:val="22"/>
        </w:rPr>
        <w:t>g third continuing to decline</w:t>
      </w:r>
      <w:r w:rsidR="000C6C80" w:rsidRPr="00915D2C">
        <w:rPr>
          <w:rFonts w:cs="Arial"/>
          <w:szCs w:val="22"/>
        </w:rPr>
        <w:t xml:space="preserve">. </w:t>
      </w:r>
      <w:r w:rsidR="00915D2C" w:rsidRPr="00915D2C">
        <w:rPr>
          <w:rFonts w:cs="Arial"/>
          <w:szCs w:val="22"/>
        </w:rPr>
        <w:t>Only the</w:t>
      </w:r>
      <w:r w:rsidR="000C6C80" w:rsidRPr="00915D2C">
        <w:rPr>
          <w:rFonts w:cs="Arial"/>
          <w:szCs w:val="22"/>
        </w:rPr>
        <w:t xml:space="preserve"> estuarine meadows </w:t>
      </w:r>
      <w:r w:rsidR="00915D2C" w:rsidRPr="00915D2C">
        <w:rPr>
          <w:rFonts w:cs="Arial"/>
          <w:szCs w:val="22"/>
        </w:rPr>
        <w:t>at</w:t>
      </w:r>
      <w:r w:rsidR="000C6C80" w:rsidRPr="00915D2C">
        <w:rPr>
          <w:rFonts w:cs="Arial"/>
          <w:szCs w:val="22"/>
        </w:rPr>
        <w:t xml:space="preserve"> Urangan declined in </w:t>
      </w:r>
      <w:r w:rsidR="00956639" w:rsidRPr="00915D2C">
        <w:rPr>
          <w:rFonts w:cs="Arial"/>
          <w:szCs w:val="22"/>
        </w:rPr>
        <w:t>2018–19</w:t>
      </w:r>
      <w:r w:rsidR="00915D2C" w:rsidRPr="00915D2C">
        <w:rPr>
          <w:rFonts w:cs="Arial"/>
          <w:szCs w:val="22"/>
        </w:rPr>
        <w:t>.</w:t>
      </w:r>
    </w:p>
    <w:p w14:paraId="280C1B68" w14:textId="3DA117AB" w:rsidR="00364338" w:rsidRPr="003F1AF1" w:rsidRDefault="00364338" w:rsidP="00461F1D">
      <w:pPr>
        <w:rPr>
          <w:rFonts w:cs="Arial"/>
          <w:iCs/>
          <w:szCs w:val="22"/>
        </w:rPr>
      </w:pPr>
      <w:r w:rsidRPr="00915D2C">
        <w:rPr>
          <w:rFonts w:cs="Arial"/>
          <w:szCs w:val="22"/>
        </w:rPr>
        <w:t>Since monitoring was established, the estuarine meadows have come and gone on an irregular basis</w:t>
      </w:r>
      <w:r w:rsidRPr="003F1AF1">
        <w:rPr>
          <w:rFonts w:cs="Arial"/>
          <w:szCs w:val="22"/>
        </w:rPr>
        <w:t xml:space="preserve">. </w:t>
      </w:r>
      <w:r w:rsidR="00B835D4" w:rsidRPr="003F1AF1">
        <w:rPr>
          <w:rFonts w:cs="Arial"/>
          <w:szCs w:val="22"/>
        </w:rPr>
        <w:t xml:space="preserve">The only site to </w:t>
      </w:r>
      <w:r w:rsidR="007A70FE" w:rsidRPr="003F1AF1">
        <w:rPr>
          <w:rFonts w:cs="Arial"/>
          <w:szCs w:val="22"/>
          <w:lang w:val="en-GB"/>
        </w:rPr>
        <w:t>significantly</w:t>
      </w:r>
      <w:r w:rsidR="00B835D4" w:rsidRPr="003F1AF1">
        <w:rPr>
          <w:rFonts w:cs="Arial"/>
          <w:szCs w:val="22"/>
          <w:lang w:val="en-GB"/>
        </w:rPr>
        <w:t xml:space="preserve"> decline over the long-term, was in the north</w:t>
      </w:r>
      <w:r w:rsidR="000C6C80" w:rsidRPr="003F1AF1">
        <w:rPr>
          <w:rFonts w:cs="Arial"/>
          <w:szCs w:val="22"/>
          <w:lang w:val="en-GB"/>
        </w:rPr>
        <w:t xml:space="preserve"> of the region</w:t>
      </w:r>
      <w:r w:rsidR="00B835D4" w:rsidRPr="003F1AF1">
        <w:rPr>
          <w:rFonts w:cs="Arial"/>
          <w:szCs w:val="22"/>
          <w:lang w:val="en-GB"/>
        </w:rPr>
        <w:t xml:space="preserve"> in the Rodds Bay estuary (RD2)</w:t>
      </w:r>
      <w:r w:rsidR="003F1AF1" w:rsidRPr="003F1AF1">
        <w:rPr>
          <w:rFonts w:cs="Arial"/>
          <w:szCs w:val="22"/>
          <w:lang w:val="en-GB"/>
        </w:rPr>
        <w:t>, however this decline was due to changes in the intertidal bank topography which rendered the site no longer suitable for ongoing monitoring</w:t>
      </w:r>
      <w:r w:rsidR="00B835D4" w:rsidRPr="003F1AF1">
        <w:rPr>
          <w:rFonts w:cs="Arial"/>
          <w:szCs w:val="22"/>
          <w:lang w:val="en-GB"/>
        </w:rPr>
        <w:t xml:space="preserve">. In the south, </w:t>
      </w:r>
      <w:r w:rsidR="0091038E" w:rsidRPr="003F1AF1">
        <w:rPr>
          <w:rFonts w:cs="Arial"/>
          <w:szCs w:val="22"/>
          <w:lang w:val="en-GB"/>
        </w:rPr>
        <w:t xml:space="preserve">both </w:t>
      </w:r>
      <w:r w:rsidR="00B835D4" w:rsidRPr="003F1AF1">
        <w:rPr>
          <w:rFonts w:cs="Arial"/>
          <w:szCs w:val="22"/>
          <w:lang w:val="en-GB"/>
        </w:rPr>
        <w:t xml:space="preserve">an estuary and a coastal site have significantly increased over the long-term, while no trend is apparent at the </w:t>
      </w:r>
      <w:r w:rsidR="007A70FE" w:rsidRPr="003F1AF1">
        <w:rPr>
          <w:rFonts w:cs="Arial"/>
          <w:szCs w:val="22"/>
          <w:lang w:val="en-GB"/>
        </w:rPr>
        <w:t>remaining</w:t>
      </w:r>
      <w:r w:rsidR="00B835D4" w:rsidRPr="003F1AF1">
        <w:rPr>
          <w:rFonts w:cs="Arial"/>
          <w:szCs w:val="22"/>
          <w:lang w:val="en-GB"/>
        </w:rPr>
        <w:t xml:space="preserve"> monitoring sites (</w:t>
      </w:r>
      <w:r w:rsidR="00B835D4" w:rsidRPr="003F1AF1">
        <w:rPr>
          <w:rFonts w:cs="Arial"/>
          <w:szCs w:val="22"/>
          <w:lang w:val="en-GB"/>
        </w:rPr>
        <w:fldChar w:fldCharType="begin"/>
      </w:r>
      <w:r w:rsidR="00B835D4" w:rsidRPr="003F1AF1">
        <w:rPr>
          <w:rFonts w:cs="Arial"/>
          <w:szCs w:val="22"/>
          <w:lang w:val="en-GB"/>
        </w:rPr>
        <w:instrText xml:space="preserve"> REF _Ref511310045 \h </w:instrText>
      </w:r>
      <w:r w:rsidR="00CB093C" w:rsidRPr="003F1AF1">
        <w:rPr>
          <w:rFonts w:cs="Arial"/>
          <w:szCs w:val="22"/>
          <w:lang w:val="en-GB"/>
        </w:rPr>
        <w:instrText xml:space="preserve"> \* MERGEFORMAT </w:instrText>
      </w:r>
      <w:r w:rsidR="00B835D4" w:rsidRPr="003F1AF1">
        <w:rPr>
          <w:rFonts w:cs="Arial"/>
          <w:szCs w:val="22"/>
          <w:lang w:val="en-GB"/>
        </w:rPr>
      </w:r>
      <w:r w:rsidR="00B835D4" w:rsidRPr="003F1AF1">
        <w:rPr>
          <w:rFonts w:cs="Arial"/>
          <w:szCs w:val="22"/>
          <w:lang w:val="en-GB"/>
        </w:rPr>
        <w:fldChar w:fldCharType="separate"/>
      </w:r>
      <w:r w:rsidR="0067675D" w:rsidRPr="00867E8C">
        <w:rPr>
          <w:rFonts w:cs="Arial"/>
          <w:szCs w:val="22"/>
        </w:rPr>
        <w:t xml:space="preserve">Table </w:t>
      </w:r>
      <w:r w:rsidR="0067675D">
        <w:rPr>
          <w:rFonts w:cs="Arial"/>
          <w:noProof/>
          <w:szCs w:val="22"/>
        </w:rPr>
        <w:t>20</w:t>
      </w:r>
      <w:r w:rsidR="00B835D4" w:rsidRPr="003F1AF1">
        <w:rPr>
          <w:rFonts w:cs="Arial"/>
          <w:szCs w:val="22"/>
          <w:lang w:val="en-GB"/>
        </w:rPr>
        <w:fldChar w:fldCharType="end"/>
      </w:r>
      <w:r w:rsidR="00B835D4" w:rsidRPr="003F1AF1">
        <w:rPr>
          <w:rFonts w:cs="Arial"/>
          <w:szCs w:val="22"/>
          <w:lang w:val="en-GB"/>
        </w:rPr>
        <w:t>).</w:t>
      </w:r>
    </w:p>
    <w:p w14:paraId="3DFE06B7" w14:textId="26E3C0F7" w:rsidR="00B33F9B" w:rsidRPr="00D562E2" w:rsidRDefault="00B33F9B" w:rsidP="009439BF">
      <w:pPr>
        <w:jc w:val="center"/>
        <w:rPr>
          <w:rFonts w:cs="Arial"/>
          <w:color w:val="000000" w:themeColor="text1"/>
          <w:szCs w:val="22"/>
        </w:rPr>
      </w:pPr>
      <w:r w:rsidRPr="00D562E2">
        <w:rPr>
          <w:rFonts w:cs="Arial"/>
          <w:noProof/>
          <w:color w:val="000000" w:themeColor="text1"/>
          <w:szCs w:val="22"/>
          <w:lang w:eastAsia="en-AU"/>
        </w:rPr>
        <w:drawing>
          <wp:inline distT="0" distB="0" distL="0" distR="0" wp14:anchorId="0A6E7FFA" wp14:editId="4A6DA7B9">
            <wp:extent cx="4454137" cy="2862119"/>
            <wp:effectExtent l="0" t="0" r="3810" b="0"/>
            <wp:docPr id="524" name="Picture 524" descr="Panel of four graphs, displayed in two by two matrix, showing seagrass percent cover measures per quadrat (sites pooled) for each habitat monitored from 1999 to 2019 in the Burnett Mary NRM region. Top row displays the data as box plots and the bottom row as trends in seagrass abundance represented by a GAM plot and coloured lines representing individual site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er MMP_period boxplot_BM_perHab_newformat-01.png"/>
                    <pic:cNvPicPr/>
                  </pic:nvPicPr>
                  <pic:blipFill>
                    <a:blip r:embed="rId135"/>
                    <a:stretch>
                      <a:fillRect/>
                    </a:stretch>
                  </pic:blipFill>
                  <pic:spPr>
                    <a:xfrm>
                      <a:off x="0" y="0"/>
                      <a:ext cx="4463654" cy="2868234"/>
                    </a:xfrm>
                    <a:prstGeom prst="rect">
                      <a:avLst/>
                    </a:prstGeom>
                  </pic:spPr>
                </pic:pic>
              </a:graphicData>
            </a:graphic>
          </wp:inline>
        </w:drawing>
      </w:r>
    </w:p>
    <w:p w14:paraId="41CDE13B" w14:textId="615A12C8" w:rsidR="00A355AB" w:rsidRPr="00D562E2" w:rsidRDefault="0091038E" w:rsidP="00A355AB">
      <w:pPr>
        <w:rPr>
          <w:rFonts w:cs="Arial"/>
          <w:i/>
          <w:vanish/>
          <w:szCs w:val="22"/>
          <w:specVanish/>
        </w:rPr>
      </w:pPr>
      <w:bookmarkStart w:id="620" w:name="_Toc38634186"/>
      <w:r w:rsidRPr="00D562E2">
        <w:rPr>
          <w:rFonts w:cs="Arial"/>
          <w:szCs w:val="22"/>
        </w:rPr>
        <w:t xml:space="preserve">Figure </w:t>
      </w:r>
      <w:r w:rsidR="0089405C" w:rsidRPr="00D562E2">
        <w:rPr>
          <w:rFonts w:cs="Arial"/>
          <w:noProof/>
          <w:szCs w:val="22"/>
        </w:rPr>
        <w:fldChar w:fldCharType="begin"/>
      </w:r>
      <w:r w:rsidR="0089405C" w:rsidRPr="00D562E2">
        <w:rPr>
          <w:rFonts w:cs="Arial"/>
          <w:noProof/>
          <w:szCs w:val="22"/>
        </w:rPr>
        <w:instrText xml:space="preserve"> SEQ Figure \* ARABIC </w:instrText>
      </w:r>
      <w:r w:rsidR="0089405C" w:rsidRPr="00D562E2">
        <w:rPr>
          <w:rFonts w:cs="Arial"/>
          <w:noProof/>
          <w:szCs w:val="22"/>
        </w:rPr>
        <w:fldChar w:fldCharType="separate"/>
      </w:r>
      <w:r w:rsidR="0067675D">
        <w:rPr>
          <w:rFonts w:cs="Arial"/>
          <w:noProof/>
          <w:szCs w:val="22"/>
        </w:rPr>
        <w:t>82</w:t>
      </w:r>
      <w:r w:rsidR="0089405C" w:rsidRPr="00D562E2">
        <w:rPr>
          <w:rFonts w:cs="Arial"/>
          <w:noProof/>
          <w:szCs w:val="22"/>
        </w:rPr>
        <w:fldChar w:fldCharType="end"/>
      </w:r>
      <w:r w:rsidRPr="00D562E2">
        <w:rPr>
          <w:rFonts w:cs="Arial"/>
          <w:szCs w:val="22"/>
        </w:rPr>
        <w:t xml:space="preserve">. </w:t>
      </w:r>
      <w:r w:rsidR="00A355AB" w:rsidRPr="00D562E2">
        <w:rPr>
          <w:rFonts w:cs="Arial"/>
          <w:i/>
          <w:szCs w:val="22"/>
        </w:rPr>
        <w:t xml:space="preserve">Seagrass per cent cover measures per quadrat (sites pooled) and long-term trends, for each habitat monitored in the </w:t>
      </w:r>
      <w:r w:rsidR="00B72AC4">
        <w:rPr>
          <w:rFonts w:cs="Arial"/>
          <w:i/>
          <w:color w:val="000000"/>
          <w:szCs w:val="22"/>
        </w:rPr>
        <w:t>Burnett–Mary</w:t>
      </w:r>
      <w:r w:rsidR="00A355AB" w:rsidRPr="00D562E2">
        <w:rPr>
          <w:rFonts w:cs="Arial"/>
          <w:i/>
          <w:color w:val="000000"/>
          <w:szCs w:val="22"/>
        </w:rPr>
        <w:t xml:space="preserve"> NRM </w:t>
      </w:r>
      <w:r w:rsidR="00A355AB" w:rsidRPr="00D562E2">
        <w:rPr>
          <w:rFonts w:cs="Arial"/>
          <w:i/>
          <w:szCs w:val="22"/>
        </w:rPr>
        <w:t>region from 1999 to 201</w:t>
      </w:r>
      <w:r w:rsidR="00371FEA" w:rsidRPr="00D562E2">
        <w:rPr>
          <w:rFonts w:cs="Arial"/>
          <w:i/>
          <w:szCs w:val="22"/>
        </w:rPr>
        <w:t>9</w:t>
      </w:r>
      <w:r w:rsidR="00A355AB" w:rsidRPr="00D562E2">
        <w:rPr>
          <w:rFonts w:cs="Arial"/>
          <w:i/>
          <w:szCs w:val="22"/>
        </w:rPr>
        <w:t>.</w:t>
      </w:r>
      <w:bookmarkEnd w:id="620"/>
    </w:p>
    <w:p w14:paraId="22363407" w14:textId="12467146" w:rsidR="00B33F9B" w:rsidRPr="00D562E2" w:rsidRDefault="00A355AB" w:rsidP="00A355AB">
      <w:pPr>
        <w:rPr>
          <w:rFonts w:cs="Arial"/>
          <w:color w:val="000000" w:themeColor="text1"/>
          <w:szCs w:val="22"/>
        </w:rPr>
      </w:pPr>
      <w:r w:rsidRPr="00D562E2">
        <w:rPr>
          <w:rFonts w:cs="Arial"/>
          <w:i/>
          <w:szCs w:val="22"/>
          <w:lang w:val="en-GB"/>
        </w:rPr>
        <w:t xml:space="preserve"> Whisker plots (top) show th</w:t>
      </w:r>
      <w:r w:rsidRPr="00D562E2">
        <w:rPr>
          <w:rFonts w:cs="Arial"/>
          <w:i/>
          <w:szCs w:val="22"/>
        </w:rPr>
        <w:t>e box representing the inter</w:t>
      </w:r>
      <w:r w:rsidRPr="00D562E2">
        <w:rPr>
          <w:rFonts w:cs="Arial"/>
          <w:i/>
          <w:szCs w:val="22"/>
        </w:rPr>
        <w:lastRenderedPageBreak/>
        <w:t>quartile range of values, where the boundary of the box closest to zero indicates the 25</w:t>
      </w:r>
      <w:r w:rsidRPr="00D562E2">
        <w:rPr>
          <w:rFonts w:cs="Arial"/>
          <w:i/>
          <w:szCs w:val="22"/>
          <w:vertAlign w:val="superscript"/>
        </w:rPr>
        <w:t>th</w:t>
      </w:r>
      <w:r w:rsidRPr="00D562E2">
        <w:rPr>
          <w:rFonts w:cs="Arial"/>
          <w:i/>
          <w:szCs w:val="22"/>
        </w:rPr>
        <w:t xml:space="preserve"> percentile, a line within the box marks the median, and the boundary of the box farthest from zero indicates the 75</w:t>
      </w:r>
      <w:r w:rsidRPr="00D562E2">
        <w:rPr>
          <w:rFonts w:cs="Arial"/>
          <w:i/>
          <w:szCs w:val="22"/>
          <w:vertAlign w:val="superscript"/>
        </w:rPr>
        <w:t>th</w:t>
      </w:r>
      <w:r w:rsidRPr="00D562E2">
        <w:rPr>
          <w:rFonts w:cs="Arial"/>
          <w:i/>
          <w:szCs w:val="22"/>
        </w:rPr>
        <w:t xml:space="preserve"> percentile. Whiskers (error bars) above and below the box indicate the 90</w:t>
      </w:r>
      <w:r w:rsidRPr="00D562E2">
        <w:rPr>
          <w:rFonts w:cs="Arial"/>
          <w:i/>
          <w:szCs w:val="22"/>
          <w:vertAlign w:val="superscript"/>
        </w:rPr>
        <w:t>th</w:t>
      </w:r>
      <w:r w:rsidRPr="00D562E2">
        <w:rPr>
          <w:rFonts w:cs="Arial"/>
          <w:i/>
          <w:szCs w:val="22"/>
        </w:rPr>
        <w:t xml:space="preserve"> and 10</w:t>
      </w:r>
      <w:r w:rsidRPr="00D562E2">
        <w:rPr>
          <w:rFonts w:cs="Arial"/>
          <w:i/>
          <w:szCs w:val="22"/>
          <w:vertAlign w:val="superscript"/>
        </w:rPr>
        <w:t>th</w:t>
      </w:r>
      <w:r w:rsidRPr="00D562E2">
        <w:rPr>
          <w:rFonts w:cs="Arial"/>
          <w:i/>
          <w:szCs w:val="22"/>
        </w:rPr>
        <w:t xml:space="preserve"> percentiles, and the dots represent outlying points.</w:t>
      </w:r>
      <w:r w:rsidRPr="00D562E2">
        <w:rPr>
          <w:rFonts w:cs="Arial"/>
          <w:i/>
          <w:szCs w:val="22"/>
          <w:lang w:val="en-GB"/>
        </w:rPr>
        <w:t xml:space="preserve"> </w:t>
      </w:r>
      <w:r w:rsidRPr="00D562E2">
        <w:rPr>
          <w:rFonts w:cs="Arial"/>
          <w:i/>
          <w:szCs w:val="22"/>
        </w:rPr>
        <w:t>GAMM plots (bottom), show trends for each habitat and coloured lines represent individual site trends</w:t>
      </w:r>
      <w:r w:rsidR="0091038E" w:rsidRPr="00D562E2">
        <w:rPr>
          <w:rFonts w:cs="Arial"/>
          <w:i/>
          <w:szCs w:val="22"/>
        </w:rPr>
        <w:t>.</w:t>
      </w:r>
    </w:p>
    <w:p w14:paraId="49210F26" w14:textId="77777777" w:rsidR="0091038E" w:rsidRPr="003F1AF1" w:rsidRDefault="0091038E" w:rsidP="00DD3BAE">
      <w:pPr>
        <w:rPr>
          <w:rFonts w:cs="Arial"/>
          <w:szCs w:val="22"/>
        </w:rPr>
      </w:pPr>
    </w:p>
    <w:p w14:paraId="07C16256" w14:textId="716F79F4" w:rsidR="005F11C1" w:rsidRPr="003F1AF1" w:rsidRDefault="00B33F9B" w:rsidP="00DD3BAE">
      <w:pPr>
        <w:rPr>
          <w:rFonts w:cs="Arial"/>
          <w:iCs/>
          <w:szCs w:val="22"/>
        </w:rPr>
      </w:pPr>
      <w:r w:rsidRPr="003F1AF1">
        <w:rPr>
          <w:rFonts w:cs="Arial"/>
          <w:szCs w:val="22"/>
        </w:rPr>
        <w:t xml:space="preserve">The estuarine and coastal seagrass habitats have been dominated by </w:t>
      </w:r>
      <w:r w:rsidRPr="003F1AF1">
        <w:rPr>
          <w:rFonts w:cs="Arial"/>
          <w:i/>
          <w:szCs w:val="22"/>
        </w:rPr>
        <w:t>Zostera muelleri</w:t>
      </w:r>
      <w:r w:rsidRPr="003F1AF1">
        <w:rPr>
          <w:rFonts w:cs="Arial"/>
          <w:szCs w:val="22"/>
        </w:rPr>
        <w:t xml:space="preserve"> with varying components of </w:t>
      </w:r>
      <w:r w:rsidRPr="003F1AF1">
        <w:rPr>
          <w:rFonts w:cs="Arial"/>
          <w:i/>
          <w:szCs w:val="22"/>
        </w:rPr>
        <w:t>Halophila ovalis</w:t>
      </w:r>
      <w:r w:rsidRPr="003F1AF1">
        <w:rPr>
          <w:rFonts w:cs="Arial"/>
          <w:szCs w:val="22"/>
        </w:rPr>
        <w:t xml:space="preserve">. </w:t>
      </w:r>
      <w:r w:rsidRPr="003F1AF1">
        <w:rPr>
          <w:rFonts w:cs="Arial"/>
          <w:iCs/>
          <w:szCs w:val="22"/>
        </w:rPr>
        <w:t xml:space="preserve">In </w:t>
      </w:r>
      <w:r w:rsidR="00956639" w:rsidRPr="003F1AF1">
        <w:rPr>
          <w:rFonts w:cs="Arial"/>
          <w:iCs/>
          <w:szCs w:val="22"/>
        </w:rPr>
        <w:t>2018–19</w:t>
      </w:r>
      <w:r w:rsidRPr="003F1AF1">
        <w:rPr>
          <w:rFonts w:cs="Arial"/>
          <w:iCs/>
          <w:szCs w:val="22"/>
        </w:rPr>
        <w:t xml:space="preserve">, the proportion of colonising species </w:t>
      </w:r>
      <w:r w:rsidR="003F1AF1" w:rsidRPr="003F1AF1">
        <w:rPr>
          <w:rFonts w:cs="Arial"/>
          <w:iCs/>
          <w:szCs w:val="22"/>
        </w:rPr>
        <w:t>increased</w:t>
      </w:r>
      <w:r w:rsidRPr="003F1AF1">
        <w:rPr>
          <w:rFonts w:cs="Arial"/>
          <w:iCs/>
          <w:szCs w:val="22"/>
        </w:rPr>
        <w:t xml:space="preserve"> compared to the previous monitoring year, and i</w:t>
      </w:r>
      <w:r w:rsidR="003F1AF1" w:rsidRPr="003F1AF1">
        <w:rPr>
          <w:rFonts w:cs="Arial"/>
          <w:iCs/>
          <w:szCs w:val="22"/>
        </w:rPr>
        <w:t xml:space="preserve">n the coastal meadows exceeded the </w:t>
      </w:r>
      <w:r w:rsidR="00F776EF" w:rsidRPr="003F1AF1">
        <w:rPr>
          <w:rFonts w:cs="Arial"/>
          <w:iCs/>
          <w:szCs w:val="22"/>
        </w:rPr>
        <w:t>Re</w:t>
      </w:r>
      <w:r w:rsidR="00F776EF">
        <w:rPr>
          <w:rFonts w:cs="Arial"/>
          <w:iCs/>
          <w:szCs w:val="22"/>
        </w:rPr>
        <w:t>e</w:t>
      </w:r>
      <w:r w:rsidR="00F776EF" w:rsidRPr="003F1AF1">
        <w:rPr>
          <w:rFonts w:cs="Arial"/>
          <w:iCs/>
          <w:szCs w:val="22"/>
        </w:rPr>
        <w:t xml:space="preserve">f </w:t>
      </w:r>
      <w:r w:rsidR="003F1AF1" w:rsidRPr="003F1AF1">
        <w:rPr>
          <w:rFonts w:cs="Arial"/>
          <w:iCs/>
          <w:szCs w:val="22"/>
        </w:rPr>
        <w:t xml:space="preserve">long-term average </w:t>
      </w:r>
      <w:r w:rsidR="005D3E4D" w:rsidRPr="003F1AF1">
        <w:rPr>
          <w:rFonts w:cs="Arial"/>
          <w:szCs w:val="22"/>
        </w:rPr>
        <w:t>(</w:t>
      </w:r>
      <w:r w:rsidR="005D3E4D" w:rsidRPr="003F1AF1">
        <w:rPr>
          <w:rFonts w:cs="Arial"/>
          <w:szCs w:val="22"/>
        </w:rPr>
        <w:fldChar w:fldCharType="begin"/>
      </w:r>
      <w:r w:rsidR="005D3E4D" w:rsidRPr="003F1AF1">
        <w:rPr>
          <w:rFonts w:cs="Arial"/>
          <w:szCs w:val="22"/>
        </w:rPr>
        <w:instrText xml:space="preserve"> REF _Ref442552303 \h  \* MERGEFORMAT </w:instrText>
      </w:r>
      <w:r w:rsidR="005D3E4D" w:rsidRPr="003F1AF1">
        <w:rPr>
          <w:rFonts w:cs="Arial"/>
          <w:szCs w:val="22"/>
        </w:rPr>
      </w:r>
      <w:r w:rsidR="005D3E4D" w:rsidRPr="003F1AF1">
        <w:rPr>
          <w:rFonts w:cs="Arial"/>
          <w:szCs w:val="22"/>
        </w:rPr>
        <w:fldChar w:fldCharType="separate"/>
      </w:r>
      <w:r w:rsidR="0067675D" w:rsidRPr="00D562E2">
        <w:rPr>
          <w:rFonts w:cs="Arial"/>
          <w:szCs w:val="22"/>
        </w:rPr>
        <w:t xml:space="preserve">Figure </w:t>
      </w:r>
      <w:r w:rsidR="0067675D">
        <w:rPr>
          <w:rFonts w:cs="Arial"/>
          <w:noProof/>
          <w:szCs w:val="22"/>
        </w:rPr>
        <w:t>83</w:t>
      </w:r>
      <w:r w:rsidR="005D3E4D" w:rsidRPr="003F1AF1">
        <w:rPr>
          <w:rFonts w:cs="Arial"/>
          <w:szCs w:val="22"/>
        </w:rPr>
        <w:fldChar w:fldCharType="end"/>
      </w:r>
      <w:r w:rsidR="005D3E4D" w:rsidRPr="003F1AF1">
        <w:rPr>
          <w:rFonts w:cs="Arial"/>
          <w:szCs w:val="22"/>
        </w:rPr>
        <w:t>)</w:t>
      </w:r>
      <w:r w:rsidRPr="003F1AF1">
        <w:rPr>
          <w:rFonts w:cs="Arial"/>
          <w:iCs/>
          <w:szCs w:val="22"/>
        </w:rPr>
        <w:t>. A</w:t>
      </w:r>
      <w:r w:rsidR="003F1AF1" w:rsidRPr="003F1AF1">
        <w:rPr>
          <w:rFonts w:cs="Arial"/>
          <w:iCs/>
          <w:szCs w:val="22"/>
        </w:rPr>
        <w:t>n increase</w:t>
      </w:r>
      <w:r w:rsidRPr="003F1AF1">
        <w:rPr>
          <w:rFonts w:cs="Arial"/>
          <w:iCs/>
          <w:szCs w:val="22"/>
        </w:rPr>
        <w:t xml:space="preserve"> in the </w:t>
      </w:r>
      <w:r w:rsidRPr="003F1AF1">
        <w:rPr>
          <w:rFonts w:cs="Arial"/>
          <w:szCs w:val="22"/>
          <w:lang w:val="en-GB"/>
        </w:rPr>
        <w:t xml:space="preserve">proportion of colonising species in the meadows suggests </w:t>
      </w:r>
      <w:r w:rsidR="003F1AF1" w:rsidRPr="003F1AF1">
        <w:rPr>
          <w:rFonts w:cs="Arial"/>
          <w:iCs/>
          <w:szCs w:val="22"/>
        </w:rPr>
        <w:t>some level of physical disturbance which may reduce</w:t>
      </w:r>
      <w:r w:rsidRPr="003F1AF1">
        <w:rPr>
          <w:rFonts w:cs="Arial"/>
          <w:iCs/>
          <w:szCs w:val="22"/>
        </w:rPr>
        <w:t xml:space="preserve"> ability to tolerate/resist major disturbances</w:t>
      </w:r>
      <w:r w:rsidR="003F1AF1" w:rsidRPr="003F1AF1">
        <w:rPr>
          <w:rFonts w:cs="Arial"/>
          <w:iCs/>
          <w:szCs w:val="22"/>
        </w:rPr>
        <w:t xml:space="preserve"> in future</w:t>
      </w:r>
      <w:r w:rsidRPr="003F1AF1">
        <w:rPr>
          <w:rFonts w:cs="Arial"/>
          <w:iCs/>
          <w:szCs w:val="22"/>
        </w:rPr>
        <w:t>.</w:t>
      </w:r>
    </w:p>
    <w:p w14:paraId="4DF063D3" w14:textId="77777777" w:rsidR="003E1D94" w:rsidRPr="00D562E2" w:rsidRDefault="005B1EEC" w:rsidP="00DD3BAE">
      <w:pPr>
        <w:keepNext/>
        <w:widowControl w:val="0"/>
        <w:jc w:val="center"/>
        <w:rPr>
          <w:rFonts w:cs="Arial"/>
          <w:iCs/>
          <w:color w:val="000000"/>
          <w:szCs w:val="22"/>
        </w:rPr>
      </w:pPr>
      <w:r w:rsidRPr="00D562E2">
        <w:rPr>
          <w:rFonts w:cs="Arial"/>
          <w:iCs/>
          <w:noProof/>
          <w:color w:val="000000"/>
          <w:szCs w:val="22"/>
          <w:lang w:eastAsia="en-AU"/>
        </w:rPr>
        <w:drawing>
          <wp:inline distT="0" distB="0" distL="0" distR="0" wp14:anchorId="0EBC54E2" wp14:editId="3108E5D6">
            <wp:extent cx="4193858" cy="2192867"/>
            <wp:effectExtent l="0" t="0" r="0" b="0"/>
            <wp:docPr id="519" name="Picture 519" descr="Panel of two graphs showing proportion of total seagrass abundance composed of species displaying colonising traits (e.g. Halophila ovalis) in each inshore intertidal seagrass habitat (sites pooled) in the Burnett Mary NRM region each monitoring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BM_colonising_2016.png"/>
                    <pic:cNvPicPr/>
                  </pic:nvPicPr>
                  <pic:blipFill>
                    <a:blip r:embed="rId136"/>
                    <a:stretch>
                      <a:fillRect/>
                    </a:stretch>
                  </pic:blipFill>
                  <pic:spPr>
                    <a:xfrm>
                      <a:off x="0" y="0"/>
                      <a:ext cx="4204370" cy="2198364"/>
                    </a:xfrm>
                    <a:prstGeom prst="rect">
                      <a:avLst/>
                    </a:prstGeom>
                  </pic:spPr>
                </pic:pic>
              </a:graphicData>
            </a:graphic>
          </wp:inline>
        </w:drawing>
      </w:r>
    </w:p>
    <w:p w14:paraId="1A3273B1" w14:textId="28F52834" w:rsidR="004705FC" w:rsidRPr="00D562E2" w:rsidRDefault="003126B8" w:rsidP="00DD3BAE">
      <w:pPr>
        <w:widowControl w:val="0"/>
        <w:rPr>
          <w:rFonts w:cs="Arial"/>
          <w:i/>
          <w:vanish/>
          <w:szCs w:val="22"/>
          <w:specVanish/>
        </w:rPr>
      </w:pPr>
      <w:bookmarkStart w:id="621" w:name="_Ref442552303"/>
      <w:bookmarkStart w:id="622" w:name="_Toc431493902"/>
      <w:bookmarkStart w:id="623" w:name="_Toc38634187"/>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83</w:t>
      </w:r>
      <w:r w:rsidR="00C506C7" w:rsidRPr="00D562E2">
        <w:rPr>
          <w:rFonts w:cs="Arial"/>
          <w:noProof/>
          <w:szCs w:val="22"/>
        </w:rPr>
        <w:fldChar w:fldCharType="end"/>
      </w:r>
      <w:bookmarkEnd w:id="621"/>
      <w:r w:rsidRPr="00D562E2">
        <w:rPr>
          <w:rFonts w:cs="Arial"/>
          <w:szCs w:val="22"/>
        </w:rPr>
        <w:t xml:space="preserve">. </w:t>
      </w:r>
      <w:r w:rsidRPr="00D562E2">
        <w:rPr>
          <w:rFonts w:cs="Arial"/>
          <w:i/>
          <w:szCs w:val="22"/>
        </w:rPr>
        <w:t xml:space="preserve">Proportion of seagrass abundance composed of </w:t>
      </w:r>
      <w:r w:rsidR="003E1D94" w:rsidRPr="00D562E2">
        <w:rPr>
          <w:rFonts w:cs="Arial"/>
          <w:i/>
          <w:szCs w:val="22"/>
        </w:rPr>
        <w:t>colonising</w:t>
      </w:r>
      <w:r w:rsidR="00A22D98" w:rsidRPr="00D562E2">
        <w:rPr>
          <w:rFonts w:cs="Arial"/>
          <w:i/>
          <w:szCs w:val="22"/>
        </w:rPr>
        <w:t xml:space="preserve"> species</w:t>
      </w:r>
      <w:r w:rsidR="00116D0F" w:rsidRPr="00D562E2">
        <w:rPr>
          <w:rFonts w:cs="Arial"/>
          <w:i/>
          <w:szCs w:val="22"/>
        </w:rPr>
        <w:t xml:space="preserve"> at</w:t>
      </w:r>
      <w:r w:rsidR="004807AA" w:rsidRPr="00D562E2">
        <w:rPr>
          <w:rFonts w:cs="Arial"/>
          <w:i/>
          <w:szCs w:val="22"/>
        </w:rPr>
        <w:t>:</w:t>
      </w:r>
      <w:r w:rsidR="00116D0F" w:rsidRPr="00D562E2">
        <w:rPr>
          <w:rFonts w:cs="Arial"/>
          <w:i/>
          <w:szCs w:val="22"/>
        </w:rPr>
        <w:t xml:space="preserve"> a. estuary and b. coastal habitats in the </w:t>
      </w:r>
      <w:r w:rsidR="00B72AC4">
        <w:rPr>
          <w:rFonts w:cs="Arial"/>
          <w:i/>
          <w:szCs w:val="22"/>
        </w:rPr>
        <w:t>Burnett–Mary</w:t>
      </w:r>
      <w:r w:rsidR="00116D0F" w:rsidRPr="00D562E2">
        <w:rPr>
          <w:rFonts w:cs="Arial"/>
          <w:i/>
          <w:szCs w:val="22"/>
        </w:rPr>
        <w:t xml:space="preserve"> region, 1998</w:t>
      </w:r>
      <w:r w:rsidR="00A675DA" w:rsidRPr="00D562E2">
        <w:rPr>
          <w:rFonts w:cs="Arial"/>
          <w:i/>
          <w:szCs w:val="22"/>
        </w:rPr>
        <w:t>–</w:t>
      </w:r>
      <w:r w:rsidR="00116D0F" w:rsidRPr="00D562E2">
        <w:rPr>
          <w:rFonts w:cs="Arial"/>
          <w:i/>
          <w:szCs w:val="22"/>
        </w:rPr>
        <w:t>201</w:t>
      </w:r>
      <w:r w:rsidR="00371FEA" w:rsidRPr="00D562E2">
        <w:rPr>
          <w:rFonts w:cs="Arial"/>
          <w:i/>
          <w:szCs w:val="22"/>
        </w:rPr>
        <w:t>9</w:t>
      </w:r>
      <w:r w:rsidRPr="00D562E2">
        <w:rPr>
          <w:rFonts w:cs="Arial"/>
          <w:i/>
          <w:szCs w:val="22"/>
        </w:rPr>
        <w:t>.</w:t>
      </w:r>
      <w:bookmarkEnd w:id="622"/>
      <w:bookmarkEnd w:id="623"/>
      <w:r w:rsidRPr="00D562E2">
        <w:rPr>
          <w:rFonts w:cs="Arial"/>
          <w:i/>
          <w:szCs w:val="22"/>
        </w:rPr>
        <w:t xml:space="preserve"> </w:t>
      </w:r>
    </w:p>
    <w:p w14:paraId="1C8CFF35" w14:textId="21CB6CEA" w:rsidR="004705FC" w:rsidRPr="00D562E2" w:rsidRDefault="005D3E4D" w:rsidP="00DD3BAE">
      <w:pPr>
        <w:widowControl w:val="0"/>
        <w:rPr>
          <w:rFonts w:cs="Arial"/>
          <w:i/>
          <w:szCs w:val="22"/>
        </w:rPr>
      </w:pPr>
      <w:r w:rsidRPr="00D562E2">
        <w:rPr>
          <w:rFonts w:cs="Arial"/>
          <w:i/>
          <w:szCs w:val="22"/>
        </w:rPr>
        <w:t>Dashed line</w:t>
      </w:r>
      <w:r w:rsidR="003126B8" w:rsidRPr="00D562E2">
        <w:rPr>
          <w:rFonts w:cs="Arial"/>
          <w:i/>
          <w:szCs w:val="22"/>
        </w:rPr>
        <w:t xml:space="preserve"> represents </w:t>
      </w:r>
      <w:r w:rsidR="003158FC" w:rsidRPr="00D562E2">
        <w:rPr>
          <w:rFonts w:cs="Arial"/>
          <w:i/>
          <w:szCs w:val="22"/>
        </w:rPr>
        <w:t>Reef</w:t>
      </w:r>
      <w:r w:rsidR="003126B8" w:rsidRPr="00D562E2">
        <w:rPr>
          <w:rFonts w:cs="Arial"/>
          <w:i/>
          <w:szCs w:val="22"/>
        </w:rPr>
        <w:t xml:space="preserve"> long-term average proportion of </w:t>
      </w:r>
      <w:r w:rsidR="003E1D94" w:rsidRPr="00D562E2">
        <w:rPr>
          <w:rFonts w:cs="Arial"/>
          <w:i/>
          <w:szCs w:val="22"/>
        </w:rPr>
        <w:t xml:space="preserve">colonising </w:t>
      </w:r>
      <w:r w:rsidR="00A22D98" w:rsidRPr="00D562E2">
        <w:rPr>
          <w:rFonts w:cs="Arial"/>
          <w:i/>
          <w:szCs w:val="22"/>
        </w:rPr>
        <w:t xml:space="preserve">species </w:t>
      </w:r>
      <w:r w:rsidR="003126B8" w:rsidRPr="00D562E2">
        <w:rPr>
          <w:rFonts w:cs="Arial"/>
          <w:i/>
          <w:szCs w:val="22"/>
        </w:rPr>
        <w:t>for each habitat type.</w:t>
      </w:r>
      <w:r w:rsidR="00C73F73" w:rsidRPr="00D562E2">
        <w:rPr>
          <w:rFonts w:cs="Arial"/>
          <w:i/>
          <w:szCs w:val="22"/>
        </w:rPr>
        <w:t xml:space="preserve"> </w:t>
      </w:r>
    </w:p>
    <w:p w14:paraId="44FC636C" w14:textId="77777777" w:rsidR="003F1AF1" w:rsidRDefault="003F1AF1" w:rsidP="003C15CC">
      <w:pPr>
        <w:rPr>
          <w:rFonts w:cs="Arial"/>
          <w:szCs w:val="22"/>
          <w:lang w:val="en-GB"/>
        </w:rPr>
      </w:pPr>
    </w:p>
    <w:p w14:paraId="7F2803D3" w14:textId="3A9E0630" w:rsidR="003C15CC" w:rsidRPr="003F1AF1" w:rsidRDefault="003C15CC" w:rsidP="003C15CC">
      <w:pPr>
        <w:rPr>
          <w:rFonts w:cs="Arial"/>
          <w:szCs w:val="22"/>
        </w:rPr>
      </w:pPr>
      <w:r w:rsidRPr="003F1AF1">
        <w:rPr>
          <w:rFonts w:cs="Arial"/>
          <w:szCs w:val="22"/>
          <w:lang w:val="en-GB"/>
        </w:rPr>
        <w:t xml:space="preserve">Over the last 12 months meadow extent has changed little </w:t>
      </w:r>
      <w:r w:rsidR="003F1AF1" w:rsidRPr="003F1AF1">
        <w:rPr>
          <w:rFonts w:cs="Arial"/>
          <w:szCs w:val="22"/>
          <w:lang w:val="en-GB"/>
        </w:rPr>
        <w:t xml:space="preserve">at coastal meadows </w:t>
      </w:r>
      <w:r w:rsidRPr="003F1AF1">
        <w:rPr>
          <w:rFonts w:cs="Arial"/>
          <w:szCs w:val="22"/>
          <w:lang w:val="en-GB"/>
        </w:rPr>
        <w:t>relative to the previous year (</w:t>
      </w:r>
      <w:r w:rsidRPr="003F1AF1">
        <w:rPr>
          <w:rFonts w:cs="Arial"/>
          <w:szCs w:val="22"/>
          <w:lang w:val="en-GB"/>
        </w:rPr>
        <w:fldChar w:fldCharType="begin"/>
      </w:r>
      <w:r w:rsidRPr="003F1AF1">
        <w:rPr>
          <w:rFonts w:cs="Arial"/>
          <w:szCs w:val="22"/>
          <w:lang w:val="en-GB"/>
        </w:rPr>
        <w:instrText xml:space="preserve"> REF _Ref233166043 \h  \* MERGEFORMAT </w:instrText>
      </w:r>
      <w:r w:rsidRPr="003F1AF1">
        <w:rPr>
          <w:rFonts w:cs="Arial"/>
          <w:szCs w:val="22"/>
          <w:lang w:val="en-GB"/>
        </w:rPr>
      </w:r>
      <w:r w:rsidRPr="003F1AF1">
        <w:rPr>
          <w:rFonts w:cs="Arial"/>
          <w:szCs w:val="22"/>
          <w:lang w:val="en-GB"/>
        </w:rPr>
        <w:fldChar w:fldCharType="separate"/>
      </w:r>
      <w:r w:rsidR="0067675D" w:rsidRPr="00D562E2">
        <w:rPr>
          <w:rFonts w:cs="Arial"/>
          <w:szCs w:val="22"/>
          <w:lang w:val="en-US"/>
        </w:rPr>
        <w:t xml:space="preserve">Figure </w:t>
      </w:r>
      <w:r w:rsidR="0067675D">
        <w:rPr>
          <w:rFonts w:cs="Arial"/>
          <w:noProof/>
          <w:szCs w:val="22"/>
          <w:lang w:val="en-US"/>
        </w:rPr>
        <w:t>84</w:t>
      </w:r>
      <w:r w:rsidRPr="003F1AF1">
        <w:rPr>
          <w:rFonts w:cs="Arial"/>
          <w:szCs w:val="22"/>
          <w:lang w:val="en-GB"/>
        </w:rPr>
        <w:fldChar w:fldCharType="end"/>
      </w:r>
      <w:r w:rsidRPr="003F1AF1">
        <w:rPr>
          <w:rFonts w:cs="Arial"/>
          <w:szCs w:val="22"/>
          <w:lang w:val="en-GB"/>
        </w:rPr>
        <w:t>)</w:t>
      </w:r>
      <w:r w:rsidR="003F1AF1" w:rsidRPr="003F1AF1">
        <w:rPr>
          <w:rFonts w:cs="Arial"/>
          <w:szCs w:val="22"/>
          <w:lang w:val="en-GB"/>
        </w:rPr>
        <w:t>. Estuarine meadows, however, declined in extent</w:t>
      </w:r>
      <w:r w:rsidRPr="003F1AF1">
        <w:rPr>
          <w:rFonts w:cs="Arial"/>
          <w:szCs w:val="22"/>
          <w:lang w:val="en-GB"/>
        </w:rPr>
        <w:t xml:space="preserve">. </w:t>
      </w:r>
      <w:r w:rsidR="003F1AF1" w:rsidRPr="003F1AF1">
        <w:rPr>
          <w:rFonts w:cs="Arial"/>
          <w:szCs w:val="22"/>
          <w:lang w:val="en-GB"/>
        </w:rPr>
        <w:t xml:space="preserve">This decline was restricted to meadows in the south </w:t>
      </w:r>
      <w:r w:rsidR="003F1AF1" w:rsidRPr="003F1AF1">
        <w:rPr>
          <w:rFonts w:cs="Arial"/>
          <w:szCs w:val="22"/>
          <w:lang w:val="en-GB"/>
        </w:rPr>
        <w:lastRenderedPageBreak/>
        <w:t xml:space="preserve">(Urangan) which </w:t>
      </w:r>
      <w:r w:rsidR="003F1AF1" w:rsidRPr="003F1AF1">
        <w:rPr>
          <w:rFonts w:cs="Arial"/>
          <w:szCs w:val="22"/>
        </w:rPr>
        <w:t>have fluctuated greatly with periods of decline, absence and recovery</w:t>
      </w:r>
      <w:r w:rsidR="003F1AF1" w:rsidRPr="003F1AF1">
        <w:rPr>
          <w:rFonts w:cs="Arial"/>
          <w:szCs w:val="22"/>
          <w:lang w:val="en-GB"/>
        </w:rPr>
        <w:t xml:space="preserve"> o</w:t>
      </w:r>
      <w:r w:rsidRPr="003F1AF1">
        <w:rPr>
          <w:rFonts w:cs="Arial"/>
          <w:szCs w:val="22"/>
          <w:lang w:val="en-GB"/>
        </w:rPr>
        <w:t>ver the life of the MMP</w:t>
      </w:r>
      <w:r w:rsidRPr="003F1AF1">
        <w:rPr>
          <w:rFonts w:cs="Arial"/>
          <w:szCs w:val="22"/>
        </w:rPr>
        <w:t>.</w:t>
      </w:r>
    </w:p>
    <w:p w14:paraId="45CF646A" w14:textId="77777777" w:rsidR="003E1D94" w:rsidRPr="00D562E2" w:rsidRDefault="003E1D94" w:rsidP="00DD3BAE">
      <w:pPr>
        <w:rPr>
          <w:rFonts w:cs="Arial"/>
          <w:szCs w:val="22"/>
          <w:lang w:val="en-GB"/>
        </w:rPr>
      </w:pPr>
    </w:p>
    <w:p w14:paraId="404C233B" w14:textId="77777777" w:rsidR="003E1D94" w:rsidRPr="00D562E2" w:rsidRDefault="005B1EEC" w:rsidP="00DD3BAE">
      <w:pPr>
        <w:keepNext/>
        <w:widowControl w:val="0"/>
        <w:jc w:val="center"/>
        <w:rPr>
          <w:rFonts w:cs="Arial"/>
          <w:szCs w:val="22"/>
          <w:lang w:val="en-GB"/>
        </w:rPr>
      </w:pPr>
      <w:r w:rsidRPr="00D562E2">
        <w:rPr>
          <w:rFonts w:cs="Arial"/>
          <w:noProof/>
          <w:szCs w:val="22"/>
          <w:lang w:eastAsia="en-AU"/>
        </w:rPr>
        <w:drawing>
          <wp:inline distT="0" distB="0" distL="0" distR="0" wp14:anchorId="2C6D00D4" wp14:editId="536FB510">
            <wp:extent cx="4674948" cy="2065866"/>
            <wp:effectExtent l="0" t="0" r="0" b="0"/>
            <wp:docPr id="520" name="Picture 520" descr="Line graph showing spatial extent of seagrass meadows within a 100m radius of estuarine monitoring sites for each  monitoring period across the Burnett Mary NRM region over the life of the M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BM_extent_avg_2016.png"/>
                    <pic:cNvPicPr/>
                  </pic:nvPicPr>
                  <pic:blipFill>
                    <a:blip r:embed="rId137"/>
                    <a:stretch>
                      <a:fillRect/>
                    </a:stretch>
                  </pic:blipFill>
                  <pic:spPr>
                    <a:xfrm>
                      <a:off x="0" y="0"/>
                      <a:ext cx="4682894" cy="2069377"/>
                    </a:xfrm>
                    <a:prstGeom prst="rect">
                      <a:avLst/>
                    </a:prstGeom>
                  </pic:spPr>
                </pic:pic>
              </a:graphicData>
            </a:graphic>
          </wp:inline>
        </w:drawing>
      </w:r>
    </w:p>
    <w:p w14:paraId="43F0576A" w14:textId="32B22FF1" w:rsidR="003126B8" w:rsidRPr="00D562E2" w:rsidRDefault="005132EF" w:rsidP="00DD3BAE">
      <w:pPr>
        <w:rPr>
          <w:rFonts w:cs="Arial"/>
          <w:i/>
          <w:szCs w:val="22"/>
          <w:lang w:val="en-US"/>
        </w:rPr>
      </w:pPr>
      <w:bookmarkStart w:id="624" w:name="_Ref233166043"/>
      <w:bookmarkStart w:id="625" w:name="_Toc232846031"/>
      <w:bookmarkStart w:id="626" w:name="_Toc431493903"/>
      <w:bookmarkStart w:id="627" w:name="_Toc38634188"/>
      <w:r w:rsidRPr="00D562E2">
        <w:rPr>
          <w:rFonts w:cs="Arial"/>
          <w:szCs w:val="22"/>
          <w:lang w:val="en-US"/>
        </w:rPr>
        <w:t xml:space="preserve">Figure </w:t>
      </w:r>
      <w:r w:rsidR="0073595B" w:rsidRPr="00D562E2">
        <w:rPr>
          <w:rFonts w:cs="Arial"/>
          <w:szCs w:val="22"/>
          <w:lang w:val="en-US"/>
        </w:rPr>
        <w:fldChar w:fldCharType="begin"/>
      </w:r>
      <w:r w:rsidR="0073595B" w:rsidRPr="00D562E2">
        <w:rPr>
          <w:rFonts w:cs="Arial"/>
          <w:szCs w:val="22"/>
          <w:lang w:val="en-US"/>
        </w:rPr>
        <w:instrText xml:space="preserve"> SEQ Figure \* ARABIC </w:instrText>
      </w:r>
      <w:r w:rsidR="0073595B" w:rsidRPr="00D562E2">
        <w:rPr>
          <w:rFonts w:cs="Arial"/>
          <w:szCs w:val="22"/>
          <w:lang w:val="en-US"/>
        </w:rPr>
        <w:fldChar w:fldCharType="separate"/>
      </w:r>
      <w:r w:rsidR="0067675D">
        <w:rPr>
          <w:rFonts w:cs="Arial"/>
          <w:noProof/>
          <w:szCs w:val="22"/>
          <w:lang w:val="en-US"/>
        </w:rPr>
        <w:t>84</w:t>
      </w:r>
      <w:r w:rsidR="0073595B" w:rsidRPr="00D562E2">
        <w:rPr>
          <w:rFonts w:cs="Arial"/>
          <w:szCs w:val="22"/>
          <w:lang w:val="en-US"/>
        </w:rPr>
        <w:fldChar w:fldCharType="end"/>
      </w:r>
      <w:bookmarkEnd w:id="624"/>
      <w:r w:rsidRPr="00D562E2">
        <w:rPr>
          <w:rFonts w:cs="Arial"/>
          <w:szCs w:val="22"/>
          <w:lang w:val="en-US"/>
        </w:rPr>
        <w:t xml:space="preserve">. </w:t>
      </w:r>
      <w:bookmarkEnd w:id="625"/>
      <w:r w:rsidR="003126B8" w:rsidRPr="00D562E2">
        <w:rPr>
          <w:rFonts w:cs="Arial"/>
          <w:i/>
          <w:szCs w:val="22"/>
          <w:lang w:val="en-US"/>
        </w:rPr>
        <w:t xml:space="preserve">Change in spatial extent of </w:t>
      </w:r>
      <w:r w:rsidR="00995B85" w:rsidRPr="00D562E2">
        <w:rPr>
          <w:rFonts w:cs="Arial"/>
          <w:i/>
          <w:szCs w:val="22"/>
          <w:lang w:val="en-US"/>
        </w:rPr>
        <w:t xml:space="preserve">estuary </w:t>
      </w:r>
      <w:r w:rsidR="003126B8" w:rsidRPr="00D562E2">
        <w:rPr>
          <w:rFonts w:cs="Arial"/>
          <w:i/>
          <w:szCs w:val="22"/>
          <w:lang w:val="en-US"/>
        </w:rPr>
        <w:t xml:space="preserve">seagrass meadows within monitoring sites for each habitat and monitoring period across the </w:t>
      </w:r>
      <w:r w:rsidR="00B72AC4">
        <w:rPr>
          <w:rFonts w:cs="Arial"/>
          <w:i/>
          <w:szCs w:val="22"/>
          <w:lang w:val="en-US"/>
        </w:rPr>
        <w:t>Burnett–Mary</w:t>
      </w:r>
      <w:r w:rsidR="003126B8" w:rsidRPr="00D562E2">
        <w:rPr>
          <w:rFonts w:cs="Arial"/>
          <w:i/>
          <w:szCs w:val="22"/>
          <w:lang w:val="en-US"/>
        </w:rPr>
        <w:t xml:space="preserve"> NRM region.</w:t>
      </w:r>
      <w:bookmarkEnd w:id="626"/>
      <w:bookmarkEnd w:id="627"/>
    </w:p>
    <w:p w14:paraId="68E9086F" w14:textId="1FC27620" w:rsidR="005132EF" w:rsidRPr="00D562E2" w:rsidRDefault="005132EF" w:rsidP="008416AD">
      <w:pPr>
        <w:pStyle w:val="Heading4"/>
      </w:pPr>
      <w:bookmarkStart w:id="628" w:name="_Toc184102042"/>
      <w:bookmarkStart w:id="629" w:name="_Toc37775117"/>
      <w:bookmarkStart w:id="630" w:name="_Toc43987092"/>
      <w:r w:rsidRPr="00D562E2">
        <w:t>Seagrass reproductive status</w:t>
      </w:r>
      <w:bookmarkEnd w:id="628"/>
      <w:bookmarkEnd w:id="629"/>
      <w:bookmarkEnd w:id="630"/>
    </w:p>
    <w:p w14:paraId="2CE6E139" w14:textId="14263311" w:rsidR="00F86DA0" w:rsidRPr="00675140" w:rsidRDefault="004F52AE" w:rsidP="00DD3BAE">
      <w:pPr>
        <w:autoSpaceDE w:val="0"/>
        <w:autoSpaceDN w:val="0"/>
        <w:adjustRightInd w:val="0"/>
        <w:rPr>
          <w:rFonts w:cs="Arial"/>
          <w:szCs w:val="22"/>
          <w:lang w:val="en-GB"/>
        </w:rPr>
      </w:pPr>
      <w:r w:rsidRPr="00675140">
        <w:rPr>
          <w:rFonts w:cs="Arial"/>
          <w:szCs w:val="22"/>
          <w:lang w:val="en-GB"/>
        </w:rPr>
        <w:t xml:space="preserve">Seagrass reproductive effort </w:t>
      </w:r>
      <w:r w:rsidR="00675140" w:rsidRPr="00675140">
        <w:rPr>
          <w:rFonts w:cs="Arial"/>
          <w:szCs w:val="22"/>
          <w:lang w:val="en-GB"/>
        </w:rPr>
        <w:t>remained at zero across coastal habitats this year, but</w:t>
      </w:r>
      <w:r w:rsidR="00FA0B8D">
        <w:rPr>
          <w:rFonts w:cs="Arial"/>
          <w:szCs w:val="22"/>
          <w:lang w:val="en-GB"/>
        </w:rPr>
        <w:t xml:space="preserve"> increased</w:t>
      </w:r>
      <w:r w:rsidR="00675140" w:rsidRPr="00675140">
        <w:rPr>
          <w:rFonts w:cs="Arial"/>
          <w:szCs w:val="22"/>
          <w:lang w:val="en-GB"/>
        </w:rPr>
        <w:t xml:space="preserve"> at estuarine sites </w:t>
      </w:r>
      <w:r w:rsidR="00FA0B8D">
        <w:rPr>
          <w:rFonts w:cs="Arial"/>
          <w:szCs w:val="22"/>
          <w:lang w:val="en-GB"/>
        </w:rPr>
        <w:t>in the dry season compared to</w:t>
      </w:r>
      <w:r w:rsidR="0030756A" w:rsidRPr="00675140">
        <w:rPr>
          <w:rFonts w:cs="Arial"/>
          <w:szCs w:val="22"/>
          <w:lang w:val="en-GB"/>
        </w:rPr>
        <w:t xml:space="preserve"> t</w:t>
      </w:r>
      <w:r w:rsidR="0076617E" w:rsidRPr="00675140">
        <w:rPr>
          <w:rFonts w:cs="Arial"/>
          <w:szCs w:val="22"/>
          <w:lang w:val="en-GB"/>
        </w:rPr>
        <w:t xml:space="preserve">he </w:t>
      </w:r>
      <w:r w:rsidR="00B04051" w:rsidRPr="00675140">
        <w:rPr>
          <w:rFonts w:cs="Arial"/>
          <w:szCs w:val="22"/>
          <w:lang w:val="en-GB"/>
        </w:rPr>
        <w:t>previous monitoring period</w:t>
      </w:r>
      <w:r w:rsidR="00B802FF" w:rsidRPr="00675140">
        <w:rPr>
          <w:rFonts w:cs="Arial"/>
          <w:szCs w:val="22"/>
          <w:lang w:val="en-GB"/>
        </w:rPr>
        <w:t xml:space="preserve"> (</w:t>
      </w:r>
      <w:r w:rsidR="00B802FF" w:rsidRPr="00675140">
        <w:rPr>
          <w:rFonts w:cs="Arial"/>
          <w:szCs w:val="22"/>
          <w:lang w:val="en-GB"/>
        </w:rPr>
        <w:fldChar w:fldCharType="begin"/>
      </w:r>
      <w:r w:rsidR="00B802FF" w:rsidRPr="00675140">
        <w:rPr>
          <w:rFonts w:cs="Arial"/>
          <w:szCs w:val="22"/>
          <w:lang w:val="en-GB"/>
        </w:rPr>
        <w:instrText xml:space="preserve"> REF _Ref318458630 \h </w:instrText>
      </w:r>
      <w:r w:rsidR="00CB093C" w:rsidRPr="00675140">
        <w:rPr>
          <w:rFonts w:cs="Arial"/>
          <w:szCs w:val="22"/>
          <w:lang w:val="en-GB"/>
        </w:rPr>
        <w:instrText xml:space="preserve"> \* MERGEFORMAT </w:instrText>
      </w:r>
      <w:r w:rsidR="00B802FF" w:rsidRPr="00675140">
        <w:rPr>
          <w:rFonts w:cs="Arial"/>
          <w:szCs w:val="22"/>
          <w:lang w:val="en-GB"/>
        </w:rPr>
      </w:r>
      <w:r w:rsidR="00B802FF" w:rsidRPr="00675140">
        <w:rPr>
          <w:rFonts w:cs="Arial"/>
          <w:szCs w:val="22"/>
          <w:lang w:val="en-GB"/>
        </w:rPr>
        <w:fldChar w:fldCharType="separate"/>
      </w:r>
      <w:r w:rsidR="0067675D" w:rsidRPr="00D562E2">
        <w:rPr>
          <w:rFonts w:cs="Arial"/>
          <w:szCs w:val="22"/>
        </w:rPr>
        <w:t xml:space="preserve">Figure </w:t>
      </w:r>
      <w:r w:rsidR="0067675D">
        <w:rPr>
          <w:rFonts w:cs="Arial"/>
          <w:noProof/>
          <w:szCs w:val="22"/>
        </w:rPr>
        <w:t>85</w:t>
      </w:r>
      <w:r w:rsidR="00B802FF" w:rsidRPr="00675140">
        <w:rPr>
          <w:rFonts w:cs="Arial"/>
          <w:szCs w:val="22"/>
          <w:lang w:val="en-GB"/>
        </w:rPr>
        <w:fldChar w:fldCharType="end"/>
      </w:r>
      <w:r w:rsidR="00B802FF" w:rsidRPr="00675140">
        <w:rPr>
          <w:rFonts w:cs="Arial"/>
          <w:szCs w:val="22"/>
          <w:lang w:val="en-GB"/>
        </w:rPr>
        <w:t>)</w:t>
      </w:r>
      <w:r w:rsidR="00097C1D" w:rsidRPr="00675140">
        <w:rPr>
          <w:rFonts w:cs="Arial"/>
          <w:szCs w:val="22"/>
          <w:lang w:val="en-GB"/>
        </w:rPr>
        <w:t xml:space="preserve">. </w:t>
      </w:r>
      <w:r w:rsidR="0091038E" w:rsidRPr="00675140">
        <w:rPr>
          <w:rFonts w:cs="Arial"/>
          <w:szCs w:val="22"/>
          <w:lang w:val="en-GB"/>
        </w:rPr>
        <w:t xml:space="preserve">A seed bank persists at </w:t>
      </w:r>
      <w:r w:rsidR="00675140">
        <w:rPr>
          <w:rFonts w:cs="Arial"/>
          <w:szCs w:val="22"/>
          <w:lang w:val="en-GB"/>
        </w:rPr>
        <w:t xml:space="preserve">all meadows monitored across the region, </w:t>
      </w:r>
      <w:r w:rsidR="00A73D19" w:rsidRPr="00675140">
        <w:rPr>
          <w:rFonts w:cs="Arial"/>
          <w:szCs w:val="22"/>
          <w:lang w:val="en-GB"/>
        </w:rPr>
        <w:t xml:space="preserve">which was greater </w:t>
      </w:r>
      <w:r w:rsidR="00675140">
        <w:rPr>
          <w:rFonts w:cs="Arial"/>
          <w:szCs w:val="22"/>
          <w:lang w:val="en-GB"/>
        </w:rPr>
        <w:t xml:space="preserve">at </w:t>
      </w:r>
      <w:r w:rsidR="00675140" w:rsidRPr="00675140">
        <w:rPr>
          <w:rFonts w:cs="Arial"/>
          <w:szCs w:val="22"/>
          <w:lang w:val="en-GB"/>
        </w:rPr>
        <w:t xml:space="preserve">estuary sites </w:t>
      </w:r>
      <w:r w:rsidR="00A73D19" w:rsidRPr="00675140">
        <w:rPr>
          <w:rFonts w:cs="Arial"/>
          <w:szCs w:val="22"/>
          <w:lang w:val="en-GB"/>
        </w:rPr>
        <w:t xml:space="preserve">in </w:t>
      </w:r>
      <w:r w:rsidR="00956639" w:rsidRPr="00675140">
        <w:rPr>
          <w:rFonts w:cs="Arial"/>
          <w:szCs w:val="22"/>
          <w:lang w:val="en-GB"/>
        </w:rPr>
        <w:t>2018–19</w:t>
      </w:r>
      <w:r w:rsidR="00A73D19" w:rsidRPr="00675140">
        <w:rPr>
          <w:rFonts w:cs="Arial"/>
          <w:szCs w:val="22"/>
          <w:lang w:val="en-GB"/>
        </w:rPr>
        <w:t xml:space="preserve"> than the previous period</w:t>
      </w:r>
      <w:r w:rsidR="00B802FF" w:rsidRPr="00675140">
        <w:rPr>
          <w:rFonts w:cs="Arial"/>
          <w:szCs w:val="22"/>
          <w:lang w:val="en-GB"/>
        </w:rPr>
        <w:t xml:space="preserve"> (</w:t>
      </w:r>
      <w:r w:rsidR="00B802FF" w:rsidRPr="00675140">
        <w:rPr>
          <w:rFonts w:cs="Arial"/>
          <w:szCs w:val="22"/>
          <w:lang w:val="en-GB"/>
        </w:rPr>
        <w:fldChar w:fldCharType="begin"/>
      </w:r>
      <w:r w:rsidR="00B802FF" w:rsidRPr="00675140">
        <w:rPr>
          <w:rFonts w:cs="Arial"/>
          <w:szCs w:val="22"/>
          <w:lang w:val="en-GB"/>
        </w:rPr>
        <w:instrText xml:space="preserve"> REF _Ref318458630 \h </w:instrText>
      </w:r>
      <w:r w:rsidR="00CB093C" w:rsidRPr="00675140">
        <w:rPr>
          <w:rFonts w:cs="Arial"/>
          <w:szCs w:val="22"/>
          <w:lang w:val="en-GB"/>
        </w:rPr>
        <w:instrText xml:space="preserve"> \* MERGEFORMAT </w:instrText>
      </w:r>
      <w:r w:rsidR="00B802FF" w:rsidRPr="00675140">
        <w:rPr>
          <w:rFonts w:cs="Arial"/>
          <w:szCs w:val="22"/>
          <w:lang w:val="en-GB"/>
        </w:rPr>
      </w:r>
      <w:r w:rsidR="00B802FF" w:rsidRPr="00675140">
        <w:rPr>
          <w:rFonts w:cs="Arial"/>
          <w:szCs w:val="22"/>
          <w:lang w:val="en-GB"/>
        </w:rPr>
        <w:fldChar w:fldCharType="separate"/>
      </w:r>
      <w:r w:rsidR="0067675D" w:rsidRPr="00D562E2">
        <w:rPr>
          <w:rFonts w:cs="Arial"/>
          <w:szCs w:val="22"/>
        </w:rPr>
        <w:t xml:space="preserve">Figure </w:t>
      </w:r>
      <w:r w:rsidR="0067675D">
        <w:rPr>
          <w:rFonts w:cs="Arial"/>
          <w:noProof/>
          <w:szCs w:val="22"/>
        </w:rPr>
        <w:t>85</w:t>
      </w:r>
      <w:r w:rsidR="00B802FF" w:rsidRPr="00675140">
        <w:rPr>
          <w:rFonts w:cs="Arial"/>
          <w:szCs w:val="22"/>
          <w:lang w:val="en-GB"/>
        </w:rPr>
        <w:fldChar w:fldCharType="end"/>
      </w:r>
      <w:r w:rsidR="00B802FF" w:rsidRPr="00675140">
        <w:rPr>
          <w:rFonts w:cs="Arial"/>
          <w:szCs w:val="22"/>
          <w:lang w:val="en-GB"/>
        </w:rPr>
        <w:t>)</w:t>
      </w:r>
      <w:r w:rsidR="00A73D19" w:rsidRPr="00675140">
        <w:rPr>
          <w:rFonts w:cs="Arial"/>
          <w:szCs w:val="22"/>
          <w:lang w:val="en-GB"/>
        </w:rPr>
        <w:t>.</w:t>
      </w:r>
      <w:r w:rsidR="0091038E" w:rsidRPr="00675140">
        <w:rPr>
          <w:rFonts w:cs="Arial"/>
          <w:szCs w:val="22"/>
          <w:lang w:val="en-GB"/>
        </w:rPr>
        <w:t xml:space="preserve"> </w:t>
      </w:r>
      <w:r w:rsidR="00B802FF" w:rsidRPr="00675140">
        <w:rPr>
          <w:rFonts w:cs="Arial"/>
          <w:szCs w:val="22"/>
          <w:lang w:val="en-GB"/>
        </w:rPr>
        <w:t xml:space="preserve">This may indicate the meadows have a greater capacity to recover from the declining abundances, provided conditions are favourable. </w:t>
      </w:r>
    </w:p>
    <w:p w14:paraId="31625DB5" w14:textId="3189B41D" w:rsidR="00F86DA0" w:rsidRPr="00675140" w:rsidRDefault="00B802FF" w:rsidP="00DD3BAE">
      <w:pPr>
        <w:autoSpaceDE w:val="0"/>
        <w:autoSpaceDN w:val="0"/>
        <w:adjustRightInd w:val="0"/>
        <w:rPr>
          <w:rFonts w:cs="Arial"/>
          <w:szCs w:val="22"/>
          <w:lang w:val="en-GB"/>
        </w:rPr>
      </w:pPr>
      <w:r w:rsidRPr="00675140">
        <w:rPr>
          <w:rFonts w:cs="Arial"/>
          <w:szCs w:val="22"/>
          <w:lang w:val="en-GB"/>
        </w:rPr>
        <w:t xml:space="preserve">The apparent disconnect between reproductive effort and seed densities may be an artefact of the sampling frequency and the somewhat stochastic triggers and </w:t>
      </w:r>
      <w:r w:rsidR="001836C3" w:rsidRPr="00675140">
        <w:rPr>
          <w:rFonts w:cs="Arial"/>
          <w:szCs w:val="22"/>
          <w:lang w:val="en-GB"/>
        </w:rPr>
        <w:t xml:space="preserve">possibly </w:t>
      </w:r>
      <w:r w:rsidRPr="00675140">
        <w:rPr>
          <w:rFonts w:cs="Arial"/>
          <w:szCs w:val="22"/>
          <w:lang w:val="en-GB"/>
        </w:rPr>
        <w:t xml:space="preserve">short </w:t>
      </w:r>
      <w:r w:rsidR="001836C3" w:rsidRPr="00675140">
        <w:rPr>
          <w:rFonts w:cs="Arial"/>
          <w:szCs w:val="22"/>
          <w:lang w:val="en-GB"/>
        </w:rPr>
        <w:t>flowering period</w:t>
      </w:r>
      <w:r w:rsidR="00675140">
        <w:rPr>
          <w:rFonts w:cs="Arial"/>
          <w:szCs w:val="22"/>
          <w:lang w:val="en-GB"/>
        </w:rPr>
        <w:t>.</w:t>
      </w:r>
    </w:p>
    <w:p w14:paraId="65B2966E" w14:textId="77777777" w:rsidR="0030756A" w:rsidRPr="00D562E2" w:rsidRDefault="0030756A" w:rsidP="00DD3BAE">
      <w:pPr>
        <w:autoSpaceDE w:val="0"/>
        <w:autoSpaceDN w:val="0"/>
        <w:adjustRightInd w:val="0"/>
        <w:rPr>
          <w:rFonts w:cs="Arial"/>
          <w:szCs w:val="22"/>
          <w:lang w:val="en-GB"/>
        </w:rPr>
      </w:pPr>
    </w:p>
    <w:p w14:paraId="39F04FD3" w14:textId="77777777" w:rsidR="003E1D94" w:rsidRPr="00D562E2" w:rsidRDefault="005B1EEC" w:rsidP="00DD3BAE">
      <w:pPr>
        <w:autoSpaceDE w:val="0"/>
        <w:autoSpaceDN w:val="0"/>
        <w:adjustRightInd w:val="0"/>
        <w:jc w:val="center"/>
        <w:rPr>
          <w:rFonts w:cs="Arial"/>
          <w:iCs/>
          <w:szCs w:val="22"/>
        </w:rPr>
      </w:pPr>
      <w:r w:rsidRPr="00D562E2">
        <w:rPr>
          <w:rFonts w:cs="Arial"/>
          <w:iCs/>
          <w:noProof/>
          <w:szCs w:val="22"/>
          <w:lang w:eastAsia="en-AU"/>
        </w:rPr>
        <w:lastRenderedPageBreak/>
        <w:drawing>
          <wp:inline distT="0" distB="0" distL="0" distR="0" wp14:anchorId="707556E1" wp14:editId="08FADAAD">
            <wp:extent cx="5616858" cy="1935716"/>
            <wp:effectExtent l="0" t="0" r="3175" b="7620"/>
            <wp:docPr id="521" name="Picture 521" descr="Panel of two composite bar and scatter plot graphs showing seed banks (bars) and reproductive effort (dots) at inshore intertidal habitats in the Burnett Mar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BM_repro16.png"/>
                    <pic:cNvPicPr/>
                  </pic:nvPicPr>
                  <pic:blipFill>
                    <a:blip r:embed="rId138"/>
                    <a:stretch>
                      <a:fillRect/>
                    </a:stretch>
                  </pic:blipFill>
                  <pic:spPr>
                    <a:xfrm>
                      <a:off x="0" y="0"/>
                      <a:ext cx="5616858" cy="1935716"/>
                    </a:xfrm>
                    <a:prstGeom prst="rect">
                      <a:avLst/>
                    </a:prstGeom>
                  </pic:spPr>
                </pic:pic>
              </a:graphicData>
            </a:graphic>
          </wp:inline>
        </w:drawing>
      </w:r>
    </w:p>
    <w:p w14:paraId="716B9A29" w14:textId="1E0CEF1D" w:rsidR="00807368" w:rsidRPr="00867E8C" w:rsidRDefault="005132EF" w:rsidP="00807368">
      <w:pPr>
        <w:rPr>
          <w:rFonts w:cs="Arial"/>
          <w:i/>
          <w:vanish/>
          <w:szCs w:val="22"/>
          <w:specVanish/>
        </w:rPr>
      </w:pPr>
      <w:bookmarkStart w:id="631" w:name="_Ref318458630"/>
      <w:bookmarkStart w:id="632" w:name="_Toc431493904"/>
      <w:bookmarkStart w:id="633" w:name="_Toc38634189"/>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85</w:t>
      </w:r>
      <w:r w:rsidR="00C506C7" w:rsidRPr="00D562E2">
        <w:rPr>
          <w:rFonts w:cs="Arial"/>
          <w:noProof/>
          <w:szCs w:val="22"/>
        </w:rPr>
        <w:fldChar w:fldCharType="end"/>
      </w:r>
      <w:bookmarkEnd w:id="631"/>
      <w:r w:rsidRPr="00D562E2">
        <w:rPr>
          <w:rFonts w:cs="Arial"/>
          <w:szCs w:val="22"/>
        </w:rPr>
        <w:t xml:space="preserve">. </w:t>
      </w:r>
      <w:r w:rsidR="00B72AC4">
        <w:rPr>
          <w:rFonts w:cs="Arial"/>
          <w:i/>
          <w:szCs w:val="22"/>
        </w:rPr>
        <w:t>Burnett–Mary</w:t>
      </w:r>
      <w:r w:rsidR="008C23B1" w:rsidRPr="00D562E2">
        <w:rPr>
          <w:rFonts w:cs="Arial"/>
          <w:i/>
          <w:szCs w:val="22"/>
        </w:rPr>
        <w:t xml:space="preserve"> estuary seed bank and reproductive </w:t>
      </w:r>
      <w:bookmarkEnd w:id="632"/>
      <w:r w:rsidR="003371EC" w:rsidRPr="00D562E2">
        <w:rPr>
          <w:rFonts w:cs="Arial"/>
          <w:i/>
          <w:szCs w:val="22"/>
        </w:rPr>
        <w:t>effort</w:t>
      </w:r>
      <w:bookmarkEnd w:id="633"/>
    </w:p>
    <w:p w14:paraId="6A273454" w14:textId="1C351174" w:rsidR="004926CE" w:rsidRPr="00D562E2" w:rsidRDefault="003371EC" w:rsidP="00807368">
      <w:pPr>
        <w:rPr>
          <w:rFonts w:cs="Arial"/>
          <w:szCs w:val="22"/>
        </w:rPr>
      </w:pPr>
      <w:r w:rsidRPr="00D562E2">
        <w:rPr>
          <w:rFonts w:cs="Arial"/>
          <w:i/>
          <w:szCs w:val="22"/>
        </w:rPr>
        <w:t>. Seed</w:t>
      </w:r>
      <w:r w:rsidR="00C73F73" w:rsidRPr="00D562E2">
        <w:rPr>
          <w:rFonts w:cs="Arial"/>
          <w:i/>
          <w:szCs w:val="22"/>
        </w:rPr>
        <w:t xml:space="preserve"> bank presented as the total number of seeds per m</w:t>
      </w:r>
      <w:r w:rsidR="00C73F73" w:rsidRPr="00D562E2">
        <w:rPr>
          <w:rFonts w:cs="Arial"/>
          <w:i/>
          <w:szCs w:val="22"/>
          <w:vertAlign w:val="superscript"/>
        </w:rPr>
        <w:t>2</w:t>
      </w:r>
      <w:r w:rsidR="00C73F73" w:rsidRPr="00D562E2">
        <w:rPr>
          <w:rFonts w:cs="Arial"/>
          <w:i/>
          <w:szCs w:val="22"/>
        </w:rPr>
        <w:t xml:space="preserve"> sediment surface and reproductive effort</w:t>
      </w:r>
      <w:r w:rsidR="008C23B1" w:rsidRPr="00D562E2">
        <w:rPr>
          <w:rFonts w:cs="Arial"/>
          <w:i/>
          <w:szCs w:val="22"/>
        </w:rPr>
        <w:t xml:space="preserve"> presented as the average number of reproductive structures per c</w:t>
      </w:r>
      <w:r w:rsidR="002C16F4" w:rsidRPr="00D562E2">
        <w:rPr>
          <w:rFonts w:cs="Arial"/>
          <w:i/>
          <w:szCs w:val="22"/>
        </w:rPr>
        <w:t>ore (species and sites pooled)</w:t>
      </w:r>
      <w:r w:rsidR="008C23B1" w:rsidRPr="00D562E2">
        <w:rPr>
          <w:rFonts w:cs="Arial"/>
          <w:i/>
          <w:szCs w:val="22"/>
        </w:rPr>
        <w:t>.</w:t>
      </w:r>
      <w:r w:rsidR="00C73F73" w:rsidRPr="00D562E2">
        <w:rPr>
          <w:rFonts w:cs="Arial"/>
          <w:szCs w:val="22"/>
        </w:rPr>
        <w:t xml:space="preserve"> </w:t>
      </w:r>
    </w:p>
    <w:p w14:paraId="6787EF70" w14:textId="214D99AA" w:rsidR="00364338" w:rsidRPr="00D562E2" w:rsidRDefault="00364338" w:rsidP="008416AD">
      <w:pPr>
        <w:pStyle w:val="Heading4"/>
      </w:pPr>
      <w:bookmarkStart w:id="634" w:name="_Toc37775118"/>
      <w:bookmarkStart w:id="635" w:name="_Toc43987093"/>
      <w:r w:rsidRPr="00D562E2">
        <w:t>Seagrass leaf tissue nutrients</w:t>
      </w:r>
      <w:bookmarkEnd w:id="634"/>
      <w:bookmarkEnd w:id="635"/>
    </w:p>
    <w:p w14:paraId="504A004B" w14:textId="1E343768" w:rsidR="00976640" w:rsidRPr="00B3597E" w:rsidRDefault="005132EF" w:rsidP="00E964D0">
      <w:pPr>
        <w:rPr>
          <w:rFonts w:cs="Arial"/>
          <w:iCs/>
          <w:szCs w:val="22"/>
        </w:rPr>
      </w:pPr>
      <w:r w:rsidRPr="00B3597E">
        <w:rPr>
          <w:rFonts w:cs="Arial"/>
          <w:iCs/>
          <w:szCs w:val="22"/>
        </w:rPr>
        <w:t>In 201</w:t>
      </w:r>
      <w:r w:rsidR="00675140" w:rsidRPr="00B3597E">
        <w:rPr>
          <w:rFonts w:cs="Arial"/>
          <w:iCs/>
          <w:szCs w:val="22"/>
        </w:rPr>
        <w:t>8</w:t>
      </w:r>
      <w:r w:rsidRPr="00B3597E">
        <w:rPr>
          <w:rFonts w:cs="Arial"/>
          <w:iCs/>
          <w:szCs w:val="22"/>
        </w:rPr>
        <w:t xml:space="preserve">, </w:t>
      </w:r>
      <w:r w:rsidR="00B55FCB" w:rsidRPr="00B3597E">
        <w:rPr>
          <w:rFonts w:cs="Arial"/>
          <w:i/>
          <w:szCs w:val="22"/>
        </w:rPr>
        <w:t>Zostera muelleri</w:t>
      </w:r>
      <w:r w:rsidR="00B55FCB" w:rsidRPr="00B3597E">
        <w:rPr>
          <w:rFonts w:cs="Arial"/>
          <w:szCs w:val="22"/>
        </w:rPr>
        <w:t xml:space="preserve"> </w:t>
      </w:r>
      <w:r w:rsidR="00B55FCB" w:rsidRPr="00B3597E">
        <w:rPr>
          <w:rFonts w:cs="Arial"/>
          <w:iCs/>
          <w:szCs w:val="22"/>
        </w:rPr>
        <w:t xml:space="preserve">leaf </w:t>
      </w:r>
      <w:r w:rsidR="00976640" w:rsidRPr="00B3597E">
        <w:rPr>
          <w:rFonts w:cs="Arial"/>
          <w:iCs/>
          <w:szCs w:val="22"/>
        </w:rPr>
        <w:t xml:space="preserve">tissue </w:t>
      </w:r>
      <w:r w:rsidR="00B55FCB" w:rsidRPr="00B3597E">
        <w:rPr>
          <w:rFonts w:cs="Arial"/>
          <w:iCs/>
          <w:szCs w:val="22"/>
        </w:rPr>
        <w:t>molar C:N</w:t>
      </w:r>
      <w:r w:rsidR="00976640" w:rsidRPr="00B3597E">
        <w:rPr>
          <w:rFonts w:cs="Arial"/>
          <w:iCs/>
          <w:szCs w:val="22"/>
        </w:rPr>
        <w:t xml:space="preserve">, C:P and N:P </w:t>
      </w:r>
      <w:r w:rsidR="00B55FCB" w:rsidRPr="00B3597E">
        <w:rPr>
          <w:rFonts w:cs="Arial"/>
          <w:iCs/>
          <w:szCs w:val="22"/>
        </w:rPr>
        <w:t xml:space="preserve">ratios </w:t>
      </w:r>
      <w:r w:rsidR="00675140" w:rsidRPr="00B3597E">
        <w:rPr>
          <w:rFonts w:cs="Arial"/>
          <w:iCs/>
          <w:szCs w:val="22"/>
        </w:rPr>
        <w:t>remained steady</w:t>
      </w:r>
      <w:r w:rsidR="006F2136" w:rsidRPr="00B3597E">
        <w:rPr>
          <w:rFonts w:cs="Arial"/>
          <w:iCs/>
          <w:szCs w:val="22"/>
        </w:rPr>
        <w:t xml:space="preserve"> </w:t>
      </w:r>
      <w:r w:rsidR="004529C1" w:rsidRPr="00B3597E">
        <w:rPr>
          <w:rFonts w:cs="Arial"/>
          <w:iCs/>
          <w:szCs w:val="22"/>
        </w:rPr>
        <w:t>at the estuary sites compared to the previous year</w:t>
      </w:r>
      <w:r w:rsidR="00EF7400" w:rsidRPr="00B3597E">
        <w:rPr>
          <w:rFonts w:cs="Arial"/>
          <w:iCs/>
          <w:szCs w:val="22"/>
        </w:rPr>
        <w:t xml:space="preserve"> </w:t>
      </w:r>
      <w:r w:rsidR="00830213" w:rsidRPr="00B3597E">
        <w:rPr>
          <w:rFonts w:cs="Arial"/>
          <w:iCs/>
          <w:szCs w:val="22"/>
        </w:rPr>
        <w:t>(</w:t>
      </w:r>
      <w:r w:rsidR="00E964D0" w:rsidRPr="00B3597E">
        <w:rPr>
          <w:rFonts w:cs="Arial"/>
          <w:iCs/>
          <w:szCs w:val="22"/>
        </w:rPr>
        <w:fldChar w:fldCharType="begin"/>
      </w:r>
      <w:r w:rsidR="00E964D0" w:rsidRPr="00B3597E">
        <w:rPr>
          <w:rFonts w:cs="Arial"/>
          <w:iCs/>
          <w:szCs w:val="22"/>
        </w:rPr>
        <w:instrText xml:space="preserve"> REF _Ref410308585 \h </w:instrText>
      </w:r>
      <w:r w:rsidR="00CB093C" w:rsidRPr="00B3597E">
        <w:rPr>
          <w:rFonts w:cs="Arial"/>
          <w:iCs/>
          <w:szCs w:val="22"/>
        </w:rPr>
        <w:instrText xml:space="preserve"> \* MERGEFORMAT </w:instrText>
      </w:r>
      <w:r w:rsidR="00E964D0" w:rsidRPr="00B3597E">
        <w:rPr>
          <w:rFonts w:cs="Arial"/>
          <w:iCs/>
          <w:szCs w:val="22"/>
        </w:rPr>
      </w:r>
      <w:r w:rsidR="00E964D0" w:rsidRPr="00B3597E">
        <w:rPr>
          <w:rFonts w:cs="Arial"/>
          <w:iCs/>
          <w:szCs w:val="22"/>
        </w:rPr>
        <w:fldChar w:fldCharType="separate"/>
      </w:r>
      <w:r w:rsidR="0067675D" w:rsidRPr="00D562E2">
        <w:rPr>
          <w:rFonts w:cs="Arial"/>
          <w:szCs w:val="22"/>
        </w:rPr>
        <w:t xml:space="preserve">Figure </w:t>
      </w:r>
      <w:r w:rsidR="0067675D">
        <w:rPr>
          <w:rFonts w:cs="Arial"/>
          <w:noProof/>
          <w:szCs w:val="22"/>
        </w:rPr>
        <w:t>86</w:t>
      </w:r>
      <w:r w:rsidR="00E964D0" w:rsidRPr="00B3597E">
        <w:rPr>
          <w:rFonts w:cs="Arial"/>
          <w:iCs/>
          <w:szCs w:val="22"/>
        </w:rPr>
        <w:fldChar w:fldCharType="end"/>
      </w:r>
      <w:r w:rsidR="00830213" w:rsidRPr="00B3597E">
        <w:rPr>
          <w:rFonts w:cs="Arial"/>
          <w:iCs/>
          <w:szCs w:val="22"/>
        </w:rPr>
        <w:t>)</w:t>
      </w:r>
      <w:r w:rsidR="001E1D1D" w:rsidRPr="00B3597E">
        <w:rPr>
          <w:rFonts w:cs="Arial"/>
          <w:iCs/>
          <w:szCs w:val="22"/>
        </w:rPr>
        <w:t xml:space="preserve">. </w:t>
      </w:r>
      <w:r w:rsidR="00976640" w:rsidRPr="00B3597E">
        <w:rPr>
          <w:rFonts w:cs="Arial"/>
          <w:iCs/>
          <w:szCs w:val="22"/>
        </w:rPr>
        <w:t xml:space="preserve">This indicates a surplus of N relative to photosynthetic C incorporation, and equally high P availability. The marginally less negative </w:t>
      </w:r>
      <w:r w:rsidR="00976640" w:rsidRPr="00B3597E">
        <w:rPr>
          <w:rFonts w:cs="Arial"/>
          <w:iCs/>
          <w:szCs w:val="22"/>
        </w:rPr>
        <w:sym w:font="Symbol" w:char="F064"/>
      </w:r>
      <w:r w:rsidR="00976640" w:rsidRPr="00B3597E">
        <w:rPr>
          <w:rFonts w:cs="Arial"/>
          <w:iCs/>
          <w:szCs w:val="22"/>
          <w:vertAlign w:val="superscript"/>
        </w:rPr>
        <w:t>13</w:t>
      </w:r>
      <w:r w:rsidR="00976640" w:rsidRPr="00B3597E">
        <w:rPr>
          <w:rFonts w:cs="Arial"/>
          <w:iCs/>
          <w:szCs w:val="22"/>
        </w:rPr>
        <w:t>C indicates improved light availability, particul</w:t>
      </w:r>
      <w:r w:rsidR="00F776EF">
        <w:rPr>
          <w:rFonts w:cs="Arial"/>
          <w:iCs/>
          <w:szCs w:val="22"/>
        </w:rPr>
        <w:t>ar</w:t>
      </w:r>
      <w:r w:rsidR="00976640" w:rsidRPr="00B3597E">
        <w:rPr>
          <w:rFonts w:cs="Arial"/>
          <w:iCs/>
          <w:szCs w:val="22"/>
        </w:rPr>
        <w:t>ly in the meadows to the north of the region (Rodds Bay).</w:t>
      </w:r>
    </w:p>
    <w:p w14:paraId="45F3CDE0" w14:textId="42A7F622" w:rsidR="00E964D0" w:rsidRPr="00D562E2" w:rsidRDefault="00257FE0" w:rsidP="00034AD4">
      <w:pPr>
        <w:rPr>
          <w:rFonts w:cs="Arial"/>
          <w:iCs/>
          <w:color w:val="000000" w:themeColor="text1"/>
          <w:szCs w:val="22"/>
        </w:rPr>
      </w:pPr>
      <w:r w:rsidRPr="00821D24">
        <w:rPr>
          <w:rFonts w:cs="Arial"/>
          <w:iCs/>
          <w:szCs w:val="22"/>
        </w:rPr>
        <w:t xml:space="preserve">At the coastal sites, </w:t>
      </w:r>
      <w:r w:rsidR="00E964D0" w:rsidRPr="00821D24">
        <w:rPr>
          <w:rFonts w:cs="Arial"/>
          <w:iCs/>
          <w:szCs w:val="22"/>
        </w:rPr>
        <w:t xml:space="preserve">seagrass </w:t>
      </w:r>
      <w:r w:rsidR="001836C3" w:rsidRPr="00821D24">
        <w:rPr>
          <w:rFonts w:cs="Arial"/>
          <w:iCs/>
          <w:szCs w:val="22"/>
        </w:rPr>
        <w:t>(</w:t>
      </w:r>
      <w:r w:rsidR="001836C3" w:rsidRPr="00821D24">
        <w:rPr>
          <w:rFonts w:cs="Arial"/>
          <w:i/>
          <w:iCs/>
          <w:szCs w:val="22"/>
        </w:rPr>
        <w:t>Halodule uninervis</w:t>
      </w:r>
      <w:r w:rsidR="001836C3" w:rsidRPr="00821D24">
        <w:rPr>
          <w:rFonts w:cs="Arial"/>
          <w:iCs/>
          <w:szCs w:val="22"/>
        </w:rPr>
        <w:t xml:space="preserve"> and </w:t>
      </w:r>
      <w:r w:rsidR="001836C3" w:rsidRPr="00821D24">
        <w:rPr>
          <w:rFonts w:cs="Arial"/>
          <w:i/>
          <w:szCs w:val="22"/>
        </w:rPr>
        <w:t>Zostera muelleri</w:t>
      </w:r>
      <w:r w:rsidR="001836C3" w:rsidRPr="00821D24">
        <w:rPr>
          <w:rFonts w:cs="Arial"/>
          <w:iCs/>
          <w:szCs w:val="22"/>
        </w:rPr>
        <w:t xml:space="preserve">) </w:t>
      </w:r>
      <w:r w:rsidRPr="00821D24">
        <w:rPr>
          <w:rFonts w:cs="Arial"/>
          <w:iCs/>
          <w:szCs w:val="22"/>
        </w:rPr>
        <w:t>leaf molar C:N ratios</w:t>
      </w:r>
      <w:r w:rsidR="00E964D0" w:rsidRPr="00821D24">
        <w:rPr>
          <w:rFonts w:cs="Arial"/>
          <w:iCs/>
          <w:szCs w:val="22"/>
        </w:rPr>
        <w:t xml:space="preserve"> were similar to the previous year, remaining below 20 (</w:t>
      </w:r>
      <w:r w:rsidR="00E964D0" w:rsidRPr="00821D24">
        <w:rPr>
          <w:rFonts w:cs="Arial"/>
          <w:iCs/>
          <w:szCs w:val="22"/>
        </w:rPr>
        <w:fldChar w:fldCharType="begin"/>
      </w:r>
      <w:r w:rsidR="00E964D0" w:rsidRPr="00821D24">
        <w:rPr>
          <w:rFonts w:cs="Arial"/>
          <w:iCs/>
          <w:szCs w:val="22"/>
        </w:rPr>
        <w:instrText xml:space="preserve"> REF _Ref410308585 \h </w:instrText>
      </w:r>
      <w:r w:rsidR="00CB093C" w:rsidRPr="00821D24">
        <w:rPr>
          <w:rFonts w:cs="Arial"/>
          <w:iCs/>
          <w:szCs w:val="22"/>
        </w:rPr>
        <w:instrText xml:space="preserve"> \* MERGEFORMAT </w:instrText>
      </w:r>
      <w:r w:rsidR="00E964D0" w:rsidRPr="00821D24">
        <w:rPr>
          <w:rFonts w:cs="Arial"/>
          <w:iCs/>
          <w:szCs w:val="22"/>
        </w:rPr>
      </w:r>
      <w:r w:rsidR="00E964D0" w:rsidRPr="00821D24">
        <w:rPr>
          <w:rFonts w:cs="Arial"/>
          <w:iCs/>
          <w:szCs w:val="22"/>
        </w:rPr>
        <w:fldChar w:fldCharType="separate"/>
      </w:r>
      <w:r w:rsidR="0067675D" w:rsidRPr="00D562E2">
        <w:rPr>
          <w:rFonts w:cs="Arial"/>
          <w:szCs w:val="22"/>
        </w:rPr>
        <w:t xml:space="preserve">Figure </w:t>
      </w:r>
      <w:r w:rsidR="0067675D">
        <w:rPr>
          <w:rFonts w:cs="Arial"/>
          <w:noProof/>
          <w:szCs w:val="22"/>
        </w:rPr>
        <w:t>86</w:t>
      </w:r>
      <w:r w:rsidR="00E964D0" w:rsidRPr="00821D24">
        <w:rPr>
          <w:rFonts w:cs="Arial"/>
          <w:iCs/>
          <w:szCs w:val="22"/>
        </w:rPr>
        <w:fldChar w:fldCharType="end"/>
      </w:r>
      <w:r w:rsidR="00E964D0" w:rsidRPr="00821D24">
        <w:rPr>
          <w:rFonts w:cs="Arial"/>
          <w:iCs/>
          <w:szCs w:val="22"/>
        </w:rPr>
        <w:t xml:space="preserve">), indicating a surplus of N relative to photosynthetic C incorporation. N:P ratios remained very high (above 40), which </w:t>
      </w:r>
      <w:r w:rsidR="00F86DA0" w:rsidRPr="00821D24">
        <w:rPr>
          <w:rFonts w:cs="Arial"/>
          <w:iCs/>
          <w:szCs w:val="22"/>
        </w:rPr>
        <w:t>is</w:t>
      </w:r>
      <w:r w:rsidR="00E964D0" w:rsidRPr="00821D24">
        <w:rPr>
          <w:rFonts w:cs="Arial"/>
          <w:iCs/>
          <w:szCs w:val="22"/>
        </w:rPr>
        <w:t xml:space="preserve"> higher than global median </w:t>
      </w:r>
      <w:r w:rsidR="003C311A">
        <w:rPr>
          <w:rFonts w:cs="Arial"/>
          <w:iCs/>
          <w:szCs w:val="22"/>
        </w:rPr>
        <w:t>%</w:t>
      </w:r>
      <w:r w:rsidR="00E964D0" w:rsidRPr="00821D24">
        <w:rPr>
          <w:rFonts w:cs="Arial"/>
          <w:iCs/>
          <w:szCs w:val="22"/>
        </w:rPr>
        <w:t>N, indicat</w:t>
      </w:r>
      <w:r w:rsidR="00F86DA0" w:rsidRPr="00821D24">
        <w:rPr>
          <w:rFonts w:cs="Arial"/>
          <w:iCs/>
          <w:szCs w:val="22"/>
        </w:rPr>
        <w:t>ing</w:t>
      </w:r>
      <w:r w:rsidR="00E964D0" w:rsidRPr="00821D24">
        <w:rPr>
          <w:rFonts w:cs="Arial"/>
          <w:iCs/>
          <w:szCs w:val="22"/>
        </w:rPr>
        <w:t xml:space="preserve"> surplus (elevated) availability of N</w:t>
      </w:r>
      <w:r w:rsidR="00FA75F8" w:rsidRPr="00821D24">
        <w:rPr>
          <w:rFonts w:cs="Arial"/>
          <w:iCs/>
          <w:szCs w:val="22"/>
        </w:rPr>
        <w:t xml:space="preserve"> </w:t>
      </w:r>
      <w:r w:rsidR="00E964D0" w:rsidRPr="00821D24">
        <w:rPr>
          <w:rFonts w:cs="Arial"/>
          <w:iCs/>
          <w:szCs w:val="22"/>
        </w:rPr>
        <w:t>(</w:t>
      </w:r>
      <w:r w:rsidR="00E964D0" w:rsidRPr="00821D24">
        <w:rPr>
          <w:rFonts w:cs="Arial"/>
          <w:iCs/>
          <w:szCs w:val="22"/>
        </w:rPr>
        <w:fldChar w:fldCharType="begin"/>
      </w:r>
      <w:r w:rsidR="00E964D0" w:rsidRPr="00821D24">
        <w:rPr>
          <w:rFonts w:cs="Arial"/>
          <w:iCs/>
          <w:szCs w:val="22"/>
        </w:rPr>
        <w:instrText xml:space="preserve"> REF _Ref410308585 \h </w:instrText>
      </w:r>
      <w:r w:rsidR="00CB093C" w:rsidRPr="00821D24">
        <w:rPr>
          <w:rFonts w:cs="Arial"/>
          <w:iCs/>
          <w:szCs w:val="22"/>
        </w:rPr>
        <w:instrText xml:space="preserve"> \* MERGEFORMAT </w:instrText>
      </w:r>
      <w:r w:rsidR="00E964D0" w:rsidRPr="00821D24">
        <w:rPr>
          <w:rFonts w:cs="Arial"/>
          <w:iCs/>
          <w:szCs w:val="22"/>
        </w:rPr>
      </w:r>
      <w:r w:rsidR="00E964D0" w:rsidRPr="00821D24">
        <w:rPr>
          <w:rFonts w:cs="Arial"/>
          <w:iCs/>
          <w:szCs w:val="22"/>
        </w:rPr>
        <w:fldChar w:fldCharType="separate"/>
      </w:r>
      <w:r w:rsidR="0067675D" w:rsidRPr="00D562E2">
        <w:rPr>
          <w:rFonts w:cs="Arial"/>
          <w:szCs w:val="22"/>
        </w:rPr>
        <w:t xml:space="preserve">Figure </w:t>
      </w:r>
      <w:r w:rsidR="0067675D">
        <w:rPr>
          <w:rFonts w:cs="Arial"/>
          <w:noProof/>
          <w:szCs w:val="22"/>
        </w:rPr>
        <w:t>86</w:t>
      </w:r>
      <w:r w:rsidR="00E964D0" w:rsidRPr="00821D24">
        <w:rPr>
          <w:rFonts w:cs="Arial"/>
          <w:iCs/>
          <w:szCs w:val="22"/>
        </w:rPr>
        <w:fldChar w:fldCharType="end"/>
      </w:r>
      <w:r w:rsidR="00E964D0" w:rsidRPr="00821D24">
        <w:rPr>
          <w:rFonts w:cs="Arial"/>
          <w:iCs/>
          <w:szCs w:val="22"/>
        </w:rPr>
        <w:t>)</w:t>
      </w:r>
      <w:r w:rsidR="00E964D0" w:rsidRPr="00821D24">
        <w:rPr>
          <w:rFonts w:cs="Arial"/>
          <w:szCs w:val="22"/>
          <w:lang w:val="en-GB"/>
        </w:rPr>
        <w:t>.</w:t>
      </w:r>
    </w:p>
    <w:p w14:paraId="44EED2DD" w14:textId="77777777" w:rsidR="003E1D94" w:rsidRPr="00D562E2" w:rsidRDefault="005B1EEC" w:rsidP="00DE2FE4">
      <w:pPr>
        <w:jc w:val="center"/>
        <w:rPr>
          <w:rFonts w:cs="Arial"/>
          <w:iCs/>
          <w:color w:val="000000"/>
          <w:szCs w:val="22"/>
        </w:rPr>
      </w:pPr>
      <w:r w:rsidRPr="00D562E2">
        <w:rPr>
          <w:rFonts w:cs="Arial"/>
          <w:iCs/>
          <w:noProof/>
          <w:color w:val="000000"/>
          <w:szCs w:val="22"/>
          <w:lang w:eastAsia="en-AU"/>
        </w:rPr>
        <w:lastRenderedPageBreak/>
        <w:drawing>
          <wp:inline distT="0" distB="0" distL="0" distR="0" wp14:anchorId="006DB640" wp14:editId="4ABBA547">
            <wp:extent cx="5548166" cy="6535991"/>
            <wp:effectExtent l="0" t="0" r="0" b="0"/>
            <wp:docPr id="522" name="Picture 522" descr="Set of fourteen scatter plots, displayed in seven by two matrix, with straight lines and markers showing annual elemental ratios (atomic) of seagrass leaf tissue C:N, N:P, C:P, percent Nitrogen, percent Phosphorous, delta 13 Carbon and delta 15 Nitrogen concentrations for the three seagrass habitats in the Burnett Mary NRM region from 2006 t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BM_CNP_Dec16.png"/>
                    <pic:cNvPicPr/>
                  </pic:nvPicPr>
                  <pic:blipFill>
                    <a:blip r:embed="rId139"/>
                    <a:stretch>
                      <a:fillRect/>
                    </a:stretch>
                  </pic:blipFill>
                  <pic:spPr>
                    <a:xfrm>
                      <a:off x="0" y="0"/>
                      <a:ext cx="5558436" cy="6548089"/>
                    </a:xfrm>
                    <a:prstGeom prst="rect">
                      <a:avLst/>
                    </a:prstGeom>
                  </pic:spPr>
                </pic:pic>
              </a:graphicData>
            </a:graphic>
          </wp:inline>
        </w:drawing>
      </w:r>
    </w:p>
    <w:p w14:paraId="491F82B6" w14:textId="6BC18F33" w:rsidR="004E65AD" w:rsidRPr="00D562E2" w:rsidRDefault="00830213" w:rsidP="004E65AD">
      <w:pPr>
        <w:rPr>
          <w:rFonts w:cs="Arial"/>
          <w:i/>
          <w:vanish/>
          <w:color w:val="000000" w:themeColor="text1"/>
          <w:szCs w:val="22"/>
          <w:specVanish/>
        </w:rPr>
      </w:pPr>
      <w:bookmarkStart w:id="636" w:name="_Ref410308585"/>
      <w:bookmarkStart w:id="637" w:name="_Toc431493906"/>
      <w:bookmarkStart w:id="638" w:name="_Toc38634190"/>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86</w:t>
      </w:r>
      <w:r w:rsidR="00C506C7" w:rsidRPr="00D562E2">
        <w:rPr>
          <w:rFonts w:cs="Arial"/>
          <w:noProof/>
          <w:szCs w:val="22"/>
        </w:rPr>
        <w:fldChar w:fldCharType="end"/>
      </w:r>
      <w:bookmarkEnd w:id="636"/>
      <w:r w:rsidRPr="00D562E2">
        <w:rPr>
          <w:rFonts w:cs="Arial"/>
          <w:szCs w:val="22"/>
        </w:rPr>
        <w:t xml:space="preserve">. </w:t>
      </w:r>
      <w:bookmarkEnd w:id="637"/>
      <w:r w:rsidR="004E65AD" w:rsidRPr="00D562E2">
        <w:rPr>
          <w:rFonts w:cs="Arial"/>
          <w:i/>
          <w:color w:val="000000"/>
          <w:szCs w:val="22"/>
          <w:lang w:eastAsia="en-AU"/>
        </w:rPr>
        <w:t xml:space="preserve">Seagrass leaf tissue nutrient elemental ratios (C:N:P) and </w:t>
      </w:r>
      <w:r w:rsidR="004E65AD" w:rsidRPr="00D562E2">
        <w:rPr>
          <w:rFonts w:cs="Arial"/>
          <w:i/>
          <w:color w:val="000000"/>
          <w:szCs w:val="22"/>
          <w:lang w:val="en-US"/>
        </w:rPr>
        <w:t>concentrations (</w:t>
      </w:r>
      <w:r w:rsidR="003C311A">
        <w:rPr>
          <w:rFonts w:cs="Arial"/>
          <w:i/>
          <w:color w:val="000000"/>
          <w:szCs w:val="22"/>
          <w:lang w:eastAsia="en-AU"/>
        </w:rPr>
        <w:t>%</w:t>
      </w:r>
      <w:r w:rsidR="004E65AD" w:rsidRPr="00D562E2">
        <w:rPr>
          <w:rFonts w:cs="Arial"/>
          <w:i/>
          <w:color w:val="000000"/>
          <w:szCs w:val="22"/>
          <w:lang w:eastAsia="en-AU"/>
        </w:rPr>
        <w:t xml:space="preserve">N, </w:t>
      </w:r>
      <w:r w:rsidR="003C311A">
        <w:rPr>
          <w:rFonts w:cs="Arial"/>
          <w:i/>
          <w:color w:val="000000"/>
          <w:szCs w:val="22"/>
          <w:lang w:eastAsia="en-AU"/>
        </w:rPr>
        <w:t>%</w:t>
      </w:r>
      <w:r w:rsidR="004E65AD" w:rsidRPr="00D562E2">
        <w:rPr>
          <w:rFonts w:cs="Arial"/>
          <w:i/>
          <w:color w:val="000000"/>
          <w:szCs w:val="22"/>
          <w:lang w:eastAsia="en-AU"/>
        </w:rPr>
        <w:t xml:space="preserve">P, </w:t>
      </w:r>
      <w:r w:rsidR="004E65AD" w:rsidRPr="00D562E2">
        <w:rPr>
          <w:rFonts w:cs="Arial"/>
          <w:i/>
          <w:color w:val="000000"/>
          <w:szCs w:val="22"/>
        </w:rPr>
        <w:t>δ</w:t>
      </w:r>
      <w:r w:rsidR="004E65AD" w:rsidRPr="00D562E2">
        <w:rPr>
          <w:rFonts w:cs="Arial"/>
          <w:i/>
          <w:color w:val="000000"/>
          <w:szCs w:val="22"/>
          <w:vertAlign w:val="superscript"/>
        </w:rPr>
        <w:t>13</w:t>
      </w:r>
      <w:r w:rsidR="004E65AD" w:rsidRPr="00D562E2">
        <w:rPr>
          <w:rFonts w:cs="Arial"/>
          <w:i/>
          <w:color w:val="000000"/>
          <w:szCs w:val="22"/>
        </w:rPr>
        <w:t>C</w:t>
      </w:r>
      <w:r w:rsidR="004E65AD" w:rsidRPr="00D562E2">
        <w:rPr>
          <w:rFonts w:cs="Arial"/>
          <w:i/>
          <w:color w:val="000000"/>
          <w:szCs w:val="22"/>
          <w:lang w:val="en-US"/>
        </w:rPr>
        <w:t xml:space="preserve"> and </w:t>
      </w:r>
      <w:r w:rsidR="004E65AD" w:rsidRPr="00D562E2">
        <w:rPr>
          <w:rFonts w:cs="Arial"/>
          <w:i/>
          <w:color w:val="000000"/>
          <w:szCs w:val="22"/>
        </w:rPr>
        <w:t>δ</w:t>
      </w:r>
      <w:r w:rsidR="004E65AD" w:rsidRPr="00D562E2">
        <w:rPr>
          <w:rFonts w:cs="Arial"/>
          <w:i/>
          <w:color w:val="000000"/>
          <w:szCs w:val="22"/>
          <w:vertAlign w:val="superscript"/>
        </w:rPr>
        <w:t>15</w:t>
      </w:r>
      <w:r w:rsidR="004E65AD" w:rsidRPr="00D562E2">
        <w:rPr>
          <w:rFonts w:cs="Arial"/>
          <w:i/>
          <w:color w:val="000000"/>
          <w:szCs w:val="22"/>
        </w:rPr>
        <w:t>N)</w:t>
      </w:r>
      <w:r w:rsidR="004E65AD" w:rsidRPr="00D562E2">
        <w:rPr>
          <w:rFonts w:cs="Arial"/>
          <w:i/>
          <w:color w:val="000000"/>
          <w:szCs w:val="22"/>
          <w:lang w:val="en-US"/>
        </w:rPr>
        <w:t xml:space="preserve"> </w:t>
      </w:r>
      <w:r w:rsidR="004E65AD" w:rsidRPr="00D562E2">
        <w:rPr>
          <w:rFonts w:cs="Arial"/>
          <w:i/>
          <w:color w:val="000000"/>
          <w:szCs w:val="22"/>
          <w:lang w:eastAsia="en-AU"/>
        </w:rPr>
        <w:t xml:space="preserve">for each habitat in the </w:t>
      </w:r>
      <w:r w:rsidR="00B72AC4">
        <w:rPr>
          <w:rFonts w:cs="Arial"/>
          <w:i/>
          <w:color w:val="000000"/>
          <w:szCs w:val="22"/>
          <w:lang w:eastAsia="en-AU"/>
        </w:rPr>
        <w:t>Burnett–Mary</w:t>
      </w:r>
      <w:r w:rsidR="004E65AD" w:rsidRPr="00D562E2">
        <w:rPr>
          <w:rFonts w:cs="Arial"/>
          <w:i/>
          <w:color w:val="000000"/>
          <w:szCs w:val="22"/>
          <w:lang w:eastAsia="en-AU"/>
        </w:rPr>
        <w:t xml:space="preserve"> region</w:t>
      </w:r>
      <w:bookmarkEnd w:id="638"/>
    </w:p>
    <w:p w14:paraId="6CEACE3E" w14:textId="3CE8BF6D" w:rsidR="00830213" w:rsidRPr="00D562E2" w:rsidRDefault="004E65AD" w:rsidP="004E65AD">
      <w:pPr>
        <w:rPr>
          <w:rFonts w:cs="Arial"/>
          <w:iCs/>
          <w:szCs w:val="22"/>
        </w:rPr>
      </w:pPr>
      <w:r w:rsidRPr="00D562E2">
        <w:rPr>
          <w:rFonts w:cs="Arial"/>
          <w:i/>
          <w:color w:val="000000"/>
          <w:szCs w:val="22"/>
          <w:lang w:eastAsia="en-AU"/>
        </w:rPr>
        <w:t xml:space="preserve"> (± SE) (foundation species pooled). Horizontal shaded bands or dashed lines represents the accepted seagrass </w:t>
      </w:r>
      <w:r w:rsidRPr="00D562E2">
        <w:rPr>
          <w:rFonts w:cs="Arial"/>
          <w:i/>
          <w:color w:val="000000"/>
          <w:szCs w:val="22"/>
        </w:rPr>
        <w:t xml:space="preserve">guideline </w:t>
      </w:r>
      <w:r w:rsidRPr="00D562E2">
        <w:rPr>
          <w:rFonts w:cs="Arial"/>
          <w:i/>
          <w:color w:val="000000"/>
          <w:szCs w:val="22"/>
          <w:lang w:eastAsia="en-AU"/>
        </w:rPr>
        <w:t xml:space="preserve">values, where: C:N ratios within </w:t>
      </w:r>
      <w:r w:rsidRPr="00D562E2">
        <w:rPr>
          <w:rFonts w:cs="Arial"/>
          <w:i/>
          <w:color w:val="000000"/>
          <w:szCs w:val="22"/>
          <w:lang w:eastAsia="en-AU"/>
        </w:rPr>
        <w:lastRenderedPageBreak/>
        <w:t xml:space="preserve">the band may </w:t>
      </w:r>
      <w:r w:rsidRPr="00D562E2">
        <w:rPr>
          <w:rFonts w:cs="Arial"/>
          <w:i/>
          <w:color w:val="000000"/>
          <w:szCs w:val="22"/>
        </w:rPr>
        <w:t xml:space="preserve">indicate reduced light availability and/or N enrichment; </w:t>
      </w:r>
      <w:r w:rsidRPr="00D562E2">
        <w:rPr>
          <w:rFonts w:cs="Arial"/>
          <w:i/>
          <w:color w:val="000000"/>
          <w:szCs w:val="22"/>
          <w:lang w:eastAsia="en-AU"/>
        </w:rPr>
        <w:t xml:space="preserve">N:P ratios above the band indicate P limitation, below indicate N limitation and within indicates replete, and; C:P ratios within the band may </w:t>
      </w:r>
      <w:r w:rsidRPr="00D562E2">
        <w:rPr>
          <w:rFonts w:cs="Arial"/>
          <w:i/>
          <w:color w:val="000000"/>
          <w:szCs w:val="22"/>
        </w:rPr>
        <w:t xml:space="preserve">indicate </w:t>
      </w:r>
      <w:r w:rsidRPr="00D562E2">
        <w:rPr>
          <w:rFonts w:cs="Arial"/>
          <w:i/>
          <w:color w:val="000000"/>
          <w:szCs w:val="22"/>
          <w:lang w:eastAsia="en-AU"/>
        </w:rPr>
        <w:t>nutrient rich habitats (large P pool).</w:t>
      </w:r>
      <w:r w:rsidRPr="00D562E2">
        <w:rPr>
          <w:rFonts w:cs="Arial"/>
          <w:color w:val="000000"/>
          <w:szCs w:val="22"/>
          <w:lang w:eastAsia="en-AU"/>
        </w:rPr>
        <w:t xml:space="preserve"> </w:t>
      </w:r>
      <w:r w:rsidRPr="00D562E2">
        <w:rPr>
          <w:rFonts w:cs="Arial"/>
          <w:i/>
          <w:color w:val="000000"/>
          <w:szCs w:val="22"/>
        </w:rPr>
        <w:t xml:space="preserve">Dashed lines in </w:t>
      </w:r>
      <w:r w:rsidR="003C311A">
        <w:rPr>
          <w:rFonts w:cs="Arial"/>
          <w:i/>
          <w:color w:val="000000"/>
          <w:szCs w:val="22"/>
        </w:rPr>
        <w:t>%</w:t>
      </w:r>
      <w:r w:rsidRPr="00D562E2">
        <w:rPr>
          <w:rFonts w:cs="Arial"/>
          <w:i/>
          <w:color w:val="000000"/>
          <w:szCs w:val="22"/>
        </w:rPr>
        <w:t xml:space="preserve">N and </w:t>
      </w:r>
      <w:r w:rsidR="003C311A">
        <w:rPr>
          <w:rFonts w:cs="Arial"/>
          <w:i/>
          <w:color w:val="000000"/>
          <w:szCs w:val="22"/>
        </w:rPr>
        <w:t>%</w:t>
      </w:r>
      <w:r w:rsidRPr="00D562E2">
        <w:rPr>
          <w:rFonts w:cs="Arial"/>
          <w:i/>
          <w:color w:val="000000"/>
          <w:szCs w:val="22"/>
        </w:rPr>
        <w:t>P indicate global median values of 1.8</w:t>
      </w:r>
      <w:r w:rsidR="003C311A">
        <w:rPr>
          <w:rFonts w:cs="Arial"/>
          <w:i/>
          <w:color w:val="000000"/>
          <w:szCs w:val="22"/>
        </w:rPr>
        <w:t xml:space="preserve">% </w:t>
      </w:r>
      <w:r w:rsidRPr="00D562E2">
        <w:rPr>
          <w:rFonts w:cs="Arial"/>
          <w:i/>
          <w:color w:val="000000"/>
          <w:szCs w:val="22"/>
        </w:rPr>
        <w:t>and 0.2</w:t>
      </w:r>
      <w:r w:rsidR="003C311A">
        <w:rPr>
          <w:rFonts w:cs="Arial"/>
          <w:i/>
          <w:color w:val="000000"/>
          <w:szCs w:val="22"/>
        </w:rPr>
        <w:t xml:space="preserve">% </w:t>
      </w:r>
      <w:r w:rsidRPr="00D562E2">
        <w:rPr>
          <w:rFonts w:cs="Arial"/>
          <w:i/>
          <w:color w:val="000000"/>
          <w:szCs w:val="22"/>
        </w:rPr>
        <w:t>for tissue nitrogen and phosphorus, respectively (</w:t>
      </w:r>
      <w:hyperlink w:anchor="_ENREF_53" w:tooltip="Duarte, 1990 #1954" w:history="1">
        <w:r w:rsidR="009A7AB4" w:rsidRPr="00D562E2">
          <w:rPr>
            <w:rFonts w:cs="Arial"/>
            <w:i/>
            <w:color w:val="000000"/>
            <w:szCs w:val="22"/>
          </w:rPr>
          <w:fldChar w:fldCharType="begin"/>
        </w:r>
        <w:r w:rsidR="009A7AB4">
          <w:rPr>
            <w:rFonts w:cs="Arial"/>
            <w:i/>
            <w:color w:val="000000"/>
            <w:szCs w:val="22"/>
          </w:rPr>
          <w:instrText xml:space="preserve"> ADDIN EN.CITE &lt;EndNote&gt;&lt;Cite&gt;&lt;Author&gt;Duarte&lt;/Author&gt;&lt;Year&gt;1990&lt;/Year&gt;&lt;RecNum&gt;1954&lt;/RecNum&gt;&lt;DisplayText&gt;Duarte 1990&lt;/DisplayText&gt;&lt;record&gt;&lt;rec-number&gt;1954&lt;/rec-number&gt;&lt;foreign-keys&gt;&lt;key app="EN" db-id="0eve55x9y5vfd6e9dacxtew4eatve2dzds9a" timestamp="0"&gt;1954&lt;/key&gt;&lt;/foreign-keys&gt;&lt;ref-type name="Journal Article"&gt;17&lt;/ref-type&gt;&lt;contributors&gt;&lt;authors&gt;&lt;author&gt;Duarte, Carlos M.&lt;/author&gt;&lt;/authors&gt;&lt;/contributors&gt;&lt;titles&gt;&lt;title&gt;Seagrass nutrient content&lt;/title&gt;&lt;secondary-title&gt;Marine Ecology Progress Series&lt;/secondary-title&gt;&lt;alt-title&gt;Mar. Ecol. Prog. Ser.&lt;/alt-title&gt;&lt;/titles&gt;&lt;periodical&gt;&lt;full-title&gt;Marine Ecology Progress Series&lt;/full-title&gt;&lt;/periodical&gt;&lt;pages&gt;201-207&lt;/pages&gt;&lt;volume&gt;67&lt;/volume&gt;&lt;number&gt;1&lt;/number&gt;&lt;dates&gt;&lt;year&gt;1990&lt;/year&gt;&lt;pub-dates&gt;&lt;date&gt;October 18&lt;/date&gt;&lt;/pub-dates&gt;&lt;/dates&gt;&lt;label&gt;2053&lt;/label&gt;&lt;urls&gt;&lt;/urls&gt;&lt;custom1&gt;Annex&lt;/custom1&gt;&lt;/record&gt;&lt;/Cite&gt;&lt;/EndNote&gt;</w:instrText>
        </w:r>
        <w:r w:rsidR="009A7AB4" w:rsidRPr="00D562E2">
          <w:rPr>
            <w:rFonts w:cs="Arial"/>
            <w:i/>
            <w:color w:val="000000"/>
            <w:szCs w:val="22"/>
          </w:rPr>
          <w:fldChar w:fldCharType="separate"/>
        </w:r>
        <w:r w:rsidR="009A7AB4">
          <w:rPr>
            <w:rFonts w:cs="Arial"/>
            <w:i/>
            <w:noProof/>
            <w:color w:val="000000"/>
            <w:szCs w:val="22"/>
          </w:rPr>
          <w:t>Duarte 1990</w:t>
        </w:r>
        <w:r w:rsidR="009A7AB4" w:rsidRPr="00D562E2">
          <w:rPr>
            <w:rFonts w:cs="Arial"/>
            <w:i/>
            <w:color w:val="000000"/>
            <w:szCs w:val="22"/>
          </w:rPr>
          <w:fldChar w:fldCharType="end"/>
        </w:r>
      </w:hyperlink>
      <w:r w:rsidRPr="00D562E2">
        <w:rPr>
          <w:rFonts w:cs="Arial"/>
          <w:i/>
          <w:color w:val="000000"/>
          <w:szCs w:val="22"/>
        </w:rPr>
        <w:t>).</w:t>
      </w:r>
    </w:p>
    <w:p w14:paraId="2FB27240" w14:textId="77777777" w:rsidR="00821D24" w:rsidRPr="00D562E2" w:rsidRDefault="00821D24" w:rsidP="008416AD">
      <w:pPr>
        <w:pStyle w:val="Heading4"/>
      </w:pPr>
      <w:bookmarkStart w:id="639" w:name="_Toc232845938"/>
      <w:bookmarkStart w:id="640" w:name="_Toc184102045"/>
      <w:bookmarkStart w:id="641" w:name="_Toc37775119"/>
      <w:bookmarkStart w:id="642" w:name="_Toc43987094"/>
      <w:r w:rsidRPr="00D562E2">
        <w:t>Epiphytes and macroalgae</w:t>
      </w:r>
      <w:bookmarkEnd w:id="639"/>
      <w:bookmarkEnd w:id="640"/>
      <w:bookmarkEnd w:id="641"/>
      <w:bookmarkEnd w:id="642"/>
    </w:p>
    <w:p w14:paraId="59CA47A0" w14:textId="09D2A020" w:rsidR="00F86DA0" w:rsidRPr="00B3597E" w:rsidRDefault="00D473A4" w:rsidP="00DD3BAE">
      <w:pPr>
        <w:rPr>
          <w:rFonts w:cs="Arial"/>
          <w:szCs w:val="22"/>
          <w:lang w:val="en-US"/>
        </w:rPr>
      </w:pPr>
      <w:r w:rsidRPr="00B3597E">
        <w:rPr>
          <w:rFonts w:cs="Arial"/>
          <w:szCs w:val="22"/>
          <w:lang w:val="en-US"/>
        </w:rPr>
        <w:t xml:space="preserve">Epiphyte cover on seagrass leaf blades </w:t>
      </w:r>
      <w:r w:rsidR="0030756A" w:rsidRPr="00B3597E">
        <w:rPr>
          <w:rFonts w:cs="Arial"/>
          <w:szCs w:val="22"/>
          <w:lang w:val="en-US"/>
        </w:rPr>
        <w:t xml:space="preserve">in </w:t>
      </w:r>
      <w:r w:rsidR="00956639" w:rsidRPr="00B3597E">
        <w:rPr>
          <w:rFonts w:cs="Arial"/>
          <w:szCs w:val="22"/>
          <w:lang w:val="en-US"/>
        </w:rPr>
        <w:t>2018–19</w:t>
      </w:r>
      <w:r w:rsidR="0030756A" w:rsidRPr="00B3597E">
        <w:rPr>
          <w:rFonts w:cs="Arial"/>
          <w:szCs w:val="22"/>
          <w:lang w:val="en-US"/>
        </w:rPr>
        <w:t xml:space="preserve"> remained higher than the long-term average for the </w:t>
      </w:r>
      <w:r w:rsidR="00821D24" w:rsidRPr="00B3597E">
        <w:rPr>
          <w:rFonts w:cs="Arial"/>
          <w:szCs w:val="22"/>
          <w:lang w:val="en-US"/>
        </w:rPr>
        <w:t>fifth</w:t>
      </w:r>
      <w:r w:rsidR="0030756A" w:rsidRPr="00B3597E">
        <w:rPr>
          <w:rFonts w:cs="Arial"/>
          <w:szCs w:val="22"/>
          <w:lang w:val="en-US"/>
        </w:rPr>
        <w:t xml:space="preserve"> consecutive year at estuarine habitats (</w:t>
      </w:r>
      <w:r w:rsidR="0030756A" w:rsidRPr="00B3597E">
        <w:rPr>
          <w:rFonts w:cs="Arial"/>
          <w:szCs w:val="22"/>
          <w:lang w:val="en-US"/>
        </w:rPr>
        <w:fldChar w:fldCharType="begin"/>
      </w:r>
      <w:r w:rsidR="0030756A" w:rsidRPr="00B3597E">
        <w:rPr>
          <w:rFonts w:cs="Arial"/>
          <w:szCs w:val="22"/>
          <w:lang w:val="en-US"/>
        </w:rPr>
        <w:instrText xml:space="preserve"> REF _Ref211937738 \h </w:instrText>
      </w:r>
      <w:r w:rsidR="00CB093C" w:rsidRPr="00B3597E">
        <w:rPr>
          <w:rFonts w:cs="Arial"/>
          <w:szCs w:val="22"/>
          <w:lang w:val="en-US"/>
        </w:rPr>
        <w:instrText xml:space="preserve"> \* MERGEFORMAT </w:instrText>
      </w:r>
      <w:r w:rsidR="0030756A" w:rsidRPr="00B3597E">
        <w:rPr>
          <w:rFonts w:cs="Arial"/>
          <w:szCs w:val="22"/>
          <w:lang w:val="en-US"/>
        </w:rPr>
      </w:r>
      <w:r w:rsidR="0030756A" w:rsidRPr="00B3597E">
        <w:rPr>
          <w:rFonts w:cs="Arial"/>
          <w:szCs w:val="22"/>
          <w:lang w:val="en-US"/>
        </w:rPr>
        <w:fldChar w:fldCharType="separate"/>
      </w:r>
      <w:r w:rsidR="0067675D" w:rsidRPr="00D562E2">
        <w:rPr>
          <w:rFonts w:cs="Arial"/>
          <w:szCs w:val="22"/>
        </w:rPr>
        <w:t xml:space="preserve">Figure </w:t>
      </w:r>
      <w:r w:rsidR="0067675D">
        <w:rPr>
          <w:rFonts w:cs="Arial"/>
          <w:noProof/>
          <w:szCs w:val="22"/>
        </w:rPr>
        <w:t>87</w:t>
      </w:r>
      <w:r w:rsidR="0030756A" w:rsidRPr="00B3597E">
        <w:rPr>
          <w:rFonts w:cs="Arial"/>
          <w:szCs w:val="22"/>
          <w:lang w:val="en-US"/>
        </w:rPr>
        <w:fldChar w:fldCharType="end"/>
      </w:r>
      <w:r w:rsidR="0030756A" w:rsidRPr="00B3597E">
        <w:rPr>
          <w:rFonts w:cs="Arial"/>
          <w:szCs w:val="22"/>
          <w:lang w:val="en-US"/>
        </w:rPr>
        <w:t xml:space="preserve">). Alternatively, at coastal habitats, the epiphyte abundance has remained below the long-term average for the </w:t>
      </w:r>
      <w:r w:rsidR="00821D24" w:rsidRPr="00B3597E">
        <w:rPr>
          <w:rFonts w:cs="Arial"/>
          <w:szCs w:val="22"/>
          <w:lang w:val="en-US"/>
        </w:rPr>
        <w:t>third</w:t>
      </w:r>
      <w:r w:rsidR="0030756A" w:rsidRPr="00B3597E">
        <w:rPr>
          <w:rFonts w:cs="Arial"/>
          <w:szCs w:val="22"/>
          <w:lang w:val="en-US"/>
        </w:rPr>
        <w:t xml:space="preserve"> consecutive year </w:t>
      </w:r>
      <w:r w:rsidRPr="00B3597E">
        <w:rPr>
          <w:rFonts w:cs="Arial"/>
          <w:szCs w:val="22"/>
          <w:lang w:val="en-US"/>
        </w:rPr>
        <w:t>(</w:t>
      </w:r>
      <w:r w:rsidR="0030756A" w:rsidRPr="00B3597E">
        <w:rPr>
          <w:rFonts w:cs="Arial"/>
          <w:szCs w:val="22"/>
          <w:lang w:val="en-US"/>
        </w:rPr>
        <w:fldChar w:fldCharType="begin"/>
      </w:r>
      <w:r w:rsidR="0030756A" w:rsidRPr="00B3597E">
        <w:rPr>
          <w:rFonts w:cs="Arial"/>
          <w:szCs w:val="22"/>
          <w:lang w:val="en-US"/>
        </w:rPr>
        <w:instrText xml:space="preserve"> REF _Ref211937738 \h </w:instrText>
      </w:r>
      <w:r w:rsidR="00CB093C" w:rsidRPr="00B3597E">
        <w:rPr>
          <w:rFonts w:cs="Arial"/>
          <w:szCs w:val="22"/>
          <w:lang w:val="en-US"/>
        </w:rPr>
        <w:instrText xml:space="preserve"> \* MERGEFORMAT </w:instrText>
      </w:r>
      <w:r w:rsidR="0030756A" w:rsidRPr="00B3597E">
        <w:rPr>
          <w:rFonts w:cs="Arial"/>
          <w:szCs w:val="22"/>
          <w:lang w:val="en-US"/>
        </w:rPr>
      </w:r>
      <w:r w:rsidR="0030756A" w:rsidRPr="00B3597E">
        <w:rPr>
          <w:rFonts w:cs="Arial"/>
          <w:szCs w:val="22"/>
          <w:lang w:val="en-US"/>
        </w:rPr>
        <w:fldChar w:fldCharType="separate"/>
      </w:r>
      <w:r w:rsidR="0067675D" w:rsidRPr="00D562E2">
        <w:rPr>
          <w:rFonts w:cs="Arial"/>
          <w:szCs w:val="22"/>
        </w:rPr>
        <w:t xml:space="preserve">Figure </w:t>
      </w:r>
      <w:r w:rsidR="0067675D">
        <w:rPr>
          <w:rFonts w:cs="Arial"/>
          <w:noProof/>
          <w:szCs w:val="22"/>
        </w:rPr>
        <w:t>87</w:t>
      </w:r>
      <w:r w:rsidR="0030756A" w:rsidRPr="00B3597E">
        <w:rPr>
          <w:rFonts w:cs="Arial"/>
          <w:szCs w:val="22"/>
          <w:lang w:val="en-US"/>
        </w:rPr>
        <w:fldChar w:fldCharType="end"/>
      </w:r>
      <w:r w:rsidRPr="00B3597E">
        <w:rPr>
          <w:rFonts w:cs="Arial"/>
          <w:szCs w:val="22"/>
          <w:lang w:val="en-US"/>
        </w:rPr>
        <w:t xml:space="preserve">). </w:t>
      </w:r>
    </w:p>
    <w:p w14:paraId="5F88734D" w14:textId="091FC1FD" w:rsidR="00D473A4" w:rsidRPr="00B3597E" w:rsidRDefault="00887319" w:rsidP="00DD3BAE">
      <w:pPr>
        <w:rPr>
          <w:rFonts w:cs="Arial"/>
          <w:szCs w:val="22"/>
          <w:lang w:val="en-US"/>
        </w:rPr>
      </w:pPr>
      <w:r>
        <w:rPr>
          <w:rFonts w:cs="Arial"/>
          <w:szCs w:val="22"/>
          <w:lang w:val="en-US"/>
        </w:rPr>
        <w:t xml:space="preserve">Per cent </w:t>
      </w:r>
      <w:r w:rsidR="00D473A4" w:rsidRPr="00B3597E">
        <w:rPr>
          <w:rFonts w:cs="Arial"/>
          <w:szCs w:val="22"/>
          <w:lang w:val="en-US"/>
        </w:rPr>
        <w:t xml:space="preserve">cover of macroalgae </w:t>
      </w:r>
      <w:r w:rsidR="0030756A" w:rsidRPr="00B3597E">
        <w:rPr>
          <w:rFonts w:cs="Arial"/>
          <w:szCs w:val="22"/>
          <w:lang w:val="en-US"/>
        </w:rPr>
        <w:t xml:space="preserve">has remained low and below the long-term average at across all habitats </w:t>
      </w:r>
      <w:r w:rsidR="007A70FE" w:rsidRPr="00B3597E">
        <w:rPr>
          <w:rFonts w:cs="Arial"/>
          <w:szCs w:val="22"/>
          <w:lang w:val="en-US"/>
        </w:rPr>
        <w:t>monitored</w:t>
      </w:r>
      <w:r w:rsidR="0030756A" w:rsidRPr="00B3597E">
        <w:rPr>
          <w:rFonts w:cs="Arial"/>
          <w:szCs w:val="22"/>
          <w:lang w:val="en-US"/>
        </w:rPr>
        <w:t xml:space="preserve"> </w:t>
      </w:r>
      <w:r w:rsidR="00272AAD" w:rsidRPr="00B3597E">
        <w:rPr>
          <w:rFonts w:cs="Arial"/>
          <w:szCs w:val="22"/>
          <w:lang w:val="en-US"/>
        </w:rPr>
        <w:t>(</w:t>
      </w:r>
      <w:r w:rsidR="00272AAD" w:rsidRPr="00B3597E">
        <w:rPr>
          <w:rFonts w:cs="Arial"/>
          <w:szCs w:val="22"/>
          <w:lang w:val="en-US"/>
        </w:rPr>
        <w:fldChar w:fldCharType="begin"/>
      </w:r>
      <w:r w:rsidR="00272AAD" w:rsidRPr="00B3597E">
        <w:rPr>
          <w:rFonts w:cs="Arial"/>
          <w:szCs w:val="22"/>
          <w:lang w:val="en-US"/>
        </w:rPr>
        <w:instrText xml:space="preserve"> REF _Ref211937738 \h </w:instrText>
      </w:r>
      <w:r w:rsidR="00015190" w:rsidRPr="00B3597E">
        <w:rPr>
          <w:rFonts w:cs="Arial"/>
          <w:szCs w:val="22"/>
          <w:lang w:val="en-US"/>
        </w:rPr>
        <w:instrText xml:space="preserve"> \* MERGEFORMAT </w:instrText>
      </w:r>
      <w:r w:rsidR="00272AAD" w:rsidRPr="00B3597E">
        <w:rPr>
          <w:rFonts w:cs="Arial"/>
          <w:szCs w:val="22"/>
          <w:lang w:val="en-US"/>
        </w:rPr>
      </w:r>
      <w:r w:rsidR="00272AAD" w:rsidRPr="00B3597E">
        <w:rPr>
          <w:rFonts w:cs="Arial"/>
          <w:szCs w:val="22"/>
          <w:lang w:val="en-US"/>
        </w:rPr>
        <w:fldChar w:fldCharType="separate"/>
      </w:r>
      <w:r w:rsidR="0067675D" w:rsidRPr="00D562E2">
        <w:rPr>
          <w:rFonts w:cs="Arial"/>
          <w:szCs w:val="22"/>
        </w:rPr>
        <w:t xml:space="preserve">Figure </w:t>
      </w:r>
      <w:r w:rsidR="0067675D">
        <w:rPr>
          <w:rFonts w:cs="Arial"/>
          <w:noProof/>
          <w:szCs w:val="22"/>
        </w:rPr>
        <w:t>87</w:t>
      </w:r>
      <w:r w:rsidR="00272AAD" w:rsidRPr="00B3597E">
        <w:rPr>
          <w:rFonts w:cs="Arial"/>
          <w:szCs w:val="22"/>
          <w:lang w:val="en-US"/>
        </w:rPr>
        <w:fldChar w:fldCharType="end"/>
      </w:r>
      <w:r w:rsidR="00272AAD" w:rsidRPr="00B3597E">
        <w:rPr>
          <w:rFonts w:cs="Arial"/>
          <w:szCs w:val="22"/>
          <w:lang w:val="en-US"/>
        </w:rPr>
        <w:t>)</w:t>
      </w:r>
      <w:r w:rsidR="00821D24" w:rsidRPr="00B3597E">
        <w:rPr>
          <w:rFonts w:cs="Arial"/>
          <w:szCs w:val="22"/>
          <w:lang w:val="en-US"/>
        </w:rPr>
        <w:t>, with the exception of a slight incease in estuarine habitats in the late wet 2019</w:t>
      </w:r>
      <w:r w:rsidR="00D473A4" w:rsidRPr="00B3597E">
        <w:rPr>
          <w:rFonts w:cs="Arial"/>
          <w:szCs w:val="22"/>
          <w:lang w:val="en-US"/>
        </w:rPr>
        <w:t>.</w:t>
      </w:r>
    </w:p>
    <w:p w14:paraId="2218CD51" w14:textId="77777777" w:rsidR="003E1D94" w:rsidRPr="00D562E2" w:rsidRDefault="005B1EEC" w:rsidP="00DD3BAE">
      <w:pPr>
        <w:keepNext/>
        <w:widowControl w:val="0"/>
        <w:jc w:val="center"/>
        <w:rPr>
          <w:rFonts w:cs="Arial"/>
          <w:szCs w:val="22"/>
          <w:lang w:val="en-US"/>
        </w:rPr>
      </w:pPr>
      <w:r w:rsidRPr="00D562E2">
        <w:rPr>
          <w:rFonts w:cs="Arial"/>
          <w:noProof/>
          <w:szCs w:val="22"/>
          <w:lang w:eastAsia="en-AU"/>
        </w:rPr>
        <w:drawing>
          <wp:inline distT="0" distB="0" distL="0" distR="0" wp14:anchorId="616351DF" wp14:editId="3ABA1ED4">
            <wp:extent cx="5754897" cy="2228400"/>
            <wp:effectExtent l="0" t="0" r="0" b="635"/>
            <wp:docPr id="525" name="Picture 525" descr="Panel of four bar charts showing long-term trend in mean epiphyte and macroalgae abundance (% cover) at inshore estuarine habitats in the Burnett Mary NRM region, relative to the GBR long-term ave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BM_epi_algae_change_2016.png"/>
                    <pic:cNvPicPr/>
                  </pic:nvPicPr>
                  <pic:blipFill>
                    <a:blip r:embed="rId140"/>
                    <a:stretch>
                      <a:fillRect/>
                    </a:stretch>
                  </pic:blipFill>
                  <pic:spPr>
                    <a:xfrm>
                      <a:off x="0" y="0"/>
                      <a:ext cx="5754897" cy="2228400"/>
                    </a:xfrm>
                    <a:prstGeom prst="rect">
                      <a:avLst/>
                    </a:prstGeom>
                  </pic:spPr>
                </pic:pic>
              </a:graphicData>
            </a:graphic>
          </wp:inline>
        </w:drawing>
      </w:r>
    </w:p>
    <w:p w14:paraId="2C8963FC" w14:textId="7C5CBB86" w:rsidR="00A0429A" w:rsidRPr="00D562E2" w:rsidRDefault="005132EF" w:rsidP="00DD3BAE">
      <w:pPr>
        <w:rPr>
          <w:rFonts w:cs="Arial"/>
          <w:i/>
          <w:vanish/>
          <w:szCs w:val="22"/>
          <w:specVanish/>
        </w:rPr>
      </w:pPr>
      <w:bookmarkStart w:id="643" w:name="_Ref211937738"/>
      <w:bookmarkStart w:id="644" w:name="_Toc232846030"/>
      <w:bookmarkStart w:id="645" w:name="_Toc431493907"/>
      <w:bookmarkStart w:id="646" w:name="_Toc38634191"/>
      <w:r w:rsidRPr="00D562E2">
        <w:rPr>
          <w:rFonts w:cs="Arial"/>
          <w:szCs w:val="22"/>
        </w:rPr>
        <w:t xml:space="preserve">Figure </w:t>
      </w:r>
      <w:r w:rsidR="00C506C7" w:rsidRPr="00D562E2">
        <w:rPr>
          <w:rFonts w:cs="Arial"/>
          <w:noProof/>
          <w:szCs w:val="22"/>
        </w:rPr>
        <w:fldChar w:fldCharType="begin"/>
      </w:r>
      <w:r w:rsidR="00C506C7" w:rsidRPr="00D562E2">
        <w:rPr>
          <w:rFonts w:cs="Arial"/>
          <w:noProof/>
          <w:szCs w:val="22"/>
        </w:rPr>
        <w:instrText xml:space="preserve"> SEQ Figure \* ARABIC </w:instrText>
      </w:r>
      <w:r w:rsidR="00C506C7" w:rsidRPr="00D562E2">
        <w:rPr>
          <w:rFonts w:cs="Arial"/>
          <w:noProof/>
          <w:szCs w:val="22"/>
        </w:rPr>
        <w:fldChar w:fldCharType="separate"/>
      </w:r>
      <w:r w:rsidR="0067675D">
        <w:rPr>
          <w:rFonts w:cs="Arial"/>
          <w:noProof/>
          <w:szCs w:val="22"/>
        </w:rPr>
        <w:t>87</w:t>
      </w:r>
      <w:r w:rsidR="00C506C7" w:rsidRPr="00D562E2">
        <w:rPr>
          <w:rFonts w:cs="Arial"/>
          <w:noProof/>
          <w:szCs w:val="22"/>
        </w:rPr>
        <w:fldChar w:fldCharType="end"/>
      </w:r>
      <w:bookmarkEnd w:id="643"/>
      <w:r w:rsidRPr="00D562E2">
        <w:rPr>
          <w:rFonts w:cs="Arial"/>
          <w:szCs w:val="22"/>
        </w:rPr>
        <w:t xml:space="preserve">. </w:t>
      </w:r>
      <w:bookmarkEnd w:id="644"/>
      <w:r w:rsidR="003126B8" w:rsidRPr="00D562E2">
        <w:rPr>
          <w:rFonts w:cs="Arial"/>
          <w:i/>
          <w:szCs w:val="22"/>
        </w:rPr>
        <w:t>Long-term trend in mean epiphyte and macroalgae abundance (</w:t>
      </w:r>
      <w:r w:rsidR="004916B0">
        <w:rPr>
          <w:rFonts w:cs="Arial"/>
          <w:i/>
          <w:szCs w:val="22"/>
        </w:rPr>
        <w:t>per cent</w:t>
      </w:r>
      <w:r w:rsidR="003126B8" w:rsidRPr="00D562E2">
        <w:rPr>
          <w:rFonts w:cs="Arial"/>
          <w:i/>
          <w:szCs w:val="22"/>
        </w:rPr>
        <w:t xml:space="preserve"> cover) relative to the long-term average for each seagrass habitat in the </w:t>
      </w:r>
      <w:r w:rsidR="00B72AC4">
        <w:rPr>
          <w:rFonts w:cs="Arial"/>
          <w:i/>
          <w:szCs w:val="22"/>
        </w:rPr>
        <w:t>Burnett–Mary</w:t>
      </w:r>
      <w:r w:rsidR="003126B8" w:rsidRPr="00D562E2">
        <w:rPr>
          <w:rFonts w:cs="Arial"/>
          <w:i/>
          <w:szCs w:val="22"/>
        </w:rPr>
        <w:t xml:space="preserve"> NRM region</w:t>
      </w:r>
      <w:bookmarkEnd w:id="645"/>
      <w:bookmarkEnd w:id="646"/>
    </w:p>
    <w:p w14:paraId="2DCD7FEF" w14:textId="77777777" w:rsidR="00A0429A" w:rsidRPr="00D562E2" w:rsidRDefault="00A0429A" w:rsidP="00DD3BAE">
      <w:pPr>
        <w:rPr>
          <w:rFonts w:cs="Arial"/>
          <w:i/>
          <w:szCs w:val="22"/>
        </w:rPr>
      </w:pPr>
      <w:r w:rsidRPr="00D562E2">
        <w:rPr>
          <w:rFonts w:cs="Arial"/>
          <w:i/>
          <w:szCs w:val="22"/>
        </w:rPr>
        <w:t xml:space="preserve"> </w:t>
      </w:r>
      <w:r w:rsidR="003126B8" w:rsidRPr="00D562E2">
        <w:rPr>
          <w:rFonts w:cs="Arial"/>
          <w:i/>
          <w:szCs w:val="22"/>
        </w:rPr>
        <w:t xml:space="preserve">(sites pooled, ±SE). </w:t>
      </w:r>
    </w:p>
    <w:p w14:paraId="06C64248" w14:textId="77777777" w:rsidR="006E4A42" w:rsidRPr="00D562E2" w:rsidRDefault="006E4A42" w:rsidP="00DD3BAE">
      <w:pPr>
        <w:rPr>
          <w:rFonts w:cs="Arial"/>
          <w:i/>
          <w:szCs w:val="22"/>
        </w:rPr>
      </w:pPr>
    </w:p>
    <w:p w14:paraId="4BEB4B7C" w14:textId="1CBBA605" w:rsidR="00C13AAA" w:rsidRPr="00CB093C" w:rsidRDefault="00C13AAA">
      <w:pPr>
        <w:rPr>
          <w:rFonts w:cs="Arial"/>
          <w:szCs w:val="22"/>
          <w:lang w:val="en-US"/>
        </w:rPr>
      </w:pPr>
      <w:r w:rsidRPr="00CB093C">
        <w:rPr>
          <w:rFonts w:cs="Arial"/>
          <w:szCs w:val="22"/>
          <w:lang w:val="en-US"/>
        </w:rPr>
        <w:br w:type="page"/>
      </w:r>
    </w:p>
    <w:p w14:paraId="165FBA6B" w14:textId="555F2C88" w:rsidR="0034410E" w:rsidRPr="00CB093C" w:rsidRDefault="0034410E" w:rsidP="008416AD">
      <w:pPr>
        <w:pStyle w:val="Heading1"/>
      </w:pPr>
      <w:bookmarkStart w:id="647" w:name="_Toc37775120"/>
      <w:bookmarkStart w:id="648" w:name="_Toc43987095"/>
      <w:bookmarkStart w:id="649" w:name="_Ref354905017"/>
      <w:bookmarkStart w:id="650" w:name="_Toc170191672"/>
      <w:bookmarkStart w:id="651" w:name="_Toc175991100"/>
      <w:bookmarkStart w:id="652" w:name="_Toc176079593"/>
      <w:bookmarkStart w:id="653" w:name="_Toc232845951"/>
      <w:r w:rsidRPr="00CB093C">
        <w:lastRenderedPageBreak/>
        <w:t>Discussion</w:t>
      </w:r>
      <w:bookmarkEnd w:id="647"/>
      <w:bookmarkEnd w:id="648"/>
    </w:p>
    <w:p w14:paraId="3697252F" w14:textId="0BC12D63" w:rsidR="00245B1F" w:rsidRPr="00364998" w:rsidRDefault="00245B1F" w:rsidP="008416AD">
      <w:pPr>
        <w:pStyle w:val="Heading2"/>
      </w:pPr>
      <w:bookmarkStart w:id="654" w:name="_Toc37775121"/>
      <w:bookmarkStart w:id="655" w:name="_Toc43987096"/>
      <w:r w:rsidRPr="00364998">
        <w:t xml:space="preserve">Seagrass </w:t>
      </w:r>
      <w:r w:rsidR="00A63AA4" w:rsidRPr="00364998">
        <w:t>resilience</w:t>
      </w:r>
      <w:bookmarkEnd w:id="654"/>
      <w:bookmarkEnd w:id="655"/>
    </w:p>
    <w:p w14:paraId="7BDA4C17" w14:textId="394D0DD5" w:rsidR="00932564" w:rsidRPr="00D562E2" w:rsidRDefault="00932564" w:rsidP="00D2585E">
      <w:pPr>
        <w:rPr>
          <w:rFonts w:cs="Arial"/>
          <w:szCs w:val="22"/>
        </w:rPr>
      </w:pPr>
      <w:r w:rsidRPr="00D562E2">
        <w:rPr>
          <w:rFonts w:cs="Arial"/>
          <w:szCs w:val="22"/>
        </w:rPr>
        <w:t xml:space="preserve">While seagrass meadows of the Reef are inherently dynamic, poor recovery rates at many locations and poor resilience (e.g. reproductive effort and seed density), </w:t>
      </w:r>
      <w:r w:rsidR="00E00239">
        <w:rPr>
          <w:rFonts w:cs="Arial"/>
          <w:szCs w:val="22"/>
        </w:rPr>
        <w:t xml:space="preserve">indicate </w:t>
      </w:r>
      <w:r w:rsidRPr="00D562E2">
        <w:rPr>
          <w:rFonts w:cs="Arial"/>
          <w:szCs w:val="22"/>
        </w:rPr>
        <w:t xml:space="preserve">that future </w:t>
      </w:r>
      <w:r w:rsidR="00E00239">
        <w:rPr>
          <w:rFonts w:cs="Arial"/>
          <w:szCs w:val="22"/>
        </w:rPr>
        <w:t xml:space="preserve">recovery capacity following </w:t>
      </w:r>
      <w:r w:rsidRPr="00D562E2">
        <w:rPr>
          <w:rFonts w:cs="Arial"/>
          <w:szCs w:val="22"/>
        </w:rPr>
        <w:t xml:space="preserve">impacts is compromised. This, coupled with intensifying disturbances </w:t>
      </w:r>
      <w:r w:rsidR="00BF5378">
        <w:rPr>
          <w:rFonts w:cs="Arial"/>
          <w:szCs w:val="22"/>
        </w:rPr>
        <w:t xml:space="preserve">continued to </w:t>
      </w:r>
      <w:r w:rsidRPr="00D562E2">
        <w:rPr>
          <w:rFonts w:cs="Arial"/>
          <w:szCs w:val="22"/>
        </w:rPr>
        <w:t>present</w:t>
      </w:r>
      <w:r w:rsidR="00A069C6" w:rsidRPr="00D562E2">
        <w:rPr>
          <w:rFonts w:cs="Arial"/>
          <w:szCs w:val="22"/>
        </w:rPr>
        <w:t xml:space="preserve"> a concerning outlook.</w:t>
      </w:r>
    </w:p>
    <w:p w14:paraId="00A5FED4" w14:textId="1A0DD44B" w:rsidR="00932564" w:rsidRDefault="00932564" w:rsidP="00D2585E">
      <w:pPr>
        <w:rPr>
          <w:rFonts w:cs="Arial"/>
          <w:szCs w:val="22"/>
        </w:rPr>
      </w:pPr>
      <w:r w:rsidRPr="00D562E2">
        <w:rPr>
          <w:rFonts w:cs="Arial"/>
          <w:szCs w:val="22"/>
        </w:rPr>
        <w:t xml:space="preserve">Throughout the inshore </w:t>
      </w:r>
      <w:r w:rsidR="003158FC" w:rsidRPr="00D562E2">
        <w:rPr>
          <w:rFonts w:cs="Arial"/>
          <w:szCs w:val="22"/>
        </w:rPr>
        <w:t>Reef</w:t>
      </w:r>
      <w:r w:rsidRPr="00D562E2">
        <w:rPr>
          <w:rFonts w:cs="Arial"/>
          <w:szCs w:val="22"/>
        </w:rPr>
        <w:t>, the rate of seagrass recovery since 2011 has been protracted in some locations compared to previous reports (e.g. Birch and Birch, 1984; Campbell and McKenzie 2004b), particularly at reef habitats. Low reproductive effort may be a contributing factor. At some of the reef sites reproductive structures are never observed for some species, while at others there is some reproductive effort but seed banks are not forming or persisting either because no seeds are being produced, or seeds are lost through other processes, such as predation (</w:t>
      </w:r>
      <w:hyperlink w:anchor="_ENREF_123" w:tooltip="Orth, 2006 #7350" w:history="1">
        <w:r w:rsidR="009A7AB4" w:rsidRPr="00D562E2">
          <w:rPr>
            <w:rFonts w:cs="Arial"/>
            <w:szCs w:val="22"/>
          </w:rPr>
          <w:fldChar w:fldCharType="begin"/>
        </w:r>
        <w:r w:rsidR="009A7AB4" w:rsidRPr="00D562E2">
          <w:rPr>
            <w:rFonts w:cs="Arial"/>
            <w:szCs w:val="22"/>
          </w:rPr>
          <w:instrText xml:space="preserve"> ADDIN EN.CITE &lt;EndNote&gt;&lt;Cite&gt;&lt;Author&gt;Orth&lt;/Author&gt;&lt;Year&gt;2006&lt;/Year&gt;&lt;RecNum&gt;7350&lt;/RecNum&gt;&lt;DisplayText&gt;Orth&lt;style face="italic"&gt; et al.&lt;/style&gt; 2006&lt;/DisplayText&gt;&lt;record&gt;&lt;rec-number&gt;7350&lt;/rec-number&gt;&lt;foreign-keys&gt;&lt;key app="EN" db-id="0eve55x9y5vfd6e9dacxtew4eatve2dzds9a" timestamp="0"&gt;7350&lt;/key&gt;&lt;/foreign-keys&gt;&lt;ref-type name="Book Section"&gt;5&lt;/ref-type&gt;&lt;contributors&gt;&lt;authors&gt;&lt;author&gt;Orth, Robert J.&lt;/author&gt;&lt;author&gt;Harwell, Matthew C.&lt;/author&gt;&lt;author&gt;Inglis, Graeme J.&lt;/author&gt;&lt;/authors&gt;&lt;secondary-authors&gt;&lt;author&gt;Larkum, Anthony W. D.&lt;/author&gt;&lt;author&gt;Orth, Robert J.&lt;/author&gt;&lt;author&gt;Duarte, Carlos M.&lt;/author&gt;&lt;/secondary-authors&gt;&lt;/contributors&gt;&lt;titles&gt;&lt;title&gt;Ecology of seagrass seeds and dispersal strategies&lt;/title&gt;&lt;secondary-title&gt;Seagrasses: biology, ecology and conservation&lt;/secondary-title&gt;&lt;/titles&gt;&lt;periodical&gt;&lt;full-title&gt;Seagrasses: Biology, Ecology and Conservation&lt;/full-title&gt;&lt;/periodical&gt;&lt;pages&gt;113-133&lt;/pages&gt;&lt;section&gt;5&lt;/section&gt;&lt;dates&gt;&lt;year&gt;2006&lt;/year&gt;&lt;/dates&gt;&lt;pub-location&gt;Dordrecht&lt;/pub-location&gt;&lt;publisher&gt;Springer&lt;/publisher&gt;&lt;isbn&gt;10 1-4020-2942-X&lt;/isbn&gt;&lt;urls&gt;&lt;/urls&gt;&lt;/record&gt;&lt;/Cite&gt;&lt;/EndNote&gt;</w:instrText>
        </w:r>
        <w:r w:rsidR="009A7AB4" w:rsidRPr="00D562E2">
          <w:rPr>
            <w:rFonts w:cs="Arial"/>
            <w:szCs w:val="22"/>
          </w:rPr>
          <w:fldChar w:fldCharType="separate"/>
        </w:r>
        <w:r w:rsidR="009A7AB4" w:rsidRPr="00D562E2">
          <w:rPr>
            <w:rFonts w:cs="Arial"/>
            <w:noProof/>
            <w:szCs w:val="22"/>
          </w:rPr>
          <w:t>Orth</w:t>
        </w:r>
        <w:r w:rsidR="009A7AB4" w:rsidRPr="00D562E2">
          <w:rPr>
            <w:rFonts w:cs="Arial"/>
            <w:i/>
            <w:noProof/>
            <w:szCs w:val="22"/>
          </w:rPr>
          <w:t xml:space="preserve"> et al.</w:t>
        </w:r>
        <w:r w:rsidR="009A7AB4" w:rsidRPr="00D562E2">
          <w:rPr>
            <w:rFonts w:cs="Arial"/>
            <w:noProof/>
            <w:szCs w:val="22"/>
          </w:rPr>
          <w:t xml:space="preserve"> 2006</w:t>
        </w:r>
        <w:r w:rsidR="009A7AB4" w:rsidRPr="00D562E2">
          <w:rPr>
            <w:rFonts w:cs="Arial"/>
            <w:szCs w:val="22"/>
          </w:rPr>
          <w:fldChar w:fldCharType="end"/>
        </w:r>
      </w:hyperlink>
      <w:r w:rsidRPr="00D562E2">
        <w:rPr>
          <w:rFonts w:cs="Arial"/>
          <w:szCs w:val="22"/>
        </w:rPr>
        <w:t>). The presence of seeds is fundamental to building resilience at reef sites, as without them the meadows remain vulnerable to large disturbances and would need to rely on recruitment of propagules from other meadows. This external recruitment process may operate at timescales ranging up to centuries or millennia depending on whether the propagules are reproductive or through clonal expansion (</w:t>
      </w:r>
      <w:hyperlink w:anchor="_ENREF_64" w:tooltip="Grech, 2016 #10760" w:history="1">
        <w:r w:rsidR="009A7AB4" w:rsidRPr="00D562E2">
          <w:rPr>
            <w:rFonts w:cs="Arial"/>
            <w:szCs w:val="22"/>
          </w:rPr>
          <w:fldChar w:fldCharType="begin"/>
        </w:r>
        <w:r w:rsidR="009A7AB4" w:rsidRPr="00D562E2">
          <w:rPr>
            <w:rFonts w:cs="Arial"/>
            <w:szCs w:val="22"/>
          </w:rPr>
          <w:instrText xml:space="preserve"> ADDIN EN.CITE &lt;EndNote&gt;&lt;Cite&gt;&lt;Author&gt;Grech&lt;/Author&gt;&lt;Year&gt;2016&lt;/Year&gt;&lt;RecNum&gt;10760&lt;/RecNum&gt;&lt;DisplayText&gt;Grech&lt;style face="italic"&gt; et al.&lt;/style&gt; 2016&lt;/DisplayText&gt;&lt;record&gt;&lt;rec-number&gt;10760&lt;/rec-number&gt;&lt;foreign-keys&gt;&lt;key app="EN" db-id="0eve55x9y5vfd6e9dacxtew4eatve2dzds9a" timestamp="1473804420"&gt;10760&lt;/key&gt;&lt;/foreign-keys&gt;&lt;ref-type name="Journal Article"&gt;17&lt;/ref-type&gt;&lt;contributors&gt;&lt;authors&gt;&lt;author&gt;Grech, Alana&lt;/author&gt;&lt;author&gt;Wolter, Jolan&lt;/author&gt;&lt;author&gt;Coles, Rob&lt;/author&gt;&lt;author&gt;McKenzie, Len&lt;/author&gt;&lt;author&gt;Rasheed, Michael&lt;/author&gt;&lt;author&gt;Thomas, Christopher&lt;/author&gt;&lt;author&gt;Waycott, Michelle&lt;/author&gt;&lt;author&gt;Hanert, Emmanuel&lt;/author&gt;&lt;/authors&gt;&lt;/contributors&gt;&lt;titles&gt;&lt;title&gt;Spatial patterns of seagrass dispersal and settlement&lt;/title&gt;&lt;secondary-title&gt;Diversity and Distributions&lt;/secondary-title&gt;&lt;/titles&gt;&lt;periodical&gt;&lt;full-title&gt;Diversity and Distributions&lt;/full-title&gt;&lt;/periodical&gt;&lt;pages&gt;n/a-n/a&lt;/pages&gt;&lt;keywords&gt;&lt;keyword&gt;dispersal&lt;/keyword&gt;&lt;keyword&gt;Great Barrier Reef&lt;/keyword&gt;&lt;keyword&gt;hydrodynamics&lt;/keyword&gt;&lt;keyword&gt;recovery&lt;/keyword&gt;&lt;keyword&gt;resilience&lt;/keyword&gt;&lt;keyword&gt;seagrass&lt;/keyword&gt;&lt;/keywords&gt;&lt;dates&gt;&lt;year&gt;2016&lt;/year&gt;&lt;/dates&gt;&lt;isbn&gt;1472-4642&lt;/isbn&gt;&lt;urls&gt;&lt;related-urls&gt;&lt;url&gt;http://dx.doi.org/10.1111/ddi.12479&lt;/url&gt;&lt;/related-urls&gt;&lt;/urls&gt;&lt;electronic-resource-num&gt;10.1111/ddi.12479&lt;/electronic-resource-num&gt;&lt;/record&gt;&lt;/Cite&gt;&lt;/EndNote&gt;</w:instrText>
        </w:r>
        <w:r w:rsidR="009A7AB4" w:rsidRPr="00D562E2">
          <w:rPr>
            <w:rFonts w:cs="Arial"/>
            <w:szCs w:val="22"/>
          </w:rPr>
          <w:fldChar w:fldCharType="separate"/>
        </w:r>
        <w:r w:rsidR="009A7AB4" w:rsidRPr="00D562E2">
          <w:rPr>
            <w:rFonts w:cs="Arial"/>
            <w:noProof/>
            <w:szCs w:val="22"/>
          </w:rPr>
          <w:t>Grech</w:t>
        </w:r>
        <w:r w:rsidR="009A7AB4" w:rsidRPr="00D562E2">
          <w:rPr>
            <w:rFonts w:cs="Arial"/>
            <w:i/>
            <w:noProof/>
            <w:szCs w:val="22"/>
          </w:rPr>
          <w:t xml:space="preserve"> et al.</w:t>
        </w:r>
        <w:r w:rsidR="009A7AB4" w:rsidRPr="00D562E2">
          <w:rPr>
            <w:rFonts w:cs="Arial"/>
            <w:noProof/>
            <w:szCs w:val="22"/>
          </w:rPr>
          <w:t xml:space="preserve"> 2016</w:t>
        </w:r>
        <w:r w:rsidR="009A7AB4" w:rsidRPr="00D562E2">
          <w:rPr>
            <w:rFonts w:cs="Arial"/>
            <w:szCs w:val="22"/>
          </w:rPr>
          <w:fldChar w:fldCharType="end"/>
        </w:r>
      </w:hyperlink>
      <w:r w:rsidRPr="00D562E2">
        <w:rPr>
          <w:rFonts w:cs="Arial"/>
          <w:szCs w:val="22"/>
        </w:rPr>
        <w:t xml:space="preserve">, </w:t>
      </w:r>
      <w:hyperlink w:anchor="_ENREF_115" w:tooltip="McMahon, 2014 #10411" w:history="1">
        <w:r w:rsidR="009A7AB4" w:rsidRPr="00D562E2">
          <w:rPr>
            <w:rFonts w:cs="Arial"/>
            <w:szCs w:val="22"/>
          </w:rPr>
          <w:fldChar w:fldCharType="begin"/>
        </w:r>
        <w:r w:rsidR="009A7AB4" w:rsidRPr="00D562E2">
          <w:rPr>
            <w:rFonts w:cs="Arial"/>
            <w:szCs w:val="22"/>
          </w:rPr>
          <w:instrText xml:space="preserve"> ADDIN EN.CITE &lt;EndNote&gt;&lt;Cite&gt;&lt;Author&gt;McMahon&lt;/Author&gt;&lt;Year&gt;2014&lt;/Year&gt;&lt;RecNum&gt;10411&lt;/RecNum&gt;&lt;DisplayText&gt;McMahon&lt;style face="italic"&gt; et al.&lt;/style&gt; 2014&lt;/DisplayText&gt;&lt;record&gt;&lt;rec-number&gt;10411&lt;/rec-number&gt;&lt;foreign-keys&gt;&lt;key app="EN" db-id="0eve55x9y5vfd6e9dacxtew4eatve2dzds9a" timestamp="1449181902"&gt;10411&lt;/key&gt;&lt;/foreign-keys&gt;&lt;ref-type name="Journal Article"&gt;17&lt;/ref-type&gt;&lt;contributors&gt;&lt;authors&gt;&lt;author&gt;McMahon, Kathryn&lt;/author&gt;&lt;author&gt;van Dijk, Kor-jent&lt;/author&gt;&lt;author&gt;Ruiz-Montoya, Leonardo&lt;/author&gt;&lt;author&gt;Kendrick, Gary A.&lt;/author&gt;&lt;author&gt;Krauss, Siegfried L.&lt;/author&gt;&lt;author&gt;Waycott, Michelle&lt;/author&gt;&lt;author&gt;Verduin, Jennifer&lt;/author&gt;&lt;author&gt;Lowe, Ryan&lt;/author&gt;&lt;author&gt;Statton, John&lt;/author&gt;&lt;author&gt;Brown, Eloise&lt;/author&gt;&lt;author&gt;Duarte, Carlos&lt;/author&gt;&lt;/authors&gt;&lt;/contributors&gt;&lt;titles&gt;&lt;title&gt;The movement ecology of seagrasses&lt;/title&gt;&lt;secondary-title&gt;Proceedings of the Royal Society of London B: Biological Sciences&lt;/secondary-title&gt;&lt;/titles&gt;&lt;periodical&gt;&lt;full-title&gt;Proceedings of the Royal Society of London B: Biological Sciences&lt;/full-title&gt;&lt;/periodical&gt;&lt;volume&gt;281&lt;/volume&gt;&lt;number&gt;1795&lt;/number&gt;&lt;dates&gt;&lt;year&gt;2014&lt;/year&gt;&lt;pub-dates&gt;&lt;date&gt;2014-11-22 00:00:00&lt;/date&gt;&lt;/pub-dates&gt;&lt;/dates&gt;&lt;urls&gt;&lt;related-urls&gt;&lt;url&gt;http://rspb.royalsocietypublishing.org/royprsb/281/1795/20140878.full.pdf&lt;/url&gt;&lt;/related-urls&gt;&lt;/urls&gt;&lt;electronic-resource-num&gt;10.1098/rspb.2014.0878&lt;/electronic-resource-num&gt;&lt;/record&gt;&lt;/Cite&gt;&lt;/EndNote&gt;</w:instrText>
        </w:r>
        <w:r w:rsidR="009A7AB4" w:rsidRPr="00D562E2">
          <w:rPr>
            <w:rFonts w:cs="Arial"/>
            <w:szCs w:val="22"/>
          </w:rPr>
          <w:fldChar w:fldCharType="separate"/>
        </w:r>
        <w:r w:rsidR="009A7AB4" w:rsidRPr="00D562E2">
          <w:rPr>
            <w:rFonts w:cs="Arial"/>
            <w:noProof/>
            <w:szCs w:val="22"/>
          </w:rPr>
          <w:t>McMahon</w:t>
        </w:r>
        <w:r w:rsidR="009A7AB4" w:rsidRPr="00D562E2">
          <w:rPr>
            <w:rFonts w:cs="Arial"/>
            <w:i/>
            <w:noProof/>
            <w:szCs w:val="22"/>
          </w:rPr>
          <w:t xml:space="preserve"> et al.</w:t>
        </w:r>
        <w:r w:rsidR="009A7AB4" w:rsidRPr="00D562E2">
          <w:rPr>
            <w:rFonts w:cs="Arial"/>
            <w:noProof/>
            <w:szCs w:val="22"/>
          </w:rPr>
          <w:t xml:space="preserve"> 2014</w:t>
        </w:r>
        <w:r w:rsidR="009A7AB4" w:rsidRPr="00D562E2">
          <w:rPr>
            <w:rFonts w:cs="Arial"/>
            <w:szCs w:val="22"/>
          </w:rPr>
          <w:fldChar w:fldCharType="end"/>
        </w:r>
      </w:hyperlink>
      <w:r w:rsidRPr="00D562E2">
        <w:rPr>
          <w:rFonts w:cs="Arial"/>
          <w:szCs w:val="22"/>
        </w:rPr>
        <w:t xml:space="preserve">). Absence of a seed bank at some sites and poor reproductive effort across the </w:t>
      </w:r>
      <w:r w:rsidR="003158FC" w:rsidRPr="00D562E2">
        <w:rPr>
          <w:rFonts w:cs="Arial"/>
          <w:szCs w:val="22"/>
        </w:rPr>
        <w:t>Reef</w:t>
      </w:r>
      <w:r w:rsidRPr="00D562E2">
        <w:rPr>
          <w:rFonts w:cs="Arial"/>
          <w:szCs w:val="22"/>
        </w:rPr>
        <w:t xml:space="preserve">, has left </w:t>
      </w:r>
      <w:r w:rsidR="00BF5378">
        <w:rPr>
          <w:rFonts w:cs="Arial"/>
          <w:szCs w:val="22"/>
        </w:rPr>
        <w:t>many</w:t>
      </w:r>
      <w:r w:rsidRPr="00D562E2">
        <w:rPr>
          <w:rFonts w:cs="Arial"/>
          <w:szCs w:val="22"/>
        </w:rPr>
        <w:t xml:space="preserve"> of the MMP meadows vulnerable to further environmental pertu</w:t>
      </w:r>
      <w:r w:rsidR="00A069C6" w:rsidRPr="00D562E2">
        <w:rPr>
          <w:rFonts w:cs="Arial"/>
          <w:szCs w:val="22"/>
        </w:rPr>
        <w:t>rbations.</w:t>
      </w:r>
    </w:p>
    <w:p w14:paraId="29F2C418" w14:textId="5769E869" w:rsidR="00415782" w:rsidRPr="00D562E2" w:rsidRDefault="00A96440" w:rsidP="000C4660">
      <w:pPr>
        <w:rPr>
          <w:rFonts w:cs="Arial"/>
          <w:szCs w:val="22"/>
        </w:rPr>
      </w:pPr>
      <w:r w:rsidRPr="00D562E2">
        <w:rPr>
          <w:rFonts w:cs="Arial"/>
          <w:szCs w:val="22"/>
        </w:rPr>
        <w:t>Recovery of seagrass meadows proceeding slower than expected might also be due to the frequent and repeated disturbances occurring over the decade. The capacity of seagrass meadows to naturally recover requires environmental conditions that will enable expansion, sexual reproduction and seed bank formation</w:t>
      </w:r>
      <w:r w:rsidR="00CD55F0">
        <w:rPr>
          <w:rFonts w:cs="Arial"/>
          <w:szCs w:val="22"/>
        </w:rPr>
        <w:t xml:space="preserve">, including </w:t>
      </w:r>
      <w:r w:rsidR="00932564" w:rsidRPr="00D562E2">
        <w:rPr>
          <w:rFonts w:cs="Arial"/>
          <w:szCs w:val="22"/>
        </w:rPr>
        <w:t>optimum conditions of light and nutrient availability and the absence of major physical disturbances such as cyclones or even excessive sediment resuspension. For example, the low and variable light availabil</w:t>
      </w:r>
      <w:r w:rsidR="00932564" w:rsidRPr="00D562E2">
        <w:rPr>
          <w:rFonts w:cs="Arial"/>
          <w:szCs w:val="22"/>
        </w:rPr>
        <w:lastRenderedPageBreak/>
        <w:t xml:space="preserve">ity across the </w:t>
      </w:r>
      <w:r w:rsidR="003158FC" w:rsidRPr="00D562E2">
        <w:rPr>
          <w:rFonts w:cs="Arial"/>
          <w:szCs w:val="22"/>
        </w:rPr>
        <w:t>Reef</w:t>
      </w:r>
      <w:r w:rsidR="00932564" w:rsidRPr="00D562E2">
        <w:rPr>
          <w:rFonts w:cs="Arial"/>
          <w:szCs w:val="22"/>
        </w:rPr>
        <w:t xml:space="preserve"> habitats in 2014</w:t>
      </w:r>
      <w:r w:rsidR="003158FC" w:rsidRPr="00D562E2">
        <w:rPr>
          <w:rFonts w:cs="Arial"/>
          <w:szCs w:val="22"/>
        </w:rPr>
        <w:t>–</w:t>
      </w:r>
      <w:r w:rsidR="00932564" w:rsidRPr="00D562E2">
        <w:rPr>
          <w:rFonts w:cs="Arial"/>
          <w:szCs w:val="22"/>
        </w:rPr>
        <w:t>15, 2016</w:t>
      </w:r>
      <w:r w:rsidR="003158FC" w:rsidRPr="00D562E2">
        <w:rPr>
          <w:rFonts w:cs="Arial"/>
          <w:szCs w:val="22"/>
        </w:rPr>
        <w:t>–</w:t>
      </w:r>
      <w:r w:rsidR="00932564" w:rsidRPr="00D562E2">
        <w:rPr>
          <w:rFonts w:cs="Arial"/>
          <w:szCs w:val="22"/>
        </w:rPr>
        <w:t>17</w:t>
      </w:r>
      <w:r w:rsidR="00B3597E">
        <w:rPr>
          <w:rFonts w:cs="Arial"/>
          <w:szCs w:val="22"/>
        </w:rPr>
        <w:t>, 2017-18</w:t>
      </w:r>
      <w:r w:rsidR="00932564" w:rsidRPr="00D562E2">
        <w:rPr>
          <w:rFonts w:cs="Arial"/>
          <w:szCs w:val="22"/>
        </w:rPr>
        <w:t xml:space="preserve"> and </w:t>
      </w:r>
      <w:r w:rsidR="00956639" w:rsidRPr="00D562E2">
        <w:rPr>
          <w:rFonts w:cs="Arial"/>
          <w:szCs w:val="22"/>
        </w:rPr>
        <w:t>2018–19</w:t>
      </w:r>
      <w:r w:rsidR="00932564" w:rsidRPr="00D562E2">
        <w:rPr>
          <w:rFonts w:cs="Arial"/>
          <w:szCs w:val="22"/>
        </w:rPr>
        <w:t xml:space="preserve"> appear</w:t>
      </w:r>
      <w:r w:rsidR="00C26801" w:rsidRPr="00D562E2">
        <w:rPr>
          <w:rFonts w:cs="Arial"/>
          <w:szCs w:val="22"/>
        </w:rPr>
        <w:t>s</w:t>
      </w:r>
      <w:r w:rsidR="00932564" w:rsidRPr="00D562E2">
        <w:rPr>
          <w:rFonts w:cs="Arial"/>
          <w:szCs w:val="22"/>
        </w:rPr>
        <w:t xml:space="preserve"> to have slowed and abated recovery, which in turn may reduce capacity to produce viable seed banks in some locations (</w:t>
      </w:r>
      <w:hyperlink w:anchor="_ENREF_149" w:tooltip="van Katwijk, 2010 #9240" w:history="1">
        <w:r w:rsidR="009A7AB4" w:rsidRPr="00D562E2">
          <w:rPr>
            <w:rFonts w:cs="Arial"/>
            <w:szCs w:val="22"/>
          </w:rPr>
          <w:fldChar w:fldCharType="begin"/>
        </w:r>
        <w:r w:rsidR="009A7AB4">
          <w:rPr>
            <w:rFonts w:cs="Arial"/>
            <w:szCs w:val="22"/>
          </w:rPr>
          <w:instrText xml:space="preserve"> ADDIN EN.CITE &lt;EndNote&gt;&lt;Cite&gt;&lt;Author&gt;van Katwijk&lt;/Author&gt;&lt;Year&gt;2010&lt;/Year&gt;&lt;RecNum&gt;9240&lt;/RecNum&gt;&lt;DisplayText&gt;van Katwijk&lt;style face="italic"&gt; et al.&lt;/style&gt; 2010&lt;/DisplayText&gt;&lt;record&gt;&lt;rec-number&gt;9240&lt;/rec-number&gt;&lt;foreign-keys&gt;&lt;key app="EN" db-id="0eve55x9y5vfd6e9dacxtew4eatve2dzds9a" timestamp="1375003730"&gt;9240&lt;/key&gt;&lt;/foreign-keys&gt;&lt;ref-type name="Journal Article"&gt;17&lt;/ref-type&gt;&lt;contributors&gt;&lt;authors&gt;&lt;author&gt;van Katwijk, M. M.&lt;/author&gt;&lt;author&gt;Bos, A. R.&lt;/author&gt;&lt;author&gt;Hermus, D. C. R.&lt;/author&gt;&lt;author&gt;Suykerbuyk, W.&lt;/author&gt;&lt;/authors&gt;&lt;/contributors&gt;&lt;titles&gt;&lt;title&gt;Sediment modification by seagrass beds: Muddification and sandification induced by plant cover and environmental conditions&lt;/title&gt;&lt;secondary-title&gt;Estuarine Coastal And Shelf Science&lt;/secondary-title&gt;&lt;/titles&gt;&lt;periodical&gt;&lt;full-title&gt;Estuarine Coastal And Shelf Science&lt;/full-title&gt;&lt;/periodical&gt;&lt;pages&gt;175-181&lt;/pages&gt;&lt;volume&gt;89&lt;/volume&gt;&lt;number&gt;2&lt;/number&gt;&lt;dates&gt;&lt;year&gt;2010&lt;/year&gt;&lt;pub-dates&gt;&lt;date&gt;Sep&lt;/date&gt;&lt;/pub-dates&gt;&lt;/dates&gt;&lt;isbn&gt;0272-7714&lt;/isbn&gt;&lt;accession-num&gt;WOS:000281501000006&lt;/accession-num&gt;&lt;urls&gt;&lt;related-urls&gt;&lt;url&gt;&amp;lt;Go to ISI&amp;gt;://WOS:000281501000006&lt;/url&gt;&lt;/related-urls&gt;&lt;/urls&gt;&lt;electronic-resource-num&gt;10.1016/j.ecss.2010.06.008&lt;/electronic-resource-num&gt;&lt;/record&gt;&lt;/Cite&gt;&lt;/EndNote&gt;</w:instrText>
        </w:r>
        <w:r w:rsidR="009A7AB4" w:rsidRPr="00D562E2">
          <w:rPr>
            <w:rFonts w:cs="Arial"/>
            <w:szCs w:val="22"/>
          </w:rPr>
          <w:fldChar w:fldCharType="separate"/>
        </w:r>
        <w:r w:rsidR="009A7AB4">
          <w:rPr>
            <w:rFonts w:cs="Arial"/>
            <w:noProof/>
            <w:szCs w:val="22"/>
          </w:rPr>
          <w:t>van Katwijk</w:t>
        </w:r>
        <w:r w:rsidR="009A7AB4" w:rsidRPr="004A409C">
          <w:rPr>
            <w:rFonts w:cs="Arial"/>
            <w:i/>
            <w:noProof/>
            <w:szCs w:val="22"/>
          </w:rPr>
          <w:t xml:space="preserve"> et al.</w:t>
        </w:r>
        <w:r w:rsidR="009A7AB4">
          <w:rPr>
            <w:rFonts w:cs="Arial"/>
            <w:noProof/>
            <w:szCs w:val="22"/>
          </w:rPr>
          <w:t xml:space="preserve"> 2010</w:t>
        </w:r>
        <w:r w:rsidR="009A7AB4" w:rsidRPr="00D562E2">
          <w:rPr>
            <w:rFonts w:cs="Arial"/>
            <w:szCs w:val="22"/>
          </w:rPr>
          <w:fldChar w:fldCharType="end"/>
        </w:r>
      </w:hyperlink>
      <w:r w:rsidR="00932564" w:rsidRPr="00D562E2">
        <w:rPr>
          <w:rFonts w:cs="Arial"/>
          <w:szCs w:val="22"/>
        </w:rPr>
        <w:t xml:space="preserve">). </w:t>
      </w:r>
      <w:r w:rsidR="00932564" w:rsidRPr="00D562E2">
        <w:rPr>
          <w:rFonts w:cs="Arial"/>
          <w:szCs w:val="22"/>
          <w:lang w:val="en-US"/>
        </w:rPr>
        <w:t xml:space="preserve">Continued strategic monitoring through </w:t>
      </w:r>
      <w:r w:rsidR="004B5D71">
        <w:rPr>
          <w:rFonts w:cs="Arial"/>
          <w:szCs w:val="22"/>
          <w:lang w:val="en-US"/>
        </w:rPr>
        <w:t>world</w:t>
      </w:r>
      <w:r w:rsidR="002908DE">
        <w:rPr>
          <w:rFonts w:cs="Arial"/>
          <w:szCs w:val="22"/>
          <w:lang w:val="en-US"/>
        </w:rPr>
        <w:t>-</w:t>
      </w:r>
      <w:r w:rsidR="004B5D71">
        <w:rPr>
          <w:rFonts w:cs="Arial"/>
          <w:szCs w:val="22"/>
          <w:lang w:val="en-US"/>
        </w:rPr>
        <w:t>leading monitoring networks</w:t>
      </w:r>
      <w:r w:rsidR="00932564" w:rsidRPr="00D562E2">
        <w:rPr>
          <w:rFonts w:cs="Arial"/>
          <w:szCs w:val="22"/>
          <w:lang w:val="en-US"/>
        </w:rPr>
        <w:t xml:space="preserve"> such as </w:t>
      </w:r>
      <w:r w:rsidR="004B5D71">
        <w:rPr>
          <w:rFonts w:cs="Arial"/>
          <w:szCs w:val="22"/>
          <w:lang w:val="en-US"/>
        </w:rPr>
        <w:t>such as Seagrass-Watch (</w:t>
      </w:r>
      <w:hyperlink w:anchor="_ENREF_55" w:tooltip="Duffy, 2019 #12132" w:history="1">
        <w:r w:rsidR="009A7AB4">
          <w:rPr>
            <w:rFonts w:cs="Arial"/>
            <w:szCs w:val="22"/>
            <w:lang w:val="en-US"/>
          </w:rPr>
          <w:fldChar w:fldCharType="begin">
            <w:fldData xml:space="preserve">PEVuZE5vdGU+PENpdGU+PEF1dGhvcj5EdWZmeTwvQXV0aG9yPjxZZWFyPjIwMTk8L1llYXI+PFJl
Y051bT4xMjEzMjwvUmVjTnVtPjxEaXNwbGF5VGV4dD5EdWZmeTxzdHlsZSBmYWNlPSJpdGFsaWMi
PiBldCBhbC48L3N0eWxlPiAyMDE5PC9EaXNwbGF5VGV4dD48cmVjb3JkPjxyZWMtbnVtYmVyPjEy
MTMyPC9yZWMtbnVtYmVyPjxmb3JlaWduLWtleXM+PGtleSBhcHA9IkVOIiBkYi1pZD0iMGV2ZTU1
eDl5NXZmZDZlOWRhY3h0ZXc0ZWF0dmUyZHpkczlhIiB0aW1lc3RhbXA9IjE1NjIzMDE1NTEiPjEy
MTMyPC9rZXk+PC9mb3JlaWduLWtleXM+PHJlZi10eXBlIG5hbWU9IkpvdXJuYWwgQXJ0aWNsZSI+
MTc8L3JlZi10eXBlPjxjb250cmlidXRvcnM+PGF1dGhvcnM+PGF1dGhvcj5EdWZmeSxKLiBFbW1l
dHQ8L2F1dGhvcj48YXV0aG9yPkJlbmVkZXR0aS1DZWNjaGksTGlzYW5kcm88L2F1dGhvcj48YXV0
aG9yPlRyaW5hbmVzLEpvYXF1aW48L2F1dGhvcj48YXV0aG9yPk11bGxlci1LYXJnZXIsRnJhbmsg
RS48L2F1dGhvcj48YXV0aG9yPkFtYm8tUmFwcGUsUm9oYW5pPC9hdXRob3I+PGF1dGhvcj5Cb3N0
csO2bSxDaHJpc3RvZmZlcjwvYXV0aG9yPjxhdXRob3I+QnVzY2htYW5uLEFsZWphbmRybyBILjwv
YXV0aG9yPjxhdXRob3I+QnlybmVzLEphcnJldHQ8L2F1dGhvcj48YXV0aG9yPkNvbGVzLFJvYmVy
dCBHLjwvYXV0aG9yPjxhdXRob3I+Q3JlZWQsSm9lbDwvYXV0aG9yPjxhdXRob3I+Q3VsbGVuLVVu
c3dvcnRoLExlYW5uZSBDLjwvYXV0aG9yPjxhdXRob3I+RGlhei1QdWxpZG8sR3VpbGxlcm1vPC9h
dXRob3I+PGF1dGhvcj5EdWFydGUsQ2FybG9zIE0uPC9hdXRob3I+PGF1dGhvcj5FZGdhcixHcmFo
YW0gSi48L2F1dGhvcj48YXV0aG9yPkZvcnRlcyxNaWd1ZWw8L2F1dGhvcj48YXV0aG9yPkdvbmks
R3VzdGF2bzwvYXV0aG9yPjxhdXRob3I+SHUsQ2h1YW5taW48L2F1dGhvcj48YXV0aG9yPkh1YW5n
LFhpYW9waW5nPC9hdXRob3I+PGF1dGhvcj5IdXJkLENhdHJpb25hIEwuPC9hdXRob3I+PGF1dGhv
cj5Kb2huc29uLENyYWlnPC9hdXRob3I+PGF1dGhvcj5Lb25hcixCcmVuZGE8L2F1dGhvcj48YXV0
aG9yPktyYXVzZS1KZW5zZW4sRG9ydGU8L2F1dGhvcj48YXV0aG9yPktydW1oYW5zbCxLaXJhPC9h
dXRob3I+PGF1dGhvcj5NYWNyZWFkaWUsUGV0ZXI8L2F1dGhvcj48YXV0aG9yPk1hcnNoLEhlbGVu
ZTwvYXV0aG9yPjxhdXRob3I+TWNLZW56aWUsTGVuIEouPC9hdXRob3I+PGF1dGhvcj5NaWVzemtv
d3NrYSxOb3ZhPC9hdXRob3I+PGF1dGhvcj5NaWxvc2xhdmljaCxQYXRyaWNpYTwvYXV0aG9yPjxh
dXRob3I+TW9udGVzLEVucmlxdWU8L2F1dGhvcj48YXV0aG9yPk5ha2Fva2EsTWFzYWhpcm88L2F1
dGhvcj48YXV0aG9yPk5vcmRlcmhhdWcsS2plbGwgTWFnbnVzPC9hdXRob3I+PGF1dGhvcj5Ob3Js
dW5kLExpbmEgTS48L2F1dGhvcj48YXV0aG9yPk9ydGgsUm9iZXJ0IEouPC9hdXRob3I+PGF1dGhv
cj5QcmF0aGVwLEFuY2hhbmE8L2F1dGhvcj48YXV0aG9yPlB1dG1hbixOYXRoYW4gRi48L2F1dGhv
cj48YXV0aG9yPlNhbXBlci1WaWxsYXJyZWFsLEppbWVuYTwvYXV0aG9yPjxhdXRob3I+U2VycmFv
LEVzdGVyIEEuPC9hdXRob3I+PGF1dGhvcj5TaG9ydCxGcmVkZXJpY2s8L2F1dGhvcj48YXV0aG9y
PlBpbnRvLElzYWJlbCBTb3VzYTwvYXV0aG9yPjxhdXRob3I+U3RlaW5iZXJnLFBldGVyPC9hdXRo
b3I+PGF1dGhvcj5TdHVhcnQtU21pdGgsUmljazwvYXV0aG9yPjxhdXRob3I+VW5zd29ydGgsUmlj
aGFyZCBLLiBGLjwvYXV0aG9yPjxhdXRob3I+dmFuIEtldWxlbixNaWtlPC9hdXRob3I+PGF1dGhv
cj52YW4gVHVzc2VuYnJvZWssQnJpZ2l0dGEgSS48L2F1dGhvcj48YXV0aG9yPldhbmcsTWVuZ3Fp
dTwvYXV0aG9yPjxhdXRob3I+V2F5Y290dCxNaWNoZWxsZTwvYXV0aG9yPjxhdXRob3I+V2VhdGhl
cmRvbixMYXVyZW4gVi48L2F1dGhvcj48YXV0aG9yPldlcm5iZXJnLFRob21hczwvYXV0aG9yPjxh
dXRob3I+WWFha3ViLFNpdGkgTWFyeWFtPC9hdXRob3I+PC9hdXRob3JzPjwvY29udHJpYnV0b3Jz
Pjx0aXRsZXM+PHRpdGxlPlRvd2FyZCBhIENvb3JkaW5hdGVkIEdsb2JhbCBPYnNlcnZpbmcgU3lz
dGVtIGZvciBTZWFncmFzc2VzIGFuZCBNYXJpbmUgTWFjcm9hbGdhZTwvdGl0bGU+PHNlY29uZGFy
eS10aXRsZT5Gcm9udGllcnMgaW4gTWFyaW5lIFNjaWVuY2U8L3NlY29uZGFyeS10aXRsZT48c2hv
cnQtdGl0bGU+VG93YXJkIGEgY29vcmRpbmF0ZWQgZ2xvYmFsIG9ic2VydmluZyBzeXN0ZW0gZm9y
IG1hcmluZSBtYWNyb3BoeXRlczwvc2hvcnQtdGl0bGU+PC90aXRsZXM+PHBlcmlvZGljYWw+PGZ1
bGwtdGl0bGU+RnJvbnRpZXJzIGluIE1hcmluZSBTY2llbmNlPC9mdWxsLXRpdGxlPjwvcGVyaW9k
aWNhbD48dm9sdW1lPjYgaHR0cHM6Ly9kb2kub3JnLzEwLjMzODkvZm1hcnMuMjAxOS4wMDMxNzwv
dm9sdW1lPjxudW1iZXI+MzE3PC9udW1iZXI+PGtleXdvcmRzPjxrZXl3b3JkPkJpb2RpdmVyc2l0
eSxzZWFncmFzcyxuZXR3b3JrLG1hY3JvYWxnYWUsYmlvZGl2ZXJzaXR5IG9ic2VydmF0aW9uIG5l
dHdvcmsgKEJPTiksRXNzZW50aWFsIE9jZWFuIFZhcmlhYmxlcyAoRU9WKTwva2V5d29yZD48L2tl
eXdvcmRzPjxkYXRlcz48eWVhcj4yMDE5PC95ZWFyPjxwdWItZGF0ZXM+PGRhdGU+MjAxOS1KdWx5
LTA0PC9kYXRlPjwvcHViLWRhdGVzPjwvZGF0ZXM+PGlzYm4+MjI5Ni03NzQ1PC9pc2JuPjx3b3Jr
LXR5cGU+U3lzdGVtYXRpYyBSZXZpZXc8L3dvcmstdHlwZT48dXJscz48cmVsYXRlZC11cmxzPjx1
cmw+aHR0cHM6Ly93d3cuZnJvbnRpZXJzaW4ub3JnL2FydGljbGUvMTAuMzM4OS9mbWFycy4yMDE5
LjAwMzE3PC91cmw+PC9yZWxhdGVkLXVybHM+PC91cmxzPjxlbGVjdHJvbmljLXJlc291cmNlLW51
bT4xMC4zMzg5L2ZtYXJzLjIwMTkuMDAzMTc8L2VsZWN0cm9uaWMtcmVzb3VyY2UtbnVtPjxsYW5n
dWFnZT5FbmdsaXNoPC9sYW5ndWFnZT48L3JlY29yZD48L0NpdGU+PC9FbmROb3RlPgB=
</w:fldData>
          </w:fldChar>
        </w:r>
        <w:r w:rsidR="009A7AB4">
          <w:rPr>
            <w:rFonts w:cs="Arial"/>
            <w:szCs w:val="22"/>
            <w:lang w:val="en-US"/>
          </w:rPr>
          <w:instrText xml:space="preserve"> ADDIN EN.CITE </w:instrText>
        </w:r>
        <w:r w:rsidR="009A7AB4">
          <w:rPr>
            <w:rFonts w:cs="Arial"/>
            <w:szCs w:val="22"/>
            <w:lang w:val="en-US"/>
          </w:rPr>
          <w:fldChar w:fldCharType="begin">
            <w:fldData xml:space="preserve">PEVuZE5vdGU+PENpdGU+PEF1dGhvcj5EdWZmeTwvQXV0aG9yPjxZZWFyPjIwMTk8L1llYXI+PFJl
Y051bT4xMjEzMjwvUmVjTnVtPjxEaXNwbGF5VGV4dD5EdWZmeTxzdHlsZSBmYWNlPSJpdGFsaWMi
PiBldCBhbC48L3N0eWxlPiAyMDE5PC9EaXNwbGF5VGV4dD48cmVjb3JkPjxyZWMtbnVtYmVyPjEy
MTMyPC9yZWMtbnVtYmVyPjxmb3JlaWduLWtleXM+PGtleSBhcHA9IkVOIiBkYi1pZD0iMGV2ZTU1
eDl5NXZmZDZlOWRhY3h0ZXc0ZWF0dmUyZHpkczlhIiB0aW1lc3RhbXA9IjE1NjIzMDE1NTEiPjEy
MTMyPC9rZXk+PC9mb3JlaWduLWtleXM+PHJlZi10eXBlIG5hbWU9IkpvdXJuYWwgQXJ0aWNsZSI+
MTc8L3JlZi10eXBlPjxjb250cmlidXRvcnM+PGF1dGhvcnM+PGF1dGhvcj5EdWZmeSxKLiBFbW1l
dHQ8L2F1dGhvcj48YXV0aG9yPkJlbmVkZXR0aS1DZWNjaGksTGlzYW5kcm88L2F1dGhvcj48YXV0
aG9yPlRyaW5hbmVzLEpvYXF1aW48L2F1dGhvcj48YXV0aG9yPk11bGxlci1LYXJnZXIsRnJhbmsg
RS48L2F1dGhvcj48YXV0aG9yPkFtYm8tUmFwcGUsUm9oYW5pPC9hdXRob3I+PGF1dGhvcj5Cb3N0
csO2bSxDaHJpc3RvZmZlcjwvYXV0aG9yPjxhdXRob3I+QnVzY2htYW5uLEFsZWphbmRybyBILjwv
YXV0aG9yPjxhdXRob3I+QnlybmVzLEphcnJldHQ8L2F1dGhvcj48YXV0aG9yPkNvbGVzLFJvYmVy
dCBHLjwvYXV0aG9yPjxhdXRob3I+Q3JlZWQsSm9lbDwvYXV0aG9yPjxhdXRob3I+Q3VsbGVuLVVu
c3dvcnRoLExlYW5uZSBDLjwvYXV0aG9yPjxhdXRob3I+RGlhei1QdWxpZG8sR3VpbGxlcm1vPC9h
dXRob3I+PGF1dGhvcj5EdWFydGUsQ2FybG9zIE0uPC9hdXRob3I+PGF1dGhvcj5FZGdhcixHcmFo
YW0gSi48L2F1dGhvcj48YXV0aG9yPkZvcnRlcyxNaWd1ZWw8L2F1dGhvcj48YXV0aG9yPkdvbmks
R3VzdGF2bzwvYXV0aG9yPjxhdXRob3I+SHUsQ2h1YW5taW48L2F1dGhvcj48YXV0aG9yPkh1YW5n
LFhpYW9waW5nPC9hdXRob3I+PGF1dGhvcj5IdXJkLENhdHJpb25hIEwuPC9hdXRob3I+PGF1dGhv
cj5Kb2huc29uLENyYWlnPC9hdXRob3I+PGF1dGhvcj5Lb25hcixCcmVuZGE8L2F1dGhvcj48YXV0
aG9yPktyYXVzZS1KZW5zZW4sRG9ydGU8L2F1dGhvcj48YXV0aG9yPktydW1oYW5zbCxLaXJhPC9h
dXRob3I+PGF1dGhvcj5NYWNyZWFkaWUsUGV0ZXI8L2F1dGhvcj48YXV0aG9yPk1hcnNoLEhlbGVu
ZTwvYXV0aG9yPjxhdXRob3I+TWNLZW56aWUsTGVuIEouPC9hdXRob3I+PGF1dGhvcj5NaWVzemtv
d3NrYSxOb3ZhPC9hdXRob3I+PGF1dGhvcj5NaWxvc2xhdmljaCxQYXRyaWNpYTwvYXV0aG9yPjxh
dXRob3I+TW9udGVzLEVucmlxdWU8L2F1dGhvcj48YXV0aG9yPk5ha2Fva2EsTWFzYWhpcm88L2F1
dGhvcj48YXV0aG9yPk5vcmRlcmhhdWcsS2plbGwgTWFnbnVzPC9hdXRob3I+PGF1dGhvcj5Ob3Js
dW5kLExpbmEgTS48L2F1dGhvcj48YXV0aG9yPk9ydGgsUm9iZXJ0IEouPC9hdXRob3I+PGF1dGhv
cj5QcmF0aGVwLEFuY2hhbmE8L2F1dGhvcj48YXV0aG9yPlB1dG1hbixOYXRoYW4gRi48L2F1dGhv
cj48YXV0aG9yPlNhbXBlci1WaWxsYXJyZWFsLEppbWVuYTwvYXV0aG9yPjxhdXRob3I+U2VycmFv
LEVzdGVyIEEuPC9hdXRob3I+PGF1dGhvcj5TaG9ydCxGcmVkZXJpY2s8L2F1dGhvcj48YXV0aG9y
PlBpbnRvLElzYWJlbCBTb3VzYTwvYXV0aG9yPjxhdXRob3I+U3RlaW5iZXJnLFBldGVyPC9hdXRo
b3I+PGF1dGhvcj5TdHVhcnQtU21pdGgsUmljazwvYXV0aG9yPjxhdXRob3I+VW5zd29ydGgsUmlj
aGFyZCBLLiBGLjwvYXV0aG9yPjxhdXRob3I+dmFuIEtldWxlbixNaWtlPC9hdXRob3I+PGF1dGhv
cj52YW4gVHVzc2VuYnJvZWssQnJpZ2l0dGEgSS48L2F1dGhvcj48YXV0aG9yPldhbmcsTWVuZ3Fp
dTwvYXV0aG9yPjxhdXRob3I+V2F5Y290dCxNaWNoZWxsZTwvYXV0aG9yPjxhdXRob3I+V2VhdGhl
cmRvbixMYXVyZW4gVi48L2F1dGhvcj48YXV0aG9yPldlcm5iZXJnLFRob21hczwvYXV0aG9yPjxh
dXRob3I+WWFha3ViLFNpdGkgTWFyeWFtPC9hdXRob3I+PC9hdXRob3JzPjwvY29udHJpYnV0b3Jz
Pjx0aXRsZXM+PHRpdGxlPlRvd2FyZCBhIENvb3JkaW5hdGVkIEdsb2JhbCBPYnNlcnZpbmcgU3lz
dGVtIGZvciBTZWFncmFzc2VzIGFuZCBNYXJpbmUgTWFjcm9hbGdhZTwvdGl0bGU+PHNlY29uZGFy
eS10aXRsZT5Gcm9udGllcnMgaW4gTWFyaW5lIFNjaWVuY2U8L3NlY29uZGFyeS10aXRsZT48c2hv
cnQtdGl0bGU+VG93YXJkIGEgY29vcmRpbmF0ZWQgZ2xvYmFsIG9ic2VydmluZyBzeXN0ZW0gZm9y
IG1hcmluZSBtYWNyb3BoeXRlczwvc2hvcnQtdGl0bGU+PC90aXRsZXM+PHBlcmlvZGljYWw+PGZ1
bGwtdGl0bGU+RnJvbnRpZXJzIGluIE1hcmluZSBTY2llbmNlPC9mdWxsLXRpdGxlPjwvcGVyaW9k
aWNhbD48dm9sdW1lPjYgaHR0cHM6Ly9kb2kub3JnLzEwLjMzODkvZm1hcnMuMjAxOS4wMDMxNzwv
dm9sdW1lPjxudW1iZXI+MzE3PC9udW1iZXI+PGtleXdvcmRzPjxrZXl3b3JkPkJpb2RpdmVyc2l0
eSxzZWFncmFzcyxuZXR3b3JrLG1hY3JvYWxnYWUsYmlvZGl2ZXJzaXR5IG9ic2VydmF0aW9uIG5l
dHdvcmsgKEJPTiksRXNzZW50aWFsIE9jZWFuIFZhcmlhYmxlcyAoRU9WKTwva2V5d29yZD48L2tl
eXdvcmRzPjxkYXRlcz48eWVhcj4yMDE5PC95ZWFyPjxwdWItZGF0ZXM+PGRhdGU+MjAxOS1KdWx5
LTA0PC9kYXRlPjwvcHViLWRhdGVzPjwvZGF0ZXM+PGlzYm4+MjI5Ni03NzQ1PC9pc2JuPjx3b3Jr
LXR5cGU+U3lzdGVtYXRpYyBSZXZpZXc8L3dvcmstdHlwZT48dXJscz48cmVsYXRlZC11cmxzPjx1
cmw+aHR0cHM6Ly93d3cuZnJvbnRpZXJzaW4ub3JnL2FydGljbGUvMTAuMzM4OS9mbWFycy4yMDE5
LjAwMzE3PC91cmw+PC9yZWxhdGVkLXVybHM+PC91cmxzPjxlbGVjdHJvbmljLXJlc291cmNlLW51
bT4xMC4zMzg5L2ZtYXJzLjIwMTkuMDAzMTc8L2VsZWN0cm9uaWMtcmVzb3VyY2UtbnVtPjxsYW5n
dWFnZT5FbmdsaXNoPC9sYW5ndWFnZT48L3JlY29yZD48L0NpdGU+PC9FbmROb3RlPgB=
</w:fldData>
          </w:fldChar>
        </w:r>
        <w:r w:rsidR="009A7AB4">
          <w:rPr>
            <w:rFonts w:cs="Arial"/>
            <w:szCs w:val="22"/>
            <w:lang w:val="en-US"/>
          </w:rPr>
          <w:instrText xml:space="preserve"> ADDIN EN.CITE.DATA </w:instrText>
        </w:r>
        <w:r w:rsidR="009A7AB4">
          <w:rPr>
            <w:rFonts w:cs="Arial"/>
            <w:szCs w:val="22"/>
            <w:lang w:val="en-US"/>
          </w:rPr>
        </w:r>
        <w:r w:rsidR="009A7AB4">
          <w:rPr>
            <w:rFonts w:cs="Arial"/>
            <w:szCs w:val="22"/>
            <w:lang w:val="en-US"/>
          </w:rPr>
          <w:fldChar w:fldCharType="end"/>
        </w:r>
        <w:r w:rsidR="009A7AB4">
          <w:rPr>
            <w:rFonts w:cs="Arial"/>
            <w:szCs w:val="22"/>
            <w:lang w:val="en-US"/>
          </w:rPr>
        </w:r>
        <w:r w:rsidR="009A7AB4">
          <w:rPr>
            <w:rFonts w:cs="Arial"/>
            <w:szCs w:val="22"/>
            <w:lang w:val="en-US"/>
          </w:rPr>
          <w:fldChar w:fldCharType="separate"/>
        </w:r>
        <w:r w:rsidR="009A7AB4">
          <w:rPr>
            <w:rFonts w:cs="Arial"/>
            <w:noProof/>
            <w:szCs w:val="22"/>
            <w:lang w:val="en-US"/>
          </w:rPr>
          <w:t>Duffy</w:t>
        </w:r>
        <w:r w:rsidR="009A7AB4" w:rsidRPr="00C201F2">
          <w:rPr>
            <w:rFonts w:cs="Arial"/>
            <w:i/>
            <w:noProof/>
            <w:szCs w:val="22"/>
            <w:lang w:val="en-US"/>
          </w:rPr>
          <w:t xml:space="preserve"> et al.</w:t>
        </w:r>
        <w:r w:rsidR="009A7AB4">
          <w:rPr>
            <w:rFonts w:cs="Arial"/>
            <w:noProof/>
            <w:szCs w:val="22"/>
            <w:lang w:val="en-US"/>
          </w:rPr>
          <w:t xml:space="preserve"> 2019</w:t>
        </w:r>
        <w:r w:rsidR="009A7AB4">
          <w:rPr>
            <w:rFonts w:cs="Arial"/>
            <w:szCs w:val="22"/>
            <w:lang w:val="en-US"/>
          </w:rPr>
          <w:fldChar w:fldCharType="end"/>
        </w:r>
      </w:hyperlink>
      <w:r w:rsidR="004B5D71">
        <w:rPr>
          <w:rFonts w:cs="Arial"/>
          <w:szCs w:val="22"/>
          <w:lang w:val="en-US"/>
        </w:rPr>
        <w:t>)</w:t>
      </w:r>
      <w:r w:rsidR="00932564" w:rsidRPr="00D562E2">
        <w:rPr>
          <w:rFonts w:cs="Arial"/>
          <w:szCs w:val="22"/>
          <w:lang w:val="en-US"/>
        </w:rPr>
        <w:t>, as well as integration with complementary monitoring programs through the</w:t>
      </w:r>
      <w:r w:rsidR="00FA75F8" w:rsidRPr="00D562E2">
        <w:rPr>
          <w:rFonts w:cs="Arial"/>
          <w:szCs w:val="22"/>
          <w:lang w:val="en-US"/>
        </w:rPr>
        <w:t xml:space="preserve"> Reef Integrated Monitoring and Reporting Program (</w:t>
      </w:r>
      <w:r w:rsidR="00932564" w:rsidRPr="00D562E2">
        <w:rPr>
          <w:rFonts w:cs="Arial"/>
          <w:szCs w:val="22"/>
          <w:lang w:val="en-US"/>
        </w:rPr>
        <w:t>RIMReP</w:t>
      </w:r>
      <w:r w:rsidR="00FA75F8" w:rsidRPr="00D562E2">
        <w:rPr>
          <w:rFonts w:cs="Arial"/>
          <w:szCs w:val="22"/>
          <w:lang w:val="en-US"/>
        </w:rPr>
        <w:t>)</w:t>
      </w:r>
      <w:r w:rsidR="00932564" w:rsidRPr="00D562E2">
        <w:rPr>
          <w:rFonts w:cs="Arial"/>
          <w:szCs w:val="22"/>
          <w:lang w:val="en-US"/>
        </w:rPr>
        <w:t>, will enable continued assessment of their trajectories</w:t>
      </w:r>
      <w:r w:rsidR="002F711F" w:rsidRPr="00D562E2">
        <w:rPr>
          <w:rFonts w:cs="Arial"/>
          <w:szCs w:val="22"/>
          <w:lang w:val="en-US"/>
        </w:rPr>
        <w:t>.</w:t>
      </w:r>
    </w:p>
    <w:p w14:paraId="6159A31C" w14:textId="0D61FCF8" w:rsidR="00415782" w:rsidRPr="00364998" w:rsidRDefault="00415782" w:rsidP="008416AD">
      <w:pPr>
        <w:pStyle w:val="Heading2"/>
      </w:pPr>
      <w:bookmarkStart w:id="656" w:name="_Toc37775122"/>
      <w:bookmarkStart w:id="657" w:name="_Toc43987097"/>
      <w:r w:rsidRPr="00364998">
        <w:t>Seagrass ecosystem service</w:t>
      </w:r>
      <w:r w:rsidR="00801892" w:rsidRPr="00364998">
        <w:t xml:space="preserve"> provisioning</w:t>
      </w:r>
      <w:bookmarkEnd w:id="656"/>
      <w:bookmarkEnd w:id="657"/>
    </w:p>
    <w:p w14:paraId="03972088" w14:textId="0FAAAE38" w:rsidR="0034410E" w:rsidRPr="00D562E2" w:rsidRDefault="0034410E" w:rsidP="0034410E">
      <w:pPr>
        <w:rPr>
          <w:rFonts w:cs="Arial"/>
          <w:color w:val="000000" w:themeColor="text1"/>
          <w:szCs w:val="22"/>
        </w:rPr>
      </w:pPr>
      <w:r w:rsidRPr="00D562E2">
        <w:rPr>
          <w:rFonts w:cs="Arial"/>
          <w:color w:val="000000" w:themeColor="text1"/>
          <w:szCs w:val="22"/>
        </w:rPr>
        <w:t>The ecosystem services provided by seagrass ecosystems makes them a high conservation priority (</w:t>
      </w:r>
      <w:r w:rsidRPr="00D562E2">
        <w:rPr>
          <w:rFonts w:cs="Arial"/>
          <w:color w:val="000000" w:themeColor="text1"/>
          <w:szCs w:val="22"/>
        </w:rPr>
        <w:fldChar w:fldCharType="begin">
          <w:fldData xml:space="preserve">PEVuZE5vdGU+PENpdGU+PEF1dGhvcj5DdWxsZW4tVW5zd29ydGg8L0F1dGhvcj48WWVhcj4yMDEz
PC9ZZWFyPjxSZWNOdW0+OTU1MzwvUmVjTnVtPjxEaXNwbGF5VGV4dD5DdWxsZW4tVW5zd29ydGgg
YW5kIFVuc3dvcnRoIDIwMTM7IFVuc3dvcnRoPHN0eWxlIGZhY2U9Iml0YWxpYyI+IGV0IGFsLjwv
c3R5bGU+IDIwMThhPC9EaXNwbGF5VGV4dD48cmVjb3JkPjxyZWMtbnVtYmVyPjk1NTM8L3JlYy1u
dW1iZXI+PGZvcmVpZ24ta2V5cz48a2V5IGFwcD0iRU4iIGRiLWlkPSIwZXZlNTV4OXk1dmZkNmU5
ZGFjeHRldzRlYXR2ZTJkemRzOWEiIHRpbWVzdGFtcD0iMTM4MDE3ODAwOCI+OTU1Mzwva2V5Pjwv
Zm9yZWlnbi1rZXlzPjxyZWYtdHlwZSBuYW1lPSJKb3VybmFsIEFydGljbGUiPjE3PC9yZWYtdHlw
ZT48Y29udHJpYnV0b3JzPjxhdXRob3JzPjxhdXRob3I+Q3VsbGVuLVVuc3dvcnRoLCBMZWFubmU8
L2F1dGhvcj48YXV0aG9yPlVuc3dvcnRoLCBSaWNoYXJkPC9hdXRob3I+PC9hdXRob3JzPjwvY29u
dHJpYnV0b3JzPjx0aXRsZXM+PHRpdGxlPlNlYWdyYXNzIE1lYWRvd3MsIEVjb3N5c3RlbSBTZXJ2
aWNlcywgYW5kIFN1c3RhaW5hYmlsaXR5PC90aXRsZT48c2Vjb25kYXJ5LXRpdGxlPkVudmlyb25t
ZW50OiBTY2llbmNlIGFuZCBQb2xpY3kgZm9yIFN1c3RhaW5hYmxlIERldmVsb3BtZW50PC9zZWNv
bmRhcnktdGl0bGU+PC90aXRsZXM+PHBlcmlvZGljYWw+PGZ1bGwtdGl0bGU+RW52aXJvbm1lbnQ6
IFNjaWVuY2UgYW5kIFBvbGljeSBmb3IgU3VzdGFpbmFibGUgRGV2ZWxvcG1lbnQ8L2Z1bGwtdGl0
bGU+PC9wZXJpb2RpY2FsPjxwYWdlcz4xNC0yODwvcGFnZXM+PHZvbHVtZT41NTwvdm9sdW1lPjxu
dW1iZXI+MzwvbnVtYmVyPjxkYXRlcz48eWVhcj4yMDEzPC95ZWFyPjxwdWItZGF0ZXM+PGRhdGU+
MjAxMy8wNS8wMTwvZGF0ZT48L3B1Yi1kYXRlcz48L2RhdGVzPjxwdWJsaXNoZXI+Um91dGxlZGdl
PC9wdWJsaXNoZXI+PGlzYm4+MDAxMy05MTU3PC9pc2JuPjx1cmxzPjxyZWxhdGVkLXVybHM+PHVy
bD5odHRwOi8vZHguZG9pLm9yZy8xMC4xMDgwLzAwMTM5MTU3LjIwMTMuNzg1ODY0PC91cmw+PC9y
ZWxhdGVkLXVybHM+PC91cmxzPjxlbGVjdHJvbmljLXJlc291cmNlLW51bT4xMC4xMDgwLzAwMTM5
MTU3LjIwMTMuNzg1ODY0PC9lbGVjdHJvbmljLXJlc291cmNlLW51bT48YWNjZXNzLWRhdGU+MjAx
My8wOS8yNTwvYWNjZXNzLWRhdGU+PC9yZWNvcmQ+PC9DaXRlPjxDaXRlPjxBdXRob3I+VW5zd29y
dGg8L0F1dGhvcj48WWVhcj4yMDE4PC9ZZWFyPjxSZWNOdW0+MTE4NTc8L1JlY051bT48cmVjb3Jk
PjxyZWMtbnVtYmVyPjExODU3PC9yZWMtbnVtYmVyPjxmb3JlaWduLWtleXM+PGtleSBhcHA9IkVO
IiBkYi1pZD0iMGV2ZTU1eDl5NXZmZDZlOWRhY3h0ZXc0ZWF0dmUyZHpkczlhIiB0aW1lc3RhbXA9
IjE1NDI2NzI0MTAiPjExODU3PC9rZXk+PC9mb3JlaWduLWtleXM+PHJlZi10eXBlIG5hbWU9Ikpv
dXJuYWwgQXJ0aWNsZSI+MTc8L3JlZi10eXBlPjxjb250cmlidXRvcnM+PGF1dGhvcnM+PGF1dGhv
cj5VbnN3b3J0aCwgUmljaGFyZCBLLiBGLjwvYXV0aG9yPjxhdXRob3I+TWNLZW56aWUsIExlbiBK
LjwvYXV0aG9yPjxhdXRob3I+Q29sbGllciwgQ2F0aGVyaW5lIEouPC9hdXRob3I+PGF1dGhvcj5D
dWxsZW4tVW5zd29ydGgsIExlYW5uZSBDLjwvYXV0aG9yPjxhdXRob3I+RHVhcnRlLCBDYXJsb3Mg
TS48L2F1dGhvcj48YXV0aG9yPkVrbMO2ZiwgSm9oYW4gUy48L2F1dGhvcj48YXV0aG9yPkphcnZp
cywgSmVzc2llIEMuPC9hdXRob3I+PGF1dGhvcj5Kb25lcywgQmVuamFtaW4gTC48L2F1dGhvcj48
YXV0aG9yPk5vcmRsdW5kLCBMaW5hIE0uPC9hdXRob3I+PC9hdXRob3JzPjwvY29udHJpYnV0b3Jz
Pjx0aXRsZXM+PHRpdGxlPkdsb2JhbCBjaGFsbGVuZ2VzIGZvciBzZWFncmFzcyBjb25zZXJ2YXRp
b248L3RpdGxlPjxzZWNvbmRhcnktdGl0bGU+QW1iaW88L3NlY29uZGFyeS10aXRsZT48L3RpdGxl
cz48cGVyaW9kaWNhbD48ZnVsbC10aXRsZT5BbWJpbzwvZnVsbC10aXRsZT48L3BlcmlvZGljYWw+
PHBhZ2VzPjgwMeKAkzgxNTwvcGFnZXM+PHZvbHVtZT40ODwvdm9sdW1lPjxkYXRlcz48eWVhcj4y
MDE4PC95ZWFyPjxwdWItZGF0ZXM+PGRhdGU+Tm92ZW1iZXIgMTk8L2RhdGU+PC9wdWItZGF0ZXM+
PC9kYXRlcz48aXNibj4xNjU0LTcyMDk8L2lzYm4+PGxhYmVsPlVuc3dvcnRoMjAxOTwvbGFiZWw+
PHdvcmstdHlwZT5qb3VybmFsIGFydGljbGU8L3dvcmstdHlwZT48dXJscz48cmVsYXRlZC11cmxz
Pjx1cmw+aHR0cHM6Ly9kb2kub3JnLzEwLjEwMDcvczEzMjgwLTAxOC0xMTE1LXk8L3VybD48L3Jl
bGF0ZWQtdXJscz48L3VybHM+PGVsZWN0cm9uaWMtcmVzb3VyY2UtbnVtPmh0dHBzOi8vZG9pLm9y
Zy8xMC4xMDA3L3MxMzI4MC0wMTgtMTExNS15PC9lbGVjdHJvbmljLXJlc291cmNlLW51bT48L3Jl
Y29yZD48L0NpdGU+PC9FbmROb3RlPgB=
</w:fldData>
        </w:fldChar>
      </w:r>
      <w:r w:rsidR="000631A4">
        <w:rPr>
          <w:rFonts w:cs="Arial"/>
          <w:color w:val="000000" w:themeColor="text1"/>
          <w:szCs w:val="22"/>
        </w:rPr>
        <w:instrText xml:space="preserve"> ADDIN EN.CITE </w:instrText>
      </w:r>
      <w:r w:rsidR="000631A4">
        <w:rPr>
          <w:rFonts w:cs="Arial"/>
          <w:color w:val="000000" w:themeColor="text1"/>
          <w:szCs w:val="22"/>
        </w:rPr>
        <w:fldChar w:fldCharType="begin">
          <w:fldData xml:space="preserve">PEVuZE5vdGU+PENpdGU+PEF1dGhvcj5DdWxsZW4tVW5zd29ydGg8L0F1dGhvcj48WWVhcj4yMDEz
PC9ZZWFyPjxSZWNOdW0+OTU1MzwvUmVjTnVtPjxEaXNwbGF5VGV4dD5DdWxsZW4tVW5zd29ydGgg
YW5kIFVuc3dvcnRoIDIwMTM7IFVuc3dvcnRoPHN0eWxlIGZhY2U9Iml0YWxpYyI+IGV0IGFsLjwv
c3R5bGU+IDIwMThhPC9EaXNwbGF5VGV4dD48cmVjb3JkPjxyZWMtbnVtYmVyPjk1NTM8L3JlYy1u
dW1iZXI+PGZvcmVpZ24ta2V5cz48a2V5IGFwcD0iRU4iIGRiLWlkPSIwZXZlNTV4OXk1dmZkNmU5
ZGFjeHRldzRlYXR2ZTJkemRzOWEiIHRpbWVzdGFtcD0iMTM4MDE3ODAwOCI+OTU1Mzwva2V5Pjwv
Zm9yZWlnbi1rZXlzPjxyZWYtdHlwZSBuYW1lPSJKb3VybmFsIEFydGljbGUiPjE3PC9yZWYtdHlw
ZT48Y29udHJpYnV0b3JzPjxhdXRob3JzPjxhdXRob3I+Q3VsbGVuLVVuc3dvcnRoLCBMZWFubmU8
L2F1dGhvcj48YXV0aG9yPlVuc3dvcnRoLCBSaWNoYXJkPC9hdXRob3I+PC9hdXRob3JzPjwvY29u
dHJpYnV0b3JzPjx0aXRsZXM+PHRpdGxlPlNlYWdyYXNzIE1lYWRvd3MsIEVjb3N5c3RlbSBTZXJ2
aWNlcywgYW5kIFN1c3RhaW5hYmlsaXR5PC90aXRsZT48c2Vjb25kYXJ5LXRpdGxlPkVudmlyb25t
ZW50OiBTY2llbmNlIGFuZCBQb2xpY3kgZm9yIFN1c3RhaW5hYmxlIERldmVsb3BtZW50PC9zZWNv
bmRhcnktdGl0bGU+PC90aXRsZXM+PHBlcmlvZGljYWw+PGZ1bGwtdGl0bGU+RW52aXJvbm1lbnQ6
IFNjaWVuY2UgYW5kIFBvbGljeSBmb3IgU3VzdGFpbmFibGUgRGV2ZWxvcG1lbnQ8L2Z1bGwtdGl0
bGU+PC9wZXJpb2RpY2FsPjxwYWdlcz4xNC0yODwvcGFnZXM+PHZvbHVtZT41NTwvdm9sdW1lPjxu
dW1iZXI+MzwvbnVtYmVyPjxkYXRlcz48eWVhcj4yMDEzPC95ZWFyPjxwdWItZGF0ZXM+PGRhdGU+
MjAxMy8wNS8wMTwvZGF0ZT48L3B1Yi1kYXRlcz48L2RhdGVzPjxwdWJsaXNoZXI+Um91dGxlZGdl
PC9wdWJsaXNoZXI+PGlzYm4+MDAxMy05MTU3PC9pc2JuPjx1cmxzPjxyZWxhdGVkLXVybHM+PHVy
bD5odHRwOi8vZHguZG9pLm9yZy8xMC4xMDgwLzAwMTM5MTU3LjIwMTMuNzg1ODY0PC91cmw+PC9y
ZWxhdGVkLXVybHM+PC91cmxzPjxlbGVjdHJvbmljLXJlc291cmNlLW51bT4xMC4xMDgwLzAwMTM5
MTU3LjIwMTMuNzg1ODY0PC9lbGVjdHJvbmljLXJlc291cmNlLW51bT48YWNjZXNzLWRhdGU+MjAx
My8wOS8yNTwvYWNjZXNzLWRhdGU+PC9yZWNvcmQ+PC9DaXRlPjxDaXRlPjxBdXRob3I+VW5zd29y
dGg8L0F1dGhvcj48WWVhcj4yMDE4PC9ZZWFyPjxSZWNOdW0+MTE4NTc8L1JlY051bT48cmVjb3Jk
PjxyZWMtbnVtYmVyPjExODU3PC9yZWMtbnVtYmVyPjxmb3JlaWduLWtleXM+PGtleSBhcHA9IkVO
IiBkYi1pZD0iMGV2ZTU1eDl5NXZmZDZlOWRhY3h0ZXc0ZWF0dmUyZHpkczlhIiB0aW1lc3RhbXA9
IjE1NDI2NzI0MTAiPjExODU3PC9rZXk+PC9mb3JlaWduLWtleXM+PHJlZi10eXBlIG5hbWU9Ikpv
dXJuYWwgQXJ0aWNsZSI+MTc8L3JlZi10eXBlPjxjb250cmlidXRvcnM+PGF1dGhvcnM+PGF1dGhv
cj5VbnN3b3J0aCwgUmljaGFyZCBLLiBGLjwvYXV0aG9yPjxhdXRob3I+TWNLZW56aWUsIExlbiBK
LjwvYXV0aG9yPjxhdXRob3I+Q29sbGllciwgQ2F0aGVyaW5lIEouPC9hdXRob3I+PGF1dGhvcj5D
dWxsZW4tVW5zd29ydGgsIExlYW5uZSBDLjwvYXV0aG9yPjxhdXRob3I+RHVhcnRlLCBDYXJsb3Mg
TS48L2F1dGhvcj48YXV0aG9yPkVrbMO2ZiwgSm9oYW4gUy48L2F1dGhvcj48YXV0aG9yPkphcnZp
cywgSmVzc2llIEMuPC9hdXRob3I+PGF1dGhvcj5Kb25lcywgQmVuamFtaW4gTC48L2F1dGhvcj48
YXV0aG9yPk5vcmRsdW5kLCBMaW5hIE0uPC9hdXRob3I+PC9hdXRob3JzPjwvY29udHJpYnV0b3Jz
Pjx0aXRsZXM+PHRpdGxlPkdsb2JhbCBjaGFsbGVuZ2VzIGZvciBzZWFncmFzcyBjb25zZXJ2YXRp
b248L3RpdGxlPjxzZWNvbmRhcnktdGl0bGU+QW1iaW88L3NlY29uZGFyeS10aXRsZT48L3RpdGxl
cz48cGVyaW9kaWNhbD48ZnVsbC10aXRsZT5BbWJpbzwvZnVsbC10aXRsZT48L3BlcmlvZGljYWw+
PHBhZ2VzPjgwMeKAkzgxNTwvcGFnZXM+PHZvbHVtZT40ODwvdm9sdW1lPjxkYXRlcz48eWVhcj4y
MDE4PC95ZWFyPjxwdWItZGF0ZXM+PGRhdGU+Tm92ZW1iZXIgMTk8L2RhdGU+PC9wdWItZGF0ZXM+
PC9kYXRlcz48aXNibj4xNjU0LTcyMDk8L2lzYm4+PGxhYmVsPlVuc3dvcnRoMjAxOTwvbGFiZWw+
PHdvcmstdHlwZT5qb3VybmFsIGFydGljbGU8L3dvcmstdHlwZT48dXJscz48cmVsYXRlZC11cmxz
Pjx1cmw+aHR0cHM6Ly9kb2kub3JnLzEwLjEwMDcvczEzMjgwLTAxOC0xMTE1LXk8L3VybD48L3Jl
bGF0ZWQtdXJscz48L3VybHM+PGVsZWN0cm9uaWMtcmVzb3VyY2UtbnVtPmh0dHBzOi8vZG9pLm9y
Zy8xMC4xMDA3L3MxMzI4MC0wMTgtMTExNS15PC9lbGVjdHJvbmljLXJlc291cmNlLW51bT48L3Jl
Y29yZD48L0NpdGU+PC9FbmROb3RlPgB=
</w:fldData>
        </w:fldChar>
      </w:r>
      <w:r w:rsidR="000631A4">
        <w:rPr>
          <w:rFonts w:cs="Arial"/>
          <w:color w:val="000000" w:themeColor="text1"/>
          <w:szCs w:val="22"/>
        </w:rPr>
        <w:instrText xml:space="preserve"> ADDIN EN.CITE.DATA </w:instrText>
      </w:r>
      <w:r w:rsidR="000631A4">
        <w:rPr>
          <w:rFonts w:cs="Arial"/>
          <w:color w:val="000000" w:themeColor="text1"/>
          <w:szCs w:val="22"/>
        </w:rPr>
      </w:r>
      <w:r w:rsidR="000631A4">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42" w:tooltip="Cullen-Unsworth, 2013 #9553" w:history="1">
        <w:r w:rsidR="009A7AB4" w:rsidRPr="00D562E2">
          <w:rPr>
            <w:rFonts w:cs="Arial"/>
            <w:noProof/>
            <w:color w:val="000000" w:themeColor="text1"/>
            <w:szCs w:val="22"/>
          </w:rPr>
          <w:t>Cullen-Unsworth and Unsworth 2013</w:t>
        </w:r>
      </w:hyperlink>
      <w:r w:rsidRPr="00D562E2">
        <w:rPr>
          <w:rFonts w:cs="Arial"/>
          <w:noProof/>
          <w:color w:val="000000" w:themeColor="text1"/>
          <w:szCs w:val="22"/>
        </w:rPr>
        <w:t xml:space="preserve">; </w:t>
      </w:r>
      <w:hyperlink w:anchor="_ENREF_146" w:tooltip="Unsworth, 2018 #11857" w:history="1">
        <w:r w:rsidR="009A7AB4" w:rsidRPr="00D562E2">
          <w:rPr>
            <w:rFonts w:cs="Arial"/>
            <w:noProof/>
            <w:color w:val="000000" w:themeColor="text1"/>
            <w:szCs w:val="22"/>
          </w:rPr>
          <w:t>Unsworth</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2018a</w:t>
        </w:r>
      </w:hyperlink>
      <w:r w:rsidRPr="00D562E2">
        <w:rPr>
          <w:rFonts w:cs="Arial"/>
          <w:color w:val="000000" w:themeColor="text1"/>
          <w:szCs w:val="22"/>
        </w:rPr>
        <w:fldChar w:fldCharType="end"/>
      </w:r>
      <w:r w:rsidRPr="00D562E2">
        <w:rPr>
          <w:rFonts w:cs="Arial"/>
          <w:color w:val="000000" w:themeColor="text1"/>
          <w:szCs w:val="22"/>
        </w:rPr>
        <w:t>). Certain seagrasses are the primary food for marine green turtles and dugongs, which are seagrass specialists (</w:t>
      </w:r>
      <w:r w:rsidRPr="00D562E2">
        <w:rPr>
          <w:rFonts w:cs="Arial"/>
          <w:color w:val="000000" w:themeColor="text1"/>
          <w:szCs w:val="22"/>
        </w:rPr>
        <w:fldChar w:fldCharType="begin">
          <w:fldData xml:space="preserve">PEVuZE5vdGU+PENpdGU+PEF1dGhvcj5NYXJzaDwvQXV0aG9yPjxZZWFyPjIwMTE8L1llYXI+PFJl
Y051bT45MTc5PC9SZWNOdW0+PERpc3BsYXlUZXh0PlJlYWQgYW5kIExpbXB1cyAyMDAyOyBBcnRo
dXI8c3R5bGUgZmFjZT0iaXRhbGljIj4gZXQgYWwuPC9zdHlsZT4gMjAwODsgTWFyc2g8c3R5bGUg
ZmFjZT0iaXRhbGljIj4gZXQgYWwuPC9zdHlsZT4gMjAxMTwvRGlzcGxheVRleHQ+PHJlY29yZD48
cmVjLW51bWJlcj45MTc5PC9yZWMtbnVtYmVyPjxmb3JlaWduLWtleXM+PGtleSBhcHA9IkVOIiBk
Yi1pZD0iMGV2ZTU1eDl5NXZmZDZlOWRhY3h0ZXc0ZWF0dmUyZHpkczlhIiB0aW1lc3RhbXA9IjEz
NzQ5ODc5MzEiPjkxNzk8L2tleT48L2ZvcmVpZ24ta2V5cz48cmVmLXR5cGUgbmFtZT0iQm9vayI+
NjwvcmVmLXR5cGU+PGNvbnRyaWJ1dG9ycz48YXV0aG9ycz48YXV0aG9yPk1hcnNoLCBIZWxlbmUg
PC9hdXRob3I+PGF1dGhvcj5PJmFwb3M7U2hlYSwgVC5KLjwvYXV0aG9yPjxhdXRob3I+UmV5bm9s
ZHMgSUlJLCBKRS48L2F1dGhvcj48L2F1dGhvcnM+PC9jb250cmlidXRvcnM+PHRpdGxlcz48dGl0
bGU+RWNvbG9neSBhbmQgY29uc2VydmF0aW9uIG9mIHRoZSBzaXJlbmlhOiBkdWdvbmdzIGFuZCBt
YW5hdGVlczwvdGl0bGU+PC90aXRsZXM+PHBhZ2VzPjUzNjwvcGFnZXM+PGRhdGVzPjx5ZWFyPjIw
MTE8L3llYXI+PC9kYXRlcz48cHViLWxvY2F0aW9uPk5ldyBZb3JrPC9wdWItbG9jYXRpb24+PHB1
Ymxpc2hlcj5DYW1icmlkZ2UgVW5pdmVyc2l0eSBQcmVzczwvcHVibGlzaGVyPjx1cmxzPjwvdXJs
cz48L3JlY29yZD48L0NpdGU+PENpdGU+PEF1dGhvcj5SZWFkPC9BdXRob3I+PFllYXI+MjAwMjwv
WWVhcj48UmVjTnVtPjEwMzE5PC9SZWNOdW0+PHJlY29yZD48cmVjLW51bWJlcj4xMDMxOTwvcmVj
LW51bWJlcj48Zm9yZWlnbi1rZXlzPjxrZXkgYXBwPSJFTiIgZGItaWQ9IjBldmU1NXg5eTV2ZmQ2
ZTlkYWN4dGV3NGVhdHZlMmR6ZHM5YSIgdGltZXN0YW1wPSIxNDQzNTY4NjE1Ij4xMDMxOTwva2V5
PjwvZm9yZWlnbi1rZXlzPjxyZWYtdHlwZSBuYW1lPSJKb3VybmFsIEFydGljbGUiPjE3PC9yZWYt
dHlwZT48Y29udHJpYnV0b3JzPjxhdXRob3JzPjxhdXRob3I+UmVhZCwgTWFyayBBPC9hdXRob3I+
PGF1dGhvcj5MaW1wdXMsIENvbCBKPC9hdXRob3I+PC9hdXRob3JzPjwvY29udHJpYnV0b3JzPjx0
aXRsZXM+PHRpdGxlPjxzdHlsZSBmYWNlPSJub3JtYWwiIGZvbnQ9ImRlZmF1bHQiIHNpemU9IjEw
MCUiPlRoZSBncmVlbiB0dXJ0bGUgKDwvc3R5bGU+PHN0eWxlIGZhY2U9Iml0YWxpYyIgZm9udD0i
ZGVmYXVsdCIgc2l6ZT0iMTAwJSI+Q2hlbG9uaWEgbXlkYXM8L3N0eWxlPjxzdHlsZSBmYWNlPSJu
b3JtYWwiIGZvbnQ9ImRlZmF1bHQiIHNpemU9IjEwMCUiPikgaW4gUXVlZW5zbGFuZDogRmVlZGlu
ZyBlY29sb2d5IG9mIGltbWF0dXJlIHR1cnRsZXMgaW4gYSB0ZW1wZXJhdGUgZmVlZGluZyBhcmVh
PC9zdHlsZT48L3RpdGxlPjxzZWNvbmRhcnktdGl0bGU+TWVtb2lycyBvZiB0aGUgUXVlZW5zbGFu
ZCBNdXNldW0gLSBOYXR1cmU8L3NlY29uZGFyeS10aXRsZT48L3RpdGxlcz48cGVyaW9kaWNhbD48
ZnVsbC10aXRsZT5NZW1vaXJzIG9mIHRoZSBRdWVlbnNsYW5kIE11c2V1bSAtIE5hdHVyZTwvZnVs
bC10aXRsZT48L3BlcmlvZGljYWw+PHBhZ2VzPjIwNy0yMTQ8L3BhZ2VzPjx2b2x1bWU+NDg8L3Zv
bHVtZT48bnVtYmVyPjE8L251bWJlcj48ZGF0ZXM+PHllYXI+MjAwMjwveWVhcj48L2RhdGVzPjx1
cmxzPjwvdXJscz48L3JlY29yZD48L0NpdGU+PENpdGU+PEF1dGhvcj5BcnRodXI8L0F1dGhvcj48
WWVhcj4yMDA4PC9ZZWFyPjxSZWNOdW0+MTAzMjA8L1JlY051bT48cmVjb3JkPjxyZWMtbnVtYmVy
PjEwMzIwPC9yZWMtbnVtYmVyPjxmb3JlaWduLWtleXM+PGtleSBhcHA9IkVOIiBkYi1pZD0iMGV2
ZTU1eDl5NXZmZDZlOWRhY3h0ZXc0ZWF0dmUyZHpkczlhIiB0aW1lc3RhbXA9IjE0NDM1Njg3NzYi
PjEwMzIwPC9rZXk+PC9mb3JlaWduLWtleXM+PHJlZi10eXBlIG5hbWU9IkpvdXJuYWwgQXJ0aWNs
ZSI+MTc8L3JlZi10eXBlPjxjb250cmlidXRvcnM+PGF1dGhvcnM+PGF1dGhvcj5BcnRodXIsIEtF
PC9hdXRob3I+PGF1dGhvcj5Cb3lsZSwgTUM8L2F1dGhvcj48YXV0aG9yPkxpbXB1cywgQ0o8L2F1
dGhvcj48L2F1dGhvcnM+PC9jb250cmlidXRvcnM+PHRpdGxlcz48dGl0bGU+PHN0eWxlIGZhY2U9
Im5vcm1hbCIgZm9udD0iZGVmYXVsdCIgc2l6ZT0iMTAwJSI+T250b2dlbmV0aWMgY2hhbmdlcyBp
biBkaWV0IGFuZCBoYWJpdGF0IHVzZSBpbiBncmVlbiBzZWEgdHVydGxlICg8L3N0eWxlPjxzdHls
ZSBmYWNlPSJpdGFsaWMiIGZvbnQ9ImRlZmF1bHQiIHNpemU9IjEwMCUiPkNoZWxvbmlhIG15ZGFz
PC9zdHlsZT48c3R5bGUgZmFjZT0ibm9ybWFsIiBmb250PSJkZWZhdWx0IiBzaXplPSIxMDAlIj4p
IGxpZmUgaGlzdG9yeTwvc3R5bGU+PC90aXRsZT48c2Vjb25kYXJ5LXRpdGxlPk1hcmluZSBFY29s
b2d5IFByb2dyZXNzIFNlcmllczwvc2Vjb25kYXJ5LXRpdGxlPjwvdGl0bGVzPjxwZXJpb2RpY2Fs
PjxmdWxsLXRpdGxlPk1hcmluZSBFY29sb2d5IFByb2dyZXNzIFNlcmllczwvZnVsbC10aXRsZT48
L3BlcmlvZGljYWw+PHBhZ2VzPjMwMy0zMTE8L3BhZ2VzPjx2b2x1bWU+MzYyPC92b2x1bWU+PGRh
dGVzPjx5ZWFyPjIwMDg8L3llYXI+PC9kYXRlcz48dXJscz48L3VybHM+PC9yZWNvcmQ+PC9DaXRl
PjwvRW5kTm90ZT4A
</w:fldData>
        </w:fldChar>
      </w:r>
      <w:r w:rsidRPr="00D562E2">
        <w:rPr>
          <w:rFonts w:cs="Arial"/>
          <w:color w:val="000000" w:themeColor="text1"/>
          <w:szCs w:val="22"/>
        </w:rPr>
        <w:instrText xml:space="preserve"> ADDIN EN.CITE </w:instrText>
      </w:r>
      <w:r w:rsidRPr="00D562E2">
        <w:rPr>
          <w:rFonts w:cs="Arial"/>
          <w:color w:val="000000" w:themeColor="text1"/>
          <w:szCs w:val="22"/>
        </w:rPr>
        <w:fldChar w:fldCharType="begin">
          <w:fldData xml:space="preserve">PEVuZE5vdGU+PENpdGU+PEF1dGhvcj5NYXJzaDwvQXV0aG9yPjxZZWFyPjIwMTE8L1llYXI+PFJl
Y051bT45MTc5PC9SZWNOdW0+PERpc3BsYXlUZXh0PlJlYWQgYW5kIExpbXB1cyAyMDAyOyBBcnRo
dXI8c3R5bGUgZmFjZT0iaXRhbGljIj4gZXQgYWwuPC9zdHlsZT4gMjAwODsgTWFyc2g8c3R5bGUg
ZmFjZT0iaXRhbGljIj4gZXQgYWwuPC9zdHlsZT4gMjAxMTwvRGlzcGxheVRleHQ+PHJlY29yZD48
cmVjLW51bWJlcj45MTc5PC9yZWMtbnVtYmVyPjxmb3JlaWduLWtleXM+PGtleSBhcHA9IkVOIiBk
Yi1pZD0iMGV2ZTU1eDl5NXZmZDZlOWRhY3h0ZXc0ZWF0dmUyZHpkczlhIiB0aW1lc3RhbXA9IjEz
NzQ5ODc5MzEiPjkxNzk8L2tleT48L2ZvcmVpZ24ta2V5cz48cmVmLXR5cGUgbmFtZT0iQm9vayI+
NjwvcmVmLXR5cGU+PGNvbnRyaWJ1dG9ycz48YXV0aG9ycz48YXV0aG9yPk1hcnNoLCBIZWxlbmUg
PC9hdXRob3I+PGF1dGhvcj5PJmFwb3M7U2hlYSwgVC5KLjwvYXV0aG9yPjxhdXRob3I+UmV5bm9s
ZHMgSUlJLCBKRS48L2F1dGhvcj48L2F1dGhvcnM+PC9jb250cmlidXRvcnM+PHRpdGxlcz48dGl0
bGU+RWNvbG9neSBhbmQgY29uc2VydmF0aW9uIG9mIHRoZSBzaXJlbmlhOiBkdWdvbmdzIGFuZCBt
YW5hdGVlczwvdGl0bGU+PC90aXRsZXM+PHBhZ2VzPjUzNjwvcGFnZXM+PGRhdGVzPjx5ZWFyPjIw
MTE8L3llYXI+PC9kYXRlcz48cHViLWxvY2F0aW9uPk5ldyBZb3JrPC9wdWItbG9jYXRpb24+PHB1
Ymxpc2hlcj5DYW1icmlkZ2UgVW5pdmVyc2l0eSBQcmVzczwvcHVibGlzaGVyPjx1cmxzPjwvdXJs
cz48L3JlY29yZD48L0NpdGU+PENpdGU+PEF1dGhvcj5SZWFkPC9BdXRob3I+PFllYXI+MjAwMjwv
WWVhcj48UmVjTnVtPjEwMzE5PC9SZWNOdW0+PHJlY29yZD48cmVjLW51bWJlcj4xMDMxOTwvcmVj
LW51bWJlcj48Zm9yZWlnbi1rZXlzPjxrZXkgYXBwPSJFTiIgZGItaWQ9IjBldmU1NXg5eTV2ZmQ2
ZTlkYWN4dGV3NGVhdHZlMmR6ZHM5YSIgdGltZXN0YW1wPSIxNDQzNTY4NjE1Ij4xMDMxOTwva2V5
PjwvZm9yZWlnbi1rZXlzPjxyZWYtdHlwZSBuYW1lPSJKb3VybmFsIEFydGljbGUiPjE3PC9yZWYt
dHlwZT48Y29udHJpYnV0b3JzPjxhdXRob3JzPjxhdXRob3I+UmVhZCwgTWFyayBBPC9hdXRob3I+
PGF1dGhvcj5MaW1wdXMsIENvbCBKPC9hdXRob3I+PC9hdXRob3JzPjwvY29udHJpYnV0b3JzPjx0
aXRsZXM+PHRpdGxlPjxzdHlsZSBmYWNlPSJub3JtYWwiIGZvbnQ9ImRlZmF1bHQiIHNpemU9IjEw
MCUiPlRoZSBncmVlbiB0dXJ0bGUgKDwvc3R5bGU+PHN0eWxlIGZhY2U9Iml0YWxpYyIgZm9udD0i
ZGVmYXVsdCIgc2l6ZT0iMTAwJSI+Q2hlbG9uaWEgbXlkYXM8L3N0eWxlPjxzdHlsZSBmYWNlPSJu
b3JtYWwiIGZvbnQ9ImRlZmF1bHQiIHNpemU9IjEwMCUiPikgaW4gUXVlZW5zbGFuZDogRmVlZGlu
ZyBlY29sb2d5IG9mIGltbWF0dXJlIHR1cnRsZXMgaW4gYSB0ZW1wZXJhdGUgZmVlZGluZyBhcmVh
PC9zdHlsZT48L3RpdGxlPjxzZWNvbmRhcnktdGl0bGU+TWVtb2lycyBvZiB0aGUgUXVlZW5zbGFu
ZCBNdXNldW0gLSBOYXR1cmU8L3NlY29uZGFyeS10aXRsZT48L3RpdGxlcz48cGVyaW9kaWNhbD48
ZnVsbC10aXRsZT5NZW1vaXJzIG9mIHRoZSBRdWVlbnNsYW5kIE11c2V1bSAtIE5hdHVyZTwvZnVs
bC10aXRsZT48L3BlcmlvZGljYWw+PHBhZ2VzPjIwNy0yMTQ8L3BhZ2VzPjx2b2x1bWU+NDg8L3Zv
bHVtZT48bnVtYmVyPjE8L251bWJlcj48ZGF0ZXM+PHllYXI+MjAwMjwveWVhcj48L2RhdGVzPjx1
cmxzPjwvdXJscz48L3JlY29yZD48L0NpdGU+PENpdGU+PEF1dGhvcj5BcnRodXI8L0F1dGhvcj48
WWVhcj4yMDA4PC9ZZWFyPjxSZWNOdW0+MTAzMjA8L1JlY051bT48cmVjb3JkPjxyZWMtbnVtYmVy
PjEwMzIwPC9yZWMtbnVtYmVyPjxmb3JlaWduLWtleXM+PGtleSBhcHA9IkVOIiBkYi1pZD0iMGV2
ZTU1eDl5NXZmZDZlOWRhY3h0ZXc0ZWF0dmUyZHpkczlhIiB0aW1lc3RhbXA9IjE0NDM1Njg3NzYi
PjEwMzIwPC9rZXk+PC9mb3JlaWduLWtleXM+PHJlZi10eXBlIG5hbWU9IkpvdXJuYWwgQXJ0aWNs
ZSI+MTc8L3JlZi10eXBlPjxjb250cmlidXRvcnM+PGF1dGhvcnM+PGF1dGhvcj5BcnRodXIsIEtF
PC9hdXRob3I+PGF1dGhvcj5Cb3lsZSwgTUM8L2F1dGhvcj48YXV0aG9yPkxpbXB1cywgQ0o8L2F1
dGhvcj48L2F1dGhvcnM+PC9jb250cmlidXRvcnM+PHRpdGxlcz48dGl0bGU+PHN0eWxlIGZhY2U9
Im5vcm1hbCIgZm9udD0iZGVmYXVsdCIgc2l6ZT0iMTAwJSI+T250b2dlbmV0aWMgY2hhbmdlcyBp
biBkaWV0IGFuZCBoYWJpdGF0IHVzZSBpbiBncmVlbiBzZWEgdHVydGxlICg8L3N0eWxlPjxzdHls
ZSBmYWNlPSJpdGFsaWMiIGZvbnQ9ImRlZmF1bHQiIHNpemU9IjEwMCUiPkNoZWxvbmlhIG15ZGFz
PC9zdHlsZT48c3R5bGUgZmFjZT0ibm9ybWFsIiBmb250PSJkZWZhdWx0IiBzaXplPSIxMDAlIj4p
IGxpZmUgaGlzdG9yeTwvc3R5bGU+PC90aXRsZT48c2Vjb25kYXJ5LXRpdGxlPk1hcmluZSBFY29s
b2d5IFByb2dyZXNzIFNlcmllczwvc2Vjb25kYXJ5LXRpdGxlPjwvdGl0bGVzPjxwZXJpb2RpY2Fs
PjxmdWxsLXRpdGxlPk1hcmluZSBFY29sb2d5IFByb2dyZXNzIFNlcmllczwvZnVsbC10aXRsZT48
L3BlcmlvZGljYWw+PHBhZ2VzPjMwMy0zMTE8L3BhZ2VzPjx2b2x1bWU+MzYyPC92b2x1bWU+PGRh
dGVzPjx5ZWFyPjIwMDg8L3llYXI+PC9kYXRlcz48dXJscz48L3VybHM+PC9yZWNvcmQ+PC9DaXRl
PjwvRW5kTm90ZT4A
</w:fldData>
        </w:fldChar>
      </w:r>
      <w:r w:rsidRPr="00D562E2">
        <w:rPr>
          <w:rFonts w:cs="Arial"/>
          <w:color w:val="000000" w:themeColor="text1"/>
          <w:szCs w:val="22"/>
        </w:rPr>
        <w:instrText xml:space="preserve"> ADDIN EN.CITE.DATA </w:instrText>
      </w:r>
      <w:r w:rsidRPr="00D562E2">
        <w:rPr>
          <w:rFonts w:cs="Arial"/>
          <w:color w:val="000000" w:themeColor="text1"/>
          <w:szCs w:val="22"/>
        </w:rPr>
      </w:r>
      <w:r w:rsidRPr="00D562E2">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134" w:tooltip="Read, 2002 #10319" w:history="1">
        <w:r w:rsidR="009A7AB4" w:rsidRPr="00D562E2">
          <w:rPr>
            <w:rFonts w:cs="Arial"/>
            <w:noProof/>
            <w:color w:val="000000" w:themeColor="text1"/>
            <w:szCs w:val="22"/>
          </w:rPr>
          <w:t>Read and Limpus 2002</w:t>
        </w:r>
      </w:hyperlink>
      <w:r w:rsidRPr="00D562E2">
        <w:rPr>
          <w:rFonts w:cs="Arial"/>
          <w:noProof/>
          <w:color w:val="000000" w:themeColor="text1"/>
          <w:szCs w:val="22"/>
        </w:rPr>
        <w:t xml:space="preserve">; </w:t>
      </w:r>
      <w:hyperlink w:anchor="_ENREF_5" w:tooltip="Arthur, 2008 #10320" w:history="1">
        <w:r w:rsidR="009A7AB4" w:rsidRPr="00D562E2">
          <w:rPr>
            <w:rFonts w:cs="Arial"/>
            <w:noProof/>
            <w:color w:val="000000" w:themeColor="text1"/>
            <w:szCs w:val="22"/>
          </w:rPr>
          <w:t>Arthur</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2008</w:t>
        </w:r>
      </w:hyperlink>
      <w:r w:rsidRPr="00D562E2">
        <w:rPr>
          <w:rFonts w:cs="Arial"/>
          <w:noProof/>
          <w:color w:val="000000" w:themeColor="text1"/>
          <w:szCs w:val="22"/>
        </w:rPr>
        <w:t xml:space="preserve">; </w:t>
      </w:r>
      <w:hyperlink w:anchor="_ENREF_95" w:tooltip="Marsh, 2011 #9179" w:history="1">
        <w:r w:rsidR="009A7AB4" w:rsidRPr="00D562E2">
          <w:rPr>
            <w:rFonts w:cs="Arial"/>
            <w:noProof/>
            <w:color w:val="000000" w:themeColor="text1"/>
            <w:szCs w:val="22"/>
          </w:rPr>
          <w:t>Marsh</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2011</w:t>
        </w:r>
      </w:hyperlink>
      <w:r w:rsidRPr="00D562E2">
        <w:rPr>
          <w:rFonts w:cs="Arial"/>
          <w:color w:val="000000" w:themeColor="text1"/>
          <w:szCs w:val="22"/>
        </w:rPr>
        <w:fldChar w:fldCharType="end"/>
      </w:r>
      <w:r w:rsidRPr="00D562E2">
        <w:rPr>
          <w:rFonts w:cs="Arial"/>
          <w:color w:val="000000" w:themeColor="text1"/>
          <w:szCs w:val="22"/>
        </w:rPr>
        <w:t xml:space="preserve">). Seagrass form highly productive habitats for a large number of invertebrates, fish and algal species </w:t>
      </w:r>
      <w:r w:rsidRPr="00D562E2">
        <w:rPr>
          <w:rFonts w:cs="Arial"/>
          <w:noProof/>
          <w:color w:val="000000" w:themeColor="text1"/>
          <w:szCs w:val="22"/>
        </w:rPr>
        <w:t>(</w:t>
      </w:r>
      <w:hyperlink w:anchor="_ENREF_22" w:tooltip="Carruthers, 2002 #8021" w:history="1">
        <w:r w:rsidR="009A7AB4" w:rsidRPr="00D562E2">
          <w:rPr>
            <w:rFonts w:cs="Arial"/>
            <w:noProof/>
            <w:color w:val="000000" w:themeColor="text1"/>
            <w:szCs w:val="22"/>
          </w:rPr>
          <w:fldChar w:fldCharType="begin"/>
        </w:r>
        <w:r w:rsidR="009A7AB4" w:rsidRPr="00D562E2">
          <w:rPr>
            <w:rFonts w:cs="Arial"/>
            <w:noProof/>
            <w:color w:val="000000" w:themeColor="text1"/>
            <w:szCs w:val="22"/>
          </w:rPr>
          <w:instrText xml:space="preserve"> ADDIN EN.CITE &lt;EndNote&gt;&lt;Cite&gt;&lt;Author&gt;Carruthers&lt;/Author&gt;&lt;Year&gt;2002&lt;/Year&gt;&lt;RecNum&gt;8021&lt;/RecNum&gt;&lt;DisplayText&gt;Carruthers&lt;style face="italic"&gt; et al.&lt;/style&gt; 2002&lt;/DisplayText&gt;&lt;record&gt;&lt;rec-number&gt;8021&lt;/rec-number&gt;&lt;foreign-keys&gt;&lt;key app="EN" db-id="0eve55x9y5vfd6e9dacxtew4eatve2dzds9a" timestamp="0"&gt;8021&lt;/key&gt;&lt;/foreign-keys&gt;&lt;ref-type name="Journal Article"&gt;17&lt;/ref-type&gt;&lt;contributors&gt;&lt;authors&gt;&lt;author&gt;Carruthers, TJB.&lt;/author&gt;&lt;author&gt;Dennison, WC&lt;/author&gt;&lt;author&gt;Longstaff, BJ&lt;/author&gt;&lt;author&gt;Waycott, Michelle&lt;/author&gt;&lt;author&gt;Abal, E. G.&lt;/author&gt;&lt;author&gt;McKenzie, Len J&lt;/author&gt;&lt;author&gt;Lee Long, WJ&lt;/author&gt;&lt;/authors&gt;&lt;/contributors&gt;&lt;titles&gt;&lt;title&gt;Seagrass habitats of north east Australia: models of key processes and controls&lt;/title&gt;&lt;secondary-title&gt;Bulletin of Marine Science&lt;/secondary-title&gt;&lt;/titles&gt;&lt;periodical&gt;&lt;full-title&gt;Bulletin of Marine Science&lt;/full-title&gt;&lt;/periodical&gt;&lt;pages&gt;1153-1169&lt;/pages&gt;&lt;volume&gt;71&lt;/volume&gt;&lt;number&gt;3&lt;/number&gt;&lt;dates&gt;&lt;year&gt;2002&lt;/year&gt;&lt;/dates&gt;&lt;label&gt;Habitats&lt;/label&gt;&lt;urls&gt;&lt;/urls&gt;&lt;/record&gt;&lt;/Cite&gt;&lt;/EndNote&gt;</w:instrText>
        </w:r>
        <w:r w:rsidR="009A7AB4" w:rsidRPr="00D562E2">
          <w:rPr>
            <w:rFonts w:cs="Arial"/>
            <w:noProof/>
            <w:color w:val="000000" w:themeColor="text1"/>
            <w:szCs w:val="22"/>
          </w:rPr>
          <w:fldChar w:fldCharType="separate"/>
        </w:r>
        <w:r w:rsidR="009A7AB4" w:rsidRPr="00D562E2">
          <w:rPr>
            <w:rFonts w:cs="Arial"/>
            <w:noProof/>
            <w:color w:val="000000" w:themeColor="text1"/>
            <w:szCs w:val="22"/>
          </w:rPr>
          <w:t>Carruthers</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2002</w:t>
        </w:r>
        <w:r w:rsidR="009A7AB4" w:rsidRPr="00D562E2">
          <w:rPr>
            <w:rFonts w:cs="Arial"/>
            <w:noProof/>
            <w:color w:val="000000" w:themeColor="text1"/>
            <w:szCs w:val="22"/>
          </w:rPr>
          <w:fldChar w:fldCharType="end"/>
        </w:r>
      </w:hyperlink>
      <w:r w:rsidRPr="00D562E2">
        <w:rPr>
          <w:rFonts w:cs="Arial"/>
          <w:noProof/>
          <w:color w:val="000000" w:themeColor="text1"/>
          <w:szCs w:val="22"/>
        </w:rPr>
        <w:t xml:space="preserve">), which are important to </w:t>
      </w:r>
      <w:r w:rsidRPr="00D562E2">
        <w:rPr>
          <w:rFonts w:cs="Arial"/>
          <w:color w:val="000000" w:themeColor="text1"/>
          <w:szCs w:val="22"/>
        </w:rPr>
        <w:t>commercial (e.g. prawns) and subsistence fisheries (</w:t>
      </w:r>
      <w:r w:rsidRPr="00D562E2">
        <w:rPr>
          <w:rFonts w:cs="Arial"/>
          <w:color w:val="000000" w:themeColor="text1"/>
          <w:szCs w:val="22"/>
        </w:rPr>
        <w:fldChar w:fldCharType="begin">
          <w:fldData xml:space="preserve">PEVuZE5vdGU+PENpdGU+PEF1dGhvcj5DdWxsZW4tVW5zd29ydGg8L0F1dGhvcj48WWVhcj4yMDEz
PC9ZZWFyPjxSZWNOdW0+OTU1MzwvUmVjTnVtPjxEaXNwbGF5VGV4dD5Db2xlczxzdHlsZSBmYWNl
PSJpdGFsaWMiPiBldCBhbC48L3N0eWxlPiAxOTkzOyBDdWxsZW4tVW5zd29ydGggYW5kIFVuc3dv
cnRoIDIwMTM8L0Rpc3BsYXlUZXh0PjxyZWNvcmQ+PHJlYy1udW1iZXI+OTU1MzwvcmVjLW51bWJl
cj48Zm9yZWlnbi1rZXlzPjxrZXkgYXBwPSJFTiIgZGItaWQ9IjBldmU1NXg5eTV2ZmQ2ZTlkYWN4
dGV3NGVhdHZlMmR6ZHM5YSIgdGltZXN0YW1wPSIxMzgwMTc4MDA4Ij45NTUzPC9rZXk+PC9mb3Jl
aWduLWtleXM+PHJlZi10eXBlIG5hbWU9IkpvdXJuYWwgQXJ0aWNsZSI+MTc8L3JlZi10eXBlPjxj
b250cmlidXRvcnM+PGF1dGhvcnM+PGF1dGhvcj5DdWxsZW4tVW5zd29ydGgsIExlYW5uZTwvYXV0
aG9yPjxhdXRob3I+VW5zd29ydGgsIFJpY2hhcmQ8L2F1dGhvcj48L2F1dGhvcnM+PC9jb250cmli
dXRvcnM+PHRpdGxlcz48dGl0bGU+U2VhZ3Jhc3MgTWVhZG93cywgRWNvc3lzdGVtIFNlcnZpY2Vz
LCBhbmQgU3VzdGFpbmFiaWxpdHk8L3RpdGxlPjxzZWNvbmRhcnktdGl0bGU+RW52aXJvbm1lbnQ6
IFNjaWVuY2UgYW5kIFBvbGljeSBmb3IgU3VzdGFpbmFibGUgRGV2ZWxvcG1lbnQ8L3NlY29uZGFy
eS10aXRsZT48L3RpdGxlcz48cGVyaW9kaWNhbD48ZnVsbC10aXRsZT5FbnZpcm9ubWVudDogU2Np
ZW5jZSBhbmQgUG9saWN5IGZvciBTdXN0YWluYWJsZSBEZXZlbG9wbWVudDwvZnVsbC10aXRsZT48
L3BlcmlvZGljYWw+PHBhZ2VzPjE0LTI4PC9wYWdlcz48dm9sdW1lPjU1PC92b2x1bWU+PG51bWJl
cj4zPC9udW1iZXI+PGRhdGVzPjx5ZWFyPjIwMTM8L3llYXI+PHB1Yi1kYXRlcz48ZGF0ZT4yMDEz
LzA1LzAxPC9kYXRlPjwvcHViLWRhdGVzPjwvZGF0ZXM+PHB1Ymxpc2hlcj5Sb3V0bGVkZ2U8L3B1
Ymxpc2hlcj48aXNibj4wMDEzLTkxNTc8L2lzYm4+PHVybHM+PHJlbGF0ZWQtdXJscz48dXJsPmh0
dHA6Ly9keC5kb2kub3JnLzEwLjEwODAvMDAxMzkxNTcuMjAxMy43ODU4NjQ8L3VybD48L3JlbGF0
ZWQtdXJscz48L3VybHM+PGVsZWN0cm9uaWMtcmVzb3VyY2UtbnVtPjEwLjEwODAvMDAxMzkxNTcu
MjAxMy43ODU4NjQ8L2VsZWN0cm9uaWMtcmVzb3VyY2UtbnVtPjxhY2Nlc3MtZGF0ZT4yMDEzLzA5
LzI1PC9hY2Nlc3MtZGF0ZT48L3JlY29yZD48L0NpdGU+PENpdGU+PEF1dGhvcj5Db2xlczwvQXV0
aG9yPjxZZWFyPjE5OTM8L1llYXI+PFJlY051bT41MjI8L1JlY051bT48cmVjb3JkPjxyZWMtbnVt
YmVyPjUyMjwvcmVjLW51bWJlcj48Zm9yZWlnbi1rZXlzPjxrZXkgYXBwPSJFTiIgZGItaWQ9IjBl
dmU1NXg5eTV2ZmQ2ZTlkYWN4dGV3NGVhdHZlMmR6ZHM5YSIgdGltZXN0YW1wPSIwIj41MjI8L2tl
eT48L2ZvcmVpZ24ta2V5cz48cmVmLXR5cGUgbmFtZT0iSm91cm5hbCBBcnRpY2xlIj4xNzwvcmVm
LXR5cGU+PGNvbnRyaWJ1dG9ycz48YXV0aG9ycz48YXV0aG9yPkNvbGVzLCBSb2JlcnQgRy48L2F1
dGhvcj48YXV0aG9yPkxlZSBMb25nLCBXYXJyZW4gSi48L2F1dGhvcj48YXV0aG9yPldhdHNvbiwg
UmVnIEEuPC9hdXRob3I+PGF1dGhvcj5EZXJieXNoaXJlLCBLdXJ0IEouPC9hdXRob3I+PC9hdXRo
b3JzPjwvY29udHJpYnV0b3JzPjx0aXRsZXM+PHRpdGxlPkRpc3RyaWJ1dGlvbiBvZiBzZWFncmFz
c2VzLCBhbmQgdGhlaXIgZmlzaCBhbmQgcGVuYWVpZCBwcmF3biBjb21tdW5pdGllcywgaW4gQ2Fp
cm5zIEhhcmJvdXIsIGEgdHJvcGljYWwgZXN0dWFyeSwgbm9ydGhlcm4gUXVlZW5zbGFuZCwgQXVz
dHJhbGlhPC90aXRsZT48c2Vjb25kYXJ5LXRpdGxlPkF1c3RyYWxpYW4gSm91cm5hbCBvZiBNYXJp
bmUgYW5kIEZyZXNod2F0ZXIgUmVzZWFyY2g8L3NlY29uZGFyeS10aXRsZT48YWx0LXRpdGxlPkF1
c3RyYWxpYW4gSm91cm5hbCBvZiBNYXJpbmUgYW5kIEZyZXNod2F0ZXIgUmVzZWFyY2g8L2FsdC10
aXRsZT48L3RpdGxlcz48cGVyaW9kaWNhbD48ZnVsbC10aXRsZT5BdXN0cmFsaWFuIEpvdXJuYWwg
b2YgTWFyaW5lIGFuZCBGcmVzaHdhdGVyIFJlc2VhcmNoPC9mdWxsLXRpdGxlPjxhYmJyLTE+QXVz
dHJhbGlhbiBKb3VybmFsIG9mIE1hcmluZSBhbmQgRnJlc2h3YXRlciBSZXNlYXJjaDwvYWJici0x
PjwvcGVyaW9kaWNhbD48YWx0LXBlcmlvZGljYWw+PGZ1bGwtdGl0bGU+QXVzdHJhbGlhbiBKb3Vy
bmFsIG9mIE1hcmluZSBhbmQgRnJlc2h3YXRlciBSZXNlYXJjaDwvZnVsbC10aXRsZT48YWJici0x
PkF1c3RyYWxpYW4gSm91cm5hbCBvZiBNYXJpbmUgYW5kIEZyZXNod2F0ZXIgUmVzZWFyY2g8L2Fi
YnItMT48L2FsdC1wZXJpb2RpY2FsPjxwYWdlcz4xOTMtMjEwPC9wYWdlcz48dm9sdW1lPjQ0PC92
b2x1bWU+PGtleXdvcmRzPjxrZXl3b3JkPk1DS0VOWklFIDE5OTY8L2tleXdvcmQ+PGtleXdvcmQ+
VEVNUDwva2V5d29yZD48L2tleXdvcmRzPjxkYXRlcz48eWVhcj4xOTkzPC95ZWFyPjwvZGF0ZXM+
PGxhYmVsPjUwMTwvbGFiZWw+PHVybHM+PC91cmxzPjxjdXN0b20xPkFubmV4PC9jdXN0b20xPjwv
cmVjb3JkPjwvQ2l0ZT48L0VuZE5vdGU+AG==
</w:fldData>
        </w:fldChar>
      </w:r>
      <w:r w:rsidRPr="00D562E2">
        <w:rPr>
          <w:rFonts w:cs="Arial"/>
          <w:color w:val="000000" w:themeColor="text1"/>
          <w:szCs w:val="22"/>
        </w:rPr>
        <w:instrText xml:space="preserve"> ADDIN EN.CITE </w:instrText>
      </w:r>
      <w:r w:rsidRPr="00D562E2">
        <w:rPr>
          <w:rFonts w:cs="Arial"/>
          <w:color w:val="000000" w:themeColor="text1"/>
          <w:szCs w:val="22"/>
        </w:rPr>
        <w:fldChar w:fldCharType="begin">
          <w:fldData xml:space="preserve">PEVuZE5vdGU+PENpdGU+PEF1dGhvcj5DdWxsZW4tVW5zd29ydGg8L0F1dGhvcj48WWVhcj4yMDEz
PC9ZZWFyPjxSZWNOdW0+OTU1MzwvUmVjTnVtPjxEaXNwbGF5VGV4dD5Db2xlczxzdHlsZSBmYWNl
PSJpdGFsaWMiPiBldCBhbC48L3N0eWxlPiAxOTkzOyBDdWxsZW4tVW5zd29ydGggYW5kIFVuc3dv
cnRoIDIwMTM8L0Rpc3BsYXlUZXh0PjxyZWNvcmQ+PHJlYy1udW1iZXI+OTU1MzwvcmVjLW51bWJl
cj48Zm9yZWlnbi1rZXlzPjxrZXkgYXBwPSJFTiIgZGItaWQ9IjBldmU1NXg5eTV2ZmQ2ZTlkYWN4
dGV3NGVhdHZlMmR6ZHM5YSIgdGltZXN0YW1wPSIxMzgwMTc4MDA4Ij45NTUzPC9rZXk+PC9mb3Jl
aWduLWtleXM+PHJlZi10eXBlIG5hbWU9IkpvdXJuYWwgQXJ0aWNsZSI+MTc8L3JlZi10eXBlPjxj
b250cmlidXRvcnM+PGF1dGhvcnM+PGF1dGhvcj5DdWxsZW4tVW5zd29ydGgsIExlYW5uZTwvYXV0
aG9yPjxhdXRob3I+VW5zd29ydGgsIFJpY2hhcmQ8L2F1dGhvcj48L2F1dGhvcnM+PC9jb250cmli
dXRvcnM+PHRpdGxlcz48dGl0bGU+U2VhZ3Jhc3MgTWVhZG93cywgRWNvc3lzdGVtIFNlcnZpY2Vz
LCBhbmQgU3VzdGFpbmFiaWxpdHk8L3RpdGxlPjxzZWNvbmRhcnktdGl0bGU+RW52aXJvbm1lbnQ6
IFNjaWVuY2UgYW5kIFBvbGljeSBmb3IgU3VzdGFpbmFibGUgRGV2ZWxvcG1lbnQ8L3NlY29uZGFy
eS10aXRsZT48L3RpdGxlcz48cGVyaW9kaWNhbD48ZnVsbC10aXRsZT5FbnZpcm9ubWVudDogU2Np
ZW5jZSBhbmQgUG9saWN5IGZvciBTdXN0YWluYWJsZSBEZXZlbG9wbWVudDwvZnVsbC10aXRsZT48
L3BlcmlvZGljYWw+PHBhZ2VzPjE0LTI4PC9wYWdlcz48dm9sdW1lPjU1PC92b2x1bWU+PG51bWJl
cj4zPC9udW1iZXI+PGRhdGVzPjx5ZWFyPjIwMTM8L3llYXI+PHB1Yi1kYXRlcz48ZGF0ZT4yMDEz
LzA1LzAxPC9kYXRlPjwvcHViLWRhdGVzPjwvZGF0ZXM+PHB1Ymxpc2hlcj5Sb3V0bGVkZ2U8L3B1
Ymxpc2hlcj48aXNibj4wMDEzLTkxNTc8L2lzYm4+PHVybHM+PHJlbGF0ZWQtdXJscz48dXJsPmh0
dHA6Ly9keC5kb2kub3JnLzEwLjEwODAvMDAxMzkxNTcuMjAxMy43ODU4NjQ8L3VybD48L3JlbGF0
ZWQtdXJscz48L3VybHM+PGVsZWN0cm9uaWMtcmVzb3VyY2UtbnVtPjEwLjEwODAvMDAxMzkxNTcu
MjAxMy43ODU4NjQ8L2VsZWN0cm9uaWMtcmVzb3VyY2UtbnVtPjxhY2Nlc3MtZGF0ZT4yMDEzLzA5
LzI1PC9hY2Nlc3MtZGF0ZT48L3JlY29yZD48L0NpdGU+PENpdGU+PEF1dGhvcj5Db2xlczwvQXV0
aG9yPjxZZWFyPjE5OTM8L1llYXI+PFJlY051bT41MjI8L1JlY051bT48cmVjb3JkPjxyZWMtbnVt
YmVyPjUyMjwvcmVjLW51bWJlcj48Zm9yZWlnbi1rZXlzPjxrZXkgYXBwPSJFTiIgZGItaWQ9IjBl
dmU1NXg5eTV2ZmQ2ZTlkYWN4dGV3NGVhdHZlMmR6ZHM5YSIgdGltZXN0YW1wPSIwIj41MjI8L2tl
eT48L2ZvcmVpZ24ta2V5cz48cmVmLXR5cGUgbmFtZT0iSm91cm5hbCBBcnRpY2xlIj4xNzwvcmVm
LXR5cGU+PGNvbnRyaWJ1dG9ycz48YXV0aG9ycz48YXV0aG9yPkNvbGVzLCBSb2JlcnQgRy48L2F1
dGhvcj48YXV0aG9yPkxlZSBMb25nLCBXYXJyZW4gSi48L2F1dGhvcj48YXV0aG9yPldhdHNvbiwg
UmVnIEEuPC9hdXRob3I+PGF1dGhvcj5EZXJieXNoaXJlLCBLdXJ0IEouPC9hdXRob3I+PC9hdXRo
b3JzPjwvY29udHJpYnV0b3JzPjx0aXRsZXM+PHRpdGxlPkRpc3RyaWJ1dGlvbiBvZiBzZWFncmFz
c2VzLCBhbmQgdGhlaXIgZmlzaCBhbmQgcGVuYWVpZCBwcmF3biBjb21tdW5pdGllcywgaW4gQ2Fp
cm5zIEhhcmJvdXIsIGEgdHJvcGljYWwgZXN0dWFyeSwgbm9ydGhlcm4gUXVlZW5zbGFuZCwgQXVz
dHJhbGlhPC90aXRsZT48c2Vjb25kYXJ5LXRpdGxlPkF1c3RyYWxpYW4gSm91cm5hbCBvZiBNYXJp
bmUgYW5kIEZyZXNod2F0ZXIgUmVzZWFyY2g8L3NlY29uZGFyeS10aXRsZT48YWx0LXRpdGxlPkF1
c3RyYWxpYW4gSm91cm5hbCBvZiBNYXJpbmUgYW5kIEZyZXNod2F0ZXIgUmVzZWFyY2g8L2FsdC10
aXRsZT48L3RpdGxlcz48cGVyaW9kaWNhbD48ZnVsbC10aXRsZT5BdXN0cmFsaWFuIEpvdXJuYWwg
b2YgTWFyaW5lIGFuZCBGcmVzaHdhdGVyIFJlc2VhcmNoPC9mdWxsLXRpdGxlPjxhYmJyLTE+QXVz
dHJhbGlhbiBKb3VybmFsIG9mIE1hcmluZSBhbmQgRnJlc2h3YXRlciBSZXNlYXJjaDwvYWJici0x
PjwvcGVyaW9kaWNhbD48YWx0LXBlcmlvZGljYWw+PGZ1bGwtdGl0bGU+QXVzdHJhbGlhbiBKb3Vy
bmFsIG9mIE1hcmluZSBhbmQgRnJlc2h3YXRlciBSZXNlYXJjaDwvZnVsbC10aXRsZT48YWJici0x
PkF1c3RyYWxpYW4gSm91cm5hbCBvZiBNYXJpbmUgYW5kIEZyZXNod2F0ZXIgUmVzZWFyY2g8L2Fi
YnItMT48L2FsdC1wZXJpb2RpY2FsPjxwYWdlcz4xOTMtMjEwPC9wYWdlcz48dm9sdW1lPjQ0PC92
b2x1bWU+PGtleXdvcmRzPjxrZXl3b3JkPk1DS0VOWklFIDE5OTY8L2tleXdvcmQ+PGtleXdvcmQ+
VEVNUDwva2V5d29yZD48L2tleXdvcmRzPjxkYXRlcz48eWVhcj4xOTkzPC95ZWFyPjwvZGF0ZXM+
PGxhYmVsPjUwMTwvbGFiZWw+PHVybHM+PC91cmxzPjxjdXN0b20xPkFubmV4PC9jdXN0b20xPjwv
cmVjb3JkPjwvQ2l0ZT48L0VuZE5vdGU+AG==
</w:fldData>
        </w:fldChar>
      </w:r>
      <w:r w:rsidRPr="00D562E2">
        <w:rPr>
          <w:rFonts w:cs="Arial"/>
          <w:color w:val="000000" w:themeColor="text1"/>
          <w:szCs w:val="22"/>
        </w:rPr>
        <w:instrText xml:space="preserve"> ADDIN EN.CITE.DATA </w:instrText>
      </w:r>
      <w:r w:rsidRPr="00D562E2">
        <w:rPr>
          <w:rFonts w:cs="Arial"/>
          <w:color w:val="000000" w:themeColor="text1"/>
          <w:szCs w:val="22"/>
        </w:rPr>
      </w:r>
      <w:r w:rsidRPr="00D562E2">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26" w:tooltip="Coles, 1993 #522" w:history="1">
        <w:r w:rsidR="009A7AB4" w:rsidRPr="00D562E2">
          <w:rPr>
            <w:rFonts w:cs="Arial"/>
            <w:noProof/>
            <w:color w:val="000000" w:themeColor="text1"/>
            <w:szCs w:val="22"/>
          </w:rPr>
          <w:t>Coles</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1993</w:t>
        </w:r>
      </w:hyperlink>
      <w:r w:rsidRPr="00D562E2">
        <w:rPr>
          <w:rFonts w:cs="Arial"/>
          <w:noProof/>
          <w:color w:val="000000" w:themeColor="text1"/>
          <w:szCs w:val="22"/>
        </w:rPr>
        <w:t xml:space="preserve">; </w:t>
      </w:r>
      <w:hyperlink w:anchor="_ENREF_42" w:tooltip="Cullen-Unsworth, 2013 #9553" w:history="1">
        <w:r w:rsidR="009A7AB4" w:rsidRPr="00D562E2">
          <w:rPr>
            <w:rFonts w:cs="Arial"/>
            <w:noProof/>
            <w:color w:val="000000" w:themeColor="text1"/>
            <w:szCs w:val="22"/>
          </w:rPr>
          <w:t>Cullen-Unsworth and Unsworth 2013</w:t>
        </w:r>
      </w:hyperlink>
      <w:r w:rsidRPr="00D562E2">
        <w:rPr>
          <w:rFonts w:cs="Arial"/>
          <w:color w:val="000000" w:themeColor="text1"/>
          <w:szCs w:val="22"/>
        </w:rPr>
        <w:fldChar w:fldCharType="end"/>
      </w:r>
      <w:r w:rsidRPr="00D562E2">
        <w:rPr>
          <w:rFonts w:cs="Arial"/>
          <w:color w:val="000000" w:themeColor="text1"/>
          <w:szCs w:val="22"/>
        </w:rPr>
        <w:t>). Seagrass also produce natural biocides and improve water quality by controlling pathogenic bacteria to the benefit of humans, fishes, and marine invertebrates such as coral (</w:t>
      </w:r>
      <w:hyperlink w:anchor="_ENREF_85" w:tooltip="Lamb, 2017 #10905" w:history="1">
        <w:r w:rsidR="009A7AB4" w:rsidRPr="00D562E2">
          <w:rPr>
            <w:rFonts w:cs="Arial"/>
            <w:color w:val="000000" w:themeColor="text1"/>
            <w:szCs w:val="22"/>
          </w:rPr>
          <w:fldChar w:fldCharType="begin"/>
        </w:r>
        <w:r w:rsidR="009A7AB4" w:rsidRPr="00D562E2">
          <w:rPr>
            <w:rFonts w:cs="Arial"/>
            <w:color w:val="000000" w:themeColor="text1"/>
            <w:szCs w:val="22"/>
          </w:rPr>
          <w:instrText xml:space="preserve"> ADDIN EN.CITE &lt;EndNote&gt;&lt;Cite&gt;&lt;Author&gt;Lamb&lt;/Author&gt;&lt;Year&gt;2017&lt;/Year&gt;&lt;RecNum&gt;10905&lt;/RecNum&gt;&lt;DisplayText&gt;Lamb&lt;style face="italic"&gt; et al.&lt;/style&gt; 2017&lt;/DisplayText&gt;&lt;record&gt;&lt;rec-number&gt;10905&lt;/rec-number&gt;&lt;foreign-keys&gt;&lt;key app="EN" db-id="0eve55x9y5vfd6e9dacxtew4eatve2dzds9a" timestamp="1487903175"&gt;10905&lt;/key&gt;&lt;/foreign-keys&gt;&lt;ref-type name="Journal Article"&gt;17&lt;/ref-type&gt;&lt;contributors&gt;&lt;authors&gt;&lt;author&gt;Lamb, Joleah B.&lt;/author&gt;&lt;author&gt;van de Water, Jeroen A. J. M.&lt;/author&gt;&lt;author&gt;Bourne, David G.&lt;/author&gt;&lt;author&gt;Altier, Craig&lt;/author&gt;&lt;author&gt;Hein, Margaux Y.&lt;/author&gt;&lt;author&gt;Fiorenza, Evan A.&lt;/author&gt;&lt;author&gt;Abu, Nur&lt;/author&gt;&lt;author&gt;Jompa, Jamaluddin&lt;/author&gt;&lt;author&gt;Harvell, C. Drew&lt;/author&gt;&lt;/authors&gt;&lt;/contributors&gt;&lt;titles&gt;&lt;title&gt;Seagrass ecosystems reduce exposure to bacterial pathogens of humans, fishes, and invertebrates&lt;/title&gt;&lt;secondary-title&gt;Science&lt;/secondary-title&gt;&lt;/titles&gt;&lt;periodical&gt;&lt;full-title&gt;Science&lt;/full-title&gt;&lt;/periodical&gt;&lt;pages&gt;731-733&lt;/pages&gt;&lt;volume&gt;355&lt;/volume&gt;&lt;number&gt;6326&lt;/number&gt;&lt;dates&gt;&lt;year&gt;2017&lt;/year&gt;&lt;/dates&gt;&lt;urls&gt;&lt;/urls&gt;&lt;electronic-resource-num&gt;10.1126/science.aal1956&lt;/electronic-resource-num&gt;&lt;/record&gt;&lt;/Cite&gt;&lt;/EndNote&gt;</w:instrText>
        </w:r>
        <w:r w:rsidR="009A7AB4" w:rsidRPr="00D562E2">
          <w:rPr>
            <w:rFonts w:cs="Arial"/>
            <w:color w:val="000000" w:themeColor="text1"/>
            <w:szCs w:val="22"/>
          </w:rPr>
          <w:fldChar w:fldCharType="separate"/>
        </w:r>
        <w:r w:rsidR="009A7AB4" w:rsidRPr="00D562E2">
          <w:rPr>
            <w:rFonts w:cs="Arial"/>
            <w:noProof/>
            <w:color w:val="000000" w:themeColor="text1"/>
            <w:szCs w:val="22"/>
          </w:rPr>
          <w:t>Lamb</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2017</w:t>
        </w:r>
        <w:r w:rsidR="009A7AB4" w:rsidRPr="00D562E2">
          <w:rPr>
            <w:rFonts w:cs="Arial"/>
            <w:color w:val="000000" w:themeColor="text1"/>
            <w:szCs w:val="22"/>
          </w:rPr>
          <w:fldChar w:fldCharType="end"/>
        </w:r>
      </w:hyperlink>
      <w:r w:rsidRPr="00D562E2">
        <w:rPr>
          <w:rFonts w:cs="Arial"/>
          <w:color w:val="000000" w:themeColor="text1"/>
          <w:szCs w:val="22"/>
        </w:rPr>
        <w:t>). Nutrient cycling in seagrass meadows makes them one of the most economically valuable ecosystems in the world (</w:t>
      </w:r>
      <w:hyperlink w:anchor="_ENREF_40" w:tooltip="Costanza, 1997 #1765" w:history="1">
        <w:r w:rsidR="009A7AB4" w:rsidRPr="00D562E2">
          <w:rPr>
            <w:rFonts w:cs="Arial"/>
            <w:color w:val="000000" w:themeColor="text1"/>
            <w:szCs w:val="22"/>
          </w:rPr>
          <w:fldChar w:fldCharType="begin"/>
        </w:r>
        <w:r w:rsidR="009A7AB4" w:rsidRPr="00D562E2">
          <w:rPr>
            <w:rFonts w:cs="Arial"/>
            <w:color w:val="000000" w:themeColor="text1"/>
            <w:szCs w:val="22"/>
          </w:rPr>
          <w:instrText xml:space="preserve"> ADDIN EN.CITE &lt;EndNote&gt;&lt;Cite&gt;&lt;Author&gt;Costanza&lt;/Author&gt;&lt;Year&gt;1997&lt;/Year&gt;&lt;RecNum&gt;1765&lt;/RecNum&gt;&lt;DisplayText&gt;Costanza&lt;style face="italic"&gt; et al.&lt;/style&gt; 1997&lt;/DisplayText&gt;&lt;record&gt;&lt;rec-number&gt;1765&lt;/rec-number&gt;&lt;foreign-keys&gt;&lt;key app="EN" db-id="0eve55x9y5vfd6e9dacxtew4eatve2dzds9a" timestamp="0"&gt;1765&lt;/key&gt;&lt;/foreign-keys&gt;&lt;ref-type name="Journal Article"&gt;17&lt;/ref-type&gt;&lt;contributors&gt;&lt;authors&gt;&lt;author&gt;Costanza, Robert&lt;/author&gt;&lt;author&gt;d&amp;apos;Arge, Ralph&lt;/author&gt;&lt;author&gt;de Groot, Rudolf&lt;/author&gt;&lt;author&gt;Farber, Stephen&lt;/author&gt;&lt;author&gt;Grasso, Monica&lt;/author&gt;&lt;author&gt;Hannon, Bruce&lt;/author&gt;&lt;author&gt;Limburg, Karin&lt;/author&gt;&lt;author&gt;Naeem, Shahid&lt;/author&gt;&lt;author&gt;O&amp;apos;Neil, Robert V.&lt;/author&gt;&lt;author&gt;Paruelo, Jose&lt;/author&gt;&lt;author&gt;Raskin, Robert G.&lt;/author&gt;&lt;author&gt;Sutton, Paul&lt;/author&gt;&lt;author&gt;van der Belt, Marjan&lt;/author&gt;&lt;/authors&gt;&lt;/contributors&gt;&lt;titles&gt;&lt;title&gt;The Value of the world&amp;apos;s ecosystem services and natural capital&lt;/title&gt;&lt;secondary-title&gt;Nature&lt;/secondary-title&gt;&lt;alt-title&gt;Nature&lt;/alt-title&gt;&lt;/titles&gt;&lt;periodical&gt;&lt;full-title&gt;Nature&lt;/full-title&gt;&lt;/periodical&gt;&lt;alt-periodical&gt;&lt;full-title&gt;Nature&lt;/full-title&gt;&lt;/alt-periodical&gt;&lt;pages&gt;253-260&lt;/pages&gt;&lt;volume&gt;387&lt;/volume&gt;&lt;number&gt;15&lt;/number&gt;&lt;keywords&gt;&lt;keyword&gt;ECONOMICS&lt;/keyword&gt;&lt;keyword&gt;ENVIRONMENTAL VALUE&lt;/keyword&gt;&lt;keyword&gt;NATURAL CAPITAL&lt;/keyword&gt;&lt;/keywords&gt;&lt;dates&gt;&lt;year&gt;1997&lt;/year&gt;&lt;/dates&gt;&lt;label&gt;1857&lt;/label&gt;&lt;urls&gt;&lt;/urls&gt;&lt;custom1&gt;Annex&lt;/custom1&gt;&lt;/record&gt;&lt;/Cite&gt;&lt;/EndNote&gt;</w:instrText>
        </w:r>
        <w:r w:rsidR="009A7AB4" w:rsidRPr="00D562E2">
          <w:rPr>
            <w:rFonts w:cs="Arial"/>
            <w:color w:val="000000" w:themeColor="text1"/>
            <w:szCs w:val="22"/>
          </w:rPr>
          <w:fldChar w:fldCharType="separate"/>
        </w:r>
        <w:r w:rsidR="009A7AB4" w:rsidRPr="00D562E2">
          <w:rPr>
            <w:rFonts w:cs="Arial"/>
            <w:noProof/>
            <w:color w:val="000000" w:themeColor="text1"/>
            <w:szCs w:val="22"/>
          </w:rPr>
          <w:t>Costanza</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1997</w:t>
        </w:r>
        <w:r w:rsidR="009A7AB4" w:rsidRPr="00D562E2">
          <w:rPr>
            <w:rFonts w:cs="Arial"/>
            <w:color w:val="000000" w:themeColor="text1"/>
            <w:szCs w:val="22"/>
          </w:rPr>
          <w:fldChar w:fldCharType="end"/>
        </w:r>
      </w:hyperlink>
      <w:r w:rsidRPr="00D562E2">
        <w:rPr>
          <w:rFonts w:cs="Arial"/>
          <w:color w:val="000000" w:themeColor="text1"/>
          <w:szCs w:val="22"/>
        </w:rPr>
        <w:t>) and the retention of carbon within their sediments contributes significantly to Blue Carbon sequestration (</w:t>
      </w:r>
      <w:r w:rsidRPr="00D562E2">
        <w:rPr>
          <w:rFonts w:cs="Arial"/>
          <w:color w:val="000000" w:themeColor="text1"/>
          <w:szCs w:val="22"/>
        </w:rPr>
        <w:fldChar w:fldCharType="begin">
          <w:fldData xml:space="preserve">PEVuZE5vdGU+PENpdGU+PEF1dGhvcj5Gb3VycXVyZWFuPC9BdXRob3I+PFllYXI+MjAxMjwvWWVh
cj48UmVjTnVtPjkxODY8L1JlY051bT48RGlzcGxheVRleHQ+Rm91cnF1cmVhbjxzdHlsZSBmYWNl
PSJpdGFsaWMiPiBldCBhbC48L3N0eWxlPiAyMDEyOyBVbnN3b3J0aDxzdHlsZSBmYWNlPSJpdGFs
aWMiPiBldCBhbC48L3N0eWxlPiAyMDEyYTsgRHVhcnRlIGFuZCBLcmF1c2UtSmVuc2VuIDIwMTc7
IE1hY3JlYWRpZTxzdHlsZSBmYWNlPSJpdGFsaWMiPiBldCBhbC48L3N0eWxlPiAyMDE3PC9EaXNw
bGF5VGV4dD48cmVjb3JkPjxyZWMtbnVtYmVyPjkxODY8L3JlYy1udW1iZXI+PGZvcmVpZ24ta2V5
cz48a2V5IGFwcD0iRU4iIGRiLWlkPSIwZXZlNTV4OXk1dmZkNmU5ZGFjeHRldzRlYXR2ZTJkemRz
OWEiIHRpbWVzdGFtcD0iMTM3NTAwMzcyMyI+OTE4Njwva2V5PjwvZm9yZWlnbi1rZXlzPjxyZWYt
dHlwZSBuYW1lPSJKb3VybmFsIEFydGljbGUiPjE3PC9yZWYtdHlwZT48Y29udHJpYnV0b3JzPjxh
dXRob3JzPjxhdXRob3I+Rm91cnF1cmVhbiwgSi4gVy48L2F1dGhvcj48YXV0aG9yPkR1YXJ0ZSwg
Qy4gTS48L2F1dGhvcj48YXV0aG9yPktlbm5lZHksIEguPC9hdXRob3I+PGF1dGhvcj5NYXJiYSwg
Ti48L2F1dGhvcj48YXV0aG9yPkhvbG1lciwgTS48L2F1dGhvcj48YXV0aG9yPk1hdGVvLCBNLiBB
LjwvYXV0aG9yPjxhdXRob3I+QXBvc3RvbGFraSwgRS4gVC48L2F1dGhvcj48YXV0aG9yPktlbmRy
aWNrLCBHLiBBLjwvYXV0aG9yPjxhdXRob3I+S3JhdXNlLUplbnNlbiwgRC48L2F1dGhvcj48YXV0
aG9yPk1jR2xhdGhlcnksIEsuIEouPC9hdXRob3I+PGF1dGhvcj5TZXJyYW5vLCBPLjwvYXV0aG9y
PjwvYXV0aG9ycz48L2NvbnRyaWJ1dG9ycz48dGl0bGVzPjx0aXRsZT5TZWFncmFzcyBlY29zeXN0
ZW1zIGFzIGEgZ2xvYmFsbHkgc2lnbmlmaWNhbnQgY2FyYm9uIHN0b2NrPC90aXRsZT48c2Vjb25k
YXJ5LXRpdGxlPk5hdHVyZSBHZW9zY2llbmNlPC9zZWNvbmRhcnktdGl0bGU+PC90aXRsZXM+PHBl
cmlvZGljYWw+PGZ1bGwtdGl0bGU+TmF0dXJlIEdlb3NjaWVuY2U8L2Z1bGwtdGl0bGU+PC9wZXJp
b2RpY2FsPjxwYWdlcz41MDUtNTA5PC9wYWdlcz48dm9sdW1lPjU8L3ZvbHVtZT48bnVtYmVyPjc8
L251bWJlcj48ZGF0ZXM+PHllYXI+MjAxMjwveWVhcj48cHViLWRhdGVzPjxkYXRlPkp1bDwvZGF0
ZT48L3B1Yi1kYXRlcz48L2RhdGVzPjxpc2JuPjE3NTItMDg5NDwvaXNibj48YWNjZXNzaW9uLW51
bT5XT1M6MDAwMzA3MDk4NDAwMDIyPC9hY2Nlc3Npb24tbnVtPjx1cmxzPjxyZWxhdGVkLXVybHM+
PHVybD4mbHQ7R28gdG8gSVNJJmd0OzovL1dPUzowMDAzMDcwOTg0MDAwMjI8L3VybD48L3JlbGF0
ZWQtdXJscz48L3VybHM+PGVsZWN0cm9uaWMtcmVzb3VyY2UtbnVtPjEwLjEwMzgvbmdlbzE0Nzc8
L2VsZWN0cm9uaWMtcmVzb3VyY2UtbnVtPjwvcmVjb3JkPjwvQ2l0ZT48Q2l0ZT48QXV0aG9yPlVu
c3dvcnRoPC9BdXRob3I+PFllYXI+MjAxMjwvWWVhcj48UmVjTnVtPjkzNTI8L1JlY051bT48cmVj
b3JkPjxyZWMtbnVtYmVyPjkzNTI8L3JlYy1udW1iZXI+PGZvcmVpZ24ta2V5cz48a2V5IGFwcD0i
RU4iIGRiLWlkPSIwZXZlNTV4OXk1dmZkNmU5ZGFjeHRldzRlYXR2ZTJkemRzOWEiIHRpbWVzdGFt
cD0iMTM3NTA1MjQ3OSI+OTM1Mjwva2V5PjwvZm9yZWlnbi1rZXlzPjxyZWYtdHlwZSBuYW1lPSJK
b3VybmFsIEFydGljbGUiPjE3PC9yZWYtdHlwZT48Y29udHJpYnV0b3JzPjxhdXRob3JzPjxhdXRo
b3I+VW5zd29ydGgsIFJpY2hhcmQgS0Y8L2F1dGhvcj48YXV0aG9yPkNvbGxpZXIsIENhdGhlcmlu
ZSBKPC9hdXRob3I+PGF1dGhvcj5IZW5kZXJzb24sIEdpZGVvbiBNPC9hdXRob3I+PGF1dGhvcj5N
Y0tlbnppZSwgTGVuIEo8L2F1dGhvcj48L2F1dGhvcnM+PC9jb250cmlidXRvcnM+PHRpdGxlcz48
dGl0bGU+VHJvcGljYWwgc2VhZ3Jhc3MgbWVhZG93cyBtb2RpZnkgc2Vhd2F0ZXIgY2FyYm9uIGNo
ZW1pc3RyeTogaW1wbGljYXRpb25zIGZvciBjb3JhbCByZWVmcyBpbXBhY3RlZCBieSBvY2VhbiBh
Y2lkaWZpY2F0aW9uPC90aXRsZT48c2Vjb25kYXJ5LXRpdGxlPkVudmlyb25tZW50YWwgUmVzZWFy
Y2ggTGV0dGVyczwvc2Vjb25kYXJ5LXRpdGxlPjwvdGl0bGVzPjxwZXJpb2RpY2FsPjxmdWxsLXRp
dGxlPkVudmlyb25tZW50YWwgUmVzZWFyY2ggTGV0dGVyczwvZnVsbC10aXRsZT48L3BlcmlvZGlj
YWw+PHBhZ2VzPjAyNDAyNjwvcGFnZXM+PHZvbHVtZT43PC92b2x1bWU+PG51bWJlcj4yPC9udW1i
ZXI+PGRhdGVzPjx5ZWFyPjIwMTI8L3llYXI+PC9kYXRlcz48aXNibj4xNzQ4LTkzMjY8L2lzYm4+
PHVybHM+PC91cmxzPjwvcmVjb3JkPjwvQ2l0ZT48Q2l0ZT48QXV0aG9yPk1hY3JlYWRpZTwvQXV0
aG9yPjxZZWFyPjIwMTc8L1llYXI+PFJlY051bT4xMTUyMjwvUmVjTnVtPjxyZWNvcmQ+PHJlYy1u
dW1iZXI+MTE1MjI8L3JlYy1udW1iZXI+PGZvcmVpZ24ta2V5cz48a2V5IGFwcD0iRU4iIGRiLWlk
PSIwZXZlNTV4OXk1dmZkNmU5ZGFjeHRldzRlYXR2ZTJkemRzOWEiIHRpbWVzdGFtcD0iMTUyODI0
NzMzNiI+MTE1MjI8L2tleT48L2ZvcmVpZ24ta2V5cz48cmVmLXR5cGUgbmFtZT0iSm91cm5hbCBB
cnRpY2xlIj4xNzwvcmVmLXR5cGU+PGNvbnRyaWJ1dG9ycz48YXV0aG9ycz48YXV0aG9yPk1hY3Jl
YWRpZSwgUGV0ZXIgSTwvYXV0aG9yPjxhdXRob3I+U2VycmFubywgT3NjYXI8L2F1dGhvcj48YXV0
aG9yPk1haGVyLCBEYW1pZW4gVDwvYXV0aG9yPjxhdXRob3I+RHVhcnRlLCBDYXJsb3MgTTwvYXV0
aG9yPjxhdXRob3I+QmVhcmRhbGwsIEpvaG48L2F1dGhvcj48L2F1dGhvcnM+PC9jb250cmlidXRv
cnM+PHRpdGxlcz48dGl0bGU+QWRkcmVzc2luZyBjYWxjaXVtIGNhcmJvbmF0ZSBjeWNsaW5nIGlu
IGJsdWUgY2FyYm9uIGFjY291bnRpbmc8L3RpdGxlPjxzZWNvbmRhcnktdGl0bGU+TGltbm9sb2d5
IGFuZCBPY2Vhbm9ncmFwaHkgTGV0dGVyczwvc2Vjb25kYXJ5LXRpdGxlPjwvdGl0bGVzPjxwZXJp
b2RpY2FsPjxmdWxsLXRpdGxlPkxpbW5vbG9neSBhbmQgT2NlYW5vZ3JhcGh5IExldHRlcnM8L2Z1
bGwtdGl0bGU+PC9wZXJpb2RpY2FsPjxwYWdlcz4xOTUtMjAxPC9wYWdlcz48dm9sdW1lPjI8L3Zv
bHVtZT48bnVtYmVyPjY8L251bWJlcj48ZGF0ZXM+PHllYXI+MjAxNzwveWVhcj48L2RhdGVzPjx1
cmxzPjxyZWxhdGVkLXVybHM+PHVybD5odHRwczovL2FzbG9wdWJzLm9ubGluZWxpYnJhcnkud2ls
ZXkuY29tL2RvaS9hYnMvMTAuMTAwMi9sb2wyLjEwMDUyPC91cmw+PC9yZWxhdGVkLXVybHM+PC91
cmxzPjxlbGVjdHJvbmljLXJlc291cmNlLW51bT5kb2k6MTAuMTAwMi9sb2wyLjEwMDUyPC9lbGVj
dHJvbmljLXJlc291cmNlLW51bT48L3JlY29yZD48L0NpdGU+PENpdGU+PEF1dGhvcj5EdWFydGU8
L0F1dGhvcj48WWVhcj4yMDE3PC9ZZWFyPjxSZWNOdW0+MTA5MTk8L1JlY051bT48cmVjb3JkPjxy
ZWMtbnVtYmVyPjEwOTE5PC9yZWMtbnVtYmVyPjxmb3JlaWduLWtleXM+PGtleSBhcHA9IkVOIiBk
Yi1pZD0iMGV2ZTU1eDl5NXZmZDZlOWRhY3h0ZXc0ZWF0dmUyZHpkczlhIiB0aW1lc3RhbXA9IjE0
ODg0OTE1NzYiPjEwOTE5PC9rZXk+PC9mb3JlaWduLWtleXM+PHJlZi10eXBlIG5hbWU9IkpvdXJu
YWwgQXJ0aWNsZSI+MTc8L3JlZi10eXBlPjxjb250cmlidXRvcnM+PGF1dGhvcnM+PGF1dGhvcj5E
dWFydGUsQ2FybG9zIE0uPC9hdXRob3I+PGF1dGhvcj5LcmF1c2UtSmVuc2VuLERvcnRlPC9hdXRo
b3I+PC9hdXRob3JzPjwvY29udHJpYnV0b3JzPjxhdXRoLWFkZHJlc3M+RHIgQ2FybG9zIE0uIER1
YXJ0ZSxSZWQgU2VhIFJlc2VhcmNoIENlbnRlciwgS2luZyBBYmR1bGxhaCBVbml2ZXJzaXR5IG9m
IFNjaWVuY2UgYW5kIFRlY2hub2xvZ3ksVGh1d2FsLCBTYXVkaSBBcmFiaWEsY2FybG9zLmR1YXJ0
ZUBrYXVzdC5lZHUuc2EmI3hEO0RyIENhcmxvcyBNLiBEdWFydGUsQXJjdGljIFJlc2VhcmNoIENl
bnRyZSwgQmlvc2NpZW5jZSwgQWFyaHVzIFVuaXZlcnNpdHksw4VyaHVzIEMsIERlbm1hcmssY2Fy
bG9zLmR1YXJ0ZUBrYXVzdC5lZHUuc2E8L2F1dGgtYWRkcmVzcz48dGl0bGVzPjx0aXRsZT5FeHBv
cnQgZnJvbSBTZWFncmFzcyBNZWFkb3dzIENvbnRyaWJ1dGVzIHRvIE1hcmluZSBDYXJib24gU2Vx
dWVzdHJhdGlvbjwvdGl0bGU+PHNlY29uZGFyeS10aXRsZT5Gcm9udGllcnMgaW4gTWFyaW5lIFNj
aWVuY2U8L3NlY29uZGFyeS10aXRsZT48c2hvcnQtdGl0bGU+RXhwb3J0IGZyb20gc2VhZ3Jhc3Mg
bWVhZG93cyBjb250cmlidXRlcyB0byBtYXJpbmUgY2FyYm9uIHNlcXVlc3RyYXRpb248L3Nob3J0
LXRpdGxlPjwvdGl0bGVzPjxwZXJpb2RpY2FsPjxmdWxsLXRpdGxlPkZyb250aWVycyBpbiBNYXJp
bmUgU2NpZW5jZTwvZnVsbC10aXRsZT48L3BlcmlvZGljYWw+PHZvbHVtZT40PC92b2x1bWU+PG51
bWJlcj4xMzwvbnVtYmVyPjxrZXl3b3Jkcz48a2V5d29yZD5zZWFncmFzcyxDYXJib24sZXhwb3J0
LEJsdWUgY2FyYm9uLGRlZXAgc2VhPC9rZXl3b3JkPjwva2V5d29yZHM+PGRhdGVzPjx5ZWFyPjIw
MTc8L3llYXI+PHB1Yi1kYXRlcz48ZGF0ZT4yMDE3LUphbnVhcnktMTc8L2RhdGU+PC9wdWItZGF0
ZXM+PC9kYXRlcz48aXNibj4yMjk2LTc3NDU8L2lzYm4+PHdvcmstdHlwZT5SZXZpZXc8L3dvcmst
dHlwZT48dXJscz48cmVsYXRlZC11cmxzPjx1cmw+aHR0cDovL2pvdXJuYWwuZnJvbnRpZXJzaW4u
b3JnL2FydGljbGUvMTAuMzM4OS9mbWFycy4yMDE3LjAwMDEzPC91cmw+PC9yZWxhdGVkLXVybHM+
PC91cmxzPjxlbGVjdHJvbmljLXJlc291cmNlLW51bT4xMC4zMzg5L2ZtYXJzLjIwMTcuMDAwMTM8
L2VsZWN0cm9uaWMtcmVzb3VyY2UtbnVtPjxsYW5ndWFnZT5FbmdsaXNoPC9sYW5ndWFnZT48L3Jl
Y29yZD48L0NpdGU+PC9FbmROb3RlPn==
</w:fldData>
        </w:fldChar>
      </w:r>
      <w:r w:rsidR="00305A14" w:rsidRPr="00D562E2">
        <w:rPr>
          <w:rFonts w:cs="Arial"/>
          <w:color w:val="000000" w:themeColor="text1"/>
          <w:szCs w:val="22"/>
        </w:rPr>
        <w:instrText xml:space="preserve"> ADDIN EN.CITE </w:instrText>
      </w:r>
      <w:r w:rsidR="00305A14" w:rsidRPr="00D562E2">
        <w:rPr>
          <w:rFonts w:cs="Arial"/>
          <w:color w:val="000000" w:themeColor="text1"/>
          <w:szCs w:val="22"/>
        </w:rPr>
        <w:fldChar w:fldCharType="begin">
          <w:fldData xml:space="preserve">PEVuZE5vdGU+PENpdGU+PEF1dGhvcj5Gb3VycXVyZWFuPC9BdXRob3I+PFllYXI+MjAxMjwvWWVh
cj48UmVjTnVtPjkxODY8L1JlY051bT48RGlzcGxheVRleHQ+Rm91cnF1cmVhbjxzdHlsZSBmYWNl
PSJpdGFsaWMiPiBldCBhbC48L3N0eWxlPiAyMDEyOyBVbnN3b3J0aDxzdHlsZSBmYWNlPSJpdGFs
aWMiPiBldCBhbC48L3N0eWxlPiAyMDEyYTsgRHVhcnRlIGFuZCBLcmF1c2UtSmVuc2VuIDIwMTc7
IE1hY3JlYWRpZTxzdHlsZSBmYWNlPSJpdGFsaWMiPiBldCBhbC48L3N0eWxlPiAyMDE3PC9EaXNw
bGF5VGV4dD48cmVjb3JkPjxyZWMtbnVtYmVyPjkxODY8L3JlYy1udW1iZXI+PGZvcmVpZ24ta2V5
cz48a2V5IGFwcD0iRU4iIGRiLWlkPSIwZXZlNTV4OXk1dmZkNmU5ZGFjeHRldzRlYXR2ZTJkemRz
OWEiIHRpbWVzdGFtcD0iMTM3NTAwMzcyMyI+OTE4Njwva2V5PjwvZm9yZWlnbi1rZXlzPjxyZWYt
dHlwZSBuYW1lPSJKb3VybmFsIEFydGljbGUiPjE3PC9yZWYtdHlwZT48Y29udHJpYnV0b3JzPjxh
dXRob3JzPjxhdXRob3I+Rm91cnF1cmVhbiwgSi4gVy48L2F1dGhvcj48YXV0aG9yPkR1YXJ0ZSwg
Qy4gTS48L2F1dGhvcj48YXV0aG9yPktlbm5lZHksIEguPC9hdXRob3I+PGF1dGhvcj5NYXJiYSwg
Ti48L2F1dGhvcj48YXV0aG9yPkhvbG1lciwgTS48L2F1dGhvcj48YXV0aG9yPk1hdGVvLCBNLiBB
LjwvYXV0aG9yPjxhdXRob3I+QXBvc3RvbGFraSwgRS4gVC48L2F1dGhvcj48YXV0aG9yPktlbmRy
aWNrLCBHLiBBLjwvYXV0aG9yPjxhdXRob3I+S3JhdXNlLUplbnNlbiwgRC48L2F1dGhvcj48YXV0
aG9yPk1jR2xhdGhlcnksIEsuIEouPC9hdXRob3I+PGF1dGhvcj5TZXJyYW5vLCBPLjwvYXV0aG9y
PjwvYXV0aG9ycz48L2NvbnRyaWJ1dG9ycz48dGl0bGVzPjx0aXRsZT5TZWFncmFzcyBlY29zeXN0
ZW1zIGFzIGEgZ2xvYmFsbHkgc2lnbmlmaWNhbnQgY2FyYm9uIHN0b2NrPC90aXRsZT48c2Vjb25k
YXJ5LXRpdGxlPk5hdHVyZSBHZW9zY2llbmNlPC9zZWNvbmRhcnktdGl0bGU+PC90aXRsZXM+PHBl
cmlvZGljYWw+PGZ1bGwtdGl0bGU+TmF0dXJlIEdlb3NjaWVuY2U8L2Z1bGwtdGl0bGU+PC9wZXJp
b2RpY2FsPjxwYWdlcz41MDUtNTA5PC9wYWdlcz48dm9sdW1lPjU8L3ZvbHVtZT48bnVtYmVyPjc8
L251bWJlcj48ZGF0ZXM+PHllYXI+MjAxMjwveWVhcj48cHViLWRhdGVzPjxkYXRlPkp1bDwvZGF0
ZT48L3B1Yi1kYXRlcz48L2RhdGVzPjxpc2JuPjE3NTItMDg5NDwvaXNibj48YWNjZXNzaW9uLW51
bT5XT1M6MDAwMzA3MDk4NDAwMDIyPC9hY2Nlc3Npb24tbnVtPjx1cmxzPjxyZWxhdGVkLXVybHM+
PHVybD4mbHQ7R28gdG8gSVNJJmd0OzovL1dPUzowMDAzMDcwOTg0MDAwMjI8L3VybD48L3JlbGF0
ZWQtdXJscz48L3VybHM+PGVsZWN0cm9uaWMtcmVzb3VyY2UtbnVtPjEwLjEwMzgvbmdlbzE0Nzc8
L2VsZWN0cm9uaWMtcmVzb3VyY2UtbnVtPjwvcmVjb3JkPjwvQ2l0ZT48Q2l0ZT48QXV0aG9yPlVu
c3dvcnRoPC9BdXRob3I+PFllYXI+MjAxMjwvWWVhcj48UmVjTnVtPjkzNTI8L1JlY051bT48cmVj
b3JkPjxyZWMtbnVtYmVyPjkzNTI8L3JlYy1udW1iZXI+PGZvcmVpZ24ta2V5cz48a2V5IGFwcD0i
RU4iIGRiLWlkPSIwZXZlNTV4OXk1dmZkNmU5ZGFjeHRldzRlYXR2ZTJkemRzOWEiIHRpbWVzdGFt
cD0iMTM3NTA1MjQ3OSI+OTM1Mjwva2V5PjwvZm9yZWlnbi1rZXlzPjxyZWYtdHlwZSBuYW1lPSJK
b3VybmFsIEFydGljbGUiPjE3PC9yZWYtdHlwZT48Y29udHJpYnV0b3JzPjxhdXRob3JzPjxhdXRo
b3I+VW5zd29ydGgsIFJpY2hhcmQgS0Y8L2F1dGhvcj48YXV0aG9yPkNvbGxpZXIsIENhdGhlcmlu
ZSBKPC9hdXRob3I+PGF1dGhvcj5IZW5kZXJzb24sIEdpZGVvbiBNPC9hdXRob3I+PGF1dGhvcj5N
Y0tlbnppZSwgTGVuIEo8L2F1dGhvcj48L2F1dGhvcnM+PC9jb250cmlidXRvcnM+PHRpdGxlcz48
dGl0bGU+VHJvcGljYWwgc2VhZ3Jhc3MgbWVhZG93cyBtb2RpZnkgc2Vhd2F0ZXIgY2FyYm9uIGNo
ZW1pc3RyeTogaW1wbGljYXRpb25zIGZvciBjb3JhbCByZWVmcyBpbXBhY3RlZCBieSBvY2VhbiBh
Y2lkaWZpY2F0aW9uPC90aXRsZT48c2Vjb25kYXJ5LXRpdGxlPkVudmlyb25tZW50YWwgUmVzZWFy
Y2ggTGV0dGVyczwvc2Vjb25kYXJ5LXRpdGxlPjwvdGl0bGVzPjxwZXJpb2RpY2FsPjxmdWxsLXRp
dGxlPkVudmlyb25tZW50YWwgUmVzZWFyY2ggTGV0dGVyczwvZnVsbC10aXRsZT48L3BlcmlvZGlj
YWw+PHBhZ2VzPjAyNDAyNjwvcGFnZXM+PHZvbHVtZT43PC92b2x1bWU+PG51bWJlcj4yPC9udW1i
ZXI+PGRhdGVzPjx5ZWFyPjIwMTI8L3llYXI+PC9kYXRlcz48aXNibj4xNzQ4LTkzMjY8L2lzYm4+
PHVybHM+PC91cmxzPjwvcmVjb3JkPjwvQ2l0ZT48Q2l0ZT48QXV0aG9yPk1hY3JlYWRpZTwvQXV0
aG9yPjxZZWFyPjIwMTc8L1llYXI+PFJlY051bT4xMTUyMjwvUmVjTnVtPjxyZWNvcmQ+PHJlYy1u
dW1iZXI+MTE1MjI8L3JlYy1udW1iZXI+PGZvcmVpZ24ta2V5cz48a2V5IGFwcD0iRU4iIGRiLWlk
PSIwZXZlNTV4OXk1dmZkNmU5ZGFjeHRldzRlYXR2ZTJkemRzOWEiIHRpbWVzdGFtcD0iMTUyODI0
NzMzNiI+MTE1MjI8L2tleT48L2ZvcmVpZ24ta2V5cz48cmVmLXR5cGUgbmFtZT0iSm91cm5hbCBB
cnRpY2xlIj4xNzwvcmVmLXR5cGU+PGNvbnRyaWJ1dG9ycz48YXV0aG9ycz48YXV0aG9yPk1hY3Jl
YWRpZSwgUGV0ZXIgSTwvYXV0aG9yPjxhdXRob3I+U2VycmFubywgT3NjYXI8L2F1dGhvcj48YXV0
aG9yPk1haGVyLCBEYW1pZW4gVDwvYXV0aG9yPjxhdXRob3I+RHVhcnRlLCBDYXJsb3MgTTwvYXV0
aG9yPjxhdXRob3I+QmVhcmRhbGwsIEpvaG48L2F1dGhvcj48L2F1dGhvcnM+PC9jb250cmlidXRv
cnM+PHRpdGxlcz48dGl0bGU+QWRkcmVzc2luZyBjYWxjaXVtIGNhcmJvbmF0ZSBjeWNsaW5nIGlu
IGJsdWUgY2FyYm9uIGFjY291bnRpbmc8L3RpdGxlPjxzZWNvbmRhcnktdGl0bGU+TGltbm9sb2d5
IGFuZCBPY2Vhbm9ncmFwaHkgTGV0dGVyczwvc2Vjb25kYXJ5LXRpdGxlPjwvdGl0bGVzPjxwZXJp
b2RpY2FsPjxmdWxsLXRpdGxlPkxpbW5vbG9neSBhbmQgT2NlYW5vZ3JhcGh5IExldHRlcnM8L2Z1
bGwtdGl0bGU+PC9wZXJpb2RpY2FsPjxwYWdlcz4xOTUtMjAxPC9wYWdlcz48dm9sdW1lPjI8L3Zv
bHVtZT48bnVtYmVyPjY8L251bWJlcj48ZGF0ZXM+PHllYXI+MjAxNzwveWVhcj48L2RhdGVzPjx1
cmxzPjxyZWxhdGVkLXVybHM+PHVybD5odHRwczovL2FzbG9wdWJzLm9ubGluZWxpYnJhcnkud2ls
ZXkuY29tL2RvaS9hYnMvMTAuMTAwMi9sb2wyLjEwMDUyPC91cmw+PC9yZWxhdGVkLXVybHM+PC91
cmxzPjxlbGVjdHJvbmljLXJlc291cmNlLW51bT5kb2k6MTAuMTAwMi9sb2wyLjEwMDUyPC9lbGVj
dHJvbmljLXJlc291cmNlLW51bT48L3JlY29yZD48L0NpdGU+PENpdGU+PEF1dGhvcj5EdWFydGU8
L0F1dGhvcj48WWVhcj4yMDE3PC9ZZWFyPjxSZWNOdW0+MTA5MTk8L1JlY051bT48cmVjb3JkPjxy
ZWMtbnVtYmVyPjEwOTE5PC9yZWMtbnVtYmVyPjxmb3JlaWduLWtleXM+PGtleSBhcHA9IkVOIiBk
Yi1pZD0iMGV2ZTU1eDl5NXZmZDZlOWRhY3h0ZXc0ZWF0dmUyZHpkczlhIiB0aW1lc3RhbXA9IjE0
ODg0OTE1NzYiPjEwOTE5PC9rZXk+PC9mb3JlaWduLWtleXM+PHJlZi10eXBlIG5hbWU9IkpvdXJu
YWwgQXJ0aWNsZSI+MTc8L3JlZi10eXBlPjxjb250cmlidXRvcnM+PGF1dGhvcnM+PGF1dGhvcj5E
dWFydGUsQ2FybG9zIE0uPC9hdXRob3I+PGF1dGhvcj5LcmF1c2UtSmVuc2VuLERvcnRlPC9hdXRo
b3I+PC9hdXRob3JzPjwvY29udHJpYnV0b3JzPjxhdXRoLWFkZHJlc3M+RHIgQ2FybG9zIE0uIER1
YXJ0ZSxSZWQgU2VhIFJlc2VhcmNoIENlbnRlciwgS2luZyBBYmR1bGxhaCBVbml2ZXJzaXR5IG9m
IFNjaWVuY2UgYW5kIFRlY2hub2xvZ3ksVGh1d2FsLCBTYXVkaSBBcmFiaWEsY2FybG9zLmR1YXJ0
ZUBrYXVzdC5lZHUuc2EmI3hEO0RyIENhcmxvcyBNLiBEdWFydGUsQXJjdGljIFJlc2VhcmNoIENl
bnRyZSwgQmlvc2NpZW5jZSwgQWFyaHVzIFVuaXZlcnNpdHksw4VyaHVzIEMsIERlbm1hcmssY2Fy
bG9zLmR1YXJ0ZUBrYXVzdC5lZHUuc2E8L2F1dGgtYWRkcmVzcz48dGl0bGVzPjx0aXRsZT5FeHBv
cnQgZnJvbSBTZWFncmFzcyBNZWFkb3dzIENvbnRyaWJ1dGVzIHRvIE1hcmluZSBDYXJib24gU2Vx
dWVzdHJhdGlvbjwvdGl0bGU+PHNlY29uZGFyeS10aXRsZT5Gcm9udGllcnMgaW4gTWFyaW5lIFNj
aWVuY2U8L3NlY29uZGFyeS10aXRsZT48c2hvcnQtdGl0bGU+RXhwb3J0IGZyb20gc2VhZ3Jhc3Mg
bWVhZG93cyBjb250cmlidXRlcyB0byBtYXJpbmUgY2FyYm9uIHNlcXVlc3RyYXRpb248L3Nob3J0
LXRpdGxlPjwvdGl0bGVzPjxwZXJpb2RpY2FsPjxmdWxsLXRpdGxlPkZyb250aWVycyBpbiBNYXJp
bmUgU2NpZW5jZTwvZnVsbC10aXRsZT48L3BlcmlvZGljYWw+PHZvbHVtZT40PC92b2x1bWU+PG51
bWJlcj4xMzwvbnVtYmVyPjxrZXl3b3Jkcz48a2V5d29yZD5zZWFncmFzcyxDYXJib24sZXhwb3J0
LEJsdWUgY2FyYm9uLGRlZXAgc2VhPC9rZXl3b3JkPjwva2V5d29yZHM+PGRhdGVzPjx5ZWFyPjIw
MTc8L3llYXI+PHB1Yi1kYXRlcz48ZGF0ZT4yMDE3LUphbnVhcnktMTc8L2RhdGU+PC9wdWItZGF0
ZXM+PC9kYXRlcz48aXNibj4yMjk2LTc3NDU8L2lzYm4+PHdvcmstdHlwZT5SZXZpZXc8L3dvcmst
dHlwZT48dXJscz48cmVsYXRlZC11cmxzPjx1cmw+aHR0cDovL2pvdXJuYWwuZnJvbnRpZXJzaW4u
b3JnL2FydGljbGUvMTAuMzM4OS9mbWFycy4yMDE3LjAwMDEzPC91cmw+PC9yZWxhdGVkLXVybHM+
PC91cmxzPjxlbGVjdHJvbmljLXJlc291cmNlLW51bT4xMC4zMzg5L2ZtYXJzLjIwMTcuMDAwMTM8
L2VsZWN0cm9uaWMtcmVzb3VyY2UtbnVtPjxsYW5ndWFnZT5FbmdsaXNoPC9sYW5ndWFnZT48L3Jl
Y29yZD48L0NpdGU+PC9FbmROb3RlPn==
</w:fldData>
        </w:fldChar>
      </w:r>
      <w:r w:rsidR="00305A14" w:rsidRPr="00D562E2">
        <w:rPr>
          <w:rFonts w:cs="Arial"/>
          <w:color w:val="000000" w:themeColor="text1"/>
          <w:szCs w:val="22"/>
        </w:rPr>
        <w:instrText xml:space="preserve"> ADDIN EN.CITE.DATA </w:instrText>
      </w:r>
      <w:r w:rsidR="00305A14" w:rsidRPr="00D562E2">
        <w:rPr>
          <w:rFonts w:cs="Arial"/>
          <w:color w:val="000000" w:themeColor="text1"/>
          <w:szCs w:val="22"/>
        </w:rPr>
      </w:r>
      <w:r w:rsidR="00305A14" w:rsidRPr="00D562E2">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59" w:tooltip="Fourqurean, 2012 #9186" w:history="1">
        <w:r w:rsidR="009A7AB4" w:rsidRPr="00D562E2">
          <w:rPr>
            <w:rFonts w:cs="Arial"/>
            <w:noProof/>
            <w:color w:val="000000" w:themeColor="text1"/>
            <w:szCs w:val="22"/>
          </w:rPr>
          <w:t>Fourqurean</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2012</w:t>
        </w:r>
      </w:hyperlink>
      <w:r w:rsidR="00305A14" w:rsidRPr="00D562E2">
        <w:rPr>
          <w:rFonts w:cs="Arial"/>
          <w:noProof/>
          <w:color w:val="000000" w:themeColor="text1"/>
          <w:szCs w:val="22"/>
        </w:rPr>
        <w:t xml:space="preserve">; </w:t>
      </w:r>
      <w:hyperlink w:anchor="_ENREF_144" w:tooltip="Unsworth, 2012 #9352" w:history="1">
        <w:r w:rsidR="009A7AB4" w:rsidRPr="00D562E2">
          <w:rPr>
            <w:rFonts w:cs="Arial"/>
            <w:noProof/>
            <w:color w:val="000000" w:themeColor="text1"/>
            <w:szCs w:val="22"/>
          </w:rPr>
          <w:t>Unsworth</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2012a</w:t>
        </w:r>
      </w:hyperlink>
      <w:r w:rsidR="00305A14" w:rsidRPr="00D562E2">
        <w:rPr>
          <w:rFonts w:cs="Arial"/>
          <w:noProof/>
          <w:color w:val="000000" w:themeColor="text1"/>
          <w:szCs w:val="22"/>
        </w:rPr>
        <w:t xml:space="preserve">; </w:t>
      </w:r>
      <w:hyperlink w:anchor="_ENREF_54" w:tooltip="Duarte, 2017 #10919" w:history="1">
        <w:r w:rsidR="009A7AB4" w:rsidRPr="00D562E2">
          <w:rPr>
            <w:rFonts w:cs="Arial"/>
            <w:noProof/>
            <w:color w:val="000000" w:themeColor="text1"/>
            <w:szCs w:val="22"/>
          </w:rPr>
          <w:t>Duarte and Krause-Jensen 2017</w:t>
        </w:r>
      </w:hyperlink>
      <w:r w:rsidR="00305A14" w:rsidRPr="00D562E2">
        <w:rPr>
          <w:rFonts w:cs="Arial"/>
          <w:noProof/>
          <w:color w:val="000000" w:themeColor="text1"/>
          <w:szCs w:val="22"/>
        </w:rPr>
        <w:t xml:space="preserve">; </w:t>
      </w:r>
      <w:hyperlink w:anchor="_ENREF_94" w:tooltip="Macreadie, 2017 #11522" w:history="1">
        <w:r w:rsidR="009A7AB4" w:rsidRPr="00D562E2">
          <w:rPr>
            <w:rFonts w:cs="Arial"/>
            <w:noProof/>
            <w:color w:val="000000" w:themeColor="text1"/>
            <w:szCs w:val="22"/>
          </w:rPr>
          <w:t>Macreadie</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2017</w:t>
        </w:r>
      </w:hyperlink>
      <w:r w:rsidRPr="00D562E2">
        <w:rPr>
          <w:rFonts w:cs="Arial"/>
          <w:color w:val="000000" w:themeColor="text1"/>
          <w:szCs w:val="22"/>
        </w:rPr>
        <w:fldChar w:fldCharType="end"/>
      </w:r>
      <w:r w:rsidRPr="00D562E2">
        <w:rPr>
          <w:rFonts w:cs="Arial"/>
          <w:color w:val="000000" w:themeColor="text1"/>
          <w:szCs w:val="22"/>
        </w:rPr>
        <w:t>).</w:t>
      </w:r>
      <w:r w:rsidR="00CD55F0" w:rsidRPr="00CD55F0">
        <w:rPr>
          <w:rFonts w:cs="Arial"/>
          <w:color w:val="000000" w:themeColor="text1"/>
          <w:szCs w:val="22"/>
          <w:lang w:eastAsia="en-AU"/>
        </w:rPr>
        <w:t xml:space="preserve"> </w:t>
      </w:r>
      <w:r w:rsidR="00CD55F0">
        <w:rPr>
          <w:rFonts w:cs="Arial"/>
          <w:color w:val="000000" w:themeColor="text1"/>
          <w:szCs w:val="22"/>
          <w:lang w:eastAsia="en-AU"/>
        </w:rPr>
        <w:t>I</w:t>
      </w:r>
      <w:r w:rsidR="00CD55F0" w:rsidRPr="00D562E2">
        <w:rPr>
          <w:rFonts w:cs="Arial"/>
          <w:color w:val="000000" w:themeColor="text1"/>
          <w:szCs w:val="22"/>
          <w:lang w:eastAsia="en-AU"/>
        </w:rPr>
        <w:t>nshore seagrass meadows</w:t>
      </w:r>
      <w:r w:rsidR="00CD5CDB">
        <w:rPr>
          <w:rFonts w:cs="Arial"/>
          <w:color w:val="000000" w:themeColor="text1"/>
          <w:szCs w:val="22"/>
          <w:lang w:eastAsia="en-AU"/>
        </w:rPr>
        <w:t>,</w:t>
      </w:r>
      <w:r w:rsidR="00CD55F0" w:rsidRPr="00D562E2">
        <w:rPr>
          <w:rFonts w:cs="Arial"/>
          <w:color w:val="000000" w:themeColor="text1"/>
          <w:szCs w:val="22"/>
          <w:lang w:eastAsia="en-AU"/>
        </w:rPr>
        <w:t xml:space="preserve"> </w:t>
      </w:r>
      <w:r w:rsidR="00CD5CDB">
        <w:rPr>
          <w:rFonts w:cs="Arial"/>
          <w:color w:val="000000" w:themeColor="text1"/>
          <w:szCs w:val="22"/>
          <w:lang w:eastAsia="en-AU"/>
        </w:rPr>
        <w:t xml:space="preserve">which are the focus of this monitoring program, </w:t>
      </w:r>
      <w:r w:rsidR="00CD55F0" w:rsidRPr="00D562E2">
        <w:rPr>
          <w:rFonts w:cs="Arial"/>
          <w:color w:val="000000" w:themeColor="text1"/>
          <w:szCs w:val="22"/>
          <w:lang w:eastAsia="en-AU"/>
        </w:rPr>
        <w:t>represent only 10</w:t>
      </w:r>
      <w:r w:rsidR="003C311A">
        <w:rPr>
          <w:rFonts w:cs="Arial"/>
          <w:color w:val="000000" w:themeColor="text1"/>
          <w:szCs w:val="22"/>
          <w:lang w:eastAsia="en-AU"/>
        </w:rPr>
        <w:t xml:space="preserve">% </w:t>
      </w:r>
      <w:r w:rsidR="00CD55F0" w:rsidRPr="00D562E2">
        <w:rPr>
          <w:rFonts w:cs="Arial"/>
          <w:color w:val="000000" w:themeColor="text1"/>
          <w:szCs w:val="22"/>
          <w:lang w:eastAsia="en-AU"/>
        </w:rPr>
        <w:t>of the total seagrass area estimated within the World Heritage Area (</w:t>
      </w:r>
      <w:hyperlink w:anchor="_ENREF_112" w:tooltip="McKenzie, 2010 #9646" w:history="1">
        <w:r w:rsidR="009A7AB4" w:rsidRPr="00D562E2">
          <w:rPr>
            <w:rFonts w:cs="Arial"/>
            <w:color w:val="000000" w:themeColor="text1"/>
            <w:szCs w:val="22"/>
            <w:lang w:eastAsia="en-AU"/>
          </w:rPr>
          <w:fldChar w:fldCharType="begin"/>
        </w:r>
        <w:r w:rsidR="009A7AB4" w:rsidRPr="00D562E2">
          <w:rPr>
            <w:rFonts w:cs="Arial"/>
            <w:color w:val="000000" w:themeColor="text1"/>
            <w:szCs w:val="22"/>
            <w:lang w:eastAsia="en-AU"/>
          </w:rPr>
          <w:instrText xml:space="preserve"> ADDIN EN.CITE &lt;EndNote&gt;&lt;Cite&gt;&lt;Author&gt;McKenzie&lt;/Author&gt;&lt;Year&gt;2010&lt;/Year&gt;&lt;RecNum&gt;9646&lt;/RecNum&gt;&lt;DisplayText&gt;McKenzie&lt;style face="italic"&gt; et al.&lt;/style&gt; 2010b&lt;/DisplayText&gt;&lt;record&gt;&lt;rec-number&gt;9646&lt;/rec-number&gt;&lt;foreign-keys&gt;&lt;key app="EN" db-id="0eve55x9y5vfd6e9dacxtew4eatve2dzds9a" timestamp="1390264521"&gt;9646&lt;/key&gt;&lt;/foreign-keys&gt;&lt;ref-type name="Book"&gt;6&lt;/ref-type&gt;&lt;contributors&gt;&lt;authors&gt;&lt;author&gt;McKenzie, Len J&lt;/author&gt;&lt;author&gt;Yoshida, Rudolf L&lt;/author&gt;&lt;author&gt;Grech, Alana&lt;/author&gt;&lt;author&gt;Coles, Robert &lt;/author&gt;&lt;/authors&gt;&lt;/contributors&gt;&lt;titles&gt;&lt;title&gt;Queensland seagrasses. Status 2010 - Torres Strait and East Coast&lt;/title&gt;&lt;/titles&gt;&lt;pages&gt;6&lt;/pages&gt;&lt;dates&gt;&lt;year&gt;2010&lt;/year&gt;&lt;/dates&gt;&lt;pub-location&gt;Cairns&lt;/pub-location&gt;&lt;publisher&gt;Fisheries Queensland (DEEDI)&lt;/publisher&gt;&lt;urls&gt;&lt;/urls&gt;&lt;/record&gt;&lt;/Cite&gt;&lt;/EndNote&gt;</w:instrText>
        </w:r>
        <w:r w:rsidR="009A7AB4" w:rsidRPr="00D562E2">
          <w:rPr>
            <w:rFonts w:cs="Arial"/>
            <w:color w:val="000000" w:themeColor="text1"/>
            <w:szCs w:val="22"/>
            <w:lang w:eastAsia="en-AU"/>
          </w:rPr>
          <w:fldChar w:fldCharType="separate"/>
        </w:r>
        <w:r w:rsidR="009A7AB4" w:rsidRPr="00D562E2">
          <w:rPr>
            <w:rFonts w:cs="Arial"/>
            <w:noProof/>
            <w:color w:val="000000" w:themeColor="text1"/>
            <w:szCs w:val="22"/>
            <w:lang w:eastAsia="en-AU"/>
          </w:rPr>
          <w:t>McKenzie</w:t>
        </w:r>
        <w:r w:rsidR="009A7AB4" w:rsidRPr="00D562E2">
          <w:rPr>
            <w:rFonts w:cs="Arial"/>
            <w:i/>
            <w:noProof/>
            <w:color w:val="000000" w:themeColor="text1"/>
            <w:szCs w:val="22"/>
            <w:lang w:eastAsia="en-AU"/>
          </w:rPr>
          <w:t xml:space="preserve"> et al.</w:t>
        </w:r>
        <w:r w:rsidR="009A7AB4" w:rsidRPr="00D562E2">
          <w:rPr>
            <w:rFonts w:cs="Arial"/>
            <w:noProof/>
            <w:color w:val="000000" w:themeColor="text1"/>
            <w:szCs w:val="22"/>
            <w:lang w:eastAsia="en-AU"/>
          </w:rPr>
          <w:t xml:space="preserve"> 2010b</w:t>
        </w:r>
        <w:r w:rsidR="009A7AB4" w:rsidRPr="00D562E2">
          <w:rPr>
            <w:rFonts w:cs="Arial"/>
            <w:color w:val="000000" w:themeColor="text1"/>
            <w:szCs w:val="22"/>
            <w:lang w:eastAsia="en-AU"/>
          </w:rPr>
          <w:fldChar w:fldCharType="end"/>
        </w:r>
      </w:hyperlink>
      <w:r w:rsidR="00CD55F0" w:rsidRPr="00D562E2">
        <w:rPr>
          <w:rFonts w:cs="Arial"/>
          <w:color w:val="000000" w:themeColor="text1"/>
          <w:szCs w:val="22"/>
          <w:lang w:eastAsia="en-AU"/>
        </w:rPr>
        <w:t>),</w:t>
      </w:r>
      <w:r w:rsidR="00CD55F0">
        <w:rPr>
          <w:rFonts w:cs="Arial"/>
          <w:color w:val="000000" w:themeColor="text1"/>
          <w:szCs w:val="22"/>
          <w:lang w:eastAsia="en-AU"/>
        </w:rPr>
        <w:t xml:space="preserve"> </w:t>
      </w:r>
      <w:r w:rsidR="00CD5CDB">
        <w:rPr>
          <w:rFonts w:cs="Arial"/>
          <w:color w:val="000000" w:themeColor="text1"/>
          <w:szCs w:val="22"/>
          <w:lang w:eastAsia="en-AU"/>
        </w:rPr>
        <w:t xml:space="preserve">but </w:t>
      </w:r>
      <w:r w:rsidR="00CD55F0">
        <w:rPr>
          <w:rFonts w:cs="Arial"/>
          <w:color w:val="000000" w:themeColor="text1"/>
          <w:szCs w:val="22"/>
          <w:lang w:eastAsia="en-AU"/>
        </w:rPr>
        <w:t xml:space="preserve">many of these services are more pronounced in the inshore meadows. </w:t>
      </w:r>
    </w:p>
    <w:p w14:paraId="3D3B3100" w14:textId="758EB552" w:rsidR="00E970EB" w:rsidRDefault="0034410E" w:rsidP="0034410E">
      <w:pPr>
        <w:rPr>
          <w:rFonts w:cs="Arial"/>
          <w:color w:val="000000" w:themeColor="text1"/>
          <w:szCs w:val="22"/>
        </w:rPr>
      </w:pPr>
      <w:r w:rsidRPr="00D562E2">
        <w:rPr>
          <w:rFonts w:cs="Arial"/>
          <w:color w:val="000000" w:themeColor="text1"/>
          <w:szCs w:val="22"/>
        </w:rPr>
        <w:t>Much of the connectivity in reef ecosystems depends on intact and healthy non-reef habitats, such as seagrass meadows (</w:t>
      </w:r>
      <w:hyperlink w:anchor="_ENREF_154" w:tooltip="Waycott, 2011 #9279" w:history="1">
        <w:r w:rsidR="009A7AB4" w:rsidRPr="00D562E2">
          <w:rPr>
            <w:rFonts w:cs="Arial"/>
            <w:color w:val="000000" w:themeColor="text1"/>
            <w:szCs w:val="22"/>
          </w:rPr>
          <w:fldChar w:fldCharType="begin"/>
        </w:r>
        <w:r w:rsidR="009A7AB4" w:rsidRPr="00D562E2">
          <w:rPr>
            <w:rFonts w:cs="Arial"/>
            <w:color w:val="000000" w:themeColor="text1"/>
            <w:szCs w:val="22"/>
          </w:rPr>
          <w:instrText xml:space="preserve"> ADDIN EN.CITE &lt;EndNote&gt;&lt;Cite&gt;&lt;Author&gt;Waycott&lt;/Author&gt;&lt;Year&gt;2011&lt;/Year&gt;&lt;RecNum&gt;9279&lt;/RecNum&gt;&lt;DisplayText&gt;Waycott&lt;style face="italic"&gt; et al.&lt;/style&gt; 2011&lt;/DisplayText&gt;&lt;record&gt;&lt;rec-number&gt;9279&lt;/rec-number&gt;&lt;foreign-keys&gt;&lt;key app="EN" db-id="0eve55x9y5vfd6e9dacxtew4eatve2dzds9a" timestamp="1375005080"&gt;9279&lt;/key&gt;&lt;/foreign-keys&gt;&lt;ref-type name="Book Section"&gt;5&lt;/ref-type&gt;&lt;contributors&gt;&lt;authors&gt;&lt;author&gt;Waycott, M.&lt;/author&gt;&lt;author&gt;McKenzie, Len J.&lt;/author&gt;&lt;author&gt;Mellors, J.E.&lt;/author&gt;&lt;author&gt;Ellison, J.C.&lt;/author&gt;&lt;author&gt;Sheaves, M.T.&lt;/author&gt;&lt;author&gt;Collier, C.&lt;/author&gt;&lt;author&gt;Schwarz, A-M.&lt;/author&gt;&lt;author&gt;Webb, A.&lt;/author&gt;&lt;author&gt;Johnson, J.&lt;/author&gt;&lt;author&gt;Payri, C.E.&lt;/author&gt;&lt;/authors&gt;&lt;secondary-authors&gt;&lt;author&gt;Bell, J.D.&lt;/author&gt;&lt;author&gt;Johnson, J.E.&lt;/author&gt;&lt;author&gt;Hobday, A.J.&lt;/author&gt;&lt;/secondary-authors&gt;&lt;/contributors&gt;&lt;titles&gt;&lt;title&gt;Vulnerability of mangroves, seagrasses and intertidal flats in the tropical Pacific to climate change&lt;/title&gt;&lt;secondary-title&gt;Vulnerability of fisheries and aquaculture in the Pacific to climate change&lt;/secondary-title&gt;&lt;/titles&gt;&lt;pages&gt;97-168&lt;/pages&gt;&lt;section&gt;6&lt;/section&gt;&lt;dates&gt;&lt;year&gt;2011&lt;/year&gt;&lt;/dates&gt;&lt;pub-location&gt;Noumea, New Caledonia&lt;/pub-location&gt;&lt;publisher&gt;Secretariat of the Pacific Community&lt;/publisher&gt;&lt;urls&gt;&lt;/urls&gt;&lt;/record&gt;&lt;/Cite&gt;&lt;/EndNote&gt;</w:instrText>
        </w:r>
        <w:r w:rsidR="009A7AB4" w:rsidRPr="00D562E2">
          <w:rPr>
            <w:rFonts w:cs="Arial"/>
            <w:color w:val="000000" w:themeColor="text1"/>
            <w:szCs w:val="22"/>
          </w:rPr>
          <w:fldChar w:fldCharType="separate"/>
        </w:r>
        <w:r w:rsidR="009A7AB4" w:rsidRPr="00D562E2">
          <w:rPr>
            <w:rFonts w:cs="Arial"/>
            <w:noProof/>
            <w:color w:val="000000" w:themeColor="text1"/>
            <w:szCs w:val="22"/>
          </w:rPr>
          <w:t>Waycott</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2011</w:t>
        </w:r>
        <w:r w:rsidR="009A7AB4" w:rsidRPr="00D562E2">
          <w:rPr>
            <w:rFonts w:cs="Arial"/>
            <w:color w:val="000000" w:themeColor="text1"/>
            <w:szCs w:val="22"/>
          </w:rPr>
          <w:fldChar w:fldCharType="end"/>
        </w:r>
      </w:hyperlink>
      <w:r w:rsidRPr="00D562E2">
        <w:rPr>
          <w:rFonts w:cs="Arial"/>
          <w:color w:val="000000" w:themeColor="text1"/>
          <w:szCs w:val="22"/>
        </w:rPr>
        <w:t xml:space="preserve">). These </w:t>
      </w:r>
      <w:r w:rsidRPr="00D562E2">
        <w:rPr>
          <w:rFonts w:cs="Arial"/>
          <w:color w:val="000000" w:themeColor="text1"/>
          <w:szCs w:val="22"/>
        </w:rPr>
        <w:lastRenderedPageBreak/>
        <w:t>non-reef habitats are particularly important to the maintenance and regeneration of populations of reef fish such as Emperor fish (</w:t>
      </w:r>
      <w:r w:rsidRPr="00D562E2">
        <w:rPr>
          <w:rFonts w:cs="Arial"/>
          <w:i/>
          <w:color w:val="000000" w:themeColor="text1"/>
          <w:szCs w:val="22"/>
        </w:rPr>
        <w:t>Lethrinus spp</w:t>
      </w:r>
      <w:r w:rsidRPr="00D562E2">
        <w:rPr>
          <w:rFonts w:cs="Arial"/>
          <w:color w:val="000000" w:themeColor="text1"/>
          <w:szCs w:val="22"/>
        </w:rPr>
        <w:t>) and Tuskfish (</w:t>
      </w:r>
      <w:r w:rsidRPr="00D562E2">
        <w:rPr>
          <w:rFonts w:cs="Arial"/>
          <w:i/>
          <w:color w:val="000000" w:themeColor="text1"/>
          <w:szCs w:val="22"/>
        </w:rPr>
        <w:t>Choerodon spp</w:t>
      </w:r>
      <w:r w:rsidRPr="00D562E2">
        <w:rPr>
          <w:rFonts w:cs="Arial"/>
          <w:color w:val="000000" w:themeColor="text1"/>
          <w:szCs w:val="22"/>
        </w:rPr>
        <w:t>) (</w:t>
      </w:r>
      <w:hyperlink w:anchor="_ENREF_43" w:tooltip="Cullen-Unsworth, 2014 #9996" w:history="1">
        <w:r w:rsidR="009A7AB4" w:rsidRPr="00D562E2">
          <w:rPr>
            <w:rFonts w:cs="Arial"/>
            <w:color w:val="000000" w:themeColor="text1"/>
            <w:szCs w:val="22"/>
          </w:rPr>
          <w:fldChar w:fldCharType="begin"/>
        </w:r>
        <w:r w:rsidR="009A7AB4" w:rsidRPr="00D562E2">
          <w:rPr>
            <w:rFonts w:cs="Arial"/>
            <w:color w:val="000000" w:themeColor="text1"/>
            <w:szCs w:val="22"/>
          </w:rPr>
          <w:instrText xml:space="preserve"> ADDIN EN.CITE &lt;EndNote&gt;&lt;Cite&gt;&lt;Author&gt;Cullen-Unsworth&lt;/Author&gt;&lt;Year&gt;2014&lt;/Year&gt;&lt;RecNum&gt;9996&lt;/RecNum&gt;&lt;DisplayText&gt;Cullen-Unsworth&lt;style face="italic"&gt; et al.&lt;/style&gt; 2014&lt;/DisplayText&gt;&lt;record&gt;&lt;rec-number&gt;9996&lt;/rec-number&gt;&lt;foreign-keys&gt;&lt;key app="EN" db-id="0eve55x9y5vfd6e9dacxtew4eatve2dzds9a" timestamp="1414622891"&gt;9996&lt;/key&gt;&lt;/foreign-keys&gt;&lt;ref-type name="Journal Article"&gt;17&lt;/ref-type&gt;&lt;contributors&gt;&lt;authors&gt;&lt;author&gt;Cullen-Unsworth, Leanne C.&lt;/author&gt;&lt;author&gt;Nordlund, Lina Mtwana&lt;/author&gt;&lt;author&gt;Paddock, Jessica&lt;/author&gt;&lt;author&gt;Baker, Susan&lt;/author&gt;&lt;author&gt;McKenzie, Len J.&lt;/author&gt;&lt;author&gt;Unsworth, Richard K. F.&lt;/author&gt;&lt;/authors&gt;&lt;/contributors&gt;&lt;titles&gt;&lt;title&gt;Seagrass meadows globally as a coupled social–ecological system: Implications for human wellbeing&lt;/title&gt;&lt;secondary-title&gt;Marine Pollution Bulletin&lt;/secondary-title&gt;&lt;/titles&gt;&lt;periodical&gt;&lt;full-title&gt;Marine Pollution Bulletin&lt;/full-title&gt;&lt;/periodical&gt;&lt;pages&gt;387-397&lt;/pages&gt;&lt;volume&gt;83&lt;/volume&gt;&lt;number&gt;2&lt;/number&gt;&lt;keywords&gt;&lt;keyword&gt;Ecosystem services&lt;/keyword&gt;&lt;keyword&gt;Human wellbeing&lt;/keyword&gt;&lt;keyword&gt;Seagrass meadows&lt;/keyword&gt;&lt;keyword&gt;Coupled social–ecological system&lt;/keyword&gt;&lt;keyword&gt;Ecological systems&lt;/keyword&gt;&lt;keyword&gt;Social processes&lt;/keyword&gt;&lt;/keywords&gt;&lt;dates&gt;&lt;year&gt;2014&lt;/year&gt;&lt;/dates&gt;&lt;isbn&gt;0025-326X&lt;/isbn&gt;&lt;urls&gt;&lt;related-urls&gt;&lt;url&gt;http://www.sciencedirect.com/science/article/pii/S0025326X13002919&lt;/url&gt;&lt;/related-urls&gt;&lt;/urls&gt;&lt;electronic-resource-num&gt;http://dx.doi.org/10.1016/j.marpolbul.2013.06.001&lt;/electronic-resource-num&gt;&lt;/record&gt;&lt;/Cite&gt;&lt;/EndNote&gt;</w:instrText>
        </w:r>
        <w:r w:rsidR="009A7AB4" w:rsidRPr="00D562E2">
          <w:rPr>
            <w:rFonts w:cs="Arial"/>
            <w:color w:val="000000" w:themeColor="text1"/>
            <w:szCs w:val="22"/>
          </w:rPr>
          <w:fldChar w:fldCharType="separate"/>
        </w:r>
        <w:r w:rsidR="009A7AB4" w:rsidRPr="00D562E2">
          <w:rPr>
            <w:rFonts w:cs="Arial"/>
            <w:noProof/>
            <w:color w:val="000000" w:themeColor="text1"/>
            <w:szCs w:val="22"/>
          </w:rPr>
          <w:t>Cullen-Unsworth</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2014</w:t>
        </w:r>
        <w:r w:rsidR="009A7AB4" w:rsidRPr="00D562E2">
          <w:rPr>
            <w:rFonts w:cs="Arial"/>
            <w:color w:val="000000" w:themeColor="text1"/>
            <w:szCs w:val="22"/>
          </w:rPr>
          <w:fldChar w:fldCharType="end"/>
        </w:r>
      </w:hyperlink>
      <w:r w:rsidRPr="00D562E2">
        <w:rPr>
          <w:rFonts w:cs="Arial"/>
          <w:color w:val="000000" w:themeColor="text1"/>
          <w:szCs w:val="22"/>
        </w:rPr>
        <w:t xml:space="preserve">). </w:t>
      </w:r>
    </w:p>
    <w:p w14:paraId="57C7A6DF" w14:textId="5C18693D" w:rsidR="0034410E" w:rsidRPr="00D562E2" w:rsidRDefault="0034410E" w:rsidP="0034410E">
      <w:pPr>
        <w:rPr>
          <w:rFonts w:cs="Arial"/>
          <w:color w:val="000000" w:themeColor="text1"/>
          <w:szCs w:val="22"/>
        </w:rPr>
      </w:pPr>
      <w:r w:rsidRPr="00D562E2">
        <w:rPr>
          <w:rFonts w:cs="Arial"/>
          <w:color w:val="000000" w:themeColor="text1"/>
          <w:szCs w:val="22"/>
        </w:rPr>
        <w:t xml:space="preserve">In addition, the incorporation of carbon within seagrass tissues can affect local pH and increase calcification of coral reefs, thereby mitigating </w:t>
      </w:r>
      <w:r w:rsidR="00E00239">
        <w:rPr>
          <w:rFonts w:cs="Arial"/>
          <w:color w:val="000000" w:themeColor="text1"/>
          <w:szCs w:val="22"/>
        </w:rPr>
        <w:t xml:space="preserve">some </w:t>
      </w:r>
      <w:r w:rsidRPr="00D562E2">
        <w:rPr>
          <w:rFonts w:cs="Arial"/>
          <w:color w:val="000000" w:themeColor="text1"/>
          <w:szCs w:val="22"/>
        </w:rPr>
        <w:t>effects of ocean acidification (</w:t>
      </w:r>
      <w:r w:rsidRPr="00D562E2">
        <w:rPr>
          <w:rFonts w:cs="Arial"/>
          <w:color w:val="000000" w:themeColor="text1"/>
          <w:szCs w:val="22"/>
        </w:rPr>
        <w:fldChar w:fldCharType="begin">
          <w:fldData xml:space="preserve">PEVuZE5vdGU+PENpdGU+PEF1dGhvcj5Gb3VycXVyZWFuPC9BdXRob3I+PFllYXI+MjAxMjwvWWVh
cj48UmVjTnVtPjkxODY8L1JlY051bT48RGlzcGxheVRleHQ+Rm91cnF1cmVhbjxzdHlsZSBmYWNl
PSJpdGFsaWMiPiBldCBhbC48L3N0eWxlPiAyMDEyOyBVbnN3b3J0aDxzdHlsZSBmYWNlPSJpdGFs
aWMiPiBldCBhbC48L3N0eWxlPiAyMDEyYTwvRGlzcGxheVRleHQ+PHJlY29yZD48cmVjLW51bWJl
cj45MTg2PC9yZWMtbnVtYmVyPjxmb3JlaWduLWtleXM+PGtleSBhcHA9IkVOIiBkYi1pZD0iMGV2
ZTU1eDl5NXZmZDZlOWRhY3h0ZXc0ZWF0dmUyZHpkczlhIiB0aW1lc3RhbXA9IjEzNzUwMDM3MjMi
PjkxODY8L2tleT48L2ZvcmVpZ24ta2V5cz48cmVmLXR5cGUgbmFtZT0iSm91cm5hbCBBcnRpY2xl
Ij4xNzwvcmVmLXR5cGU+PGNvbnRyaWJ1dG9ycz48YXV0aG9ycz48YXV0aG9yPkZvdXJxdXJlYW4s
IEouIFcuPC9hdXRob3I+PGF1dGhvcj5EdWFydGUsIEMuIE0uPC9hdXRob3I+PGF1dGhvcj5LZW5u
ZWR5LCBILjwvYXV0aG9yPjxhdXRob3I+TWFyYmEsIE4uPC9hdXRob3I+PGF1dGhvcj5Ib2xtZXIs
IE0uPC9hdXRob3I+PGF1dGhvcj5NYXRlbywgTS4gQS48L2F1dGhvcj48YXV0aG9yPkFwb3N0b2xh
a2ksIEUuIFQuPC9hdXRob3I+PGF1dGhvcj5LZW5kcmljaywgRy4gQS48L2F1dGhvcj48YXV0aG9y
PktyYXVzZS1KZW5zZW4sIEQuPC9hdXRob3I+PGF1dGhvcj5NY0dsYXRoZXJ5LCBLLiBKLjwvYXV0
aG9yPjxhdXRob3I+U2VycmFubywgTy48L2F1dGhvcj48L2F1dGhvcnM+PC9jb250cmlidXRvcnM+
PHRpdGxlcz48dGl0bGU+U2VhZ3Jhc3MgZWNvc3lzdGVtcyBhcyBhIGdsb2JhbGx5IHNpZ25pZmlj
YW50IGNhcmJvbiBzdG9jazwvdGl0bGU+PHNlY29uZGFyeS10aXRsZT5OYXR1cmUgR2Vvc2NpZW5j
ZTwvc2Vjb25kYXJ5LXRpdGxlPjwvdGl0bGVzPjxwZXJpb2RpY2FsPjxmdWxsLXRpdGxlPk5hdHVy
ZSBHZW9zY2llbmNlPC9mdWxsLXRpdGxlPjwvcGVyaW9kaWNhbD48cGFnZXM+NTA1LTUwOTwvcGFn
ZXM+PHZvbHVtZT41PC92b2x1bWU+PG51bWJlcj43PC9udW1iZXI+PGRhdGVzPjx5ZWFyPjIwMTI8
L3llYXI+PHB1Yi1kYXRlcz48ZGF0ZT5KdWw8L2RhdGU+PC9wdWItZGF0ZXM+PC9kYXRlcz48aXNi
bj4xNzUyLTA4OTQ8L2lzYm4+PGFjY2Vzc2lvbi1udW0+V09TOjAwMDMwNzA5ODQwMDAyMjwvYWNj
ZXNzaW9uLW51bT48dXJscz48cmVsYXRlZC11cmxzPjx1cmw+Jmx0O0dvIHRvIElTSSZndDs6Ly9X
T1M6MDAwMzA3MDk4NDAwMDIyPC91cmw+PC9yZWxhdGVkLXVybHM+PC91cmxzPjxlbGVjdHJvbmlj
LXJlc291cmNlLW51bT4xMC4xMDM4L25nZW8xNDc3PC9lbGVjdHJvbmljLXJlc291cmNlLW51bT48
L3JlY29yZD48L0NpdGU+PENpdGU+PEF1dGhvcj5VbnN3b3J0aDwvQXV0aG9yPjxZZWFyPjIwMTI8
L1llYXI+PFJlY051bT45MzUyPC9SZWNOdW0+PHJlY29yZD48cmVjLW51bWJlcj45MzUyPC9yZWMt
bnVtYmVyPjxmb3JlaWduLWtleXM+PGtleSBhcHA9IkVOIiBkYi1pZD0iMGV2ZTU1eDl5NXZmZDZl
OWRhY3h0ZXc0ZWF0dmUyZHpkczlhIiB0aW1lc3RhbXA9IjEzNzUwNTI0NzkiPjkzNTI8L2tleT48
L2ZvcmVpZ24ta2V5cz48cmVmLXR5cGUgbmFtZT0iSm91cm5hbCBBcnRpY2xlIj4xNzwvcmVmLXR5
cGU+PGNvbnRyaWJ1dG9ycz48YXV0aG9ycz48YXV0aG9yPlVuc3dvcnRoLCBSaWNoYXJkIEtGPC9h
dXRob3I+PGF1dGhvcj5Db2xsaWVyLCBDYXRoZXJpbmUgSjwvYXV0aG9yPjxhdXRob3I+SGVuZGVy
c29uLCBHaWRlb24gTTwvYXV0aG9yPjxhdXRob3I+TWNLZW56aWUsIExlbiBKPC9hdXRob3I+PC9h
dXRob3JzPjwvY29udHJpYnV0b3JzPjx0aXRsZXM+PHRpdGxlPlRyb3BpY2FsIHNlYWdyYXNzIG1l
YWRvd3MgbW9kaWZ5IHNlYXdhdGVyIGNhcmJvbiBjaGVtaXN0cnk6IGltcGxpY2F0aW9ucyBmb3Ig
Y29yYWwgcmVlZnMgaW1wYWN0ZWQgYnkgb2NlYW4gYWNpZGlmaWNhdGlvbjwvdGl0bGU+PHNlY29u
ZGFyeS10aXRsZT5FbnZpcm9ubWVudGFsIFJlc2VhcmNoIExldHRlcnM8L3NlY29uZGFyeS10aXRs
ZT48L3RpdGxlcz48cGVyaW9kaWNhbD48ZnVsbC10aXRsZT5FbnZpcm9ubWVudGFsIFJlc2VhcmNo
IExldHRlcnM8L2Z1bGwtdGl0bGU+PC9wZXJpb2RpY2FsPjxwYWdlcz4wMjQwMjY8L3BhZ2VzPjx2
b2x1bWU+Nzwvdm9sdW1lPjxudW1iZXI+MjwvbnVtYmVyPjxkYXRlcz48eWVhcj4yMDEyPC95ZWFy
PjwvZGF0ZXM+PGlzYm4+MTc0OC05MzI2PC9pc2JuPjx1cmxzPjwvdXJscz48L3JlY29yZD48L0Np
dGU+PC9FbmROb3RlPgB=
</w:fldData>
        </w:fldChar>
      </w:r>
      <w:r w:rsidR="00305A14" w:rsidRPr="00D562E2">
        <w:rPr>
          <w:rFonts w:cs="Arial"/>
          <w:color w:val="000000" w:themeColor="text1"/>
          <w:szCs w:val="22"/>
        </w:rPr>
        <w:instrText xml:space="preserve"> ADDIN EN.CITE </w:instrText>
      </w:r>
      <w:r w:rsidR="00305A14" w:rsidRPr="00D562E2">
        <w:rPr>
          <w:rFonts w:cs="Arial"/>
          <w:color w:val="000000" w:themeColor="text1"/>
          <w:szCs w:val="22"/>
        </w:rPr>
        <w:fldChar w:fldCharType="begin">
          <w:fldData xml:space="preserve">PEVuZE5vdGU+PENpdGU+PEF1dGhvcj5Gb3VycXVyZWFuPC9BdXRob3I+PFllYXI+MjAxMjwvWWVh
cj48UmVjTnVtPjkxODY8L1JlY051bT48RGlzcGxheVRleHQ+Rm91cnF1cmVhbjxzdHlsZSBmYWNl
PSJpdGFsaWMiPiBldCBhbC48L3N0eWxlPiAyMDEyOyBVbnN3b3J0aDxzdHlsZSBmYWNlPSJpdGFs
aWMiPiBldCBhbC48L3N0eWxlPiAyMDEyYTwvRGlzcGxheVRleHQ+PHJlY29yZD48cmVjLW51bWJl
cj45MTg2PC9yZWMtbnVtYmVyPjxmb3JlaWduLWtleXM+PGtleSBhcHA9IkVOIiBkYi1pZD0iMGV2
ZTU1eDl5NXZmZDZlOWRhY3h0ZXc0ZWF0dmUyZHpkczlhIiB0aW1lc3RhbXA9IjEzNzUwMDM3MjMi
PjkxODY8L2tleT48L2ZvcmVpZ24ta2V5cz48cmVmLXR5cGUgbmFtZT0iSm91cm5hbCBBcnRpY2xl
Ij4xNzwvcmVmLXR5cGU+PGNvbnRyaWJ1dG9ycz48YXV0aG9ycz48YXV0aG9yPkZvdXJxdXJlYW4s
IEouIFcuPC9hdXRob3I+PGF1dGhvcj5EdWFydGUsIEMuIE0uPC9hdXRob3I+PGF1dGhvcj5LZW5u
ZWR5LCBILjwvYXV0aG9yPjxhdXRob3I+TWFyYmEsIE4uPC9hdXRob3I+PGF1dGhvcj5Ib2xtZXIs
IE0uPC9hdXRob3I+PGF1dGhvcj5NYXRlbywgTS4gQS48L2F1dGhvcj48YXV0aG9yPkFwb3N0b2xh
a2ksIEUuIFQuPC9hdXRob3I+PGF1dGhvcj5LZW5kcmljaywgRy4gQS48L2F1dGhvcj48YXV0aG9y
PktyYXVzZS1KZW5zZW4sIEQuPC9hdXRob3I+PGF1dGhvcj5NY0dsYXRoZXJ5LCBLLiBKLjwvYXV0
aG9yPjxhdXRob3I+U2VycmFubywgTy48L2F1dGhvcj48L2F1dGhvcnM+PC9jb250cmlidXRvcnM+
PHRpdGxlcz48dGl0bGU+U2VhZ3Jhc3MgZWNvc3lzdGVtcyBhcyBhIGdsb2JhbGx5IHNpZ25pZmlj
YW50IGNhcmJvbiBzdG9jazwvdGl0bGU+PHNlY29uZGFyeS10aXRsZT5OYXR1cmUgR2Vvc2NpZW5j
ZTwvc2Vjb25kYXJ5LXRpdGxlPjwvdGl0bGVzPjxwZXJpb2RpY2FsPjxmdWxsLXRpdGxlPk5hdHVy
ZSBHZW9zY2llbmNlPC9mdWxsLXRpdGxlPjwvcGVyaW9kaWNhbD48cGFnZXM+NTA1LTUwOTwvcGFn
ZXM+PHZvbHVtZT41PC92b2x1bWU+PG51bWJlcj43PC9udW1iZXI+PGRhdGVzPjx5ZWFyPjIwMTI8
L3llYXI+PHB1Yi1kYXRlcz48ZGF0ZT5KdWw8L2RhdGU+PC9wdWItZGF0ZXM+PC9kYXRlcz48aXNi
bj4xNzUyLTA4OTQ8L2lzYm4+PGFjY2Vzc2lvbi1udW0+V09TOjAwMDMwNzA5ODQwMDAyMjwvYWNj
ZXNzaW9uLW51bT48dXJscz48cmVsYXRlZC11cmxzPjx1cmw+Jmx0O0dvIHRvIElTSSZndDs6Ly9X
T1M6MDAwMzA3MDk4NDAwMDIyPC91cmw+PC9yZWxhdGVkLXVybHM+PC91cmxzPjxlbGVjdHJvbmlj
LXJlc291cmNlLW51bT4xMC4xMDM4L25nZW8xNDc3PC9lbGVjdHJvbmljLXJlc291cmNlLW51bT48
L3JlY29yZD48L0NpdGU+PENpdGU+PEF1dGhvcj5VbnN3b3J0aDwvQXV0aG9yPjxZZWFyPjIwMTI8
L1llYXI+PFJlY051bT45MzUyPC9SZWNOdW0+PHJlY29yZD48cmVjLW51bWJlcj45MzUyPC9yZWMt
bnVtYmVyPjxmb3JlaWduLWtleXM+PGtleSBhcHA9IkVOIiBkYi1pZD0iMGV2ZTU1eDl5NXZmZDZl
OWRhY3h0ZXc0ZWF0dmUyZHpkczlhIiB0aW1lc3RhbXA9IjEzNzUwNTI0NzkiPjkzNTI8L2tleT48
L2ZvcmVpZ24ta2V5cz48cmVmLXR5cGUgbmFtZT0iSm91cm5hbCBBcnRpY2xlIj4xNzwvcmVmLXR5
cGU+PGNvbnRyaWJ1dG9ycz48YXV0aG9ycz48YXV0aG9yPlVuc3dvcnRoLCBSaWNoYXJkIEtGPC9h
dXRob3I+PGF1dGhvcj5Db2xsaWVyLCBDYXRoZXJpbmUgSjwvYXV0aG9yPjxhdXRob3I+SGVuZGVy
c29uLCBHaWRlb24gTTwvYXV0aG9yPjxhdXRob3I+TWNLZW56aWUsIExlbiBKPC9hdXRob3I+PC9h
dXRob3JzPjwvY29udHJpYnV0b3JzPjx0aXRsZXM+PHRpdGxlPlRyb3BpY2FsIHNlYWdyYXNzIG1l
YWRvd3MgbW9kaWZ5IHNlYXdhdGVyIGNhcmJvbiBjaGVtaXN0cnk6IGltcGxpY2F0aW9ucyBmb3Ig
Y29yYWwgcmVlZnMgaW1wYWN0ZWQgYnkgb2NlYW4gYWNpZGlmaWNhdGlvbjwvdGl0bGU+PHNlY29u
ZGFyeS10aXRsZT5FbnZpcm9ubWVudGFsIFJlc2VhcmNoIExldHRlcnM8L3NlY29uZGFyeS10aXRs
ZT48L3RpdGxlcz48cGVyaW9kaWNhbD48ZnVsbC10aXRsZT5FbnZpcm9ubWVudGFsIFJlc2VhcmNo
IExldHRlcnM8L2Z1bGwtdGl0bGU+PC9wZXJpb2RpY2FsPjxwYWdlcz4wMjQwMjY8L3BhZ2VzPjx2
b2x1bWU+Nzwvdm9sdW1lPjxudW1iZXI+MjwvbnVtYmVyPjxkYXRlcz48eWVhcj4yMDEyPC95ZWFy
PjwvZGF0ZXM+PGlzYm4+MTc0OC05MzI2PC9pc2JuPjx1cmxzPjwvdXJscz48L3JlY29yZD48L0Np
dGU+PC9FbmROb3RlPgB=
</w:fldData>
        </w:fldChar>
      </w:r>
      <w:r w:rsidR="00305A14" w:rsidRPr="00D562E2">
        <w:rPr>
          <w:rFonts w:cs="Arial"/>
          <w:color w:val="000000" w:themeColor="text1"/>
          <w:szCs w:val="22"/>
        </w:rPr>
        <w:instrText xml:space="preserve"> ADDIN EN.CITE.DATA </w:instrText>
      </w:r>
      <w:r w:rsidR="00305A14" w:rsidRPr="00D562E2">
        <w:rPr>
          <w:rFonts w:cs="Arial"/>
          <w:color w:val="000000" w:themeColor="text1"/>
          <w:szCs w:val="22"/>
        </w:rPr>
      </w:r>
      <w:r w:rsidR="00305A14" w:rsidRPr="00D562E2">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59" w:tooltip="Fourqurean, 2012 #9186" w:history="1">
        <w:r w:rsidR="009A7AB4" w:rsidRPr="00D562E2">
          <w:rPr>
            <w:rFonts w:cs="Arial"/>
            <w:noProof/>
            <w:color w:val="000000" w:themeColor="text1"/>
            <w:szCs w:val="22"/>
          </w:rPr>
          <w:t>Fourqurean</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2012</w:t>
        </w:r>
      </w:hyperlink>
      <w:r w:rsidR="00305A14" w:rsidRPr="00D562E2">
        <w:rPr>
          <w:rFonts w:cs="Arial"/>
          <w:noProof/>
          <w:color w:val="000000" w:themeColor="text1"/>
          <w:szCs w:val="22"/>
        </w:rPr>
        <w:t xml:space="preserve">; </w:t>
      </w:r>
      <w:hyperlink w:anchor="_ENREF_144" w:tooltip="Unsworth, 2012 #9352" w:history="1">
        <w:r w:rsidR="009A7AB4" w:rsidRPr="00D562E2">
          <w:rPr>
            <w:rFonts w:cs="Arial"/>
            <w:noProof/>
            <w:color w:val="000000" w:themeColor="text1"/>
            <w:szCs w:val="22"/>
          </w:rPr>
          <w:t>Unsworth</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2012a</w:t>
        </w:r>
      </w:hyperlink>
      <w:r w:rsidRPr="00D562E2">
        <w:rPr>
          <w:rFonts w:cs="Arial"/>
          <w:color w:val="000000" w:themeColor="text1"/>
          <w:szCs w:val="22"/>
        </w:rPr>
        <w:fldChar w:fldCharType="end"/>
      </w:r>
      <w:r w:rsidRPr="00D562E2">
        <w:rPr>
          <w:rFonts w:cs="Arial"/>
          <w:color w:val="000000" w:themeColor="text1"/>
          <w:szCs w:val="22"/>
        </w:rPr>
        <w:t>). Therefore, monitoring changes in seagrasses meadows not only provides an indication of coastal ecosystem health, but also improves our capacity to predict changes to resources upon which coastal communities depend (</w:t>
      </w:r>
      <w:hyperlink w:anchor="_ENREF_75" w:tooltip="Heck, 2008 #7826" w:history="1">
        <w:r w:rsidR="009A7AB4" w:rsidRPr="00D562E2">
          <w:rPr>
            <w:rFonts w:cs="Arial"/>
            <w:color w:val="000000" w:themeColor="text1"/>
            <w:szCs w:val="22"/>
          </w:rPr>
          <w:fldChar w:fldCharType="begin">
            <w:fldData xml:space="preserve">PEVuZE5vdGU+PENpdGU+PEF1dGhvcj5IZWNrPC9BdXRob3I+PFllYXI+MjAwODwvWWVhcj48UmVj
TnVtPjc4MjY8L1JlY051bT48RGlzcGxheVRleHQ+SGVjazxzdHlsZSBmYWNlPSJpdGFsaWMiPiBl
dCBhbC48L3N0eWxlPiAyMDA4PC9EaXNwbGF5VGV4dD48cmVjb3JkPjxyZWMtbnVtYmVyPjc4MjY8
L3JlYy1udW1iZXI+PGZvcmVpZ24ta2V5cz48a2V5IGFwcD0iRU4iIGRiLWlkPSIwZXZlNTV4OXk1
dmZkNmU5ZGFjeHRldzRlYXR2ZTJkemRzOWEiIHRpbWVzdGFtcD0iMCI+NzgyNjwva2V5PjwvZm9y
ZWlnbi1rZXlzPjxyZWYtdHlwZSBuYW1lPSJKb3VybmFsIEFydGljbGUiPjE3PC9yZWYtdHlwZT48
Y29udHJpYnV0b3JzPjxhdXRob3JzPjxhdXRob3I+SGVjaywgS2VubmV0aCBMIEpyPC9hdXRob3I+
PGF1dGhvcj5DYXJydXRoZXJzLCBUaW0gSiBCPC9hdXRob3I+PGF1dGhvcj5EdWFydGUsICBDYXJs
b3MgTTwvYXV0aG9yPjxhdXRob3I+SHVnaGVzLCAgQSBSYW5kYWxsPC9hdXRob3I+PGF1dGhvcj5L
ZW5kcmljaywgR2FyeTwvYXV0aG9yPjxhdXRob3I+T3J0aCwgUm9iZXJ0IEo8L2F1dGhvcj48YXV0
aG9yPldpbGxpYW1zLCAgU3VzYW4gVzwvYXV0aG9yPjwvYXV0aG9ycz48L2NvbnRyaWJ1dG9ycz48
YXV0aC1hZGRyZXNzPltIZWNrLCBLZW5uZXRoIEwuLCBKci5dIERhdXBoaW4gSXNsIFNlYSBMYWIs
IERhdXBoaW4gSXNsLCBBTCAzNjUyOCBVU0EuIFtIZWNrLCBLZW5uZXRoIEwuLCBKci5dIFVuaXYg
UyBBbGFiYW1hLCBEYXVwaGluIElzbCwgQUwgMzY1MjggVVNBLiBbQ2FycnV0aGVycywgVGltIEou
IEIuXSBVbml2IE1hcnlsYW5kLCBDdHIgRW52aXJvbm0gU2NpLCBJbnRlZ3JhdCAmYW1wOyBBcHBs
aWNhdCBOZXR3b3JrLCBDYW1icmlkZ2UsIE1EIDIxNjEzIFVTQS4gW0R1YXJ0ZSwgQ2FybG9zIE0u
XSBVbml2IElsbGVzIEJhbGVhcnMsIENTSUMsIElNRURFQSwgSW5zdCBNZWRpdGVycmFuZW8gRXN0
dWRpb3MgQXZhbnphZG9zLCBFc3BvcmxlcyAwNzE5MCwgSXNsYXMgQmFsZWFyZXMsIFNwYWluLiBb
SHVnaGVzLCBBLiBSYW5kYWxsOyBXaWxsaWFtcywgU3VzYW4gVy5dIFVuaXYgQ2FsaWYgQm9kZWdh
LCBCb2RlZ2EgTWFyaW5lIExhYiwgQm9kZWdhIEJheSwgQ0EgOTQ5MjMgVVNBLiBbS2VuZHJpY2ss
IEdhcnldIFVuaXYgV2VzdGVybiBBdXN0cmFsaWEsIFNjaCBQbGFudCBCaW9sLCBDcmF3bGV5LCBX
QSA2MDA5LCBBdXN0cmFsaWEuIFtPcnRoLCBSb2JlcnQgSi5dIFZpcmdpbmlhIEluc3QgTWFyaW5l
IFNjaSwgQ29sbCBXaWxsaWFtICZhbXA7IE1hcnksIEdsb3VjZXN0ZXIgUG9pbnQsIFZBIDIzMDYy
IFVTQS4mI3hEO0hlY2ssIEtMLCBEYXVwaGluIElzbCBTZWEgTGFiLCAxMDEgQmllbnZpbGxlIEJs
dmQsIERhdXBoaW4gSXNsLCBBTCAzNjUyOCBVU0EuJiN4RDtraGVja0BkaXNsLm9yZzwvYXV0aC1h
ZGRyZXNzPjx0aXRsZXM+PHRpdGxlPlRyb3BoaWMgdHJhbnNmZXJzIGZyb20gc2VhZ3Jhc3MgbWVh
ZG93cyBzdWJzaWRpemUgZGl2ZXJzZSBtYXJpbmUgYW5kIHRlcnJlc3RyaWFsIGNvbnN1bWVyczwv
dGl0bGU+PHNlY29uZGFyeS10aXRsZT5FY29zeXN0ZW1zPC9zZWNvbmRhcnktdGl0bGU+PGFsdC10
aXRsZT5FY29zeXN0ZW1zPC9hbHQtdGl0bGU+PC90aXRsZXM+PHBlcmlvZGljYWw+PGZ1bGwtdGl0
bGU+RWNvc3lzdGVtczwvZnVsbC10aXRsZT48L3BlcmlvZGljYWw+PGFsdC1wZXJpb2RpY2FsPjxm
dWxsLXRpdGxlPkVjb3N5c3RlbXM8L2Z1bGwtdGl0bGU+PC9hbHQtcGVyaW9kaWNhbD48cGFnZXM+
MTE5OC0xMjEwPC9wYWdlcz48dm9sdW1lPjExPC92b2x1bWU+PG51bWJlcj43PC9udW1iZXI+PGtl
eXdvcmRzPjxrZXl3b3JkPnNlYWdyYXNzPC9rZXl3b3JkPjxrZXl3b3JkPmNvbm5lY3Rpdml0eTwv
a2V5d29yZD48a2V5d29yZD50cm9waGljIHN1YnNpZHk8L2tleXdvcmQ+PGtleXdvcmQ+Y29uc3Vt
ZXJzPC9rZXl3b3JkPjxrZXl3b3JkPkpVVkVOSUxFIFJFRUYgRklTSDwva2V5d29yZD48a2V5d29y
ZD5QT1NJRE9OSUEtT0NFQU5JQ0E8L2tleXdvcmQ+PGtleXdvcmQ+QkVBQ0gtQ0FTVDwva2V5d29y
ZD48a2V5d29yZD5GT09ELVdFQjwva2V5d29yZD48a2V5d29yZD5ERVRBQ0hFRDwva2V5d29yZD48
a2V5d29yZD5NQUNST1BIWVRFUzwva2V5d29yZD48a2V5d29yZD5ERUxUQS1DLTEzIEVWSURFTkNF
PC9rZXl3b3JkPjxrZXl3b3JkPkNPQVNUQUwgRUNPU1lTVEVNUzwva2V5d29yZD48a2V5d29yZD5E
UklGVCBWRUdFVEFUSU9OPC9rZXl3b3JkPjxrZXl3b3JkPlNBTFQtTUFSU0hFUzwva2V5d29yZD48
a2V5d29yZD5SRVNPVVJDRSBVU0U8L2tleXdvcmQ+PC9rZXl3b3Jkcz48ZGF0ZXM+PHllYXI+MjAw
ODwveWVhcj48L2RhdGVzPjxpc2JuPjE0MzItOTg0MDwvaXNibj48d29yay10eXBlPnJldmlldzwv
d29yay10eXBlPjx1cmxzPjwvdXJscz48ZWxlY3Ryb25pYy1yZXNvdXJjZS1udW0+PHN0eWxlIGZh
Y2U9InVuZGVybGluZSIgZm9udD0iZGVmYXVsdCIgc2l6ZT0iMTAwJSI+MTAuMTAwNy9zMTAwMjEt
MDA4LTkxNTUteTwvc3R5bGU+PC9lbGVjdHJvbmljLXJlc291cmNlLW51bT48L3JlY29yZD48L0Np
dGU+PC9FbmROb3RlPn==
</w:fldData>
          </w:fldChar>
        </w:r>
        <w:r w:rsidR="009A7AB4" w:rsidRPr="00D562E2">
          <w:rPr>
            <w:rFonts w:cs="Arial"/>
            <w:color w:val="000000" w:themeColor="text1"/>
            <w:szCs w:val="22"/>
          </w:rPr>
          <w:instrText xml:space="preserve"> ADDIN EN.CITE </w:instrText>
        </w:r>
        <w:r w:rsidR="009A7AB4" w:rsidRPr="00D562E2">
          <w:rPr>
            <w:rFonts w:cs="Arial"/>
            <w:color w:val="000000" w:themeColor="text1"/>
            <w:szCs w:val="22"/>
          </w:rPr>
          <w:fldChar w:fldCharType="begin">
            <w:fldData xml:space="preserve">PEVuZE5vdGU+PENpdGU+PEF1dGhvcj5IZWNrPC9BdXRob3I+PFllYXI+MjAwODwvWWVhcj48UmVj
TnVtPjc4MjY8L1JlY051bT48RGlzcGxheVRleHQ+SGVjazxzdHlsZSBmYWNlPSJpdGFsaWMiPiBl
dCBhbC48L3N0eWxlPiAyMDA4PC9EaXNwbGF5VGV4dD48cmVjb3JkPjxyZWMtbnVtYmVyPjc4MjY8
L3JlYy1udW1iZXI+PGZvcmVpZ24ta2V5cz48a2V5IGFwcD0iRU4iIGRiLWlkPSIwZXZlNTV4OXk1
dmZkNmU5ZGFjeHRldzRlYXR2ZTJkemRzOWEiIHRpbWVzdGFtcD0iMCI+NzgyNjwva2V5PjwvZm9y
ZWlnbi1rZXlzPjxyZWYtdHlwZSBuYW1lPSJKb3VybmFsIEFydGljbGUiPjE3PC9yZWYtdHlwZT48
Y29udHJpYnV0b3JzPjxhdXRob3JzPjxhdXRob3I+SGVjaywgS2VubmV0aCBMIEpyPC9hdXRob3I+
PGF1dGhvcj5DYXJydXRoZXJzLCBUaW0gSiBCPC9hdXRob3I+PGF1dGhvcj5EdWFydGUsICBDYXJs
b3MgTTwvYXV0aG9yPjxhdXRob3I+SHVnaGVzLCAgQSBSYW5kYWxsPC9hdXRob3I+PGF1dGhvcj5L
ZW5kcmljaywgR2FyeTwvYXV0aG9yPjxhdXRob3I+T3J0aCwgUm9iZXJ0IEo8L2F1dGhvcj48YXV0
aG9yPldpbGxpYW1zLCAgU3VzYW4gVzwvYXV0aG9yPjwvYXV0aG9ycz48L2NvbnRyaWJ1dG9ycz48
YXV0aC1hZGRyZXNzPltIZWNrLCBLZW5uZXRoIEwuLCBKci5dIERhdXBoaW4gSXNsIFNlYSBMYWIs
IERhdXBoaW4gSXNsLCBBTCAzNjUyOCBVU0EuIFtIZWNrLCBLZW5uZXRoIEwuLCBKci5dIFVuaXYg
UyBBbGFiYW1hLCBEYXVwaGluIElzbCwgQUwgMzY1MjggVVNBLiBbQ2FycnV0aGVycywgVGltIEou
IEIuXSBVbml2IE1hcnlsYW5kLCBDdHIgRW52aXJvbm0gU2NpLCBJbnRlZ3JhdCAmYW1wOyBBcHBs
aWNhdCBOZXR3b3JrLCBDYW1icmlkZ2UsIE1EIDIxNjEzIFVTQS4gW0R1YXJ0ZSwgQ2FybG9zIE0u
XSBVbml2IElsbGVzIEJhbGVhcnMsIENTSUMsIElNRURFQSwgSW5zdCBNZWRpdGVycmFuZW8gRXN0
dWRpb3MgQXZhbnphZG9zLCBFc3BvcmxlcyAwNzE5MCwgSXNsYXMgQmFsZWFyZXMsIFNwYWluLiBb
SHVnaGVzLCBBLiBSYW5kYWxsOyBXaWxsaWFtcywgU3VzYW4gVy5dIFVuaXYgQ2FsaWYgQm9kZWdh
LCBCb2RlZ2EgTWFyaW5lIExhYiwgQm9kZWdhIEJheSwgQ0EgOTQ5MjMgVVNBLiBbS2VuZHJpY2ss
IEdhcnldIFVuaXYgV2VzdGVybiBBdXN0cmFsaWEsIFNjaCBQbGFudCBCaW9sLCBDcmF3bGV5LCBX
QSA2MDA5LCBBdXN0cmFsaWEuIFtPcnRoLCBSb2JlcnQgSi5dIFZpcmdpbmlhIEluc3QgTWFyaW5l
IFNjaSwgQ29sbCBXaWxsaWFtICZhbXA7IE1hcnksIEdsb3VjZXN0ZXIgUG9pbnQsIFZBIDIzMDYy
IFVTQS4mI3hEO0hlY2ssIEtMLCBEYXVwaGluIElzbCBTZWEgTGFiLCAxMDEgQmllbnZpbGxlIEJs
dmQsIERhdXBoaW4gSXNsLCBBTCAzNjUyOCBVU0EuJiN4RDtraGVja0BkaXNsLm9yZzwvYXV0aC1h
ZGRyZXNzPjx0aXRsZXM+PHRpdGxlPlRyb3BoaWMgdHJhbnNmZXJzIGZyb20gc2VhZ3Jhc3MgbWVh
ZG93cyBzdWJzaWRpemUgZGl2ZXJzZSBtYXJpbmUgYW5kIHRlcnJlc3RyaWFsIGNvbnN1bWVyczwv
dGl0bGU+PHNlY29uZGFyeS10aXRsZT5FY29zeXN0ZW1zPC9zZWNvbmRhcnktdGl0bGU+PGFsdC10
aXRsZT5FY29zeXN0ZW1zPC9hbHQtdGl0bGU+PC90aXRsZXM+PHBlcmlvZGljYWw+PGZ1bGwtdGl0
bGU+RWNvc3lzdGVtczwvZnVsbC10aXRsZT48L3BlcmlvZGljYWw+PGFsdC1wZXJpb2RpY2FsPjxm
dWxsLXRpdGxlPkVjb3N5c3RlbXM8L2Z1bGwtdGl0bGU+PC9hbHQtcGVyaW9kaWNhbD48cGFnZXM+
MTE5OC0xMjEwPC9wYWdlcz48dm9sdW1lPjExPC92b2x1bWU+PG51bWJlcj43PC9udW1iZXI+PGtl
eXdvcmRzPjxrZXl3b3JkPnNlYWdyYXNzPC9rZXl3b3JkPjxrZXl3b3JkPmNvbm5lY3Rpdml0eTwv
a2V5d29yZD48a2V5d29yZD50cm9waGljIHN1YnNpZHk8L2tleXdvcmQ+PGtleXdvcmQ+Y29uc3Vt
ZXJzPC9rZXl3b3JkPjxrZXl3b3JkPkpVVkVOSUxFIFJFRUYgRklTSDwva2V5d29yZD48a2V5d29y
ZD5QT1NJRE9OSUEtT0NFQU5JQ0E8L2tleXdvcmQ+PGtleXdvcmQ+QkVBQ0gtQ0FTVDwva2V5d29y
ZD48a2V5d29yZD5GT09ELVdFQjwva2V5d29yZD48a2V5d29yZD5ERVRBQ0hFRDwva2V5d29yZD48
a2V5d29yZD5NQUNST1BIWVRFUzwva2V5d29yZD48a2V5d29yZD5ERUxUQS1DLTEzIEVWSURFTkNF
PC9rZXl3b3JkPjxrZXl3b3JkPkNPQVNUQUwgRUNPU1lTVEVNUzwva2V5d29yZD48a2V5d29yZD5E
UklGVCBWRUdFVEFUSU9OPC9rZXl3b3JkPjxrZXl3b3JkPlNBTFQtTUFSU0hFUzwva2V5d29yZD48
a2V5d29yZD5SRVNPVVJDRSBVU0U8L2tleXdvcmQ+PC9rZXl3b3Jkcz48ZGF0ZXM+PHllYXI+MjAw
ODwveWVhcj48L2RhdGVzPjxpc2JuPjE0MzItOTg0MDwvaXNibj48d29yay10eXBlPnJldmlldzwv
d29yay10eXBlPjx1cmxzPjwvdXJscz48ZWxlY3Ryb25pYy1yZXNvdXJjZS1udW0+PHN0eWxlIGZh
Y2U9InVuZGVybGluZSIgZm9udD0iZGVmYXVsdCIgc2l6ZT0iMTAwJSI+MTAuMTAwNy9zMTAwMjEt
MDA4LTkxNTUteTwvc3R5bGU+PC9lbGVjdHJvbmljLXJlc291cmNlLW51bT48L3JlY29yZD48L0Np
dGU+PC9FbmROb3RlPn==
</w:fldData>
          </w:fldChar>
        </w:r>
        <w:r w:rsidR="009A7AB4" w:rsidRPr="00D562E2">
          <w:rPr>
            <w:rFonts w:cs="Arial"/>
            <w:color w:val="000000" w:themeColor="text1"/>
            <w:szCs w:val="22"/>
          </w:rPr>
          <w:instrText xml:space="preserve"> ADDIN EN.CITE.DATA </w:instrText>
        </w:r>
        <w:r w:rsidR="009A7AB4" w:rsidRPr="00D562E2">
          <w:rPr>
            <w:rFonts w:cs="Arial"/>
            <w:color w:val="000000" w:themeColor="text1"/>
            <w:szCs w:val="22"/>
          </w:rPr>
        </w:r>
        <w:r w:rsidR="009A7AB4" w:rsidRPr="00D562E2">
          <w:rPr>
            <w:rFonts w:cs="Arial"/>
            <w:color w:val="000000" w:themeColor="text1"/>
            <w:szCs w:val="22"/>
          </w:rPr>
          <w:fldChar w:fldCharType="end"/>
        </w:r>
        <w:r w:rsidR="009A7AB4" w:rsidRPr="00D562E2">
          <w:rPr>
            <w:rFonts w:cs="Arial"/>
            <w:color w:val="000000" w:themeColor="text1"/>
            <w:szCs w:val="22"/>
          </w:rPr>
        </w:r>
        <w:r w:rsidR="009A7AB4" w:rsidRPr="00D562E2">
          <w:rPr>
            <w:rFonts w:cs="Arial"/>
            <w:color w:val="000000" w:themeColor="text1"/>
            <w:szCs w:val="22"/>
          </w:rPr>
          <w:fldChar w:fldCharType="separate"/>
        </w:r>
        <w:r w:rsidR="009A7AB4" w:rsidRPr="00D562E2">
          <w:rPr>
            <w:rFonts w:cs="Arial"/>
            <w:noProof/>
            <w:color w:val="000000" w:themeColor="text1"/>
            <w:szCs w:val="22"/>
          </w:rPr>
          <w:t>Heck</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2008</w:t>
        </w:r>
        <w:r w:rsidR="009A7AB4" w:rsidRPr="00D562E2">
          <w:rPr>
            <w:rFonts w:cs="Arial"/>
            <w:color w:val="000000" w:themeColor="text1"/>
            <w:szCs w:val="22"/>
          </w:rPr>
          <w:fldChar w:fldCharType="end"/>
        </w:r>
      </w:hyperlink>
      <w:r w:rsidRPr="00D562E2">
        <w:rPr>
          <w:rFonts w:cs="Arial"/>
          <w:color w:val="000000" w:themeColor="text1"/>
          <w:szCs w:val="22"/>
        </w:rPr>
        <w:t>).</w:t>
      </w:r>
    </w:p>
    <w:p w14:paraId="21598BF6" w14:textId="44F298E2" w:rsidR="0034410E" w:rsidRPr="00D562E2" w:rsidRDefault="0034410E" w:rsidP="000C571A">
      <w:pPr>
        <w:autoSpaceDE w:val="0"/>
        <w:autoSpaceDN w:val="0"/>
        <w:adjustRightInd w:val="0"/>
        <w:spacing w:before="0" w:after="0"/>
        <w:rPr>
          <w:rFonts w:cs="Arial"/>
          <w:color w:val="000000" w:themeColor="text1"/>
          <w:szCs w:val="22"/>
        </w:rPr>
      </w:pPr>
      <w:r w:rsidRPr="00D562E2">
        <w:rPr>
          <w:rFonts w:cs="Arial"/>
          <w:color w:val="000000" w:themeColor="text1"/>
          <w:szCs w:val="22"/>
        </w:rPr>
        <w:t xml:space="preserve">Chronic declines in inshore water quality in the Reef since European settlement have </w:t>
      </w:r>
      <w:r w:rsidR="00E970EB">
        <w:rPr>
          <w:rFonts w:cs="Arial"/>
          <w:color w:val="000000" w:themeColor="text1"/>
          <w:szCs w:val="22"/>
        </w:rPr>
        <w:t>contributed</w:t>
      </w:r>
      <w:r w:rsidR="00E970EB" w:rsidRPr="00D562E2">
        <w:rPr>
          <w:rFonts w:cs="Arial"/>
          <w:color w:val="000000" w:themeColor="text1"/>
          <w:szCs w:val="22"/>
        </w:rPr>
        <w:t xml:space="preserve"> </w:t>
      </w:r>
      <w:r w:rsidRPr="00D562E2">
        <w:rPr>
          <w:rFonts w:cs="Arial"/>
          <w:color w:val="000000" w:themeColor="text1"/>
          <w:szCs w:val="22"/>
        </w:rPr>
        <w:t xml:space="preserve">to major ecological shifts in </w:t>
      </w:r>
      <w:r w:rsidR="009D690B">
        <w:rPr>
          <w:rFonts w:cs="Arial"/>
          <w:color w:val="000000" w:themeColor="text1"/>
          <w:szCs w:val="22"/>
        </w:rPr>
        <w:t>a few</w:t>
      </w:r>
      <w:r w:rsidR="00E970EB" w:rsidRPr="00D562E2">
        <w:rPr>
          <w:rFonts w:cs="Arial"/>
          <w:color w:val="000000" w:themeColor="text1"/>
          <w:szCs w:val="22"/>
        </w:rPr>
        <w:t xml:space="preserve"> </w:t>
      </w:r>
      <w:r w:rsidR="003158FC" w:rsidRPr="00D562E2">
        <w:rPr>
          <w:rFonts w:cs="Arial"/>
          <w:color w:val="000000" w:themeColor="text1"/>
          <w:szCs w:val="22"/>
        </w:rPr>
        <w:t>Reef</w:t>
      </w:r>
      <w:r w:rsidRPr="00D562E2">
        <w:rPr>
          <w:rFonts w:cs="Arial"/>
          <w:color w:val="000000" w:themeColor="text1"/>
          <w:szCs w:val="22"/>
        </w:rPr>
        <w:t xml:space="preserve"> marine ecosystems (</w:t>
      </w:r>
      <w:r w:rsidRPr="00D562E2">
        <w:rPr>
          <w:rFonts w:cs="Arial"/>
          <w:color w:val="000000" w:themeColor="text1"/>
          <w:szCs w:val="22"/>
        </w:rPr>
        <w:fldChar w:fldCharType="begin">
          <w:fldData xml:space="preserve">PEVuZE5vdGU+PENpdGU+PEF1dGhvcj5EZSZhcG9zO2F0aDwvQXV0aG9yPjxZZWFyPjIwMTA8L1ll
YXI+PFJlY051bT4xMDQ4NTwvUmVjTnVtPjxEaXNwbGF5VGV4dD5EZSZhcG9zO2F0aCBhbmQgRmFi
cmljaXVzIDIwMTA7IFJvZmY8c3R5bGUgZmFjZT0iaXRhbGljIj4gZXQgYWwuPC9zdHlsZT4gMjAx
MzwvRGlzcGxheVRleHQ+PHJlY29yZD48cmVjLW51bWJlcj4xMDQ4NTwvcmVjLW51bWJlcj48Zm9y
ZWlnbi1rZXlzPjxrZXkgYXBwPSJFTiIgZGItaWQ9IjBldmU1NXg5eTV2ZmQ2ZTlkYWN4dGV3NGVh
dHZlMmR6ZHM5YSIgdGltZXN0YW1wPSIxNDU0NTQ5ODc2Ij4xMDQ4NTwva2V5PjwvZm9yZWlnbi1r
ZXlzPjxyZWYtdHlwZSBuYW1lPSJKb3VybmFsIEFydGljbGUiPjE3PC9yZWYtdHlwZT48Y29udHJp
YnV0b3JzPjxhdXRob3JzPjxhdXRob3I+RGUmYXBvczthdGgsIEdsZW5uPC9hdXRob3I+PGF1dGhv
cj5GYWJyaWNpdXMsIEthdGhhcmluYTwvYXV0aG9yPjwvYXV0aG9ycz48L2NvbnRyaWJ1dG9ycz48
dGl0bGVzPjx0aXRsZT5XYXRlciBxdWFsaXR5IGFzIGEgcmVnaW9uYWwgZHJpdmVyIG9mIGNvcmFs
IGJpb2RpdmVyc2l0eSBhbmQgbWFjcm9hbGdhZSBvbiB0aGUgR3JlYXQgQmFycmllciBSZWVmPC90
aXRsZT48c2Vjb25kYXJ5LXRpdGxlPkVjb2xvZ2ljYWwgQXBwbGljYXRpb25zPC9zZWNvbmRhcnkt
dGl0bGU+PC90aXRsZXM+PHBlcmlvZGljYWw+PGZ1bGwtdGl0bGU+RWNvbG9naWNhbCBBcHBsaWNh
dGlvbnM8L2Z1bGwtdGl0bGU+PC9wZXJpb2RpY2FsPjxwYWdlcz44NDAtODUwPC9wYWdlcz48dm9s
dW1lPjIwPC92b2x1bWU+PG51bWJlcj4zPC9udW1iZXI+PGtleXdvcmRzPjxrZXl3b3JkPmJpb2Rp
dmVyc2l0eTwva2V5d29yZD48a2V5d29yZD5ib29zdGVkIHJlZ3Jlc3Npb24gdHJlZXM8L2tleXdv
cmQ+PGtleXdvcmQ+Y2hsb3JvcGh5bGw8L2tleXdvcmQ+PGtleXdvcmQ+Y29yYWwgcmVlZnM8L2tl
eXdvcmQ+PGtleXdvcmQ+R3JlYXQgQmFycmllciBSZWVmPC9rZXl3b3JkPjxrZXl3b3JkPkF1c3Ry
YWxpYTwva2V5d29yZD48a2V5d29yZD5ndWlkZWxpbmVzPC9rZXl3b3JkPjxrZXl3b3JkPmhhcmQg
Y29yYWw8L2tleXdvcmQ+PGtleXdvcmQ+bWFjcm9hbGdhZTwva2V5d29yZD48a2V5d29yZD5vY3Rv
Y29yYWxzPC9rZXl3b3JkPjxrZXl3b3JkPndhdGVyIGNsYXJpdHk8L2tleXdvcmQ+PGtleXdvcmQ+
d2F0ZXIgcXVhbGl0eTwva2V5d29yZD48L2tleXdvcmRzPjxkYXRlcz48eWVhcj4yMDEwPC95ZWFy
PjwvZGF0ZXM+PHB1Ymxpc2hlcj5FY29sb2dpY2FsIFNvY2lldHkgb2YgQW1lcmljYTwvcHVibGlz
aGVyPjxpc2JuPjE5MzktNTU4MjwvaXNibj48dXJscz48cmVsYXRlZC11cmxzPjx1cmw+aHR0cDov
L2R4LmRvaS5vcmcvMTAuMTg5MC8wOC0yMDIzLjE8L3VybD48L3JlbGF0ZWQtdXJscz48L3VybHM+
PGVsZWN0cm9uaWMtcmVzb3VyY2UtbnVtPjEwLjE4OTAvMDgtMjAyMy4xPC9lbGVjdHJvbmljLXJl
c291cmNlLW51bT48L3JlY29yZD48L0NpdGU+PENpdGU+PEF1dGhvcj5Sb2ZmPC9BdXRob3I+PFll
YXI+MjAxMzwvWWVhcj48UmVjTnVtPjEwNTgzPC9SZWNOdW0+PHJlY29yZD48cmVjLW51bWJlcj4x
MDU4MzwvcmVjLW51bWJlcj48Zm9yZWlnbi1rZXlzPjxrZXkgYXBwPSJFTiIgZGItaWQ9IjBldmU1
NXg5eTV2ZmQ2ZTlkYWN4dGV3NGVhdHZlMmR6ZHM5YSIgdGltZXN0YW1wPSIxNDU4MzUzMjIzIj4x
MDU4Mzwva2V5PjwvZm9yZWlnbi1rZXlzPjxyZWYtdHlwZSBuYW1lPSJKb3VybmFsIEFydGljbGUi
PjE3PC9yZWYtdHlwZT48Y29udHJpYnV0b3JzPjxhdXRob3JzPjxhdXRob3I+Um9mZiwgR2Vvcmdl
PC9hdXRob3I+PGF1dGhvcj5DbGFyaywgVGFyYSBSLjwvYXV0aG9yPjxhdXRob3I+UmV5bW9uZCwg
Q2xhaXJlIEUuPC9hdXRob3I+PGF1dGhvcj5aaGFvLCBKaWFuLXhpbjwvYXV0aG9yPjxhdXRob3I+
RmVuZywgWXVleGluZzwvYXV0aG9yPjxhdXRob3I+TWNDb29rLCBMYXVyZW5jZSBKLjwvYXV0aG9y
PjxhdXRob3I+RG9uZSwgVGVyZW5jZSBKLjwvYXV0aG9yPjxhdXRob3I+UGFuZG9sZmksIEpvaG4g
TS48L2F1dGhvcj48L2F1dGhvcnM+PC9jb250cmlidXRvcnM+PHRpdGxlcz48dGl0bGU+UGFsYWVv
ZWNvbG9naWNhbCBldmlkZW5jZSBvZiBhIGhpc3RvcmljYWwgY29sbGFwc2Ugb2YgY29yYWxzIGF0
IFBlbG9ydXMgSXNsYW5kLCBpbnNob3JlIEdyZWF0IEJhcnJpZXIgUmVlZiwgZm9sbG93aW5nIEV1
cm9wZWFuIHNldHRsZW1lbnQ8L3RpdGxlPjxzZWNvbmRhcnktdGl0bGU+UHJvY2VlZGluZ3Mgb2Yg
dGhlIFJveWFsIFNvY2lldHkgb2YgTG9uZG9uIEI6IEJpb2xvZ2ljYWwgU2NpZW5jZXM8L3NlY29u
ZGFyeS10aXRsZT48L3RpdGxlcz48cGVyaW9kaWNhbD48ZnVsbC10aXRsZT5Qcm9jZWVkaW5ncyBv
ZiB0aGUgUm95YWwgU29jaWV0eSBvZiBMb25kb24gQjogQmlvbG9naWNhbCBTY2llbmNlczwvZnVs
bC10aXRsZT48L3BlcmlvZGljYWw+PHZvbHVtZT4yODA8L3ZvbHVtZT48bnVtYmVyPjE3NTA8L251
bWJlcj48ZGF0ZXM+PHllYXI+MjAxMzwveWVhcj48cHViLWRhdGVzPjxkYXRlPjIwMTMtMDEtMDcg
MDA6MDA6MDA8L2RhdGU+PC9wdWItZGF0ZXM+PC9kYXRlcz48dXJscz48cmVsYXRlZC11cmxzPjx1
cmw+aHR0cDovL3JzcGIucm95YWxzb2NpZXR5cHVibGlzaGluZy5vcmcvY29udGVudC9yb3lwcnNi
LzI4MC8xNzUwLzIwMTIyMTAwLmZ1bGwucGRmPC91cmw+PC9yZWxhdGVkLXVybHM+PC91cmxzPjxl
bGVjdHJvbmljLXJlc291cmNlLW51bT4xMC4xMDk4L3JzcGIuMjAxMi4yMTAwPC9lbGVjdHJvbmlj
LXJlc291cmNlLW51bT48L3JlY29yZD48L0NpdGU+PC9FbmROb3RlPgB=
</w:fldData>
        </w:fldChar>
      </w:r>
      <w:r w:rsidRPr="00D562E2">
        <w:rPr>
          <w:rFonts w:cs="Arial"/>
          <w:color w:val="000000" w:themeColor="text1"/>
          <w:szCs w:val="22"/>
        </w:rPr>
        <w:instrText xml:space="preserve"> ADDIN EN.CITE </w:instrText>
      </w:r>
      <w:r w:rsidRPr="00D562E2">
        <w:rPr>
          <w:rFonts w:cs="Arial"/>
          <w:color w:val="000000" w:themeColor="text1"/>
          <w:szCs w:val="22"/>
        </w:rPr>
        <w:fldChar w:fldCharType="begin">
          <w:fldData xml:space="preserve">PEVuZE5vdGU+PENpdGU+PEF1dGhvcj5EZSZhcG9zO2F0aDwvQXV0aG9yPjxZZWFyPjIwMTA8L1ll
YXI+PFJlY051bT4xMDQ4NTwvUmVjTnVtPjxEaXNwbGF5VGV4dD5EZSZhcG9zO2F0aCBhbmQgRmFi
cmljaXVzIDIwMTA7IFJvZmY8c3R5bGUgZmFjZT0iaXRhbGljIj4gZXQgYWwuPC9zdHlsZT4gMjAx
MzwvRGlzcGxheVRleHQ+PHJlY29yZD48cmVjLW51bWJlcj4xMDQ4NTwvcmVjLW51bWJlcj48Zm9y
ZWlnbi1rZXlzPjxrZXkgYXBwPSJFTiIgZGItaWQ9IjBldmU1NXg5eTV2ZmQ2ZTlkYWN4dGV3NGVh
dHZlMmR6ZHM5YSIgdGltZXN0YW1wPSIxNDU0NTQ5ODc2Ij4xMDQ4NTwva2V5PjwvZm9yZWlnbi1r
ZXlzPjxyZWYtdHlwZSBuYW1lPSJKb3VybmFsIEFydGljbGUiPjE3PC9yZWYtdHlwZT48Y29udHJp
YnV0b3JzPjxhdXRob3JzPjxhdXRob3I+RGUmYXBvczthdGgsIEdsZW5uPC9hdXRob3I+PGF1dGhv
cj5GYWJyaWNpdXMsIEthdGhhcmluYTwvYXV0aG9yPjwvYXV0aG9ycz48L2NvbnRyaWJ1dG9ycz48
dGl0bGVzPjx0aXRsZT5XYXRlciBxdWFsaXR5IGFzIGEgcmVnaW9uYWwgZHJpdmVyIG9mIGNvcmFs
IGJpb2RpdmVyc2l0eSBhbmQgbWFjcm9hbGdhZSBvbiB0aGUgR3JlYXQgQmFycmllciBSZWVmPC90
aXRsZT48c2Vjb25kYXJ5LXRpdGxlPkVjb2xvZ2ljYWwgQXBwbGljYXRpb25zPC9zZWNvbmRhcnkt
dGl0bGU+PC90aXRsZXM+PHBlcmlvZGljYWw+PGZ1bGwtdGl0bGU+RWNvbG9naWNhbCBBcHBsaWNh
dGlvbnM8L2Z1bGwtdGl0bGU+PC9wZXJpb2RpY2FsPjxwYWdlcz44NDAtODUwPC9wYWdlcz48dm9s
dW1lPjIwPC92b2x1bWU+PG51bWJlcj4zPC9udW1iZXI+PGtleXdvcmRzPjxrZXl3b3JkPmJpb2Rp
dmVyc2l0eTwva2V5d29yZD48a2V5d29yZD5ib29zdGVkIHJlZ3Jlc3Npb24gdHJlZXM8L2tleXdv
cmQ+PGtleXdvcmQ+Y2hsb3JvcGh5bGw8L2tleXdvcmQ+PGtleXdvcmQ+Y29yYWwgcmVlZnM8L2tl
eXdvcmQ+PGtleXdvcmQ+R3JlYXQgQmFycmllciBSZWVmPC9rZXl3b3JkPjxrZXl3b3JkPkF1c3Ry
YWxpYTwva2V5d29yZD48a2V5d29yZD5ndWlkZWxpbmVzPC9rZXl3b3JkPjxrZXl3b3JkPmhhcmQg
Y29yYWw8L2tleXdvcmQ+PGtleXdvcmQ+bWFjcm9hbGdhZTwva2V5d29yZD48a2V5d29yZD5vY3Rv
Y29yYWxzPC9rZXl3b3JkPjxrZXl3b3JkPndhdGVyIGNsYXJpdHk8L2tleXdvcmQ+PGtleXdvcmQ+
d2F0ZXIgcXVhbGl0eTwva2V5d29yZD48L2tleXdvcmRzPjxkYXRlcz48eWVhcj4yMDEwPC95ZWFy
PjwvZGF0ZXM+PHB1Ymxpc2hlcj5FY29sb2dpY2FsIFNvY2lldHkgb2YgQW1lcmljYTwvcHVibGlz
aGVyPjxpc2JuPjE5MzktNTU4MjwvaXNibj48dXJscz48cmVsYXRlZC11cmxzPjx1cmw+aHR0cDov
L2R4LmRvaS5vcmcvMTAuMTg5MC8wOC0yMDIzLjE8L3VybD48L3JlbGF0ZWQtdXJscz48L3VybHM+
PGVsZWN0cm9uaWMtcmVzb3VyY2UtbnVtPjEwLjE4OTAvMDgtMjAyMy4xPC9lbGVjdHJvbmljLXJl
c291cmNlLW51bT48L3JlY29yZD48L0NpdGU+PENpdGU+PEF1dGhvcj5Sb2ZmPC9BdXRob3I+PFll
YXI+MjAxMzwvWWVhcj48UmVjTnVtPjEwNTgzPC9SZWNOdW0+PHJlY29yZD48cmVjLW51bWJlcj4x
MDU4MzwvcmVjLW51bWJlcj48Zm9yZWlnbi1rZXlzPjxrZXkgYXBwPSJFTiIgZGItaWQ9IjBldmU1
NXg5eTV2ZmQ2ZTlkYWN4dGV3NGVhdHZlMmR6ZHM5YSIgdGltZXN0YW1wPSIxNDU4MzUzMjIzIj4x
MDU4Mzwva2V5PjwvZm9yZWlnbi1rZXlzPjxyZWYtdHlwZSBuYW1lPSJKb3VybmFsIEFydGljbGUi
PjE3PC9yZWYtdHlwZT48Y29udHJpYnV0b3JzPjxhdXRob3JzPjxhdXRob3I+Um9mZiwgR2Vvcmdl
PC9hdXRob3I+PGF1dGhvcj5DbGFyaywgVGFyYSBSLjwvYXV0aG9yPjxhdXRob3I+UmV5bW9uZCwg
Q2xhaXJlIEUuPC9hdXRob3I+PGF1dGhvcj5aaGFvLCBKaWFuLXhpbjwvYXV0aG9yPjxhdXRob3I+
RmVuZywgWXVleGluZzwvYXV0aG9yPjxhdXRob3I+TWNDb29rLCBMYXVyZW5jZSBKLjwvYXV0aG9y
PjxhdXRob3I+RG9uZSwgVGVyZW5jZSBKLjwvYXV0aG9yPjxhdXRob3I+UGFuZG9sZmksIEpvaG4g
TS48L2F1dGhvcj48L2F1dGhvcnM+PC9jb250cmlidXRvcnM+PHRpdGxlcz48dGl0bGU+UGFsYWVv
ZWNvbG9naWNhbCBldmlkZW5jZSBvZiBhIGhpc3RvcmljYWwgY29sbGFwc2Ugb2YgY29yYWxzIGF0
IFBlbG9ydXMgSXNsYW5kLCBpbnNob3JlIEdyZWF0IEJhcnJpZXIgUmVlZiwgZm9sbG93aW5nIEV1
cm9wZWFuIHNldHRsZW1lbnQ8L3RpdGxlPjxzZWNvbmRhcnktdGl0bGU+UHJvY2VlZGluZ3Mgb2Yg
dGhlIFJveWFsIFNvY2lldHkgb2YgTG9uZG9uIEI6IEJpb2xvZ2ljYWwgU2NpZW5jZXM8L3NlY29u
ZGFyeS10aXRsZT48L3RpdGxlcz48cGVyaW9kaWNhbD48ZnVsbC10aXRsZT5Qcm9jZWVkaW5ncyBv
ZiB0aGUgUm95YWwgU29jaWV0eSBvZiBMb25kb24gQjogQmlvbG9naWNhbCBTY2llbmNlczwvZnVs
bC10aXRsZT48L3BlcmlvZGljYWw+PHZvbHVtZT4yODA8L3ZvbHVtZT48bnVtYmVyPjE3NTA8L251
bWJlcj48ZGF0ZXM+PHllYXI+MjAxMzwveWVhcj48cHViLWRhdGVzPjxkYXRlPjIwMTMtMDEtMDcg
MDA6MDA6MDA8L2RhdGU+PC9wdWItZGF0ZXM+PC9kYXRlcz48dXJscz48cmVsYXRlZC11cmxzPjx1
cmw+aHR0cDovL3JzcGIucm95YWxzb2NpZXR5cHVibGlzaGluZy5vcmcvY29udGVudC9yb3lwcnNi
LzI4MC8xNzUwLzIwMTIyMTAwLmZ1bGwucGRmPC91cmw+PC9yZWxhdGVkLXVybHM+PC91cmxzPjxl
bGVjdHJvbmljLXJlc291cmNlLW51bT4xMC4xMDk4L3JzcGIuMjAxMi4yMTAwPC9lbGVjdHJvbmlj
LXJlc291cmNlLW51bT48L3JlY29yZD48L0NpdGU+PC9FbmROb3RlPgB=
</w:fldData>
        </w:fldChar>
      </w:r>
      <w:r w:rsidRPr="00D562E2">
        <w:rPr>
          <w:rFonts w:cs="Arial"/>
          <w:color w:val="000000" w:themeColor="text1"/>
          <w:szCs w:val="22"/>
        </w:rPr>
        <w:instrText xml:space="preserve"> ADDIN EN.CITE.DATA </w:instrText>
      </w:r>
      <w:r w:rsidRPr="00D562E2">
        <w:rPr>
          <w:rFonts w:cs="Arial"/>
          <w:color w:val="000000" w:themeColor="text1"/>
          <w:szCs w:val="22"/>
        </w:rPr>
      </w:r>
      <w:r w:rsidRPr="00D562E2">
        <w:rPr>
          <w:rFonts w:cs="Arial"/>
          <w:color w:val="000000" w:themeColor="text1"/>
          <w:szCs w:val="22"/>
        </w:rPr>
        <w:fldChar w:fldCharType="end"/>
      </w:r>
      <w:r w:rsidRPr="00D562E2">
        <w:rPr>
          <w:rFonts w:cs="Arial"/>
          <w:color w:val="000000" w:themeColor="text1"/>
          <w:szCs w:val="22"/>
        </w:rPr>
      </w:r>
      <w:r w:rsidRPr="00D562E2">
        <w:rPr>
          <w:rFonts w:cs="Arial"/>
          <w:color w:val="000000" w:themeColor="text1"/>
          <w:szCs w:val="22"/>
        </w:rPr>
        <w:fldChar w:fldCharType="separate"/>
      </w:r>
      <w:hyperlink w:anchor="_ENREF_44" w:tooltip="De'ath, 2010 #10485" w:history="1">
        <w:r w:rsidR="009A7AB4" w:rsidRPr="00D562E2">
          <w:rPr>
            <w:rFonts w:cs="Arial"/>
            <w:noProof/>
            <w:color w:val="000000" w:themeColor="text1"/>
            <w:szCs w:val="22"/>
          </w:rPr>
          <w:t>De'ath and Fabricius 2010</w:t>
        </w:r>
      </w:hyperlink>
      <w:r w:rsidRPr="00D562E2">
        <w:rPr>
          <w:rFonts w:cs="Arial"/>
          <w:noProof/>
          <w:color w:val="000000" w:themeColor="text1"/>
          <w:szCs w:val="22"/>
        </w:rPr>
        <w:t xml:space="preserve">; </w:t>
      </w:r>
      <w:hyperlink w:anchor="_ENREF_135" w:tooltip="Roff, 2013 #10583" w:history="1">
        <w:r w:rsidR="009A7AB4" w:rsidRPr="00D562E2">
          <w:rPr>
            <w:rFonts w:cs="Arial"/>
            <w:noProof/>
            <w:color w:val="000000" w:themeColor="text1"/>
            <w:szCs w:val="22"/>
          </w:rPr>
          <w:t>Roff</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2013</w:t>
        </w:r>
      </w:hyperlink>
      <w:r w:rsidRPr="00D562E2">
        <w:rPr>
          <w:rFonts w:cs="Arial"/>
          <w:color w:val="000000" w:themeColor="text1"/>
          <w:szCs w:val="22"/>
        </w:rPr>
        <w:fldChar w:fldCharType="end"/>
      </w:r>
      <w:r w:rsidRPr="00D562E2">
        <w:rPr>
          <w:rFonts w:cs="Arial"/>
          <w:color w:val="000000" w:themeColor="text1"/>
          <w:szCs w:val="22"/>
        </w:rPr>
        <w:t xml:space="preserve">). </w:t>
      </w:r>
      <w:r w:rsidR="000C571A" w:rsidRPr="000C571A">
        <w:rPr>
          <w:rFonts w:cs="Arial"/>
          <w:color w:val="000000" w:themeColor="text1"/>
          <w:szCs w:val="22"/>
        </w:rPr>
        <w:t>The scientific evidence is clear: initiatives that will halt and reverse the effects of climate change at a global level and effectively improve water quality at a regional scale are the most urgent to improve</w:t>
      </w:r>
      <w:r w:rsidR="000C571A">
        <w:rPr>
          <w:rFonts w:cs="Arial"/>
          <w:color w:val="000000" w:themeColor="text1"/>
          <w:szCs w:val="22"/>
        </w:rPr>
        <w:t xml:space="preserve"> the Region’s long-term outlook</w:t>
      </w:r>
      <w:r w:rsidR="000C571A" w:rsidRPr="00D562E2">
        <w:rPr>
          <w:rFonts w:cs="Arial"/>
          <w:color w:val="000000" w:themeColor="text1"/>
          <w:szCs w:val="22"/>
        </w:rPr>
        <w:t xml:space="preserve"> </w:t>
      </w:r>
      <w:r w:rsidRPr="00D562E2">
        <w:rPr>
          <w:rFonts w:cs="Arial"/>
          <w:color w:val="000000" w:themeColor="text1"/>
          <w:szCs w:val="22"/>
        </w:rPr>
        <w:t>(</w:t>
      </w:r>
      <w:hyperlink w:anchor="_ENREF_13" w:tooltip="Brodie, 2013 #9501" w:history="1">
        <w:r w:rsidR="000C571A">
          <w:rPr>
            <w:rFonts w:cs="Arial"/>
            <w:color w:val="000000" w:themeColor="text1"/>
            <w:szCs w:val="22"/>
          </w:rPr>
          <w:t>GBRMPA</w:t>
        </w:r>
      </w:hyperlink>
      <w:r w:rsidR="000C571A">
        <w:rPr>
          <w:rFonts w:cs="Arial"/>
          <w:color w:val="000000" w:themeColor="text1"/>
          <w:szCs w:val="22"/>
        </w:rPr>
        <w:t xml:space="preserve"> 2019</w:t>
      </w:r>
      <w:r w:rsidRPr="00D562E2">
        <w:rPr>
          <w:rFonts w:cs="Arial"/>
          <w:color w:val="000000" w:themeColor="text1"/>
          <w:szCs w:val="22"/>
        </w:rPr>
        <w:t>). Flood waters deliver terrestrially sourced pollutants (e.g. sediments, nutrients, pesticides) dispersing them over the sensitive ecosystems including seagrass meadows (</w:t>
      </w:r>
      <w:hyperlink w:anchor="_ENREF_138" w:tooltip="Schaffelke, 2013 #9502" w:history="1">
        <w:r w:rsidR="009A7AB4" w:rsidRPr="00D562E2">
          <w:rPr>
            <w:rFonts w:cs="Arial"/>
            <w:color w:val="000000" w:themeColor="text1"/>
            <w:szCs w:val="22"/>
          </w:rPr>
          <w:fldChar w:fldCharType="begin"/>
        </w:r>
        <w:r w:rsidR="009A7AB4" w:rsidRPr="00D562E2">
          <w:rPr>
            <w:rFonts w:cs="Arial"/>
            <w:color w:val="000000" w:themeColor="text1"/>
            <w:szCs w:val="22"/>
          </w:rPr>
          <w:instrText xml:space="preserve"> ADDIN EN.CITE &lt;EndNote&gt;&lt;Cite&gt;&lt;Author&gt;Schaffelke&lt;/Author&gt;&lt;Year&gt;2013&lt;/Year&gt;&lt;RecNum&gt;9502&lt;/RecNum&gt;&lt;Prefix&gt;summarised in &lt;/Prefix&gt;&lt;DisplayText&gt;summarised in Schaffelke&lt;style face="italic"&gt; et al.&lt;/style&gt; 2013&lt;/DisplayText&gt;&lt;record&gt;&lt;rec-number&gt;9502&lt;/rec-number&gt;&lt;foreign-keys&gt;&lt;key app="EN" db-id="0eve55x9y5vfd6e9dacxtew4eatve2dzds9a" timestamp="1375855083"&gt;9502&lt;/key&gt;&lt;/foreign-keys&gt;&lt;ref-type name="Book Section"&gt;5&lt;/ref-type&gt;&lt;contributors&gt;&lt;authors&gt;&lt;author&gt;Schaffelke, B&lt;/author&gt;&lt;author&gt;Anthony, K&lt;/author&gt;&lt;author&gt;Blake, J&lt;/author&gt;&lt;author&gt;Brodie, J&lt;/author&gt;&lt;author&gt;Collier, C&lt;/author&gt;&lt;author&gt;Devlin, M&lt;/author&gt;&lt;author&gt;Fabricius, K&lt;/author&gt;&lt;author&gt;Martin, K&lt;/author&gt;&lt;author&gt;McKenzie, Len J&lt;/author&gt;&lt;author&gt;Negri, A&lt;/author&gt;&lt;author&gt;Ronan, M&lt;/author&gt;&lt;author&gt;Thompson, A&lt;/author&gt;&lt;author&gt;Warne, M&lt;/author&gt;&lt;/authors&gt;&lt;/contributors&gt;&lt;titles&gt;&lt;title&gt;Marine and coastal ecosystem impacts&lt;/title&gt;&lt;secondary-title&gt;Synthesis of evidence to support the Reef Water Quality Scientific Consensus Statement 2013&lt;/secondary-title&gt;&lt;/titles&gt;&lt;pages&gt;47&lt;/pages&gt;&lt;section&gt;1&lt;/section&gt;&lt;dates&gt;&lt;year&gt;2013&lt;/year&gt;&lt;/dates&gt;&lt;pub-location&gt;Brisbane&lt;/pub-location&gt;&lt;publisher&gt;Department of the Premier and Cabinet, Queensland Government&lt;/publisher&gt;&lt;urls&gt;&lt;/urls&gt;&lt;/record&gt;&lt;/Cite&gt;&lt;/EndNote&gt;</w:instrText>
        </w:r>
        <w:r w:rsidR="009A7AB4" w:rsidRPr="00D562E2">
          <w:rPr>
            <w:rFonts w:cs="Arial"/>
            <w:color w:val="000000" w:themeColor="text1"/>
            <w:szCs w:val="22"/>
          </w:rPr>
          <w:fldChar w:fldCharType="separate"/>
        </w:r>
        <w:r w:rsidR="009A7AB4" w:rsidRPr="00D562E2">
          <w:rPr>
            <w:rFonts w:cs="Arial"/>
            <w:noProof/>
            <w:color w:val="000000" w:themeColor="text1"/>
            <w:szCs w:val="22"/>
          </w:rPr>
          <w:t>summarised in Schaffelke</w:t>
        </w:r>
        <w:r w:rsidR="009A7AB4" w:rsidRPr="00D562E2">
          <w:rPr>
            <w:rFonts w:cs="Arial"/>
            <w:i/>
            <w:noProof/>
            <w:color w:val="000000" w:themeColor="text1"/>
            <w:szCs w:val="22"/>
          </w:rPr>
          <w:t xml:space="preserve"> et al.</w:t>
        </w:r>
        <w:r w:rsidR="009A7AB4" w:rsidRPr="00D562E2">
          <w:rPr>
            <w:rFonts w:cs="Arial"/>
            <w:noProof/>
            <w:color w:val="000000" w:themeColor="text1"/>
            <w:szCs w:val="22"/>
          </w:rPr>
          <w:t xml:space="preserve"> 2013</w:t>
        </w:r>
        <w:r w:rsidR="009A7AB4" w:rsidRPr="00D562E2">
          <w:rPr>
            <w:rFonts w:cs="Arial"/>
            <w:color w:val="000000" w:themeColor="text1"/>
            <w:szCs w:val="22"/>
          </w:rPr>
          <w:fldChar w:fldCharType="end"/>
        </w:r>
      </w:hyperlink>
      <w:r w:rsidRPr="00D562E2">
        <w:rPr>
          <w:rFonts w:cs="Arial"/>
          <w:color w:val="000000" w:themeColor="text1"/>
          <w:szCs w:val="22"/>
        </w:rPr>
        <w:t xml:space="preserve">). </w:t>
      </w:r>
    </w:p>
    <w:p w14:paraId="27CE17D3" w14:textId="79F77A6F" w:rsidR="00932564" w:rsidRPr="00364998" w:rsidRDefault="00C70AB6" w:rsidP="008416AD">
      <w:pPr>
        <w:pStyle w:val="Heading2"/>
      </w:pPr>
      <w:bookmarkStart w:id="658" w:name="_Toc37775123"/>
      <w:bookmarkStart w:id="659" w:name="_Toc43987098"/>
      <w:r w:rsidRPr="00364998">
        <w:t>Emerging priorities for m</w:t>
      </w:r>
      <w:r w:rsidR="00932564" w:rsidRPr="00364998">
        <w:t>anagement</w:t>
      </w:r>
      <w:bookmarkEnd w:id="658"/>
      <w:bookmarkEnd w:id="659"/>
    </w:p>
    <w:p w14:paraId="21A95F90" w14:textId="0AC8C199" w:rsidR="00932564" w:rsidRPr="00D562E2" w:rsidRDefault="000C4660" w:rsidP="00932564">
      <w:pPr>
        <w:autoSpaceDE w:val="0"/>
        <w:autoSpaceDN w:val="0"/>
        <w:adjustRightInd w:val="0"/>
        <w:rPr>
          <w:rFonts w:cs="Arial"/>
          <w:szCs w:val="22"/>
          <w:lang w:val="en-US"/>
        </w:rPr>
      </w:pPr>
      <w:r w:rsidRPr="00D562E2">
        <w:rPr>
          <w:rFonts w:cs="Arial"/>
          <w:szCs w:val="22"/>
          <w:lang w:val="en-US"/>
        </w:rPr>
        <w:t>As s</w:t>
      </w:r>
      <w:r w:rsidR="00932564" w:rsidRPr="00D562E2">
        <w:rPr>
          <w:rFonts w:cs="Arial"/>
          <w:szCs w:val="22"/>
          <w:lang w:val="en-US"/>
        </w:rPr>
        <w:t xml:space="preserve">eagrasses within the </w:t>
      </w:r>
      <w:r w:rsidR="00C26801" w:rsidRPr="00D562E2">
        <w:rPr>
          <w:rFonts w:cs="Arial"/>
          <w:color w:val="000000" w:themeColor="text1"/>
          <w:szCs w:val="22"/>
          <w:lang w:eastAsia="en-AU"/>
        </w:rPr>
        <w:t>World Heritage Area</w:t>
      </w:r>
      <w:r w:rsidR="00C26801" w:rsidRPr="00D562E2">
        <w:rPr>
          <w:rFonts w:cs="Arial"/>
          <w:szCs w:val="22"/>
          <w:lang w:val="en-US"/>
        </w:rPr>
        <w:t xml:space="preserve"> </w:t>
      </w:r>
      <w:r w:rsidR="00932564" w:rsidRPr="00D562E2">
        <w:rPr>
          <w:rFonts w:cs="Arial"/>
          <w:szCs w:val="22"/>
          <w:lang w:val="en-US"/>
        </w:rPr>
        <w:t xml:space="preserve">provide considerable ecosystem services, </w:t>
      </w:r>
      <w:r w:rsidRPr="00D562E2">
        <w:rPr>
          <w:rFonts w:cs="Arial"/>
          <w:szCs w:val="22"/>
          <w:lang w:val="en-US"/>
        </w:rPr>
        <w:t>they</w:t>
      </w:r>
      <w:r w:rsidR="00932564" w:rsidRPr="00D562E2">
        <w:rPr>
          <w:rFonts w:cs="Arial"/>
          <w:szCs w:val="22"/>
        </w:rPr>
        <w:t xml:space="preserve"> are </w:t>
      </w:r>
      <w:r w:rsidR="00907240" w:rsidRPr="00907240">
        <w:rPr>
          <w:rFonts w:cs="Arial"/>
          <w:szCs w:val="22"/>
          <w:lang w:val="en-US"/>
        </w:rPr>
        <w:t>high on the list of ecosystems to prioritise</w:t>
      </w:r>
      <w:r w:rsidR="00907240">
        <w:rPr>
          <w:rFonts w:cs="Arial"/>
          <w:szCs w:val="22"/>
          <w:lang w:val="en-US"/>
        </w:rPr>
        <w:t xml:space="preserve"> for management </w:t>
      </w:r>
      <w:r w:rsidR="00063D65">
        <w:rPr>
          <w:rFonts w:cs="Arial"/>
          <w:szCs w:val="22"/>
          <w:lang w:val="en-US"/>
        </w:rPr>
        <w:t>response</w:t>
      </w:r>
      <w:r w:rsidR="00932564" w:rsidRPr="00D562E2">
        <w:rPr>
          <w:rFonts w:cs="Arial"/>
          <w:szCs w:val="22"/>
        </w:rPr>
        <w:t xml:space="preserve"> (</w:t>
      </w:r>
      <w:hyperlink w:anchor="_ENREF_147" w:tooltip="Unsworth, 2018 #11853" w:history="1">
        <w:r w:rsidR="009A7AB4" w:rsidRPr="00D562E2">
          <w:rPr>
            <w:rFonts w:cs="Arial"/>
            <w:szCs w:val="22"/>
          </w:rPr>
          <w:fldChar w:fldCharType="begin"/>
        </w:r>
        <w:r w:rsidR="009A7AB4" w:rsidRPr="00D562E2">
          <w:rPr>
            <w:rFonts w:cs="Arial"/>
            <w:szCs w:val="22"/>
          </w:rPr>
          <w:instrText xml:space="preserve"> ADDIN EN.CITE &lt;EndNote&gt;&lt;Cite&gt;&lt;Author&gt;Unsworth&lt;/Author&gt;&lt;Year&gt;2018&lt;/Year&gt;&lt;RecNum&gt;11853&lt;/RecNum&gt;&lt;DisplayText&gt;Unsworth&lt;style face="italic"&gt; et al.&lt;/style&gt; 2018b&lt;/DisplayText&gt;&lt;record&gt;&lt;rec-number&gt;11853&lt;/rec-number&gt;&lt;foreign-keys&gt;&lt;key app="EN" db-id="0eve55x9y5vfd6e9dacxtew4eatve2dzds9a" timestamp="1541453471"&gt;11853&lt;/key&gt;&lt;/foreign-keys&gt;&lt;ref-type name="Journal Article"&gt;17&lt;/ref-type&gt;&lt;contributors&gt;&lt;authors&gt;&lt;author&gt;Unsworth, Richard K. F.&lt;/author&gt;&lt;author&gt;McKenzie, Len J.&lt;/author&gt;&lt;author&gt;Nordlund, Lina M.&lt;/author&gt;&lt;author&gt;Cullen-Unsworth, Leanne C.&lt;/author&gt;&lt;/authors&gt;&lt;/contributors&gt;&lt;titles&gt;&lt;title&gt;A changing climate for seagrass conservation?&lt;/title&gt;&lt;secondary-title&gt;Current Biology&lt;/secondary-title&gt;&lt;/titles&gt;&lt;periodical&gt;&lt;full-title&gt;Current Biology&lt;/full-title&gt;&lt;/periodical&gt;&lt;pages&gt;R1229-R1232&lt;/pages&gt;&lt;volume&gt;28&lt;/volume&gt;&lt;number&gt;21&lt;/number&gt;&lt;dates&gt;&lt;year&gt;2018&lt;/year&gt;&lt;pub-dates&gt;&lt;date&gt;2018/11/05/&lt;/date&gt;&lt;/pub-dates&gt;&lt;/dates&gt;&lt;isbn&gt;0960-9822&lt;/isbn&gt;&lt;urls&gt;&lt;related-urls&gt;&lt;url&gt;http://www.sciencedirect.com/science/article/pii/S0960982218312223&lt;/url&gt;&lt;/related-urls&gt;&lt;/urls&gt;&lt;electronic-resource-num&gt;https://doi.org/10.1016/j.cub.2018.09.027&lt;/electronic-resource-num&gt;&lt;/record&gt;&lt;/Cite&gt;&lt;/EndNote&gt;</w:instrText>
        </w:r>
        <w:r w:rsidR="009A7AB4" w:rsidRPr="00D562E2">
          <w:rPr>
            <w:rFonts w:cs="Arial"/>
            <w:szCs w:val="22"/>
          </w:rPr>
          <w:fldChar w:fldCharType="separate"/>
        </w:r>
        <w:r w:rsidR="009A7AB4" w:rsidRPr="00D562E2">
          <w:rPr>
            <w:rFonts w:cs="Arial"/>
            <w:noProof/>
            <w:szCs w:val="22"/>
          </w:rPr>
          <w:t>Unsworth</w:t>
        </w:r>
        <w:r w:rsidR="009A7AB4" w:rsidRPr="00D562E2">
          <w:rPr>
            <w:rFonts w:cs="Arial"/>
            <w:i/>
            <w:noProof/>
            <w:szCs w:val="22"/>
          </w:rPr>
          <w:t xml:space="preserve"> et al.</w:t>
        </w:r>
        <w:r w:rsidR="009A7AB4" w:rsidRPr="00D562E2">
          <w:rPr>
            <w:rFonts w:cs="Arial"/>
            <w:noProof/>
            <w:szCs w:val="22"/>
          </w:rPr>
          <w:t xml:space="preserve"> 2018b</w:t>
        </w:r>
        <w:r w:rsidR="009A7AB4" w:rsidRPr="00D562E2">
          <w:rPr>
            <w:rFonts w:cs="Arial"/>
            <w:szCs w:val="22"/>
          </w:rPr>
          <w:fldChar w:fldCharType="end"/>
        </w:r>
      </w:hyperlink>
      <w:r w:rsidR="00932564" w:rsidRPr="00D562E2">
        <w:rPr>
          <w:rFonts w:cs="Arial"/>
          <w:szCs w:val="22"/>
        </w:rPr>
        <w:t xml:space="preserve">). </w:t>
      </w:r>
      <w:r w:rsidR="00B54311">
        <w:rPr>
          <w:rFonts w:cs="Arial"/>
          <w:szCs w:val="22"/>
          <w:lang w:val="en-US"/>
        </w:rPr>
        <w:t>P</w:t>
      </w:r>
      <w:r w:rsidR="00932564" w:rsidRPr="00D562E2">
        <w:rPr>
          <w:rFonts w:cs="Arial"/>
          <w:szCs w:val="22"/>
          <w:lang w:val="en-US"/>
        </w:rPr>
        <w:t xml:space="preserve">racticable conservation opportunities exist </w:t>
      </w:r>
      <w:r w:rsidR="00DC319C">
        <w:rPr>
          <w:rFonts w:cs="Arial"/>
          <w:szCs w:val="22"/>
          <w:lang w:val="en-US"/>
        </w:rPr>
        <w:t xml:space="preserve">and have been implemented, </w:t>
      </w:r>
      <w:r w:rsidR="00932564" w:rsidRPr="00D562E2">
        <w:rPr>
          <w:rFonts w:cs="Arial"/>
          <w:szCs w:val="22"/>
          <w:lang w:val="en-US"/>
        </w:rPr>
        <w:t xml:space="preserve">which can make substantial and quantifiable improvements to seagrass condition. </w:t>
      </w:r>
      <w:r w:rsidR="00EE1FAD">
        <w:rPr>
          <w:rFonts w:cs="Arial"/>
          <w:szCs w:val="22"/>
          <w:lang w:val="en-US"/>
        </w:rPr>
        <w:t>M</w:t>
      </w:r>
      <w:r w:rsidR="00932564" w:rsidRPr="00D562E2">
        <w:rPr>
          <w:rFonts w:cs="Arial"/>
          <w:szCs w:val="22"/>
          <w:lang w:val="en-US"/>
        </w:rPr>
        <w:t>anagement initiatives that target reversing wider-scale catchment degradation and poor water quality (i.e. Paddock 2 Reef)</w:t>
      </w:r>
      <w:r w:rsidR="00780CA3">
        <w:rPr>
          <w:rFonts w:cs="Arial"/>
          <w:szCs w:val="22"/>
          <w:lang w:val="en-US"/>
        </w:rPr>
        <w:t>, w</w:t>
      </w:r>
      <w:r w:rsidR="00932564" w:rsidRPr="00D562E2">
        <w:rPr>
          <w:rFonts w:cs="Arial"/>
          <w:szCs w:val="22"/>
          <w:lang w:val="en-US"/>
        </w:rPr>
        <w:t>ill have the greatest benefit to inshore seagrass by reducing overall stress and improving resilience</w:t>
      </w:r>
      <w:r w:rsidR="00780CA3">
        <w:rPr>
          <w:rFonts w:cs="Arial"/>
          <w:szCs w:val="22"/>
          <w:lang w:val="en-US"/>
        </w:rPr>
        <w:t xml:space="preserve">. In particular, reducing suspended particulate matter loads (SPM) </w:t>
      </w:r>
      <w:r w:rsidR="00C0529C">
        <w:rPr>
          <w:rFonts w:cs="Arial"/>
          <w:szCs w:val="22"/>
          <w:lang w:val="en-US"/>
        </w:rPr>
        <w:t xml:space="preserve">is important </w:t>
      </w:r>
      <w:r w:rsidR="00780CA3">
        <w:rPr>
          <w:rFonts w:cs="Arial"/>
          <w:szCs w:val="22"/>
          <w:lang w:val="en-US"/>
        </w:rPr>
        <w:t>as these present the greatest risk to inshore seagrasses through impacts to water clarity (Waterhouse et al 2017, Bainbridge et al 2018). M</w:t>
      </w:r>
      <w:r w:rsidR="00EE1FAD" w:rsidRPr="00D562E2">
        <w:rPr>
          <w:rFonts w:cs="Arial"/>
          <w:szCs w:val="22"/>
          <w:lang w:val="en-US"/>
        </w:rPr>
        <w:t xml:space="preserve">inimising localised pressures from coastal and urban runoff will </w:t>
      </w:r>
      <w:r w:rsidR="00780CA3">
        <w:rPr>
          <w:rFonts w:cs="Arial"/>
          <w:szCs w:val="22"/>
          <w:lang w:val="en-US"/>
        </w:rPr>
        <w:t xml:space="preserve">also </w:t>
      </w:r>
      <w:r w:rsidR="00EE1FAD" w:rsidRPr="00D562E2">
        <w:rPr>
          <w:rFonts w:cs="Arial"/>
          <w:szCs w:val="22"/>
          <w:lang w:val="en-US"/>
        </w:rPr>
        <w:t>reduce cumulative stress</w:t>
      </w:r>
      <w:r w:rsidR="00EE1FAD">
        <w:rPr>
          <w:rFonts w:cs="Arial"/>
          <w:szCs w:val="22"/>
          <w:lang w:val="en-US"/>
        </w:rPr>
        <w:t>.</w:t>
      </w:r>
      <w:r w:rsidR="005B050C">
        <w:rPr>
          <w:rFonts w:cs="Arial"/>
          <w:szCs w:val="22"/>
          <w:lang w:val="en-US"/>
        </w:rPr>
        <w:t xml:space="preserve"> </w:t>
      </w:r>
      <w:r w:rsidR="00642B2C">
        <w:rPr>
          <w:rFonts w:cs="Arial"/>
          <w:szCs w:val="22"/>
          <w:lang w:val="en-US"/>
        </w:rPr>
        <w:t>This program can provide additional guidance on management</w:t>
      </w:r>
      <w:r w:rsidR="0036002F">
        <w:rPr>
          <w:rFonts w:cs="Arial"/>
          <w:szCs w:val="22"/>
          <w:lang w:val="en-US"/>
        </w:rPr>
        <w:t xml:space="preserve"> via the following tasks:</w:t>
      </w:r>
    </w:p>
    <w:p w14:paraId="1F9E7DDF" w14:textId="04DC84B3" w:rsidR="00C63C98" w:rsidRPr="005B050C" w:rsidRDefault="00EE1A84" w:rsidP="002D1BBC">
      <w:pPr>
        <w:numPr>
          <w:ilvl w:val="0"/>
          <w:numId w:val="34"/>
        </w:numPr>
        <w:rPr>
          <w:rFonts w:cs="Arial"/>
          <w:szCs w:val="22"/>
        </w:rPr>
      </w:pPr>
      <w:r w:rsidRPr="005B050C">
        <w:rPr>
          <w:rFonts w:cs="Arial"/>
          <w:szCs w:val="22"/>
        </w:rPr>
        <w:lastRenderedPageBreak/>
        <w:t xml:space="preserve">Through the data collected in this monitoring program we are building information about recovery rates, and are better positioned now, than ever before, to develop accurate recovery models. These are needed </w:t>
      </w:r>
      <w:r w:rsidR="00F30DDB">
        <w:rPr>
          <w:rFonts w:cs="Arial"/>
          <w:szCs w:val="22"/>
        </w:rPr>
        <w:t>to enable</w:t>
      </w:r>
      <w:r w:rsidRPr="005B050C">
        <w:rPr>
          <w:rFonts w:cs="Arial"/>
          <w:szCs w:val="22"/>
        </w:rPr>
        <w:t xml:space="preserve"> managers to decide when and what management interventions may be required to enhance recovery. These models also need to be tailored to this program</w:t>
      </w:r>
      <w:r w:rsidR="00C0529C">
        <w:rPr>
          <w:rFonts w:cs="Arial"/>
          <w:szCs w:val="22"/>
        </w:rPr>
        <w:t>,</w:t>
      </w:r>
      <w:r w:rsidRPr="005B050C">
        <w:rPr>
          <w:rFonts w:cs="Arial"/>
          <w:szCs w:val="22"/>
        </w:rPr>
        <w:t xml:space="preserve"> and the data produced from this program</w:t>
      </w:r>
      <w:r w:rsidR="00C0529C">
        <w:rPr>
          <w:rFonts w:cs="Arial"/>
          <w:szCs w:val="22"/>
        </w:rPr>
        <w:t>,</w:t>
      </w:r>
      <w:r w:rsidRPr="005B050C">
        <w:rPr>
          <w:rFonts w:cs="Arial"/>
          <w:szCs w:val="22"/>
        </w:rPr>
        <w:t xml:space="preserve"> so that we can provide </w:t>
      </w:r>
      <w:r>
        <w:rPr>
          <w:rFonts w:cs="Arial"/>
          <w:szCs w:val="22"/>
        </w:rPr>
        <w:t>quantitative</w:t>
      </w:r>
      <w:r w:rsidRPr="005B050C">
        <w:rPr>
          <w:rFonts w:cs="Arial"/>
          <w:szCs w:val="22"/>
        </w:rPr>
        <w:t xml:space="preserve"> estimates</w:t>
      </w:r>
      <w:r w:rsidR="00F30DDB">
        <w:rPr>
          <w:rFonts w:cs="Arial"/>
          <w:szCs w:val="22"/>
        </w:rPr>
        <w:t xml:space="preserve"> of recovery in annual reports.</w:t>
      </w:r>
    </w:p>
    <w:p w14:paraId="7C490B3B" w14:textId="0B868520" w:rsidR="00FB635F" w:rsidRPr="00F30DDB" w:rsidRDefault="00FB635F" w:rsidP="002D1BBC">
      <w:pPr>
        <w:numPr>
          <w:ilvl w:val="0"/>
          <w:numId w:val="34"/>
        </w:numPr>
        <w:rPr>
          <w:rFonts w:cs="Arial"/>
          <w:szCs w:val="22"/>
        </w:rPr>
      </w:pPr>
      <w:r w:rsidRPr="005B050C">
        <w:rPr>
          <w:rFonts w:cs="Arial"/>
          <w:szCs w:val="22"/>
        </w:rPr>
        <w:t>Updat</w:t>
      </w:r>
      <w:r w:rsidR="005B050C">
        <w:rPr>
          <w:rFonts w:cs="Arial"/>
          <w:szCs w:val="22"/>
        </w:rPr>
        <w:t>ing</w:t>
      </w:r>
      <w:r w:rsidRPr="005B050C">
        <w:rPr>
          <w:rFonts w:cs="Arial"/>
          <w:szCs w:val="22"/>
        </w:rPr>
        <w:t xml:space="preserve"> risk assessments</w:t>
      </w:r>
      <w:r w:rsidR="005B050C">
        <w:rPr>
          <w:rFonts w:cs="Arial"/>
          <w:szCs w:val="22"/>
        </w:rPr>
        <w:t xml:space="preserve"> within an adaptive management framework will enable us to know whether the program continues to be</w:t>
      </w:r>
      <w:r w:rsidRPr="005B050C">
        <w:rPr>
          <w:rFonts w:cs="Arial"/>
          <w:szCs w:val="22"/>
        </w:rPr>
        <w:t xml:space="preserve"> measuring and reporting against the </w:t>
      </w:r>
      <w:r w:rsidR="005B050C">
        <w:rPr>
          <w:rFonts w:cs="Arial"/>
          <w:szCs w:val="22"/>
        </w:rPr>
        <w:t xml:space="preserve">the most important </w:t>
      </w:r>
      <w:r w:rsidRPr="005B050C">
        <w:rPr>
          <w:rFonts w:cs="Arial"/>
          <w:szCs w:val="22"/>
        </w:rPr>
        <w:t>stressors.</w:t>
      </w:r>
      <w:r w:rsidR="005B050C">
        <w:rPr>
          <w:rFonts w:cs="Arial"/>
          <w:szCs w:val="22"/>
        </w:rPr>
        <w:t xml:space="preserve"> </w:t>
      </w:r>
      <w:r w:rsidR="00C07FF2">
        <w:rPr>
          <w:rFonts w:cs="Arial"/>
          <w:szCs w:val="22"/>
        </w:rPr>
        <w:t xml:space="preserve">Furthermore, we need to update </w:t>
      </w:r>
      <w:r w:rsidR="002B5902">
        <w:rPr>
          <w:rFonts w:cs="Arial"/>
          <w:szCs w:val="22"/>
        </w:rPr>
        <w:t xml:space="preserve">pressures </w:t>
      </w:r>
      <w:r w:rsidR="00C07FF2">
        <w:rPr>
          <w:rFonts w:cs="Arial"/>
          <w:szCs w:val="22"/>
        </w:rPr>
        <w:t xml:space="preserve">thresholds </w:t>
      </w:r>
      <w:r w:rsidR="002B5902">
        <w:rPr>
          <w:rFonts w:cs="Arial"/>
          <w:szCs w:val="22"/>
        </w:rPr>
        <w:t xml:space="preserve">(e.g. light and temperature) </w:t>
      </w:r>
      <w:r w:rsidR="00C07FF2">
        <w:rPr>
          <w:rFonts w:cs="Arial"/>
          <w:szCs w:val="22"/>
        </w:rPr>
        <w:t xml:space="preserve">to consider variation arsing from site-specific </w:t>
      </w:r>
      <w:r w:rsidR="00642B2C">
        <w:rPr>
          <w:rFonts w:cs="Arial"/>
          <w:szCs w:val="22"/>
        </w:rPr>
        <w:t xml:space="preserve">factors including species differences and habitat differences, </w:t>
      </w:r>
      <w:r w:rsidR="00C07FF2">
        <w:rPr>
          <w:rFonts w:cs="Arial"/>
          <w:szCs w:val="22"/>
        </w:rPr>
        <w:t xml:space="preserve">or cumulative pressures. </w:t>
      </w:r>
      <w:r w:rsidR="00642B2C">
        <w:rPr>
          <w:rFonts w:cs="Arial"/>
          <w:szCs w:val="22"/>
        </w:rPr>
        <w:t>T</w:t>
      </w:r>
      <w:r w:rsidR="00C07FF2">
        <w:rPr>
          <w:rFonts w:cs="Arial"/>
          <w:szCs w:val="22"/>
        </w:rPr>
        <w:t xml:space="preserve">hese will </w:t>
      </w:r>
      <w:r w:rsidR="005B050C">
        <w:rPr>
          <w:rFonts w:cs="Arial"/>
          <w:szCs w:val="22"/>
        </w:rPr>
        <w:t xml:space="preserve">enable </w:t>
      </w:r>
      <w:r w:rsidR="00264FCA">
        <w:rPr>
          <w:rFonts w:cs="Arial"/>
          <w:szCs w:val="22"/>
        </w:rPr>
        <w:t>information on pressures</w:t>
      </w:r>
      <w:r w:rsidR="005B050C">
        <w:rPr>
          <w:rFonts w:cs="Arial"/>
          <w:szCs w:val="22"/>
        </w:rPr>
        <w:t xml:space="preserve"> from site</w:t>
      </w:r>
      <w:r w:rsidR="00C07FF2">
        <w:rPr>
          <w:rFonts w:cs="Arial"/>
          <w:szCs w:val="22"/>
        </w:rPr>
        <w:t xml:space="preserve">-level </w:t>
      </w:r>
      <w:r w:rsidR="005B050C">
        <w:rPr>
          <w:rFonts w:cs="Arial"/>
          <w:szCs w:val="22"/>
        </w:rPr>
        <w:t xml:space="preserve">monitoring to be used for </w:t>
      </w:r>
      <w:r w:rsidR="00C07FF2">
        <w:rPr>
          <w:rFonts w:cs="Arial"/>
          <w:szCs w:val="22"/>
        </w:rPr>
        <w:t xml:space="preserve">predicting </w:t>
      </w:r>
      <w:r w:rsidR="00403EA7">
        <w:rPr>
          <w:rFonts w:cs="Arial"/>
          <w:szCs w:val="22"/>
        </w:rPr>
        <w:t>conditions across the seagrass meadows of the Reef</w:t>
      </w:r>
      <w:r w:rsidR="005B050C">
        <w:rPr>
          <w:rFonts w:cs="Arial"/>
          <w:szCs w:val="22"/>
        </w:rPr>
        <w:t xml:space="preserve">. </w:t>
      </w:r>
      <w:r w:rsidR="007B116D">
        <w:rPr>
          <w:rFonts w:cs="Arial"/>
          <w:szCs w:val="22"/>
        </w:rPr>
        <w:t xml:space="preserve">For example see </w:t>
      </w:r>
      <w:r w:rsidR="007B116D" w:rsidRPr="00F30DDB">
        <w:rPr>
          <w:rFonts w:cs="Arial"/>
          <w:szCs w:val="22"/>
        </w:rPr>
        <w:t>Lawrence (</w:t>
      </w:r>
      <w:hyperlink w:anchor="_ENREF_87" w:tooltip="Lawrence, 2019 #12543" w:history="1">
        <w:r w:rsidR="009A7AB4">
          <w:rPr>
            <w:rFonts w:cs="Arial"/>
            <w:szCs w:val="22"/>
          </w:rPr>
          <w:fldChar w:fldCharType="begin"/>
        </w:r>
        <w:r w:rsidR="009A7AB4">
          <w:rPr>
            <w:rFonts w:cs="Arial"/>
            <w:szCs w:val="22"/>
          </w:rPr>
          <w:instrText xml:space="preserve"> ADDIN EN.CITE &lt;EndNote&gt;&lt;Cite ExcludeAuth="1"&gt;&lt;Author&gt;Lawrence&lt;/Author&gt;&lt;Year&gt;2019&lt;/Year&gt;&lt;RecNum&gt;12543&lt;/RecNum&gt;&lt;DisplayText&gt;2019&lt;/DisplayText&gt;&lt;record&gt;&lt;rec-number&gt;12543&lt;/rec-number&gt;&lt;foreign-keys&gt;&lt;key app="EN" db-id="0eve55x9y5vfd6e9dacxtew4eatve2dzds9a" timestamp="1587029334"&gt;12543&lt;/key&gt;&lt;/foreign-keys&gt;&lt;ref-type name="Book"&gt;6&lt;/ref-type&gt;&lt;contributors&gt;&lt;authors&gt;&lt;author&gt;Lawrence, E&lt;/author&gt;&lt;/authors&gt;&lt;/contributors&gt;&lt;titles&gt;&lt;title&gt;Modelling the environmental drivers and abundance of seagrass communities in Cleveland Bay&lt;/title&gt;&lt;secondary-title&gt;Marine Monitoring Program&lt;/secondary-title&gt;&lt;/titles&gt;&lt;pages&gt;56&lt;/pages&gt;&lt;dates&gt;&lt;year&gt;2019&lt;/year&gt;&lt;/dates&gt;&lt;pub-location&gt;Townsville&lt;/pub-location&gt;&lt;publisher&gt;Great Barrier Reef Marine Park Authority&lt;/publisher&gt;&lt;isbn&gt;9780648357186&lt;/isbn&gt;&lt;urls&gt;&lt;related-urls&gt;&lt;url&gt;http://hdl.handle.net/11017/3538&lt;/url&gt;&lt;/related-urls&gt;&lt;/urls&gt;&lt;/record&gt;&lt;/Cite&gt;&lt;/EndNote&gt;</w:instrText>
        </w:r>
        <w:r w:rsidR="009A7AB4">
          <w:rPr>
            <w:rFonts w:cs="Arial"/>
            <w:szCs w:val="22"/>
          </w:rPr>
          <w:fldChar w:fldCharType="separate"/>
        </w:r>
        <w:r w:rsidR="009A7AB4">
          <w:rPr>
            <w:rFonts w:cs="Arial"/>
            <w:noProof/>
            <w:szCs w:val="22"/>
          </w:rPr>
          <w:t>2019</w:t>
        </w:r>
        <w:r w:rsidR="009A7AB4">
          <w:rPr>
            <w:rFonts w:cs="Arial"/>
            <w:szCs w:val="22"/>
          </w:rPr>
          <w:fldChar w:fldCharType="end"/>
        </w:r>
      </w:hyperlink>
      <w:r w:rsidR="007B116D" w:rsidRPr="00F30DDB">
        <w:rPr>
          <w:rFonts w:cs="Arial"/>
          <w:szCs w:val="22"/>
        </w:rPr>
        <w:t>)</w:t>
      </w:r>
      <w:r w:rsidR="00F30DDB">
        <w:rPr>
          <w:rFonts w:cs="Arial"/>
          <w:szCs w:val="22"/>
        </w:rPr>
        <w:t>.</w:t>
      </w:r>
    </w:p>
    <w:p w14:paraId="7B48A5D0" w14:textId="080B4E04" w:rsidR="00403EA7" w:rsidRDefault="00403EA7" w:rsidP="002D1BBC">
      <w:pPr>
        <w:numPr>
          <w:ilvl w:val="0"/>
          <w:numId w:val="34"/>
        </w:numPr>
        <w:rPr>
          <w:rFonts w:cs="Arial"/>
          <w:szCs w:val="22"/>
        </w:rPr>
      </w:pPr>
      <w:r>
        <w:rPr>
          <w:rFonts w:cs="Arial"/>
          <w:szCs w:val="22"/>
        </w:rPr>
        <w:t>Scal</w:t>
      </w:r>
      <w:r w:rsidR="00264FCA">
        <w:rPr>
          <w:rFonts w:cs="Arial"/>
          <w:szCs w:val="22"/>
        </w:rPr>
        <w:t>ing the site-level monitoring undertaken in this program to provide information on seagrass condition across the Reef underpins the information needs for Outlook and the Scientific Consensus statement. Initiatives such as the reef Integrated Monitoring and Reporting Program can help with this to some extent, but only if resources are made available for monitoring over a broader sc</w:t>
      </w:r>
      <w:r w:rsidR="0036002F">
        <w:rPr>
          <w:rFonts w:cs="Arial"/>
          <w:szCs w:val="22"/>
        </w:rPr>
        <w:t>ales and for data integration.</w:t>
      </w:r>
    </w:p>
    <w:p w14:paraId="3A9929CF" w14:textId="1A8B1D76" w:rsidR="005952E6" w:rsidRDefault="005952E6" w:rsidP="002D1BBC">
      <w:pPr>
        <w:numPr>
          <w:ilvl w:val="0"/>
          <w:numId w:val="34"/>
        </w:numPr>
        <w:rPr>
          <w:rFonts w:cs="Arial"/>
          <w:szCs w:val="22"/>
        </w:rPr>
      </w:pPr>
      <w:r>
        <w:rPr>
          <w:rFonts w:cs="Arial"/>
          <w:szCs w:val="22"/>
        </w:rPr>
        <w:t>Adaptive man</w:t>
      </w:r>
      <w:r w:rsidR="007B116D">
        <w:rPr>
          <w:rFonts w:cs="Arial"/>
          <w:szCs w:val="22"/>
        </w:rPr>
        <w:t>a</w:t>
      </w:r>
      <w:r>
        <w:rPr>
          <w:rFonts w:cs="Arial"/>
          <w:szCs w:val="22"/>
        </w:rPr>
        <w:t xml:space="preserve">gement also requires that indicators and metrics are assessed and possibly revised as new information is </w:t>
      </w:r>
      <w:r w:rsidR="007B116D">
        <w:rPr>
          <w:rFonts w:cs="Arial"/>
          <w:szCs w:val="22"/>
        </w:rPr>
        <w:t>available</w:t>
      </w:r>
      <w:r>
        <w:rPr>
          <w:rFonts w:cs="Arial"/>
          <w:szCs w:val="22"/>
        </w:rPr>
        <w:t xml:space="preserve">. </w:t>
      </w:r>
      <w:r w:rsidR="007B116D">
        <w:rPr>
          <w:rFonts w:cs="Arial"/>
          <w:szCs w:val="22"/>
        </w:rPr>
        <w:t xml:space="preserve">This will ensure that managers are being provided with the most relevant assessment of Reef condition and resilience. </w:t>
      </w:r>
      <w:r w:rsidR="000733C7">
        <w:rPr>
          <w:rFonts w:cs="Arial"/>
          <w:szCs w:val="22"/>
        </w:rPr>
        <w:t xml:space="preserve">As a case study to this report we have assessed the tissue nutrient indicator (See </w:t>
      </w:r>
      <w:r w:rsidR="0036002F">
        <w:rPr>
          <w:rFonts w:cs="Arial"/>
          <w:szCs w:val="22"/>
        </w:rPr>
        <w:t>Appendix</w:t>
      </w:r>
      <w:r w:rsidR="000733C7">
        <w:rPr>
          <w:rFonts w:cs="Arial"/>
          <w:szCs w:val="22"/>
        </w:rPr>
        <w:t xml:space="preserve"> 1). The reproductive metric also requires </w:t>
      </w:r>
      <w:r w:rsidR="00EE1A84">
        <w:rPr>
          <w:rFonts w:cs="Arial"/>
          <w:szCs w:val="22"/>
        </w:rPr>
        <w:t>re-</w:t>
      </w:r>
      <w:r w:rsidR="000733C7">
        <w:rPr>
          <w:rFonts w:cs="Arial"/>
          <w:szCs w:val="22"/>
        </w:rPr>
        <w:t>assessment, as the importance of sexual reproduction for resilience varies amongst species</w:t>
      </w:r>
      <w:r w:rsidR="00403EA7">
        <w:rPr>
          <w:rFonts w:cs="Arial"/>
          <w:szCs w:val="22"/>
        </w:rPr>
        <w:t xml:space="preserve"> (Kilminster et al 2015) but the existing metric only accounts for this through habitat-specific </w:t>
      </w:r>
      <w:r w:rsidR="00403EA7">
        <w:rPr>
          <w:rFonts w:cs="Arial"/>
          <w:szCs w:val="22"/>
        </w:rPr>
        <w:lastRenderedPageBreak/>
        <w:t>guidelines. T</w:t>
      </w:r>
      <w:r w:rsidR="007B116D">
        <w:rPr>
          <w:rFonts w:cs="Arial"/>
          <w:szCs w:val="22"/>
        </w:rPr>
        <w:t xml:space="preserve">hat </w:t>
      </w:r>
      <w:r w:rsidR="00403EA7">
        <w:rPr>
          <w:rFonts w:cs="Arial"/>
          <w:szCs w:val="22"/>
        </w:rPr>
        <w:t>assessment</w:t>
      </w:r>
      <w:r w:rsidR="007B116D">
        <w:rPr>
          <w:rFonts w:cs="Arial"/>
          <w:szCs w:val="22"/>
        </w:rPr>
        <w:t xml:space="preserve"> will be presented in the 2019-20 annual report as a case study. Together these will be use</w:t>
      </w:r>
      <w:r w:rsidR="0036002F">
        <w:rPr>
          <w:rFonts w:cs="Arial"/>
          <w:szCs w:val="22"/>
        </w:rPr>
        <w:t>d to update the seagrass Index.</w:t>
      </w:r>
    </w:p>
    <w:p w14:paraId="02F3AD6C" w14:textId="756AE0EE" w:rsidR="000733C7" w:rsidRPr="005B050C" w:rsidRDefault="000733C7" w:rsidP="002D1BBC">
      <w:pPr>
        <w:numPr>
          <w:ilvl w:val="0"/>
          <w:numId w:val="34"/>
        </w:numPr>
        <w:rPr>
          <w:rFonts w:cs="Arial"/>
          <w:szCs w:val="22"/>
        </w:rPr>
      </w:pPr>
      <w:r w:rsidRPr="005B050C">
        <w:rPr>
          <w:rFonts w:cs="Arial"/>
          <w:szCs w:val="22"/>
          <w:lang w:val="en-US"/>
        </w:rPr>
        <w:t>Active restoration or enhancement of resilience may be required</w:t>
      </w:r>
      <w:r>
        <w:rPr>
          <w:rFonts w:cs="Arial"/>
          <w:szCs w:val="22"/>
          <w:lang w:val="en-US"/>
        </w:rPr>
        <w:t xml:space="preserve"> in some locations</w:t>
      </w:r>
      <w:r w:rsidRPr="005B050C">
        <w:rPr>
          <w:rFonts w:cs="Arial"/>
          <w:szCs w:val="22"/>
          <w:lang w:val="en-US"/>
        </w:rPr>
        <w:t xml:space="preserve"> (</w:t>
      </w:r>
      <w:hyperlink w:anchor="_ENREF_150" w:tooltip="van Oppen, 2017 #11468" w:history="1">
        <w:r w:rsidR="009A7AB4" w:rsidRPr="005B050C">
          <w:rPr>
            <w:rFonts w:cs="Arial"/>
            <w:szCs w:val="22"/>
            <w:lang w:val="en-US"/>
          </w:rPr>
          <w:fldChar w:fldCharType="begin"/>
        </w:r>
        <w:r w:rsidR="009A7AB4" w:rsidRPr="005B050C">
          <w:rPr>
            <w:rFonts w:cs="Arial"/>
            <w:szCs w:val="22"/>
            <w:lang w:val="en-US"/>
          </w:rPr>
          <w:instrText xml:space="preserve"> ADDIN EN.CITE &lt;EndNote&gt;&lt;Cite&gt;&lt;Author&gt;van Oppen&lt;/Author&gt;&lt;Year&gt;2017&lt;/Year&gt;&lt;RecNum&gt;11468&lt;/RecNum&gt;&lt;DisplayText&gt;van Oppen&lt;style face="italic"&gt; et al.&lt;/style&gt; 2017&lt;/DisplayText&gt;&lt;record&gt;&lt;rec-number&gt;11468&lt;/rec-number&gt;&lt;foreign-keys&gt;&lt;key app="EN" db-id="0eve55x9y5vfd6e9dacxtew4eatve2dzds9a" timestamp="1523400267"&gt;11468&lt;/key&gt;&lt;/foreign-keys&gt;&lt;ref-type name="Journal Article"&gt;17&lt;/ref-type&gt;&lt;contributors&gt;&lt;authors&gt;&lt;author&gt;van Oppen, MJH&lt;/author&gt;&lt;author&gt;Gates, R. D. &lt;/author&gt;&lt;author&gt;Blackall, L. L. &lt;/author&gt;&lt;author&gt;Cantin, N. &lt;/author&gt;&lt;author&gt;Chakravarti, L. J. &lt;/author&gt;&lt;author&gt;Chan, W. Y. &lt;/author&gt;&lt;author&gt;Cormick, C&lt;/author&gt;&lt;author&gt;Crean, A. &lt;/author&gt;&lt;author&gt;Damjanovic, K. &lt;/author&gt;&lt;author&gt;Epstein, H. &lt;/author&gt;&lt;author&gt;Harrison, P. L. &lt;/author&gt;&lt;author&gt;Jones, T. A.&lt;/author&gt;&lt;author&gt;Miller, M. &lt;/author&gt;&lt;author&gt;Pears, R. J. &lt;/author&gt;&lt;author&gt;Peplow, L. M. &lt;/author&gt;&lt;author&gt;Raftos, D. A. &lt;/author&gt;&lt;author&gt;Schaffelke, B. &lt;/author&gt;&lt;author&gt;Stewart, K. &lt;/author&gt;&lt;author&gt;Torda, G. &lt;/author&gt;&lt;author&gt;Wachenfeld, D. &lt;/author&gt;&lt;author&gt;Weeks, A. R. &lt;/author&gt;&lt;author&gt;Putnam, H. M. &lt;/author&gt;&lt;/authors&gt;&lt;/contributors&gt;&lt;titles&gt;&lt;title&gt;Shifting paradigms in restoration of the world&amp;apos;s coral reefs.&lt;/title&gt;&lt;secondary-title&gt;Global Change Biology&lt;/secondary-title&gt;&lt;/titles&gt;&lt;periodical&gt;&lt;full-title&gt;Global Change Biology&lt;/full-title&gt;&lt;/periodical&gt;&lt;pages&gt;3437-3448&lt;/pages&gt;&lt;volume&gt;23&lt;/volume&gt;&lt;dates&gt;&lt;year&gt;2017&lt;/year&gt;&lt;/dates&gt;&lt;urls&gt;&lt;/urls&gt;&lt;/record&gt;&lt;/Cite&gt;&lt;/EndNote&gt;</w:instrText>
        </w:r>
        <w:r w:rsidR="009A7AB4" w:rsidRPr="005B050C">
          <w:rPr>
            <w:rFonts w:cs="Arial"/>
            <w:szCs w:val="22"/>
            <w:lang w:val="en-US"/>
          </w:rPr>
          <w:fldChar w:fldCharType="separate"/>
        </w:r>
        <w:r w:rsidR="009A7AB4" w:rsidRPr="005B050C">
          <w:rPr>
            <w:rFonts w:cs="Arial"/>
            <w:noProof/>
            <w:szCs w:val="22"/>
            <w:lang w:val="en-US"/>
          </w:rPr>
          <w:t>van Oppen</w:t>
        </w:r>
        <w:r w:rsidR="009A7AB4" w:rsidRPr="005B050C">
          <w:rPr>
            <w:rFonts w:cs="Arial"/>
            <w:i/>
            <w:noProof/>
            <w:szCs w:val="22"/>
            <w:lang w:val="en-US"/>
          </w:rPr>
          <w:t xml:space="preserve"> et al.</w:t>
        </w:r>
        <w:r w:rsidR="009A7AB4" w:rsidRPr="005B050C">
          <w:rPr>
            <w:rFonts w:cs="Arial"/>
            <w:noProof/>
            <w:szCs w:val="22"/>
            <w:lang w:val="en-US"/>
          </w:rPr>
          <w:t xml:space="preserve"> 2017</w:t>
        </w:r>
        <w:r w:rsidR="009A7AB4" w:rsidRPr="005B050C">
          <w:rPr>
            <w:rFonts w:cs="Arial"/>
            <w:szCs w:val="22"/>
            <w:lang w:val="en-US"/>
          </w:rPr>
          <w:fldChar w:fldCharType="end"/>
        </w:r>
      </w:hyperlink>
      <w:r w:rsidRPr="005B050C">
        <w:rPr>
          <w:rFonts w:cs="Arial"/>
          <w:szCs w:val="22"/>
          <w:lang w:val="en-US"/>
        </w:rPr>
        <w:t>) and as such, restoration strategies to enhance resilience and promote recovery may be a timely exploration.</w:t>
      </w:r>
      <w:r w:rsidRPr="005B050C">
        <w:rPr>
          <w:rFonts w:cs="Arial"/>
          <w:szCs w:val="22"/>
        </w:rPr>
        <w:t xml:space="preserve"> In the first instance, the basis of poor and variable reproductive effort should be investigated as a matter of priority because the absence of these in most reef habitats and some coastal and estuarine sites inhibit</w:t>
      </w:r>
      <w:r>
        <w:rPr>
          <w:rFonts w:cs="Arial"/>
          <w:szCs w:val="22"/>
        </w:rPr>
        <w:t>s</w:t>
      </w:r>
      <w:r w:rsidRPr="005B050C">
        <w:rPr>
          <w:rFonts w:cs="Arial"/>
          <w:szCs w:val="22"/>
        </w:rPr>
        <w:t xml:space="preserve"> natural recovery.</w:t>
      </w:r>
      <w:r w:rsidR="00CD2283">
        <w:rPr>
          <w:rFonts w:cs="Arial"/>
          <w:szCs w:val="22"/>
        </w:rPr>
        <w:t xml:space="preserve"> </w:t>
      </w:r>
      <w:r w:rsidRPr="005B050C">
        <w:rPr>
          <w:rFonts w:cs="Arial"/>
          <w:szCs w:val="22"/>
        </w:rPr>
        <w:t xml:space="preserve">For example, the lack of flowers and fruits may be due to sampling artefact (e.g. timing and frequency of sampling may miss short flowering periods), but this cannot be the only explanation as seeds of some species can persist for many years and would be detected in seed banks if they were produced. There may be communities unable to reproduce due to their effective population size being reduced to a critical threshold. This is known to have happened for </w:t>
      </w:r>
      <w:r w:rsidRPr="005B050C">
        <w:rPr>
          <w:rFonts w:cs="Arial"/>
          <w:i/>
          <w:szCs w:val="22"/>
        </w:rPr>
        <w:t>Cymodocea serrulata</w:t>
      </w:r>
      <w:r w:rsidRPr="005B050C">
        <w:rPr>
          <w:rFonts w:cs="Arial"/>
          <w:szCs w:val="22"/>
        </w:rPr>
        <w:t xml:space="preserve"> and </w:t>
      </w:r>
      <w:r w:rsidRPr="005B050C">
        <w:rPr>
          <w:rFonts w:cs="Arial"/>
          <w:i/>
          <w:szCs w:val="22"/>
        </w:rPr>
        <w:t>Syringodium isoetifolium</w:t>
      </w:r>
      <w:r w:rsidRPr="005B050C">
        <w:rPr>
          <w:rFonts w:cs="Arial"/>
          <w:szCs w:val="22"/>
        </w:rPr>
        <w:t xml:space="preserve"> on Green Island and </w:t>
      </w:r>
      <w:r w:rsidRPr="005B050C">
        <w:rPr>
          <w:rFonts w:cs="Arial"/>
          <w:i/>
          <w:szCs w:val="22"/>
        </w:rPr>
        <w:t>Thalassia hemprichii</w:t>
      </w:r>
      <w:r w:rsidRPr="005B050C">
        <w:rPr>
          <w:rFonts w:cs="Arial"/>
          <w:szCs w:val="22"/>
        </w:rPr>
        <w:t xml:space="preserve"> at Magnetic Island where some meadows are made up of a single clone (and therefore a single sex as these species are dioecious) leading to their inability to set seed (</w:t>
      </w:r>
      <w:r w:rsidR="003E5B3F">
        <w:rPr>
          <w:rFonts w:cs="Arial"/>
          <w:szCs w:val="22"/>
        </w:rPr>
        <w:fldChar w:fldCharType="begin">
          <w:fldData xml:space="preserve">PEVuZE5vdGU+PENpdGU+PEF1dGhvcj5Db2xsaWVyPC9BdXRob3I+PFllYXI+MjAxNjwvWWVhcj48
UmVjTnVtPjEyNTQxPC9SZWNOdW0+PERpc3BsYXlUZXh0Pk1jS2VuemllPHN0eWxlIGZhY2U9Iml0
YWxpYyI+IGV0IGFsLjwvc3R5bGU+IDIwMTRjOyBDb2xsaWVyPHN0eWxlIGZhY2U9Iml0YWxpYyI+
IGV0IGFsLjwvc3R5bGU+IDIwMTZjPC9EaXNwbGF5VGV4dD48cmVjb3JkPjxyZWMtbnVtYmVyPjEy
NTQxPC9yZWMtbnVtYmVyPjxmb3JlaWduLWtleXM+PGtleSBhcHA9IkVOIiBkYi1pZD0iMGV2ZTU1
eDl5NXZmZDZlOWRhY3h0ZXc0ZWF0dmUyZHpkczlhIiB0aW1lc3RhbXA9IjE1ODcwMTIxOTEiPjEy
NTQxPC9rZXk+PC9mb3JlaWduLWtleXM+PHJlZi10eXBlIG5hbWU9IkJvb2siPjY8L3JlZi10eXBl
Pjxjb250cmlidXRvcnM+PGF1dGhvcnM+PGF1dGhvcj5Db2xsaWVyLCBDYXRoZXJpbmUgSjwvYXV0
aG9yPjxhdXRob3I+dmFuIERpamssIEpLPC9hdXRob3I+PGF1dGhvcj5BZGFtcywgTWF0dGhldzwv
YXV0aG9yPjxhdXRob3I+T+KAmUJyaWVuLCBLYXRlPC9hdXRob3I+PGF1dGhvcj5XYXljb3R0LCBN
aWNoZWxsZTwvYXV0aG9yPjxhdXRob3I+TWNLZW56aWUsIExlbiBKPC9hdXRob3I+PGF1dGhvcj5V
dGhpY2tlLCBTdmVuPC9hdXRob3I+PGF1dGhvcj5Kb2hhbnNzb24sIENoYXJsb3R0ZTwvYXV0aG9y
PjxhdXRob3I+WGlhbmcsIFlhbiBPdzwvYXV0aG9yPjxhdXRob3I+TGFuZ2xvaXMsIEx1Y2FzPC9h
dXRob3I+PGF1dGhvcj5QaGlubiwgU3R1YXJ0IFI8L2F1dGhvcj48YXV0aG9yPlJvZWxmc2VtYSwg
Q2hyaXMgTTwvYXV0aG9yPjwvYXV0aG9ycz48L2NvbnRyaWJ1dG9ycz48dGl0bGVzPjx0aXRsZT5T
ZWFncmFzcyBncm93dGggYW5kIGRpdmVyc2l0eTogYXR0cmlidXRlcyBvZiBhIHJlc2lsaWVudCBH
QlIsIGluIEFubnVhbCBSZXBvcnQgdG8gdGhlIEdyZWF0IEJhcnJpZXIgUmVlZiBGb3VuZGF0aW9u
PC90aXRsZT48L3RpdGxlcz48ZGF0ZXM+PHllYXI+MjAxNjwveWVhcj48L2RhdGVzPjxwdWItbG9j
YXRpb24+Q2Fpcm5zPC9wdWItbG9jYXRpb24+PHB1Ymxpc2hlcj5DZW50cmUgZm9yIFRyb3BpY2Fs
IFdhdGVyICZhbXA7IEFxdWF0aWMgRWNvc3lzdGVtIFJlc2VhcmNoIChUcm9wV0FURVIpLCBKYW1l
cyBDb29rIFVuaXZlcnNpdHk8L3B1Ymxpc2hlcj48dXJscz48L3VybHM+PC9yZWNvcmQ+PC9DaXRl
PjxDaXRlPjxBdXRob3I+TWNLZW56aWU8L0F1dGhvcj48WWVhcj4yMDE0PC9ZZWFyPjxSZWNOdW0+
OTk2MTwvUmVjTnVtPjxyZWNvcmQ+PHJlYy1udW1iZXI+OTk2MTwvcmVjLW51bWJlcj48Zm9yZWln
bi1rZXlzPjxrZXkgYXBwPSJFTiIgZGItaWQ9IjBldmU1NXg5eTV2ZmQ2ZTlkYWN4dGV3NGVhdHZl
MmR6ZHM5YSIgdGltZXN0YW1wPSIxNDEwOTMwMzE1Ij45OTYxPC9rZXk+PC9mb3JlaWduLWtleXM+
PHJlZi10eXBlIG5hbWU9IkpvdXJuYWwgQXJ0aWNsZSI+MTc8L3JlZi10eXBlPjxjb250cmlidXRv
cnM+PGF1dGhvcnM+PGF1dGhvcj5NY0tlbnppZSwgTGVuIEo8L2F1dGhvcj48YXV0aG9yPllvc2hp
ZGEsIFJ1ZG9sZiBMPC9hdXRob3I+PGF1dGhvcj5VbnN3b3J0aCwgUmljaGFyZCBLIEY8L2F1dGhv
cj48L2F1dGhvcnM+PC9jb250cmlidXRvcnM+PHRpdGxlcz48dGl0bGU+RGlzdHVyYmFuY2UgaW5m
bHVlbmNlcyB0aGUgaW52YXNpb24gb2YgYSBzZWFncmFzcyBpbnRvIGFuIGV4aXN0aW5nIG1lYWRv
dzwvdGl0bGU+PHNlY29uZGFyeS10aXRsZT5NYXJpbmUgUG9sbHV0aW9uIEJ1bGxldGluPC9zZWNv
bmRhcnktdGl0bGU+PC90aXRsZXM+PHBlcmlvZGljYWw+PGZ1bGwtdGl0bGU+TWFyaW5lIFBvbGx1
dGlvbiBCdWxsZXRpbjwvZnVsbC10aXRsZT48L3BlcmlvZGljYWw+PHBhZ2VzPjE4Ni0xOTY8L3Bh
Z2VzPjx2b2x1bWU+ODY8L3ZvbHVtZT48bnVtYmVyPjHigJMyPC9udW1iZXI+PGtleXdvcmRzPjxr
ZXl3b3JkPlNlYWdyYXNzPC9rZXl3b3JkPjxrZXl3b3JkPkludmFzaXZlIHNwZWNpZXM8L2tleXdv
cmQ+PGtleXdvcmQ+RGlzdHVyYmFuY2U8L2tleXdvcmQ+PGtleXdvcmQ+VHJvcGljYWw8L2tleXdv
cmQ+PGtleXdvcmQ+R3JlYXQgQmFycmllciBSZWVmPC9rZXl3b3JkPjwva2V5d29yZHM+PGRhdGVz
Pjx5ZWFyPjIwMTQ8L3llYXI+PC9kYXRlcz48aXNibj4wMDI1LTMyNlg8L2lzYm4+PHVybHM+PHJl
bGF0ZWQtdXJscz48dXJsPmh0dHA6Ly93d3cuc2NpZW5jZWRpcmVjdC5jb20vc2NpZW5jZS9hcnRp
Y2xlL3BpaS9TMDAyNTMyNlgxNDAwNDU1WDwvdXJsPjwvcmVsYXRlZC11cmxzPjwvdXJscz48ZWxl
Y3Ryb25pYy1yZXNvdXJjZS1udW0+aHR0cDovL2R4LmRvaS5vcmcvMTAuMTAxNi9qLm1hcnBvbGJ1
bC4yMDE0LjA3LjAxOTwvZWxlY3Ryb25pYy1yZXNvdXJjZS1udW0+PC9yZWNvcmQ+PC9DaXRlPjwv
RW5kTm90ZT5=
</w:fldData>
        </w:fldChar>
      </w:r>
      <w:r w:rsidR="003E5B3F">
        <w:rPr>
          <w:rFonts w:cs="Arial"/>
          <w:szCs w:val="22"/>
        </w:rPr>
        <w:instrText xml:space="preserve"> ADDIN EN.CITE </w:instrText>
      </w:r>
      <w:r w:rsidR="003E5B3F">
        <w:rPr>
          <w:rFonts w:cs="Arial"/>
          <w:szCs w:val="22"/>
        </w:rPr>
        <w:fldChar w:fldCharType="begin">
          <w:fldData xml:space="preserve">PEVuZE5vdGU+PENpdGU+PEF1dGhvcj5Db2xsaWVyPC9BdXRob3I+PFllYXI+MjAxNjwvWWVhcj48
UmVjTnVtPjEyNTQxPC9SZWNOdW0+PERpc3BsYXlUZXh0Pk1jS2VuemllPHN0eWxlIGZhY2U9Iml0
YWxpYyI+IGV0IGFsLjwvc3R5bGU+IDIwMTRjOyBDb2xsaWVyPHN0eWxlIGZhY2U9Iml0YWxpYyI+
IGV0IGFsLjwvc3R5bGU+IDIwMTZjPC9EaXNwbGF5VGV4dD48cmVjb3JkPjxyZWMtbnVtYmVyPjEy
NTQxPC9yZWMtbnVtYmVyPjxmb3JlaWduLWtleXM+PGtleSBhcHA9IkVOIiBkYi1pZD0iMGV2ZTU1
eDl5NXZmZDZlOWRhY3h0ZXc0ZWF0dmUyZHpkczlhIiB0aW1lc3RhbXA9IjE1ODcwMTIxOTEiPjEy
NTQxPC9rZXk+PC9mb3JlaWduLWtleXM+PHJlZi10eXBlIG5hbWU9IkJvb2siPjY8L3JlZi10eXBl
Pjxjb250cmlidXRvcnM+PGF1dGhvcnM+PGF1dGhvcj5Db2xsaWVyLCBDYXRoZXJpbmUgSjwvYXV0
aG9yPjxhdXRob3I+dmFuIERpamssIEpLPC9hdXRob3I+PGF1dGhvcj5BZGFtcywgTWF0dGhldzwv
YXV0aG9yPjxhdXRob3I+T+KAmUJyaWVuLCBLYXRlPC9hdXRob3I+PGF1dGhvcj5XYXljb3R0LCBN
aWNoZWxsZTwvYXV0aG9yPjxhdXRob3I+TWNLZW56aWUsIExlbiBKPC9hdXRob3I+PGF1dGhvcj5V
dGhpY2tlLCBTdmVuPC9hdXRob3I+PGF1dGhvcj5Kb2hhbnNzb24sIENoYXJsb3R0ZTwvYXV0aG9y
PjxhdXRob3I+WGlhbmcsIFlhbiBPdzwvYXV0aG9yPjxhdXRob3I+TGFuZ2xvaXMsIEx1Y2FzPC9h
dXRob3I+PGF1dGhvcj5QaGlubiwgU3R1YXJ0IFI8L2F1dGhvcj48YXV0aG9yPlJvZWxmc2VtYSwg
Q2hyaXMgTTwvYXV0aG9yPjwvYXV0aG9ycz48L2NvbnRyaWJ1dG9ycz48dGl0bGVzPjx0aXRsZT5T
ZWFncmFzcyBncm93dGggYW5kIGRpdmVyc2l0eTogYXR0cmlidXRlcyBvZiBhIHJlc2lsaWVudCBH
QlIsIGluIEFubnVhbCBSZXBvcnQgdG8gdGhlIEdyZWF0IEJhcnJpZXIgUmVlZiBGb3VuZGF0aW9u
PC90aXRsZT48L3RpdGxlcz48ZGF0ZXM+PHllYXI+MjAxNjwveWVhcj48L2RhdGVzPjxwdWItbG9j
YXRpb24+Q2Fpcm5zPC9wdWItbG9jYXRpb24+PHB1Ymxpc2hlcj5DZW50cmUgZm9yIFRyb3BpY2Fs
IFdhdGVyICZhbXA7IEFxdWF0aWMgRWNvc3lzdGVtIFJlc2VhcmNoIChUcm9wV0FURVIpLCBKYW1l
cyBDb29rIFVuaXZlcnNpdHk8L3B1Ymxpc2hlcj48dXJscz48L3VybHM+PC9yZWNvcmQ+PC9DaXRl
PjxDaXRlPjxBdXRob3I+TWNLZW56aWU8L0F1dGhvcj48WWVhcj4yMDE0PC9ZZWFyPjxSZWNOdW0+
OTk2MTwvUmVjTnVtPjxyZWNvcmQ+PHJlYy1udW1iZXI+OTk2MTwvcmVjLW51bWJlcj48Zm9yZWln
bi1rZXlzPjxrZXkgYXBwPSJFTiIgZGItaWQ9IjBldmU1NXg5eTV2ZmQ2ZTlkYWN4dGV3NGVhdHZl
MmR6ZHM5YSIgdGltZXN0YW1wPSIxNDEwOTMwMzE1Ij45OTYxPC9rZXk+PC9mb3JlaWduLWtleXM+
PHJlZi10eXBlIG5hbWU9IkpvdXJuYWwgQXJ0aWNsZSI+MTc8L3JlZi10eXBlPjxjb250cmlidXRv
cnM+PGF1dGhvcnM+PGF1dGhvcj5NY0tlbnppZSwgTGVuIEo8L2F1dGhvcj48YXV0aG9yPllvc2hp
ZGEsIFJ1ZG9sZiBMPC9hdXRob3I+PGF1dGhvcj5VbnN3b3J0aCwgUmljaGFyZCBLIEY8L2F1dGhv
cj48L2F1dGhvcnM+PC9jb250cmlidXRvcnM+PHRpdGxlcz48dGl0bGU+RGlzdHVyYmFuY2UgaW5m
bHVlbmNlcyB0aGUgaW52YXNpb24gb2YgYSBzZWFncmFzcyBpbnRvIGFuIGV4aXN0aW5nIG1lYWRv
dzwvdGl0bGU+PHNlY29uZGFyeS10aXRsZT5NYXJpbmUgUG9sbHV0aW9uIEJ1bGxldGluPC9zZWNv
bmRhcnktdGl0bGU+PC90aXRsZXM+PHBlcmlvZGljYWw+PGZ1bGwtdGl0bGU+TWFyaW5lIFBvbGx1
dGlvbiBCdWxsZXRpbjwvZnVsbC10aXRsZT48L3BlcmlvZGljYWw+PHBhZ2VzPjE4Ni0xOTY8L3Bh
Z2VzPjx2b2x1bWU+ODY8L3ZvbHVtZT48bnVtYmVyPjHigJMyPC9udW1iZXI+PGtleXdvcmRzPjxr
ZXl3b3JkPlNlYWdyYXNzPC9rZXl3b3JkPjxrZXl3b3JkPkludmFzaXZlIHNwZWNpZXM8L2tleXdv
cmQ+PGtleXdvcmQ+RGlzdHVyYmFuY2U8L2tleXdvcmQ+PGtleXdvcmQ+VHJvcGljYWw8L2tleXdv
cmQ+PGtleXdvcmQ+R3JlYXQgQmFycmllciBSZWVmPC9rZXl3b3JkPjwva2V5d29yZHM+PGRhdGVz
Pjx5ZWFyPjIwMTQ8L3llYXI+PC9kYXRlcz48aXNibj4wMDI1LTMyNlg8L2lzYm4+PHVybHM+PHJl
bGF0ZWQtdXJscz48dXJsPmh0dHA6Ly93d3cuc2NpZW5jZWRpcmVjdC5jb20vc2NpZW5jZS9hcnRp
Y2xlL3BpaS9TMDAyNTMyNlgxNDAwNDU1WDwvdXJsPjwvcmVsYXRlZC11cmxzPjwvdXJscz48ZWxl
Y3Ryb25pYy1yZXNvdXJjZS1udW0+aHR0cDovL2R4LmRvaS5vcmcvMTAuMTAxNi9qLm1hcnBvbGJ1
bC4yMDE0LjA3LjAxOTwvZWxlY3Ryb25pYy1yZXNvdXJjZS1udW0+PC9yZWNvcmQ+PC9DaXRlPjwv
RW5kTm90ZT5=
</w:fldData>
        </w:fldChar>
      </w:r>
      <w:r w:rsidR="003E5B3F">
        <w:rPr>
          <w:rFonts w:cs="Arial"/>
          <w:szCs w:val="22"/>
        </w:rPr>
        <w:instrText xml:space="preserve"> ADDIN EN.CITE.DATA </w:instrText>
      </w:r>
      <w:r w:rsidR="003E5B3F">
        <w:rPr>
          <w:rFonts w:cs="Arial"/>
          <w:szCs w:val="22"/>
        </w:rPr>
      </w:r>
      <w:r w:rsidR="003E5B3F">
        <w:rPr>
          <w:rFonts w:cs="Arial"/>
          <w:szCs w:val="22"/>
        </w:rPr>
        <w:fldChar w:fldCharType="end"/>
      </w:r>
      <w:r w:rsidR="003E5B3F">
        <w:rPr>
          <w:rFonts w:cs="Arial"/>
          <w:szCs w:val="22"/>
        </w:rPr>
      </w:r>
      <w:r w:rsidR="003E5B3F">
        <w:rPr>
          <w:rFonts w:cs="Arial"/>
          <w:szCs w:val="22"/>
        </w:rPr>
        <w:fldChar w:fldCharType="separate"/>
      </w:r>
      <w:hyperlink w:anchor="_ENREF_114" w:tooltip="McKenzie, 2014 #9961" w:history="1">
        <w:r w:rsidR="009A7AB4">
          <w:rPr>
            <w:rFonts w:cs="Arial"/>
            <w:noProof/>
            <w:szCs w:val="22"/>
          </w:rPr>
          <w:t>McKenzie</w:t>
        </w:r>
        <w:r w:rsidR="009A7AB4" w:rsidRPr="003E5B3F">
          <w:rPr>
            <w:rFonts w:cs="Arial"/>
            <w:i/>
            <w:noProof/>
            <w:szCs w:val="22"/>
          </w:rPr>
          <w:t xml:space="preserve"> et al.</w:t>
        </w:r>
        <w:r w:rsidR="009A7AB4">
          <w:rPr>
            <w:rFonts w:cs="Arial"/>
            <w:noProof/>
            <w:szCs w:val="22"/>
          </w:rPr>
          <w:t xml:space="preserve"> 2014c</w:t>
        </w:r>
      </w:hyperlink>
      <w:r w:rsidR="003E5B3F">
        <w:rPr>
          <w:rFonts w:cs="Arial"/>
          <w:noProof/>
          <w:szCs w:val="22"/>
        </w:rPr>
        <w:t xml:space="preserve">; </w:t>
      </w:r>
      <w:hyperlink w:anchor="_ENREF_36" w:tooltip="Collier, 2016 #12541" w:history="1">
        <w:r w:rsidR="009A7AB4">
          <w:rPr>
            <w:rFonts w:cs="Arial"/>
            <w:noProof/>
            <w:szCs w:val="22"/>
          </w:rPr>
          <w:t>Collier</w:t>
        </w:r>
        <w:r w:rsidR="009A7AB4" w:rsidRPr="003E5B3F">
          <w:rPr>
            <w:rFonts w:cs="Arial"/>
            <w:i/>
            <w:noProof/>
            <w:szCs w:val="22"/>
          </w:rPr>
          <w:t xml:space="preserve"> et al.</w:t>
        </w:r>
        <w:r w:rsidR="009A7AB4">
          <w:rPr>
            <w:rFonts w:cs="Arial"/>
            <w:noProof/>
            <w:szCs w:val="22"/>
          </w:rPr>
          <w:t xml:space="preserve"> 2016c</w:t>
        </w:r>
      </w:hyperlink>
      <w:r w:rsidR="003E5B3F">
        <w:rPr>
          <w:rFonts w:cs="Arial"/>
          <w:szCs w:val="22"/>
        </w:rPr>
        <w:fldChar w:fldCharType="end"/>
      </w:r>
      <w:r w:rsidRPr="005B050C">
        <w:rPr>
          <w:rFonts w:cs="Arial"/>
          <w:szCs w:val="22"/>
        </w:rPr>
        <w:t xml:space="preserve">). </w:t>
      </w:r>
      <w:r>
        <w:rPr>
          <w:rFonts w:cs="Arial"/>
          <w:szCs w:val="22"/>
        </w:rPr>
        <w:t>Improved understanding of what affects reproduction can help in the development of recovery models (</w:t>
      </w:r>
      <w:r w:rsidR="0036002F">
        <w:rPr>
          <w:rFonts w:cs="Arial"/>
          <w:szCs w:val="22"/>
        </w:rPr>
        <w:t xml:space="preserve">see task </w:t>
      </w:r>
      <w:r>
        <w:rPr>
          <w:rFonts w:cs="Arial"/>
          <w:szCs w:val="22"/>
        </w:rPr>
        <w:t>1</w:t>
      </w:r>
      <w:r w:rsidR="0036002F">
        <w:rPr>
          <w:rFonts w:cs="Arial"/>
          <w:szCs w:val="22"/>
        </w:rPr>
        <w:t xml:space="preserve"> above</w:t>
      </w:r>
      <w:r>
        <w:rPr>
          <w:rFonts w:cs="Arial"/>
          <w:szCs w:val="22"/>
        </w:rPr>
        <w:t>), for assessing risk (</w:t>
      </w:r>
      <w:r w:rsidR="0036002F">
        <w:rPr>
          <w:rFonts w:cs="Arial"/>
          <w:szCs w:val="22"/>
        </w:rPr>
        <w:t xml:space="preserve">task </w:t>
      </w:r>
      <w:r>
        <w:rPr>
          <w:rFonts w:cs="Arial"/>
          <w:szCs w:val="22"/>
        </w:rPr>
        <w:t>2) and for assessment of metric</w:t>
      </w:r>
      <w:r w:rsidR="007B116D">
        <w:rPr>
          <w:rFonts w:cs="Arial"/>
          <w:szCs w:val="22"/>
        </w:rPr>
        <w:t xml:space="preserve">s </w:t>
      </w:r>
      <w:r>
        <w:rPr>
          <w:rFonts w:cs="Arial"/>
          <w:szCs w:val="22"/>
        </w:rPr>
        <w:t>(</w:t>
      </w:r>
      <w:r w:rsidR="0036002F">
        <w:rPr>
          <w:rFonts w:cs="Arial"/>
          <w:szCs w:val="22"/>
        </w:rPr>
        <w:t xml:space="preserve">task </w:t>
      </w:r>
      <w:r w:rsidR="002908DE">
        <w:rPr>
          <w:rFonts w:cs="Arial"/>
          <w:szCs w:val="22"/>
        </w:rPr>
        <w:t>4</w:t>
      </w:r>
      <w:r>
        <w:rPr>
          <w:rFonts w:cs="Arial"/>
          <w:szCs w:val="22"/>
        </w:rPr>
        <w:t>)</w:t>
      </w:r>
      <w:r w:rsidR="007B116D">
        <w:rPr>
          <w:rFonts w:cs="Arial"/>
          <w:szCs w:val="22"/>
        </w:rPr>
        <w:t>,</w:t>
      </w:r>
      <w:r>
        <w:rPr>
          <w:rFonts w:cs="Arial"/>
          <w:szCs w:val="22"/>
        </w:rPr>
        <w:t xml:space="preserve"> and to underpin management strat</w:t>
      </w:r>
      <w:r w:rsidR="003E5B3F">
        <w:rPr>
          <w:rFonts w:cs="Arial"/>
          <w:szCs w:val="22"/>
        </w:rPr>
        <w:t>egies that enhance resilience.</w:t>
      </w:r>
    </w:p>
    <w:p w14:paraId="733A618F" w14:textId="77777777" w:rsidR="00932564" w:rsidRPr="00D562E2" w:rsidRDefault="00932564" w:rsidP="00932564">
      <w:pPr>
        <w:autoSpaceDE w:val="0"/>
        <w:autoSpaceDN w:val="0"/>
        <w:adjustRightInd w:val="0"/>
        <w:rPr>
          <w:rFonts w:cs="Arial"/>
          <w:szCs w:val="22"/>
          <w:lang w:val="en-US"/>
        </w:rPr>
      </w:pPr>
    </w:p>
    <w:p w14:paraId="21BD968C" w14:textId="77777777" w:rsidR="00932564" w:rsidRPr="00D562E2" w:rsidRDefault="00932564" w:rsidP="00AD06D4">
      <w:pPr>
        <w:numPr>
          <w:ilvl w:val="0"/>
          <w:numId w:val="4"/>
        </w:numPr>
        <w:rPr>
          <w:rFonts w:cs="Arial"/>
          <w:szCs w:val="22"/>
          <w:lang w:val="en-US"/>
        </w:rPr>
        <w:sectPr w:rsidR="00932564" w:rsidRPr="00D562E2" w:rsidSect="0085398A">
          <w:headerReference w:type="even" r:id="rId141"/>
          <w:headerReference w:type="default" r:id="rId142"/>
          <w:footerReference w:type="even" r:id="rId143"/>
          <w:footerReference w:type="default" r:id="rId144"/>
          <w:headerReference w:type="first" r:id="rId145"/>
          <w:footerReference w:type="first" r:id="rId146"/>
          <w:pgSz w:w="11900" w:h="16840"/>
          <w:pgMar w:top="1134" w:right="1418" w:bottom="1418" w:left="1418" w:header="709" w:footer="709" w:gutter="0"/>
          <w:cols w:space="708"/>
          <w:docGrid w:linePitch="360"/>
        </w:sectPr>
      </w:pPr>
    </w:p>
    <w:p w14:paraId="29901AEE" w14:textId="113227B7" w:rsidR="00932564" w:rsidRPr="00CB093C" w:rsidRDefault="00D71261" w:rsidP="008416AD">
      <w:pPr>
        <w:pStyle w:val="Heading1"/>
      </w:pPr>
      <w:bookmarkStart w:id="660" w:name="_Toc37775124"/>
      <w:bookmarkStart w:id="661" w:name="_Toc43987099"/>
      <w:r w:rsidRPr="00CB093C">
        <w:lastRenderedPageBreak/>
        <w:t>Conclus</w:t>
      </w:r>
      <w:r w:rsidR="00932564" w:rsidRPr="00CB093C">
        <w:t>ion</w:t>
      </w:r>
      <w:bookmarkEnd w:id="660"/>
      <w:bookmarkEnd w:id="661"/>
    </w:p>
    <w:p w14:paraId="5BBB22BD" w14:textId="2F8A203A" w:rsidR="003C10EC" w:rsidRPr="00D562E2" w:rsidRDefault="003C10EC" w:rsidP="003C10EC">
      <w:pPr>
        <w:rPr>
          <w:rFonts w:cs="Arial"/>
          <w:szCs w:val="22"/>
        </w:rPr>
      </w:pPr>
      <w:r w:rsidRPr="00D562E2">
        <w:rPr>
          <w:rFonts w:cs="Arial"/>
          <w:szCs w:val="22"/>
        </w:rPr>
        <w:t xml:space="preserve">This year inshore seagrass meadows across the </w:t>
      </w:r>
      <w:r w:rsidRPr="00D562E2">
        <w:rPr>
          <w:rFonts w:cs="Arial"/>
          <w:color w:val="000000" w:themeColor="text1"/>
          <w:szCs w:val="22"/>
        </w:rPr>
        <w:t xml:space="preserve">Reef </w:t>
      </w:r>
      <w:r w:rsidRPr="00D562E2">
        <w:rPr>
          <w:rFonts w:cs="Arial"/>
          <w:szCs w:val="22"/>
        </w:rPr>
        <w:t xml:space="preserve">declined </w:t>
      </w:r>
      <w:r w:rsidR="000A46DE">
        <w:rPr>
          <w:rFonts w:cs="Arial"/>
          <w:szCs w:val="22"/>
        </w:rPr>
        <w:t xml:space="preserve">for the second consecutive year </w:t>
      </w:r>
      <w:r w:rsidRPr="00D562E2">
        <w:rPr>
          <w:rFonts w:cs="Arial"/>
          <w:szCs w:val="22"/>
        </w:rPr>
        <w:t xml:space="preserve">in overall condition, </w:t>
      </w:r>
      <w:r w:rsidRPr="00D562E2">
        <w:rPr>
          <w:rFonts w:cs="Arial"/>
          <w:color w:val="000000" w:themeColor="text1"/>
          <w:szCs w:val="22"/>
        </w:rPr>
        <w:t xml:space="preserve">with the condition grade remaining </w:t>
      </w:r>
      <w:r w:rsidRPr="00D562E2">
        <w:rPr>
          <w:rFonts w:cs="Arial"/>
          <w:b/>
          <w:color w:val="000000" w:themeColor="text1"/>
          <w:szCs w:val="22"/>
        </w:rPr>
        <w:t>poor</w:t>
      </w:r>
      <w:r w:rsidRPr="00D562E2">
        <w:rPr>
          <w:rFonts w:cs="Arial"/>
          <w:szCs w:val="22"/>
        </w:rPr>
        <w:t xml:space="preserve">. Declines were primarily as a result of continued exposure to brown and green waters and the legacy of severe climate events in the previous year, which </w:t>
      </w:r>
      <w:r w:rsidR="00152F1D" w:rsidRPr="00D562E2">
        <w:rPr>
          <w:rFonts w:cs="Arial"/>
          <w:szCs w:val="22"/>
        </w:rPr>
        <w:t xml:space="preserve">has </w:t>
      </w:r>
      <w:r w:rsidRPr="00D562E2">
        <w:rPr>
          <w:rFonts w:cs="Arial"/>
          <w:szCs w:val="22"/>
        </w:rPr>
        <w:t xml:space="preserve">reduced resilience and increased vulnerability </w:t>
      </w:r>
      <w:r w:rsidR="00C47342">
        <w:rPr>
          <w:rFonts w:cs="Arial"/>
          <w:szCs w:val="22"/>
        </w:rPr>
        <w:t xml:space="preserve">of seagreass </w:t>
      </w:r>
      <w:r w:rsidRPr="00D562E2">
        <w:rPr>
          <w:rFonts w:cs="Arial"/>
          <w:szCs w:val="22"/>
        </w:rPr>
        <w:t>to future</w:t>
      </w:r>
      <w:r w:rsidR="00C47342">
        <w:rPr>
          <w:rFonts w:cs="Arial"/>
          <w:szCs w:val="22"/>
        </w:rPr>
        <w:t xml:space="preserve"> disturbances</w:t>
      </w:r>
      <w:r w:rsidRPr="00D562E2">
        <w:rPr>
          <w:rFonts w:cs="Arial"/>
          <w:szCs w:val="22"/>
        </w:rPr>
        <w:t>.</w:t>
      </w:r>
    </w:p>
    <w:p w14:paraId="125A8066" w14:textId="3F724FCF" w:rsidR="00C26C71" w:rsidRPr="00D562E2" w:rsidRDefault="00250AD6" w:rsidP="00250AD6">
      <w:pPr>
        <w:autoSpaceDE w:val="0"/>
        <w:autoSpaceDN w:val="0"/>
        <w:adjustRightInd w:val="0"/>
        <w:rPr>
          <w:rFonts w:cs="Arial"/>
          <w:szCs w:val="22"/>
        </w:rPr>
      </w:pPr>
      <w:r w:rsidRPr="00D562E2">
        <w:rPr>
          <w:rFonts w:cs="Arial"/>
          <w:szCs w:val="22"/>
        </w:rPr>
        <w:t xml:space="preserve">In </w:t>
      </w:r>
      <w:r w:rsidR="00956639" w:rsidRPr="00D562E2">
        <w:rPr>
          <w:rFonts w:cs="Arial"/>
          <w:szCs w:val="22"/>
        </w:rPr>
        <w:t>2018–19</w:t>
      </w:r>
      <w:r w:rsidRPr="00D562E2">
        <w:rPr>
          <w:rFonts w:cs="Arial"/>
          <w:szCs w:val="22"/>
        </w:rPr>
        <w:t xml:space="preserve">, the inshore seagrass of the </w:t>
      </w:r>
      <w:r w:rsidR="003158FC" w:rsidRPr="00D562E2">
        <w:rPr>
          <w:rFonts w:cs="Arial"/>
          <w:szCs w:val="22"/>
        </w:rPr>
        <w:t>Reef</w:t>
      </w:r>
      <w:r w:rsidRPr="00D562E2">
        <w:rPr>
          <w:rFonts w:cs="Arial"/>
          <w:szCs w:val="22"/>
        </w:rPr>
        <w:t xml:space="preserve"> was </w:t>
      </w:r>
      <w:r w:rsidR="00F30B60" w:rsidRPr="00D562E2">
        <w:rPr>
          <w:rFonts w:cs="Arial"/>
          <w:szCs w:val="22"/>
        </w:rPr>
        <w:t>graded</w:t>
      </w:r>
      <w:r w:rsidRPr="00D562E2">
        <w:rPr>
          <w:rFonts w:cs="Arial"/>
          <w:szCs w:val="22"/>
        </w:rPr>
        <w:t xml:space="preserve"> in a </w:t>
      </w:r>
      <w:r w:rsidRPr="00D562E2">
        <w:rPr>
          <w:rFonts w:cs="Arial"/>
          <w:b/>
          <w:szCs w:val="22"/>
        </w:rPr>
        <w:t>poor</w:t>
      </w:r>
      <w:r w:rsidRPr="00D562E2">
        <w:rPr>
          <w:rFonts w:cs="Arial"/>
          <w:szCs w:val="22"/>
        </w:rPr>
        <w:t xml:space="preserve"> condition in </w:t>
      </w:r>
      <w:r w:rsidR="006A636B" w:rsidRPr="00D562E2">
        <w:rPr>
          <w:rFonts w:cs="Arial"/>
          <w:szCs w:val="22"/>
        </w:rPr>
        <w:t>all</w:t>
      </w:r>
      <w:r w:rsidRPr="00D562E2">
        <w:rPr>
          <w:rFonts w:cs="Arial"/>
          <w:szCs w:val="22"/>
        </w:rPr>
        <w:t xml:space="preserve"> NRM regions</w:t>
      </w:r>
      <w:r w:rsidR="006A636B" w:rsidRPr="00D562E2">
        <w:rPr>
          <w:rFonts w:cs="Arial"/>
          <w:szCs w:val="22"/>
        </w:rPr>
        <w:t xml:space="preserve">: the northern section of the Wet Tropics NRM was graded as </w:t>
      </w:r>
      <w:r w:rsidR="004F0A9A">
        <w:rPr>
          <w:rFonts w:cs="Arial"/>
          <w:szCs w:val="22"/>
        </w:rPr>
        <w:t>m</w:t>
      </w:r>
      <w:r w:rsidR="004F0A9A" w:rsidRPr="00D562E2">
        <w:rPr>
          <w:rFonts w:cs="Arial"/>
          <w:szCs w:val="22"/>
        </w:rPr>
        <w:t xml:space="preserve">oderate </w:t>
      </w:r>
      <w:r w:rsidR="006A636B" w:rsidRPr="00D562E2">
        <w:rPr>
          <w:rFonts w:cs="Arial"/>
          <w:szCs w:val="22"/>
        </w:rPr>
        <w:t>however offset by the southern section which was graded as poor</w:t>
      </w:r>
      <w:r w:rsidR="000A46DE">
        <w:rPr>
          <w:rFonts w:cs="Arial"/>
          <w:szCs w:val="22"/>
        </w:rPr>
        <w:t xml:space="preserve">. The </w:t>
      </w:r>
      <w:r w:rsidR="005F0311">
        <w:rPr>
          <w:rFonts w:cs="Arial"/>
          <w:szCs w:val="22"/>
        </w:rPr>
        <w:t xml:space="preserve">southern Wet Tropics and </w:t>
      </w:r>
      <w:r w:rsidR="00B72AC4">
        <w:rPr>
          <w:rFonts w:cs="Arial"/>
          <w:szCs w:val="22"/>
        </w:rPr>
        <w:t>Burnett–Mary</w:t>
      </w:r>
      <w:r w:rsidR="000A46DE">
        <w:rPr>
          <w:rFonts w:cs="Arial"/>
          <w:szCs w:val="22"/>
        </w:rPr>
        <w:t xml:space="preserve"> </w:t>
      </w:r>
      <w:r w:rsidR="004F0A9A">
        <w:rPr>
          <w:rFonts w:cs="Arial"/>
          <w:szCs w:val="22"/>
        </w:rPr>
        <w:t xml:space="preserve">were </w:t>
      </w:r>
      <w:r w:rsidR="000A46DE">
        <w:rPr>
          <w:rFonts w:cs="Arial"/>
          <w:szCs w:val="22"/>
        </w:rPr>
        <w:t>the only region</w:t>
      </w:r>
      <w:r w:rsidR="005F0311">
        <w:rPr>
          <w:rFonts w:cs="Arial"/>
          <w:szCs w:val="22"/>
        </w:rPr>
        <w:t>s</w:t>
      </w:r>
      <w:r w:rsidR="000A46DE">
        <w:rPr>
          <w:rFonts w:cs="Arial"/>
          <w:szCs w:val="22"/>
        </w:rPr>
        <w:t xml:space="preserve"> to improve </w:t>
      </w:r>
      <w:r w:rsidR="005F0311">
        <w:rPr>
          <w:rFonts w:cs="Arial"/>
          <w:szCs w:val="22"/>
        </w:rPr>
        <w:t>their</w:t>
      </w:r>
      <w:r w:rsidR="000A46DE">
        <w:rPr>
          <w:rFonts w:cs="Arial"/>
          <w:szCs w:val="22"/>
        </w:rPr>
        <w:t xml:space="preserve"> grade, from very poor in the previous year to poor.</w:t>
      </w:r>
      <w:r w:rsidR="005F0311">
        <w:rPr>
          <w:rFonts w:cs="Arial"/>
          <w:szCs w:val="22"/>
        </w:rPr>
        <w:t xml:space="preserve"> </w:t>
      </w:r>
      <w:r w:rsidR="00C26C71" w:rsidRPr="00D562E2">
        <w:rPr>
          <w:rFonts w:cs="Arial"/>
          <w:szCs w:val="22"/>
        </w:rPr>
        <w:t>S</w:t>
      </w:r>
      <w:r w:rsidR="00EC56A0" w:rsidRPr="00D562E2">
        <w:rPr>
          <w:rFonts w:cs="Arial"/>
          <w:szCs w:val="22"/>
        </w:rPr>
        <w:t xml:space="preserve">eagrass condition in the </w:t>
      </w:r>
      <w:r w:rsidRPr="00D562E2">
        <w:rPr>
          <w:rFonts w:cs="Arial"/>
          <w:szCs w:val="22"/>
        </w:rPr>
        <w:t>Fitzr</w:t>
      </w:r>
      <w:r w:rsidR="00EC56A0" w:rsidRPr="00D562E2">
        <w:rPr>
          <w:rFonts w:cs="Arial"/>
          <w:szCs w:val="22"/>
        </w:rPr>
        <w:t>oy has</w:t>
      </w:r>
      <w:r w:rsidRPr="00D562E2">
        <w:rPr>
          <w:rFonts w:cs="Arial"/>
          <w:szCs w:val="22"/>
        </w:rPr>
        <w:t xml:space="preserve"> </w:t>
      </w:r>
      <w:r w:rsidR="0012203D">
        <w:rPr>
          <w:rFonts w:cs="Arial"/>
          <w:szCs w:val="22"/>
        </w:rPr>
        <w:t>been poor, or very poor</w:t>
      </w:r>
      <w:r w:rsidRPr="00D562E2">
        <w:rPr>
          <w:rFonts w:cs="Arial"/>
          <w:szCs w:val="22"/>
        </w:rPr>
        <w:t xml:space="preserve"> </w:t>
      </w:r>
      <w:r w:rsidR="00C13889" w:rsidRPr="00D562E2">
        <w:rPr>
          <w:rFonts w:cs="Arial"/>
          <w:szCs w:val="22"/>
        </w:rPr>
        <w:t xml:space="preserve">for </w:t>
      </w:r>
      <w:r w:rsidR="0012203D">
        <w:rPr>
          <w:rFonts w:cs="Arial"/>
          <w:szCs w:val="22"/>
        </w:rPr>
        <w:t>an extended period</w:t>
      </w:r>
      <w:r w:rsidR="00C13889" w:rsidRPr="00D562E2">
        <w:rPr>
          <w:rFonts w:cs="Arial"/>
          <w:szCs w:val="22"/>
        </w:rPr>
        <w:t xml:space="preserve"> </w:t>
      </w:r>
      <w:r w:rsidRPr="00D562E2">
        <w:rPr>
          <w:rFonts w:cs="Arial"/>
          <w:szCs w:val="22"/>
        </w:rPr>
        <w:t>including abundance and reproduction</w:t>
      </w:r>
      <w:r w:rsidR="00C26C71" w:rsidRPr="00D562E2">
        <w:rPr>
          <w:rFonts w:cs="Arial"/>
          <w:szCs w:val="22"/>
        </w:rPr>
        <w:t xml:space="preserve"> indicators</w:t>
      </w:r>
      <w:r w:rsidR="005F0311">
        <w:rPr>
          <w:rFonts w:cs="Arial"/>
          <w:szCs w:val="22"/>
        </w:rPr>
        <w:t>.</w:t>
      </w:r>
    </w:p>
    <w:p w14:paraId="110D9D86" w14:textId="61032D75" w:rsidR="00D71261" w:rsidRPr="00C063D9" w:rsidRDefault="00D71261" w:rsidP="00D71261">
      <w:pPr>
        <w:autoSpaceDE w:val="0"/>
        <w:autoSpaceDN w:val="0"/>
        <w:adjustRightInd w:val="0"/>
        <w:rPr>
          <w:rFonts w:cs="Arial"/>
          <w:szCs w:val="22"/>
        </w:rPr>
      </w:pPr>
      <w:r w:rsidRPr="00D562E2">
        <w:rPr>
          <w:rFonts w:cs="Arial"/>
          <w:szCs w:val="22"/>
        </w:rPr>
        <w:t xml:space="preserve">The </w:t>
      </w:r>
      <w:r w:rsidR="003158FC" w:rsidRPr="00D562E2">
        <w:rPr>
          <w:rFonts w:cs="Arial"/>
          <w:szCs w:val="22"/>
        </w:rPr>
        <w:t>Reef</w:t>
      </w:r>
      <w:r w:rsidRPr="00D562E2">
        <w:rPr>
          <w:rFonts w:cs="Arial"/>
          <w:szCs w:val="22"/>
        </w:rPr>
        <w:t xml:space="preserve"> occurs in a climate belt where variable rainfall patterns and cyclones, and increasingly in recent years </w:t>
      </w:r>
      <w:r w:rsidR="003158FC" w:rsidRPr="00D562E2">
        <w:rPr>
          <w:rFonts w:cs="Arial"/>
          <w:szCs w:val="22"/>
        </w:rPr>
        <w:t>—</w:t>
      </w:r>
      <w:r w:rsidRPr="00D562E2">
        <w:rPr>
          <w:rFonts w:cs="Arial"/>
          <w:szCs w:val="22"/>
        </w:rPr>
        <w:t xml:space="preserve"> marine heatwaves </w:t>
      </w:r>
      <w:r w:rsidR="003158FC" w:rsidRPr="00D562E2">
        <w:rPr>
          <w:rFonts w:cs="Arial"/>
          <w:szCs w:val="22"/>
        </w:rPr>
        <w:t>—</w:t>
      </w:r>
      <w:r w:rsidRPr="00D562E2">
        <w:rPr>
          <w:rFonts w:cs="Arial"/>
          <w:szCs w:val="22"/>
        </w:rPr>
        <w:t xml:space="preserve"> creates frequent disturbances moving up and down the 2,300 kilometre coastline creating complex and varied environmental conditions</w:t>
      </w:r>
      <w:r w:rsidR="003E5B3F">
        <w:rPr>
          <w:rFonts w:cs="Arial"/>
          <w:szCs w:val="22"/>
        </w:rPr>
        <w:t xml:space="preserve"> (</w:t>
      </w:r>
      <w:hyperlink w:anchor="_ENREF_9" w:tooltip="Babcock, 2019 #12135" w:history="1">
        <w:r w:rsidR="009A7AB4">
          <w:rPr>
            <w:rFonts w:cs="Arial"/>
            <w:szCs w:val="22"/>
          </w:rPr>
          <w:fldChar w:fldCharType="begin"/>
        </w:r>
        <w:r w:rsidR="009A7AB4">
          <w:rPr>
            <w:rFonts w:cs="Arial"/>
            <w:szCs w:val="22"/>
          </w:rPr>
          <w:instrText xml:space="preserve"> ADDIN EN.CITE &lt;EndNote&gt;&lt;Cite&gt;&lt;Author&gt;Babcock&lt;/Author&gt;&lt;Year&gt;2019&lt;/Year&gt;&lt;RecNum&gt;12135&lt;/RecNum&gt;&lt;DisplayText&gt;Babcock&lt;style face="italic"&gt; et al.&lt;/style&gt; 2019&lt;/DisplayText&gt;&lt;record&gt;&lt;rec-number&gt;12135&lt;/rec-number&gt;&lt;foreign-keys&gt;&lt;key app="EN" db-id="0eve55x9y5vfd6e9dacxtew4eatve2dzds9a" timestamp="1564134666"&gt;12135&lt;/key&gt;&lt;/foreign-keys&gt;&lt;ref-type name="Journal Article"&gt;17&lt;/ref-type&gt;&lt;contributors&gt;&lt;authors&gt;&lt;author&gt;Babcock,Russell C.&lt;/author&gt;&lt;author&gt;Bustamante,Rodrigo H.&lt;/author&gt;&lt;author&gt;Fulton,Elizabeth A.&lt;/author&gt;&lt;author&gt;Fulton,Derek J.&lt;/author&gt;&lt;author&gt;Haywood,Michael D. E.&lt;/author&gt;&lt;author&gt;Hobday,Alistair James&lt;/author&gt;&lt;author&gt;Kenyon,Robert&lt;/author&gt;&lt;author&gt;Matear,Richard James&lt;/author&gt;&lt;author&gt;Plagányi,Eva E.&lt;/author&gt;&lt;author&gt;Richardson,Anthony J.&lt;/author&gt;&lt;author&gt;Vanderklift,Mathew A.&lt;/author&gt;&lt;/authors&gt;&lt;/contributors&gt;&lt;titles&gt;&lt;title&gt;Severe Continental-Scale Impacts of Climate Change Are Happening Now: Extreme Climate Events Impact Marine Habitat Forming Communities Along 45% of Australia’s Coast&lt;/title&gt;&lt;secondary-title&gt;Frontiers in Marine Science&lt;/secondary-title&gt;&lt;short-title&gt;Extreme Climate Events impact 45% of Australian Coastline&lt;/short-title&gt;&lt;/titles&gt;&lt;periodical&gt;&lt;full-title&gt;Frontiers in Marine Science&lt;/full-title&gt;&lt;/periodical&gt;&lt;volume&gt;6&lt;/volume&gt;&lt;number&gt;411&lt;/number&gt;&lt;keywords&gt;&lt;keyword&gt;Kelp,coral,seagrass,Marine heat wave,modelling,ecosystem&lt;/keyword&gt;&lt;/keywords&gt;&lt;dates&gt;&lt;year&gt;2019&lt;/year&gt;&lt;pub-dates&gt;&lt;date&gt;2019-July-24&lt;/date&gt;&lt;/pub-dates&gt;&lt;/dates&gt;&lt;isbn&gt;2296-7745&lt;/isbn&gt;&lt;work-type&gt;Original Research&lt;/work-type&gt;&lt;urls&gt;&lt;related-urls&gt;&lt;url&gt;https://www.frontiersin.org/article/10.3389/fmars.2019.00411&lt;/url&gt;&lt;/related-urls&gt;&lt;/urls&gt;&lt;electronic-resource-num&gt;10.3389/fmars.2019.00411&lt;/electronic-resource-num&gt;&lt;language&gt;English&lt;/language&gt;&lt;/record&gt;&lt;/Cite&gt;&lt;/EndNote&gt;</w:instrText>
        </w:r>
        <w:r w:rsidR="009A7AB4">
          <w:rPr>
            <w:rFonts w:cs="Arial"/>
            <w:szCs w:val="22"/>
          </w:rPr>
          <w:fldChar w:fldCharType="separate"/>
        </w:r>
        <w:r w:rsidR="009A7AB4">
          <w:rPr>
            <w:rFonts w:cs="Arial"/>
            <w:noProof/>
            <w:szCs w:val="22"/>
          </w:rPr>
          <w:t>Babcock</w:t>
        </w:r>
        <w:r w:rsidR="009A7AB4" w:rsidRPr="00652AFB">
          <w:rPr>
            <w:rFonts w:cs="Arial"/>
            <w:i/>
            <w:noProof/>
            <w:szCs w:val="22"/>
          </w:rPr>
          <w:t xml:space="preserve"> et al.</w:t>
        </w:r>
        <w:r w:rsidR="009A7AB4">
          <w:rPr>
            <w:rFonts w:cs="Arial"/>
            <w:noProof/>
            <w:szCs w:val="22"/>
          </w:rPr>
          <w:t xml:space="preserve"> 2019</w:t>
        </w:r>
        <w:r w:rsidR="009A7AB4">
          <w:rPr>
            <w:rFonts w:cs="Arial"/>
            <w:szCs w:val="22"/>
          </w:rPr>
          <w:fldChar w:fldCharType="end"/>
        </w:r>
      </w:hyperlink>
      <w:r w:rsidR="003E5B3F">
        <w:rPr>
          <w:rFonts w:cs="Arial"/>
          <w:szCs w:val="22"/>
        </w:rPr>
        <w:t>)</w:t>
      </w:r>
      <w:r w:rsidR="00652AFB">
        <w:rPr>
          <w:rFonts w:cs="Arial"/>
          <w:szCs w:val="22"/>
        </w:rPr>
        <w:t xml:space="preserve">. </w:t>
      </w:r>
      <w:r w:rsidRPr="00D562E2">
        <w:rPr>
          <w:rFonts w:cs="Arial"/>
          <w:szCs w:val="22"/>
        </w:rPr>
        <w:t>Climatic conditions in 201</w:t>
      </w:r>
      <w:r w:rsidR="006A636B" w:rsidRPr="00D562E2">
        <w:rPr>
          <w:rFonts w:cs="Arial"/>
          <w:szCs w:val="22"/>
        </w:rPr>
        <w:t>8</w:t>
      </w:r>
      <w:r w:rsidR="00C0529C" w:rsidRPr="00C063D9">
        <w:rPr>
          <w:rFonts w:cs="Arial"/>
          <w:szCs w:val="22"/>
        </w:rPr>
        <w:t>–</w:t>
      </w:r>
      <w:r w:rsidRPr="00D562E2">
        <w:rPr>
          <w:rFonts w:cs="Arial"/>
          <w:szCs w:val="22"/>
        </w:rPr>
        <w:t>1</w:t>
      </w:r>
      <w:r w:rsidR="006A636B" w:rsidRPr="00D562E2">
        <w:rPr>
          <w:rFonts w:cs="Arial"/>
          <w:szCs w:val="22"/>
        </w:rPr>
        <w:t>9</w:t>
      </w:r>
      <w:r w:rsidRPr="00D562E2">
        <w:rPr>
          <w:rFonts w:cs="Arial"/>
          <w:szCs w:val="22"/>
        </w:rPr>
        <w:t xml:space="preserve"> were </w:t>
      </w:r>
      <w:r w:rsidR="004B5D71">
        <w:rPr>
          <w:rFonts w:cs="Arial"/>
          <w:szCs w:val="22"/>
        </w:rPr>
        <w:t>above</w:t>
      </w:r>
      <w:r w:rsidRPr="00D562E2">
        <w:rPr>
          <w:rFonts w:cs="Arial"/>
          <w:szCs w:val="22"/>
        </w:rPr>
        <w:t xml:space="preserve"> the long-term </w:t>
      </w:r>
      <w:r w:rsidRPr="00C063D9">
        <w:rPr>
          <w:rFonts w:cs="Arial"/>
          <w:szCs w:val="22"/>
        </w:rPr>
        <w:t xml:space="preserve">average. </w:t>
      </w:r>
      <w:r w:rsidR="00C47342">
        <w:rPr>
          <w:rFonts w:cs="Arial"/>
          <w:szCs w:val="22"/>
        </w:rPr>
        <w:t xml:space="preserve">For example, </w:t>
      </w:r>
      <w:r w:rsidRPr="00C063D9">
        <w:rPr>
          <w:rFonts w:cs="Arial"/>
          <w:szCs w:val="22"/>
        </w:rPr>
        <w:t xml:space="preserve"> rainfall and river discharge across all basins </w:t>
      </w:r>
      <w:r w:rsidR="00C063D9" w:rsidRPr="00C063D9">
        <w:rPr>
          <w:rFonts w:cs="Arial"/>
          <w:szCs w:val="22"/>
        </w:rPr>
        <w:t xml:space="preserve">from the central to far northern </w:t>
      </w:r>
      <w:r w:rsidR="003158FC" w:rsidRPr="00C063D9">
        <w:rPr>
          <w:rFonts w:cs="Arial"/>
          <w:szCs w:val="22"/>
        </w:rPr>
        <w:t>Reef</w:t>
      </w:r>
      <w:r w:rsidRPr="00C063D9">
        <w:rPr>
          <w:rFonts w:cs="Arial"/>
          <w:szCs w:val="22"/>
        </w:rPr>
        <w:t xml:space="preserve"> </w:t>
      </w:r>
      <w:r w:rsidR="00C063D9" w:rsidRPr="00C063D9">
        <w:rPr>
          <w:rFonts w:cs="Arial"/>
          <w:szCs w:val="22"/>
        </w:rPr>
        <w:t xml:space="preserve">regions </w:t>
      </w:r>
      <w:r w:rsidRPr="00C063D9">
        <w:rPr>
          <w:rFonts w:cs="Arial"/>
          <w:szCs w:val="22"/>
        </w:rPr>
        <w:t xml:space="preserve">during the </w:t>
      </w:r>
      <w:r w:rsidR="00956639" w:rsidRPr="00C063D9">
        <w:rPr>
          <w:rFonts w:cs="Arial"/>
          <w:szCs w:val="22"/>
        </w:rPr>
        <w:t>2018–19</w:t>
      </w:r>
      <w:r w:rsidRPr="00C063D9">
        <w:rPr>
          <w:rFonts w:cs="Arial"/>
          <w:szCs w:val="22"/>
        </w:rPr>
        <w:t xml:space="preserve"> w</w:t>
      </w:r>
      <w:r w:rsidR="00C063D9" w:rsidRPr="00C063D9">
        <w:rPr>
          <w:rFonts w:cs="Arial"/>
          <w:szCs w:val="22"/>
        </w:rPr>
        <w:t>et season exceeded their long-term medians</w:t>
      </w:r>
      <w:r w:rsidRPr="00C063D9">
        <w:rPr>
          <w:rFonts w:cs="Arial"/>
          <w:szCs w:val="22"/>
        </w:rPr>
        <w:t xml:space="preserve">, </w:t>
      </w:r>
      <w:r w:rsidR="00C063D9" w:rsidRPr="00C063D9">
        <w:rPr>
          <w:rFonts w:cs="Arial"/>
          <w:szCs w:val="22"/>
        </w:rPr>
        <w:t>while</w:t>
      </w:r>
      <w:r w:rsidRPr="00C063D9">
        <w:rPr>
          <w:rFonts w:cs="Arial"/>
          <w:szCs w:val="22"/>
        </w:rPr>
        <w:t xml:space="preserve"> below median discharges </w:t>
      </w:r>
      <w:r w:rsidR="00C063D9" w:rsidRPr="00C063D9">
        <w:rPr>
          <w:rFonts w:cs="Arial"/>
          <w:szCs w:val="22"/>
        </w:rPr>
        <w:t xml:space="preserve">occurred </w:t>
      </w:r>
      <w:r w:rsidRPr="00C063D9">
        <w:rPr>
          <w:rFonts w:cs="Arial"/>
          <w:szCs w:val="22"/>
        </w:rPr>
        <w:t xml:space="preserve">in the </w:t>
      </w:r>
      <w:r w:rsidR="00C063D9" w:rsidRPr="00C063D9">
        <w:rPr>
          <w:rFonts w:cs="Arial"/>
          <w:szCs w:val="22"/>
        </w:rPr>
        <w:t xml:space="preserve">southern Reef </w:t>
      </w:r>
      <w:r w:rsidR="0036002F">
        <w:rPr>
          <w:rFonts w:cs="Arial"/>
          <w:szCs w:val="22"/>
        </w:rPr>
        <w:t>regions.</w:t>
      </w:r>
    </w:p>
    <w:p w14:paraId="65E32D1C" w14:textId="601A9CA6" w:rsidR="00D71261" w:rsidRPr="00D562E2" w:rsidRDefault="00264FCA" w:rsidP="00AA1620">
      <w:pPr>
        <w:autoSpaceDE w:val="0"/>
        <w:autoSpaceDN w:val="0"/>
        <w:adjustRightInd w:val="0"/>
        <w:rPr>
          <w:rFonts w:cs="Arial"/>
          <w:szCs w:val="22"/>
          <w:lang w:val="en-GB"/>
        </w:rPr>
      </w:pPr>
      <w:r>
        <w:rPr>
          <w:rFonts w:cs="Arial"/>
          <w:szCs w:val="22"/>
        </w:rPr>
        <w:t>Three</w:t>
      </w:r>
      <w:r w:rsidR="00D71261" w:rsidRPr="00C063D9">
        <w:rPr>
          <w:rFonts w:cs="Arial"/>
          <w:szCs w:val="22"/>
        </w:rPr>
        <w:t xml:space="preserve"> </w:t>
      </w:r>
      <w:r w:rsidR="00D71261" w:rsidRPr="00C063D9">
        <w:rPr>
          <w:rFonts w:cs="Arial"/>
          <w:szCs w:val="22"/>
          <w:lang w:val="en-US"/>
        </w:rPr>
        <w:t xml:space="preserve">cyclones crossed the inshore areas of the </w:t>
      </w:r>
      <w:r w:rsidR="003158FC" w:rsidRPr="00C063D9">
        <w:rPr>
          <w:rFonts w:cs="Arial"/>
          <w:szCs w:val="22"/>
          <w:lang w:val="en-US"/>
        </w:rPr>
        <w:t>Reef</w:t>
      </w:r>
      <w:r w:rsidR="00D71261" w:rsidRPr="00C063D9">
        <w:rPr>
          <w:rFonts w:cs="Arial"/>
          <w:szCs w:val="22"/>
          <w:lang w:val="en-US"/>
        </w:rPr>
        <w:t xml:space="preserve"> in </w:t>
      </w:r>
      <w:r w:rsidR="00956639" w:rsidRPr="00C063D9">
        <w:rPr>
          <w:rFonts w:cs="Arial"/>
          <w:szCs w:val="22"/>
          <w:lang w:val="en-US"/>
        </w:rPr>
        <w:t>2018–19</w:t>
      </w:r>
      <w:r w:rsidR="00D71261" w:rsidRPr="00C063D9">
        <w:rPr>
          <w:rFonts w:cs="Arial"/>
          <w:szCs w:val="22"/>
          <w:lang w:val="en-US"/>
        </w:rPr>
        <w:t xml:space="preserve">, </w:t>
      </w:r>
      <w:r w:rsidR="00D71261" w:rsidRPr="00C063D9">
        <w:rPr>
          <w:rFonts w:cs="Arial"/>
          <w:szCs w:val="22"/>
        </w:rPr>
        <w:t xml:space="preserve">which may have </w:t>
      </w:r>
      <w:r w:rsidR="00C063D9">
        <w:rPr>
          <w:rFonts w:cs="Arial"/>
          <w:szCs w:val="22"/>
        </w:rPr>
        <w:t xml:space="preserve">elevated </w:t>
      </w:r>
      <w:r w:rsidR="00C063D9" w:rsidRPr="003F5659">
        <w:rPr>
          <w:rFonts w:cs="Arial"/>
          <w:color w:val="000000" w:themeColor="text1"/>
          <w:szCs w:val="22"/>
          <w:lang w:val="en-GB"/>
        </w:rPr>
        <w:t xml:space="preserve">exposure to ‘brown’ sediment-laden (1–4) and ‘green’ phytoplankton-rich waters (5), and </w:t>
      </w:r>
      <w:r w:rsidR="00D71261" w:rsidRPr="003F5659">
        <w:rPr>
          <w:rFonts w:cs="Arial"/>
          <w:szCs w:val="22"/>
        </w:rPr>
        <w:t>exacerbated inshore turbidity</w:t>
      </w:r>
      <w:r w:rsidR="00C063D9" w:rsidRPr="003F5659">
        <w:rPr>
          <w:rFonts w:cs="Arial"/>
          <w:szCs w:val="22"/>
        </w:rPr>
        <w:t xml:space="preserve"> and disturbance</w:t>
      </w:r>
      <w:r w:rsidR="00D71261" w:rsidRPr="003F5659">
        <w:rPr>
          <w:rFonts w:cs="Arial"/>
          <w:szCs w:val="22"/>
        </w:rPr>
        <w:t xml:space="preserve">, particularly in </w:t>
      </w:r>
      <w:r w:rsidR="0012203D">
        <w:rPr>
          <w:rFonts w:cs="Arial"/>
          <w:szCs w:val="22"/>
        </w:rPr>
        <w:t xml:space="preserve">the </w:t>
      </w:r>
      <w:r w:rsidR="00D71261" w:rsidRPr="003F5659">
        <w:rPr>
          <w:rFonts w:cs="Arial"/>
          <w:szCs w:val="22"/>
        </w:rPr>
        <w:t>far northern region.</w:t>
      </w:r>
      <w:r w:rsidR="00A63AA4" w:rsidRPr="003F5659">
        <w:rPr>
          <w:rFonts w:cs="Arial"/>
          <w:szCs w:val="22"/>
        </w:rPr>
        <w:t xml:space="preserve"> </w:t>
      </w:r>
      <w:r w:rsidR="00A63AA4" w:rsidRPr="003F5659">
        <w:rPr>
          <w:rFonts w:cs="Arial"/>
          <w:szCs w:val="22"/>
          <w:lang w:val="en-GB"/>
        </w:rPr>
        <w:t>T</w:t>
      </w:r>
      <w:r w:rsidR="00A63AA4" w:rsidRPr="003F5659">
        <w:rPr>
          <w:rFonts w:cs="Arial"/>
          <w:szCs w:val="22"/>
        </w:rPr>
        <w:t>he most significant environmental conditions affecting inshore seagrasses</w:t>
      </w:r>
      <w:r w:rsidR="00A63AA4" w:rsidRPr="003F5659">
        <w:rPr>
          <w:rFonts w:cs="Arial"/>
          <w:szCs w:val="22"/>
          <w:lang w:val="en-GB"/>
        </w:rPr>
        <w:t xml:space="preserve"> in </w:t>
      </w:r>
      <w:r w:rsidR="00956639" w:rsidRPr="003F5659">
        <w:rPr>
          <w:rFonts w:cs="Arial"/>
          <w:szCs w:val="22"/>
          <w:lang w:val="en-GB"/>
        </w:rPr>
        <w:t>2018–19</w:t>
      </w:r>
      <w:r w:rsidR="00A63AA4" w:rsidRPr="003F5659">
        <w:rPr>
          <w:rFonts w:cs="Arial"/>
          <w:szCs w:val="22"/>
        </w:rPr>
        <w:t xml:space="preserve"> were lower benthic light availability across nearly half the meadows monitored</w:t>
      </w:r>
      <w:r w:rsidR="00A63AA4" w:rsidRPr="003F5659">
        <w:rPr>
          <w:rFonts w:cs="Arial"/>
          <w:szCs w:val="22"/>
          <w:lang w:val="en-GB"/>
        </w:rPr>
        <w:t>,</w:t>
      </w:r>
      <w:r w:rsidR="003F5659" w:rsidRPr="003F5659">
        <w:rPr>
          <w:rFonts w:cs="Arial"/>
          <w:szCs w:val="22"/>
          <w:lang w:val="en-GB"/>
        </w:rPr>
        <w:t xml:space="preserve"> with l</w:t>
      </w:r>
      <w:r w:rsidR="003F5659" w:rsidRPr="003F5659">
        <w:rPr>
          <w:rFonts w:cs="Arial"/>
          <w:color w:val="000000" w:themeColor="text1"/>
          <w:szCs w:val="22"/>
        </w:rPr>
        <w:t>ight levels lower than annual light requirements (10 mol m</w:t>
      </w:r>
      <w:r w:rsidR="003F5659" w:rsidRPr="003F5659">
        <w:rPr>
          <w:rFonts w:cs="Arial"/>
          <w:color w:val="000000" w:themeColor="text1"/>
          <w:szCs w:val="22"/>
          <w:vertAlign w:val="superscript"/>
        </w:rPr>
        <w:t>-2</w:t>
      </w:r>
      <w:r w:rsidR="003F5659" w:rsidRPr="003F5659">
        <w:rPr>
          <w:rFonts w:cs="Arial"/>
          <w:color w:val="000000" w:themeColor="text1"/>
          <w:szCs w:val="22"/>
        </w:rPr>
        <w:t xml:space="preserve"> d</w:t>
      </w:r>
      <w:r w:rsidR="003F5659" w:rsidRPr="003F5659">
        <w:rPr>
          <w:rFonts w:cs="Arial"/>
          <w:color w:val="000000" w:themeColor="text1"/>
          <w:szCs w:val="22"/>
          <w:vertAlign w:val="superscript"/>
        </w:rPr>
        <w:t>-1</w:t>
      </w:r>
      <w:r w:rsidR="003F5659" w:rsidRPr="003F5659">
        <w:rPr>
          <w:rFonts w:cs="Arial"/>
          <w:color w:val="000000" w:themeColor="text1"/>
          <w:szCs w:val="22"/>
        </w:rPr>
        <w:t xml:space="preserve">) at </w:t>
      </w:r>
      <w:r w:rsidR="00BF2CF6">
        <w:rPr>
          <w:rFonts w:cs="Arial"/>
          <w:color w:val="000000" w:themeColor="text1"/>
          <w:szCs w:val="22"/>
        </w:rPr>
        <w:t>six</w:t>
      </w:r>
      <w:r w:rsidR="003F5659" w:rsidRPr="003F5659">
        <w:rPr>
          <w:rFonts w:cs="Arial"/>
          <w:color w:val="000000" w:themeColor="text1"/>
          <w:szCs w:val="22"/>
        </w:rPr>
        <w:t xml:space="preserve"> locations</w:t>
      </w:r>
      <w:r w:rsidR="00BF2CF6">
        <w:rPr>
          <w:rFonts w:cs="Arial"/>
          <w:color w:val="000000" w:themeColor="text1"/>
          <w:szCs w:val="22"/>
        </w:rPr>
        <w:t>, and lower than the long-term average at 13 locations</w:t>
      </w:r>
      <w:r w:rsidR="00A63AA4" w:rsidRPr="003F5659">
        <w:rPr>
          <w:rFonts w:cs="Arial"/>
          <w:szCs w:val="22"/>
        </w:rPr>
        <w:t>.</w:t>
      </w:r>
      <w:r w:rsidR="00AA1620">
        <w:rPr>
          <w:rFonts w:cs="Arial"/>
          <w:szCs w:val="22"/>
        </w:rPr>
        <w:t xml:space="preserve"> The</w:t>
      </w:r>
      <w:r w:rsidR="00D71261" w:rsidRPr="00D562E2">
        <w:rPr>
          <w:rFonts w:cs="Arial"/>
          <w:szCs w:val="22"/>
        </w:rPr>
        <w:t xml:space="preserve"> legacy </w:t>
      </w:r>
      <w:r w:rsidR="00AA1620">
        <w:rPr>
          <w:rFonts w:cs="Arial"/>
          <w:szCs w:val="22"/>
        </w:rPr>
        <w:t xml:space="preserve">effects </w:t>
      </w:r>
      <w:r w:rsidR="00D71261" w:rsidRPr="00D562E2">
        <w:rPr>
          <w:rFonts w:cs="Arial"/>
          <w:szCs w:val="22"/>
        </w:rPr>
        <w:t>of severe climate events in previous year</w:t>
      </w:r>
      <w:r w:rsidR="00AA1620">
        <w:rPr>
          <w:rFonts w:cs="Arial"/>
          <w:szCs w:val="22"/>
        </w:rPr>
        <w:t>s</w:t>
      </w:r>
      <w:r w:rsidR="00D71261" w:rsidRPr="00D562E2">
        <w:rPr>
          <w:rFonts w:cs="Arial"/>
          <w:szCs w:val="22"/>
        </w:rPr>
        <w:t xml:space="preserve"> (e.g. cyclone Debbie and associated flooding), coup</w:t>
      </w:r>
      <w:r w:rsidR="0036002F">
        <w:rPr>
          <w:rFonts w:cs="Arial"/>
          <w:szCs w:val="22"/>
        </w:rPr>
        <w:t xml:space="preserve">led with </w:t>
      </w:r>
      <w:r w:rsidR="0036002F">
        <w:rPr>
          <w:rFonts w:cs="Arial"/>
          <w:szCs w:val="22"/>
        </w:rPr>
        <w:lastRenderedPageBreak/>
        <w:t>elevated temperatures</w:t>
      </w:r>
      <w:r w:rsidR="00AA1620">
        <w:rPr>
          <w:rFonts w:cs="Arial"/>
          <w:szCs w:val="22"/>
        </w:rPr>
        <w:t xml:space="preserve"> continues to be reflected in the condition of some meadows</w:t>
      </w:r>
      <w:r w:rsidR="0036002F">
        <w:rPr>
          <w:rFonts w:cs="Arial"/>
          <w:szCs w:val="22"/>
        </w:rPr>
        <w:t>.</w:t>
      </w:r>
    </w:p>
    <w:p w14:paraId="273726BF" w14:textId="6EF0C10B" w:rsidR="0038518E" w:rsidRPr="00D562E2" w:rsidRDefault="00D71261" w:rsidP="00250AD6">
      <w:pPr>
        <w:autoSpaceDE w:val="0"/>
        <w:autoSpaceDN w:val="0"/>
        <w:adjustRightInd w:val="0"/>
        <w:rPr>
          <w:rFonts w:cs="Arial"/>
          <w:szCs w:val="22"/>
        </w:rPr>
      </w:pPr>
      <w:r w:rsidRPr="00D562E2">
        <w:rPr>
          <w:rFonts w:cs="Arial"/>
          <w:szCs w:val="22"/>
        </w:rPr>
        <w:t xml:space="preserve">Tropical seagrasses of the Reef are a mosaic of different habitat types with multiple seagrass species assemblages. </w:t>
      </w:r>
      <w:r w:rsidR="00250AD6" w:rsidRPr="00D562E2">
        <w:rPr>
          <w:rFonts w:cs="Arial"/>
          <w:szCs w:val="22"/>
        </w:rPr>
        <w:t xml:space="preserve">At a habitat level, </w:t>
      </w:r>
      <w:r w:rsidR="00523A8A" w:rsidRPr="00D562E2">
        <w:rPr>
          <w:rFonts w:cs="Arial"/>
          <w:szCs w:val="22"/>
        </w:rPr>
        <w:t>those</w:t>
      </w:r>
      <w:r w:rsidR="00250AD6" w:rsidRPr="00D562E2">
        <w:rPr>
          <w:rFonts w:cs="Arial"/>
          <w:szCs w:val="22"/>
        </w:rPr>
        <w:t xml:space="preserve"> in poorest condition were </w:t>
      </w:r>
      <w:r w:rsidR="00C47342">
        <w:rPr>
          <w:rFonts w:cs="Arial"/>
          <w:szCs w:val="22"/>
        </w:rPr>
        <w:t xml:space="preserve">seagrass within </w:t>
      </w:r>
      <w:r w:rsidR="00250AD6" w:rsidRPr="00D562E2">
        <w:rPr>
          <w:rFonts w:cs="Arial"/>
          <w:szCs w:val="22"/>
        </w:rPr>
        <w:t>reef habitats</w:t>
      </w:r>
      <w:r w:rsidR="00C47342">
        <w:rPr>
          <w:rFonts w:cs="Arial"/>
          <w:szCs w:val="22"/>
        </w:rPr>
        <w:t xml:space="preserve">, specifically </w:t>
      </w:r>
      <w:r w:rsidR="00250AD6" w:rsidRPr="00D562E2">
        <w:rPr>
          <w:rFonts w:cs="Arial"/>
          <w:szCs w:val="22"/>
        </w:rPr>
        <w:t xml:space="preserve">intertidal </w:t>
      </w:r>
      <w:r w:rsidR="0034784B" w:rsidRPr="00D562E2">
        <w:rPr>
          <w:rFonts w:cs="Arial"/>
          <w:szCs w:val="22"/>
        </w:rPr>
        <w:t xml:space="preserve">and subtidal </w:t>
      </w:r>
      <w:r w:rsidR="00AB6A10" w:rsidRPr="00D562E2">
        <w:rPr>
          <w:rFonts w:cs="Arial"/>
          <w:szCs w:val="22"/>
        </w:rPr>
        <w:t xml:space="preserve">reef </w:t>
      </w:r>
      <w:r w:rsidR="00250AD6" w:rsidRPr="00D562E2">
        <w:rPr>
          <w:rFonts w:cs="Arial"/>
          <w:szCs w:val="22"/>
        </w:rPr>
        <w:t xml:space="preserve">habitats </w:t>
      </w:r>
      <w:r w:rsidR="00C26C71" w:rsidRPr="00D562E2">
        <w:rPr>
          <w:rFonts w:cs="Arial"/>
          <w:szCs w:val="22"/>
        </w:rPr>
        <w:t xml:space="preserve">which </w:t>
      </w:r>
      <w:r w:rsidR="00250AD6" w:rsidRPr="00D562E2">
        <w:rPr>
          <w:rFonts w:cs="Arial"/>
          <w:szCs w:val="22"/>
        </w:rPr>
        <w:t xml:space="preserve">have consistently had </w:t>
      </w:r>
      <w:r w:rsidR="00C47342">
        <w:rPr>
          <w:rFonts w:cs="Arial"/>
          <w:szCs w:val="22"/>
        </w:rPr>
        <w:t xml:space="preserve">seagrass with </w:t>
      </w:r>
      <w:r w:rsidR="00250AD6" w:rsidRPr="00D562E2">
        <w:rPr>
          <w:rFonts w:cs="Arial"/>
          <w:szCs w:val="22"/>
        </w:rPr>
        <w:t xml:space="preserve">very poor reproductive effort and low </w:t>
      </w:r>
      <w:r w:rsidR="0034784B" w:rsidRPr="00D562E2">
        <w:rPr>
          <w:rFonts w:cs="Arial"/>
          <w:szCs w:val="22"/>
        </w:rPr>
        <w:t xml:space="preserve">or no </w:t>
      </w:r>
      <w:r w:rsidR="00250AD6" w:rsidRPr="00D562E2">
        <w:rPr>
          <w:rFonts w:cs="Arial"/>
          <w:szCs w:val="22"/>
        </w:rPr>
        <w:t>seeds in the seed banks</w:t>
      </w:r>
      <w:r w:rsidR="00C47342">
        <w:rPr>
          <w:rFonts w:cs="Arial"/>
          <w:szCs w:val="22"/>
        </w:rPr>
        <w:t xml:space="preserve">. Seagrass within </w:t>
      </w:r>
      <w:r w:rsidR="00250AD6" w:rsidRPr="00D562E2">
        <w:rPr>
          <w:rFonts w:cs="Arial"/>
          <w:szCs w:val="22"/>
        </w:rPr>
        <w:t xml:space="preserve">subtidal </w:t>
      </w:r>
      <w:r w:rsidR="00AB6A10" w:rsidRPr="00D562E2">
        <w:rPr>
          <w:rFonts w:cs="Arial"/>
          <w:szCs w:val="22"/>
        </w:rPr>
        <w:t xml:space="preserve">reef </w:t>
      </w:r>
      <w:r w:rsidR="00250AD6" w:rsidRPr="00D562E2">
        <w:rPr>
          <w:rFonts w:cs="Arial"/>
          <w:szCs w:val="22"/>
        </w:rPr>
        <w:t xml:space="preserve">habitats have shown </w:t>
      </w:r>
      <w:r w:rsidR="0038518E" w:rsidRPr="00D562E2">
        <w:rPr>
          <w:rFonts w:cs="Arial"/>
          <w:szCs w:val="22"/>
        </w:rPr>
        <w:t xml:space="preserve">variable or </w:t>
      </w:r>
      <w:r w:rsidR="00250AD6" w:rsidRPr="00D562E2">
        <w:rPr>
          <w:rFonts w:cs="Arial"/>
          <w:szCs w:val="22"/>
        </w:rPr>
        <w:t>little sign of recovery in abundance following 2011.</w:t>
      </w:r>
    </w:p>
    <w:p w14:paraId="70B669F5" w14:textId="77777777" w:rsidR="00FD7498" w:rsidRPr="00D562E2" w:rsidRDefault="00FD7498" w:rsidP="00523A8A">
      <w:pPr>
        <w:autoSpaceDE w:val="0"/>
        <w:autoSpaceDN w:val="0"/>
        <w:adjustRightInd w:val="0"/>
        <w:rPr>
          <w:rFonts w:cs="Arial"/>
          <w:i/>
          <w:szCs w:val="22"/>
        </w:rPr>
      </w:pPr>
      <w:r w:rsidRPr="00D562E2">
        <w:rPr>
          <w:rFonts w:cs="Arial"/>
          <w:i/>
          <w:szCs w:val="22"/>
        </w:rPr>
        <w:t>Trends</w:t>
      </w:r>
    </w:p>
    <w:p w14:paraId="568FABCD" w14:textId="51A1EA0D" w:rsidR="00523A8A" w:rsidRPr="00D562E2" w:rsidRDefault="00523A8A" w:rsidP="00523A8A">
      <w:pPr>
        <w:autoSpaceDE w:val="0"/>
        <w:autoSpaceDN w:val="0"/>
        <w:adjustRightInd w:val="0"/>
        <w:rPr>
          <w:rFonts w:cs="Arial"/>
          <w:szCs w:val="22"/>
        </w:rPr>
      </w:pPr>
      <w:r w:rsidRPr="00D562E2">
        <w:rPr>
          <w:rFonts w:cs="Arial"/>
          <w:szCs w:val="22"/>
        </w:rPr>
        <w:t xml:space="preserve">Seagrass meadows </w:t>
      </w:r>
      <w:r w:rsidR="00D45F8F" w:rsidRPr="00D562E2">
        <w:rPr>
          <w:rFonts w:cs="Arial"/>
          <w:szCs w:val="22"/>
        </w:rPr>
        <w:t xml:space="preserve">of the Reef </w:t>
      </w:r>
      <w:r w:rsidRPr="00D562E2">
        <w:rPr>
          <w:rFonts w:cs="Arial"/>
          <w:szCs w:val="22"/>
        </w:rPr>
        <w:t xml:space="preserve">are dynamic, with large changes in abundance being seemingly typical (e.g. </w:t>
      </w:r>
      <w:r w:rsidRPr="00D562E2">
        <w:rPr>
          <w:rFonts w:cs="Arial"/>
          <w:szCs w:val="22"/>
        </w:rPr>
        <w:fldChar w:fldCharType="begin">
          <w:fldData xml:space="preserve">PEVuZE5vdGU+PENpdGU+PEF1dGhvcj5CaXJjaDwvQXV0aG9yPjxZZWFyPjE5ODQ8L1llYXI+PFJl
Y051bT4xNzc8L1JlY051bT48RGlzcGxheVRleHQ+QmlyY2ggYW5kIEJpcmNoIDE5ODQ7IFByZWVu
PHN0eWxlIGZhY2U9Iml0YWxpYyI+IGV0IGFsLjwvc3R5bGU+IDE5OTU7IENhbXBiZWxsIGFuZCBN
Y0tlbnppZSAyMDA0OyBXYXljb3R0PHN0eWxlIGZhY2U9Iml0YWxpYyI+IGV0IGFsLjwvc3R5bGU+
IDIwMDc8L0Rpc3BsYXlUZXh0PjxyZWNvcmQ+PHJlYy1udW1iZXI+MTc3PC9yZWMtbnVtYmVyPjxm
b3JlaWduLWtleXM+PGtleSBhcHA9IkVOIiBkYi1pZD0iMGV2ZTU1eDl5NXZmZDZlOWRhY3h0ZXc0
ZWF0dmUyZHpkczlhIiB0aW1lc3RhbXA9IjAiPjE3Nzwva2V5PjwvZm9yZWlnbi1rZXlzPjxyZWYt
dHlwZSBuYW1lPSJKb3VybmFsIEFydGljbGUiPjE3PC9yZWYtdHlwZT48Y29udHJpYnV0b3JzPjxh
dXRob3JzPjxhdXRob3I+QmlyY2gsIFdSPC9hdXRob3I+PGF1dGhvcj5CaXJjaCwgTTwvYXV0aG9y
PjwvYXV0aG9ycz48L2NvbnRyaWJ1dG9ycz48dGl0bGVzPjx0aXRsZT5TdWNjZXNzaW9uIGFuZCBw
YXR0ZXJuIG9mIHRyb3BpY2FsIGludGVydGlkYWwgc2VhZ3Jhc3NlcyBpbiBDb2NrbGUgQmF5LCBR
dWVlbnNsYW5kLCBBdXN0cmFsaWE6IGEgZGVjYWRlIG9mIG9ic2VydmF0aW9uczwvdGl0bGU+PHNl
Y29uZGFyeS10aXRsZT5BcXVhdGljIEJvdGFueTwvc2Vjb25kYXJ5LXRpdGxlPjxhbHQtdGl0bGU+
QXF1YXQuIEJvdC48L2FsdC10aXRsZT48L3RpdGxlcz48cGVyaW9kaWNhbD48ZnVsbC10aXRsZT5B
cXVhdGljIEJvdGFueTwvZnVsbC10aXRsZT48L3BlcmlvZGljYWw+PHBhZ2VzPjM0My0zNjc8L3Bh
Z2VzPjx2b2x1bWU+MTk8L3ZvbHVtZT48a2V5d29yZHM+PGtleXdvcmQ+TUNLRU5aSUUgMTk5Njwv
a2V5d29yZD48a2V5d29yZD5NT1VSSUxZQU48L2tleXdvcmQ+PC9rZXl3b3Jkcz48ZGF0ZXM+PHll
YXI+MTk4NDwveWVhcj48L2RhdGVzPjxsYWJlbD4xMzA8L2xhYmVsPjx1cmxzPjwvdXJscz48Y3Vz
dG9tMT5Bbm5leDwvY3VzdG9tMT48L3JlY29yZD48L0NpdGU+PENpdGU+PEF1dGhvcj5DYW1wYmVs
bDwvQXV0aG9yPjxZZWFyPjIwMDQ8L1llYXI+PFJlY051bT4yODM4PC9SZWNOdW0+PHJlY29yZD48
cmVjLW51bWJlcj4yODM4PC9yZWMtbnVtYmVyPjxmb3JlaWduLWtleXM+PGtleSBhcHA9IkVOIiBk
Yi1pZD0iMGV2ZTU1eDl5NXZmZDZlOWRhY3h0ZXc0ZWF0dmUyZHpkczlhIiB0aW1lc3RhbXA9IjAi
PjI4Mzg8L2tleT48L2ZvcmVpZ24ta2V5cz48cmVmLXR5cGUgbmFtZT0iSm91cm5hbCBBcnRpY2xl
Ij4xNzwvcmVmLXR5cGU+PGNvbnRyaWJ1dG9ycz48YXV0aG9ycz48YXV0aG9yPkNhbXBiZWxsLCBT
dHVhcnQgSi48L2F1dGhvcj48YXV0aG9yPk1jS2VuemllLCBMZW4gSi48L2F1dGhvcj48L2F1dGhv
cnM+PC9jb250cmlidXRvcnM+PHRpdGxlcz48dGl0bGU+Rmxvb2QgcmVsYXRlZCBsb3NzIGFuZCBy
ZWNvdmVyeSBvZiBpbnRlcnRpZGFsIHNlYWdyYXNzIG1lYWRvd3MgaW4gc291dGhlcm4gUXVlZW5z
bGFuZCwgQXVzdHJhbGlhPC90aXRsZT48c2Vjb25kYXJ5LXRpdGxlPkVzdHVhcmluZSwgQ29hc3Rh
bCBhbmQgU2hlbGYgU2NpZW5jZTwvc2Vjb25kYXJ5LXRpdGxlPjwvdGl0bGVzPjxwZXJpb2RpY2Fs
PjxmdWxsLXRpdGxlPkVzdHVhcmluZSwgQ29hc3RhbCBhbmQgU2hlbGYgU2NpZW5jZTwvZnVsbC10
aXRsZT48L3BlcmlvZGljYWw+PHBhZ2VzPjQ3Ny00OTA8L3BhZ2VzPjx2b2x1bWU+NjA8L3ZvbHVt
ZT48bnVtYmVyPjM8L251bWJlcj48ZGF0ZXM+PHllYXI+MjAwNDwveWVhcj48cHViLWRhdGVzPjxk
YXRlPjIwMDQvNzwvZGF0ZT48L3B1Yi1kYXRlcz48L2RhdGVzPjx1cmxzPjxyZWxhdGVkLXVybHM+
PHVybD5odHRwOi8vd3d3LnNjaWVuY2VkaXJlY3QuY29tL3NjaWVuY2UvYXJ0aWNsZS9CNldEVi00
QzRCSlI1LTUvMi8xNTQ4MTA5ODcyMDJmYzZkMjdiYTZmYTM1YzA3ZjE5NzwvdXJsPjwvcmVsYXRl
ZC11cmxzPjwvdXJscz48L3JlY29yZD48L0NpdGU+PENpdGU+PEF1dGhvcj5QcmVlbjwvQXV0aG9y
PjxZZWFyPjE5OTU8L1llYXI+PFJlY051bT45NTA8L1JlY051bT48cmVjb3JkPjxyZWMtbnVtYmVy
Pjk1MDwvcmVjLW51bWJlcj48Zm9yZWlnbi1rZXlzPjxrZXkgYXBwPSJFTiIgZGItaWQ9IjBldmU1
NXg5eTV2ZmQ2ZTlkYWN4dGV3NGVhdHZlMmR6ZHM5YSIgdGltZXN0YW1wPSIwIj45NTA8L2tleT48
L2ZvcmVpZ24ta2V5cz48cmVmLXR5cGUgbmFtZT0iSm91cm5hbCBBcnRpY2xlIj4xNzwvcmVmLXR5
cGU+PGNvbnRyaWJ1dG9ycz48YXV0aG9ycz48YXV0aG9yPlByZWVuLCBBbnRob255IFIuPC9hdXRo
b3I+PGF1dGhvcj5MZWUgTG9uZywgV2FycmVuIEouPC9hdXRob3I+PGF1dGhvcj5Db2xlcywgUm9i
ZXJ0IEcuPC9hdXRob3I+PC9hdXRob3JzPjwvY29udHJpYnV0b3JzPjx0aXRsZXM+PHRpdGxlPjxz
dHlsZSBmYWNlPSJub3JtYWwiIGZvbnQ9ImRlZmF1bHQiIHNpemU9IjEwMCUiPkZsb29kIGFuZCBj
eWNsb25lIHJlbGF0ZWQgbG9zcywgYW5kIHBhcnRpYWwgcmVjb3ZlcnksIG9mIG1vcmUgdGhhbiAx
LDAwMCBrbTwvc3R5bGU+PHN0eWxlIGZhY2U9InN1cGVyc2NyaXB0IiBmb250PSJkZWZhdWx0IiBz
aXplPSIxMDAlIj4yPC9zdHlsZT48c3R5bGUgZmFjZT0ibm9ybWFsIiBmb250PSJkZWZhdWx0IiBz
aXplPSIxMDAlIj4gb2Ygc2VhZ3Jhc3MgaW4gSGVydmV5IEJheSwgUXVlZW5zbGFuZCwgQXVzdHJh
bGlhPC9zdHlsZT48L3RpdGxlPjxzZWNvbmRhcnktdGl0bGU+QXF1YXRpYyBCb3Rhbnk8L3NlY29u
ZGFyeS10aXRsZT48YWx0LXRpdGxlPkFxdWF0LiBCb3QuPC9hbHQtdGl0bGU+PC90aXRsZXM+PHBl
cmlvZGljYWw+PGZ1bGwtdGl0bGU+QXF1YXRpYyBCb3Rhbnk8L2Z1bGwtdGl0bGU+PC9wZXJpb2Rp
Y2FsPjxwYWdlcz4zLTE3PC9wYWdlcz48dm9sdW1lPjUyPC92b2x1bWU+PGtleXdvcmRzPjxrZXl3
b3JkPlNlYWdyYXNzLCBEaWUgb2ZmLCBDeWNsb25lUmVjb3Zlcnk8L2tleXdvcmQ+PC9rZXl3b3Jk
cz48ZGF0ZXM+PHllYXI+MTk5NTwveWVhcj48L2RhdGVzPjx1cmxzPjwvdXJscz48Y3VzdG9tMT5B
bm5leC4gTGVuIE1jS2VuemllIENvbGxlY3Rpb248L2N1c3RvbTE+PC9yZWNvcmQ+PC9DaXRlPjxD
aXRlPjxBdXRob3I+V2F5Y290dDwvQXV0aG9yPjxZZWFyPjIwMDc8L1llYXI+PFJlY051bT45MTMz
PC9SZWNOdW0+PHJlY29yZD48cmVjLW51bWJlcj45MTMzPC9yZWMtbnVtYmVyPjxmb3JlaWduLWtl
eXM+PGtleSBhcHA9IkVOIiBkYi1pZD0iMGV2ZTU1eDl5NXZmZDZlOWRhY3h0ZXc0ZWF0dmUyZHpk
czlhIiB0aW1lc3RhbXA9IjEzNzQ5ODQ1OTQiPjkxMzM8L2tleT48L2ZvcmVpZ24ta2V5cz48cmVm
LXR5cGUgbmFtZT0iQm9vayBTZWN0aW9uIj41PC9yZWYtdHlwZT48Y29udHJpYnV0b3JzPjxhdXRo
b3JzPjxhdXRob3I+V2F5Y290dCwgTS48L2F1dGhvcj48YXV0aG9yPkNvbGxpZXIsIEMuPC9hdXRo
b3I+PGF1dGhvcj5NY01haG9uLCBLLjwvYXV0aG9yPjxhdXRob3I+UmFscGgsIFAuSi48L2F1dGhv
cj48YXV0aG9yPk1jS2VuemllLCBMZW4gSi48L2F1dGhvcj48YXV0aG9yPlVkeSwgSi5XLjwvYXV0
aG9yPjxhdXRob3I+R3JlY2gsIEEuPC9hdXRob3I+PC9hdXRob3JzPjxzZWNvbmRhcnktYXV0aG9y
cz48YXV0aG9yPkpvaG5zb24sIEouRS4gPC9hdXRob3I+PGF1dGhvcj5NYXJzaGFsbCwgUC5BLjwv
YXV0aG9yPjwvc2Vjb25kYXJ5LWF1dGhvcnM+PC9jb250cmlidXRvcnM+PHRpdGxlcz48dGl0bGU+
VnVsbmVyYWJpbGl0eSBvZiBzZWFncmFzc2VzIGluIHRoZSBHcmVhdCBCYXJyaWVyIFJlZWYgdG8g
Y2xpbWF0ZSBjaGFuZ2UgLSBDaGFwdGVyIDg6IDwvdGl0bGU+PHNlY29uZGFyeS10aXRsZT5DbGlt
YXRlIENoYW5nZSBhbmQgdGhlIEdyZWF0IEJhcnJpZXIgUmVlZjogQSBWdWxuZXJhYmlsaXR5IEFz
c2Vzc21lbnQsIFBhcnQgSUk6IFNwZWNpZXMgYW5kIHNwZWNpZXMgZ3JvdXBzPC9zZWNvbmRhcnkt
dGl0bGU+PC90aXRsZXM+PHBhZ2VzPjE5My0yMzY8L3BhZ2VzPjxkYXRlcz48eWVhcj4yMDA3PC95
ZWFyPjwvZGF0ZXM+PHB1Yi1sb2NhdGlvbj5Ub3duc3ZpbGxlPC9wdWItbG9jYXRpb24+PHB1Ymxp
c2hlcj5HcmVhdCBCYXJyaWVyIFJlZWYgTWFyaW5lIFBhcmsgQXV0aG9yaXR5ICAgICA8L3B1Ymxp
c2hlcj48aXNibj45NzgtMS04NzY5NC01NjEtOTwvaXNibj48dXJscz48L3VybHM+PC9yZWNvcmQ+
PC9DaXRlPjwvRW5kTm90ZT4A
</w:fldData>
        </w:fldChar>
      </w:r>
      <w:r w:rsidRPr="00D562E2">
        <w:rPr>
          <w:rFonts w:cs="Arial"/>
          <w:szCs w:val="22"/>
        </w:rPr>
        <w:instrText xml:space="preserve"> ADDIN EN.CITE </w:instrText>
      </w:r>
      <w:r w:rsidRPr="00D562E2">
        <w:rPr>
          <w:rFonts w:cs="Arial"/>
          <w:szCs w:val="22"/>
        </w:rPr>
        <w:fldChar w:fldCharType="begin">
          <w:fldData xml:space="preserve">PEVuZE5vdGU+PENpdGU+PEF1dGhvcj5CaXJjaDwvQXV0aG9yPjxZZWFyPjE5ODQ8L1llYXI+PFJl
Y051bT4xNzc8L1JlY051bT48RGlzcGxheVRleHQ+QmlyY2ggYW5kIEJpcmNoIDE5ODQ7IFByZWVu
PHN0eWxlIGZhY2U9Iml0YWxpYyI+IGV0IGFsLjwvc3R5bGU+IDE5OTU7IENhbXBiZWxsIGFuZCBN
Y0tlbnppZSAyMDA0OyBXYXljb3R0PHN0eWxlIGZhY2U9Iml0YWxpYyI+IGV0IGFsLjwvc3R5bGU+
IDIwMDc8L0Rpc3BsYXlUZXh0PjxyZWNvcmQ+PHJlYy1udW1iZXI+MTc3PC9yZWMtbnVtYmVyPjxm
b3JlaWduLWtleXM+PGtleSBhcHA9IkVOIiBkYi1pZD0iMGV2ZTU1eDl5NXZmZDZlOWRhY3h0ZXc0
ZWF0dmUyZHpkczlhIiB0aW1lc3RhbXA9IjAiPjE3Nzwva2V5PjwvZm9yZWlnbi1rZXlzPjxyZWYt
dHlwZSBuYW1lPSJKb3VybmFsIEFydGljbGUiPjE3PC9yZWYtdHlwZT48Y29udHJpYnV0b3JzPjxh
dXRob3JzPjxhdXRob3I+QmlyY2gsIFdSPC9hdXRob3I+PGF1dGhvcj5CaXJjaCwgTTwvYXV0aG9y
PjwvYXV0aG9ycz48L2NvbnRyaWJ1dG9ycz48dGl0bGVzPjx0aXRsZT5TdWNjZXNzaW9uIGFuZCBw
YXR0ZXJuIG9mIHRyb3BpY2FsIGludGVydGlkYWwgc2VhZ3Jhc3NlcyBpbiBDb2NrbGUgQmF5LCBR
dWVlbnNsYW5kLCBBdXN0cmFsaWE6IGEgZGVjYWRlIG9mIG9ic2VydmF0aW9uczwvdGl0bGU+PHNl
Y29uZGFyeS10aXRsZT5BcXVhdGljIEJvdGFueTwvc2Vjb25kYXJ5LXRpdGxlPjxhbHQtdGl0bGU+
QXF1YXQuIEJvdC48L2FsdC10aXRsZT48L3RpdGxlcz48cGVyaW9kaWNhbD48ZnVsbC10aXRsZT5B
cXVhdGljIEJvdGFueTwvZnVsbC10aXRsZT48L3BlcmlvZGljYWw+PHBhZ2VzPjM0My0zNjc8L3Bh
Z2VzPjx2b2x1bWU+MTk8L3ZvbHVtZT48a2V5d29yZHM+PGtleXdvcmQ+TUNLRU5aSUUgMTk5Njwv
a2V5d29yZD48a2V5d29yZD5NT1VSSUxZQU48L2tleXdvcmQ+PC9rZXl3b3Jkcz48ZGF0ZXM+PHll
YXI+MTk4NDwveWVhcj48L2RhdGVzPjxsYWJlbD4xMzA8L2xhYmVsPjx1cmxzPjwvdXJscz48Y3Vz
dG9tMT5Bbm5leDwvY3VzdG9tMT48L3JlY29yZD48L0NpdGU+PENpdGU+PEF1dGhvcj5DYW1wYmVs
bDwvQXV0aG9yPjxZZWFyPjIwMDQ8L1llYXI+PFJlY051bT4yODM4PC9SZWNOdW0+PHJlY29yZD48
cmVjLW51bWJlcj4yODM4PC9yZWMtbnVtYmVyPjxmb3JlaWduLWtleXM+PGtleSBhcHA9IkVOIiBk
Yi1pZD0iMGV2ZTU1eDl5NXZmZDZlOWRhY3h0ZXc0ZWF0dmUyZHpkczlhIiB0aW1lc3RhbXA9IjAi
PjI4Mzg8L2tleT48L2ZvcmVpZ24ta2V5cz48cmVmLXR5cGUgbmFtZT0iSm91cm5hbCBBcnRpY2xl
Ij4xNzwvcmVmLXR5cGU+PGNvbnRyaWJ1dG9ycz48YXV0aG9ycz48YXV0aG9yPkNhbXBiZWxsLCBT
dHVhcnQgSi48L2F1dGhvcj48YXV0aG9yPk1jS2VuemllLCBMZW4gSi48L2F1dGhvcj48L2F1dGhv
cnM+PC9jb250cmlidXRvcnM+PHRpdGxlcz48dGl0bGU+Rmxvb2QgcmVsYXRlZCBsb3NzIGFuZCBy
ZWNvdmVyeSBvZiBpbnRlcnRpZGFsIHNlYWdyYXNzIG1lYWRvd3MgaW4gc291dGhlcm4gUXVlZW5z
bGFuZCwgQXVzdHJhbGlhPC90aXRsZT48c2Vjb25kYXJ5LXRpdGxlPkVzdHVhcmluZSwgQ29hc3Rh
bCBhbmQgU2hlbGYgU2NpZW5jZTwvc2Vjb25kYXJ5LXRpdGxlPjwvdGl0bGVzPjxwZXJpb2RpY2Fs
PjxmdWxsLXRpdGxlPkVzdHVhcmluZSwgQ29hc3RhbCBhbmQgU2hlbGYgU2NpZW5jZTwvZnVsbC10
aXRsZT48L3BlcmlvZGljYWw+PHBhZ2VzPjQ3Ny00OTA8L3BhZ2VzPjx2b2x1bWU+NjA8L3ZvbHVt
ZT48bnVtYmVyPjM8L251bWJlcj48ZGF0ZXM+PHllYXI+MjAwNDwveWVhcj48cHViLWRhdGVzPjxk
YXRlPjIwMDQvNzwvZGF0ZT48L3B1Yi1kYXRlcz48L2RhdGVzPjx1cmxzPjxyZWxhdGVkLXVybHM+
PHVybD5odHRwOi8vd3d3LnNjaWVuY2VkaXJlY3QuY29tL3NjaWVuY2UvYXJ0aWNsZS9CNldEVi00
QzRCSlI1LTUvMi8xNTQ4MTA5ODcyMDJmYzZkMjdiYTZmYTM1YzA3ZjE5NzwvdXJsPjwvcmVsYXRl
ZC11cmxzPjwvdXJscz48L3JlY29yZD48L0NpdGU+PENpdGU+PEF1dGhvcj5QcmVlbjwvQXV0aG9y
PjxZZWFyPjE5OTU8L1llYXI+PFJlY051bT45NTA8L1JlY051bT48cmVjb3JkPjxyZWMtbnVtYmVy
Pjk1MDwvcmVjLW51bWJlcj48Zm9yZWlnbi1rZXlzPjxrZXkgYXBwPSJFTiIgZGItaWQ9IjBldmU1
NXg5eTV2ZmQ2ZTlkYWN4dGV3NGVhdHZlMmR6ZHM5YSIgdGltZXN0YW1wPSIwIj45NTA8L2tleT48
L2ZvcmVpZ24ta2V5cz48cmVmLXR5cGUgbmFtZT0iSm91cm5hbCBBcnRpY2xlIj4xNzwvcmVmLXR5
cGU+PGNvbnRyaWJ1dG9ycz48YXV0aG9ycz48YXV0aG9yPlByZWVuLCBBbnRob255IFIuPC9hdXRo
b3I+PGF1dGhvcj5MZWUgTG9uZywgV2FycmVuIEouPC9hdXRob3I+PGF1dGhvcj5Db2xlcywgUm9i
ZXJ0IEcuPC9hdXRob3I+PC9hdXRob3JzPjwvY29udHJpYnV0b3JzPjx0aXRsZXM+PHRpdGxlPjxz
dHlsZSBmYWNlPSJub3JtYWwiIGZvbnQ9ImRlZmF1bHQiIHNpemU9IjEwMCUiPkZsb29kIGFuZCBj
eWNsb25lIHJlbGF0ZWQgbG9zcywgYW5kIHBhcnRpYWwgcmVjb3ZlcnksIG9mIG1vcmUgdGhhbiAx
LDAwMCBrbTwvc3R5bGU+PHN0eWxlIGZhY2U9InN1cGVyc2NyaXB0IiBmb250PSJkZWZhdWx0IiBz
aXplPSIxMDAlIj4yPC9zdHlsZT48c3R5bGUgZmFjZT0ibm9ybWFsIiBmb250PSJkZWZhdWx0IiBz
aXplPSIxMDAlIj4gb2Ygc2VhZ3Jhc3MgaW4gSGVydmV5IEJheSwgUXVlZW5zbGFuZCwgQXVzdHJh
bGlhPC9zdHlsZT48L3RpdGxlPjxzZWNvbmRhcnktdGl0bGU+QXF1YXRpYyBCb3Rhbnk8L3NlY29u
ZGFyeS10aXRsZT48YWx0LXRpdGxlPkFxdWF0LiBCb3QuPC9hbHQtdGl0bGU+PC90aXRsZXM+PHBl
cmlvZGljYWw+PGZ1bGwtdGl0bGU+QXF1YXRpYyBCb3Rhbnk8L2Z1bGwtdGl0bGU+PC9wZXJpb2Rp
Y2FsPjxwYWdlcz4zLTE3PC9wYWdlcz48dm9sdW1lPjUyPC92b2x1bWU+PGtleXdvcmRzPjxrZXl3
b3JkPlNlYWdyYXNzLCBEaWUgb2ZmLCBDeWNsb25lUmVjb3Zlcnk8L2tleXdvcmQ+PC9rZXl3b3Jk
cz48ZGF0ZXM+PHllYXI+MTk5NTwveWVhcj48L2RhdGVzPjx1cmxzPjwvdXJscz48Y3VzdG9tMT5B
bm5leC4gTGVuIE1jS2VuemllIENvbGxlY3Rpb248L2N1c3RvbTE+PC9yZWNvcmQ+PC9DaXRlPjxD
aXRlPjxBdXRob3I+V2F5Y290dDwvQXV0aG9yPjxZZWFyPjIwMDc8L1llYXI+PFJlY051bT45MTMz
PC9SZWNOdW0+PHJlY29yZD48cmVjLW51bWJlcj45MTMzPC9yZWMtbnVtYmVyPjxmb3JlaWduLWtl
eXM+PGtleSBhcHA9IkVOIiBkYi1pZD0iMGV2ZTU1eDl5NXZmZDZlOWRhY3h0ZXc0ZWF0dmUyZHpk
czlhIiB0aW1lc3RhbXA9IjEzNzQ5ODQ1OTQiPjkxMzM8L2tleT48L2ZvcmVpZ24ta2V5cz48cmVm
LXR5cGUgbmFtZT0iQm9vayBTZWN0aW9uIj41PC9yZWYtdHlwZT48Y29udHJpYnV0b3JzPjxhdXRo
b3JzPjxhdXRob3I+V2F5Y290dCwgTS48L2F1dGhvcj48YXV0aG9yPkNvbGxpZXIsIEMuPC9hdXRo
b3I+PGF1dGhvcj5NY01haG9uLCBLLjwvYXV0aG9yPjxhdXRob3I+UmFscGgsIFAuSi48L2F1dGhv
cj48YXV0aG9yPk1jS2VuemllLCBMZW4gSi48L2F1dGhvcj48YXV0aG9yPlVkeSwgSi5XLjwvYXV0
aG9yPjxhdXRob3I+R3JlY2gsIEEuPC9hdXRob3I+PC9hdXRob3JzPjxzZWNvbmRhcnktYXV0aG9y
cz48YXV0aG9yPkpvaG5zb24sIEouRS4gPC9hdXRob3I+PGF1dGhvcj5NYXJzaGFsbCwgUC5BLjwv
YXV0aG9yPjwvc2Vjb25kYXJ5LWF1dGhvcnM+PC9jb250cmlidXRvcnM+PHRpdGxlcz48dGl0bGU+
VnVsbmVyYWJpbGl0eSBvZiBzZWFncmFzc2VzIGluIHRoZSBHcmVhdCBCYXJyaWVyIFJlZWYgdG8g
Y2xpbWF0ZSBjaGFuZ2UgLSBDaGFwdGVyIDg6IDwvdGl0bGU+PHNlY29uZGFyeS10aXRsZT5DbGlt
YXRlIENoYW5nZSBhbmQgdGhlIEdyZWF0IEJhcnJpZXIgUmVlZjogQSBWdWxuZXJhYmlsaXR5IEFz
c2Vzc21lbnQsIFBhcnQgSUk6IFNwZWNpZXMgYW5kIHNwZWNpZXMgZ3JvdXBzPC9zZWNvbmRhcnkt
dGl0bGU+PC90aXRsZXM+PHBhZ2VzPjE5My0yMzY8L3BhZ2VzPjxkYXRlcz48eWVhcj4yMDA3PC95
ZWFyPjwvZGF0ZXM+PHB1Yi1sb2NhdGlvbj5Ub3duc3ZpbGxlPC9wdWItbG9jYXRpb24+PHB1Ymxp
c2hlcj5HcmVhdCBCYXJyaWVyIFJlZWYgTWFyaW5lIFBhcmsgQXV0aG9yaXR5ICAgICA8L3B1Ymxp
c2hlcj48aXNibj45NzgtMS04NzY5NC01NjEtOTwvaXNibj48dXJscz48L3VybHM+PC9yZWNvcmQ+
PC9DaXRlPjwvRW5kTm90ZT4A
</w:fldData>
        </w:fldChar>
      </w:r>
      <w:r w:rsidRPr="00D562E2">
        <w:rPr>
          <w:rFonts w:cs="Arial"/>
          <w:szCs w:val="22"/>
        </w:rPr>
        <w:instrText xml:space="preserve"> ADDIN EN.CITE.DATA </w:instrText>
      </w:r>
      <w:r w:rsidRPr="00D562E2">
        <w:rPr>
          <w:rFonts w:cs="Arial"/>
          <w:szCs w:val="22"/>
        </w:rPr>
      </w:r>
      <w:r w:rsidRPr="00D562E2">
        <w:rPr>
          <w:rFonts w:cs="Arial"/>
          <w:szCs w:val="22"/>
        </w:rPr>
        <w:fldChar w:fldCharType="end"/>
      </w:r>
      <w:r w:rsidRPr="00D562E2">
        <w:rPr>
          <w:rFonts w:cs="Arial"/>
          <w:szCs w:val="22"/>
        </w:rPr>
      </w:r>
      <w:r w:rsidRPr="00D562E2">
        <w:rPr>
          <w:rFonts w:cs="Arial"/>
          <w:szCs w:val="22"/>
        </w:rPr>
        <w:fldChar w:fldCharType="separate"/>
      </w:r>
      <w:hyperlink w:anchor="_ENREF_11" w:tooltip="Birch, 1984 #177" w:history="1">
        <w:r w:rsidR="009A7AB4" w:rsidRPr="00D562E2">
          <w:rPr>
            <w:rFonts w:cs="Arial"/>
            <w:noProof/>
            <w:szCs w:val="22"/>
          </w:rPr>
          <w:t>Birch and Birch 1984</w:t>
        </w:r>
      </w:hyperlink>
      <w:r w:rsidRPr="00D562E2">
        <w:rPr>
          <w:rFonts w:cs="Arial"/>
          <w:noProof/>
          <w:szCs w:val="22"/>
        </w:rPr>
        <w:t xml:space="preserve">; </w:t>
      </w:r>
      <w:hyperlink w:anchor="_ENREF_129" w:tooltip="Preen, 1995 #950" w:history="1">
        <w:r w:rsidR="009A7AB4" w:rsidRPr="00D562E2">
          <w:rPr>
            <w:rFonts w:cs="Arial"/>
            <w:noProof/>
            <w:szCs w:val="22"/>
          </w:rPr>
          <w:t>Preen</w:t>
        </w:r>
        <w:r w:rsidR="009A7AB4" w:rsidRPr="00D562E2">
          <w:rPr>
            <w:rFonts w:cs="Arial"/>
            <w:i/>
            <w:noProof/>
            <w:szCs w:val="22"/>
          </w:rPr>
          <w:t xml:space="preserve"> et al.</w:t>
        </w:r>
        <w:r w:rsidR="009A7AB4" w:rsidRPr="00D562E2">
          <w:rPr>
            <w:rFonts w:cs="Arial"/>
            <w:noProof/>
            <w:szCs w:val="22"/>
          </w:rPr>
          <w:t xml:space="preserve"> 1995</w:t>
        </w:r>
      </w:hyperlink>
      <w:r w:rsidRPr="00D562E2">
        <w:rPr>
          <w:rFonts w:cs="Arial"/>
          <w:noProof/>
          <w:szCs w:val="22"/>
        </w:rPr>
        <w:t xml:space="preserve">; </w:t>
      </w:r>
      <w:hyperlink w:anchor="_ENREF_19" w:tooltip="Campbell, 2004 #2838" w:history="1">
        <w:r w:rsidR="009A7AB4" w:rsidRPr="00D562E2">
          <w:rPr>
            <w:rFonts w:cs="Arial"/>
            <w:noProof/>
            <w:szCs w:val="22"/>
          </w:rPr>
          <w:t>Campbell and McKenzie 2004</w:t>
        </w:r>
      </w:hyperlink>
      <w:r w:rsidRPr="00D562E2">
        <w:rPr>
          <w:rFonts w:cs="Arial"/>
          <w:noProof/>
          <w:szCs w:val="22"/>
        </w:rPr>
        <w:t xml:space="preserve">; </w:t>
      </w:r>
      <w:hyperlink w:anchor="_ENREF_153" w:tooltip="Waycott, 2007 #9133" w:history="1">
        <w:r w:rsidR="009A7AB4" w:rsidRPr="00D562E2">
          <w:rPr>
            <w:rFonts w:cs="Arial"/>
            <w:noProof/>
            <w:szCs w:val="22"/>
          </w:rPr>
          <w:t>Waycott</w:t>
        </w:r>
        <w:r w:rsidR="009A7AB4" w:rsidRPr="00D562E2">
          <w:rPr>
            <w:rFonts w:cs="Arial"/>
            <w:i/>
            <w:noProof/>
            <w:szCs w:val="22"/>
          </w:rPr>
          <w:t xml:space="preserve"> et al.</w:t>
        </w:r>
        <w:r w:rsidR="009A7AB4" w:rsidRPr="00D562E2">
          <w:rPr>
            <w:rFonts w:cs="Arial"/>
            <w:noProof/>
            <w:szCs w:val="22"/>
          </w:rPr>
          <w:t xml:space="preserve"> 2007</w:t>
        </w:r>
      </w:hyperlink>
      <w:r w:rsidRPr="00D562E2">
        <w:rPr>
          <w:rFonts w:cs="Arial"/>
          <w:szCs w:val="22"/>
        </w:rPr>
        <w:fldChar w:fldCharType="end"/>
      </w:r>
      <w:r w:rsidRPr="00D562E2">
        <w:rPr>
          <w:rFonts w:cs="Arial"/>
          <w:szCs w:val="22"/>
        </w:rPr>
        <w:t>), but the timing and mechanisms that cause their dynamism (i.e. declines and su</w:t>
      </w:r>
      <w:r w:rsidR="00D45F8F" w:rsidRPr="00D562E2">
        <w:rPr>
          <w:rFonts w:cs="Arial"/>
          <w:szCs w:val="22"/>
        </w:rPr>
        <w:t>bsequent recovery) are complex.</w:t>
      </w:r>
    </w:p>
    <w:p w14:paraId="455BE716" w14:textId="4A4AAC32" w:rsidR="00C26C71" w:rsidRPr="00D562E2" w:rsidRDefault="00250AD6" w:rsidP="00250AD6">
      <w:pPr>
        <w:autoSpaceDE w:val="0"/>
        <w:autoSpaceDN w:val="0"/>
        <w:adjustRightInd w:val="0"/>
        <w:rPr>
          <w:rFonts w:cs="Arial"/>
          <w:szCs w:val="22"/>
        </w:rPr>
      </w:pPr>
      <w:r w:rsidRPr="00D562E2">
        <w:rPr>
          <w:rFonts w:cs="Arial"/>
          <w:szCs w:val="22"/>
        </w:rPr>
        <w:t xml:space="preserve">Declines in seagrass abundance occurring in 2006 and then from 2009 to 2012 (from Cooktown south) abated in late 2012 and seagrass </w:t>
      </w:r>
      <w:r w:rsidR="00523A8A" w:rsidRPr="00D562E2">
        <w:rPr>
          <w:rFonts w:cs="Arial"/>
          <w:szCs w:val="22"/>
        </w:rPr>
        <w:t>condition</w:t>
      </w:r>
      <w:r w:rsidR="00C0529C">
        <w:rPr>
          <w:rFonts w:cs="Arial"/>
          <w:szCs w:val="22"/>
        </w:rPr>
        <w:t>,</w:t>
      </w:r>
      <w:r w:rsidRPr="00D562E2">
        <w:rPr>
          <w:rFonts w:cs="Arial"/>
          <w:szCs w:val="22"/>
        </w:rPr>
        <w:t xml:space="preserve"> </w:t>
      </w:r>
      <w:r w:rsidR="00883A72" w:rsidRPr="00D562E2">
        <w:rPr>
          <w:rFonts w:cs="Arial"/>
          <w:szCs w:val="22"/>
        </w:rPr>
        <w:t xml:space="preserve">although </w:t>
      </w:r>
      <w:r w:rsidR="00C26C71" w:rsidRPr="00D562E2">
        <w:rPr>
          <w:rFonts w:cs="Arial"/>
          <w:szCs w:val="22"/>
        </w:rPr>
        <w:t xml:space="preserve">remaining </w:t>
      </w:r>
      <w:r w:rsidR="00883A72" w:rsidRPr="00D562E2">
        <w:rPr>
          <w:rFonts w:cs="Arial"/>
          <w:szCs w:val="22"/>
        </w:rPr>
        <w:t>poor</w:t>
      </w:r>
      <w:r w:rsidR="00C0529C">
        <w:rPr>
          <w:rFonts w:cs="Arial"/>
          <w:szCs w:val="22"/>
        </w:rPr>
        <w:t>,</w:t>
      </w:r>
      <w:r w:rsidR="00883A72" w:rsidRPr="00D562E2">
        <w:rPr>
          <w:rFonts w:cs="Arial"/>
          <w:szCs w:val="22"/>
        </w:rPr>
        <w:t xml:space="preserve"> had been </w:t>
      </w:r>
      <w:r w:rsidRPr="00D562E2">
        <w:rPr>
          <w:rFonts w:cs="Arial"/>
          <w:szCs w:val="22"/>
        </w:rPr>
        <w:t>improv</w:t>
      </w:r>
      <w:r w:rsidR="00883A72" w:rsidRPr="00D562E2">
        <w:rPr>
          <w:rFonts w:cs="Arial"/>
          <w:szCs w:val="22"/>
        </w:rPr>
        <w:t xml:space="preserve">ing until </w:t>
      </w:r>
      <w:r w:rsidR="0036002F">
        <w:rPr>
          <w:rFonts w:cs="Arial"/>
          <w:szCs w:val="22"/>
        </w:rPr>
        <w:t>2017</w:t>
      </w:r>
      <w:r w:rsidRPr="00D562E2">
        <w:rPr>
          <w:rFonts w:cs="Arial"/>
          <w:szCs w:val="22"/>
        </w:rPr>
        <w:t xml:space="preserve"> (</w:t>
      </w:r>
      <w:r w:rsidRPr="00D562E2">
        <w:rPr>
          <w:rFonts w:cs="Arial"/>
          <w:szCs w:val="22"/>
        </w:rPr>
        <w:fldChar w:fldCharType="begin"/>
      </w:r>
      <w:r w:rsidRPr="00D562E2">
        <w:rPr>
          <w:rFonts w:cs="Arial"/>
          <w:szCs w:val="22"/>
        </w:rPr>
        <w:instrText xml:space="preserve"> REF _Ref382211978 \h  \* MERGEFORMAT </w:instrText>
      </w:r>
      <w:r w:rsidRPr="00D562E2">
        <w:rPr>
          <w:rFonts w:cs="Arial"/>
          <w:szCs w:val="22"/>
        </w:rPr>
      </w:r>
      <w:r w:rsidRPr="00D562E2">
        <w:rPr>
          <w:rFonts w:cs="Arial"/>
          <w:szCs w:val="22"/>
        </w:rPr>
        <w:fldChar w:fldCharType="separate"/>
      </w:r>
      <w:r w:rsidR="0067675D" w:rsidRPr="00D562E2">
        <w:rPr>
          <w:rFonts w:cs="Arial"/>
          <w:szCs w:val="22"/>
        </w:rPr>
        <w:t xml:space="preserve">Figure </w:t>
      </w:r>
      <w:r w:rsidR="0067675D">
        <w:rPr>
          <w:rFonts w:cs="Arial"/>
          <w:noProof/>
          <w:szCs w:val="22"/>
        </w:rPr>
        <w:t>88</w:t>
      </w:r>
      <w:r w:rsidRPr="00D562E2">
        <w:rPr>
          <w:rFonts w:cs="Arial"/>
          <w:szCs w:val="22"/>
        </w:rPr>
        <w:fldChar w:fldCharType="end"/>
      </w:r>
      <w:r w:rsidRPr="00D562E2">
        <w:rPr>
          <w:rFonts w:cs="Arial"/>
          <w:szCs w:val="22"/>
        </w:rPr>
        <w:t xml:space="preserve">). More specifically, although some locations in the Wet Tropics and Burdekin regions experienced declines in early 2006 as a consequence of </w:t>
      </w:r>
      <w:r w:rsidR="00C26C71" w:rsidRPr="00D562E2">
        <w:rPr>
          <w:rFonts w:cs="Arial"/>
          <w:szCs w:val="22"/>
        </w:rPr>
        <w:t xml:space="preserve">cyclone </w:t>
      </w:r>
      <w:r w:rsidRPr="00D562E2">
        <w:rPr>
          <w:rFonts w:cs="Arial"/>
          <w:szCs w:val="22"/>
        </w:rPr>
        <w:t>Larry, most recovered within 1</w:t>
      </w:r>
      <w:r w:rsidR="00C26C71" w:rsidRPr="00D562E2">
        <w:rPr>
          <w:rFonts w:cs="Arial"/>
          <w:szCs w:val="22"/>
        </w:rPr>
        <w:t>–</w:t>
      </w:r>
      <w:r w:rsidRPr="00D562E2">
        <w:rPr>
          <w:rFonts w:cs="Arial"/>
          <w:szCs w:val="22"/>
        </w:rPr>
        <w:t>2 years; with the exception of the coastal sites in southern Wet Tropics</w:t>
      </w:r>
      <w:r w:rsidR="004B5D71">
        <w:rPr>
          <w:rFonts w:cs="Arial"/>
          <w:szCs w:val="22"/>
        </w:rPr>
        <w:t xml:space="preserve"> where recovery was protracted.</w:t>
      </w:r>
    </w:p>
    <w:p w14:paraId="14234C55" w14:textId="24162434" w:rsidR="00C26C71" w:rsidRPr="00D562E2" w:rsidRDefault="00250AD6" w:rsidP="00250AD6">
      <w:pPr>
        <w:autoSpaceDE w:val="0"/>
        <w:autoSpaceDN w:val="0"/>
        <w:adjustRightInd w:val="0"/>
        <w:rPr>
          <w:rFonts w:cs="Arial"/>
          <w:szCs w:val="22"/>
        </w:rPr>
      </w:pPr>
      <w:r w:rsidRPr="00D562E2">
        <w:rPr>
          <w:rFonts w:cs="Arial"/>
          <w:szCs w:val="22"/>
        </w:rPr>
        <w:t xml:space="preserve">In late 2008, locations in the northern Wet Tropics and Burdekin regions were in a moderate state of health with abundant seagrass and seed banks. In contrast, locations in the southern </w:t>
      </w:r>
      <w:r w:rsidR="00B72AC4">
        <w:rPr>
          <w:rFonts w:cs="Arial"/>
          <w:szCs w:val="22"/>
        </w:rPr>
        <w:t>Mackay–Whitsunday</w:t>
      </w:r>
      <w:r w:rsidRPr="00D562E2">
        <w:rPr>
          <w:rFonts w:cs="Arial"/>
          <w:szCs w:val="22"/>
        </w:rPr>
        <w:t xml:space="preserve"> and </w:t>
      </w:r>
      <w:r w:rsidR="00B72AC4">
        <w:rPr>
          <w:rFonts w:cs="Arial"/>
          <w:szCs w:val="22"/>
        </w:rPr>
        <w:t>Burnett–Mary</w:t>
      </w:r>
      <w:r w:rsidRPr="00D562E2">
        <w:rPr>
          <w:rFonts w:cs="Arial"/>
          <w:szCs w:val="22"/>
        </w:rPr>
        <w:t xml:space="preserve"> regions were in a poor state, with low abundance, reduced reproductive effort and small or absent seed banks</w:t>
      </w:r>
      <w:r w:rsidR="0036002F">
        <w:rPr>
          <w:rFonts w:cs="Arial"/>
          <w:szCs w:val="22"/>
        </w:rPr>
        <w:t xml:space="preserve"> </w:t>
      </w:r>
      <w:r w:rsidR="0036002F" w:rsidRPr="00D562E2">
        <w:rPr>
          <w:rFonts w:cs="Arial"/>
          <w:szCs w:val="22"/>
        </w:rPr>
        <w:t>(</w:t>
      </w:r>
      <w:r w:rsidR="0036002F" w:rsidRPr="00D562E2">
        <w:rPr>
          <w:rFonts w:cs="Arial"/>
          <w:szCs w:val="22"/>
        </w:rPr>
        <w:fldChar w:fldCharType="begin"/>
      </w:r>
      <w:r w:rsidR="0036002F" w:rsidRPr="00D562E2">
        <w:rPr>
          <w:rFonts w:cs="Arial"/>
          <w:szCs w:val="22"/>
        </w:rPr>
        <w:instrText xml:space="preserve"> REF _Ref382211978 \h  \* MERGEFORMAT </w:instrText>
      </w:r>
      <w:r w:rsidR="0036002F" w:rsidRPr="00D562E2">
        <w:rPr>
          <w:rFonts w:cs="Arial"/>
          <w:szCs w:val="22"/>
        </w:rPr>
      </w:r>
      <w:r w:rsidR="0036002F" w:rsidRPr="00D562E2">
        <w:rPr>
          <w:rFonts w:cs="Arial"/>
          <w:szCs w:val="22"/>
        </w:rPr>
        <w:fldChar w:fldCharType="separate"/>
      </w:r>
      <w:r w:rsidR="0067675D" w:rsidRPr="00D562E2">
        <w:rPr>
          <w:rFonts w:cs="Arial"/>
          <w:szCs w:val="22"/>
        </w:rPr>
        <w:t xml:space="preserve">Figure </w:t>
      </w:r>
      <w:r w:rsidR="0067675D">
        <w:rPr>
          <w:rFonts w:cs="Arial"/>
          <w:noProof/>
          <w:szCs w:val="22"/>
        </w:rPr>
        <w:t>88</w:t>
      </w:r>
      <w:r w:rsidR="0036002F" w:rsidRPr="00D562E2">
        <w:rPr>
          <w:rFonts w:cs="Arial"/>
          <w:szCs w:val="22"/>
        </w:rPr>
        <w:fldChar w:fldCharType="end"/>
      </w:r>
      <w:r w:rsidR="0036002F" w:rsidRPr="00D562E2">
        <w:rPr>
          <w:rFonts w:cs="Arial"/>
          <w:szCs w:val="22"/>
        </w:rPr>
        <w:t>)</w:t>
      </w:r>
      <w:r w:rsidR="0036002F">
        <w:rPr>
          <w:rFonts w:cs="Arial"/>
          <w:szCs w:val="22"/>
        </w:rPr>
        <w:t>.</w:t>
      </w:r>
    </w:p>
    <w:p w14:paraId="267C22B7" w14:textId="134BC4DA" w:rsidR="0036002F" w:rsidRPr="00D562E2" w:rsidRDefault="0036002F" w:rsidP="0036002F">
      <w:pPr>
        <w:autoSpaceDE w:val="0"/>
        <w:autoSpaceDN w:val="0"/>
        <w:adjustRightInd w:val="0"/>
        <w:rPr>
          <w:rFonts w:cs="Arial"/>
          <w:szCs w:val="22"/>
        </w:rPr>
      </w:pPr>
      <w:r w:rsidRPr="00D562E2">
        <w:rPr>
          <w:rFonts w:cs="Arial"/>
          <w:noProof/>
          <w:szCs w:val="22"/>
          <w:lang w:eastAsia="en-AU"/>
        </w:rPr>
        <w:lastRenderedPageBreak/>
        <w:drawing>
          <wp:inline distT="0" distB="0" distL="0" distR="0" wp14:anchorId="5DE908B6" wp14:editId="2CA06958">
            <wp:extent cx="6380627" cy="3895725"/>
            <wp:effectExtent l="0" t="0" r="1270" b="0"/>
            <wp:docPr id="292" name="Picture 292" descr="Summary of GBR MMP inshore seagrass state illustrating abundance of foundation / colonising species, seed banks and reproductive effort over the life of the Marine Monitoring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 figure_2015.png"/>
                    <pic:cNvPicPr/>
                  </pic:nvPicPr>
                  <pic:blipFill>
                    <a:blip r:embed="rId147">
                      <a:extLst>
                        <a:ext uri="{28A0092B-C50C-407E-A947-70E740481C1C}">
                          <a14:useLocalDpi xmlns:a14="http://schemas.microsoft.com/office/drawing/2010/main" val="0"/>
                        </a:ext>
                      </a:extLst>
                    </a:blip>
                    <a:stretch>
                      <a:fillRect/>
                    </a:stretch>
                  </pic:blipFill>
                  <pic:spPr>
                    <a:xfrm>
                      <a:off x="0" y="0"/>
                      <a:ext cx="6383104" cy="3897237"/>
                    </a:xfrm>
                    <a:prstGeom prst="rect">
                      <a:avLst/>
                    </a:prstGeom>
                  </pic:spPr>
                </pic:pic>
              </a:graphicData>
            </a:graphic>
          </wp:inline>
        </w:drawing>
      </w:r>
    </w:p>
    <w:p w14:paraId="034CA0B3" w14:textId="25B99F47" w:rsidR="0036002F" w:rsidRPr="00D562E2" w:rsidRDefault="0036002F" w:rsidP="0036002F">
      <w:pPr>
        <w:rPr>
          <w:rFonts w:cs="Arial"/>
          <w:i/>
          <w:iCs/>
          <w:vanish/>
          <w:szCs w:val="22"/>
          <w:lang w:eastAsia="en-AU"/>
          <w:specVanish/>
        </w:rPr>
      </w:pPr>
      <w:bookmarkStart w:id="662" w:name="_Ref382211978"/>
      <w:bookmarkStart w:id="663" w:name="_Toc38634192"/>
      <w:bookmarkStart w:id="664" w:name="_Toc431493912"/>
      <w:r w:rsidRPr="00D562E2">
        <w:rPr>
          <w:rFonts w:cs="Arial"/>
          <w:szCs w:val="22"/>
        </w:rPr>
        <w:t xml:space="preserve">Figure </w:t>
      </w:r>
      <w:r w:rsidRPr="00D562E2">
        <w:rPr>
          <w:rFonts w:cs="Arial"/>
          <w:noProof/>
          <w:szCs w:val="22"/>
        </w:rPr>
        <w:fldChar w:fldCharType="begin"/>
      </w:r>
      <w:r w:rsidRPr="00D562E2">
        <w:rPr>
          <w:rFonts w:cs="Arial"/>
          <w:noProof/>
          <w:szCs w:val="22"/>
        </w:rPr>
        <w:instrText xml:space="preserve"> SEQ Figure \* ARABIC </w:instrText>
      </w:r>
      <w:r w:rsidRPr="00D562E2">
        <w:rPr>
          <w:rFonts w:cs="Arial"/>
          <w:noProof/>
          <w:szCs w:val="22"/>
        </w:rPr>
        <w:fldChar w:fldCharType="separate"/>
      </w:r>
      <w:r w:rsidR="0067675D">
        <w:rPr>
          <w:rFonts w:cs="Arial"/>
          <w:noProof/>
          <w:szCs w:val="22"/>
        </w:rPr>
        <w:t>88</w:t>
      </w:r>
      <w:r w:rsidRPr="00D562E2">
        <w:rPr>
          <w:rFonts w:cs="Arial"/>
          <w:noProof/>
          <w:szCs w:val="22"/>
        </w:rPr>
        <w:fldChar w:fldCharType="end"/>
      </w:r>
      <w:bookmarkEnd w:id="662"/>
      <w:r w:rsidRPr="00D562E2">
        <w:rPr>
          <w:rFonts w:cs="Arial"/>
          <w:szCs w:val="22"/>
        </w:rPr>
        <w:t xml:space="preserve">. </w:t>
      </w:r>
      <w:r w:rsidRPr="00D562E2">
        <w:rPr>
          <w:rFonts w:cs="Arial"/>
          <w:i/>
          <w:szCs w:val="22"/>
        </w:rPr>
        <w:t>Summary of inshore seagrass state illustrating pressures, abundance of foundation / colonising species, seed banks and reproductive effort from 2005 to 2019</w:t>
      </w:r>
      <w:bookmarkEnd w:id="663"/>
    </w:p>
    <w:p w14:paraId="2DBD9AD1" w14:textId="77777777" w:rsidR="0036002F" w:rsidRPr="00D562E2" w:rsidRDefault="0036002F" w:rsidP="0036002F">
      <w:pPr>
        <w:autoSpaceDE w:val="0"/>
        <w:autoSpaceDN w:val="0"/>
        <w:adjustRightInd w:val="0"/>
        <w:rPr>
          <w:rFonts w:cs="Arial"/>
          <w:szCs w:val="22"/>
        </w:rPr>
      </w:pPr>
      <w:r w:rsidRPr="00D562E2">
        <w:rPr>
          <w:rFonts w:cs="Arial"/>
          <w:i/>
          <w:szCs w:val="22"/>
        </w:rPr>
        <w:t>.</w:t>
      </w:r>
      <w:bookmarkEnd w:id="664"/>
      <w:r w:rsidRPr="00D562E2">
        <w:rPr>
          <w:rFonts w:cs="Arial"/>
          <w:i/>
          <w:szCs w:val="22"/>
          <w:specVanish/>
        </w:rPr>
        <w:t xml:space="preserve"> * colonising species are represented by the genus Halophila, however, Zostera and Halodule can be both colonising and foundational species depending on meadow state. ^ not conducted in 2005.</w:t>
      </w:r>
      <w:r w:rsidRPr="00D562E2">
        <w:rPr>
          <w:rFonts w:cs="Arial"/>
          <w:szCs w:val="22"/>
        </w:rPr>
        <w:t xml:space="preserve"> </w:t>
      </w:r>
    </w:p>
    <w:p w14:paraId="4C8B9393" w14:textId="59E0F26E" w:rsidR="00C26C71" w:rsidRPr="00D562E2" w:rsidRDefault="00250AD6" w:rsidP="00250AD6">
      <w:pPr>
        <w:autoSpaceDE w:val="0"/>
        <w:autoSpaceDN w:val="0"/>
        <w:adjustRightInd w:val="0"/>
        <w:rPr>
          <w:rFonts w:cs="Arial"/>
          <w:szCs w:val="22"/>
        </w:rPr>
      </w:pPr>
      <w:r w:rsidRPr="00D562E2">
        <w:rPr>
          <w:rFonts w:cs="Arial"/>
          <w:szCs w:val="22"/>
        </w:rPr>
        <w:t>In 2009 with the onset of the La Niña, the decline in seagrass state steadily spread across the Burdekin region and to locations within the Fitzroy and Wet Tropics where discharges from large rivers and associated catchments occurred (</w:t>
      </w:r>
      <w:r w:rsidRPr="00D562E2">
        <w:rPr>
          <w:rFonts w:cs="Arial"/>
          <w:szCs w:val="22"/>
        </w:rPr>
        <w:fldChar w:fldCharType="begin"/>
      </w:r>
      <w:r w:rsidR="00A2551D" w:rsidRPr="00D562E2">
        <w:rPr>
          <w:rFonts w:cs="Arial"/>
          <w:szCs w:val="22"/>
        </w:rPr>
        <w:instrText xml:space="preserve"> ADDIN EN.CITE &lt;EndNote&gt;&lt;Cite&gt;&lt;Author&gt;McKenzie&lt;/Author&gt;&lt;Year&gt;2010&lt;/Year&gt;&lt;RecNum&gt;9605&lt;/RecNum&gt;&lt;DisplayText&gt;McKenzie&lt;style face="italic"&gt; et al.&lt;/style&gt; 2010a; McKenzie&lt;style face="italic"&gt; et al.&lt;/style&gt; 2012&lt;/DisplayText&gt;&lt;record&gt;&lt;rec-number&gt;9605&lt;/rec-number&gt;&lt;foreign-keys&gt;&lt;key app="EN" db-id="0eve55x9y5vfd6e9dacxtew4eatve2dzds9a" timestamp="1388454830"&gt;9605&lt;/key&gt;&lt;/foreign-keys&gt;&lt;ref-type name="Report"&gt;27&lt;/ref-type&gt;&lt;contributors&gt;&lt;authors&gt;&lt;author&gt;McKenzie, Len J&lt;/author&gt;&lt;author&gt;Unsworth, R.K.F&lt;/author&gt;&lt;author&gt;Waycott, M&lt;/author&gt;&lt;/authors&gt;&lt;/contributors&gt;&lt;titles&gt;&lt;title&gt;Reef Rescue Marine Monitoring Program: Intertidal Seagrass, Annual Report for the sampling period 1st September 2009 – 31st May 2010&lt;/title&gt;&lt;/titles&gt;&lt;pages&gt;136&lt;/pages&gt;&lt;dates&gt;&lt;year&gt;2010&lt;/year&gt;&lt;/dates&gt;&lt;pub-location&gt;Cairns &lt;/pub-location&gt;&lt;publisher&gt; Fisheries Queensland&lt;/publisher&gt;&lt;urls&gt;&lt;/urls&gt;&lt;/record&gt;&lt;/Cite&gt;&lt;Cite&gt;&lt;Author&gt;McKenzie&lt;/Author&gt;&lt;Year&gt;2012&lt;/Year&gt;&lt;RecNum&gt;9287&lt;/RecNum&gt;&lt;record&gt;&lt;rec-number&gt;9287&lt;/rec-number&gt;&lt;foreign-keys&gt;&lt;key app="EN" db-id="0eve55x9y5vfd6e9dacxtew4eatve2dzds9a" timestamp="1375005081"&gt;9287&lt;/key&gt;&lt;/foreign-keys&gt;&lt;ref-type name="Report"&gt;27&lt;/ref-type&gt;&lt;contributors&gt;&lt;authors&gt;&lt;author&gt;McKenzie, Len J&lt;/author&gt;&lt;author&gt;Collier, C.J.&lt;/author&gt;&lt;author&gt;Waycott, M.&lt;/author&gt;&lt;/authors&gt;&lt;/contributors&gt;&lt;titles&gt;&lt;title&gt;Reef Rescue Marine Monitoring Program: Inshore seagrass, annual report for the sampling period 1st September 2010-31st May 2011&lt;/title&gt;&lt;/titles&gt;&lt;pages&gt;230pp&lt;/pages&gt;&lt;dates&gt;&lt;year&gt;2012&lt;/year&gt;&lt;/dates&gt;&lt;publisher&gt;Fisheries Queensland, Cairns&lt;/publisher&gt;&lt;urls&gt;&lt;/urls&gt;&lt;/record&gt;&lt;/Cite&gt;&lt;/EndNote&gt;</w:instrText>
      </w:r>
      <w:r w:rsidRPr="00D562E2">
        <w:rPr>
          <w:rFonts w:cs="Arial"/>
          <w:szCs w:val="22"/>
        </w:rPr>
        <w:fldChar w:fldCharType="separate"/>
      </w:r>
      <w:hyperlink w:anchor="_ENREF_109" w:tooltip="McKenzie, 2010 #9605" w:history="1">
        <w:r w:rsidR="009A7AB4" w:rsidRPr="00D562E2">
          <w:rPr>
            <w:rFonts w:cs="Arial"/>
            <w:noProof/>
            <w:szCs w:val="22"/>
          </w:rPr>
          <w:t>McKenzie</w:t>
        </w:r>
        <w:r w:rsidR="009A7AB4" w:rsidRPr="00D562E2">
          <w:rPr>
            <w:rFonts w:cs="Arial"/>
            <w:i/>
            <w:noProof/>
            <w:szCs w:val="22"/>
          </w:rPr>
          <w:t xml:space="preserve"> et al.</w:t>
        </w:r>
        <w:r w:rsidR="009A7AB4" w:rsidRPr="00D562E2">
          <w:rPr>
            <w:rFonts w:cs="Arial"/>
            <w:noProof/>
            <w:szCs w:val="22"/>
          </w:rPr>
          <w:t xml:space="preserve"> 2010a</w:t>
        </w:r>
      </w:hyperlink>
      <w:r w:rsidR="00A2551D" w:rsidRPr="00D562E2">
        <w:rPr>
          <w:rFonts w:cs="Arial"/>
          <w:noProof/>
          <w:szCs w:val="22"/>
        </w:rPr>
        <w:t xml:space="preserve">; </w:t>
      </w:r>
      <w:hyperlink w:anchor="_ENREF_103" w:tooltip="McKenzie, 2012 #9287" w:history="1">
        <w:r w:rsidR="009A7AB4" w:rsidRPr="00D562E2">
          <w:rPr>
            <w:rFonts w:cs="Arial"/>
            <w:noProof/>
            <w:szCs w:val="22"/>
          </w:rPr>
          <w:t>McKenzie</w:t>
        </w:r>
        <w:r w:rsidR="009A7AB4" w:rsidRPr="00D562E2">
          <w:rPr>
            <w:rFonts w:cs="Arial"/>
            <w:i/>
            <w:noProof/>
            <w:szCs w:val="22"/>
          </w:rPr>
          <w:t xml:space="preserve"> et al.</w:t>
        </w:r>
        <w:r w:rsidR="009A7AB4" w:rsidRPr="00D562E2">
          <w:rPr>
            <w:rFonts w:cs="Arial"/>
            <w:noProof/>
            <w:szCs w:val="22"/>
          </w:rPr>
          <w:t xml:space="preserve"> 2012</w:t>
        </w:r>
      </w:hyperlink>
      <w:r w:rsidRPr="00D562E2">
        <w:rPr>
          <w:rFonts w:cs="Arial"/>
          <w:szCs w:val="22"/>
        </w:rPr>
        <w:fldChar w:fldCharType="end"/>
      </w:r>
      <w:r w:rsidRPr="00D562E2">
        <w:rPr>
          <w:rFonts w:cs="Arial"/>
          <w:szCs w:val="22"/>
        </w:rPr>
        <w:t>). The only locations of better seagrass state were those with relatively little catchment input, such as Gladstone Harbour and Shoalwater Bay (Fitzroy region), Green Island (</w:t>
      </w:r>
      <w:r w:rsidR="0036002F">
        <w:rPr>
          <w:rFonts w:cs="Arial"/>
          <w:szCs w:val="22"/>
        </w:rPr>
        <w:t xml:space="preserve">northern </w:t>
      </w:r>
      <w:r w:rsidRPr="00D562E2">
        <w:rPr>
          <w:rFonts w:cs="Arial"/>
          <w:szCs w:val="22"/>
        </w:rPr>
        <w:t>Wet Tropics), and Archer Point (Cape York) (</w:t>
      </w:r>
      <w:hyperlink w:anchor="_ENREF_103" w:tooltip="McKenzie, 2012 #9287" w:history="1">
        <w:r w:rsidR="009A7AB4" w:rsidRPr="00D562E2">
          <w:rPr>
            <w:rFonts w:cs="Arial"/>
            <w:szCs w:val="22"/>
          </w:rPr>
          <w:fldChar w:fldCharType="begin"/>
        </w:r>
        <w:r w:rsidR="009A7AB4" w:rsidRPr="00D562E2">
          <w:rPr>
            <w:rFonts w:cs="Arial"/>
            <w:szCs w:val="22"/>
          </w:rPr>
          <w:instrText xml:space="preserve"> ADDIN EN.CITE &lt;EndNote&gt;&lt;Cite&gt;&lt;Author&gt;McKenzie&lt;/Author&gt;&lt;Year&gt;2012&lt;/Year&gt;&lt;RecNum&gt;9287&lt;/RecNum&gt;&lt;DisplayText&gt;McKenzie&lt;style face="italic"&gt; et al.&lt;/style&gt; 2012&lt;/DisplayText&gt;&lt;record&gt;&lt;rec-number&gt;9287&lt;/rec-number&gt;&lt;foreign-keys&gt;&lt;key app="EN" db-id="0eve55x9y5vfd6e9dacxtew4eatve2dzds9a" timestamp="1375005081"&gt;9287&lt;/key&gt;&lt;/foreign-keys&gt;&lt;ref-type name="Report"&gt;27&lt;/ref-type&gt;&lt;contributors&gt;&lt;authors&gt;&lt;author&gt;McKenzie, Len J&lt;/author&gt;&lt;author&gt;Collier, C.J.&lt;/author&gt;&lt;author&gt;Waycott, M.&lt;/author&gt;&lt;/authors&gt;&lt;/contributors&gt;&lt;titles&gt;&lt;title&gt;Reef Rescue Marine Monitoring Program: Inshore seagrass, annual report for the sampling period 1st September 2010-31st May 2011&lt;/title&gt;&lt;/titles&gt;&lt;pages&gt;230pp&lt;/pages&gt;&lt;dates&gt;&lt;year&gt;2012&lt;/year&gt;&lt;/dates&gt;&lt;publisher&gt;Fisheries Queensland, Cairns&lt;/publisher&gt;&lt;urls&gt;&lt;/urls&gt;&lt;/record&gt;&lt;/Cite&gt;&lt;/EndNote&gt;</w:instrText>
        </w:r>
        <w:r w:rsidR="009A7AB4" w:rsidRPr="00D562E2">
          <w:rPr>
            <w:rFonts w:cs="Arial"/>
            <w:szCs w:val="22"/>
          </w:rPr>
          <w:fldChar w:fldCharType="separate"/>
        </w:r>
        <w:r w:rsidR="009A7AB4" w:rsidRPr="00D562E2">
          <w:rPr>
            <w:rFonts w:cs="Arial"/>
            <w:noProof/>
            <w:szCs w:val="22"/>
          </w:rPr>
          <w:t>McKenzie</w:t>
        </w:r>
        <w:r w:rsidR="009A7AB4" w:rsidRPr="00D562E2">
          <w:rPr>
            <w:rFonts w:cs="Arial"/>
            <w:i/>
            <w:noProof/>
            <w:szCs w:val="22"/>
          </w:rPr>
          <w:t xml:space="preserve"> et al.</w:t>
        </w:r>
        <w:r w:rsidR="009A7AB4" w:rsidRPr="00D562E2">
          <w:rPr>
            <w:rFonts w:cs="Arial"/>
            <w:noProof/>
            <w:szCs w:val="22"/>
          </w:rPr>
          <w:t xml:space="preserve"> 2012</w:t>
        </w:r>
        <w:r w:rsidR="009A7AB4" w:rsidRPr="00D562E2">
          <w:rPr>
            <w:rFonts w:cs="Arial"/>
            <w:szCs w:val="22"/>
          </w:rPr>
          <w:fldChar w:fldCharType="end"/>
        </w:r>
      </w:hyperlink>
      <w:r w:rsidR="0036002F">
        <w:rPr>
          <w:rFonts w:cs="Arial"/>
          <w:szCs w:val="22"/>
        </w:rPr>
        <w:t>).</w:t>
      </w:r>
    </w:p>
    <w:p w14:paraId="00A6399E" w14:textId="2BCA4B50" w:rsidR="00250AD6" w:rsidRPr="00D562E2" w:rsidRDefault="00250AD6" w:rsidP="00250AD6">
      <w:pPr>
        <w:autoSpaceDE w:val="0"/>
        <w:autoSpaceDN w:val="0"/>
        <w:adjustRightInd w:val="0"/>
        <w:rPr>
          <w:rFonts w:cs="Arial"/>
          <w:szCs w:val="22"/>
        </w:rPr>
      </w:pPr>
      <w:r w:rsidRPr="00D562E2">
        <w:rPr>
          <w:rFonts w:cs="Arial"/>
          <w:szCs w:val="22"/>
        </w:rPr>
        <w:t xml:space="preserve">By 2010, seagrasses of the </w:t>
      </w:r>
      <w:r w:rsidR="003158FC" w:rsidRPr="00D562E2">
        <w:rPr>
          <w:rFonts w:cs="Arial"/>
          <w:szCs w:val="22"/>
        </w:rPr>
        <w:t>Reef</w:t>
      </w:r>
      <w:r w:rsidRPr="00D562E2">
        <w:rPr>
          <w:rFonts w:cs="Arial"/>
          <w:szCs w:val="22"/>
        </w:rPr>
        <w:t xml:space="preserve"> were in a poor state with declining trajectories in seagrass abundance, reduced meadow extent, limited or absent seed production and increased epiphyte loads at most locations. These factors </w:t>
      </w:r>
      <w:r w:rsidRPr="00D562E2">
        <w:rPr>
          <w:rFonts w:cs="Arial"/>
          <w:szCs w:val="22"/>
        </w:rPr>
        <w:lastRenderedPageBreak/>
        <w:t>would have made the seagrass populations particularly vulnerable to large episodic disturbances, as demonstrated by the widespread and substantial losses documented after the flo</w:t>
      </w:r>
      <w:r w:rsidR="0036002F">
        <w:rPr>
          <w:rFonts w:cs="Arial"/>
          <w:szCs w:val="22"/>
        </w:rPr>
        <w:t>ods and cyclones of early 2011.</w:t>
      </w:r>
    </w:p>
    <w:p w14:paraId="7AE041AC" w14:textId="5D359B22" w:rsidR="00701085" w:rsidRDefault="00250AD6" w:rsidP="00250AD6">
      <w:pPr>
        <w:autoSpaceDE w:val="0"/>
        <w:autoSpaceDN w:val="0"/>
        <w:adjustRightInd w:val="0"/>
        <w:rPr>
          <w:rFonts w:cs="Arial"/>
          <w:szCs w:val="22"/>
        </w:rPr>
      </w:pPr>
      <w:r w:rsidRPr="00D562E2">
        <w:rPr>
          <w:rFonts w:cs="Arial"/>
          <w:szCs w:val="22"/>
        </w:rPr>
        <w:t xml:space="preserve">Following the extreme weather events of early 2011, seagrass habitats across the </w:t>
      </w:r>
      <w:r w:rsidR="003158FC" w:rsidRPr="00D562E2">
        <w:rPr>
          <w:rFonts w:cs="Arial"/>
          <w:szCs w:val="22"/>
        </w:rPr>
        <w:t>Reef</w:t>
      </w:r>
      <w:r w:rsidRPr="00D562E2">
        <w:rPr>
          <w:rFonts w:cs="Arial"/>
          <w:szCs w:val="22"/>
        </w:rPr>
        <w:t xml:space="preserve"> further declined, with severe losses reported from the Wet Tropics, Burdekin, </w:t>
      </w:r>
      <w:r w:rsidR="00B72AC4">
        <w:rPr>
          <w:rFonts w:cs="Arial"/>
          <w:szCs w:val="22"/>
        </w:rPr>
        <w:t>Mackay–Whitsunday</w:t>
      </w:r>
      <w:r w:rsidRPr="00D562E2">
        <w:rPr>
          <w:rFonts w:cs="Arial"/>
          <w:szCs w:val="22"/>
        </w:rPr>
        <w:t xml:space="preserve"> and </w:t>
      </w:r>
      <w:r w:rsidR="00B72AC4">
        <w:rPr>
          <w:rFonts w:cs="Arial"/>
          <w:szCs w:val="22"/>
        </w:rPr>
        <w:t>Burnett–Mary</w:t>
      </w:r>
      <w:r w:rsidRPr="00D562E2">
        <w:rPr>
          <w:rFonts w:cs="Arial"/>
          <w:szCs w:val="22"/>
        </w:rPr>
        <w:t xml:space="preserve"> regions. By 2011</w:t>
      </w:r>
      <w:r w:rsidR="003158FC" w:rsidRPr="00D562E2">
        <w:rPr>
          <w:rFonts w:cs="Arial"/>
          <w:szCs w:val="22"/>
        </w:rPr>
        <w:t>–</w:t>
      </w:r>
      <w:r w:rsidRPr="00D562E2">
        <w:rPr>
          <w:rFonts w:cs="Arial"/>
          <w:szCs w:val="22"/>
        </w:rPr>
        <w:t>12, the onset of seagrass recovery was observed across some regions, however a change had occurred in which colonising species dominated many habitats. The majority of meadows appeared to allocate resources to vegetative growth rather than reproduction, indicated by the lower reproductive effort and seed banks. In 2016</w:t>
      </w:r>
      <w:r w:rsidR="003158FC" w:rsidRPr="00D562E2">
        <w:rPr>
          <w:rFonts w:cs="Arial"/>
          <w:szCs w:val="22"/>
        </w:rPr>
        <w:t>–</w:t>
      </w:r>
      <w:r w:rsidR="00801892" w:rsidRPr="00D562E2">
        <w:rPr>
          <w:rFonts w:cs="Arial"/>
          <w:szCs w:val="22"/>
        </w:rPr>
        <w:t>20</w:t>
      </w:r>
      <w:r w:rsidRPr="00D562E2">
        <w:rPr>
          <w:rFonts w:cs="Arial"/>
          <w:szCs w:val="22"/>
        </w:rPr>
        <w:t>17, recovery ha</w:t>
      </w:r>
      <w:r w:rsidR="00883A72" w:rsidRPr="00D562E2">
        <w:rPr>
          <w:rFonts w:cs="Arial"/>
          <w:szCs w:val="22"/>
        </w:rPr>
        <w:t>d</w:t>
      </w:r>
      <w:r w:rsidRPr="00D562E2">
        <w:rPr>
          <w:rFonts w:cs="Arial"/>
          <w:szCs w:val="22"/>
        </w:rPr>
        <w:t xml:space="preserve"> slowed or stal</w:t>
      </w:r>
      <w:r w:rsidR="00D45F8F" w:rsidRPr="00D562E2">
        <w:rPr>
          <w:rFonts w:cs="Arial"/>
          <w:szCs w:val="22"/>
        </w:rPr>
        <w:t>led across most of the regions.</w:t>
      </w:r>
    </w:p>
    <w:bookmarkEnd w:id="649"/>
    <w:p w14:paraId="546BBE37" w14:textId="62411D18" w:rsidR="00D45F8F" w:rsidRPr="00D562E2" w:rsidRDefault="00D45F8F" w:rsidP="00041B48">
      <w:pPr>
        <w:rPr>
          <w:rFonts w:cs="Arial"/>
          <w:szCs w:val="22"/>
        </w:rPr>
      </w:pPr>
      <w:r w:rsidRPr="00D562E2">
        <w:rPr>
          <w:rFonts w:cs="Arial"/>
          <w:szCs w:val="22"/>
        </w:rPr>
        <w:t>The Wet Tropics and Fitzroy regions have shown the most protracted recovery rates, though the causes for this differ between the regions. In the Fitzroy region declines up to early 2011 were more moderate than in other regions, but the estuarine intertidal and coastal intertidal habitats declined further in 2013–</w:t>
      </w:r>
      <w:r w:rsidR="00152F1D" w:rsidRPr="00D562E2">
        <w:rPr>
          <w:rFonts w:cs="Arial"/>
          <w:szCs w:val="22"/>
        </w:rPr>
        <w:t>20</w:t>
      </w:r>
      <w:r w:rsidRPr="00D562E2">
        <w:rPr>
          <w:rFonts w:cs="Arial"/>
          <w:szCs w:val="22"/>
        </w:rPr>
        <w:t>15, and recovery had since been slow except in coastal habitats. Abundance in the Wet Tropics declined in early 2011, and recovery has been delayed. In the southern Wet Tropics, it appears that sediment scouring caused by cyclone Yasi in 2011 altered bed elevation and substrate composition</w:t>
      </w:r>
      <w:r w:rsidR="00041B48">
        <w:rPr>
          <w:rFonts w:cs="Arial"/>
          <w:szCs w:val="22"/>
        </w:rPr>
        <w:t>.</w:t>
      </w:r>
      <w:r w:rsidR="00041B48" w:rsidRPr="00D562E2">
        <w:rPr>
          <w:rFonts w:cs="Arial"/>
          <w:szCs w:val="22"/>
        </w:rPr>
        <w:t xml:space="preserve"> </w:t>
      </w:r>
      <w:r w:rsidR="00041B48">
        <w:rPr>
          <w:rFonts w:cs="Arial"/>
          <w:szCs w:val="22"/>
        </w:rPr>
        <w:t>T</w:t>
      </w:r>
      <w:r w:rsidRPr="00D562E2">
        <w:rPr>
          <w:rFonts w:cs="Arial"/>
          <w:szCs w:val="22"/>
        </w:rPr>
        <w:t xml:space="preserve">he growth substrate is not routinely </w:t>
      </w:r>
      <w:r w:rsidRPr="00AA1620">
        <w:rPr>
          <w:rFonts w:cs="Arial"/>
          <w:szCs w:val="22"/>
        </w:rPr>
        <w:t>measured</w:t>
      </w:r>
      <w:r w:rsidR="00041B48" w:rsidRPr="00AA1620">
        <w:rPr>
          <w:rFonts w:cs="Arial"/>
          <w:szCs w:val="22"/>
        </w:rPr>
        <w:t xml:space="preserve"> however it does appear that </w:t>
      </w:r>
      <w:r w:rsidR="00D00124" w:rsidRPr="00AA1620">
        <w:rPr>
          <w:rFonts w:cs="Arial"/>
          <w:szCs w:val="22"/>
        </w:rPr>
        <w:t xml:space="preserve">seed </w:t>
      </w:r>
      <w:r w:rsidR="00041B48" w:rsidRPr="00AA1620">
        <w:rPr>
          <w:rFonts w:cs="Arial"/>
          <w:szCs w:val="22"/>
        </w:rPr>
        <w:t xml:space="preserve">banks are recovering at Lugger Bay and the sediments becoming less gravelly at Dunk Island. As a consequence the seagrass has been able to establish in patches and hopefully will continue to recover. </w:t>
      </w:r>
      <w:r w:rsidRPr="00AA1620">
        <w:rPr>
          <w:rFonts w:cs="Arial"/>
          <w:szCs w:val="22"/>
        </w:rPr>
        <w:t>By</w:t>
      </w:r>
      <w:r w:rsidRPr="00D562E2">
        <w:rPr>
          <w:rFonts w:cs="Arial"/>
          <w:szCs w:val="22"/>
        </w:rPr>
        <w:t xml:space="preserve"> contrast, slow recovery in the northern Wet Tropics reef sites (Low Isles intertidal and subtidal and Green Island subtidal) ma</w:t>
      </w:r>
      <w:r w:rsidR="00152F1D" w:rsidRPr="00D562E2">
        <w:rPr>
          <w:rFonts w:cs="Arial"/>
          <w:szCs w:val="22"/>
        </w:rPr>
        <w:t>y be affected by water quality.</w:t>
      </w:r>
    </w:p>
    <w:p w14:paraId="7E26E24D" w14:textId="0C1D5CC5" w:rsidR="00C26C71" w:rsidRPr="00D562E2" w:rsidRDefault="00250AD6" w:rsidP="00250AD6">
      <w:pPr>
        <w:autoSpaceDE w:val="0"/>
        <w:autoSpaceDN w:val="0"/>
        <w:adjustRightInd w:val="0"/>
        <w:rPr>
          <w:rFonts w:cs="Arial"/>
          <w:szCs w:val="22"/>
        </w:rPr>
      </w:pPr>
      <w:r w:rsidRPr="00D562E2">
        <w:rPr>
          <w:rFonts w:cs="Arial"/>
          <w:szCs w:val="22"/>
        </w:rPr>
        <w:t xml:space="preserve">There was increasing evidence that water quality degradation within the seagrass meadows of the inshore </w:t>
      </w:r>
      <w:r w:rsidR="003158FC" w:rsidRPr="00D562E2">
        <w:rPr>
          <w:rFonts w:cs="Arial"/>
          <w:szCs w:val="22"/>
        </w:rPr>
        <w:t>Reef</w:t>
      </w:r>
      <w:r w:rsidRPr="00D562E2">
        <w:rPr>
          <w:rFonts w:cs="Arial"/>
          <w:szCs w:val="22"/>
        </w:rPr>
        <w:t xml:space="preserve"> prior to the episodic disturbances of 2011 may have reduced their resilience. Light availability is one of the primary driving factors in seagrass growth and persistence (</w:t>
      </w:r>
      <w:hyperlink w:anchor="_ENREF_32" w:tooltip="Collier, 2009 #9285" w:history="1">
        <w:r w:rsidR="009A7AB4" w:rsidRPr="00D562E2">
          <w:rPr>
            <w:rFonts w:cs="Arial"/>
            <w:szCs w:val="22"/>
          </w:rPr>
          <w:fldChar w:fldCharType="begin"/>
        </w:r>
        <w:r w:rsidR="009A7AB4" w:rsidRPr="00D562E2">
          <w:rPr>
            <w:rFonts w:cs="Arial"/>
            <w:szCs w:val="22"/>
          </w:rPr>
          <w:instrText xml:space="preserve"> ADDIN EN.CITE &lt;EndNote&gt;&lt;Cite&gt;&lt;Author&gt;Collier&lt;/Author&gt;&lt;Year&gt;2009&lt;/Year&gt;&lt;RecNum&gt;9285&lt;/RecNum&gt;&lt;DisplayText&gt;Collier and Waycott 2009&lt;/DisplayText&gt;&lt;record&gt;&lt;rec-number&gt;9285&lt;/rec-number&gt;&lt;foreign-keys&gt;&lt;key app="EN" db-id="0eve55x9y5vfd6e9dacxtew4eatve2dzds9a" timestamp="1375005081"&gt;9285&lt;/key&gt;&lt;/foreign-keys&gt;&lt;ref-type name="Report"&gt;27&lt;/ref-type&gt;&lt;contributors&gt;&lt;authors&gt;&lt;author&gt;Collier, C.&lt;/author&gt;&lt;author&gt;Waycott, M&lt;/author&gt;&lt;/authors&gt;&lt;/contributors&gt;&lt;titles&gt;&lt;title&gt;Drivers of change to seagrass distributions and communities on the Great Barrier Reef: Literature review and gaps analysis&lt;/title&gt;&lt;secondary-title&gt;Report to the Marine and Tropical Sciences Research Facility&lt;/secondary-title&gt;&lt;/titles&gt;&lt;dates&gt;&lt;year&gt;2009&lt;/year&gt;&lt;/dates&gt;&lt;pub-location&gt;Cairns&lt;/pub-location&gt;&lt;publisher&gt;Reef and Rainforest Research Centre Limited&lt;/publisher&gt;&lt;urls&gt;&lt;/urls&gt;&lt;/record&gt;&lt;/Cite&gt;&lt;/EndNote&gt;</w:instrText>
        </w:r>
        <w:r w:rsidR="009A7AB4" w:rsidRPr="00D562E2">
          <w:rPr>
            <w:rFonts w:cs="Arial"/>
            <w:szCs w:val="22"/>
          </w:rPr>
          <w:fldChar w:fldCharType="separate"/>
        </w:r>
        <w:r w:rsidR="009A7AB4" w:rsidRPr="00D562E2">
          <w:rPr>
            <w:rFonts w:cs="Arial"/>
            <w:noProof/>
            <w:szCs w:val="22"/>
          </w:rPr>
          <w:t>Collier and Waycott 2009</w:t>
        </w:r>
        <w:r w:rsidR="009A7AB4" w:rsidRPr="00D562E2">
          <w:rPr>
            <w:rFonts w:cs="Arial"/>
            <w:szCs w:val="22"/>
          </w:rPr>
          <w:fldChar w:fldCharType="end"/>
        </w:r>
      </w:hyperlink>
      <w:r w:rsidRPr="00D562E2">
        <w:rPr>
          <w:rFonts w:cs="Arial"/>
          <w:szCs w:val="22"/>
        </w:rPr>
        <w:t xml:space="preserve">; </w:t>
      </w:r>
      <w:hyperlink w:anchor="_ENREF_13" w:tooltip="Brodie, 2013 #9501" w:history="1">
        <w:r w:rsidR="009A7AB4" w:rsidRPr="00D562E2">
          <w:rPr>
            <w:rFonts w:cs="Arial"/>
            <w:szCs w:val="22"/>
          </w:rPr>
          <w:fldChar w:fldCharType="begin"/>
        </w:r>
        <w:r w:rsidR="009A7AB4" w:rsidRPr="00D562E2">
          <w:rPr>
            <w:rFonts w:cs="Arial"/>
            <w:szCs w:val="22"/>
          </w:rPr>
          <w:instrText xml:space="preserve"> ADDIN EN.CITE &lt;EndNote&gt;&lt;Cite&gt;&lt;Author&gt;Brodie&lt;/Author&gt;&lt;Year&gt;2013&lt;/Year&gt;&lt;RecNum&gt;9501&lt;/RecNum&gt;&lt;DisplayText&gt;Brodie&lt;style face="italic"&gt; et al.&lt;/style&gt; 2013&lt;/DisplayText&gt;&lt;record&gt;&lt;rec-number&gt;9501&lt;/rec-number&gt;&lt;foreign-keys&gt;&lt;key app="EN" db-id="0eve55x9y5vfd6e9dacxtew4eatve2dzds9a" timestamp="1375854876"&gt;9501&lt;/key&gt;&lt;/foreign-keys&gt;&lt;ref-type name="Book"&gt;6&lt;/ref-type&gt;&lt;contributors&gt;&lt;authors&gt;&lt;author&gt;Brodie, J&lt;/author&gt;&lt;author&gt;Waterhouse, J&lt;/author&gt;&lt;author&gt;Schaffelke, B&lt;/author&gt;&lt;author&gt;Johnson, J&lt;/author&gt;&lt;author&gt;Kroon, F.&lt;/author&gt;&lt;author&gt;Thorburn, P.&lt;/author&gt;&lt;author&gt;Rolfe, J.&lt;/author&gt;&lt;author&gt;Lewis, S.&lt;/author&gt;&lt;author&gt;Warne, M.&lt;/author&gt;&lt;author&gt;Fabricius, K&lt;/author&gt;&lt;author&gt;McKenzie, Len J&lt;/author&gt;&lt;author&gt;Devlin, M. &lt;/author&gt;&lt;/authors&gt;&lt;/contributors&gt;&lt;titles&gt;&lt;title&gt;Reef Water Quality Scientific Consensus Statement 2013&lt;/title&gt;&lt;/titles&gt;&lt;pages&gt;10&lt;/pages&gt;&lt;dates&gt;&lt;year&gt;2013&lt;/year&gt;&lt;/dates&gt;&lt;pub-location&gt;Brisbane&lt;/pub-location&gt;&lt;publisher&gt;Department of the Premier and Cabinet, Queensland Government&lt;/publisher&gt;&lt;urls&gt;&lt;/urls&gt;&lt;/record&gt;&lt;/Cite&gt;&lt;/EndNote&gt;</w:instrText>
        </w:r>
        <w:r w:rsidR="009A7AB4" w:rsidRPr="00D562E2">
          <w:rPr>
            <w:rFonts w:cs="Arial"/>
            <w:szCs w:val="22"/>
          </w:rPr>
          <w:fldChar w:fldCharType="separate"/>
        </w:r>
        <w:r w:rsidR="009A7AB4" w:rsidRPr="00D562E2">
          <w:rPr>
            <w:rFonts w:cs="Arial"/>
            <w:noProof/>
            <w:szCs w:val="22"/>
          </w:rPr>
          <w:t>Brodie</w:t>
        </w:r>
        <w:r w:rsidR="009A7AB4" w:rsidRPr="00D562E2">
          <w:rPr>
            <w:rFonts w:cs="Arial"/>
            <w:i/>
            <w:noProof/>
            <w:szCs w:val="22"/>
          </w:rPr>
          <w:t xml:space="preserve"> et al.</w:t>
        </w:r>
        <w:r w:rsidR="009A7AB4" w:rsidRPr="00D562E2">
          <w:rPr>
            <w:rFonts w:cs="Arial"/>
            <w:noProof/>
            <w:szCs w:val="22"/>
          </w:rPr>
          <w:t xml:space="preserve"> 2013</w:t>
        </w:r>
        <w:r w:rsidR="009A7AB4" w:rsidRPr="00D562E2">
          <w:rPr>
            <w:rFonts w:cs="Arial"/>
            <w:szCs w:val="22"/>
          </w:rPr>
          <w:fldChar w:fldCharType="end"/>
        </w:r>
      </w:hyperlink>
      <w:r w:rsidRPr="00D562E2">
        <w:rPr>
          <w:rFonts w:cs="Arial"/>
          <w:szCs w:val="22"/>
        </w:rPr>
        <w:t>;</w:t>
      </w:r>
      <w:hyperlink w:anchor="_ENREF_39" w:tooltip="Collier, 2012 #9368" w:history="1">
        <w:r w:rsidR="009A7AB4" w:rsidRPr="00D562E2">
          <w:rPr>
            <w:rFonts w:cs="Arial"/>
            <w:szCs w:val="22"/>
          </w:rPr>
          <w:fldChar w:fldCharType="begin"/>
        </w:r>
        <w:r w:rsidR="009A7AB4">
          <w:rPr>
            <w:rFonts w:cs="Arial"/>
            <w:szCs w:val="22"/>
          </w:rPr>
          <w:instrText xml:space="preserve"> ADDIN EN.CITE &lt;EndNote&gt;&lt;Cite&gt;&lt;Author&gt;Collier&lt;/Author&gt;&lt;Year&gt;2012&lt;/Year&gt;&lt;RecNum&gt;9368&lt;/RecNum&gt;&lt;DisplayText&gt;Collier&lt;style face="italic"&gt; et al.&lt;/style&gt; 2012b&lt;/DisplayText&gt;&lt;record&gt;&lt;rec-number&gt;9368&lt;/rec-number&gt;&lt;foreign-keys&gt;&lt;key app="EN" db-id="0eve55x9y5vfd6e9dacxtew4eatve2dzds9a" timestamp="1375052483"&gt;9368&lt;/key&gt;&lt;/foreign-keys&gt;&lt;ref-type name="Journal Article"&gt;17&lt;/ref-type&gt;&lt;contributors&gt;&lt;authors&gt;&lt;author&gt;Collier, Catherine J.&lt;/author&gt;&lt;author&gt;Waycott, Michelle&lt;/author&gt;&lt;author&gt;Ospina, Ana Giraldo&lt;/author&gt;&lt;/authors&gt;&lt;/contributors&gt;&lt;titles&gt;&lt;title&gt;Responses of four Indo-West Pacific seagrass species to shading&lt;/title&gt;&lt;secondary-title&gt;Marine Pollution Bulletin&lt;/secondary-title&gt;&lt;/titles&gt;&lt;periodical&gt;&lt;full-title&gt;Marine Pollution Bulletin&lt;/full-title&gt;&lt;/periodical&gt;&lt;pages&gt;342-354&lt;/pages&gt;&lt;volume&gt;65&lt;/volume&gt;&lt;number&gt;4-9&lt;/number&gt;&lt;dates&gt;&lt;year&gt;2012&lt;/year&gt;&lt;pub-dates&gt;&lt;date&gt;2012&lt;/date&gt;&lt;/pub-dates&gt;&lt;/dates&gt;&lt;isbn&gt;0025-326X&lt;/isbn&gt;&lt;accession-num&gt;WOS:000306249100023&lt;/accession-num&gt;&lt;urls&gt;&lt;related-urls&gt;&lt;url&gt;&amp;lt;Go to ISI&amp;gt;://WOS:000306249100023&lt;/url&gt;&lt;/related-urls&gt;&lt;/urls&gt;&lt;electronic-resource-num&gt;10.1016/j.marpolbul.2011.06.017&lt;/electronic-resource-num&gt;&lt;/record&gt;&lt;/Cite&gt;&lt;/EndNote&gt;</w:instrText>
        </w:r>
        <w:r w:rsidR="009A7AB4" w:rsidRPr="00D562E2">
          <w:rPr>
            <w:rFonts w:cs="Arial"/>
            <w:szCs w:val="22"/>
          </w:rPr>
          <w:fldChar w:fldCharType="separate"/>
        </w:r>
        <w:r w:rsidR="009A7AB4">
          <w:rPr>
            <w:rFonts w:cs="Arial"/>
            <w:noProof/>
            <w:szCs w:val="22"/>
          </w:rPr>
          <w:t>Collier</w:t>
        </w:r>
        <w:r w:rsidR="009A7AB4" w:rsidRPr="004A409C">
          <w:rPr>
            <w:rFonts w:cs="Arial"/>
            <w:i/>
            <w:noProof/>
            <w:szCs w:val="22"/>
          </w:rPr>
          <w:t xml:space="preserve"> et al.</w:t>
        </w:r>
        <w:r w:rsidR="009A7AB4">
          <w:rPr>
            <w:rFonts w:cs="Arial"/>
            <w:noProof/>
            <w:szCs w:val="22"/>
          </w:rPr>
          <w:t xml:space="preserve"> 2012b</w:t>
        </w:r>
        <w:r w:rsidR="009A7AB4" w:rsidRPr="00D562E2">
          <w:rPr>
            <w:rFonts w:cs="Arial"/>
            <w:szCs w:val="22"/>
          </w:rPr>
          <w:fldChar w:fldCharType="end"/>
        </w:r>
      </w:hyperlink>
      <w:r w:rsidRPr="00D562E2">
        <w:rPr>
          <w:rFonts w:cs="Arial"/>
          <w:szCs w:val="22"/>
        </w:rPr>
        <w:t xml:space="preserve">). Seagrasses can survive in highly turbid sites if restricted to shallow areas where light reaches the canopy around low </w:t>
      </w:r>
      <w:r w:rsidRPr="00D562E2">
        <w:rPr>
          <w:rFonts w:cs="Arial"/>
          <w:szCs w:val="22"/>
        </w:rPr>
        <w:lastRenderedPageBreak/>
        <w:t>tide (</w:t>
      </w:r>
      <w:hyperlink w:anchor="_ENREF_126" w:tooltip="Petrou, 2013 #9780" w:history="1">
        <w:r w:rsidR="009A7AB4" w:rsidRPr="00D562E2">
          <w:rPr>
            <w:rFonts w:cs="Arial"/>
            <w:szCs w:val="22"/>
          </w:rPr>
          <w:fldChar w:fldCharType="begin"/>
        </w:r>
        <w:r w:rsidR="009A7AB4" w:rsidRPr="00D562E2">
          <w:rPr>
            <w:rFonts w:cs="Arial"/>
            <w:szCs w:val="22"/>
          </w:rPr>
          <w:instrText xml:space="preserve"> ADDIN EN.CITE &lt;EndNote&gt;&lt;Cite&gt;&lt;Author&gt;Petrou&lt;/Author&gt;&lt;Year&gt;2013&lt;/Year&gt;&lt;RecNum&gt;9780&lt;/RecNum&gt;&lt;DisplayText&gt;Petrou&lt;style face="italic"&gt; et al.&lt;/style&gt; 2013&lt;/DisplayText&gt;&lt;record&gt;&lt;rec-number&gt;9780&lt;/rec-number&gt;&lt;foreign-keys&gt;&lt;key app="EN" db-id="0eve55x9y5vfd6e9dacxtew4eatve2dzds9a" timestamp="1394345478"&gt;9780&lt;/key&gt;&lt;/foreign-keys&gt;&lt;ref-type name="Journal Article"&gt;17&lt;/ref-type&gt;&lt;contributors&gt;&lt;authors&gt;&lt;author&gt;Petrou, K&lt;/author&gt;&lt;author&gt;Jimenez-Denness, I&lt;/author&gt;&lt;author&gt;Chartrand, K&lt;/author&gt;&lt;author&gt;McCormack, C&lt;/author&gt;&lt;author&gt;Rasheed, M&lt;/author&gt;&lt;author&gt;Ralph, PJ&lt;/author&gt;&lt;/authors&gt;&lt;/contributors&gt;&lt;titles&gt;&lt;title&gt;Seasonal heterogeneity in the photophysiological response to air exposure in two tropical intertidal seagrass species&lt;/title&gt;&lt;secondary-title&gt;Marine Ecology Progress Series&lt;/secondary-title&gt;&lt;/titles&gt;&lt;periodical&gt;&lt;full-title&gt;Marine Ecology Progress Series&lt;/full-title&gt;&lt;/periodical&gt;&lt;pages&gt;93-106&lt;/pages&gt;&lt;volume&gt;482&lt;/volume&gt;&lt;dates&gt;&lt;year&gt;2013&lt;/year&gt;&lt;pub-dates&gt;&lt;date&gt;May 22, 2013&lt;/date&gt;&lt;/pub-dates&gt;&lt;/dates&gt;&lt;urls&gt;&lt;related-urls&gt;&lt;url&gt;http://www.int-res.com/abstracts/meps/v482/p93-106/&lt;/url&gt;&lt;/related-urls&gt;&lt;/urls&gt;&lt;electronic-resource-num&gt;10.3354/meps10229&lt;/electronic-resource-num&gt;&lt;/record&gt;&lt;/Cite&gt;&lt;/EndNote&gt;</w:instrText>
        </w:r>
        <w:r w:rsidR="009A7AB4" w:rsidRPr="00D562E2">
          <w:rPr>
            <w:rFonts w:cs="Arial"/>
            <w:szCs w:val="22"/>
          </w:rPr>
          <w:fldChar w:fldCharType="separate"/>
        </w:r>
        <w:r w:rsidR="009A7AB4" w:rsidRPr="00D562E2">
          <w:rPr>
            <w:rFonts w:cs="Arial"/>
            <w:noProof/>
            <w:szCs w:val="22"/>
          </w:rPr>
          <w:t>Petrou</w:t>
        </w:r>
        <w:r w:rsidR="009A7AB4" w:rsidRPr="00D562E2">
          <w:rPr>
            <w:rFonts w:cs="Arial"/>
            <w:i/>
            <w:noProof/>
            <w:szCs w:val="22"/>
          </w:rPr>
          <w:t xml:space="preserve"> et al.</w:t>
        </w:r>
        <w:r w:rsidR="009A7AB4" w:rsidRPr="00D562E2">
          <w:rPr>
            <w:rFonts w:cs="Arial"/>
            <w:noProof/>
            <w:szCs w:val="22"/>
          </w:rPr>
          <w:t xml:space="preserve"> 2013</w:t>
        </w:r>
        <w:r w:rsidR="009A7AB4" w:rsidRPr="00D562E2">
          <w:rPr>
            <w:rFonts w:cs="Arial"/>
            <w:szCs w:val="22"/>
          </w:rPr>
          <w:fldChar w:fldCharType="end"/>
        </w:r>
      </w:hyperlink>
      <w:r w:rsidRPr="00D562E2">
        <w:rPr>
          <w:rFonts w:cs="Arial"/>
          <w:szCs w:val="22"/>
        </w:rPr>
        <w:t>).</w:t>
      </w:r>
      <w:r w:rsidR="00D45F8F" w:rsidRPr="00D562E2">
        <w:rPr>
          <w:rFonts w:cs="Arial"/>
          <w:szCs w:val="22"/>
        </w:rPr>
        <w:t xml:space="preserve"> </w:t>
      </w:r>
      <w:r w:rsidR="00701085" w:rsidRPr="00D562E2">
        <w:rPr>
          <w:rFonts w:cs="Arial"/>
          <w:szCs w:val="22"/>
        </w:rPr>
        <w:t>Conversely,</w:t>
      </w:r>
      <w:r w:rsidRPr="00D562E2">
        <w:rPr>
          <w:rFonts w:cs="Arial"/>
          <w:szCs w:val="22"/>
        </w:rPr>
        <w:t xml:space="preserve"> infrequent low tide exposure occurring in summer months when water can be very turbid</w:t>
      </w:r>
      <w:r w:rsidR="00701085" w:rsidRPr="00D562E2">
        <w:rPr>
          <w:rFonts w:cs="Arial"/>
          <w:szCs w:val="22"/>
        </w:rPr>
        <w:t>,</w:t>
      </w:r>
      <w:r w:rsidRPr="00D562E2">
        <w:rPr>
          <w:rFonts w:cs="Arial"/>
          <w:szCs w:val="22"/>
        </w:rPr>
        <w:t xml:space="preserve"> coincident with high water temperatures</w:t>
      </w:r>
      <w:r w:rsidR="00701085" w:rsidRPr="00D562E2">
        <w:rPr>
          <w:rFonts w:cs="Arial"/>
          <w:szCs w:val="22"/>
        </w:rPr>
        <w:t>,</w:t>
      </w:r>
      <w:r w:rsidRPr="00D562E2">
        <w:rPr>
          <w:rFonts w:cs="Arial"/>
          <w:szCs w:val="22"/>
        </w:rPr>
        <w:t xml:space="preserve"> drives faster rates of decline (</w:t>
      </w:r>
      <w:hyperlink w:anchor="_ENREF_33" w:tooltip="Collier, 2016 #10625" w:history="1">
        <w:r w:rsidR="009A7AB4" w:rsidRPr="00D562E2">
          <w:rPr>
            <w:rFonts w:cs="Arial"/>
            <w:szCs w:val="22"/>
          </w:rPr>
          <w:fldChar w:fldCharType="begin"/>
        </w:r>
        <w:r w:rsidR="009A7AB4" w:rsidRPr="00D562E2">
          <w:rPr>
            <w:rFonts w:cs="Arial"/>
            <w:szCs w:val="22"/>
          </w:rPr>
          <w:instrText xml:space="preserve"> ADDIN EN.CITE &lt;EndNote&gt;&lt;Cite&gt;&lt;Author&gt;Collier&lt;/Author&gt;&lt;Year&gt;2016&lt;/Year&gt;&lt;RecNum&gt;10625&lt;/RecNum&gt;&lt;DisplayText&gt;Collier&lt;style face="italic"&gt; et al.&lt;/style&gt; 2016a&lt;/DisplayText&gt;&lt;record&gt;&lt;rec-number&gt;10625&lt;/rec-number&gt;&lt;foreign-keys&gt;&lt;key app="EN" db-id="0eve55x9y5vfd6e9dacxtew4eatve2dzds9a" timestamp="1463028163"&gt;10625&lt;/key&gt;&lt;/foreign-keys&gt;&lt;ref-type name="Journal Article"&gt;17&lt;/ref-type&gt;&lt;contributors&gt;&lt;authors&gt;&lt;author&gt;Collier, C. J.&lt;/author&gt;&lt;author&gt;Adams, M. P.&lt;/author&gt;&lt;author&gt;Langlois, L.&lt;/author&gt;&lt;author&gt;Waycott, M.&lt;/author&gt;&lt;author&gt;O’Brien, K. R.&lt;/author&gt;&lt;author&gt;Maxwell, P. S.&lt;/author&gt;&lt;author&gt;McKenzie, L.&lt;/author&gt;&lt;/authors&gt;&lt;/contributors&gt;&lt;titles&gt;&lt;title&gt;Thresholds for morphological response to light reduction for four tropical seagrass species&lt;/title&gt;&lt;secondary-title&gt;Ecological Indicators&lt;/secondary-title&gt;&lt;/titles&gt;&lt;periodical&gt;&lt;full-title&gt;Ecological Indicators&lt;/full-title&gt;&lt;/periodical&gt;&lt;pages&gt;358-366&lt;/pages&gt;&lt;volume&gt;67&lt;/volume&gt;&lt;keywords&gt;&lt;keyword&gt;Great Barrier Reef&lt;/keyword&gt;&lt;keyword&gt;Water quality&lt;/keyword&gt;&lt;keyword&gt;Photosynthetic photon flux density (PPFD)&lt;/keyword&gt;&lt;keyword&gt;Light thresholds&lt;/keyword&gt;&lt;keyword&gt;Temperature&lt;/keyword&gt;&lt;/keywords&gt;&lt;dates&gt;&lt;year&gt;2016&lt;/year&gt;&lt;/dates&gt;&lt;isbn&gt;1470-160X&lt;/isbn&gt;&lt;urls&gt;&lt;related-urls&gt;&lt;url&gt;http://www.sciencedirect.com/science/article/pii/S1470160X16300711&lt;/url&gt;&lt;/related-urls&gt;&lt;/urls&gt;&lt;electronic-resource-num&gt;http://dx.doi.org/10.1016/j.ecolind.2016.02.050&lt;/electronic-resource-num&gt;&lt;/record&gt;&lt;/Cite&gt;&lt;/EndNote&gt;</w:instrText>
        </w:r>
        <w:r w:rsidR="009A7AB4" w:rsidRPr="00D562E2">
          <w:rPr>
            <w:rFonts w:cs="Arial"/>
            <w:szCs w:val="22"/>
          </w:rPr>
          <w:fldChar w:fldCharType="separate"/>
        </w:r>
        <w:r w:rsidR="009A7AB4" w:rsidRPr="00D562E2">
          <w:rPr>
            <w:rFonts w:cs="Arial"/>
            <w:noProof/>
            <w:szCs w:val="22"/>
          </w:rPr>
          <w:t>Collier</w:t>
        </w:r>
        <w:r w:rsidR="009A7AB4" w:rsidRPr="00D562E2">
          <w:rPr>
            <w:rFonts w:cs="Arial"/>
            <w:i/>
            <w:noProof/>
            <w:szCs w:val="22"/>
          </w:rPr>
          <w:t xml:space="preserve"> et al.</w:t>
        </w:r>
        <w:r w:rsidR="009A7AB4" w:rsidRPr="00D562E2">
          <w:rPr>
            <w:rFonts w:cs="Arial"/>
            <w:noProof/>
            <w:szCs w:val="22"/>
          </w:rPr>
          <w:t xml:space="preserve"> 2016a</w:t>
        </w:r>
        <w:r w:rsidR="009A7AB4" w:rsidRPr="00D562E2">
          <w:rPr>
            <w:rFonts w:cs="Arial"/>
            <w:szCs w:val="22"/>
          </w:rPr>
          <w:fldChar w:fldCharType="end"/>
        </w:r>
      </w:hyperlink>
      <w:r w:rsidR="00152F1D" w:rsidRPr="00D562E2">
        <w:rPr>
          <w:rFonts w:cs="Arial"/>
          <w:szCs w:val="22"/>
        </w:rPr>
        <w:t>).</w:t>
      </w:r>
    </w:p>
    <w:p w14:paraId="1BA8D872" w14:textId="10D4942E" w:rsidR="00250AD6" w:rsidRPr="00D562E2" w:rsidRDefault="00250AD6" w:rsidP="00250AD6">
      <w:pPr>
        <w:autoSpaceDE w:val="0"/>
        <w:autoSpaceDN w:val="0"/>
        <w:adjustRightInd w:val="0"/>
        <w:rPr>
          <w:rFonts w:cs="Arial"/>
          <w:szCs w:val="22"/>
        </w:rPr>
      </w:pPr>
      <w:r w:rsidRPr="00D562E2">
        <w:rPr>
          <w:rFonts w:cs="Arial"/>
          <w:szCs w:val="22"/>
        </w:rPr>
        <w:t xml:space="preserve">From 2009, reduced canopy light to low and limiting light levels was reported in seagrass meadows across the </w:t>
      </w:r>
      <w:r w:rsidR="003158FC" w:rsidRPr="00D562E2">
        <w:rPr>
          <w:rFonts w:cs="Arial"/>
          <w:szCs w:val="22"/>
        </w:rPr>
        <w:t>Reef</w:t>
      </w:r>
      <w:r w:rsidRPr="00D562E2">
        <w:rPr>
          <w:rFonts w:cs="Arial"/>
          <w:szCs w:val="22"/>
        </w:rPr>
        <w:t xml:space="preserve">, and, coincident with this, nutrients (N and P) increased relative to plant requirements. </w:t>
      </w:r>
      <w:r w:rsidR="00701085" w:rsidRPr="00D562E2">
        <w:rPr>
          <w:rFonts w:cs="Arial"/>
          <w:szCs w:val="22"/>
        </w:rPr>
        <w:t>C</w:t>
      </w:r>
      <w:r w:rsidRPr="00D562E2">
        <w:rPr>
          <w:rFonts w:cs="Arial"/>
          <w:szCs w:val="22"/>
        </w:rPr>
        <w:t>onditions in the years leading up to 2011 were extremely turbid and were correlated with seagrass decline (e.g.</w:t>
      </w:r>
      <w:r w:rsidR="00513C39" w:rsidRPr="00D562E2">
        <w:rPr>
          <w:rFonts w:cs="Arial"/>
          <w:szCs w:val="22"/>
        </w:rPr>
        <w:t xml:space="preserve"> </w:t>
      </w:r>
      <w:r w:rsidR="00513C39" w:rsidRPr="00D562E2">
        <w:rPr>
          <w:rFonts w:cs="Arial"/>
          <w:szCs w:val="22"/>
        </w:rPr>
        <w:fldChar w:fldCharType="begin">
          <w:fldData xml:space="preserve">PEVuZE5vdGU+PENpdGU+PEF1dGhvcj5Db2xsaWVyPC9BdXRob3I+PFllYXI+MjAxMjwvWWVhcj48
UmVjTnVtPjkzNjg8L1JlY051bT48RGlzcGxheVRleHQ+Q29sbGllcjxzdHlsZSBmYWNlPSJpdGFs
aWMiPiBldCBhbC48L3N0eWxlPiAyMDEyYjsgUGV0dXM8c3R5bGUgZmFjZT0iaXRhbGljIj4gZXQg
YWwuPC9zdHlsZT4gMjAxNDwvRGlzcGxheVRleHQ+PHJlY29yZD48cmVjLW51bWJlcj45MzY4PC9y
ZWMtbnVtYmVyPjxmb3JlaWduLWtleXM+PGtleSBhcHA9IkVOIiBkYi1pZD0iMGV2ZTU1eDl5NXZm
ZDZlOWRhY3h0ZXc0ZWF0dmUyZHpkczlhIiB0aW1lc3RhbXA9IjEzNzUwNTI0ODMiPjkzNjg8L2tl
eT48L2ZvcmVpZ24ta2V5cz48cmVmLXR5cGUgbmFtZT0iSm91cm5hbCBBcnRpY2xlIj4xNzwvcmVm
LXR5cGU+PGNvbnRyaWJ1dG9ycz48YXV0aG9ycz48YXV0aG9yPkNvbGxpZXIsIENhdGhlcmluZSBK
LjwvYXV0aG9yPjxhdXRob3I+V2F5Y290dCwgTWljaGVsbGU8L2F1dGhvcj48YXV0aG9yPk9zcGlu
YSwgQW5hIEdpcmFsZG88L2F1dGhvcj48L2F1dGhvcnM+PC9jb250cmlidXRvcnM+PHRpdGxlcz48
dGl0bGU+UmVzcG9uc2VzIG9mIGZvdXIgSW5kby1XZXN0IFBhY2lmaWMgc2VhZ3Jhc3Mgc3BlY2ll
cyB0byBzaGFkaW5nPC90aXRsZT48c2Vjb25kYXJ5LXRpdGxlPk1hcmluZSBQb2xsdXRpb24gQnVs
bGV0aW48L3NlY29uZGFyeS10aXRsZT48L3RpdGxlcz48cGVyaW9kaWNhbD48ZnVsbC10aXRsZT5N
YXJpbmUgUG9sbHV0aW9uIEJ1bGxldGluPC9mdWxsLXRpdGxlPjwvcGVyaW9kaWNhbD48cGFnZXM+
MzQyLTM1NDwvcGFnZXM+PHZvbHVtZT42NTwvdm9sdW1lPjxudW1iZXI+NC05PC9udW1iZXI+PGRh
dGVzPjx5ZWFyPjIwMTI8L3llYXI+PHB1Yi1kYXRlcz48ZGF0ZT4yMDEyPC9kYXRlPjwvcHViLWRh
dGVzPjwvZGF0ZXM+PGlzYm4+MDAyNS0zMjZYPC9pc2JuPjxhY2Nlc3Npb24tbnVtPldPUzowMDAz
MDYyNDkxMDAwMjM8L2FjY2Vzc2lvbi1udW0+PHVybHM+PHJlbGF0ZWQtdXJscz48dXJsPiZsdDtH
byB0byBJU0kmZ3Q7Oi8vV09TOjAwMDMwNjI0OTEwMDAyMzwvdXJsPjwvcmVsYXRlZC11cmxzPjwv
dXJscz48ZWxlY3Ryb25pYy1yZXNvdXJjZS1udW0+MTAuMTAxNi9qLm1hcnBvbGJ1bC4yMDExLjA2
LjAxNzwvZWxlY3Ryb25pYy1yZXNvdXJjZS1udW0+PC9yZWNvcmQ+PC9DaXRlPjxDaXRlPjxBdXRo
b3I+UGV0dXM8L0F1dGhvcj48WWVhcj4yMDE0PC9ZZWFyPjxSZWNOdW0+MTA4MDA8L1JlY051bT48
cmVjb3JkPjxyZWMtbnVtYmVyPjEwODAwPC9yZWMtbnVtYmVyPjxmb3JlaWduLWtleXM+PGtleSBh
cHA9IkVOIiBkYi1pZD0iMGV2ZTU1eDl5NXZmZDZlOWRhY3h0ZXc0ZWF0dmUyZHpkczlhIiB0aW1l
c3RhbXA9IjE0Nzk2ODU1MzYiPjEwODAwPC9rZXk+PC9mb3JlaWduLWtleXM+PHJlZi10eXBlIG5h
bWU9IkpvdXJuYWwgQXJ0aWNsZSI+MTc8L3JlZi10eXBlPjxjb250cmlidXRvcnM+PGF1dGhvcnM+
PGF1dGhvcj5QZXR1cywgQ2Fyb2xpbmU8L2F1dGhvcj48YXV0aG9yPkNvbGxpZXIsIENhdGhlcmlu
ZTwvYXV0aG9yPjxhdXRob3I+RGV2bGluLCBNaWNoZWxsZTwvYXV0aG9yPjxhdXRob3I+UmFzaGVl
ZCwgTWljaGFlbDwvYXV0aG9yPjxhdXRob3I+TWNLZW5uYSwgU2t5ZTwvYXV0aG9yPjwvYXV0aG9y
cz48L2NvbnRyaWJ1dG9ycz48dGl0bGVzPjx0aXRsZT5Vc2luZyBNT0RJUyBkYXRhIGZvciB1bmRl
cnN0YW5kaW5nIGNoYW5nZXMgaW4gc2VhZ3Jhc3MgbWVhZG93IGhlYWx0aDogQSBjYXNlIHN0dWR5
IGluIHRoZSBHcmVhdCBCYXJyaWVyIFJlZWYgKEF1c3RyYWxpYSk8L3RpdGxlPjxzZWNvbmRhcnkt
dGl0bGU+TWFyaW5lIEVudmlyb25tZW50YWwgUmVzZWFyY2g8L3NlY29uZGFyeS10aXRsZT48L3Rp
dGxlcz48cGVyaW9kaWNhbD48ZnVsbC10aXRsZT5NYXJpbmUgRW52aXJvbm1lbnRhbCBSZXNlYXJj
aDwvZnVsbC10aXRsZT48L3BlcmlvZGljYWw+PHBhZ2VzPjY4LTg1PC9wYWdlcz48dm9sdW1lPjk4
PC92b2x1bWU+PGtleXdvcmRzPjxrZXl3b3JkPlNlYWdyYXNzIGhlYWx0aDwva2V5d29yZD48a2V5
d29yZD5NT0RJUzwva2V5d29yZD48a2V5d29yZD5XYXRlciBjbGFyaXR5PC9rZXl3b3JkPjxrZXl3
b3JkPkVjb2xvZ2ljYWwgY29uc2VxdWVuY2VzPC9rZXl3b3JkPjwva2V5d29yZHM+PGRhdGVzPjx5
ZWFyPjIwMTQ8L3llYXI+PC9kYXRlcz48aXNibj4wMTQxLTExMzY8L2lzYm4+PHVybHM+PHJlbGF0
ZWQtdXJscz48dXJsPmh0dHA6Ly93d3cuc2NpZW5jZWRpcmVjdC5jb20vc2NpZW5jZS9hcnRpY2xl
L3BpaS9TMDE0MTExMzYxNDAwMDQ4ODwvdXJsPjwvcmVsYXRlZC11cmxzPjwvdXJscz48ZWxlY3Ry
b25pYy1yZXNvdXJjZS1udW0+aHR0cDovL2R4LmRvaS5vcmcvMTAuMTAxNi9qLm1hcmVudnJlcy4y
MDE0LjAzLjAwNjwvZWxlY3Ryb25pYy1yZXNvdXJjZS1udW0+PC9yZWNvcmQ+PC9DaXRlPjwvRW5k
Tm90ZT5=
</w:fldData>
        </w:fldChar>
      </w:r>
      <w:r w:rsidR="004A409C">
        <w:rPr>
          <w:rFonts w:cs="Arial"/>
          <w:szCs w:val="22"/>
        </w:rPr>
        <w:instrText xml:space="preserve"> ADDIN EN.CITE </w:instrText>
      </w:r>
      <w:r w:rsidR="004A409C">
        <w:rPr>
          <w:rFonts w:cs="Arial"/>
          <w:szCs w:val="22"/>
        </w:rPr>
        <w:fldChar w:fldCharType="begin">
          <w:fldData xml:space="preserve">PEVuZE5vdGU+PENpdGU+PEF1dGhvcj5Db2xsaWVyPC9BdXRob3I+PFllYXI+MjAxMjwvWWVhcj48
UmVjTnVtPjkzNjg8L1JlY051bT48RGlzcGxheVRleHQ+Q29sbGllcjxzdHlsZSBmYWNlPSJpdGFs
aWMiPiBldCBhbC48L3N0eWxlPiAyMDEyYjsgUGV0dXM8c3R5bGUgZmFjZT0iaXRhbGljIj4gZXQg
YWwuPC9zdHlsZT4gMjAxNDwvRGlzcGxheVRleHQ+PHJlY29yZD48cmVjLW51bWJlcj45MzY4PC9y
ZWMtbnVtYmVyPjxmb3JlaWduLWtleXM+PGtleSBhcHA9IkVOIiBkYi1pZD0iMGV2ZTU1eDl5NXZm
ZDZlOWRhY3h0ZXc0ZWF0dmUyZHpkczlhIiB0aW1lc3RhbXA9IjEzNzUwNTI0ODMiPjkzNjg8L2tl
eT48L2ZvcmVpZ24ta2V5cz48cmVmLXR5cGUgbmFtZT0iSm91cm5hbCBBcnRpY2xlIj4xNzwvcmVm
LXR5cGU+PGNvbnRyaWJ1dG9ycz48YXV0aG9ycz48YXV0aG9yPkNvbGxpZXIsIENhdGhlcmluZSBK
LjwvYXV0aG9yPjxhdXRob3I+V2F5Y290dCwgTWljaGVsbGU8L2F1dGhvcj48YXV0aG9yPk9zcGlu
YSwgQW5hIEdpcmFsZG88L2F1dGhvcj48L2F1dGhvcnM+PC9jb250cmlidXRvcnM+PHRpdGxlcz48
dGl0bGU+UmVzcG9uc2VzIG9mIGZvdXIgSW5kby1XZXN0IFBhY2lmaWMgc2VhZ3Jhc3Mgc3BlY2ll
cyB0byBzaGFkaW5nPC90aXRsZT48c2Vjb25kYXJ5LXRpdGxlPk1hcmluZSBQb2xsdXRpb24gQnVs
bGV0aW48L3NlY29uZGFyeS10aXRsZT48L3RpdGxlcz48cGVyaW9kaWNhbD48ZnVsbC10aXRsZT5N
YXJpbmUgUG9sbHV0aW9uIEJ1bGxldGluPC9mdWxsLXRpdGxlPjwvcGVyaW9kaWNhbD48cGFnZXM+
MzQyLTM1NDwvcGFnZXM+PHZvbHVtZT42NTwvdm9sdW1lPjxudW1iZXI+NC05PC9udW1iZXI+PGRh
dGVzPjx5ZWFyPjIwMTI8L3llYXI+PHB1Yi1kYXRlcz48ZGF0ZT4yMDEyPC9kYXRlPjwvcHViLWRh
dGVzPjwvZGF0ZXM+PGlzYm4+MDAyNS0zMjZYPC9pc2JuPjxhY2Nlc3Npb24tbnVtPldPUzowMDAz
MDYyNDkxMDAwMjM8L2FjY2Vzc2lvbi1udW0+PHVybHM+PHJlbGF0ZWQtdXJscz48dXJsPiZsdDtH
byB0byBJU0kmZ3Q7Oi8vV09TOjAwMDMwNjI0OTEwMDAyMzwvdXJsPjwvcmVsYXRlZC11cmxzPjwv
dXJscz48ZWxlY3Ryb25pYy1yZXNvdXJjZS1udW0+MTAuMTAxNi9qLm1hcnBvbGJ1bC4yMDExLjA2
LjAxNzwvZWxlY3Ryb25pYy1yZXNvdXJjZS1udW0+PC9yZWNvcmQ+PC9DaXRlPjxDaXRlPjxBdXRo
b3I+UGV0dXM8L0F1dGhvcj48WWVhcj4yMDE0PC9ZZWFyPjxSZWNOdW0+MTA4MDA8L1JlY051bT48
cmVjb3JkPjxyZWMtbnVtYmVyPjEwODAwPC9yZWMtbnVtYmVyPjxmb3JlaWduLWtleXM+PGtleSBh
cHA9IkVOIiBkYi1pZD0iMGV2ZTU1eDl5NXZmZDZlOWRhY3h0ZXc0ZWF0dmUyZHpkczlhIiB0aW1l
c3RhbXA9IjE0Nzk2ODU1MzYiPjEwODAwPC9rZXk+PC9mb3JlaWduLWtleXM+PHJlZi10eXBlIG5h
bWU9IkpvdXJuYWwgQXJ0aWNsZSI+MTc8L3JlZi10eXBlPjxjb250cmlidXRvcnM+PGF1dGhvcnM+
PGF1dGhvcj5QZXR1cywgQ2Fyb2xpbmU8L2F1dGhvcj48YXV0aG9yPkNvbGxpZXIsIENhdGhlcmlu
ZTwvYXV0aG9yPjxhdXRob3I+RGV2bGluLCBNaWNoZWxsZTwvYXV0aG9yPjxhdXRob3I+UmFzaGVl
ZCwgTWljaGFlbDwvYXV0aG9yPjxhdXRob3I+TWNLZW5uYSwgU2t5ZTwvYXV0aG9yPjwvYXV0aG9y
cz48L2NvbnRyaWJ1dG9ycz48dGl0bGVzPjx0aXRsZT5Vc2luZyBNT0RJUyBkYXRhIGZvciB1bmRl
cnN0YW5kaW5nIGNoYW5nZXMgaW4gc2VhZ3Jhc3MgbWVhZG93IGhlYWx0aDogQSBjYXNlIHN0dWR5
IGluIHRoZSBHcmVhdCBCYXJyaWVyIFJlZWYgKEF1c3RyYWxpYSk8L3RpdGxlPjxzZWNvbmRhcnkt
dGl0bGU+TWFyaW5lIEVudmlyb25tZW50YWwgUmVzZWFyY2g8L3NlY29uZGFyeS10aXRsZT48L3Rp
dGxlcz48cGVyaW9kaWNhbD48ZnVsbC10aXRsZT5NYXJpbmUgRW52aXJvbm1lbnRhbCBSZXNlYXJj
aDwvZnVsbC10aXRsZT48L3BlcmlvZGljYWw+PHBhZ2VzPjY4LTg1PC9wYWdlcz48dm9sdW1lPjk4
PC92b2x1bWU+PGtleXdvcmRzPjxrZXl3b3JkPlNlYWdyYXNzIGhlYWx0aDwva2V5d29yZD48a2V5
d29yZD5NT0RJUzwva2V5d29yZD48a2V5d29yZD5XYXRlciBjbGFyaXR5PC9rZXl3b3JkPjxrZXl3
b3JkPkVjb2xvZ2ljYWwgY29uc2VxdWVuY2VzPC9rZXl3b3JkPjwva2V5d29yZHM+PGRhdGVzPjx5
ZWFyPjIwMTQ8L3llYXI+PC9kYXRlcz48aXNibj4wMTQxLTExMzY8L2lzYm4+PHVybHM+PHJlbGF0
ZWQtdXJscz48dXJsPmh0dHA6Ly93d3cuc2NpZW5jZWRpcmVjdC5jb20vc2NpZW5jZS9hcnRpY2xl
L3BpaS9TMDE0MTExMzYxNDAwMDQ4ODwvdXJsPjwvcmVsYXRlZC11cmxzPjwvdXJscz48ZWxlY3Ry
b25pYy1yZXNvdXJjZS1udW0+aHR0cDovL2R4LmRvaS5vcmcvMTAuMTAxNi9qLm1hcmVudnJlcy4y
MDE0LjAzLjAwNjwvZWxlY3Ryb25pYy1yZXNvdXJjZS1udW0+PC9yZWNvcmQ+PC9DaXRlPjwvRW5k
Tm90ZT5=
</w:fldData>
        </w:fldChar>
      </w:r>
      <w:r w:rsidR="004A409C">
        <w:rPr>
          <w:rFonts w:cs="Arial"/>
          <w:szCs w:val="22"/>
        </w:rPr>
        <w:instrText xml:space="preserve"> ADDIN EN.CITE.DATA </w:instrText>
      </w:r>
      <w:r w:rsidR="004A409C">
        <w:rPr>
          <w:rFonts w:cs="Arial"/>
          <w:szCs w:val="22"/>
        </w:rPr>
      </w:r>
      <w:r w:rsidR="004A409C">
        <w:rPr>
          <w:rFonts w:cs="Arial"/>
          <w:szCs w:val="22"/>
        </w:rPr>
        <w:fldChar w:fldCharType="end"/>
      </w:r>
      <w:r w:rsidR="00513C39" w:rsidRPr="00D562E2">
        <w:rPr>
          <w:rFonts w:cs="Arial"/>
          <w:szCs w:val="22"/>
        </w:rPr>
      </w:r>
      <w:r w:rsidR="00513C39" w:rsidRPr="00D562E2">
        <w:rPr>
          <w:rFonts w:cs="Arial"/>
          <w:szCs w:val="22"/>
        </w:rPr>
        <w:fldChar w:fldCharType="separate"/>
      </w:r>
      <w:hyperlink w:anchor="_ENREF_39" w:tooltip="Collier, 2012 #9368" w:history="1">
        <w:r w:rsidR="009A7AB4">
          <w:rPr>
            <w:rFonts w:cs="Arial"/>
            <w:noProof/>
            <w:szCs w:val="22"/>
          </w:rPr>
          <w:t>Collier</w:t>
        </w:r>
        <w:r w:rsidR="009A7AB4" w:rsidRPr="004A409C">
          <w:rPr>
            <w:rFonts w:cs="Arial"/>
            <w:i/>
            <w:noProof/>
            <w:szCs w:val="22"/>
          </w:rPr>
          <w:t xml:space="preserve"> et al.</w:t>
        </w:r>
        <w:r w:rsidR="009A7AB4">
          <w:rPr>
            <w:rFonts w:cs="Arial"/>
            <w:noProof/>
            <w:szCs w:val="22"/>
          </w:rPr>
          <w:t xml:space="preserve"> 2012b</w:t>
        </w:r>
      </w:hyperlink>
      <w:r w:rsidR="004A409C">
        <w:rPr>
          <w:rFonts w:cs="Arial"/>
          <w:noProof/>
          <w:szCs w:val="22"/>
        </w:rPr>
        <w:t xml:space="preserve">; </w:t>
      </w:r>
      <w:hyperlink w:anchor="_ENREF_127" w:tooltip="Petus, 2014 #10800" w:history="1">
        <w:r w:rsidR="009A7AB4">
          <w:rPr>
            <w:rFonts w:cs="Arial"/>
            <w:noProof/>
            <w:szCs w:val="22"/>
          </w:rPr>
          <w:t>Petus</w:t>
        </w:r>
        <w:r w:rsidR="009A7AB4" w:rsidRPr="004A409C">
          <w:rPr>
            <w:rFonts w:cs="Arial"/>
            <w:i/>
            <w:noProof/>
            <w:szCs w:val="22"/>
          </w:rPr>
          <w:t xml:space="preserve"> et al.</w:t>
        </w:r>
        <w:r w:rsidR="009A7AB4">
          <w:rPr>
            <w:rFonts w:cs="Arial"/>
            <w:noProof/>
            <w:szCs w:val="22"/>
          </w:rPr>
          <w:t xml:space="preserve"> 2014</w:t>
        </w:r>
      </w:hyperlink>
      <w:r w:rsidR="00513C39" w:rsidRPr="00D562E2">
        <w:rPr>
          <w:rFonts w:cs="Arial"/>
          <w:szCs w:val="22"/>
        </w:rPr>
        <w:fldChar w:fldCharType="end"/>
      </w:r>
      <w:r w:rsidRPr="00D562E2">
        <w:rPr>
          <w:rFonts w:cs="Arial"/>
          <w:szCs w:val="22"/>
        </w:rPr>
        <w:t xml:space="preserve">). Since then, there have been periods of low light and exceedance of light thresholds, but the low light levels have not been as extreme (as low light, or for as long). </w:t>
      </w:r>
      <w:r w:rsidR="00297322" w:rsidRPr="00D562E2">
        <w:rPr>
          <w:rFonts w:cs="Arial"/>
          <w:szCs w:val="22"/>
        </w:rPr>
        <w:t>T</w:t>
      </w:r>
      <w:r w:rsidRPr="00D562E2">
        <w:rPr>
          <w:rFonts w:cs="Arial"/>
          <w:szCs w:val="22"/>
        </w:rPr>
        <w:t xml:space="preserve">he meadows have </w:t>
      </w:r>
      <w:r w:rsidR="00A034C8" w:rsidRPr="00D562E2">
        <w:rPr>
          <w:rFonts w:cs="Arial"/>
          <w:szCs w:val="22"/>
        </w:rPr>
        <w:t xml:space="preserve">continued in a state of </w:t>
      </w:r>
      <w:r w:rsidRPr="00D562E2">
        <w:rPr>
          <w:rFonts w:cs="Arial"/>
          <w:szCs w:val="22"/>
        </w:rPr>
        <w:t>recovery, and the biological processes of recovery appear</w:t>
      </w:r>
      <w:r w:rsidR="00F67D9A" w:rsidRPr="00D562E2">
        <w:rPr>
          <w:rFonts w:cs="Arial"/>
          <w:szCs w:val="22"/>
        </w:rPr>
        <w:t>s</w:t>
      </w:r>
      <w:r w:rsidRPr="00D562E2">
        <w:rPr>
          <w:rFonts w:cs="Arial"/>
          <w:szCs w:val="22"/>
        </w:rPr>
        <w:t xml:space="preserve"> to complicate the respo</w:t>
      </w:r>
      <w:r w:rsidR="00152F1D" w:rsidRPr="00D562E2">
        <w:rPr>
          <w:rFonts w:cs="Arial"/>
          <w:szCs w:val="22"/>
        </w:rPr>
        <w:t>nse to environmental stressors.</w:t>
      </w:r>
    </w:p>
    <w:p w14:paraId="0E3D6105" w14:textId="2F40E456" w:rsidR="00615ED8" w:rsidRDefault="00C47342" w:rsidP="00EC47B9">
      <w:pPr>
        <w:rPr>
          <w:rFonts w:cs="Arial"/>
          <w:szCs w:val="22"/>
          <w:lang w:val="en-GB"/>
        </w:rPr>
      </w:pPr>
      <w:r>
        <w:rPr>
          <w:rFonts w:cs="Arial"/>
          <w:szCs w:val="22"/>
          <w:lang w:val="en-GB"/>
        </w:rPr>
        <w:t>Conditions conducive for seagrass growth, with a reduction in disturbance events are needed for t</w:t>
      </w:r>
      <w:r w:rsidR="00EC47B9" w:rsidRPr="00D562E2">
        <w:rPr>
          <w:rFonts w:cs="Arial"/>
          <w:szCs w:val="22"/>
          <w:lang w:val="en-GB"/>
        </w:rPr>
        <w:t xml:space="preserve">he Reef’s inshore seagrass meadows to improve from their current poor </w:t>
      </w:r>
      <w:r>
        <w:rPr>
          <w:rFonts w:cs="Arial"/>
          <w:szCs w:val="22"/>
          <w:lang w:val="en-GB"/>
        </w:rPr>
        <w:t xml:space="preserve">state </w:t>
      </w:r>
      <w:r w:rsidR="00EC47B9" w:rsidRPr="00D562E2">
        <w:rPr>
          <w:rFonts w:cs="Arial"/>
          <w:szCs w:val="22"/>
          <w:lang w:val="en-GB"/>
        </w:rPr>
        <w:t xml:space="preserve">and </w:t>
      </w:r>
      <w:r>
        <w:rPr>
          <w:rFonts w:cs="Arial"/>
          <w:szCs w:val="22"/>
          <w:lang w:val="en-GB"/>
        </w:rPr>
        <w:t>weakened.</w:t>
      </w:r>
    </w:p>
    <w:p w14:paraId="649C0C6E" w14:textId="1FCBD5A1" w:rsidR="00EC47B9" w:rsidRPr="00D562E2" w:rsidRDefault="00FB6E1D" w:rsidP="00EC47B9">
      <w:pPr>
        <w:rPr>
          <w:rFonts w:cs="Arial"/>
          <w:szCs w:val="22"/>
          <w:lang w:val="en-GB"/>
        </w:rPr>
      </w:pPr>
      <w:r>
        <w:rPr>
          <w:rFonts w:cs="Arial"/>
          <w:szCs w:val="22"/>
          <w:lang w:val="en-GB"/>
        </w:rPr>
        <w:t>To maintain a comprehensive understanding of seagrass condition and trend, and the factors driving change in these systems</w:t>
      </w:r>
      <w:r w:rsidR="00EC47B9" w:rsidRPr="00D562E2">
        <w:rPr>
          <w:rFonts w:cs="Arial"/>
          <w:szCs w:val="22"/>
          <w:lang w:val="en-GB"/>
        </w:rPr>
        <w:t xml:space="preserve"> </w:t>
      </w:r>
      <w:r w:rsidR="00F73D9E" w:rsidRPr="00D562E2">
        <w:rPr>
          <w:rFonts w:cs="Arial"/>
          <w:szCs w:val="22"/>
          <w:lang w:val="en-GB"/>
        </w:rPr>
        <w:t>improved interdisciplinary and multidisciplinary ecosystem science on resilience and recovery</w:t>
      </w:r>
      <w:r w:rsidR="00D00124">
        <w:rPr>
          <w:rFonts w:cs="Arial"/>
          <w:szCs w:val="22"/>
          <w:lang w:val="en-GB"/>
        </w:rPr>
        <w:t xml:space="preserve"> need to be</w:t>
      </w:r>
      <w:r>
        <w:rPr>
          <w:rFonts w:cs="Arial"/>
          <w:szCs w:val="22"/>
          <w:lang w:val="en-GB"/>
        </w:rPr>
        <w:t xml:space="preserve"> maintained and strengthened. </w:t>
      </w:r>
      <w:r w:rsidR="00D00124">
        <w:rPr>
          <w:rFonts w:cs="Arial"/>
          <w:szCs w:val="22"/>
          <w:lang w:val="en-GB"/>
        </w:rPr>
        <w:t xml:space="preserve"> In conjunction with that  research, it is important to continue to refine the </w:t>
      </w:r>
      <w:r w:rsidR="0036002F">
        <w:rPr>
          <w:rFonts w:cs="Arial"/>
          <w:szCs w:val="22"/>
          <w:lang w:val="en-GB"/>
        </w:rPr>
        <w:t>MMP</w:t>
      </w:r>
      <w:r w:rsidR="00D00124">
        <w:rPr>
          <w:rFonts w:cs="Arial"/>
          <w:szCs w:val="22"/>
          <w:lang w:val="en-GB"/>
        </w:rPr>
        <w:t xml:space="preserve">, particularly as, after 15 years of monitoring, there is substantially more information now that can be used to address emerging priorities, namely: </w:t>
      </w:r>
      <w:r w:rsidR="00161A10">
        <w:rPr>
          <w:rFonts w:cs="Arial"/>
          <w:szCs w:val="22"/>
          <w:lang w:val="en-GB"/>
        </w:rPr>
        <w:t xml:space="preserve">1. recovery models, 2. risk assessment and scaling of pressures data, 3. scaling of seagrass condition data, 4. re-assessment of metrics; and, 5. an assessment of what affects seagrass reproductive effort to inform points 1 to 4. </w:t>
      </w:r>
    </w:p>
    <w:bookmarkEnd w:id="650"/>
    <w:bookmarkEnd w:id="651"/>
    <w:bookmarkEnd w:id="652"/>
    <w:bookmarkEnd w:id="653"/>
    <w:p w14:paraId="2B3CD2EC" w14:textId="77777777" w:rsidR="00DE07B4" w:rsidRPr="00D562E2" w:rsidRDefault="00DE07B4" w:rsidP="00250AD6">
      <w:pPr>
        <w:autoSpaceDE w:val="0"/>
        <w:autoSpaceDN w:val="0"/>
        <w:adjustRightInd w:val="0"/>
        <w:rPr>
          <w:rFonts w:cs="Arial"/>
          <w:szCs w:val="22"/>
          <w:lang w:val="en-US"/>
        </w:rPr>
      </w:pPr>
    </w:p>
    <w:p w14:paraId="61E51CF6" w14:textId="3C526FF3" w:rsidR="00250AD6" w:rsidRPr="00D562E2" w:rsidRDefault="00250AD6" w:rsidP="00AD06D4">
      <w:pPr>
        <w:numPr>
          <w:ilvl w:val="0"/>
          <w:numId w:val="4"/>
        </w:numPr>
        <w:rPr>
          <w:rFonts w:cs="Arial"/>
          <w:szCs w:val="22"/>
          <w:lang w:val="en-US"/>
        </w:rPr>
        <w:sectPr w:rsidR="00250AD6" w:rsidRPr="00D562E2" w:rsidSect="0085398A">
          <w:headerReference w:type="even" r:id="rId148"/>
          <w:headerReference w:type="default" r:id="rId149"/>
          <w:footerReference w:type="even" r:id="rId150"/>
          <w:footerReference w:type="default" r:id="rId151"/>
          <w:headerReference w:type="first" r:id="rId152"/>
          <w:footerReference w:type="first" r:id="rId153"/>
          <w:pgSz w:w="11900" w:h="16840"/>
          <w:pgMar w:top="1134" w:right="1440" w:bottom="1440" w:left="1440" w:header="708" w:footer="708" w:gutter="0"/>
          <w:cols w:space="708"/>
          <w:docGrid w:linePitch="360"/>
        </w:sectPr>
      </w:pPr>
    </w:p>
    <w:p w14:paraId="46AADF35" w14:textId="77777777" w:rsidR="009A0520" w:rsidRPr="00CB093C" w:rsidRDefault="009A0520" w:rsidP="008416AD">
      <w:pPr>
        <w:pStyle w:val="Heading1"/>
      </w:pPr>
      <w:bookmarkStart w:id="665" w:name="_Toc232845952"/>
      <w:bookmarkStart w:id="666" w:name="_Toc184102053"/>
      <w:bookmarkStart w:id="667" w:name="_Toc431493789"/>
      <w:bookmarkStart w:id="668" w:name="_Toc442706400"/>
      <w:bookmarkStart w:id="669" w:name="_Toc37775125"/>
      <w:bookmarkStart w:id="670" w:name="_Toc43987100"/>
      <w:bookmarkStart w:id="671" w:name="_Toc170191673"/>
      <w:bookmarkStart w:id="672" w:name="_Toc175991101"/>
      <w:r w:rsidRPr="00CB093C">
        <w:lastRenderedPageBreak/>
        <w:t>References</w:t>
      </w:r>
      <w:bookmarkEnd w:id="665"/>
      <w:bookmarkEnd w:id="666"/>
      <w:bookmarkEnd w:id="667"/>
      <w:bookmarkEnd w:id="668"/>
      <w:bookmarkEnd w:id="669"/>
      <w:bookmarkEnd w:id="670"/>
    </w:p>
    <w:bookmarkEnd w:id="671"/>
    <w:bookmarkEnd w:id="672"/>
    <w:p w14:paraId="5433DE78" w14:textId="77777777" w:rsidR="009A7AB4" w:rsidRPr="009A7AB4" w:rsidRDefault="009A0520" w:rsidP="009A7AB4">
      <w:pPr>
        <w:pStyle w:val="EndNoteBibliography"/>
        <w:spacing w:after="0"/>
        <w:ind w:left="720" w:hanging="720"/>
      </w:pPr>
      <w:r w:rsidRPr="00652AFB">
        <w:rPr>
          <w:rFonts w:ascii="Arial" w:hAnsi="Arial" w:cs="Arial"/>
          <w:szCs w:val="22"/>
          <w:lang w:val="x-none"/>
        </w:rPr>
        <w:fldChar w:fldCharType="begin"/>
      </w:r>
      <w:r w:rsidRPr="00652AFB">
        <w:rPr>
          <w:rFonts w:ascii="Arial" w:hAnsi="Arial" w:cs="Arial"/>
          <w:szCs w:val="22"/>
          <w:lang w:val="x-none"/>
        </w:rPr>
        <w:instrText xml:space="preserve"> ADDIN EN.REFLIST </w:instrText>
      </w:r>
      <w:r w:rsidRPr="00652AFB">
        <w:rPr>
          <w:rFonts w:ascii="Arial" w:hAnsi="Arial" w:cs="Arial"/>
          <w:szCs w:val="22"/>
          <w:lang w:val="x-none"/>
        </w:rPr>
        <w:fldChar w:fldCharType="separate"/>
      </w:r>
      <w:bookmarkStart w:id="673" w:name="_ENREF_1"/>
      <w:r w:rsidR="009A7AB4" w:rsidRPr="009A7AB4">
        <w:t xml:space="preserve">Abal, E.G., Loneragan, N.R., Bowen, P., Perry, C.J., Udy, J.W., Dennison, W.C. 1994, Physiological and morphological responses of the seagrass </w:t>
      </w:r>
      <w:r w:rsidR="009A7AB4" w:rsidRPr="009A7AB4">
        <w:rPr>
          <w:i/>
        </w:rPr>
        <w:t>Zostera capricorni</w:t>
      </w:r>
      <w:r w:rsidR="009A7AB4" w:rsidRPr="009A7AB4">
        <w:t xml:space="preserve"> Aschers. to light intensity. </w:t>
      </w:r>
      <w:r w:rsidR="009A7AB4" w:rsidRPr="009A7AB4">
        <w:rPr>
          <w:i/>
        </w:rPr>
        <w:t xml:space="preserve">Journal of Experimental Marine Biology and Ecology, </w:t>
      </w:r>
      <w:r w:rsidR="009A7AB4" w:rsidRPr="009A7AB4">
        <w:t xml:space="preserve">178(1): 113-129. </w:t>
      </w:r>
      <w:bookmarkEnd w:id="673"/>
    </w:p>
    <w:p w14:paraId="1271644B" w14:textId="77777777" w:rsidR="009A7AB4" w:rsidRPr="009A7AB4" w:rsidRDefault="009A7AB4" w:rsidP="009A7AB4">
      <w:pPr>
        <w:pStyle w:val="EndNoteBibliography"/>
        <w:spacing w:after="0"/>
        <w:ind w:left="720" w:hanging="720"/>
      </w:pPr>
      <w:bookmarkStart w:id="674" w:name="_ENREF_2"/>
      <w:r w:rsidRPr="009A7AB4">
        <w:t xml:space="preserve">Angelini, C., Altieri, A.H., Silliman, B.R., Bertness, M.D. 2011, Interactions among Foundation Species and their Consequences for Community Organization, Biodiversity, and Conservation. </w:t>
      </w:r>
      <w:r w:rsidRPr="009A7AB4">
        <w:rPr>
          <w:i/>
        </w:rPr>
        <w:t xml:space="preserve">BioScience, </w:t>
      </w:r>
      <w:r w:rsidRPr="009A7AB4">
        <w:t xml:space="preserve">61(10): 782-789. </w:t>
      </w:r>
      <w:bookmarkEnd w:id="674"/>
    </w:p>
    <w:p w14:paraId="268453A1" w14:textId="77777777" w:rsidR="009A7AB4" w:rsidRPr="009A7AB4" w:rsidRDefault="009A7AB4" w:rsidP="009A7AB4">
      <w:pPr>
        <w:pStyle w:val="EndNoteBibliography"/>
        <w:spacing w:after="0"/>
        <w:ind w:left="720" w:hanging="720"/>
      </w:pPr>
      <w:bookmarkStart w:id="675" w:name="_ENREF_3"/>
      <w:r w:rsidRPr="009A7AB4">
        <w:t xml:space="preserve">Anthony, K.R.N., Ridd, P.V., Orpin, A.R., Larcombe, P., Lough, J. 2004, Temporal variation in light availability in coastal benthic habitats: Effects of clouds, turbidity, and tides. </w:t>
      </w:r>
      <w:r w:rsidRPr="009A7AB4">
        <w:rPr>
          <w:i/>
        </w:rPr>
        <w:t xml:space="preserve">Limnology and Oceanography, </w:t>
      </w:r>
      <w:r w:rsidRPr="009A7AB4">
        <w:t xml:space="preserve">49(6): 2201-2211. </w:t>
      </w:r>
      <w:bookmarkEnd w:id="675"/>
    </w:p>
    <w:p w14:paraId="0D26CD49" w14:textId="77777777" w:rsidR="009A7AB4" w:rsidRPr="009A7AB4" w:rsidRDefault="009A7AB4" w:rsidP="009A7AB4">
      <w:pPr>
        <w:pStyle w:val="EndNoteBibliography"/>
        <w:spacing w:after="0"/>
        <w:ind w:left="720" w:hanging="720"/>
      </w:pPr>
      <w:bookmarkStart w:id="676" w:name="_ENREF_4"/>
      <w:r w:rsidRPr="009A7AB4">
        <w:t xml:space="preserve">ANZECC. 2000, </w:t>
      </w:r>
      <w:r w:rsidRPr="009A7AB4">
        <w:rPr>
          <w:i/>
        </w:rPr>
        <w:t>Australian and New Zealand guidelines for fresh and marine water quality</w:t>
      </w:r>
      <w:r w:rsidRPr="009A7AB4">
        <w:t>. Canberra: Australian and New Zealand Environment and Conservation Council and Agriculture and Resource Management Council of Australia and New Zealand.</w:t>
      </w:r>
      <w:bookmarkEnd w:id="676"/>
    </w:p>
    <w:p w14:paraId="6EE0CE4D" w14:textId="77777777" w:rsidR="009A7AB4" w:rsidRPr="009A7AB4" w:rsidRDefault="009A7AB4" w:rsidP="009A7AB4">
      <w:pPr>
        <w:pStyle w:val="EndNoteBibliography"/>
        <w:spacing w:after="0"/>
        <w:ind w:left="720" w:hanging="720"/>
      </w:pPr>
      <w:bookmarkStart w:id="677" w:name="_ENREF_5"/>
      <w:r w:rsidRPr="009A7AB4">
        <w:t>Arthur, K., Boyle, M., Limpus, C. 2008, Ontogenetic changes in diet and habitat use in green sea turtle (</w:t>
      </w:r>
      <w:r w:rsidRPr="009A7AB4">
        <w:rPr>
          <w:i/>
        </w:rPr>
        <w:t>Chelonia mydas</w:t>
      </w:r>
      <w:r w:rsidRPr="009A7AB4">
        <w:t xml:space="preserve">) life history. </w:t>
      </w:r>
      <w:r w:rsidRPr="009A7AB4">
        <w:rPr>
          <w:i/>
        </w:rPr>
        <w:t xml:space="preserve">Marine Ecology Progress Series, </w:t>
      </w:r>
      <w:r w:rsidRPr="009A7AB4">
        <w:t xml:space="preserve">362: 303-311. </w:t>
      </w:r>
      <w:bookmarkEnd w:id="677"/>
    </w:p>
    <w:p w14:paraId="4CC73610" w14:textId="77777777" w:rsidR="009A7AB4" w:rsidRPr="009A7AB4" w:rsidRDefault="009A7AB4" w:rsidP="009A7AB4">
      <w:pPr>
        <w:pStyle w:val="EndNoteBibliography"/>
        <w:spacing w:after="0"/>
        <w:ind w:left="720" w:hanging="720"/>
      </w:pPr>
      <w:bookmarkStart w:id="678" w:name="_ENREF_6"/>
      <w:r w:rsidRPr="009A7AB4">
        <w:t xml:space="preserve">Atkinson, M.J. and Smith, S.V. 1983, C:N:P ratios of benthic marine plants. </w:t>
      </w:r>
      <w:r w:rsidRPr="009A7AB4">
        <w:rPr>
          <w:i/>
        </w:rPr>
        <w:t xml:space="preserve">Limnology and Oceanography, </w:t>
      </w:r>
      <w:r w:rsidRPr="009A7AB4">
        <w:t xml:space="preserve">28(3): 568-574. </w:t>
      </w:r>
      <w:bookmarkEnd w:id="678"/>
    </w:p>
    <w:p w14:paraId="64FE0FB9" w14:textId="77777777" w:rsidR="009A7AB4" w:rsidRPr="009A7AB4" w:rsidRDefault="009A7AB4" w:rsidP="009A7AB4">
      <w:pPr>
        <w:pStyle w:val="EndNoteBibliography"/>
        <w:spacing w:after="0"/>
        <w:ind w:left="720" w:hanging="720"/>
      </w:pPr>
      <w:bookmarkStart w:id="679" w:name="_ENREF_7"/>
      <w:r w:rsidRPr="009A7AB4">
        <w:t xml:space="preserve">Australian Government and Queensland Government. 2018a, </w:t>
      </w:r>
      <w:r w:rsidRPr="009A7AB4">
        <w:rPr>
          <w:i/>
        </w:rPr>
        <w:t>Reef 2050 Long-Term Sustainability Plan—July 2018</w:t>
      </w:r>
      <w:r w:rsidRPr="009A7AB4">
        <w:t>. Canberra : Brisbane: Australian Government ; Queensland Government.</w:t>
      </w:r>
      <w:bookmarkEnd w:id="679"/>
    </w:p>
    <w:p w14:paraId="058189F1" w14:textId="77777777" w:rsidR="009A7AB4" w:rsidRPr="009A7AB4" w:rsidRDefault="009A7AB4" w:rsidP="009A7AB4">
      <w:pPr>
        <w:pStyle w:val="EndNoteBibliography"/>
        <w:spacing w:after="0"/>
        <w:ind w:left="720" w:hanging="720"/>
      </w:pPr>
      <w:bookmarkStart w:id="680" w:name="_ENREF_8"/>
      <w:r w:rsidRPr="009A7AB4">
        <w:t xml:space="preserve">Australian Government and Queensland Government. 2018b, </w:t>
      </w:r>
      <w:r w:rsidRPr="009A7AB4">
        <w:rPr>
          <w:i/>
        </w:rPr>
        <w:t>Reef 2050 Water Quality Improvement Plan: 2017 - 2022</w:t>
      </w:r>
      <w:r w:rsidRPr="009A7AB4">
        <w:t>. Brisbane: State of Queensland.</w:t>
      </w:r>
      <w:bookmarkEnd w:id="680"/>
    </w:p>
    <w:p w14:paraId="07E02AE2" w14:textId="77777777" w:rsidR="009A7AB4" w:rsidRPr="009A7AB4" w:rsidRDefault="009A7AB4" w:rsidP="009A7AB4">
      <w:pPr>
        <w:pStyle w:val="EndNoteBibliography"/>
        <w:spacing w:after="0"/>
        <w:ind w:left="720" w:hanging="720"/>
      </w:pPr>
      <w:bookmarkStart w:id="681" w:name="_ENREF_9"/>
      <w:r w:rsidRPr="009A7AB4">
        <w:t xml:space="preserve">Babcock, R.C., Bustamante, R.H., Fulton, E.A., Fulton, D.J., Haywood, M.D.E., Hobday, A.J., Kenyon, R., Matear, R.J., Plagányi, E.E., Richardson, A.J., Vanderklift, M.A. 2019, Severe Continental-Scale Impacts of Climate Change Are Happening Now: Extreme Climate Events Impact Marine Habitat Forming Communities Along 45% of Australia’s Coast. [Original Research]. </w:t>
      </w:r>
      <w:r w:rsidRPr="009A7AB4">
        <w:rPr>
          <w:i/>
        </w:rPr>
        <w:t xml:space="preserve">Frontiers in Marine Science, </w:t>
      </w:r>
      <w:r w:rsidRPr="009A7AB4">
        <w:t>6(411). doi: 10.3389/fmars.2019.00411</w:t>
      </w:r>
      <w:bookmarkEnd w:id="681"/>
    </w:p>
    <w:p w14:paraId="0C418888" w14:textId="77777777" w:rsidR="009A7AB4" w:rsidRPr="009A7AB4" w:rsidRDefault="009A7AB4" w:rsidP="009A7AB4">
      <w:pPr>
        <w:pStyle w:val="EndNoteBibliography"/>
        <w:spacing w:after="0"/>
        <w:ind w:left="720" w:hanging="720"/>
      </w:pPr>
      <w:bookmarkStart w:id="682" w:name="_ENREF_10"/>
      <w:r w:rsidRPr="009A7AB4">
        <w:t xml:space="preserve">Bainbridge, Z., Wolanski, E., Lewis, S., Brodie, J. 2012, Fine sediment and nutrient dynamics related to particle size and floc formation in a Burdekin River flood plume, Australia. </w:t>
      </w:r>
      <w:r w:rsidRPr="009A7AB4">
        <w:rPr>
          <w:i/>
        </w:rPr>
        <w:t xml:space="preserve">Marine Pollution Bulletin, </w:t>
      </w:r>
      <w:r w:rsidRPr="009A7AB4">
        <w:t xml:space="preserve">65: 236-248. </w:t>
      </w:r>
      <w:bookmarkEnd w:id="682"/>
    </w:p>
    <w:p w14:paraId="4A6C198A" w14:textId="77777777" w:rsidR="009A7AB4" w:rsidRPr="009A7AB4" w:rsidRDefault="009A7AB4" w:rsidP="009A7AB4">
      <w:pPr>
        <w:pStyle w:val="EndNoteBibliography"/>
        <w:spacing w:after="0"/>
        <w:ind w:left="720" w:hanging="720"/>
      </w:pPr>
      <w:bookmarkStart w:id="683" w:name="_ENREF_11"/>
      <w:r w:rsidRPr="009A7AB4">
        <w:lastRenderedPageBreak/>
        <w:t xml:space="preserve">Birch, W. and Birch, M. 1984, Succession and pattern of tropical intertidal seagrasses in Cockle Bay, Queensland, Australia: a decade of observations. </w:t>
      </w:r>
      <w:r w:rsidRPr="009A7AB4">
        <w:rPr>
          <w:i/>
        </w:rPr>
        <w:t xml:space="preserve">Aquatic Botany, </w:t>
      </w:r>
      <w:r w:rsidRPr="009A7AB4">
        <w:t xml:space="preserve">19: 343-367. </w:t>
      </w:r>
      <w:bookmarkEnd w:id="683"/>
    </w:p>
    <w:p w14:paraId="7B98BE6D" w14:textId="77777777" w:rsidR="009A7AB4" w:rsidRPr="009A7AB4" w:rsidRDefault="009A7AB4" w:rsidP="009A7AB4">
      <w:pPr>
        <w:pStyle w:val="EndNoteBibliography"/>
        <w:spacing w:after="0"/>
        <w:ind w:left="720" w:hanging="720"/>
      </w:pPr>
      <w:bookmarkStart w:id="684" w:name="_ENREF_12"/>
      <w:r w:rsidRPr="009A7AB4">
        <w:t xml:space="preserve">Borum, J., Duarte, C.M., Krause-Jensen, D., Greve, T.M. 2004, </w:t>
      </w:r>
      <w:r w:rsidRPr="009A7AB4">
        <w:rPr>
          <w:i/>
        </w:rPr>
        <w:t>European seagrasses: an introduction to monitoring and management</w:t>
      </w:r>
      <w:r w:rsidRPr="009A7AB4">
        <w:t>. Copenhagen: The M&amp;MS project.</w:t>
      </w:r>
      <w:bookmarkEnd w:id="684"/>
    </w:p>
    <w:p w14:paraId="2B4B85E5" w14:textId="77777777" w:rsidR="009A7AB4" w:rsidRPr="009A7AB4" w:rsidRDefault="009A7AB4" w:rsidP="009A7AB4">
      <w:pPr>
        <w:pStyle w:val="EndNoteBibliography"/>
        <w:spacing w:after="0"/>
        <w:ind w:left="720" w:hanging="720"/>
      </w:pPr>
      <w:bookmarkStart w:id="685" w:name="_ENREF_13"/>
      <w:r w:rsidRPr="009A7AB4">
        <w:t xml:space="preserve">Brodie, J., Waterhouse, J., Schaffelke, B., Johnson, J., Kroon, F., Thorburn, P., Rolfe, J., Lewis, S., Warne, M., Fabricius, K., McKenzie, L.J., Devlin, M. 2013, </w:t>
      </w:r>
      <w:r w:rsidRPr="009A7AB4">
        <w:rPr>
          <w:i/>
        </w:rPr>
        <w:t>Reef Water Quality Scientific Consensus Statement 2013</w:t>
      </w:r>
      <w:r w:rsidRPr="009A7AB4">
        <w:t>. Brisbane: Department of the Premier and Cabinet, Queensland Government.</w:t>
      </w:r>
      <w:bookmarkEnd w:id="685"/>
    </w:p>
    <w:p w14:paraId="54EC8F0E" w14:textId="77777777" w:rsidR="009A7AB4" w:rsidRPr="009A7AB4" w:rsidRDefault="009A7AB4" w:rsidP="009A7AB4">
      <w:pPr>
        <w:pStyle w:val="EndNoteBibliography"/>
        <w:spacing w:after="0"/>
        <w:ind w:left="720" w:hanging="720"/>
      </w:pPr>
      <w:bookmarkStart w:id="686" w:name="_ENREF_14"/>
      <w:r w:rsidRPr="009A7AB4">
        <w:t xml:space="preserve">Brodie, J.E., Kroon, F.J., Schaffelke, B., Wolanski, E.C., Lewis, S.E., Devlin, M.J., Bohnet, I.C., Bainbridge, Z.T., Waterhouse, J., Davis, A.M. 2012, Terrestrial pollutant runoff to the Great Barrier Reef: An update of issues, priorities and management responses. </w:t>
      </w:r>
      <w:r w:rsidRPr="009A7AB4">
        <w:rPr>
          <w:i/>
        </w:rPr>
        <w:t xml:space="preserve">Marine Pollution Bulletin, </w:t>
      </w:r>
      <w:r w:rsidRPr="009A7AB4">
        <w:t xml:space="preserve">65(4–9): 81-100. </w:t>
      </w:r>
      <w:bookmarkEnd w:id="686"/>
    </w:p>
    <w:p w14:paraId="18138155" w14:textId="77777777" w:rsidR="009A7AB4" w:rsidRPr="009A7AB4" w:rsidRDefault="009A7AB4" w:rsidP="009A7AB4">
      <w:pPr>
        <w:pStyle w:val="EndNoteBibliography"/>
        <w:spacing w:after="0"/>
        <w:ind w:left="720" w:hanging="720"/>
      </w:pPr>
      <w:bookmarkStart w:id="687" w:name="_ENREF_15"/>
      <w:r w:rsidRPr="009A7AB4">
        <w:t xml:space="preserve">Bros, W.E. and Cowell, B.C. 1987, A technique for optimising sample size (replication). </w:t>
      </w:r>
      <w:r w:rsidRPr="009A7AB4">
        <w:rPr>
          <w:i/>
        </w:rPr>
        <w:t xml:space="preserve">Journal of  Experimental Marine Biology and Ecology, </w:t>
      </w:r>
      <w:r w:rsidRPr="009A7AB4">
        <w:t xml:space="preserve">114: 63-71. </w:t>
      </w:r>
      <w:bookmarkEnd w:id="687"/>
    </w:p>
    <w:p w14:paraId="28FE6929" w14:textId="77777777" w:rsidR="009A7AB4" w:rsidRPr="009A7AB4" w:rsidRDefault="009A7AB4" w:rsidP="009A7AB4">
      <w:pPr>
        <w:pStyle w:val="EndNoteBibliography"/>
        <w:spacing w:after="0"/>
        <w:ind w:left="720" w:hanging="720"/>
      </w:pPr>
      <w:bookmarkStart w:id="688" w:name="_ENREF_16"/>
      <w:r w:rsidRPr="009A7AB4">
        <w:t xml:space="preserve">Cabaço, S., Apostolaki, E.T., García-Marín, P., Gruber, R., Hernández, I., Martínez-Crego, B., Mascaró, O., Pérez, M., Prathep, A., Robinson, C., Romero, J., Schmidt, A.L., Short, F.T., van Tussenbroek, B.I., Santos, R. 2013, Effects of nutrient enrichment on seagrass population dynamics: evidence and synthesis from the biomass–density relationships. </w:t>
      </w:r>
      <w:r w:rsidRPr="009A7AB4">
        <w:rPr>
          <w:i/>
        </w:rPr>
        <w:t xml:space="preserve">Journal of Ecology, </w:t>
      </w:r>
      <w:r w:rsidRPr="009A7AB4">
        <w:t>101(6): 1552-1562. doi: 10.1111/1365-2745.12134</w:t>
      </w:r>
      <w:bookmarkEnd w:id="688"/>
    </w:p>
    <w:p w14:paraId="39B46E90" w14:textId="77777777" w:rsidR="009A7AB4" w:rsidRPr="009A7AB4" w:rsidRDefault="009A7AB4" w:rsidP="009A7AB4">
      <w:pPr>
        <w:pStyle w:val="EndNoteBibliography"/>
        <w:spacing w:after="0"/>
        <w:ind w:left="720" w:hanging="720"/>
      </w:pPr>
      <w:bookmarkStart w:id="689" w:name="_ENREF_17"/>
      <w:r w:rsidRPr="009A7AB4">
        <w:t xml:space="preserve">Cabaço, S. and Santos, R. 2007, Effects of burial and erosion on the seagrass Zostera noltii. </w:t>
      </w:r>
      <w:r w:rsidRPr="009A7AB4">
        <w:rPr>
          <w:i/>
        </w:rPr>
        <w:t xml:space="preserve">Journal of Experimental Marine Biology and Ecology, </w:t>
      </w:r>
      <w:r w:rsidRPr="009A7AB4">
        <w:t xml:space="preserve">340: 204-212. </w:t>
      </w:r>
      <w:bookmarkEnd w:id="689"/>
    </w:p>
    <w:p w14:paraId="27EBA7CD" w14:textId="77777777" w:rsidR="009A7AB4" w:rsidRPr="009A7AB4" w:rsidRDefault="009A7AB4" w:rsidP="009A7AB4">
      <w:pPr>
        <w:pStyle w:val="EndNoteBibliography"/>
        <w:spacing w:after="0"/>
        <w:ind w:left="720" w:hanging="720"/>
      </w:pPr>
      <w:bookmarkStart w:id="690" w:name="_ENREF_18"/>
      <w:r w:rsidRPr="009A7AB4">
        <w:t xml:space="preserve">Campbell, S.J. and McKenzie, L.J. 2001, Seagrass and algal abundance in the Whitsundays region. Status Report. </w:t>
      </w:r>
      <w:bookmarkEnd w:id="690"/>
    </w:p>
    <w:p w14:paraId="5492FC20" w14:textId="77777777" w:rsidR="009A7AB4" w:rsidRPr="009A7AB4" w:rsidRDefault="009A7AB4" w:rsidP="009A7AB4">
      <w:pPr>
        <w:pStyle w:val="EndNoteBibliography"/>
        <w:spacing w:after="0"/>
        <w:ind w:left="720" w:hanging="720"/>
      </w:pPr>
      <w:bookmarkStart w:id="691" w:name="_ENREF_19"/>
      <w:r w:rsidRPr="009A7AB4">
        <w:t xml:space="preserve">Campbell, S.J. and McKenzie, L.J. 2004, Flood related loss and recovery of intertidal seagrass meadows in southern Queensland, Australia. </w:t>
      </w:r>
      <w:r w:rsidRPr="009A7AB4">
        <w:rPr>
          <w:i/>
        </w:rPr>
        <w:t xml:space="preserve">Estuarine, Coastal and Shelf Science, </w:t>
      </w:r>
      <w:r w:rsidRPr="009A7AB4">
        <w:t xml:space="preserve">60(3): 477-490. </w:t>
      </w:r>
      <w:bookmarkEnd w:id="691"/>
    </w:p>
    <w:p w14:paraId="37D36A87" w14:textId="77777777" w:rsidR="009A7AB4" w:rsidRPr="009A7AB4" w:rsidRDefault="009A7AB4" w:rsidP="009A7AB4">
      <w:pPr>
        <w:pStyle w:val="EndNoteBibliography"/>
        <w:spacing w:after="0"/>
        <w:ind w:left="720" w:hanging="720"/>
      </w:pPr>
      <w:bookmarkStart w:id="692" w:name="_ENREF_20"/>
      <w:r w:rsidRPr="009A7AB4">
        <w:t xml:space="preserve">Campbell, S.J., McKenzie, L.J., Kerville, S.P. 2006, Photosynthetic responses of seven tropical seagrasses to elevated seawater temperature. </w:t>
      </w:r>
      <w:r w:rsidRPr="009A7AB4">
        <w:rPr>
          <w:i/>
        </w:rPr>
        <w:t xml:space="preserve">Journal of Experimental Marine Biology and Ecology, </w:t>
      </w:r>
      <w:r w:rsidRPr="009A7AB4">
        <w:t xml:space="preserve">330: 455-468. </w:t>
      </w:r>
      <w:bookmarkEnd w:id="692"/>
    </w:p>
    <w:p w14:paraId="5D93C2FB" w14:textId="77777777" w:rsidR="009A7AB4" w:rsidRPr="009A7AB4" w:rsidRDefault="009A7AB4" w:rsidP="009A7AB4">
      <w:pPr>
        <w:pStyle w:val="EndNoteBibliography"/>
        <w:spacing w:after="0"/>
        <w:ind w:left="720" w:hanging="720"/>
      </w:pPr>
      <w:bookmarkStart w:id="693" w:name="_ENREF_21"/>
      <w:r w:rsidRPr="009A7AB4">
        <w:lastRenderedPageBreak/>
        <w:t xml:space="preserve">Campbell, S.J., Roder, C.A., McKenzie, L.J., Lee Long, W.J. 2002, Seagrass resources in the Whitsunday region 1999 and 2000. </w:t>
      </w:r>
      <w:r w:rsidRPr="009A7AB4">
        <w:rPr>
          <w:i/>
        </w:rPr>
        <w:t>DPI Information Series QI02043</w:t>
      </w:r>
      <w:r w:rsidRPr="009A7AB4">
        <w:t xml:space="preserve">, 50. </w:t>
      </w:r>
      <w:bookmarkEnd w:id="693"/>
    </w:p>
    <w:p w14:paraId="108472B2" w14:textId="77777777" w:rsidR="009A7AB4" w:rsidRPr="009A7AB4" w:rsidRDefault="009A7AB4" w:rsidP="009A7AB4">
      <w:pPr>
        <w:pStyle w:val="EndNoteBibliography"/>
        <w:spacing w:after="0"/>
        <w:ind w:left="720" w:hanging="720"/>
      </w:pPr>
      <w:bookmarkStart w:id="694" w:name="_ENREF_22"/>
      <w:r w:rsidRPr="009A7AB4">
        <w:t xml:space="preserve">Carruthers, T., Dennison, W., Longstaff, B., Waycott, M., Abal, E.G., McKenzie, L.J., Lee Long, W. 2002, Seagrass habitats of north east Australia: models of key processes and controls. </w:t>
      </w:r>
      <w:r w:rsidRPr="009A7AB4">
        <w:rPr>
          <w:i/>
        </w:rPr>
        <w:t xml:space="preserve">Bulletin of Marine Science, </w:t>
      </w:r>
      <w:r w:rsidRPr="009A7AB4">
        <w:t xml:space="preserve">71(3): 1153-1169. </w:t>
      </w:r>
      <w:bookmarkEnd w:id="694"/>
    </w:p>
    <w:p w14:paraId="43B121B7" w14:textId="77777777" w:rsidR="009A7AB4" w:rsidRPr="009A7AB4" w:rsidRDefault="009A7AB4" w:rsidP="009A7AB4">
      <w:pPr>
        <w:pStyle w:val="EndNoteBibliography"/>
        <w:spacing w:after="0"/>
        <w:ind w:left="720" w:hanging="720"/>
      </w:pPr>
      <w:bookmarkStart w:id="695" w:name="_ENREF_23"/>
      <w:r w:rsidRPr="009A7AB4">
        <w:t xml:space="preserve">Carter, A.B., McKenna, S.A., Rasheed, M.A., McKenzie, L.J., Coles, R.G. 2016, </w:t>
      </w:r>
      <w:r w:rsidRPr="009A7AB4">
        <w:rPr>
          <w:i/>
        </w:rPr>
        <w:t>Seagrass mapping synthesis: A resource for coastal management in the Great Barrier Reef World Heritage Area. Report to the National Environmental Science Programme.</w:t>
      </w:r>
      <w:r w:rsidRPr="009A7AB4">
        <w:t xml:space="preserve"> Cairns: Reef and Rainforest Research Centre Limited.</w:t>
      </w:r>
      <w:bookmarkEnd w:id="695"/>
    </w:p>
    <w:p w14:paraId="631A300E" w14:textId="4645713E" w:rsidR="009A7AB4" w:rsidRPr="009A7AB4" w:rsidRDefault="009A7AB4" w:rsidP="009A7AB4">
      <w:pPr>
        <w:pStyle w:val="EndNoteBibliography"/>
        <w:spacing w:after="0"/>
        <w:ind w:left="720" w:hanging="720"/>
      </w:pPr>
      <w:bookmarkStart w:id="696" w:name="_ENREF_24"/>
      <w:r w:rsidRPr="009A7AB4">
        <w:t xml:space="preserve">Chartrand, K.M., Szabó, M., Sinutok, S., Rasheed, M.A., Ralph, P.J. 2018, Living at the margins – The response of deep-water seagrasses to light and temperature renders them susceptible to acute impacts. </w:t>
      </w:r>
      <w:r w:rsidRPr="009A7AB4">
        <w:rPr>
          <w:i/>
        </w:rPr>
        <w:t xml:space="preserve">Marine Environmental Research, </w:t>
      </w:r>
      <w:r w:rsidRPr="009A7AB4">
        <w:t xml:space="preserve">136: 126-138. doi: </w:t>
      </w:r>
      <w:hyperlink r:id="rId154" w:history="1">
        <w:r w:rsidRPr="009A7AB4">
          <w:rPr>
            <w:rStyle w:val="Hyperlink"/>
          </w:rPr>
          <w:t>https://doi.org/10.1016/j.marenvres.2018.02.006</w:t>
        </w:r>
        <w:bookmarkEnd w:id="696"/>
      </w:hyperlink>
    </w:p>
    <w:p w14:paraId="72058350" w14:textId="77777777" w:rsidR="009A7AB4" w:rsidRPr="009A7AB4" w:rsidRDefault="009A7AB4" w:rsidP="009A7AB4">
      <w:pPr>
        <w:pStyle w:val="EndNoteBibliography"/>
        <w:spacing w:after="0"/>
        <w:ind w:left="720" w:hanging="720"/>
      </w:pPr>
      <w:bookmarkStart w:id="697" w:name="_ENREF_25"/>
      <w:r w:rsidRPr="009A7AB4">
        <w:t xml:space="preserve">Coles, R., McKenzie, L.J., De'ath, G., Roelofs, A., Lee Long, W.J. 2009, Spatial distribution of deepwater seagrass in the inter-reef lagoon of the Great Barrier Reef World Heritage Area. </w:t>
      </w:r>
      <w:r w:rsidRPr="009A7AB4">
        <w:rPr>
          <w:i/>
        </w:rPr>
        <w:t xml:space="preserve">Marine Ecology Progress Series, </w:t>
      </w:r>
      <w:r w:rsidRPr="009A7AB4">
        <w:t>392: 57-68. doi: 10.3354/meps08197</w:t>
      </w:r>
      <w:bookmarkEnd w:id="697"/>
    </w:p>
    <w:p w14:paraId="5F0D43AB" w14:textId="77777777" w:rsidR="009A7AB4" w:rsidRPr="009A7AB4" w:rsidRDefault="009A7AB4" w:rsidP="009A7AB4">
      <w:pPr>
        <w:pStyle w:val="EndNoteBibliography"/>
        <w:spacing w:after="0"/>
        <w:ind w:left="720" w:hanging="720"/>
      </w:pPr>
      <w:bookmarkStart w:id="698" w:name="_ENREF_26"/>
      <w:r w:rsidRPr="009A7AB4">
        <w:t xml:space="preserve">Coles, R.G., Lee Long, W.J., Watson, R.A., Derbyshire, K.J. 1993, Distribution of seagrasses, and their fish and penaeid prawn communities, in Cairns Harbour, a tropical estuary, northern Queensland, Australia. </w:t>
      </w:r>
      <w:r w:rsidRPr="009A7AB4">
        <w:rPr>
          <w:i/>
        </w:rPr>
        <w:t xml:space="preserve">Australian Journal of Marine and Freshwater Research, </w:t>
      </w:r>
      <w:r w:rsidRPr="009A7AB4">
        <w:t xml:space="preserve">44: 193-210. </w:t>
      </w:r>
      <w:bookmarkEnd w:id="698"/>
    </w:p>
    <w:p w14:paraId="17193E02" w14:textId="77777777" w:rsidR="009A7AB4" w:rsidRPr="009A7AB4" w:rsidRDefault="009A7AB4" w:rsidP="009A7AB4">
      <w:pPr>
        <w:pStyle w:val="EndNoteBibliography"/>
        <w:spacing w:after="0"/>
        <w:ind w:left="720" w:hanging="720"/>
      </w:pPr>
      <w:bookmarkStart w:id="699" w:name="_ENREF_27"/>
      <w:r w:rsidRPr="009A7AB4">
        <w:t xml:space="preserve">Coles, R.G., McKenzie, L.J., Mellors, J.E., Yoshida, R.L. 2001a, Validation and GIS of seagrass surveys between Cairns and Bowen – October/November 1987. CD Rom. </w:t>
      </w:r>
      <w:bookmarkEnd w:id="699"/>
    </w:p>
    <w:p w14:paraId="0B119C7D" w14:textId="77777777" w:rsidR="009A7AB4" w:rsidRPr="009A7AB4" w:rsidRDefault="009A7AB4" w:rsidP="009A7AB4">
      <w:pPr>
        <w:pStyle w:val="EndNoteBibliography"/>
        <w:spacing w:after="0"/>
        <w:ind w:left="720" w:hanging="720"/>
      </w:pPr>
      <w:bookmarkStart w:id="700" w:name="_ENREF_28"/>
      <w:r w:rsidRPr="009A7AB4">
        <w:t xml:space="preserve">Coles, R.G., McKenzie, L.J., Yoshida, R.L. 2001b, Validation and GIS of seagrass surveys between Bowen and Water Park Point– March/April 1987. CD Rom. </w:t>
      </w:r>
      <w:bookmarkEnd w:id="700"/>
    </w:p>
    <w:p w14:paraId="7017A2F8" w14:textId="77777777" w:rsidR="009A7AB4" w:rsidRPr="009A7AB4" w:rsidRDefault="009A7AB4" w:rsidP="009A7AB4">
      <w:pPr>
        <w:pStyle w:val="EndNoteBibliography"/>
        <w:spacing w:after="0"/>
        <w:ind w:left="720" w:hanging="720"/>
      </w:pPr>
      <w:bookmarkStart w:id="701" w:name="_ENREF_29"/>
      <w:r w:rsidRPr="009A7AB4">
        <w:t xml:space="preserve">Coles, R.G., McKenzie, L.J., Yoshida, R.L. 2001c, Validation and GIS of seagrass surveys between Cape York and Cairns - November 1984. CD Rom. </w:t>
      </w:r>
      <w:bookmarkEnd w:id="701"/>
    </w:p>
    <w:p w14:paraId="3E4BD0AC" w14:textId="77777777" w:rsidR="009A7AB4" w:rsidRPr="009A7AB4" w:rsidRDefault="009A7AB4" w:rsidP="009A7AB4">
      <w:pPr>
        <w:pStyle w:val="EndNoteBibliography"/>
        <w:spacing w:after="0"/>
        <w:ind w:left="720" w:hanging="720"/>
      </w:pPr>
      <w:bookmarkStart w:id="702" w:name="_ENREF_30"/>
      <w:r w:rsidRPr="009A7AB4">
        <w:t xml:space="preserve">Coles, R.G., McKenzie, L.J., Yoshida, R.L. 2001d, Validation and GIS of seagrass surveys between Water Park Point and Hervey Bay – October/November 1988. CD Rom. </w:t>
      </w:r>
      <w:bookmarkEnd w:id="702"/>
    </w:p>
    <w:p w14:paraId="4AA8030C" w14:textId="77777777" w:rsidR="009A7AB4" w:rsidRPr="009A7AB4" w:rsidRDefault="009A7AB4" w:rsidP="009A7AB4">
      <w:pPr>
        <w:pStyle w:val="EndNoteBibliography"/>
        <w:spacing w:after="0"/>
        <w:ind w:left="720" w:hanging="720"/>
      </w:pPr>
      <w:bookmarkStart w:id="703" w:name="_ENREF_31"/>
      <w:r w:rsidRPr="009A7AB4">
        <w:t xml:space="preserve">Collier, C., Devlin, M., Langlois, L., Petus, C., McKenzie, L.J., Texeira da Silva, E., McMahon, K., Adams, M., O’Brien, K., Statton, J., Waycott, M. 2014, </w:t>
      </w:r>
      <w:r w:rsidRPr="009A7AB4">
        <w:rPr>
          <w:i/>
        </w:rPr>
        <w:t xml:space="preserve">Thresholds and indicators of </w:t>
      </w:r>
      <w:r w:rsidRPr="009A7AB4">
        <w:rPr>
          <w:i/>
        </w:rPr>
        <w:lastRenderedPageBreak/>
        <w:t>declining water quality as tools for tropical seagrass management. Report to the National Environmental Research Program</w:t>
      </w:r>
      <w:r w:rsidRPr="009A7AB4">
        <w:t>. Cairns: Reef and Rainforest Research Centre Limited.</w:t>
      </w:r>
      <w:bookmarkEnd w:id="703"/>
    </w:p>
    <w:p w14:paraId="61CD39F9" w14:textId="77777777" w:rsidR="009A7AB4" w:rsidRPr="009A7AB4" w:rsidRDefault="009A7AB4" w:rsidP="009A7AB4">
      <w:pPr>
        <w:pStyle w:val="EndNoteBibliography"/>
        <w:spacing w:after="0"/>
        <w:ind w:left="720" w:hanging="720"/>
      </w:pPr>
      <w:bookmarkStart w:id="704" w:name="_ENREF_32"/>
      <w:r w:rsidRPr="009A7AB4">
        <w:t xml:space="preserve">Collier, C. and Waycott, M. 2009, Drivers of change to seagrass distributions and communities on the Great Barrier Reef: Literature review and gaps analysis. </w:t>
      </w:r>
      <w:r w:rsidRPr="009A7AB4">
        <w:rPr>
          <w:i/>
        </w:rPr>
        <w:t>Report to the Marine and Tropical Sciences Research Facility</w:t>
      </w:r>
      <w:r w:rsidRPr="009A7AB4">
        <w:t xml:space="preserve">. </w:t>
      </w:r>
      <w:bookmarkEnd w:id="704"/>
    </w:p>
    <w:p w14:paraId="417135B5" w14:textId="71162AC4" w:rsidR="009A7AB4" w:rsidRPr="009A7AB4" w:rsidRDefault="009A7AB4" w:rsidP="009A7AB4">
      <w:pPr>
        <w:pStyle w:val="EndNoteBibliography"/>
        <w:spacing w:after="0"/>
        <w:ind w:left="720" w:hanging="720"/>
      </w:pPr>
      <w:bookmarkStart w:id="705" w:name="_ENREF_33"/>
      <w:r w:rsidRPr="009A7AB4">
        <w:t xml:space="preserve">Collier, C.J., Adams, M.P., Langlois, L., Waycott, M., O’Brien, K.R., Maxwell, P.S., McKenzie, L. 2016a, Thresholds for morphological response to light reduction for four tropical seagrass species. </w:t>
      </w:r>
      <w:r w:rsidRPr="009A7AB4">
        <w:rPr>
          <w:i/>
        </w:rPr>
        <w:t xml:space="preserve">Ecological Indicators, </w:t>
      </w:r>
      <w:r w:rsidRPr="009A7AB4">
        <w:t xml:space="preserve">67: 358-366. doi: </w:t>
      </w:r>
      <w:hyperlink r:id="rId155" w:history="1">
        <w:r w:rsidRPr="009A7AB4">
          <w:rPr>
            <w:rStyle w:val="Hyperlink"/>
          </w:rPr>
          <w:t>http://dx.doi.org/10.1016/j.ecolind.2016.02.050</w:t>
        </w:r>
        <w:bookmarkEnd w:id="705"/>
      </w:hyperlink>
    </w:p>
    <w:p w14:paraId="49D303F2" w14:textId="77777777" w:rsidR="009A7AB4" w:rsidRPr="009A7AB4" w:rsidRDefault="009A7AB4" w:rsidP="009A7AB4">
      <w:pPr>
        <w:pStyle w:val="EndNoteBibliography"/>
        <w:spacing w:after="0"/>
        <w:ind w:left="720" w:hanging="720"/>
      </w:pPr>
      <w:bookmarkStart w:id="706" w:name="_ENREF_34"/>
      <w:r w:rsidRPr="009A7AB4">
        <w:t xml:space="preserve">Collier, C.J., Chartrand, K., Honchin, C., Fletcher, A., Rasheed, M. 2016b, </w:t>
      </w:r>
      <w:r w:rsidRPr="009A7AB4">
        <w:rPr>
          <w:i/>
        </w:rPr>
        <w:t>Light thresholds for seagrasses of the GBR: a synthesis and guiding document. Including knowledge gaps and future priorities. Report to the National Environmental Science Programme</w:t>
      </w:r>
      <w:r w:rsidRPr="009A7AB4">
        <w:t>. Cairns Reef and Rainforest Research Centre Limited.</w:t>
      </w:r>
      <w:bookmarkEnd w:id="706"/>
    </w:p>
    <w:p w14:paraId="23691D07" w14:textId="7A7399D6" w:rsidR="009A7AB4" w:rsidRPr="009A7AB4" w:rsidRDefault="009A7AB4" w:rsidP="009A7AB4">
      <w:pPr>
        <w:pStyle w:val="EndNoteBibliography"/>
        <w:spacing w:after="0"/>
        <w:ind w:left="720" w:hanging="720"/>
      </w:pPr>
      <w:bookmarkStart w:id="707" w:name="_ENREF_35"/>
      <w:r w:rsidRPr="009A7AB4">
        <w:t xml:space="preserve">Collier, C.J., Lavery, P.S., Ralph, P.J., Masini, R.J. 2009, Shade-induced response and recovery of the seagrass </w:t>
      </w:r>
      <w:r w:rsidRPr="009A7AB4">
        <w:rPr>
          <w:i/>
        </w:rPr>
        <w:t>Posidonia sinuosa</w:t>
      </w:r>
      <w:r w:rsidRPr="009A7AB4">
        <w:t xml:space="preserve">. </w:t>
      </w:r>
      <w:r w:rsidRPr="009A7AB4">
        <w:rPr>
          <w:i/>
        </w:rPr>
        <w:t xml:space="preserve">Journal of Experimental Marine Biology and Ecology, </w:t>
      </w:r>
      <w:r w:rsidRPr="009A7AB4">
        <w:t xml:space="preserve">370(1–2): 89-103. doi: </w:t>
      </w:r>
      <w:hyperlink r:id="rId156" w:history="1">
        <w:r w:rsidRPr="009A7AB4">
          <w:rPr>
            <w:rStyle w:val="Hyperlink"/>
          </w:rPr>
          <w:t>http://dx.doi.org/10.1016/j.jembe.2008.12.003</w:t>
        </w:r>
        <w:bookmarkEnd w:id="707"/>
      </w:hyperlink>
    </w:p>
    <w:p w14:paraId="769F13E3" w14:textId="77777777" w:rsidR="009A7AB4" w:rsidRPr="009A7AB4" w:rsidRDefault="009A7AB4" w:rsidP="009A7AB4">
      <w:pPr>
        <w:pStyle w:val="EndNoteBibliography"/>
        <w:spacing w:after="0"/>
        <w:ind w:left="720" w:hanging="720"/>
      </w:pPr>
      <w:bookmarkStart w:id="708" w:name="_ENREF_36"/>
      <w:r w:rsidRPr="009A7AB4">
        <w:t xml:space="preserve">Collier, C.J., van Dijk, J., Adams, M., O’Brien, K., Waycott, M., McKenzie, L.J., Uthicke, S., Johansson, C., Xiang, Y.O., Langlois, L., Phinn, S.R., Roelfsema, C.M. 2016c, </w:t>
      </w:r>
      <w:r w:rsidRPr="009A7AB4">
        <w:rPr>
          <w:i/>
        </w:rPr>
        <w:t>Seagrass growth and diversity: attributes of a resilient GBR, in Annual Report to the Great Barrier Reef Foundation</w:t>
      </w:r>
      <w:r w:rsidRPr="009A7AB4">
        <w:t>. Cairns: Centre for Tropical Water &amp; Aquatic Ecosystem Research (TropWATER), James Cook University.</w:t>
      </w:r>
      <w:bookmarkEnd w:id="708"/>
    </w:p>
    <w:p w14:paraId="5893C557" w14:textId="3FE191AA" w:rsidR="009A7AB4" w:rsidRPr="009A7AB4" w:rsidRDefault="009A7AB4" w:rsidP="009A7AB4">
      <w:pPr>
        <w:pStyle w:val="EndNoteBibliography"/>
        <w:spacing w:after="0"/>
        <w:ind w:left="720" w:hanging="720"/>
      </w:pPr>
      <w:bookmarkStart w:id="709" w:name="_ENREF_37"/>
      <w:r w:rsidRPr="009A7AB4">
        <w:t xml:space="preserve">Collier, C.J. and Waycott, M. 2014, Temperature extremes reduce seagrass growth and induce mortality. </w:t>
      </w:r>
      <w:r w:rsidRPr="009A7AB4">
        <w:rPr>
          <w:i/>
        </w:rPr>
        <w:t xml:space="preserve">Marine Pollution Bulletin, </w:t>
      </w:r>
      <w:r w:rsidRPr="009A7AB4">
        <w:t xml:space="preserve">83(2): 483-490. doi: </w:t>
      </w:r>
      <w:hyperlink r:id="rId157" w:history="1">
        <w:r w:rsidRPr="009A7AB4">
          <w:rPr>
            <w:rStyle w:val="Hyperlink"/>
          </w:rPr>
          <w:t>http://dx.doi.org/10.1016/j.marpolbul.2014.03.050</w:t>
        </w:r>
        <w:bookmarkEnd w:id="709"/>
      </w:hyperlink>
    </w:p>
    <w:p w14:paraId="46D7F116" w14:textId="77777777" w:rsidR="009A7AB4" w:rsidRPr="009A7AB4" w:rsidRDefault="009A7AB4" w:rsidP="009A7AB4">
      <w:pPr>
        <w:pStyle w:val="EndNoteBibliography"/>
        <w:spacing w:after="0"/>
        <w:ind w:left="720" w:hanging="720"/>
      </w:pPr>
      <w:bookmarkStart w:id="710" w:name="_ENREF_38"/>
      <w:r w:rsidRPr="009A7AB4">
        <w:t xml:space="preserve">Collier, C.J., Waycott, M., McKenzie, L.J. 2012a, Light thresholds derived from seagrass loss in the coastal zone of the northern Great Barrier Reef, Australia. </w:t>
      </w:r>
      <w:r w:rsidRPr="009A7AB4">
        <w:rPr>
          <w:i/>
        </w:rPr>
        <w:t xml:space="preserve">Ecological Indicators, </w:t>
      </w:r>
      <w:r w:rsidRPr="009A7AB4">
        <w:t>23(0): 211-219. doi: 10.1016/j.ecolind.2012.04.005</w:t>
      </w:r>
      <w:bookmarkEnd w:id="710"/>
    </w:p>
    <w:p w14:paraId="7CCB6362" w14:textId="77777777" w:rsidR="009A7AB4" w:rsidRPr="009A7AB4" w:rsidRDefault="009A7AB4" w:rsidP="009A7AB4">
      <w:pPr>
        <w:pStyle w:val="EndNoteBibliography"/>
        <w:spacing w:after="0"/>
        <w:ind w:left="720" w:hanging="720"/>
      </w:pPr>
      <w:bookmarkStart w:id="711" w:name="_ENREF_39"/>
      <w:r w:rsidRPr="009A7AB4">
        <w:t xml:space="preserve">Collier, C.J., Waycott, M., Ospina, A.G. 2012b, Responses of four Indo-West Pacific seagrass species to shading. </w:t>
      </w:r>
      <w:r w:rsidRPr="009A7AB4">
        <w:rPr>
          <w:i/>
        </w:rPr>
        <w:t xml:space="preserve">Marine Pollution Bulletin, </w:t>
      </w:r>
      <w:r w:rsidRPr="009A7AB4">
        <w:t>65(4-9): 342-354. doi: 10.1016/j.marpolbul.2011.06.017</w:t>
      </w:r>
      <w:bookmarkEnd w:id="711"/>
    </w:p>
    <w:p w14:paraId="5E1BAAB5" w14:textId="77777777" w:rsidR="009A7AB4" w:rsidRPr="009A7AB4" w:rsidRDefault="009A7AB4" w:rsidP="009A7AB4">
      <w:pPr>
        <w:pStyle w:val="EndNoteBibliography"/>
        <w:spacing w:after="0"/>
        <w:ind w:left="720" w:hanging="720"/>
      </w:pPr>
      <w:bookmarkStart w:id="712" w:name="_ENREF_40"/>
      <w:r w:rsidRPr="009A7AB4">
        <w:lastRenderedPageBreak/>
        <w:t xml:space="preserve">Costanza, R., d'Arge, R., de Groot, R., Farber, S., Grasso, M., Hannon, B., Limburg, K., Naeem, S., O'Neil, R.V., Paruelo, J., Raskin, R.G., Sutton, P., van der Belt, M. 1997, The Value of the world's ecosystem services and natural capital. </w:t>
      </w:r>
      <w:r w:rsidRPr="009A7AB4">
        <w:rPr>
          <w:i/>
        </w:rPr>
        <w:t xml:space="preserve">Nature, </w:t>
      </w:r>
      <w:r w:rsidRPr="009A7AB4">
        <w:t xml:space="preserve">387(15): 253-260. </w:t>
      </w:r>
      <w:bookmarkEnd w:id="712"/>
    </w:p>
    <w:p w14:paraId="5B665C00" w14:textId="77777777" w:rsidR="009A7AB4" w:rsidRPr="009A7AB4" w:rsidRDefault="009A7AB4" w:rsidP="009A7AB4">
      <w:pPr>
        <w:pStyle w:val="EndNoteBibliography"/>
        <w:spacing w:after="0"/>
        <w:ind w:left="720" w:hanging="720"/>
      </w:pPr>
      <w:bookmarkStart w:id="713" w:name="_ENREF_41"/>
      <w:r w:rsidRPr="009A7AB4">
        <w:t xml:space="preserve">Costanzo, S.D., O'Donohue, M.J., Dennison, W.C., Loneragan, N.R., Thomas, M. 2001, A new approach for detecting and mapping sewage impacts. </w:t>
      </w:r>
      <w:r w:rsidRPr="009A7AB4">
        <w:rPr>
          <w:i/>
        </w:rPr>
        <w:t xml:space="preserve">Marine Pollution Bulletin, </w:t>
      </w:r>
      <w:r w:rsidRPr="009A7AB4">
        <w:t xml:space="preserve">42(2): 149-156. </w:t>
      </w:r>
      <w:bookmarkEnd w:id="713"/>
    </w:p>
    <w:p w14:paraId="524F2425" w14:textId="77777777" w:rsidR="009A7AB4" w:rsidRPr="009A7AB4" w:rsidRDefault="009A7AB4" w:rsidP="009A7AB4">
      <w:pPr>
        <w:pStyle w:val="EndNoteBibliography"/>
        <w:spacing w:after="0"/>
        <w:ind w:left="720" w:hanging="720"/>
      </w:pPr>
      <w:bookmarkStart w:id="714" w:name="_ENREF_42"/>
      <w:r w:rsidRPr="009A7AB4">
        <w:t xml:space="preserve">Cullen-Unsworth, L. and Unsworth, R. 2013, Seagrass Meadows, Ecosystem Services, and Sustainability. </w:t>
      </w:r>
      <w:r w:rsidRPr="009A7AB4">
        <w:rPr>
          <w:i/>
        </w:rPr>
        <w:t xml:space="preserve">Environment: Science and Policy for Sustainable Development, </w:t>
      </w:r>
      <w:r w:rsidRPr="009A7AB4">
        <w:t>55(3): 14-28. doi: 10.1080/00139157.2013.785864</w:t>
      </w:r>
      <w:bookmarkEnd w:id="714"/>
    </w:p>
    <w:p w14:paraId="491986F2" w14:textId="4B9E0864" w:rsidR="009A7AB4" w:rsidRPr="009A7AB4" w:rsidRDefault="009A7AB4" w:rsidP="009A7AB4">
      <w:pPr>
        <w:pStyle w:val="EndNoteBibliography"/>
        <w:spacing w:after="0"/>
        <w:ind w:left="720" w:hanging="720"/>
      </w:pPr>
      <w:bookmarkStart w:id="715" w:name="_ENREF_43"/>
      <w:r w:rsidRPr="009A7AB4">
        <w:t xml:space="preserve">Cullen-Unsworth, L.C., Nordlund, L.M., Paddock, J., Baker, S., McKenzie, L.J., Unsworth, R.K.F. 2014, Seagrass meadows globally as a coupled social–ecological system: Implications for human wellbeing. </w:t>
      </w:r>
      <w:r w:rsidRPr="009A7AB4">
        <w:rPr>
          <w:i/>
        </w:rPr>
        <w:t xml:space="preserve">Marine Pollution Bulletin, </w:t>
      </w:r>
      <w:r w:rsidRPr="009A7AB4">
        <w:t xml:space="preserve">83(2): 387-397. doi: </w:t>
      </w:r>
      <w:hyperlink r:id="rId158" w:history="1">
        <w:r w:rsidRPr="009A7AB4">
          <w:rPr>
            <w:rStyle w:val="Hyperlink"/>
          </w:rPr>
          <w:t>http://dx.doi.org/10.1016/j.marpolbul.2013.06.001</w:t>
        </w:r>
        <w:bookmarkEnd w:id="715"/>
      </w:hyperlink>
    </w:p>
    <w:p w14:paraId="7E8F2E0A" w14:textId="77777777" w:rsidR="009A7AB4" w:rsidRPr="009A7AB4" w:rsidRDefault="009A7AB4" w:rsidP="009A7AB4">
      <w:pPr>
        <w:pStyle w:val="EndNoteBibliography"/>
        <w:spacing w:after="0"/>
        <w:ind w:left="720" w:hanging="720"/>
      </w:pPr>
      <w:bookmarkStart w:id="716" w:name="_ENREF_44"/>
      <w:r w:rsidRPr="009A7AB4">
        <w:t xml:space="preserve">De'ath, G. and Fabricius, K. 2010, Water quality as a regional driver of coral biodiversity and macroalgae on the Great Barrier Reef. </w:t>
      </w:r>
      <w:r w:rsidRPr="009A7AB4">
        <w:rPr>
          <w:i/>
        </w:rPr>
        <w:t xml:space="preserve">Ecological Applications, </w:t>
      </w:r>
      <w:r w:rsidRPr="009A7AB4">
        <w:t>20(3): 840-850. doi: 10.1890/08-2023.1</w:t>
      </w:r>
      <w:bookmarkEnd w:id="716"/>
    </w:p>
    <w:p w14:paraId="39B21633" w14:textId="77777777" w:rsidR="009A7AB4" w:rsidRPr="009A7AB4" w:rsidRDefault="009A7AB4" w:rsidP="009A7AB4">
      <w:pPr>
        <w:pStyle w:val="EndNoteBibliography"/>
        <w:spacing w:after="0"/>
        <w:ind w:left="720" w:hanging="720"/>
      </w:pPr>
      <w:bookmarkStart w:id="717" w:name="_ENREF_45"/>
      <w:r w:rsidRPr="009A7AB4">
        <w:t xml:space="preserve">Dennison, W.C. and Abal, E.G. 1999, </w:t>
      </w:r>
      <w:r w:rsidRPr="009A7AB4">
        <w:rPr>
          <w:i/>
        </w:rPr>
        <w:t>Moreton Bay Study: a scientific basis for the healthy waterways campaign</w:t>
      </w:r>
      <w:r w:rsidRPr="009A7AB4">
        <w:t>. Brisbane: South East Queensland Regional Water Quality Management Team.</w:t>
      </w:r>
      <w:bookmarkEnd w:id="717"/>
    </w:p>
    <w:p w14:paraId="6EEC1F9F" w14:textId="77777777" w:rsidR="009A7AB4" w:rsidRPr="009A7AB4" w:rsidRDefault="009A7AB4" w:rsidP="009A7AB4">
      <w:pPr>
        <w:pStyle w:val="EndNoteBibliography"/>
        <w:spacing w:after="0"/>
        <w:ind w:left="720" w:hanging="720"/>
      </w:pPr>
      <w:bookmarkStart w:id="718" w:name="_ENREF_46"/>
      <w:r w:rsidRPr="009A7AB4">
        <w:t xml:space="preserve">Dennison, W.C., Longstaff, B.J., O'Donohue, M.J. 1997, Seagrasses as Bio-indicators. In S Hillman &amp; S Raaymakers (Eds.), </w:t>
      </w:r>
      <w:r w:rsidRPr="009A7AB4">
        <w:rPr>
          <w:i/>
        </w:rPr>
        <w:t>Karumba dredging 1996 - Environmental Monitoring Report. EcoPorts Monograph Series No.6</w:t>
      </w:r>
      <w:r w:rsidRPr="009A7AB4">
        <w:t xml:space="preserve"> (pp. 255). Brisbane: Ports Corporation of Queensland.</w:t>
      </w:r>
      <w:bookmarkEnd w:id="718"/>
    </w:p>
    <w:p w14:paraId="04AFED5B" w14:textId="77777777" w:rsidR="009A7AB4" w:rsidRPr="009A7AB4" w:rsidRDefault="009A7AB4" w:rsidP="009A7AB4">
      <w:pPr>
        <w:pStyle w:val="EndNoteBibliography"/>
        <w:spacing w:after="0"/>
        <w:ind w:left="720" w:hanging="720"/>
      </w:pPr>
      <w:bookmarkStart w:id="719" w:name="_ENREF_47"/>
      <w:r w:rsidRPr="009A7AB4">
        <w:t xml:space="preserve">Dennison, W.C., O'Donnohue, M.K., Abal, E.G. 1995, </w:t>
      </w:r>
      <w:r w:rsidRPr="009A7AB4">
        <w:rPr>
          <w:i/>
        </w:rPr>
        <w:t>An assessment of nutrient bioindicators using marine plants in the region of Pioneer Bay, Airlie Beach, Queensland. Dry season sampling, September 1995</w:t>
      </w:r>
      <w:r w:rsidRPr="009A7AB4">
        <w:t>. Brisbane: Marine Botany Section, Department of Botany, University of Queensland.</w:t>
      </w:r>
      <w:bookmarkEnd w:id="719"/>
    </w:p>
    <w:p w14:paraId="3C644DF5" w14:textId="77777777" w:rsidR="009A7AB4" w:rsidRPr="009A7AB4" w:rsidRDefault="009A7AB4" w:rsidP="009A7AB4">
      <w:pPr>
        <w:pStyle w:val="EndNoteBibliography"/>
        <w:spacing w:after="0"/>
        <w:ind w:left="720" w:hanging="720"/>
      </w:pPr>
      <w:bookmarkStart w:id="720" w:name="_ENREF_48"/>
      <w:r w:rsidRPr="009A7AB4">
        <w:t xml:space="preserve">Department of Environment and Resource Management. 2009, </w:t>
      </w:r>
      <w:r w:rsidRPr="009A7AB4">
        <w:rPr>
          <w:i/>
        </w:rPr>
        <w:t>Queensland Water Quality Guidelines, Version 3. ISBN 978-0-9806986-0-2</w:t>
      </w:r>
      <w:r w:rsidRPr="009A7AB4">
        <w:t>. Brisbane: State of Queensland (Department of Environment and Resource Management).</w:t>
      </w:r>
      <w:bookmarkEnd w:id="720"/>
    </w:p>
    <w:p w14:paraId="5712D106" w14:textId="08B4B1CF" w:rsidR="009A7AB4" w:rsidRPr="009A7AB4" w:rsidRDefault="009A7AB4" w:rsidP="009A7AB4">
      <w:pPr>
        <w:pStyle w:val="EndNoteBibliography"/>
        <w:spacing w:after="0"/>
        <w:ind w:left="720" w:hanging="720"/>
      </w:pPr>
      <w:bookmarkStart w:id="721" w:name="_ENREF_49"/>
      <w:r w:rsidRPr="009A7AB4">
        <w:lastRenderedPageBreak/>
        <w:t xml:space="preserve">Department of the Premier and Cabinet. (2014). Great Barrier Reef report card 2012 and 2013, Reef Water Quality Protection Plan, Scoring system.  Retrieved 14/11/2014, from </w:t>
      </w:r>
      <w:hyperlink r:id="rId159" w:history="1">
        <w:r w:rsidRPr="009A7AB4">
          <w:rPr>
            <w:rStyle w:val="Hyperlink"/>
          </w:rPr>
          <w:t>http://www.reefplan.qld.gov.au/measuring-success/methods/scoring-system.aspx</w:t>
        </w:r>
        <w:bookmarkEnd w:id="721"/>
      </w:hyperlink>
    </w:p>
    <w:p w14:paraId="722410FF" w14:textId="77777777" w:rsidR="009A7AB4" w:rsidRPr="009A7AB4" w:rsidRDefault="009A7AB4" w:rsidP="009A7AB4">
      <w:pPr>
        <w:pStyle w:val="EndNoteBibliography"/>
        <w:spacing w:after="0"/>
        <w:ind w:left="720" w:hanging="720"/>
      </w:pPr>
      <w:bookmarkStart w:id="722" w:name="_ENREF_50"/>
      <w:r w:rsidRPr="009A7AB4">
        <w:t xml:space="preserve">Derbyshire, K.J., Willoughby, S.R., McColl, A.L., Hocroft, D.M. 1995, </w:t>
      </w:r>
      <w:r w:rsidRPr="009A7AB4">
        <w:rPr>
          <w:i/>
        </w:rPr>
        <w:t>Small prawn habitat and recruitment study : final report to the Fisheries Research and Development Corporation and the Queensland Fisheries Management Authority</w:t>
      </w:r>
      <w:r w:rsidRPr="009A7AB4">
        <w:t>. Cairns: Department of Primary Industries.</w:t>
      </w:r>
      <w:bookmarkEnd w:id="722"/>
    </w:p>
    <w:p w14:paraId="74341498" w14:textId="77777777" w:rsidR="009A7AB4" w:rsidRPr="009A7AB4" w:rsidRDefault="009A7AB4" w:rsidP="009A7AB4">
      <w:pPr>
        <w:pStyle w:val="EndNoteBibliography"/>
        <w:spacing w:after="0"/>
        <w:ind w:left="720" w:hanging="720"/>
      </w:pPr>
      <w:bookmarkStart w:id="723" w:name="_ENREF_51"/>
      <w:r w:rsidRPr="009A7AB4">
        <w:t xml:space="preserve">Devlin, M., Petus, C., da Silva, E., Tracey, D., Wolff, N., Waterhouse, J., Brodie, J. 2015, Water Quality and River Plume Monitoring in the Great Barrier Reef: An Overview of Methods Based on Ocean Colour Satellite Data. </w:t>
      </w:r>
      <w:r w:rsidRPr="009A7AB4">
        <w:rPr>
          <w:i/>
        </w:rPr>
        <w:t xml:space="preserve">Remote Sensing, </w:t>
      </w:r>
      <w:r w:rsidRPr="009A7AB4">
        <w:t xml:space="preserve">7(10): 12909. </w:t>
      </w:r>
      <w:bookmarkEnd w:id="723"/>
    </w:p>
    <w:p w14:paraId="3A6FA14E" w14:textId="77777777" w:rsidR="009A7AB4" w:rsidRPr="009A7AB4" w:rsidRDefault="009A7AB4" w:rsidP="009A7AB4">
      <w:pPr>
        <w:pStyle w:val="EndNoteBibliography"/>
        <w:spacing w:after="0"/>
        <w:ind w:left="720" w:hanging="720"/>
      </w:pPr>
      <w:bookmarkStart w:id="724" w:name="_ENREF_52"/>
      <w:r w:rsidRPr="009A7AB4">
        <w:t xml:space="preserve">Duarte, C., Borum, J., Short, F., Walker, D. 2005, Seagrass Ecosystems: Their Global Status and Prospects. In N Polunin (Ed.), </w:t>
      </w:r>
      <w:r w:rsidRPr="009A7AB4">
        <w:rPr>
          <w:i/>
        </w:rPr>
        <w:t>Aquatic Ecosystems: Trends and Global Prospects</w:t>
      </w:r>
      <w:r w:rsidRPr="009A7AB4">
        <w:t>: Cambridge Univ. Press.</w:t>
      </w:r>
      <w:bookmarkEnd w:id="724"/>
    </w:p>
    <w:p w14:paraId="001EF07E" w14:textId="77777777" w:rsidR="009A7AB4" w:rsidRPr="009A7AB4" w:rsidRDefault="009A7AB4" w:rsidP="009A7AB4">
      <w:pPr>
        <w:pStyle w:val="EndNoteBibliography"/>
        <w:spacing w:after="0"/>
        <w:ind w:left="720" w:hanging="720"/>
      </w:pPr>
      <w:bookmarkStart w:id="725" w:name="_ENREF_53"/>
      <w:r w:rsidRPr="009A7AB4">
        <w:t xml:space="preserve">Duarte, C.M. 1990, Seagrass nutrient content. </w:t>
      </w:r>
      <w:r w:rsidRPr="009A7AB4">
        <w:rPr>
          <w:i/>
        </w:rPr>
        <w:t xml:space="preserve">Marine Ecology Progress Series, </w:t>
      </w:r>
      <w:r w:rsidRPr="009A7AB4">
        <w:t xml:space="preserve">67(1): 201-207. </w:t>
      </w:r>
      <w:bookmarkEnd w:id="725"/>
    </w:p>
    <w:p w14:paraId="685DAC91" w14:textId="77777777" w:rsidR="009A7AB4" w:rsidRPr="009A7AB4" w:rsidRDefault="009A7AB4" w:rsidP="009A7AB4">
      <w:pPr>
        <w:pStyle w:val="EndNoteBibliography"/>
        <w:spacing w:after="0"/>
        <w:ind w:left="720" w:hanging="720"/>
      </w:pPr>
      <w:bookmarkStart w:id="726" w:name="_ENREF_54"/>
      <w:r w:rsidRPr="009A7AB4">
        <w:t xml:space="preserve">Duarte, C.M. and Krause-Jensen, D. 2017, Export from Seagrass Meadows Contributes to Marine Carbon Sequestration. [Review]. </w:t>
      </w:r>
      <w:r w:rsidRPr="009A7AB4">
        <w:rPr>
          <w:i/>
        </w:rPr>
        <w:t xml:space="preserve">Frontiers in Marine Science, </w:t>
      </w:r>
      <w:r w:rsidRPr="009A7AB4">
        <w:t>4(13). doi: 10.3389/fmars.2017.00013</w:t>
      </w:r>
      <w:bookmarkEnd w:id="726"/>
    </w:p>
    <w:p w14:paraId="152AAA23" w14:textId="1715FEA2" w:rsidR="009A7AB4" w:rsidRPr="009A7AB4" w:rsidRDefault="009A7AB4" w:rsidP="009A7AB4">
      <w:pPr>
        <w:pStyle w:val="EndNoteBibliography"/>
        <w:spacing w:after="0"/>
        <w:ind w:left="720" w:hanging="720"/>
      </w:pPr>
      <w:bookmarkStart w:id="727" w:name="_ENREF_55"/>
      <w:r w:rsidRPr="009A7AB4">
        <w:t xml:space="preserve">Duffy, J.E., Benedetti-Cecchi, L., Trinanes, J., Muller-Karger, F.E., Ambo-Rappe, R., Boström, C., Buschmann, A.H., Byrnes, J., Coles, R.G., Creed, J., Cullen-Unsworth, L.C., Diaz-Pulido, G., Duarte, C.M., Edgar, G.J., Fortes, M., Goni, G., Hu, C., Huang, X., Hurd, C.L., Johnson, C., Konar, B., Krause-Jensen, D., Krumhansl, K., Macreadie, P., Marsh, H., McKenzie, L.J., Mieszkowska, N., Miloslavich, P., Montes, E., Nakaoka, M., Norderhaug, K.M., Norlund, L.M., Orth, R.J., Prathep, A., Putman, N.F., Samper-Villarreal, J., Serrao, E.A., Short, F., Pinto, I.S., Steinberg, P., Stuart-Smith, R., Unsworth, R.K.F., van Keulen, M., van Tussenbroek, B.I., Wang, M., Waycott, M., Weatherdon, L.V., Wernberg, T., Yaakub, S.M. 2019, Toward a Coordinated Global Observing System for Seagrasses and Marine Macroalgae. [Systematic Review]. </w:t>
      </w:r>
      <w:r w:rsidRPr="009A7AB4">
        <w:rPr>
          <w:i/>
        </w:rPr>
        <w:t xml:space="preserve">Frontiers in Marine Science, </w:t>
      </w:r>
      <w:r w:rsidRPr="009A7AB4">
        <w:t xml:space="preserve">6 </w:t>
      </w:r>
      <w:hyperlink r:id="rId160" w:history="1">
        <w:r w:rsidRPr="009A7AB4">
          <w:rPr>
            <w:rStyle w:val="Hyperlink"/>
          </w:rPr>
          <w:t>https://doi.org/10.3389/fmars.2019.00317(317</w:t>
        </w:r>
      </w:hyperlink>
      <w:r w:rsidRPr="009A7AB4">
        <w:t>). doi: 10.3389/fmars.2019.00317</w:t>
      </w:r>
      <w:bookmarkEnd w:id="727"/>
    </w:p>
    <w:p w14:paraId="0E2A919D" w14:textId="77777777" w:rsidR="009A7AB4" w:rsidRPr="009A7AB4" w:rsidRDefault="009A7AB4" w:rsidP="009A7AB4">
      <w:pPr>
        <w:pStyle w:val="EndNoteBibliography"/>
        <w:spacing w:after="0"/>
        <w:ind w:left="720" w:hanging="720"/>
      </w:pPr>
      <w:bookmarkStart w:id="728" w:name="_ENREF_56"/>
      <w:r w:rsidRPr="009A7AB4">
        <w:t xml:space="preserve">EHMP. 2008, </w:t>
      </w:r>
      <w:r w:rsidRPr="009A7AB4">
        <w:rPr>
          <w:i/>
        </w:rPr>
        <w:t>Ecosystem Health Monitoring Program 2006-07: Annual Technical Report</w:t>
      </w:r>
      <w:r w:rsidRPr="009A7AB4">
        <w:t>. Brisbane: South East Queensland Healthy Waterways Partnership.</w:t>
      </w:r>
      <w:bookmarkEnd w:id="728"/>
    </w:p>
    <w:p w14:paraId="0E4935E6" w14:textId="41D65BAD" w:rsidR="009A7AB4" w:rsidRPr="009A7AB4" w:rsidRDefault="009A7AB4" w:rsidP="009A7AB4">
      <w:pPr>
        <w:pStyle w:val="EndNoteBibliography"/>
        <w:spacing w:after="0"/>
        <w:ind w:left="720" w:hanging="720"/>
      </w:pPr>
      <w:bookmarkStart w:id="729" w:name="_ENREF_57"/>
      <w:r w:rsidRPr="009A7AB4">
        <w:lastRenderedPageBreak/>
        <w:t xml:space="preserve">Ellison, A.M. 2019, Foundation Species, Non-trophic Interactions, and the Value of Being Common. </w:t>
      </w:r>
      <w:r w:rsidRPr="009A7AB4">
        <w:rPr>
          <w:i/>
        </w:rPr>
        <w:t xml:space="preserve">iScience, </w:t>
      </w:r>
      <w:r w:rsidRPr="009A7AB4">
        <w:t xml:space="preserve">13: 254-268. doi: </w:t>
      </w:r>
      <w:hyperlink r:id="rId161" w:history="1">
        <w:r w:rsidRPr="009A7AB4">
          <w:rPr>
            <w:rStyle w:val="Hyperlink"/>
          </w:rPr>
          <w:t>https://doi.org/10.1016/j.isci.2019.02.020</w:t>
        </w:r>
        <w:bookmarkEnd w:id="729"/>
      </w:hyperlink>
    </w:p>
    <w:p w14:paraId="14F576E4" w14:textId="77777777" w:rsidR="009A7AB4" w:rsidRPr="009A7AB4" w:rsidRDefault="009A7AB4" w:rsidP="009A7AB4">
      <w:pPr>
        <w:pStyle w:val="EndNoteBibliography"/>
        <w:spacing w:after="0"/>
        <w:ind w:left="720" w:hanging="720"/>
      </w:pPr>
      <w:bookmarkStart w:id="730" w:name="_ENREF_58"/>
      <w:r w:rsidRPr="009A7AB4">
        <w:t xml:space="preserve">Fabricius, K., De'Ath, G., Humphrey, C., Zagorskis, I., Schaffelke, B. 2012, Intr-annual variation in turbidity in response to terrestrial runoff on near-shore coral reefs of the Great Barrier Reef. </w:t>
      </w:r>
      <w:r w:rsidRPr="009A7AB4">
        <w:rPr>
          <w:i/>
        </w:rPr>
        <w:t xml:space="preserve">Estuarine, Coastal and Shelf Science, </w:t>
      </w:r>
      <w:r w:rsidRPr="009A7AB4">
        <w:t xml:space="preserve">3: 458-470. </w:t>
      </w:r>
      <w:bookmarkEnd w:id="730"/>
    </w:p>
    <w:p w14:paraId="30B995BD" w14:textId="77777777" w:rsidR="009A7AB4" w:rsidRPr="009A7AB4" w:rsidRDefault="009A7AB4" w:rsidP="009A7AB4">
      <w:pPr>
        <w:pStyle w:val="EndNoteBibliography"/>
        <w:spacing w:after="0"/>
        <w:ind w:left="720" w:hanging="720"/>
      </w:pPr>
      <w:bookmarkStart w:id="731" w:name="_ENREF_59"/>
      <w:r w:rsidRPr="009A7AB4">
        <w:t xml:space="preserve">Fourqurean, J.W., Duarte, C.M., Kennedy, H., Marba, N., Holmer, M., Mateo, M.A., Apostolaki, E.T., Kendrick, G.A., Krause-Jensen, D., McGlathery, K.J., Serrano, O. 2012, Seagrass ecosystems as a globally significant carbon stock. </w:t>
      </w:r>
      <w:r w:rsidRPr="009A7AB4">
        <w:rPr>
          <w:i/>
        </w:rPr>
        <w:t xml:space="preserve">Nature Geoscience, </w:t>
      </w:r>
      <w:r w:rsidRPr="009A7AB4">
        <w:t>5(7): 505-509. doi: 10.1038/ngeo1477</w:t>
      </w:r>
      <w:bookmarkEnd w:id="731"/>
    </w:p>
    <w:p w14:paraId="40B69173" w14:textId="77777777" w:rsidR="009A7AB4" w:rsidRPr="009A7AB4" w:rsidRDefault="009A7AB4" w:rsidP="009A7AB4">
      <w:pPr>
        <w:pStyle w:val="EndNoteBibliography"/>
        <w:spacing w:after="0"/>
        <w:ind w:left="720" w:hanging="720"/>
      </w:pPr>
      <w:bookmarkStart w:id="732" w:name="_ENREF_60"/>
      <w:r w:rsidRPr="009A7AB4">
        <w:t xml:space="preserve">Fourqurean, J.W., Zieman, J.C., Powell, G.V.N. 1992, Relationships between porewater nutrients and seagrasses in a subtropical carbonate environment. </w:t>
      </w:r>
      <w:r w:rsidRPr="009A7AB4">
        <w:rPr>
          <w:i/>
        </w:rPr>
        <w:t xml:space="preserve">Marine Biology, </w:t>
      </w:r>
      <w:r w:rsidRPr="009A7AB4">
        <w:t>114(1): 57-65. doi: 10.1007/bf00350856</w:t>
      </w:r>
      <w:bookmarkEnd w:id="732"/>
    </w:p>
    <w:p w14:paraId="79300344" w14:textId="5787D8FB" w:rsidR="009A7AB4" w:rsidRPr="009A7AB4" w:rsidRDefault="009A7AB4" w:rsidP="009A7AB4">
      <w:pPr>
        <w:pStyle w:val="EndNoteBibliography"/>
        <w:spacing w:after="0"/>
        <w:ind w:left="720" w:hanging="720"/>
      </w:pPr>
      <w:bookmarkStart w:id="733" w:name="_ENREF_61"/>
      <w:r w:rsidRPr="009A7AB4">
        <w:t xml:space="preserve">GBRMPA. (2019). Marine Monitoring Program  Retrieved 29 March, 2019, from </w:t>
      </w:r>
      <w:hyperlink r:id="rId162" w:history="1">
        <w:r w:rsidRPr="009A7AB4">
          <w:rPr>
            <w:rStyle w:val="Hyperlink"/>
          </w:rPr>
          <w:t>http://www.gbrmpa.gov.au/our-work/our-programs-and-projects/reef-2050-marine-monitoring-program</w:t>
        </w:r>
        <w:bookmarkEnd w:id="733"/>
      </w:hyperlink>
    </w:p>
    <w:p w14:paraId="3A65F870" w14:textId="77777777" w:rsidR="009A7AB4" w:rsidRPr="009A7AB4" w:rsidRDefault="009A7AB4" w:rsidP="009A7AB4">
      <w:pPr>
        <w:pStyle w:val="EndNoteBibliography"/>
        <w:spacing w:after="0"/>
        <w:ind w:left="720" w:hanging="720"/>
      </w:pPr>
      <w:bookmarkStart w:id="734" w:name="_ENREF_62"/>
      <w:r w:rsidRPr="009A7AB4">
        <w:t xml:space="preserve">Goldsworthy, P.M. 1994, Seagrasses. In L Benson, P Goldsworthy, R Butler &amp; J Oliver (Eds.), </w:t>
      </w:r>
      <w:r w:rsidRPr="009A7AB4">
        <w:rPr>
          <w:i/>
        </w:rPr>
        <w:t>Townsville Port Authority Capital Dredging Works 1993: Environmental Monitoring Program</w:t>
      </w:r>
      <w:r w:rsidRPr="009A7AB4">
        <w:t xml:space="preserve"> (pp. 89-115). Townsville: Townsville Port Authority.</w:t>
      </w:r>
      <w:bookmarkEnd w:id="734"/>
    </w:p>
    <w:p w14:paraId="2448594F" w14:textId="76B1511C" w:rsidR="009A7AB4" w:rsidRDefault="009A7AB4" w:rsidP="009A7AB4">
      <w:pPr>
        <w:pStyle w:val="EndNoteBibliography"/>
        <w:spacing w:after="0"/>
        <w:ind w:left="720" w:hanging="720"/>
      </w:pPr>
      <w:bookmarkStart w:id="735" w:name="_ENREF_63"/>
      <w:r w:rsidRPr="009A7AB4">
        <w:t>Great Barrier Reef Marine Park Authority. 201</w:t>
      </w:r>
      <w:r w:rsidR="00F42A94">
        <w:t>9</w:t>
      </w:r>
      <w:r w:rsidRPr="009A7AB4">
        <w:t xml:space="preserve">, </w:t>
      </w:r>
      <w:r w:rsidRPr="009A7AB4">
        <w:rPr>
          <w:i/>
        </w:rPr>
        <w:t xml:space="preserve">Great Barrier Reef </w:t>
      </w:r>
      <w:r w:rsidR="00F42A94">
        <w:rPr>
          <w:i/>
        </w:rPr>
        <w:t>Marine Park Authority Corporate Plan 2019-20</w:t>
      </w:r>
      <w:r w:rsidRPr="009A7AB4">
        <w:t>. Townsville: GBRMPA.</w:t>
      </w:r>
      <w:bookmarkEnd w:id="735"/>
    </w:p>
    <w:p w14:paraId="0B81A380" w14:textId="71FCFDB5" w:rsidR="00361937" w:rsidRPr="009A7AB4" w:rsidRDefault="00361937" w:rsidP="009A7AB4">
      <w:pPr>
        <w:pStyle w:val="EndNoteBibliography"/>
        <w:spacing w:after="0"/>
        <w:ind w:left="720" w:hanging="720"/>
      </w:pPr>
      <w:r>
        <w:t xml:space="preserve">Great Barrier Reef Marine Park Authority 2019, </w:t>
      </w:r>
      <w:r w:rsidRPr="00361937">
        <w:rPr>
          <w:i/>
        </w:rPr>
        <w:t>Great Barrier Reef Outlook Report 2019</w:t>
      </w:r>
      <w:r>
        <w:t>, GBRMPA, Townsville</w:t>
      </w:r>
    </w:p>
    <w:p w14:paraId="3A38BDCC" w14:textId="77777777" w:rsidR="009A7AB4" w:rsidRPr="009A7AB4" w:rsidRDefault="009A7AB4" w:rsidP="009A7AB4">
      <w:pPr>
        <w:pStyle w:val="EndNoteBibliography"/>
        <w:spacing w:after="0"/>
        <w:ind w:left="720" w:hanging="720"/>
      </w:pPr>
      <w:bookmarkStart w:id="736" w:name="_ENREF_64"/>
      <w:r w:rsidRPr="009A7AB4">
        <w:t xml:space="preserve">Grech, A., Wolter, J., Coles, R., McKenzie, L., Rasheed, M., Thomas, C., Waycott, M., Hanert, E. 2016, Spatial patterns of seagrass dispersal and settlement. </w:t>
      </w:r>
      <w:r w:rsidRPr="009A7AB4">
        <w:rPr>
          <w:i/>
        </w:rPr>
        <w:t>Diversity and Distributions</w:t>
      </w:r>
      <w:r w:rsidRPr="009A7AB4">
        <w:t>: n/a-n/a. doi: 10.1111/ddi.12479</w:t>
      </w:r>
      <w:bookmarkEnd w:id="736"/>
    </w:p>
    <w:p w14:paraId="08A3C351" w14:textId="77777777" w:rsidR="009A7AB4" w:rsidRPr="009A7AB4" w:rsidRDefault="009A7AB4" w:rsidP="009A7AB4">
      <w:pPr>
        <w:pStyle w:val="EndNoteBibliography"/>
        <w:spacing w:after="0"/>
        <w:ind w:left="720" w:hanging="720"/>
      </w:pPr>
      <w:bookmarkStart w:id="737" w:name="_ENREF_65"/>
      <w:r w:rsidRPr="009A7AB4">
        <w:t xml:space="preserve">Green, E. and Short, F. (Eds.). (2003). </w:t>
      </w:r>
      <w:r w:rsidRPr="009A7AB4">
        <w:rPr>
          <w:i/>
        </w:rPr>
        <w:t>World Atlas of Seagrasses</w:t>
      </w:r>
      <w:r w:rsidRPr="009A7AB4">
        <w:t>. Berkeley. USA: University of California Press,.</w:t>
      </w:r>
      <w:bookmarkEnd w:id="737"/>
    </w:p>
    <w:p w14:paraId="62134E7D" w14:textId="77777777" w:rsidR="009A7AB4" w:rsidRPr="009A7AB4" w:rsidRDefault="009A7AB4" w:rsidP="009A7AB4">
      <w:pPr>
        <w:pStyle w:val="EndNoteBibliography"/>
        <w:spacing w:after="0"/>
        <w:ind w:left="720" w:hanging="720"/>
      </w:pPr>
      <w:bookmarkStart w:id="738" w:name="_ENREF_66"/>
      <w:r w:rsidRPr="009A7AB4">
        <w:t xml:space="preserve">Grice, A., Loneragan, N., Dennison, W. 1996, Light intensity and the interactions between physiology, morphology and stable isotope ratios in five species of seagrass. </w:t>
      </w:r>
      <w:r w:rsidRPr="009A7AB4">
        <w:rPr>
          <w:i/>
        </w:rPr>
        <w:t xml:space="preserve">Journal of Experimental Marine Biology and Ecology, </w:t>
      </w:r>
      <w:r w:rsidRPr="009A7AB4">
        <w:t xml:space="preserve">195: 91-110. </w:t>
      </w:r>
      <w:bookmarkEnd w:id="738"/>
    </w:p>
    <w:p w14:paraId="1F66A282" w14:textId="77777777" w:rsidR="009A7AB4" w:rsidRPr="009A7AB4" w:rsidRDefault="009A7AB4" w:rsidP="009A7AB4">
      <w:pPr>
        <w:pStyle w:val="EndNoteBibliography"/>
        <w:spacing w:after="0"/>
        <w:ind w:left="720" w:hanging="720"/>
      </w:pPr>
      <w:bookmarkStart w:id="739" w:name="_ENREF_67"/>
      <w:r w:rsidRPr="009A7AB4">
        <w:lastRenderedPageBreak/>
        <w:t xml:space="preserve">Gruber, R., Waterhouse, J., Logan, M., Petus, C., Howley, C., Lewis, S., Tracey, D., Langlois, L., Tonin, H., Skuza, M., Costello, P., Davidson, J., Gunn, K., Lefevre, C., Shanahan, M., Wright, M., Zagorskis, I., Kroon, F., Neilen, A. 2019a, Marine Monitoring Program: Annual Report for Inshore Water Quality Monitoring 2017-18. Report for the Great Barrier Reef Marine Park Authority. </w:t>
      </w:r>
      <w:bookmarkEnd w:id="739"/>
    </w:p>
    <w:p w14:paraId="65C24318" w14:textId="77777777" w:rsidR="009A7AB4" w:rsidRPr="009A7AB4" w:rsidRDefault="009A7AB4" w:rsidP="009A7AB4">
      <w:pPr>
        <w:pStyle w:val="EndNoteBibliography"/>
        <w:spacing w:after="0"/>
        <w:ind w:left="720" w:hanging="720"/>
      </w:pPr>
      <w:bookmarkStart w:id="740" w:name="_ENREF_68"/>
      <w:r w:rsidRPr="009A7AB4">
        <w:t xml:space="preserve">Gruber, R., Waterhouse, J., Logan, M., Petus, C., Howley, C., Lewis, S., Tracey, D., Langlois, L., Tonin, H., Skuza, M., Costello, P., Davidson, J., Gunn, K., Lefevre, C., Shanahan, M., Wright, M., Zagorskis, I., Kroon, F., Neilen, A. 2019b, </w:t>
      </w:r>
      <w:r w:rsidRPr="009A7AB4">
        <w:rPr>
          <w:i/>
        </w:rPr>
        <w:t>Marine Monitoring Program: Annual Report for inshore water quality monitoring 2017-2018. Report for the Great Barrier Reef Marine Park Authority</w:t>
      </w:r>
      <w:r w:rsidRPr="009A7AB4">
        <w:t>. Townsville: Great Barrier Reef Marine Park Authority, Australian Institute of Marine Science and JCU TropWATER.</w:t>
      </w:r>
      <w:bookmarkEnd w:id="740"/>
    </w:p>
    <w:p w14:paraId="50ACA78F" w14:textId="77777777" w:rsidR="009A7AB4" w:rsidRPr="009A7AB4" w:rsidRDefault="009A7AB4" w:rsidP="009A7AB4">
      <w:pPr>
        <w:pStyle w:val="EndNoteBibliography"/>
        <w:spacing w:after="0"/>
        <w:ind w:left="720" w:hanging="720"/>
      </w:pPr>
      <w:bookmarkStart w:id="741" w:name="_ENREF_69"/>
      <w:r w:rsidRPr="009A7AB4">
        <w:t xml:space="preserve">Gruber, R., Waterhouse, J., Logan, M., Petus, C., Howley, C., Lewis, S., Tracey, D., Langlois, L., Tonin, H., Skuza, M., Costello, P., Davidson, J., Gunn, K., Lefevre, C., Shanahan, M., Wright, M., Zagorskis, I., Kroon, F., Neilen, A. 2020, </w:t>
      </w:r>
      <w:r w:rsidRPr="009A7AB4">
        <w:rPr>
          <w:i/>
        </w:rPr>
        <w:t>Marine Monitoring Program: Annual Report for inshore water quality monitoring 2018-2019. Report for the Great Barrier Reef Marine Park Authority</w:t>
      </w:r>
      <w:r w:rsidRPr="009A7AB4">
        <w:t>. Townsville: Great Barrier Reef Marine Park Authority, Australian Institute of Marine Science and JCU TropWATER.</w:t>
      </w:r>
      <w:bookmarkEnd w:id="741"/>
    </w:p>
    <w:p w14:paraId="76A6AE2C" w14:textId="119C0CEC" w:rsidR="009A7AB4" w:rsidRPr="009A7AB4" w:rsidRDefault="009A7AB4" w:rsidP="009A7AB4">
      <w:pPr>
        <w:pStyle w:val="EndNoteBibliography"/>
        <w:spacing w:after="0"/>
        <w:ind w:left="720" w:hanging="720"/>
      </w:pPr>
      <w:bookmarkStart w:id="742" w:name="_ENREF_70"/>
      <w:r w:rsidRPr="009A7AB4">
        <w:t xml:space="preserve">Hamed, K.H. and Rao, A.R. 1998, A modified Mann-Kendall trend test for autocorrelated data. </w:t>
      </w:r>
      <w:r w:rsidRPr="009A7AB4">
        <w:rPr>
          <w:i/>
        </w:rPr>
        <w:t xml:space="preserve">Journal of Hydrology, </w:t>
      </w:r>
      <w:r w:rsidRPr="009A7AB4">
        <w:t xml:space="preserve">204(1): 182-196. doi: </w:t>
      </w:r>
      <w:hyperlink r:id="rId163" w:history="1">
        <w:r w:rsidRPr="009A7AB4">
          <w:rPr>
            <w:rStyle w:val="Hyperlink"/>
          </w:rPr>
          <w:t>https://doi.org/10.1016/S0022-1694(97)00125-X</w:t>
        </w:r>
        <w:bookmarkEnd w:id="742"/>
      </w:hyperlink>
    </w:p>
    <w:p w14:paraId="24AB7F6F" w14:textId="77777777" w:rsidR="009A7AB4" w:rsidRPr="009A7AB4" w:rsidRDefault="009A7AB4" w:rsidP="009A7AB4">
      <w:pPr>
        <w:pStyle w:val="EndNoteBibliography"/>
        <w:spacing w:after="0"/>
        <w:ind w:left="720" w:hanging="720"/>
      </w:pPr>
      <w:bookmarkStart w:id="743" w:name="_ENREF_71"/>
      <w:r w:rsidRPr="009A7AB4">
        <w:t xml:space="preserve">Haynes, D., Müller, J., Carter, S. 2000, Pesticide and Herbicide Residues in Sediments and Seagrasses from the Great Barrier Reef World Heritage Area and Queensland Coast. </w:t>
      </w:r>
      <w:r w:rsidRPr="009A7AB4">
        <w:rPr>
          <w:i/>
        </w:rPr>
        <w:t xml:space="preserve">Marine Pollution Bulletin, </w:t>
      </w:r>
      <w:r w:rsidRPr="009A7AB4">
        <w:t xml:space="preserve">41(7-12): 279-287. </w:t>
      </w:r>
      <w:bookmarkEnd w:id="743"/>
    </w:p>
    <w:p w14:paraId="38423452" w14:textId="77777777" w:rsidR="009A7AB4" w:rsidRPr="009A7AB4" w:rsidRDefault="009A7AB4" w:rsidP="009A7AB4">
      <w:pPr>
        <w:pStyle w:val="EndNoteBibliography"/>
        <w:spacing w:after="0"/>
        <w:ind w:left="720" w:hanging="720"/>
      </w:pPr>
      <w:bookmarkStart w:id="744" w:name="_ENREF_72"/>
      <w:r w:rsidRPr="009A7AB4">
        <w:t xml:space="preserve">Heap, A.D., Murray, E., Ryan, D.A., Gallagher, J., Tobin, G., Creasey, J., Dyall, A. 2015, Queensland Coastal Waterways Geomorphic Habitat Mapping, Version 2 (1:100 000 scale digital data). [northlimit=-10.6; southlimit=-28.2; westlimit=137.8; eastLimit=153.2; projection=WGS84]. </w:t>
      </w:r>
      <w:bookmarkEnd w:id="744"/>
    </w:p>
    <w:p w14:paraId="7C1DCDA9" w14:textId="77777777" w:rsidR="009A7AB4" w:rsidRPr="009A7AB4" w:rsidRDefault="009A7AB4" w:rsidP="009A7AB4">
      <w:pPr>
        <w:pStyle w:val="EndNoteBibliography"/>
        <w:spacing w:after="0"/>
        <w:ind w:left="720" w:hanging="720"/>
      </w:pPr>
      <w:bookmarkStart w:id="745" w:name="_ENREF_73"/>
      <w:r w:rsidRPr="009A7AB4">
        <w:t xml:space="preserve">Heck, K.L. and Orth, R.J. 2006, Predation in seagrass beds. In WD Larkum, RJ Orth &amp; CM Duarte (Eds.), </w:t>
      </w:r>
      <w:r w:rsidRPr="009A7AB4">
        <w:rPr>
          <w:i/>
        </w:rPr>
        <w:t>Seagrasses: Biology, Ecology and Conservation</w:t>
      </w:r>
      <w:r w:rsidRPr="009A7AB4">
        <w:t>. Dordrecht: Springer.</w:t>
      </w:r>
      <w:bookmarkEnd w:id="745"/>
    </w:p>
    <w:p w14:paraId="321840D3" w14:textId="77777777" w:rsidR="009A7AB4" w:rsidRPr="009A7AB4" w:rsidRDefault="009A7AB4" w:rsidP="009A7AB4">
      <w:pPr>
        <w:pStyle w:val="EndNoteBibliography"/>
        <w:spacing w:after="0"/>
        <w:ind w:left="720" w:hanging="720"/>
      </w:pPr>
      <w:bookmarkStart w:id="746" w:name="_ENREF_74"/>
      <w:r w:rsidRPr="009A7AB4">
        <w:t xml:space="preserve">Heck, K.L. and Valentine, J.F. 2006, Plant-herbivore interactions in seagrass meadows. </w:t>
      </w:r>
      <w:r w:rsidRPr="009A7AB4">
        <w:rPr>
          <w:i/>
        </w:rPr>
        <w:t xml:space="preserve">Journal of Experimental Marine Biology and Ecology, </w:t>
      </w:r>
      <w:r w:rsidRPr="009A7AB4">
        <w:t xml:space="preserve">330(1): 420-436. </w:t>
      </w:r>
      <w:bookmarkEnd w:id="746"/>
    </w:p>
    <w:p w14:paraId="740566E2" w14:textId="77777777" w:rsidR="009A7AB4" w:rsidRPr="009A7AB4" w:rsidRDefault="009A7AB4" w:rsidP="009A7AB4">
      <w:pPr>
        <w:pStyle w:val="EndNoteBibliography"/>
        <w:spacing w:after="0"/>
        <w:ind w:left="720" w:hanging="720"/>
        <w:rPr>
          <w:u w:val="single"/>
        </w:rPr>
      </w:pPr>
      <w:bookmarkStart w:id="747" w:name="_ENREF_75"/>
      <w:r w:rsidRPr="009A7AB4">
        <w:lastRenderedPageBreak/>
        <w:t xml:space="preserve">Heck, K.L.J., Carruthers, T.J.B., Duarte, C.M., Hughes, A.R., Kendrick, G., Orth, R.J., Williams, S.W. 2008, Trophic transfers from seagrass meadows subsidize diverse marine and terrestrial consumers. [review]. </w:t>
      </w:r>
      <w:r w:rsidRPr="009A7AB4">
        <w:rPr>
          <w:i/>
        </w:rPr>
        <w:t xml:space="preserve">Ecosystems, </w:t>
      </w:r>
      <w:r w:rsidRPr="009A7AB4">
        <w:t xml:space="preserve">11(7): 1198-1210. doi: </w:t>
      </w:r>
      <w:r w:rsidRPr="009A7AB4">
        <w:rPr>
          <w:u w:val="single"/>
        </w:rPr>
        <w:t>10.1007/s10021-008-9155-y</w:t>
      </w:r>
      <w:bookmarkEnd w:id="747"/>
    </w:p>
    <w:p w14:paraId="1F30D790" w14:textId="77777777" w:rsidR="009A7AB4" w:rsidRPr="009A7AB4" w:rsidRDefault="009A7AB4" w:rsidP="009A7AB4">
      <w:pPr>
        <w:pStyle w:val="EndNoteBibliography"/>
        <w:spacing w:after="0"/>
        <w:ind w:left="720" w:hanging="720"/>
      </w:pPr>
      <w:bookmarkStart w:id="748" w:name="_ENREF_76"/>
      <w:r w:rsidRPr="009A7AB4">
        <w:t xml:space="preserve">Holling, C.S. 1973, Resilience and stability of ecological systems. </w:t>
      </w:r>
      <w:r w:rsidRPr="009A7AB4">
        <w:rPr>
          <w:i/>
        </w:rPr>
        <w:t xml:space="preserve">Annual Review of Ecology and Systematics, </w:t>
      </w:r>
      <w:r w:rsidRPr="009A7AB4">
        <w:t xml:space="preserve">4: 1-23. </w:t>
      </w:r>
      <w:bookmarkEnd w:id="748"/>
    </w:p>
    <w:p w14:paraId="7A542499" w14:textId="77777777" w:rsidR="009A7AB4" w:rsidRPr="009A7AB4" w:rsidRDefault="009A7AB4" w:rsidP="009A7AB4">
      <w:pPr>
        <w:pStyle w:val="EndNoteBibliography"/>
        <w:spacing w:after="0"/>
        <w:ind w:left="720" w:hanging="720"/>
      </w:pPr>
      <w:bookmarkStart w:id="749" w:name="_ENREF_77"/>
      <w:r w:rsidRPr="009A7AB4">
        <w:t xml:space="preserve">Inglis, G.J. 1999, Variation in the recruitment behaviour of seagrass seeds: implications for population dynamics and resource management. </w:t>
      </w:r>
      <w:r w:rsidRPr="009A7AB4">
        <w:rPr>
          <w:i/>
        </w:rPr>
        <w:t xml:space="preserve">Pacific Conservation Biology, </w:t>
      </w:r>
      <w:r w:rsidRPr="009A7AB4">
        <w:t xml:space="preserve">5: 251-259. </w:t>
      </w:r>
      <w:bookmarkEnd w:id="749"/>
    </w:p>
    <w:p w14:paraId="16237511" w14:textId="77777777" w:rsidR="009A7AB4" w:rsidRPr="009A7AB4" w:rsidRDefault="009A7AB4" w:rsidP="009A7AB4">
      <w:pPr>
        <w:pStyle w:val="EndNoteBibliography"/>
        <w:spacing w:after="0"/>
        <w:ind w:left="720" w:hanging="720"/>
      </w:pPr>
      <w:bookmarkStart w:id="750" w:name="_ENREF_78"/>
      <w:r w:rsidRPr="009A7AB4">
        <w:t xml:space="preserve">Jones, A.B., O'Donohue, M.J., Udy, J., Dennison, W.C. 2001, Assessing ecological impacts of shrimp and sewage effluent: Biological indicators with standard water quality analyses. </w:t>
      </w:r>
      <w:r w:rsidRPr="009A7AB4">
        <w:rPr>
          <w:i/>
        </w:rPr>
        <w:t xml:space="preserve">Estuarine Coastal And Shelf Science, </w:t>
      </w:r>
      <w:r w:rsidRPr="009A7AB4">
        <w:t xml:space="preserve">52(1): 91-109. </w:t>
      </w:r>
      <w:bookmarkEnd w:id="750"/>
    </w:p>
    <w:p w14:paraId="1EBD6C77" w14:textId="77777777" w:rsidR="009A7AB4" w:rsidRPr="009A7AB4" w:rsidRDefault="009A7AB4" w:rsidP="009A7AB4">
      <w:pPr>
        <w:pStyle w:val="EndNoteBibliography"/>
        <w:spacing w:after="0"/>
        <w:ind w:left="720" w:hanging="720"/>
      </w:pPr>
      <w:bookmarkStart w:id="751" w:name="_ENREF_79"/>
      <w:r w:rsidRPr="009A7AB4">
        <w:t xml:space="preserve">Jones, B.L., Cullen-Unsworth, L.C., Unsworth, R.K.F. 2018, Tracking Nitrogen Source Using δ15N Reveals Human and Agricultural Drivers of Seagrass Degradation across the British Isles. [Original Research]. </w:t>
      </w:r>
      <w:r w:rsidRPr="009A7AB4">
        <w:rPr>
          <w:i/>
        </w:rPr>
        <w:t xml:space="preserve">Frontiers in Plant Science, </w:t>
      </w:r>
      <w:r w:rsidRPr="009A7AB4">
        <w:t>9(133). doi: 10.3389/fpls.2018.00133</w:t>
      </w:r>
      <w:bookmarkEnd w:id="751"/>
    </w:p>
    <w:p w14:paraId="6547E249" w14:textId="2AA87741" w:rsidR="009A7AB4" w:rsidRPr="009A7AB4" w:rsidRDefault="009A7AB4" w:rsidP="009A7AB4">
      <w:pPr>
        <w:pStyle w:val="EndNoteBibliography"/>
        <w:spacing w:after="0"/>
        <w:ind w:left="720" w:hanging="720"/>
      </w:pPr>
      <w:bookmarkStart w:id="752" w:name="_ENREF_80"/>
      <w:r w:rsidRPr="009A7AB4">
        <w:t xml:space="preserve">Kilminster, K., McMahon, K., Waycott, M., Kendrick, G.A., Scanes, P., McKenzie, L., O'Brien, K.R., Lyons, M., Ferguson, A., Maxwell, P., Glasby, T., Udy, J. 2015, Unravelling complexity in seagrass systems for management: Australia as a microcosm. </w:t>
      </w:r>
      <w:r w:rsidRPr="009A7AB4">
        <w:rPr>
          <w:i/>
        </w:rPr>
        <w:t xml:space="preserve">Science of The Total Environment, </w:t>
      </w:r>
      <w:r w:rsidRPr="009A7AB4">
        <w:t xml:space="preserve">534: 97-109. doi: </w:t>
      </w:r>
      <w:hyperlink r:id="rId164" w:history="1">
        <w:r w:rsidRPr="009A7AB4">
          <w:rPr>
            <w:rStyle w:val="Hyperlink"/>
          </w:rPr>
          <w:t>http://dx.doi.org/10.1016/j.scitotenv.2015.04.061</w:t>
        </w:r>
        <w:bookmarkEnd w:id="752"/>
      </w:hyperlink>
    </w:p>
    <w:p w14:paraId="0C08F390" w14:textId="77777777" w:rsidR="009A7AB4" w:rsidRPr="009A7AB4" w:rsidRDefault="009A7AB4" w:rsidP="009A7AB4">
      <w:pPr>
        <w:pStyle w:val="EndNoteBibliography"/>
        <w:spacing w:after="0"/>
        <w:ind w:left="720" w:hanging="720"/>
      </w:pPr>
      <w:bookmarkStart w:id="753" w:name="_ENREF_81"/>
      <w:r w:rsidRPr="009A7AB4">
        <w:t xml:space="preserve">Koch, E.M. 2001, Beyond light: Physical, geological, and geochemical parameters as possible submersed aquatic vegetation habitat requirements. </w:t>
      </w:r>
      <w:r w:rsidRPr="009A7AB4">
        <w:rPr>
          <w:i/>
        </w:rPr>
        <w:t xml:space="preserve">Estuaries, </w:t>
      </w:r>
      <w:r w:rsidRPr="009A7AB4">
        <w:t xml:space="preserve">24(1): 1-17. </w:t>
      </w:r>
      <w:bookmarkEnd w:id="753"/>
    </w:p>
    <w:p w14:paraId="7EF63E9F" w14:textId="77777777" w:rsidR="009A7AB4" w:rsidRPr="009A7AB4" w:rsidRDefault="009A7AB4" w:rsidP="009A7AB4">
      <w:pPr>
        <w:pStyle w:val="EndNoteBibliography"/>
        <w:spacing w:after="0"/>
        <w:ind w:left="720" w:hanging="720"/>
      </w:pPr>
      <w:bookmarkStart w:id="754" w:name="_ENREF_82"/>
      <w:r w:rsidRPr="009A7AB4">
        <w:t xml:space="preserve">Ku, H.H. 1966, Notes on the use of propagation of error formulas. </w:t>
      </w:r>
      <w:r w:rsidRPr="009A7AB4">
        <w:rPr>
          <w:i/>
        </w:rPr>
        <w:t xml:space="preserve">Journal of Research of the National Bureau of Standards. Section C: Engineering and Instrumentation, </w:t>
      </w:r>
      <w:r w:rsidRPr="009A7AB4">
        <w:t>70C(4): 263-273. doi: citeulike-article-id:11657425</w:t>
      </w:r>
      <w:bookmarkEnd w:id="754"/>
    </w:p>
    <w:p w14:paraId="6778D11C" w14:textId="77777777" w:rsidR="009A7AB4" w:rsidRPr="009A7AB4" w:rsidRDefault="009A7AB4" w:rsidP="009A7AB4">
      <w:pPr>
        <w:pStyle w:val="EndNoteBibliography"/>
        <w:spacing w:after="0"/>
        <w:ind w:left="720" w:hanging="720"/>
      </w:pPr>
      <w:bookmarkStart w:id="755" w:name="_ENREF_83"/>
      <w:r w:rsidRPr="009A7AB4">
        <w:t xml:space="preserve">Kuhnert, P.M., Liu, Y., Henderson, B.L., Dambacher, J., Lawrence, E., Kroon, F.J. 2014, </w:t>
      </w:r>
      <w:r w:rsidRPr="009A7AB4">
        <w:rPr>
          <w:i/>
        </w:rPr>
        <w:t>Review of the Marine Monitoring Program (MMP), Final Report for the Great Barrier Reef Marine Park Authority (GBRMPA)</w:t>
      </w:r>
      <w:r w:rsidRPr="009A7AB4">
        <w:t>. Adelaide: CSIRO.</w:t>
      </w:r>
      <w:bookmarkEnd w:id="755"/>
    </w:p>
    <w:p w14:paraId="3351FA64" w14:textId="77777777" w:rsidR="009A7AB4" w:rsidRPr="009A7AB4" w:rsidRDefault="009A7AB4" w:rsidP="009A7AB4">
      <w:pPr>
        <w:pStyle w:val="EndNoteBibliography"/>
        <w:spacing w:after="0"/>
        <w:ind w:left="720" w:hanging="720"/>
      </w:pPr>
      <w:bookmarkStart w:id="756" w:name="_ENREF_84"/>
      <w:r w:rsidRPr="009A7AB4">
        <w:lastRenderedPageBreak/>
        <w:t xml:space="preserve">Lajtha, K. and Marshall, J. 1994, Sources of variation in the stable isotope composition of plants. In K Lajtha &amp; R Michener (Eds.), </w:t>
      </w:r>
      <w:r w:rsidRPr="009A7AB4">
        <w:rPr>
          <w:i/>
        </w:rPr>
        <w:t>Stable Isotopes in Ecology and Environmental Sciences</w:t>
      </w:r>
      <w:r w:rsidRPr="009A7AB4">
        <w:t xml:space="preserve"> (pp. 1–21). Oxford: Blackwell Scientific Publications.</w:t>
      </w:r>
      <w:bookmarkEnd w:id="756"/>
    </w:p>
    <w:p w14:paraId="4520F073" w14:textId="77777777" w:rsidR="009A7AB4" w:rsidRPr="009A7AB4" w:rsidRDefault="009A7AB4" w:rsidP="009A7AB4">
      <w:pPr>
        <w:pStyle w:val="EndNoteBibliography"/>
        <w:spacing w:after="0"/>
        <w:ind w:left="720" w:hanging="720"/>
      </w:pPr>
      <w:bookmarkStart w:id="757" w:name="_ENREF_85"/>
      <w:r w:rsidRPr="009A7AB4">
        <w:t xml:space="preserve">Lamb, J.B., van de Water, J.A.J.M., Bourne, D.G., Altier, C., Hein, M.Y., Fiorenza, E.A., Abu, N., Jompa, J., Harvell, C.D. 2017, Seagrass ecosystems reduce exposure to bacterial pathogens of humans, fishes, and invertebrates. </w:t>
      </w:r>
      <w:r w:rsidRPr="009A7AB4">
        <w:rPr>
          <w:i/>
        </w:rPr>
        <w:t xml:space="preserve">Science, </w:t>
      </w:r>
      <w:r w:rsidRPr="009A7AB4">
        <w:t>355(6326): 731-733. doi: 10.1126/science.aal1956</w:t>
      </w:r>
      <w:bookmarkEnd w:id="757"/>
    </w:p>
    <w:p w14:paraId="1395D793" w14:textId="77777777" w:rsidR="009A7AB4" w:rsidRPr="009A7AB4" w:rsidRDefault="009A7AB4" w:rsidP="009A7AB4">
      <w:pPr>
        <w:pStyle w:val="EndNoteBibliography"/>
        <w:spacing w:after="0"/>
        <w:ind w:left="720" w:hanging="720"/>
      </w:pPr>
      <w:bookmarkStart w:id="758" w:name="_ENREF_86"/>
      <w:r w:rsidRPr="009A7AB4">
        <w:t xml:space="preserve">Larcombe, P., Ridd, P.V., Prytz, A., Wilson, B. 1995, Factors controlling suspended sediment on inner-shelf coral reefs, Townsville, Australia. </w:t>
      </w:r>
      <w:r w:rsidRPr="009A7AB4">
        <w:rPr>
          <w:i/>
        </w:rPr>
        <w:t xml:space="preserve">Coral Reefs, </w:t>
      </w:r>
      <w:r w:rsidRPr="009A7AB4">
        <w:t>14(3): 163-171. doi: 10.1007/bf00367235</w:t>
      </w:r>
      <w:bookmarkEnd w:id="758"/>
    </w:p>
    <w:p w14:paraId="00A3EB71" w14:textId="77777777" w:rsidR="009A7AB4" w:rsidRPr="009A7AB4" w:rsidRDefault="009A7AB4" w:rsidP="009A7AB4">
      <w:pPr>
        <w:pStyle w:val="EndNoteBibliography"/>
        <w:spacing w:after="0"/>
        <w:ind w:left="720" w:hanging="720"/>
      </w:pPr>
      <w:bookmarkStart w:id="759" w:name="_ENREF_87"/>
      <w:r w:rsidRPr="009A7AB4">
        <w:t xml:space="preserve">Lawrence, E. 2019, </w:t>
      </w:r>
      <w:r w:rsidRPr="009A7AB4">
        <w:rPr>
          <w:i/>
        </w:rPr>
        <w:t>Modelling the environmental drivers and abundance of seagrass communities in Cleveland Bay</w:t>
      </w:r>
      <w:r w:rsidRPr="009A7AB4">
        <w:t>. Townsville: Great Barrier Reef Marine Park Authority.</w:t>
      </w:r>
      <w:bookmarkEnd w:id="759"/>
    </w:p>
    <w:p w14:paraId="325623BC" w14:textId="77777777" w:rsidR="009A7AB4" w:rsidRPr="009A7AB4" w:rsidRDefault="009A7AB4" w:rsidP="009A7AB4">
      <w:pPr>
        <w:pStyle w:val="EndNoteBibliography"/>
        <w:spacing w:after="0"/>
        <w:ind w:left="720" w:hanging="720"/>
      </w:pPr>
      <w:bookmarkStart w:id="760" w:name="_ENREF_88"/>
      <w:r w:rsidRPr="009A7AB4">
        <w:t xml:space="preserve">Lee Long, W.J., Coles, R.G., McKenzie, L.J. 1999, Issues for Seagrass conservation management in Queensland. </w:t>
      </w:r>
      <w:r w:rsidRPr="009A7AB4">
        <w:rPr>
          <w:i/>
        </w:rPr>
        <w:t xml:space="preserve">Pacific Conservation Biology, </w:t>
      </w:r>
      <w:r w:rsidRPr="009A7AB4">
        <w:t xml:space="preserve">5(4): 321-328. </w:t>
      </w:r>
      <w:bookmarkEnd w:id="760"/>
    </w:p>
    <w:p w14:paraId="2A880AC6" w14:textId="77777777" w:rsidR="009A7AB4" w:rsidRPr="009A7AB4" w:rsidRDefault="009A7AB4" w:rsidP="009A7AB4">
      <w:pPr>
        <w:pStyle w:val="EndNoteBibliography"/>
        <w:spacing w:after="0"/>
        <w:ind w:left="720" w:hanging="720"/>
      </w:pPr>
      <w:bookmarkStart w:id="761" w:name="_ENREF_89"/>
      <w:r w:rsidRPr="009A7AB4">
        <w:t xml:space="preserve">Lee Long, W.J., McKenzie, L.J., Coles, R.G. 1997, Seagrass Communities in the Shoalwater Bay Region, Queensland; Spring (September) 1995 &amp; Autumn (April) 1996. [Information Series]. </w:t>
      </w:r>
      <w:r w:rsidRPr="009A7AB4">
        <w:rPr>
          <w:i/>
        </w:rPr>
        <w:t>Queensland Department of Primary Industries Information Series QI96042</w:t>
      </w:r>
      <w:r w:rsidRPr="009A7AB4">
        <w:t xml:space="preserve">, 38. </w:t>
      </w:r>
      <w:bookmarkEnd w:id="761"/>
    </w:p>
    <w:p w14:paraId="133C05DD" w14:textId="77777777" w:rsidR="009A7AB4" w:rsidRPr="009A7AB4" w:rsidRDefault="009A7AB4" w:rsidP="009A7AB4">
      <w:pPr>
        <w:pStyle w:val="EndNoteBibliography"/>
        <w:spacing w:after="0"/>
        <w:ind w:left="720" w:hanging="720"/>
      </w:pPr>
      <w:bookmarkStart w:id="762" w:name="_ENREF_90"/>
      <w:r w:rsidRPr="009A7AB4">
        <w:t xml:space="preserve">Lee Long, W.J., McKenzie, L.J., Roelofs, A.J., Makey, L.J., Coles, R.G., C.A., R. 1998, Baseline Survey of Hinchinbrook Region Seagrasses - October (Spring) 1996. Research publication No. 51. 26. </w:t>
      </w:r>
      <w:bookmarkEnd w:id="762"/>
    </w:p>
    <w:p w14:paraId="56AF7B33" w14:textId="77777777" w:rsidR="009A7AB4" w:rsidRPr="009A7AB4" w:rsidRDefault="009A7AB4" w:rsidP="009A7AB4">
      <w:pPr>
        <w:pStyle w:val="EndNoteBibliography"/>
        <w:spacing w:after="0"/>
        <w:ind w:left="720" w:hanging="720"/>
      </w:pPr>
      <w:bookmarkStart w:id="763" w:name="_ENREF_91"/>
      <w:r w:rsidRPr="009A7AB4">
        <w:t xml:space="preserve">Lee Long, W.J., Mellors, J.E., Coles, R.G. 1993, Seagrasses between Cape York and Hervey Bay, Queensland, Australia. </w:t>
      </w:r>
      <w:r w:rsidRPr="009A7AB4">
        <w:rPr>
          <w:i/>
        </w:rPr>
        <w:t xml:space="preserve">Australian Journal of Marine and Freshwater Research, </w:t>
      </w:r>
      <w:r w:rsidRPr="009A7AB4">
        <w:t xml:space="preserve">44: 19-32. </w:t>
      </w:r>
      <w:bookmarkEnd w:id="763"/>
    </w:p>
    <w:p w14:paraId="341E6EC6" w14:textId="77777777" w:rsidR="009A7AB4" w:rsidRPr="009A7AB4" w:rsidRDefault="009A7AB4" w:rsidP="009A7AB4">
      <w:pPr>
        <w:pStyle w:val="EndNoteBibliography"/>
        <w:spacing w:after="0"/>
        <w:ind w:left="720" w:hanging="720"/>
      </w:pPr>
      <w:bookmarkStart w:id="764" w:name="_ENREF_92"/>
      <w:r w:rsidRPr="009A7AB4">
        <w:t xml:space="preserve">Limpus, C.J., Limpus, D.J., Arthur, K.E., Parmenter, C.J. 2005, </w:t>
      </w:r>
      <w:r w:rsidRPr="009A7AB4">
        <w:rPr>
          <w:i/>
        </w:rPr>
        <w:t xml:space="preserve">Monitoring Green Turtle Population Dynamics in Shoalwater Bay:2000 - 2004. GBRMPA Research Publication No 83 </w:t>
      </w:r>
      <w:r w:rsidRPr="009A7AB4">
        <w:t>Townsville: Great Barrier Reef Marine Park Authority.</w:t>
      </w:r>
      <w:bookmarkEnd w:id="764"/>
    </w:p>
    <w:p w14:paraId="5C1A5FF6" w14:textId="77777777" w:rsidR="009A7AB4" w:rsidRPr="009A7AB4" w:rsidRDefault="009A7AB4" w:rsidP="009A7AB4">
      <w:pPr>
        <w:pStyle w:val="EndNoteBibliography"/>
        <w:spacing w:after="0"/>
        <w:ind w:left="720" w:hanging="720"/>
      </w:pPr>
      <w:bookmarkStart w:id="765" w:name="_ENREF_93"/>
      <w:r w:rsidRPr="009A7AB4">
        <w:t xml:space="preserve">Lobb, K.F. (2006). </w:t>
      </w:r>
      <w:r w:rsidRPr="009A7AB4">
        <w:rPr>
          <w:i/>
        </w:rPr>
        <w:t>Broad scale coastal nutrient assessment of the inshore Great Barrier Reef using carbon and nitrogen in marine plants and sediments.</w:t>
      </w:r>
      <w:r w:rsidRPr="009A7AB4">
        <w:t xml:space="preserve"> Bachelor of Science with Honours, The University of Queensland, Brisbane.   </w:t>
      </w:r>
      <w:bookmarkEnd w:id="765"/>
    </w:p>
    <w:p w14:paraId="2B51A2B7" w14:textId="77777777" w:rsidR="009A7AB4" w:rsidRPr="009A7AB4" w:rsidRDefault="009A7AB4" w:rsidP="009A7AB4">
      <w:pPr>
        <w:pStyle w:val="EndNoteBibliography"/>
        <w:spacing w:after="0"/>
        <w:ind w:left="720" w:hanging="720"/>
      </w:pPr>
      <w:bookmarkStart w:id="766" w:name="_ENREF_94"/>
      <w:r w:rsidRPr="009A7AB4">
        <w:lastRenderedPageBreak/>
        <w:t xml:space="preserve">Macreadie, P.I., Serrano, O., Maher, D.T., Duarte, C.M., Beardall, J. 2017, Addressing calcium carbonate cycling in blue carbon accounting. </w:t>
      </w:r>
      <w:r w:rsidRPr="009A7AB4">
        <w:rPr>
          <w:i/>
        </w:rPr>
        <w:t xml:space="preserve">Limnology and Oceanography Letters, </w:t>
      </w:r>
      <w:r w:rsidRPr="009A7AB4">
        <w:t>2(6): 195-201. doi: doi:10.1002/lol2.10052</w:t>
      </w:r>
      <w:bookmarkEnd w:id="766"/>
    </w:p>
    <w:p w14:paraId="16277A1D" w14:textId="77777777" w:rsidR="009A7AB4" w:rsidRPr="009A7AB4" w:rsidRDefault="009A7AB4" w:rsidP="009A7AB4">
      <w:pPr>
        <w:pStyle w:val="EndNoteBibliography"/>
        <w:spacing w:after="0"/>
        <w:ind w:left="720" w:hanging="720"/>
      </w:pPr>
      <w:bookmarkStart w:id="767" w:name="_ENREF_95"/>
      <w:r w:rsidRPr="009A7AB4">
        <w:t xml:space="preserve">Marsh, H., O'Shea, T.J., Reynolds III, J. 2011, </w:t>
      </w:r>
      <w:r w:rsidRPr="009A7AB4">
        <w:rPr>
          <w:i/>
        </w:rPr>
        <w:t>Ecology and conservation of the sirenia: dugongs and manatees</w:t>
      </w:r>
      <w:r w:rsidRPr="009A7AB4">
        <w:t>. New York: Cambridge University Press.</w:t>
      </w:r>
      <w:bookmarkEnd w:id="767"/>
    </w:p>
    <w:p w14:paraId="18AAB716" w14:textId="77777777" w:rsidR="009A7AB4" w:rsidRPr="009A7AB4" w:rsidRDefault="009A7AB4" w:rsidP="009A7AB4">
      <w:pPr>
        <w:pStyle w:val="EndNoteBibliography"/>
        <w:spacing w:after="0"/>
        <w:ind w:left="720" w:hanging="720"/>
      </w:pPr>
      <w:bookmarkStart w:id="768" w:name="_ENREF_96"/>
      <w:r w:rsidRPr="009A7AB4">
        <w:t xml:space="preserve">Maxwell, W.G.H. 1968, </w:t>
      </w:r>
      <w:r w:rsidRPr="009A7AB4">
        <w:rPr>
          <w:i/>
        </w:rPr>
        <w:t>Atlas of the Great Barrier Reef</w:t>
      </w:r>
      <w:r w:rsidRPr="009A7AB4">
        <w:t>. Amsterdam: Elsevier Publishing Company.</w:t>
      </w:r>
      <w:bookmarkEnd w:id="768"/>
    </w:p>
    <w:p w14:paraId="08DB4E44" w14:textId="77777777" w:rsidR="009A7AB4" w:rsidRPr="009A7AB4" w:rsidRDefault="009A7AB4" w:rsidP="009A7AB4">
      <w:pPr>
        <w:pStyle w:val="EndNoteBibliography"/>
        <w:spacing w:after="0"/>
        <w:ind w:left="720" w:hanging="720"/>
      </w:pPr>
      <w:bookmarkStart w:id="769" w:name="_ENREF_97"/>
      <w:r w:rsidRPr="009A7AB4">
        <w:t xml:space="preserve">McCulloch, M., Pailles, C., Moody, P., Martin, C.E. 2003, Tracing the source of sediment and phosphorus into the Great Barrier Reef lagoon. </w:t>
      </w:r>
      <w:r w:rsidRPr="009A7AB4">
        <w:rPr>
          <w:i/>
        </w:rPr>
        <w:t xml:space="preserve">Earth and Planetary Science Letters, </w:t>
      </w:r>
      <w:r w:rsidRPr="009A7AB4">
        <w:t xml:space="preserve">210: 249-258. </w:t>
      </w:r>
      <w:bookmarkEnd w:id="769"/>
    </w:p>
    <w:p w14:paraId="69642CF7" w14:textId="77777777" w:rsidR="009A7AB4" w:rsidRPr="009A7AB4" w:rsidRDefault="009A7AB4" w:rsidP="009A7AB4">
      <w:pPr>
        <w:pStyle w:val="EndNoteBibliography"/>
        <w:spacing w:after="0"/>
        <w:ind w:left="720" w:hanging="720"/>
      </w:pPr>
      <w:bookmarkStart w:id="770" w:name="_ENREF_98"/>
      <w:r w:rsidRPr="009A7AB4">
        <w:t xml:space="preserve">McKenzie, L.J. 2007, </w:t>
      </w:r>
      <w:r w:rsidRPr="009A7AB4">
        <w:rPr>
          <w:i/>
        </w:rPr>
        <w:t>Relationships between seagrass communities and sediment properties along the Queensland coast. Progress report to the Marine and Tropical Sciences Research Facility</w:t>
      </w:r>
      <w:r w:rsidRPr="009A7AB4">
        <w:t>. Cairns Reef and Rainforest Research Centre Ltd.</w:t>
      </w:r>
      <w:bookmarkEnd w:id="770"/>
    </w:p>
    <w:p w14:paraId="0DDD01D6" w14:textId="1BF3B0F6" w:rsidR="009A7AB4" w:rsidRPr="009A7AB4" w:rsidRDefault="009A7AB4" w:rsidP="009A7AB4">
      <w:pPr>
        <w:pStyle w:val="EndNoteBibliography"/>
        <w:spacing w:after="0"/>
        <w:ind w:left="720" w:hanging="720"/>
      </w:pPr>
      <w:bookmarkStart w:id="771" w:name="_ENREF_99"/>
      <w:r w:rsidRPr="009A7AB4">
        <w:t xml:space="preserve">McKenzie, L.J. 2009, Observing change in seagrass habitats of the GBR– Seagrass-Watch monitoring: Deriving seagrass abundance indicators for regional habitat guidelines,. In LJ McKenzie &amp; M Waycott (Eds.), </w:t>
      </w:r>
      <w:r w:rsidRPr="009A7AB4">
        <w:rPr>
          <w:i/>
        </w:rPr>
        <w:t xml:space="preserve">Marine and Tropical Sciences Research Facility Milestone and Progress Report #3, 2008-2009 (ARP 3) Project 1.1.3 Report 3, 11th June 2000.  </w:t>
      </w:r>
      <w:hyperlink r:id="rId165" w:history="1">
        <w:r w:rsidRPr="009A7AB4">
          <w:rPr>
            <w:rStyle w:val="Hyperlink"/>
            <w:i/>
          </w:rPr>
          <w:t>http://rrrc.org.au/wp-content/uploads/2014/06/113-QDPIF-McKenzie-L-2009-June-Milestone-Report.pdf</w:t>
        </w:r>
      </w:hyperlink>
      <w:r w:rsidRPr="009A7AB4">
        <w:rPr>
          <w:i/>
        </w:rPr>
        <w:t xml:space="preserve"> accessed 23 February 2017.</w:t>
      </w:r>
      <w:r w:rsidRPr="009A7AB4">
        <w:t xml:space="preserve"> (pp. 7-1). Cairns: RRRC.</w:t>
      </w:r>
      <w:bookmarkEnd w:id="771"/>
    </w:p>
    <w:p w14:paraId="4194C8C6" w14:textId="77777777" w:rsidR="009A7AB4" w:rsidRPr="009A7AB4" w:rsidRDefault="009A7AB4" w:rsidP="009A7AB4">
      <w:pPr>
        <w:pStyle w:val="EndNoteBibliography"/>
        <w:spacing w:after="0"/>
        <w:ind w:left="720" w:hanging="720"/>
      </w:pPr>
      <w:bookmarkStart w:id="772" w:name="_ENREF_100"/>
      <w:r w:rsidRPr="009A7AB4">
        <w:t xml:space="preserve">McKenzie, L.J. and Campbell, S.J. 2002, </w:t>
      </w:r>
      <w:r w:rsidRPr="009A7AB4">
        <w:rPr>
          <w:i/>
        </w:rPr>
        <w:t>Seagrass resources of the Booral Wetlands and the Great Sandy Strait: February/March 2002. DPI Information Series QI03016.</w:t>
      </w:r>
      <w:r w:rsidRPr="009A7AB4">
        <w:t xml:space="preserve"> Cairns: The State of Queensland, Department of Primary Industries.</w:t>
      </w:r>
      <w:bookmarkEnd w:id="772"/>
    </w:p>
    <w:p w14:paraId="1C792D9F" w14:textId="77777777" w:rsidR="009A7AB4" w:rsidRPr="009A7AB4" w:rsidRDefault="009A7AB4" w:rsidP="009A7AB4">
      <w:pPr>
        <w:pStyle w:val="EndNoteBibliography"/>
        <w:spacing w:after="0"/>
        <w:ind w:left="720" w:hanging="720"/>
      </w:pPr>
      <w:bookmarkStart w:id="773" w:name="_ENREF_101"/>
      <w:r w:rsidRPr="009A7AB4">
        <w:t xml:space="preserve">McKenzie, L.J., Campbell, S.J., Roder, C.A. 2003, </w:t>
      </w:r>
      <w:r w:rsidRPr="009A7AB4">
        <w:rPr>
          <w:i/>
        </w:rPr>
        <w:t>Seagrass-Watch: Manual for Mapping &amp; Monitoring Seagrass Resources</w:t>
      </w:r>
      <w:r w:rsidRPr="009A7AB4">
        <w:t xml:space="preserve"> (2nd ed.). Cairns: QFS, NFC.</w:t>
      </w:r>
      <w:bookmarkEnd w:id="773"/>
    </w:p>
    <w:p w14:paraId="1B0A211D" w14:textId="77777777" w:rsidR="009A7AB4" w:rsidRPr="009A7AB4" w:rsidRDefault="009A7AB4" w:rsidP="009A7AB4">
      <w:pPr>
        <w:pStyle w:val="EndNoteBibliography"/>
        <w:spacing w:after="0"/>
        <w:ind w:left="720" w:hanging="720"/>
      </w:pPr>
      <w:bookmarkStart w:id="774" w:name="_ENREF_102"/>
      <w:r w:rsidRPr="009A7AB4">
        <w:t xml:space="preserve">McKenzie, L.J., Collier, C., Waycott, M. 2014a, Reef Rescue Marine Monitoring Program - Inshore Seagrass, Annual Report for the sampling period 1st July 2011 – 31st May 2012. 176. </w:t>
      </w:r>
      <w:bookmarkEnd w:id="774"/>
    </w:p>
    <w:p w14:paraId="50AFF7B6" w14:textId="77777777" w:rsidR="009A7AB4" w:rsidRPr="009A7AB4" w:rsidRDefault="009A7AB4" w:rsidP="009A7AB4">
      <w:pPr>
        <w:pStyle w:val="EndNoteBibliography"/>
        <w:spacing w:after="0"/>
        <w:ind w:left="720" w:hanging="720"/>
      </w:pPr>
      <w:bookmarkStart w:id="775" w:name="_ENREF_103"/>
      <w:r w:rsidRPr="009A7AB4">
        <w:t xml:space="preserve">McKenzie, L.J., Collier, C.J., Waycott, M. 2012, Reef Rescue Marine Monitoring Program: Inshore seagrass, annual report for the sampling period 1st September 2010-31st May 2011. 230pp. </w:t>
      </w:r>
      <w:bookmarkEnd w:id="775"/>
    </w:p>
    <w:p w14:paraId="38FCDCD7" w14:textId="77777777" w:rsidR="009A7AB4" w:rsidRPr="009A7AB4" w:rsidRDefault="009A7AB4" w:rsidP="009A7AB4">
      <w:pPr>
        <w:pStyle w:val="EndNoteBibliography"/>
        <w:spacing w:after="0"/>
        <w:ind w:left="720" w:hanging="720"/>
      </w:pPr>
      <w:bookmarkStart w:id="776" w:name="_ENREF_104"/>
      <w:r w:rsidRPr="009A7AB4">
        <w:lastRenderedPageBreak/>
        <w:t xml:space="preserve">McKenzie, L.J., Finkbeiner, M.A., Kirkman, H. 2001, Methods for mapping seagrass distribution. In FT Short &amp; RG Coles (Eds.), </w:t>
      </w:r>
      <w:r w:rsidRPr="009A7AB4">
        <w:rPr>
          <w:i/>
        </w:rPr>
        <w:t>Global Seagrass Research Methods</w:t>
      </w:r>
      <w:r w:rsidRPr="009A7AB4">
        <w:t xml:space="preserve"> (pp. 101-121). Amsterdam: Elsevier Science B.V.</w:t>
      </w:r>
      <w:bookmarkEnd w:id="776"/>
    </w:p>
    <w:p w14:paraId="0720EDB2" w14:textId="77777777" w:rsidR="009A7AB4" w:rsidRPr="009A7AB4" w:rsidRDefault="009A7AB4" w:rsidP="009A7AB4">
      <w:pPr>
        <w:pStyle w:val="EndNoteBibliography"/>
        <w:spacing w:after="0"/>
        <w:ind w:left="720" w:hanging="720"/>
      </w:pPr>
      <w:bookmarkStart w:id="777" w:name="_ENREF_105"/>
      <w:r w:rsidRPr="009A7AB4">
        <w:t xml:space="preserve">McKenzie, L.J., Lee Long, W.J., Roelofs, A., Roder, C.A., Coles, R. 1998, </w:t>
      </w:r>
      <w:r w:rsidRPr="009A7AB4">
        <w:rPr>
          <w:i/>
        </w:rPr>
        <w:t>Port of Mourilyan seagrass monitoring - first four years. EcoPorts Monograph Series No. 15.</w:t>
      </w:r>
      <w:r w:rsidRPr="009A7AB4">
        <w:t xml:space="preserve"> Brisbane: Ports Corporation of Queensland.</w:t>
      </w:r>
      <w:bookmarkEnd w:id="777"/>
    </w:p>
    <w:p w14:paraId="080C8C27" w14:textId="77777777" w:rsidR="009A7AB4" w:rsidRPr="009A7AB4" w:rsidRDefault="009A7AB4" w:rsidP="009A7AB4">
      <w:pPr>
        <w:pStyle w:val="EndNoteBibliography"/>
        <w:spacing w:after="0"/>
        <w:ind w:left="720" w:hanging="720"/>
      </w:pPr>
      <w:bookmarkStart w:id="778" w:name="_ENREF_106"/>
      <w:r w:rsidRPr="009A7AB4">
        <w:t xml:space="preserve">McKenzie, L.J., Roder, C.A., Roelofs, A.J., Lee Long, W.J. 2000, Post-flood monitoring of seagrasses in Hervey Bay and the Great Sandy Strait, 1999: Implications for dugong, turtle and fisheries management. [DPI Information Series]. </w:t>
      </w:r>
      <w:r w:rsidRPr="009A7AB4">
        <w:rPr>
          <w:i/>
        </w:rPr>
        <w:t>Department of Primary Industries Information Series QI00059</w:t>
      </w:r>
      <w:r w:rsidRPr="009A7AB4">
        <w:t xml:space="preserve">, 46. </w:t>
      </w:r>
      <w:bookmarkEnd w:id="778"/>
    </w:p>
    <w:p w14:paraId="3A8FB774" w14:textId="77777777" w:rsidR="009A7AB4" w:rsidRPr="009A7AB4" w:rsidRDefault="009A7AB4" w:rsidP="009A7AB4">
      <w:pPr>
        <w:pStyle w:val="EndNoteBibliography"/>
        <w:spacing w:after="0"/>
        <w:ind w:left="720" w:hanging="720"/>
      </w:pPr>
      <w:bookmarkStart w:id="779" w:name="_ENREF_107"/>
      <w:r w:rsidRPr="009A7AB4">
        <w:t xml:space="preserve">McKenzie, L.J., Roder, C.A., Yoshida, R.L. 2016, Seagrass and associated benthic community data derived from field surveys at Low Isles, Great Barrier Reef, conducted July-August, 1997. </w:t>
      </w:r>
      <w:r w:rsidRPr="009A7AB4">
        <w:rPr>
          <w:i/>
        </w:rPr>
        <w:t>PANGAEA</w:t>
      </w:r>
      <w:r w:rsidRPr="009A7AB4">
        <w:t>: doi:10.1594/PANGAEA.858945. doi: 10.1594/PANGAEA.858945</w:t>
      </w:r>
      <w:bookmarkEnd w:id="779"/>
    </w:p>
    <w:p w14:paraId="0FD40F11" w14:textId="77777777" w:rsidR="009A7AB4" w:rsidRPr="009A7AB4" w:rsidRDefault="009A7AB4" w:rsidP="009A7AB4">
      <w:pPr>
        <w:pStyle w:val="EndNoteBibliography"/>
        <w:spacing w:after="0"/>
        <w:ind w:left="720" w:hanging="720"/>
      </w:pPr>
      <w:bookmarkStart w:id="780" w:name="_ENREF_108"/>
      <w:r w:rsidRPr="009A7AB4">
        <w:t>McKenzie, L.J. and Unsworth, R.K.F. (2009). [Reef Rescue Marine Monitoring Program: Intertidal Seagrass, Final Report 2008/2009].</w:t>
      </w:r>
      <w:bookmarkEnd w:id="780"/>
    </w:p>
    <w:p w14:paraId="6040867A" w14:textId="77777777" w:rsidR="009A7AB4" w:rsidRPr="009A7AB4" w:rsidRDefault="009A7AB4" w:rsidP="009A7AB4">
      <w:pPr>
        <w:pStyle w:val="EndNoteBibliography"/>
        <w:spacing w:after="0"/>
        <w:ind w:left="720" w:hanging="720"/>
      </w:pPr>
      <w:bookmarkStart w:id="781" w:name="_ENREF_109"/>
      <w:r w:rsidRPr="009A7AB4">
        <w:t xml:space="preserve">McKenzie, L.J., Unsworth, R.K.F., Waycott, M. 2010a, Reef Rescue Marine Monitoring Program: Intertidal Seagrass, Annual Report for the sampling period 1st September 2009 – 31st May 2010. 136. </w:t>
      </w:r>
      <w:bookmarkEnd w:id="781"/>
    </w:p>
    <w:p w14:paraId="0AFE6E3C" w14:textId="77777777" w:rsidR="009A7AB4" w:rsidRPr="009A7AB4" w:rsidRDefault="009A7AB4" w:rsidP="009A7AB4">
      <w:pPr>
        <w:pStyle w:val="EndNoteBibliography"/>
        <w:spacing w:after="0"/>
        <w:ind w:left="720" w:hanging="720"/>
      </w:pPr>
      <w:bookmarkStart w:id="782" w:name="_ENREF_110"/>
      <w:r w:rsidRPr="009A7AB4">
        <w:t xml:space="preserve">McKenzie, L.J., Waycott, M., Unsworth Richard, K.F., Collier, C. 2018, Inshore seagrass monitoring </w:t>
      </w:r>
      <w:r w:rsidRPr="009A7AB4">
        <w:rPr>
          <w:i/>
        </w:rPr>
        <w:t>Marine Monitoring Program quality assurance and quality control manual 2016/17</w:t>
      </w:r>
      <w:r w:rsidRPr="009A7AB4">
        <w:t xml:space="preserve"> (pp. 78-95). Townsville: Great Barrier Reef Marine Park Authority </w:t>
      </w:r>
      <w:bookmarkEnd w:id="782"/>
    </w:p>
    <w:p w14:paraId="0F64C092" w14:textId="77777777" w:rsidR="009A7AB4" w:rsidRPr="009A7AB4" w:rsidRDefault="009A7AB4" w:rsidP="009A7AB4">
      <w:pPr>
        <w:pStyle w:val="EndNoteBibliography"/>
        <w:spacing w:after="0"/>
        <w:ind w:left="720" w:hanging="720"/>
      </w:pPr>
      <w:bookmarkStart w:id="783" w:name="_ENREF_111"/>
      <w:r w:rsidRPr="009A7AB4">
        <w:t xml:space="preserve">McKenzie, L.J., Waycott, M., Unsworth Richard, K.F., Collier, C. 2019, Inshore seagrass monitoring. In Great Barrier Reef Marine Park Authority (Ed.), </w:t>
      </w:r>
      <w:r w:rsidRPr="009A7AB4">
        <w:rPr>
          <w:i/>
        </w:rPr>
        <w:t>Marine Monitoring Program quality assurance and quality control manual 2017–2018</w:t>
      </w:r>
      <w:r w:rsidRPr="009A7AB4">
        <w:t xml:space="preserve"> (pp. 73-98). Townsville: Great Barrier Reef Marine Park Authority </w:t>
      </w:r>
      <w:bookmarkEnd w:id="783"/>
    </w:p>
    <w:p w14:paraId="68DFF622" w14:textId="77777777" w:rsidR="009A7AB4" w:rsidRPr="009A7AB4" w:rsidRDefault="009A7AB4" w:rsidP="009A7AB4">
      <w:pPr>
        <w:pStyle w:val="EndNoteBibliography"/>
        <w:spacing w:after="0"/>
        <w:ind w:left="720" w:hanging="720"/>
      </w:pPr>
      <w:bookmarkStart w:id="784" w:name="_ENREF_112"/>
      <w:r w:rsidRPr="009A7AB4">
        <w:t xml:space="preserve">McKenzie, L.J., Yoshida, R.L., Grech, A., Coles, R. 2010b, </w:t>
      </w:r>
      <w:r w:rsidRPr="009A7AB4">
        <w:rPr>
          <w:i/>
        </w:rPr>
        <w:t>Queensland seagrasses. Status 2010 - Torres Strait and East Coast</w:t>
      </w:r>
      <w:r w:rsidRPr="009A7AB4">
        <w:t>. Cairns: Fisheries Queensland (DEEDI).</w:t>
      </w:r>
      <w:bookmarkEnd w:id="784"/>
    </w:p>
    <w:p w14:paraId="10D82385" w14:textId="6ED8979E" w:rsidR="009A7AB4" w:rsidRPr="009A7AB4" w:rsidRDefault="009A7AB4" w:rsidP="009A7AB4">
      <w:pPr>
        <w:pStyle w:val="EndNoteBibliography"/>
        <w:spacing w:after="0"/>
        <w:ind w:left="720" w:hanging="720"/>
      </w:pPr>
      <w:bookmarkStart w:id="785" w:name="_ENREF_113"/>
      <w:r w:rsidRPr="009A7AB4">
        <w:t xml:space="preserve">McKenzie, L.J., Yoshida, R.L., Grech, A., Coles, R. 2014b, Composite of coastal seagrass meadows in Queensland, Australia - November 1984 to June 2010. . </w:t>
      </w:r>
      <w:r w:rsidRPr="009A7AB4">
        <w:rPr>
          <w:i/>
        </w:rPr>
        <w:t>PANGAEA</w:t>
      </w:r>
      <w:r w:rsidRPr="009A7AB4">
        <w:t xml:space="preserve">: </w:t>
      </w:r>
      <w:hyperlink r:id="rId166" w:history="1">
        <w:r w:rsidRPr="009A7AB4">
          <w:rPr>
            <w:rStyle w:val="Hyperlink"/>
          </w:rPr>
          <w:t>http://doi.pangaea.de/10.1594/PANGAEA.826368</w:t>
        </w:r>
      </w:hyperlink>
      <w:r w:rsidRPr="009A7AB4">
        <w:t xml:space="preserve">. </w:t>
      </w:r>
      <w:bookmarkEnd w:id="785"/>
    </w:p>
    <w:p w14:paraId="038C9D70" w14:textId="063D88D4" w:rsidR="009A7AB4" w:rsidRPr="009A7AB4" w:rsidRDefault="009A7AB4" w:rsidP="009A7AB4">
      <w:pPr>
        <w:pStyle w:val="EndNoteBibliography"/>
        <w:spacing w:after="0"/>
        <w:ind w:left="720" w:hanging="720"/>
      </w:pPr>
      <w:bookmarkStart w:id="786" w:name="_ENREF_114"/>
      <w:r w:rsidRPr="009A7AB4">
        <w:lastRenderedPageBreak/>
        <w:t xml:space="preserve">McKenzie, L.J., Yoshida, R.L., Unsworth, R.K.F. 2014c, Disturbance influences the invasion of a seagrass into an existing meadow. </w:t>
      </w:r>
      <w:r w:rsidRPr="009A7AB4">
        <w:rPr>
          <w:i/>
        </w:rPr>
        <w:t xml:space="preserve">Marine Pollution Bulletin, </w:t>
      </w:r>
      <w:r w:rsidRPr="009A7AB4">
        <w:t xml:space="preserve">86(1–2): 186-196. doi: </w:t>
      </w:r>
      <w:hyperlink r:id="rId167" w:history="1">
        <w:r w:rsidRPr="009A7AB4">
          <w:rPr>
            <w:rStyle w:val="Hyperlink"/>
          </w:rPr>
          <w:t>http://dx.doi.org/10.1016/j.marpolbul.2014.07.019</w:t>
        </w:r>
        <w:bookmarkEnd w:id="786"/>
      </w:hyperlink>
    </w:p>
    <w:p w14:paraId="4AE362AA" w14:textId="77777777" w:rsidR="009A7AB4" w:rsidRPr="009A7AB4" w:rsidRDefault="009A7AB4" w:rsidP="009A7AB4">
      <w:pPr>
        <w:pStyle w:val="EndNoteBibliography"/>
        <w:spacing w:after="0"/>
        <w:ind w:left="720" w:hanging="720"/>
      </w:pPr>
      <w:bookmarkStart w:id="787" w:name="_ENREF_115"/>
      <w:r w:rsidRPr="009A7AB4">
        <w:t xml:space="preserve">McMahon, K., van Dijk, K.-j., Ruiz-Montoya, L., Kendrick, G.A., Krauss, S.L., Waycott, M., Verduin, J., Lowe, R., Statton, J., Brown, E., Duarte, C. 2014, The movement ecology of seagrasses. </w:t>
      </w:r>
      <w:r w:rsidRPr="009A7AB4">
        <w:rPr>
          <w:i/>
        </w:rPr>
        <w:t xml:space="preserve">Proceedings of the Royal Society of London B: Biological Sciences, </w:t>
      </w:r>
      <w:r w:rsidRPr="009A7AB4">
        <w:t>281(1795). doi: 10.1098/rspb.2014.0878</w:t>
      </w:r>
      <w:bookmarkEnd w:id="787"/>
    </w:p>
    <w:p w14:paraId="7EAB4F03" w14:textId="77777777" w:rsidR="009A7AB4" w:rsidRPr="009A7AB4" w:rsidRDefault="009A7AB4" w:rsidP="009A7AB4">
      <w:pPr>
        <w:pStyle w:val="EndNoteBibliography"/>
        <w:spacing w:after="0"/>
        <w:ind w:left="720" w:hanging="720"/>
      </w:pPr>
      <w:bookmarkStart w:id="788" w:name="_ENREF_116"/>
      <w:r w:rsidRPr="009A7AB4">
        <w:t xml:space="preserve">McMahon, K.M., Bengston-Nash, S., Eaglesham, G.K., Mueller, J., Duke, N.C., Winderlich, S. 2005, Herbicide contamination and the potential impact to seagrass meadows in Hervey Bay, Queensland, Australia. </w:t>
      </w:r>
      <w:r w:rsidRPr="009A7AB4">
        <w:rPr>
          <w:i/>
        </w:rPr>
        <w:t xml:space="preserve">Marine Pollution Bulletin, </w:t>
      </w:r>
      <w:r w:rsidRPr="009A7AB4">
        <w:t xml:space="preserve">51: 325-334. </w:t>
      </w:r>
      <w:bookmarkEnd w:id="788"/>
    </w:p>
    <w:p w14:paraId="18A59B73" w14:textId="77777777" w:rsidR="009A7AB4" w:rsidRPr="009A7AB4" w:rsidRDefault="009A7AB4" w:rsidP="009A7AB4">
      <w:pPr>
        <w:pStyle w:val="EndNoteBibliography"/>
        <w:spacing w:after="0"/>
        <w:ind w:left="720" w:hanging="720"/>
      </w:pPr>
      <w:bookmarkStart w:id="789" w:name="_ENREF_117"/>
      <w:r w:rsidRPr="009A7AB4">
        <w:t xml:space="preserve">Mellors, J., Waycott, M., Marsh, H. 2005, Variation in biogeochemical parameters across intertidal seagrass meadows in the central Great Barrier Reef region. </w:t>
      </w:r>
      <w:r w:rsidRPr="009A7AB4">
        <w:rPr>
          <w:i/>
        </w:rPr>
        <w:t xml:space="preserve">Marine Pollution Bulletin, </w:t>
      </w:r>
      <w:r w:rsidRPr="009A7AB4">
        <w:t>51(1-4): 335-342. doi: 10.1016/j.marpolbul.2004.10.046</w:t>
      </w:r>
      <w:bookmarkEnd w:id="789"/>
    </w:p>
    <w:p w14:paraId="138E47F4" w14:textId="77777777" w:rsidR="009A7AB4" w:rsidRPr="009A7AB4" w:rsidRDefault="009A7AB4" w:rsidP="009A7AB4">
      <w:pPr>
        <w:pStyle w:val="EndNoteBibliography"/>
        <w:spacing w:after="0"/>
        <w:ind w:left="720" w:hanging="720"/>
      </w:pPr>
      <w:bookmarkStart w:id="790" w:name="_ENREF_118"/>
      <w:r w:rsidRPr="009A7AB4">
        <w:t xml:space="preserve">Mellors, J.E. 2003, </w:t>
      </w:r>
      <w:r w:rsidRPr="009A7AB4">
        <w:rPr>
          <w:i/>
        </w:rPr>
        <w:t>Sediment and nutrient dynamics in coastal intertidal seagrass of north eastern tropical Australia. PhD Thesis.</w:t>
      </w:r>
      <w:r w:rsidRPr="009A7AB4">
        <w:t xml:space="preserve"> School of Tropical Environment Studies and Geography: James Cook University, Townsville.</w:t>
      </w:r>
      <w:bookmarkEnd w:id="790"/>
    </w:p>
    <w:p w14:paraId="73F33588" w14:textId="01B6ED62" w:rsidR="009A7AB4" w:rsidRPr="009A7AB4" w:rsidRDefault="009A7AB4" w:rsidP="009A7AB4">
      <w:pPr>
        <w:pStyle w:val="EndNoteBibliography"/>
        <w:spacing w:after="0"/>
        <w:ind w:left="720" w:hanging="720"/>
        <w:rPr>
          <w:i/>
        </w:rPr>
      </w:pPr>
      <w:bookmarkStart w:id="791" w:name="_ENREF_119"/>
      <w:r w:rsidRPr="009A7AB4">
        <w:t xml:space="preserve">Monitoring River Health Initiative. 1994, </w:t>
      </w:r>
      <w:r w:rsidRPr="009A7AB4">
        <w:rPr>
          <w:i/>
        </w:rPr>
        <w:t xml:space="preserve">River Bioassessment Manual, National River Processes and Management Program, Tasmania. </w:t>
      </w:r>
      <w:hyperlink r:id="rId168" w:history="1">
        <w:r w:rsidRPr="009A7AB4">
          <w:rPr>
            <w:rStyle w:val="Hyperlink"/>
            <w:i/>
          </w:rPr>
          <w:t>http://www.environment.gov.au/water/publications/environmental/rivers/nrhp/bioassess.html</w:t>
        </w:r>
      </w:hyperlink>
      <w:r w:rsidRPr="009A7AB4">
        <w:rPr>
          <w:i/>
        </w:rPr>
        <w:t>, accessed 10 February 2014.</w:t>
      </w:r>
      <w:bookmarkEnd w:id="791"/>
    </w:p>
    <w:p w14:paraId="0C7224B9" w14:textId="61BD7D33" w:rsidR="009A7AB4" w:rsidRPr="009A7AB4" w:rsidRDefault="009A7AB4" w:rsidP="009A7AB4">
      <w:pPr>
        <w:pStyle w:val="EndNoteBibliography"/>
        <w:spacing w:after="0"/>
        <w:ind w:left="720" w:hanging="720"/>
      </w:pPr>
      <w:bookmarkStart w:id="792" w:name="_ENREF_120"/>
      <w:r w:rsidRPr="009A7AB4">
        <w:t xml:space="preserve">Nelson, W.G. 2017, Development of an epiphyte indicator of nutrient enrichment: Threshold values for seagrass epiphyte load. </w:t>
      </w:r>
      <w:r w:rsidRPr="009A7AB4">
        <w:rPr>
          <w:i/>
        </w:rPr>
        <w:t xml:space="preserve">Ecological Indicators, </w:t>
      </w:r>
      <w:r w:rsidRPr="009A7AB4">
        <w:t xml:space="preserve">74: 343-356. doi: </w:t>
      </w:r>
      <w:hyperlink r:id="rId169" w:history="1">
        <w:r w:rsidRPr="009A7AB4">
          <w:rPr>
            <w:rStyle w:val="Hyperlink"/>
          </w:rPr>
          <w:t>http://dx.doi.org/10.1016/j.ecolind.2016.11.035</w:t>
        </w:r>
        <w:bookmarkEnd w:id="792"/>
      </w:hyperlink>
    </w:p>
    <w:p w14:paraId="5DC8D9FD" w14:textId="77777777" w:rsidR="009A7AB4" w:rsidRPr="009A7AB4" w:rsidRDefault="009A7AB4" w:rsidP="009A7AB4">
      <w:pPr>
        <w:pStyle w:val="EndNoteBibliography"/>
        <w:spacing w:after="0"/>
        <w:ind w:left="720" w:hanging="720"/>
      </w:pPr>
      <w:bookmarkStart w:id="793" w:name="_ENREF_121"/>
      <w:r w:rsidRPr="009A7AB4">
        <w:t xml:space="preserve">O'Donohue, M.J., Moriarty, D.J.W., Mac Rae, I.C. 1991, Nitrogen fixation in sediments and the rhizosphere of the seagrass </w:t>
      </w:r>
      <w:r w:rsidRPr="009A7AB4">
        <w:rPr>
          <w:i/>
        </w:rPr>
        <w:t>Zostera capricorni</w:t>
      </w:r>
      <w:r w:rsidRPr="009A7AB4">
        <w:t xml:space="preserve">. </w:t>
      </w:r>
      <w:r w:rsidRPr="009A7AB4">
        <w:rPr>
          <w:i/>
        </w:rPr>
        <w:t xml:space="preserve">Microbial Ecology, </w:t>
      </w:r>
      <w:r w:rsidRPr="009A7AB4">
        <w:t xml:space="preserve">22(1): 53-64. </w:t>
      </w:r>
      <w:bookmarkEnd w:id="793"/>
    </w:p>
    <w:p w14:paraId="6A6C8F6C" w14:textId="3D78FB00" w:rsidR="009A7AB4" w:rsidRPr="009A7AB4" w:rsidRDefault="009A7AB4" w:rsidP="009A7AB4">
      <w:pPr>
        <w:pStyle w:val="EndNoteBibliography"/>
        <w:spacing w:after="0"/>
        <w:ind w:left="720" w:hanging="720"/>
      </w:pPr>
      <w:bookmarkStart w:id="794" w:name="_ENREF_122"/>
      <w:r w:rsidRPr="009A7AB4">
        <w:t xml:space="preserve">Orpin, A.R., Ridd, P.V., Thomas, S., Anthony, K.R.N., Marshall, P., Oliver, J. 2004, Natural turbidity variability and weather forecasts in risk management of anthropogenic sediment discharge near sensitive environments. </w:t>
      </w:r>
      <w:r w:rsidRPr="009A7AB4">
        <w:rPr>
          <w:i/>
        </w:rPr>
        <w:t xml:space="preserve">Marine Pollution Bulletin, </w:t>
      </w:r>
      <w:r w:rsidRPr="009A7AB4">
        <w:t xml:space="preserve">49(7–8): 602-612. doi: </w:t>
      </w:r>
      <w:hyperlink r:id="rId170" w:history="1">
        <w:r w:rsidRPr="009A7AB4">
          <w:rPr>
            <w:rStyle w:val="Hyperlink"/>
          </w:rPr>
          <w:t>http://dx.doi.org/10.1016/j.marpolbul.2004.03.020</w:t>
        </w:r>
        <w:bookmarkEnd w:id="794"/>
      </w:hyperlink>
    </w:p>
    <w:p w14:paraId="2C115BEF" w14:textId="77777777" w:rsidR="009A7AB4" w:rsidRPr="009A7AB4" w:rsidRDefault="009A7AB4" w:rsidP="009A7AB4">
      <w:pPr>
        <w:pStyle w:val="EndNoteBibliography"/>
        <w:spacing w:after="0"/>
        <w:ind w:left="720" w:hanging="720"/>
      </w:pPr>
      <w:bookmarkStart w:id="795" w:name="_ENREF_123"/>
      <w:r w:rsidRPr="009A7AB4">
        <w:lastRenderedPageBreak/>
        <w:t xml:space="preserve">Orth, R.J., Harwell, M.C., Inglis, G.J. 2006, Ecology of seagrass seeds and dispersal strategies. In AWD Larkum, RJ Orth &amp; CM Duarte (Eds.), </w:t>
      </w:r>
      <w:r w:rsidRPr="009A7AB4">
        <w:rPr>
          <w:i/>
        </w:rPr>
        <w:t>Seagrasses: Biology, Ecology and Conservation</w:t>
      </w:r>
      <w:r w:rsidRPr="009A7AB4">
        <w:t xml:space="preserve"> (pp. 113-133). Dordrecht: Springer.</w:t>
      </w:r>
      <w:bookmarkEnd w:id="795"/>
    </w:p>
    <w:p w14:paraId="2C810D39" w14:textId="77777777" w:rsidR="009A7AB4" w:rsidRPr="009A7AB4" w:rsidRDefault="009A7AB4" w:rsidP="009A7AB4">
      <w:pPr>
        <w:pStyle w:val="EndNoteBibliography"/>
        <w:spacing w:after="0"/>
        <w:ind w:left="720" w:hanging="720"/>
      </w:pPr>
      <w:bookmarkStart w:id="796" w:name="_ENREF_124"/>
      <w:r w:rsidRPr="009A7AB4">
        <w:t xml:space="preserve">Owens, N.J.P. 1988, Natural Variations in 15N in the Marine Environment. In JHS Blaxter &amp; AJ Southward (Eds.), </w:t>
      </w:r>
      <w:r w:rsidRPr="009A7AB4">
        <w:rPr>
          <w:i/>
        </w:rPr>
        <w:t>Advances in Marine Biology</w:t>
      </w:r>
      <w:r w:rsidRPr="009A7AB4">
        <w:t xml:space="preserve"> (pp. 389-451): Academic Press.</w:t>
      </w:r>
      <w:bookmarkEnd w:id="796"/>
    </w:p>
    <w:p w14:paraId="459C5692" w14:textId="77777777" w:rsidR="009A7AB4" w:rsidRPr="009A7AB4" w:rsidRDefault="009A7AB4" w:rsidP="009A7AB4">
      <w:pPr>
        <w:pStyle w:val="EndNoteBibliography"/>
        <w:spacing w:after="0"/>
        <w:ind w:left="720" w:hanging="720"/>
      </w:pPr>
      <w:bookmarkStart w:id="797" w:name="_ENREF_125"/>
      <w:r w:rsidRPr="009A7AB4">
        <w:t xml:space="preserve">Peterson, B.J. and Fry, B. 1987, Stable Isotopes in Ecostystem Studies. </w:t>
      </w:r>
      <w:r w:rsidRPr="009A7AB4">
        <w:rPr>
          <w:i/>
        </w:rPr>
        <w:t xml:space="preserve">Annual Reveiw of Ecological Systematics, </w:t>
      </w:r>
      <w:r w:rsidRPr="009A7AB4">
        <w:t xml:space="preserve">18: 293-320. </w:t>
      </w:r>
      <w:bookmarkEnd w:id="797"/>
    </w:p>
    <w:p w14:paraId="1D9B3D96" w14:textId="77777777" w:rsidR="009A7AB4" w:rsidRPr="009A7AB4" w:rsidRDefault="009A7AB4" w:rsidP="009A7AB4">
      <w:pPr>
        <w:pStyle w:val="EndNoteBibliography"/>
        <w:spacing w:after="0"/>
        <w:ind w:left="720" w:hanging="720"/>
      </w:pPr>
      <w:bookmarkStart w:id="798" w:name="_ENREF_126"/>
      <w:r w:rsidRPr="009A7AB4">
        <w:t xml:space="preserve">Petrou, K., Jimenez-Denness, I., Chartrand, K., McCormack, C., Rasheed, M., Ralph, P. 2013, Seasonal heterogeneity in the photophysiological response to air exposure in two tropical intertidal seagrass species. </w:t>
      </w:r>
      <w:r w:rsidRPr="009A7AB4">
        <w:rPr>
          <w:i/>
        </w:rPr>
        <w:t xml:space="preserve">Marine Ecology Progress Series, </w:t>
      </w:r>
      <w:r w:rsidRPr="009A7AB4">
        <w:t>482: 93-106. doi: 10.3354/meps10229</w:t>
      </w:r>
      <w:bookmarkEnd w:id="798"/>
    </w:p>
    <w:p w14:paraId="469BA7C7" w14:textId="654207F0" w:rsidR="009A7AB4" w:rsidRPr="009A7AB4" w:rsidRDefault="009A7AB4" w:rsidP="009A7AB4">
      <w:pPr>
        <w:pStyle w:val="EndNoteBibliography"/>
        <w:spacing w:after="0"/>
        <w:ind w:left="720" w:hanging="720"/>
      </w:pPr>
      <w:bookmarkStart w:id="799" w:name="_ENREF_127"/>
      <w:r w:rsidRPr="009A7AB4">
        <w:t xml:space="preserve">Petus, C., Collier, C., Devlin, M., Rasheed, M., McKenna, S. 2014, Using MODIS data for understanding changes in seagrass meadow health: A case study in the Great Barrier Reef (Australia). </w:t>
      </w:r>
      <w:r w:rsidRPr="009A7AB4">
        <w:rPr>
          <w:i/>
        </w:rPr>
        <w:t xml:space="preserve">Marine Environmental Research, </w:t>
      </w:r>
      <w:r w:rsidRPr="009A7AB4">
        <w:t xml:space="preserve">98: 68-85. doi: </w:t>
      </w:r>
      <w:hyperlink r:id="rId171" w:history="1">
        <w:r w:rsidRPr="009A7AB4">
          <w:rPr>
            <w:rStyle w:val="Hyperlink"/>
          </w:rPr>
          <w:t>http://dx.doi.org/10.1016/j.marenvres.2014.03.006</w:t>
        </w:r>
        <w:bookmarkEnd w:id="799"/>
      </w:hyperlink>
    </w:p>
    <w:p w14:paraId="17FB5E79" w14:textId="77777777" w:rsidR="009A7AB4" w:rsidRPr="009A7AB4" w:rsidRDefault="009A7AB4" w:rsidP="009A7AB4">
      <w:pPr>
        <w:pStyle w:val="EndNoteBibliography"/>
        <w:spacing w:after="0"/>
        <w:ind w:left="720" w:hanging="720"/>
      </w:pPr>
      <w:bookmarkStart w:id="800" w:name="_ENREF_128"/>
      <w:r w:rsidRPr="009A7AB4">
        <w:t xml:space="preserve">Petus, C., Devlin, M., Thompson, A., McKenzie, L., Teixeira da Silva, E., Collier, C., Tracey, D., Martin, K. 2016, Estimating the Exposure of Coral Reefs and Seagrass Meadows to Land-Sourced Contaminants in River Flood Plumes of the Great Barrier Reef: Validating a Simple Satellite Risk Framework with Environmental Data. </w:t>
      </w:r>
      <w:r w:rsidRPr="009A7AB4">
        <w:rPr>
          <w:i/>
        </w:rPr>
        <w:t xml:space="preserve">Remote Sensing, </w:t>
      </w:r>
      <w:r w:rsidRPr="009A7AB4">
        <w:t xml:space="preserve">8(3): 210. </w:t>
      </w:r>
      <w:bookmarkEnd w:id="800"/>
    </w:p>
    <w:p w14:paraId="49EEC270" w14:textId="77777777" w:rsidR="009A7AB4" w:rsidRPr="009A7AB4" w:rsidRDefault="009A7AB4" w:rsidP="009A7AB4">
      <w:pPr>
        <w:pStyle w:val="EndNoteBibliography"/>
        <w:spacing w:after="0"/>
        <w:ind w:left="720" w:hanging="720"/>
      </w:pPr>
      <w:bookmarkStart w:id="801" w:name="_ENREF_129"/>
      <w:r w:rsidRPr="009A7AB4">
        <w:t>Preen, A.R., Lee Long, W.J., Coles, R.G. 1995, Flood and cyclone related loss, and partial recovery, of more than 1,000 km</w:t>
      </w:r>
      <w:r w:rsidRPr="009A7AB4">
        <w:rPr>
          <w:vertAlign w:val="superscript"/>
        </w:rPr>
        <w:t>2</w:t>
      </w:r>
      <w:r w:rsidRPr="009A7AB4">
        <w:t xml:space="preserve"> of seagrass in Hervey Bay, Queensland, Australia. </w:t>
      </w:r>
      <w:r w:rsidRPr="009A7AB4">
        <w:rPr>
          <w:i/>
        </w:rPr>
        <w:t xml:space="preserve">Aquatic Botany, </w:t>
      </w:r>
      <w:r w:rsidRPr="009A7AB4">
        <w:t xml:space="preserve">52: 3-17. </w:t>
      </w:r>
      <w:bookmarkEnd w:id="801"/>
    </w:p>
    <w:p w14:paraId="69176A6E" w14:textId="31377355" w:rsidR="009A7AB4" w:rsidRPr="009A7AB4" w:rsidRDefault="009A7AB4" w:rsidP="009A7AB4">
      <w:pPr>
        <w:pStyle w:val="EndNoteBibliography"/>
        <w:spacing w:after="0"/>
        <w:ind w:left="720" w:hanging="720"/>
      </w:pPr>
      <w:bookmarkStart w:id="802" w:name="_ENREF_130"/>
      <w:r w:rsidRPr="009A7AB4">
        <w:t>R Core Team. (2014). R: A language and environment for statistical computing.</w:t>
      </w:r>
      <w:r w:rsidRPr="009A7AB4">
        <w:rPr>
          <w:i/>
        </w:rPr>
        <w:t xml:space="preserve"> </w:t>
      </w:r>
      <w:r w:rsidRPr="009A7AB4">
        <w:t xml:space="preserve">  Retrieved from </w:t>
      </w:r>
      <w:hyperlink r:id="rId172" w:history="1">
        <w:r w:rsidRPr="009A7AB4">
          <w:rPr>
            <w:rStyle w:val="Hyperlink"/>
          </w:rPr>
          <w:t>http://www.R-project.org/</w:t>
        </w:r>
      </w:hyperlink>
      <w:r w:rsidRPr="009A7AB4">
        <w:t xml:space="preserve">. </w:t>
      </w:r>
      <w:bookmarkEnd w:id="802"/>
    </w:p>
    <w:p w14:paraId="3B1FB3CE" w14:textId="375041FF" w:rsidR="009A7AB4" w:rsidRPr="009A7AB4" w:rsidRDefault="009A7AB4" w:rsidP="009A7AB4">
      <w:pPr>
        <w:pStyle w:val="EndNoteBibliography"/>
        <w:spacing w:after="0"/>
        <w:ind w:left="720" w:hanging="720"/>
      </w:pPr>
      <w:bookmarkStart w:id="803" w:name="_ENREF_131"/>
      <w:r w:rsidRPr="009A7AB4">
        <w:t xml:space="preserve">Rasheed, M.A., McKenna, S.A., Carter, A.B., Coles, R.G. 2014, Contrasting recovery of shallow and deep water seagrass communities following climate associated losses in tropical north Queensland, Australia. </w:t>
      </w:r>
      <w:r w:rsidRPr="009A7AB4">
        <w:rPr>
          <w:i/>
        </w:rPr>
        <w:t xml:space="preserve">Marine Pollution Bulletin, </w:t>
      </w:r>
      <w:r w:rsidRPr="009A7AB4">
        <w:t xml:space="preserve">83(2): 491-499. doi: </w:t>
      </w:r>
      <w:hyperlink r:id="rId173" w:history="1">
        <w:r w:rsidRPr="009A7AB4">
          <w:rPr>
            <w:rStyle w:val="Hyperlink"/>
          </w:rPr>
          <w:t>http://dx.doi.org/10.1016/j.marpolbul.2014.02.013</w:t>
        </w:r>
        <w:bookmarkEnd w:id="803"/>
      </w:hyperlink>
    </w:p>
    <w:p w14:paraId="7FCCA305" w14:textId="77777777" w:rsidR="009A7AB4" w:rsidRPr="009A7AB4" w:rsidRDefault="009A7AB4" w:rsidP="009A7AB4">
      <w:pPr>
        <w:pStyle w:val="EndNoteBibliography"/>
        <w:spacing w:after="0"/>
        <w:ind w:left="720" w:hanging="720"/>
      </w:pPr>
      <w:bookmarkStart w:id="804" w:name="_ENREF_132"/>
      <w:r w:rsidRPr="009A7AB4">
        <w:lastRenderedPageBreak/>
        <w:t xml:space="preserve">Rasheed, M.A., Thomas, R., Roelofs, A.J., Neil, K.M., Kerville, S.P. 2003, </w:t>
      </w:r>
      <w:r w:rsidRPr="009A7AB4">
        <w:rPr>
          <w:i/>
        </w:rPr>
        <w:t>Port Curtis and Rodds Bay seagrass and benthic macro-invertebrate community baseline survey, November/December 2002. DPI Information Series QI03058</w:t>
      </w:r>
      <w:r w:rsidRPr="009A7AB4">
        <w:t>. Cairns: DPI.</w:t>
      </w:r>
      <w:bookmarkEnd w:id="804"/>
    </w:p>
    <w:p w14:paraId="03868172" w14:textId="77777777" w:rsidR="009A7AB4" w:rsidRPr="009A7AB4" w:rsidRDefault="009A7AB4" w:rsidP="009A7AB4">
      <w:pPr>
        <w:pStyle w:val="EndNoteBibliography"/>
        <w:spacing w:after="0"/>
        <w:ind w:left="720" w:hanging="720"/>
      </w:pPr>
      <w:bookmarkStart w:id="805" w:name="_ENREF_133"/>
      <w:r w:rsidRPr="009A7AB4">
        <w:t xml:space="preserve">Rasheed, M.A. and Unsworth, R.K.F. 2011, Long-term climate-associated dynamics of a tropical seagrass meadow: implications for the future. </w:t>
      </w:r>
      <w:r w:rsidRPr="009A7AB4">
        <w:rPr>
          <w:i/>
        </w:rPr>
        <w:t xml:space="preserve">Marine Ecology Progress Series, </w:t>
      </w:r>
      <w:r w:rsidRPr="009A7AB4">
        <w:t xml:space="preserve">422: 93-103. </w:t>
      </w:r>
      <w:bookmarkEnd w:id="805"/>
    </w:p>
    <w:p w14:paraId="596BA6B7" w14:textId="77777777" w:rsidR="009A7AB4" w:rsidRPr="009A7AB4" w:rsidRDefault="009A7AB4" w:rsidP="009A7AB4">
      <w:pPr>
        <w:pStyle w:val="EndNoteBibliography"/>
        <w:spacing w:after="0"/>
        <w:ind w:left="720" w:hanging="720"/>
      </w:pPr>
      <w:bookmarkStart w:id="806" w:name="_ENREF_134"/>
      <w:r w:rsidRPr="009A7AB4">
        <w:t>Read, M.A. and Limpus, C.J. 2002, The green turtle (</w:t>
      </w:r>
      <w:r w:rsidRPr="009A7AB4">
        <w:rPr>
          <w:i/>
        </w:rPr>
        <w:t>Chelonia mydas</w:t>
      </w:r>
      <w:r w:rsidRPr="009A7AB4">
        <w:t xml:space="preserve">) in Queensland: Feeding ecology of immature turtles in a temperate feeding area. </w:t>
      </w:r>
      <w:r w:rsidRPr="009A7AB4">
        <w:rPr>
          <w:i/>
        </w:rPr>
        <w:t xml:space="preserve">Memoirs of the Queensland Museum - Nature, </w:t>
      </w:r>
      <w:r w:rsidRPr="009A7AB4">
        <w:t xml:space="preserve">48(1): 207-214. </w:t>
      </w:r>
      <w:bookmarkEnd w:id="806"/>
    </w:p>
    <w:p w14:paraId="0665D35C" w14:textId="77777777" w:rsidR="009A7AB4" w:rsidRPr="009A7AB4" w:rsidRDefault="009A7AB4" w:rsidP="009A7AB4">
      <w:pPr>
        <w:pStyle w:val="EndNoteBibliography"/>
        <w:spacing w:after="0"/>
        <w:ind w:left="720" w:hanging="720"/>
      </w:pPr>
      <w:bookmarkStart w:id="807" w:name="_ENREF_135"/>
      <w:r w:rsidRPr="009A7AB4">
        <w:t xml:space="preserve">Roff, G., Clark, T.R., Reymond, C.E., Zhao, J.-x., Feng, Y., McCook, L.J., Done, T.J., Pandolfi, J.M. 2013, Palaeoecological evidence of a historical collapse of corals at Pelorus Island, inshore Great Barrier Reef, following European settlement. </w:t>
      </w:r>
      <w:r w:rsidRPr="009A7AB4">
        <w:rPr>
          <w:i/>
        </w:rPr>
        <w:t xml:space="preserve">Proceedings of the Royal Society of London B: Biological Sciences, </w:t>
      </w:r>
      <w:r w:rsidRPr="009A7AB4">
        <w:t>280(1750). doi: 10.1098/rspb.2012.2100</w:t>
      </w:r>
      <w:bookmarkEnd w:id="807"/>
    </w:p>
    <w:p w14:paraId="7E9A1090" w14:textId="77777777" w:rsidR="009A7AB4" w:rsidRPr="009A7AB4" w:rsidRDefault="009A7AB4" w:rsidP="009A7AB4">
      <w:pPr>
        <w:pStyle w:val="EndNoteBibliography"/>
        <w:spacing w:after="0"/>
        <w:ind w:left="720" w:hanging="720"/>
      </w:pPr>
      <w:bookmarkStart w:id="808" w:name="_ENREF_136"/>
      <w:r w:rsidRPr="009A7AB4">
        <w:t xml:space="preserve">Rue, H., Martino, S., Chopin, N. 2009, Approximate Bayesian inference for latent Gaussian models by using integrated nested Laplace approximations. </w:t>
      </w:r>
      <w:r w:rsidRPr="009A7AB4">
        <w:rPr>
          <w:i/>
        </w:rPr>
        <w:t xml:space="preserve">Journal of the Royal Statistical Society: Series B (Statistical Methodology), </w:t>
      </w:r>
      <w:r w:rsidRPr="009A7AB4">
        <w:t>71(2): 319-392. doi: doi:10.1111/j.1467-9868.2008.00700.x</w:t>
      </w:r>
      <w:bookmarkEnd w:id="808"/>
    </w:p>
    <w:p w14:paraId="44A36F57" w14:textId="77777777" w:rsidR="009A7AB4" w:rsidRPr="009A7AB4" w:rsidRDefault="009A7AB4" w:rsidP="009A7AB4">
      <w:pPr>
        <w:pStyle w:val="EndNoteBibliography"/>
        <w:spacing w:after="0"/>
        <w:ind w:left="720" w:hanging="720"/>
      </w:pPr>
      <w:bookmarkStart w:id="809" w:name="_ENREF_137"/>
      <w:r w:rsidRPr="009A7AB4">
        <w:t xml:space="preserve">Saunders, M.I., Bayraktarov, E., Roelfsema, C.M., Leona, J.X., Samper-Villarreal, J., Phinn, S.R., Lovelock, C.E., Mumby, P.J. 2015, Spatial and temporal variability of seagrass at Lizard Island, Great Barrier Reef. </w:t>
      </w:r>
      <w:r w:rsidRPr="009A7AB4">
        <w:rPr>
          <w:i/>
        </w:rPr>
        <w:t xml:space="preserve">Botanica Marina, </w:t>
      </w:r>
      <w:r w:rsidRPr="009A7AB4">
        <w:t xml:space="preserve">58(1): 35–49. </w:t>
      </w:r>
      <w:bookmarkEnd w:id="809"/>
    </w:p>
    <w:p w14:paraId="2B10778E" w14:textId="77777777" w:rsidR="009A7AB4" w:rsidRPr="009A7AB4" w:rsidRDefault="009A7AB4" w:rsidP="009A7AB4">
      <w:pPr>
        <w:pStyle w:val="EndNoteBibliography"/>
        <w:spacing w:after="0"/>
        <w:ind w:left="720" w:hanging="720"/>
      </w:pPr>
      <w:bookmarkStart w:id="810" w:name="_ENREF_138"/>
      <w:r w:rsidRPr="009A7AB4">
        <w:t xml:space="preserve">Schaffelke, B., Anthony, K., Blake, J., Brodie, J., Collier, C., Devlin, M., Fabricius, K., Martin, K., McKenzie, L.J., Negri, A., Ronan, M., Thompson, A., Warne, M. 2013, Marine and coastal ecosystem impacts </w:t>
      </w:r>
      <w:r w:rsidRPr="009A7AB4">
        <w:rPr>
          <w:i/>
        </w:rPr>
        <w:t>Synthesis of evidence to support the Reef Water Quality Scientific Consensus Statement 2013</w:t>
      </w:r>
      <w:r w:rsidRPr="009A7AB4">
        <w:t xml:space="preserve"> (pp. 47). Brisbane: Department of the Premier and Cabinet, Queensland Government.</w:t>
      </w:r>
      <w:bookmarkEnd w:id="810"/>
    </w:p>
    <w:p w14:paraId="76678041" w14:textId="77777777" w:rsidR="009A7AB4" w:rsidRPr="009A7AB4" w:rsidRDefault="009A7AB4" w:rsidP="009A7AB4">
      <w:pPr>
        <w:pStyle w:val="EndNoteBibliography"/>
        <w:spacing w:after="0"/>
        <w:ind w:left="720" w:hanging="720"/>
      </w:pPr>
      <w:bookmarkStart w:id="811" w:name="_ENREF_139"/>
      <w:r w:rsidRPr="009A7AB4">
        <w:t xml:space="preserve">Shelton, A.O. 2008, Skewed sex ratios, pollen limitation, and reproductive failure in the dioecious seagrass </w:t>
      </w:r>
      <w:r w:rsidRPr="009A7AB4">
        <w:rPr>
          <w:i/>
        </w:rPr>
        <w:t>Phyllospadix</w:t>
      </w:r>
      <w:r w:rsidRPr="009A7AB4">
        <w:t xml:space="preserve">. </w:t>
      </w:r>
      <w:r w:rsidRPr="009A7AB4">
        <w:rPr>
          <w:i/>
        </w:rPr>
        <w:t xml:space="preserve">Ecology, </w:t>
      </w:r>
      <w:r w:rsidRPr="009A7AB4">
        <w:t xml:space="preserve">89: 3020-3029. </w:t>
      </w:r>
      <w:bookmarkEnd w:id="811"/>
    </w:p>
    <w:p w14:paraId="31EA3BFD" w14:textId="77777777" w:rsidR="009A7AB4" w:rsidRPr="009A7AB4" w:rsidRDefault="009A7AB4" w:rsidP="009A7AB4">
      <w:pPr>
        <w:pStyle w:val="EndNoteBibliography"/>
        <w:spacing w:after="0"/>
        <w:ind w:left="720" w:hanging="720"/>
      </w:pPr>
      <w:bookmarkStart w:id="812" w:name="_ENREF_140"/>
      <w:r w:rsidRPr="009A7AB4">
        <w:t xml:space="preserve">Thorogood, J. and Boggon, T. 1999, </w:t>
      </w:r>
      <w:r w:rsidRPr="009A7AB4">
        <w:rPr>
          <w:i/>
        </w:rPr>
        <w:t>Pioneer Bay environmental monitoring program. Fourth monitoring event, November 1999.</w:t>
      </w:r>
      <w:r w:rsidRPr="009A7AB4">
        <w:t xml:space="preserve"> Wellington Point, Brisbane: FRC Coastal Resource &amp; Environmental.</w:t>
      </w:r>
      <w:bookmarkEnd w:id="812"/>
    </w:p>
    <w:p w14:paraId="18382A50" w14:textId="77777777" w:rsidR="009A7AB4" w:rsidRPr="009A7AB4" w:rsidRDefault="009A7AB4" w:rsidP="009A7AB4">
      <w:pPr>
        <w:pStyle w:val="EndNoteBibliography"/>
        <w:spacing w:after="0"/>
        <w:ind w:left="720" w:hanging="720"/>
      </w:pPr>
      <w:bookmarkStart w:id="813" w:name="_ENREF_141"/>
      <w:r w:rsidRPr="009A7AB4">
        <w:lastRenderedPageBreak/>
        <w:t xml:space="preserve">Udy, J.W. and Dennison, W.C. 1997a, Growth and physiological responses of three Seagrass species to elevated sediment nutrients in Moreton Bay, Australia. </w:t>
      </w:r>
      <w:r w:rsidRPr="009A7AB4">
        <w:rPr>
          <w:i/>
        </w:rPr>
        <w:t xml:space="preserve">Journal of Experimental Marine Biology and Ecology, </w:t>
      </w:r>
      <w:r w:rsidRPr="009A7AB4">
        <w:t xml:space="preserve">217(2): 253-277. </w:t>
      </w:r>
      <w:bookmarkEnd w:id="813"/>
    </w:p>
    <w:p w14:paraId="66869C0A" w14:textId="1D009D5E" w:rsidR="009A7AB4" w:rsidRPr="009A7AB4" w:rsidRDefault="009A7AB4" w:rsidP="009A7AB4">
      <w:pPr>
        <w:pStyle w:val="EndNoteBibliography"/>
        <w:spacing w:after="0"/>
        <w:ind w:left="720" w:hanging="720"/>
      </w:pPr>
      <w:bookmarkStart w:id="814" w:name="_ENREF_142"/>
      <w:r w:rsidRPr="009A7AB4">
        <w:t xml:space="preserve">Udy, J.W. and Dennison, W.C. 1997b, Physiological responses of seagrasses used to identify anthropogenic nutrient inputs. </w:t>
      </w:r>
      <w:r w:rsidRPr="009A7AB4">
        <w:rPr>
          <w:i/>
        </w:rPr>
        <w:t xml:space="preserve">Marine and Freshwater Research, </w:t>
      </w:r>
      <w:r w:rsidRPr="009A7AB4">
        <w:t xml:space="preserve">48(7): 605-614. doi: </w:t>
      </w:r>
      <w:hyperlink r:id="rId174" w:history="1">
        <w:r w:rsidRPr="009A7AB4">
          <w:rPr>
            <w:rStyle w:val="Hyperlink"/>
          </w:rPr>
          <w:t>http://dx.doi.org/10.1071/MF97001</w:t>
        </w:r>
        <w:bookmarkEnd w:id="814"/>
      </w:hyperlink>
    </w:p>
    <w:p w14:paraId="1E1934CC" w14:textId="77777777" w:rsidR="009A7AB4" w:rsidRPr="009A7AB4" w:rsidRDefault="009A7AB4" w:rsidP="009A7AB4">
      <w:pPr>
        <w:pStyle w:val="EndNoteBibliography"/>
        <w:spacing w:after="0"/>
        <w:ind w:left="720" w:hanging="720"/>
      </w:pPr>
      <w:bookmarkStart w:id="815" w:name="_ENREF_143"/>
      <w:r w:rsidRPr="009A7AB4">
        <w:t xml:space="preserve">Udy, J.W., Dennison, W.C., Lee Long, W.J., McKenzie, L.J. 1999, Responses of seagrass to nutrients in the Great Barrier Reef, Australia. </w:t>
      </w:r>
      <w:r w:rsidRPr="009A7AB4">
        <w:rPr>
          <w:i/>
        </w:rPr>
        <w:t xml:space="preserve">Marine Ecology Progress Series, </w:t>
      </w:r>
      <w:r w:rsidRPr="009A7AB4">
        <w:t xml:space="preserve">185: 257-271. </w:t>
      </w:r>
      <w:bookmarkEnd w:id="815"/>
    </w:p>
    <w:p w14:paraId="24BE6724" w14:textId="77777777" w:rsidR="009A7AB4" w:rsidRPr="009A7AB4" w:rsidRDefault="009A7AB4" w:rsidP="009A7AB4">
      <w:pPr>
        <w:pStyle w:val="EndNoteBibliography"/>
        <w:spacing w:after="0"/>
        <w:ind w:left="720" w:hanging="720"/>
      </w:pPr>
      <w:bookmarkStart w:id="816" w:name="_ENREF_144"/>
      <w:r w:rsidRPr="009A7AB4">
        <w:t xml:space="preserve">Unsworth, R.K., Collier, C.J., Henderson, G.M., McKenzie, L.J. 2012a, Tropical seagrass meadows modify seawater carbon chemistry: implications for coral reefs impacted by ocean acidification. </w:t>
      </w:r>
      <w:r w:rsidRPr="009A7AB4">
        <w:rPr>
          <w:i/>
        </w:rPr>
        <w:t xml:space="preserve">Environmental Research Letters, </w:t>
      </w:r>
      <w:r w:rsidRPr="009A7AB4">
        <w:t xml:space="preserve">7(2): 024026. </w:t>
      </w:r>
      <w:bookmarkEnd w:id="816"/>
    </w:p>
    <w:p w14:paraId="508113BE" w14:textId="3BA1EECC" w:rsidR="009A7AB4" w:rsidRPr="009A7AB4" w:rsidRDefault="009A7AB4" w:rsidP="009A7AB4">
      <w:pPr>
        <w:pStyle w:val="EndNoteBibliography"/>
        <w:spacing w:after="0"/>
        <w:ind w:left="720" w:hanging="720"/>
      </w:pPr>
      <w:bookmarkStart w:id="817" w:name="_ENREF_145"/>
      <w:r w:rsidRPr="009A7AB4">
        <w:t xml:space="preserve">Unsworth, R.K.F., Collier, C.J., Waycott, M., McKenzie, L.J., Cullen-Unsworth, L.C. 2015, A framework for the resilience of seagrass ecosystems. </w:t>
      </w:r>
      <w:r w:rsidRPr="009A7AB4">
        <w:rPr>
          <w:i/>
        </w:rPr>
        <w:t xml:space="preserve">Marine Pollution Bulletin, </w:t>
      </w:r>
      <w:r w:rsidRPr="009A7AB4">
        <w:t xml:space="preserve">100(1): 34-46. doi: </w:t>
      </w:r>
      <w:hyperlink r:id="rId175" w:history="1">
        <w:r w:rsidRPr="009A7AB4">
          <w:rPr>
            <w:rStyle w:val="Hyperlink"/>
          </w:rPr>
          <w:t>http://dx.doi.org/10.1016/j.marpolbul.2015.08.016</w:t>
        </w:r>
        <w:bookmarkEnd w:id="817"/>
      </w:hyperlink>
    </w:p>
    <w:p w14:paraId="2618073D" w14:textId="4E52E52B" w:rsidR="009A7AB4" w:rsidRPr="009A7AB4" w:rsidRDefault="009A7AB4" w:rsidP="009A7AB4">
      <w:pPr>
        <w:pStyle w:val="EndNoteBibliography"/>
        <w:spacing w:after="0"/>
        <w:ind w:left="720" w:hanging="720"/>
      </w:pPr>
      <w:bookmarkStart w:id="818" w:name="_ENREF_146"/>
      <w:r w:rsidRPr="009A7AB4">
        <w:t xml:space="preserve">Unsworth, R.K.F., McKenzie, L.J., Collier, C.J., Cullen-Unsworth, L.C., Duarte, C.M., Eklöf, J.S., Jarvis, J.C., Jones, B.L., Nordlund, L.M. 2018a, Global challenges for seagrass conservation. [journal article]. </w:t>
      </w:r>
      <w:r w:rsidRPr="009A7AB4">
        <w:rPr>
          <w:i/>
        </w:rPr>
        <w:t xml:space="preserve">Ambio, </w:t>
      </w:r>
      <w:r w:rsidRPr="009A7AB4">
        <w:t xml:space="preserve">48: 801–815. doi: </w:t>
      </w:r>
      <w:hyperlink r:id="rId176" w:history="1">
        <w:r w:rsidRPr="009A7AB4">
          <w:rPr>
            <w:rStyle w:val="Hyperlink"/>
          </w:rPr>
          <w:t>https://doi.org/10.1007/s13280-018-1115-y</w:t>
        </w:r>
        <w:bookmarkEnd w:id="818"/>
      </w:hyperlink>
    </w:p>
    <w:p w14:paraId="3E024B60" w14:textId="5D2E9363" w:rsidR="009A7AB4" w:rsidRPr="009A7AB4" w:rsidRDefault="009A7AB4" w:rsidP="009A7AB4">
      <w:pPr>
        <w:pStyle w:val="EndNoteBibliography"/>
        <w:spacing w:after="0"/>
        <w:ind w:left="720" w:hanging="720"/>
      </w:pPr>
      <w:bookmarkStart w:id="819" w:name="_ENREF_147"/>
      <w:r w:rsidRPr="009A7AB4">
        <w:t xml:space="preserve">Unsworth, R.K.F., McKenzie, L.J., Nordlund, L.M., Cullen-Unsworth, L.C. 2018b, A changing climate for seagrass conservation? </w:t>
      </w:r>
      <w:r w:rsidRPr="009A7AB4">
        <w:rPr>
          <w:i/>
        </w:rPr>
        <w:t xml:space="preserve">Current Biology, </w:t>
      </w:r>
      <w:r w:rsidRPr="009A7AB4">
        <w:t xml:space="preserve">28(21): R1229-R1232. doi: </w:t>
      </w:r>
      <w:hyperlink r:id="rId177" w:history="1">
        <w:r w:rsidRPr="009A7AB4">
          <w:rPr>
            <w:rStyle w:val="Hyperlink"/>
          </w:rPr>
          <w:t>https://doi.org/10.1016/j.cub.2018.09.027</w:t>
        </w:r>
        <w:bookmarkEnd w:id="819"/>
      </w:hyperlink>
    </w:p>
    <w:p w14:paraId="2694AD95" w14:textId="77777777" w:rsidR="009A7AB4" w:rsidRPr="009A7AB4" w:rsidRDefault="009A7AB4" w:rsidP="009A7AB4">
      <w:pPr>
        <w:pStyle w:val="EndNoteBibliography"/>
        <w:spacing w:after="0"/>
        <w:ind w:left="720" w:hanging="720"/>
      </w:pPr>
      <w:bookmarkStart w:id="820" w:name="_ENREF_148"/>
      <w:r w:rsidRPr="009A7AB4">
        <w:t xml:space="preserve">Unsworth, R.K.F., Rasheed, M.A., Chartrand, K.M., Roelofs, A.J. 2012b, Solar radiation and tidal exposure as environmental drivers of </w:t>
      </w:r>
      <w:r w:rsidRPr="009A7AB4">
        <w:rPr>
          <w:i/>
        </w:rPr>
        <w:t>Enhalus acoroides</w:t>
      </w:r>
      <w:r w:rsidRPr="009A7AB4">
        <w:t xml:space="preserve"> dominated seagrass meadows. </w:t>
      </w:r>
      <w:r w:rsidRPr="009A7AB4">
        <w:rPr>
          <w:i/>
        </w:rPr>
        <w:t xml:space="preserve">Plos One, </w:t>
      </w:r>
      <w:r w:rsidRPr="009A7AB4">
        <w:t>7(3). doi: 10.1371/journal.pone.0034133</w:t>
      </w:r>
      <w:bookmarkEnd w:id="820"/>
    </w:p>
    <w:p w14:paraId="4116AF21" w14:textId="77777777" w:rsidR="009A7AB4" w:rsidRPr="009A7AB4" w:rsidRDefault="009A7AB4" w:rsidP="009A7AB4">
      <w:pPr>
        <w:pStyle w:val="EndNoteBibliography"/>
        <w:spacing w:after="0"/>
        <w:ind w:left="720" w:hanging="720"/>
      </w:pPr>
      <w:bookmarkStart w:id="821" w:name="_ENREF_149"/>
      <w:r w:rsidRPr="009A7AB4">
        <w:t xml:space="preserve">van Katwijk, M.M., Bos, A.R., Hermus, D.C.R., Suykerbuyk, W. 2010, Sediment modification by seagrass beds: Muddification and sandification induced by plant cover and environmental conditions. </w:t>
      </w:r>
      <w:r w:rsidRPr="009A7AB4">
        <w:rPr>
          <w:i/>
        </w:rPr>
        <w:t xml:space="preserve">Estuarine Coastal And Shelf Science, </w:t>
      </w:r>
      <w:r w:rsidRPr="009A7AB4">
        <w:t>89(2): 175-181. doi: 10.1016/j.ecss.2010.06.008</w:t>
      </w:r>
      <w:bookmarkEnd w:id="821"/>
    </w:p>
    <w:p w14:paraId="11819802" w14:textId="77777777" w:rsidR="009A7AB4" w:rsidRPr="009A7AB4" w:rsidRDefault="009A7AB4" w:rsidP="009A7AB4">
      <w:pPr>
        <w:pStyle w:val="EndNoteBibliography"/>
        <w:spacing w:after="0"/>
        <w:ind w:left="720" w:hanging="720"/>
      </w:pPr>
      <w:bookmarkStart w:id="822" w:name="_ENREF_150"/>
      <w:r w:rsidRPr="009A7AB4">
        <w:lastRenderedPageBreak/>
        <w:t xml:space="preserve">van Oppen, M., Gates, R.D., Blackall, L.L., Cantin, N., Chakravarti, L.J., Chan, W.Y., Cormick, C., Crean, A., Damjanovic, K., Epstein, H., Harrison, P.L., Jones, T.A., Miller, M., Pears, R.J., Peplow, L.M., Raftos, D.A., Schaffelke, B., Stewart, K., Torda, G., Wachenfeld, D., Weeks, A.R., Putnam, H.M. 2017, Shifting paradigms in restoration of the world's coral reefs. </w:t>
      </w:r>
      <w:r w:rsidRPr="009A7AB4">
        <w:rPr>
          <w:i/>
        </w:rPr>
        <w:t xml:space="preserve">Global Change Biology, </w:t>
      </w:r>
      <w:r w:rsidRPr="009A7AB4">
        <w:t xml:space="preserve">23: 3437-3448. </w:t>
      </w:r>
      <w:bookmarkEnd w:id="822"/>
    </w:p>
    <w:p w14:paraId="25B2B577" w14:textId="77777777" w:rsidR="009A7AB4" w:rsidRPr="009A7AB4" w:rsidRDefault="009A7AB4" w:rsidP="009A7AB4">
      <w:pPr>
        <w:pStyle w:val="EndNoteBibliography"/>
        <w:spacing w:after="0"/>
        <w:ind w:left="720" w:hanging="720"/>
      </w:pPr>
      <w:bookmarkStart w:id="823" w:name="_ENREF_151"/>
      <w:r w:rsidRPr="009A7AB4">
        <w:t xml:space="preserve">Waterhouse, J., Brodie, J., Coppo, C., Tracey, D., da Silva, E., Howley, C., Petus, C., McKenzie, L., Lewis, S., McCloskey, G., Higham, W. 2016, </w:t>
      </w:r>
      <w:r w:rsidRPr="009A7AB4">
        <w:rPr>
          <w:i/>
        </w:rPr>
        <w:t xml:space="preserve">Assessment of the relative risk of water quality to ecosystems of the eastern Cape York NRM Region, Great Barrier Reef. A report to South Cape York Catchments. TropWATER Report 16/24, </w:t>
      </w:r>
      <w:r w:rsidRPr="009A7AB4">
        <w:t>. Townsville, Australia.: TropWATER (JCU).</w:t>
      </w:r>
      <w:bookmarkEnd w:id="823"/>
    </w:p>
    <w:p w14:paraId="187E3221" w14:textId="77777777" w:rsidR="009A7AB4" w:rsidRPr="009A7AB4" w:rsidRDefault="009A7AB4" w:rsidP="009A7AB4">
      <w:pPr>
        <w:pStyle w:val="EndNoteBibliography"/>
        <w:spacing w:after="0"/>
        <w:ind w:left="720" w:hanging="720"/>
      </w:pPr>
      <w:bookmarkStart w:id="824" w:name="_ENREF_152"/>
      <w:r w:rsidRPr="009A7AB4">
        <w:t xml:space="preserve">Waterhouse, J., Lønborg, C., Logan, M., Petus, C., Tracey, D., Howley, C., Harper, E., Tonin, H., Skuza, M., Doyle, J., Costello, P., Davidson, J., Gunn, K., Wright, M., Zagorskis, I., Kroon, F. 2018, Marine Monitoring Program: Annual Report for inshore water quality monitoring 2016-2017. Report for the Great Barrier Reef Marine Park Authority. </w:t>
      </w:r>
      <w:bookmarkEnd w:id="824"/>
    </w:p>
    <w:p w14:paraId="18348779" w14:textId="77777777" w:rsidR="009A7AB4" w:rsidRPr="009A7AB4" w:rsidRDefault="009A7AB4" w:rsidP="009A7AB4">
      <w:pPr>
        <w:pStyle w:val="EndNoteBibliography"/>
        <w:spacing w:after="0"/>
        <w:ind w:left="720" w:hanging="720"/>
      </w:pPr>
      <w:bookmarkStart w:id="825" w:name="_ENREF_153"/>
      <w:r w:rsidRPr="009A7AB4">
        <w:t xml:space="preserve">Waycott, M., Collier, C., McMahon, K., Ralph, P.J., McKenzie, L.J., Udy, J.W., Grech, A. 2007, Vulnerability of seagrasses in the Great Barrier Reef to climate change - Chapter 8: . In JE Johnson &amp; PA Marshall (Eds.), </w:t>
      </w:r>
      <w:r w:rsidRPr="009A7AB4">
        <w:rPr>
          <w:i/>
        </w:rPr>
        <w:t>Climate Change and the Great Barrier Reef: A Vulnerability Assessment, Part II: Species and species groups</w:t>
      </w:r>
      <w:r w:rsidRPr="009A7AB4">
        <w:t xml:space="preserve"> (pp. 193-236). Townsville: Great Barrier Reef Marine Park Authority     </w:t>
      </w:r>
      <w:bookmarkEnd w:id="825"/>
    </w:p>
    <w:p w14:paraId="3A65E46B" w14:textId="77777777" w:rsidR="009A7AB4" w:rsidRPr="009A7AB4" w:rsidRDefault="009A7AB4" w:rsidP="009A7AB4">
      <w:pPr>
        <w:pStyle w:val="EndNoteBibliography"/>
        <w:spacing w:after="0"/>
        <w:ind w:left="720" w:hanging="720"/>
      </w:pPr>
      <w:bookmarkStart w:id="826" w:name="_ENREF_154"/>
      <w:r w:rsidRPr="009A7AB4">
        <w:t xml:space="preserve">Waycott, M., McKenzie, L.J., Mellors, J.E., Ellison, J.C., Sheaves, M.T., Collier, C., Schwarz, A.-M., Webb, A., Johnson, J., Payri, C.E. 2011, Vulnerability of mangroves, seagrasses and intertidal flats in the tropical Pacific to climate change. In JD Bell, JE Johnson &amp; AJ Hobday (Eds.), </w:t>
      </w:r>
      <w:r w:rsidRPr="009A7AB4">
        <w:rPr>
          <w:i/>
        </w:rPr>
        <w:t>Vulnerability of fisheries and aquaculture in the Pacific to climate change</w:t>
      </w:r>
      <w:r w:rsidRPr="009A7AB4">
        <w:t xml:space="preserve"> (pp. 97-168). Noumea, New Caledonia: Secretariat of the Pacific Community.</w:t>
      </w:r>
      <w:bookmarkEnd w:id="826"/>
    </w:p>
    <w:p w14:paraId="478625AB" w14:textId="77777777" w:rsidR="009A7AB4" w:rsidRPr="009A7AB4" w:rsidRDefault="009A7AB4" w:rsidP="009A7AB4">
      <w:pPr>
        <w:pStyle w:val="EndNoteBibliography"/>
        <w:spacing w:after="0"/>
        <w:ind w:left="720" w:hanging="720"/>
      </w:pPr>
      <w:bookmarkStart w:id="827" w:name="_ENREF_155"/>
      <w:r w:rsidRPr="009A7AB4">
        <w:t xml:space="preserve">Waycott, M., McMahon, K.M., Mellors, J.E., Calladine, A., Kleine, D. 2004, </w:t>
      </w:r>
      <w:r w:rsidRPr="009A7AB4">
        <w:rPr>
          <w:i/>
        </w:rPr>
        <w:t>A guide to tropical seagrasses of the Indo-West Pacific</w:t>
      </w:r>
      <w:r w:rsidRPr="009A7AB4">
        <w:t>. Townsville: James Cook University.</w:t>
      </w:r>
      <w:bookmarkEnd w:id="827"/>
    </w:p>
    <w:p w14:paraId="40A9BE80" w14:textId="77777777" w:rsidR="009A7AB4" w:rsidRPr="009A7AB4" w:rsidRDefault="009A7AB4" w:rsidP="009A7AB4">
      <w:pPr>
        <w:pStyle w:val="EndNoteBibliography"/>
        <w:spacing w:after="0"/>
        <w:ind w:left="720" w:hanging="720"/>
      </w:pPr>
      <w:bookmarkStart w:id="828" w:name="_ENREF_156"/>
      <w:r w:rsidRPr="009A7AB4">
        <w:t xml:space="preserve">Webster, I. and Ford, P. 2010, Delivery, deposition and redistribution of fine sediments within macrotidal Fitzroy Estuary/Keppel Bay: southern Great Barrier Reef, Australia. </w:t>
      </w:r>
      <w:r w:rsidRPr="009A7AB4">
        <w:rPr>
          <w:i/>
        </w:rPr>
        <w:t xml:space="preserve">Continental Shelf Research, </w:t>
      </w:r>
      <w:r w:rsidRPr="009A7AB4">
        <w:t xml:space="preserve">30: 793–805. </w:t>
      </w:r>
      <w:bookmarkEnd w:id="828"/>
    </w:p>
    <w:p w14:paraId="11E5D559" w14:textId="77777777" w:rsidR="009A7AB4" w:rsidRPr="009A7AB4" w:rsidRDefault="009A7AB4" w:rsidP="009A7AB4">
      <w:pPr>
        <w:pStyle w:val="EndNoteBibliography"/>
        <w:spacing w:after="0"/>
        <w:ind w:left="720" w:hanging="720"/>
      </w:pPr>
      <w:bookmarkStart w:id="829" w:name="_ENREF_157"/>
      <w:r w:rsidRPr="009A7AB4">
        <w:t xml:space="preserve">Whinney, J. (2007). </w:t>
      </w:r>
      <w:r w:rsidRPr="009A7AB4">
        <w:rPr>
          <w:i/>
        </w:rPr>
        <w:t>Physical conditions on marginal coral reefs.</w:t>
      </w:r>
      <w:r w:rsidRPr="009A7AB4">
        <w:t xml:space="preserve"> PhD, James Cook University, Townsville.   </w:t>
      </w:r>
      <w:bookmarkEnd w:id="829"/>
    </w:p>
    <w:p w14:paraId="4798BC6E" w14:textId="77777777" w:rsidR="009A7AB4" w:rsidRPr="009A7AB4" w:rsidRDefault="009A7AB4" w:rsidP="009A7AB4">
      <w:pPr>
        <w:pStyle w:val="EndNoteBibliography"/>
        <w:spacing w:after="0"/>
        <w:ind w:left="720" w:hanging="720"/>
      </w:pPr>
      <w:bookmarkStart w:id="830" w:name="_ENREF_158"/>
      <w:r w:rsidRPr="009A7AB4">
        <w:lastRenderedPageBreak/>
        <w:t xml:space="preserve">Wood, S. 2014, Mixed GAM Computation Vehicle with GCV/AIC/REML Smoothness Estimation, version 1.8-9. </w:t>
      </w:r>
      <w:r w:rsidRPr="009A7AB4">
        <w:rPr>
          <w:i/>
        </w:rPr>
        <w:t>Comprehensive R Archive Network</w:t>
      </w:r>
      <w:r w:rsidRPr="009A7AB4">
        <w:t xml:space="preserve">(cran.r-project.org): 10. </w:t>
      </w:r>
      <w:bookmarkEnd w:id="830"/>
    </w:p>
    <w:p w14:paraId="0B011FFB" w14:textId="77777777" w:rsidR="009A7AB4" w:rsidRPr="009A7AB4" w:rsidRDefault="009A7AB4" w:rsidP="009A7AB4">
      <w:pPr>
        <w:pStyle w:val="EndNoteBibliography"/>
        <w:spacing w:after="0"/>
        <w:ind w:left="720" w:hanging="720"/>
      </w:pPr>
      <w:bookmarkStart w:id="831" w:name="_ENREF_159"/>
      <w:r w:rsidRPr="009A7AB4">
        <w:t xml:space="preserve">Wood, S.N. 2006, </w:t>
      </w:r>
      <w:r w:rsidRPr="009A7AB4">
        <w:rPr>
          <w:i/>
        </w:rPr>
        <w:t>Generalized Additive Models: An Introduction with R</w:t>
      </w:r>
      <w:r w:rsidRPr="009A7AB4">
        <w:t>: Chapman &amp; Hall/CRC.</w:t>
      </w:r>
      <w:bookmarkEnd w:id="831"/>
    </w:p>
    <w:p w14:paraId="56D51DC1" w14:textId="5ED924F7" w:rsidR="009A7AB4" w:rsidRPr="009A7AB4" w:rsidRDefault="009A7AB4" w:rsidP="009A7AB4">
      <w:pPr>
        <w:pStyle w:val="EndNoteBibliography"/>
        <w:ind w:left="720" w:hanging="720"/>
      </w:pPr>
      <w:bookmarkStart w:id="832" w:name="_ENREF_160"/>
      <w:r w:rsidRPr="009A7AB4">
        <w:t xml:space="preserve">York, P.H., Carter, A.B., Chartrand, K., Sankey, T., Wells, L., Rasheed, M.A. 2015, Dynamics of a deep-water seagrass population on the Great Barrier Reef: annual occurrence and response to a major dredging program. </w:t>
      </w:r>
      <w:r w:rsidRPr="009A7AB4">
        <w:rPr>
          <w:i/>
        </w:rPr>
        <w:t xml:space="preserve">Scientific Reports, </w:t>
      </w:r>
      <w:r w:rsidRPr="009A7AB4">
        <w:t xml:space="preserve">5: 13167. doi: 10.1038/srep13167 </w:t>
      </w:r>
      <w:hyperlink r:id="rId178" w:anchor="supplementary-information" w:history="1">
        <w:r w:rsidRPr="009A7AB4">
          <w:rPr>
            <w:rStyle w:val="Hyperlink"/>
          </w:rPr>
          <w:t>http://www.nature.com/articles/srep13167#supplementary-information</w:t>
        </w:r>
        <w:bookmarkEnd w:id="832"/>
      </w:hyperlink>
    </w:p>
    <w:p w14:paraId="6D281AD8" w14:textId="2AC15B37" w:rsidR="00676C85" w:rsidRPr="00C57FC5" w:rsidRDefault="009A0520" w:rsidP="00676C85">
      <w:pPr>
        <w:ind w:left="720" w:hanging="720"/>
        <w:rPr>
          <w:rFonts w:cs="Arial"/>
          <w:color w:val="000000"/>
          <w:szCs w:val="22"/>
        </w:rPr>
      </w:pPr>
      <w:r w:rsidRPr="00652AFB">
        <w:rPr>
          <w:rFonts w:cs="Arial"/>
          <w:szCs w:val="22"/>
          <w:lang w:val="x-none"/>
        </w:rPr>
        <w:fldChar w:fldCharType="end"/>
      </w:r>
    </w:p>
    <w:p w14:paraId="546A1DCA" w14:textId="77777777" w:rsidR="00676C85" w:rsidRPr="00C57FC5" w:rsidRDefault="00676C85" w:rsidP="00676C85">
      <w:pPr>
        <w:rPr>
          <w:rFonts w:cs="Arial"/>
          <w:szCs w:val="22"/>
        </w:rPr>
      </w:pPr>
    </w:p>
    <w:p w14:paraId="0605BBB5" w14:textId="541F8693" w:rsidR="00C57FC5" w:rsidRDefault="00C57FC5">
      <w:pPr>
        <w:spacing w:before="0" w:after="0"/>
        <w:rPr>
          <w:rFonts w:cs="Arial"/>
          <w:szCs w:val="22"/>
        </w:rPr>
      </w:pPr>
      <w:r>
        <w:rPr>
          <w:rFonts w:cs="Arial"/>
          <w:szCs w:val="22"/>
        </w:rPr>
        <w:br w:type="page"/>
      </w:r>
    </w:p>
    <w:p w14:paraId="587A8859" w14:textId="77777777" w:rsidR="00676C85" w:rsidRPr="00C57FC5" w:rsidRDefault="00676C85" w:rsidP="00676C85">
      <w:pPr>
        <w:rPr>
          <w:rFonts w:cs="Arial"/>
          <w:szCs w:val="22"/>
        </w:rPr>
      </w:pPr>
    </w:p>
    <w:p w14:paraId="24FEC2C2" w14:textId="77777777" w:rsidR="00676C85" w:rsidRPr="00CB093C" w:rsidRDefault="00676C85" w:rsidP="00676C85">
      <w:pPr>
        <w:rPr>
          <w:rFonts w:cs="Arial"/>
          <w:szCs w:val="22"/>
        </w:rPr>
      </w:pPr>
    </w:p>
    <w:p w14:paraId="5C824233" w14:textId="77777777" w:rsidR="00676C85" w:rsidRPr="00CB093C" w:rsidRDefault="00676C85" w:rsidP="00676C85">
      <w:pPr>
        <w:rPr>
          <w:rFonts w:cs="Arial"/>
          <w:szCs w:val="22"/>
        </w:rPr>
      </w:pPr>
    </w:p>
    <w:p w14:paraId="0C328170" w14:textId="2B04579E" w:rsidR="00676C85" w:rsidRPr="00CB093C" w:rsidRDefault="00676C85" w:rsidP="00DD3376">
      <w:pPr>
        <w:pStyle w:val="Heading1"/>
        <w:numPr>
          <w:ilvl w:val="0"/>
          <w:numId w:val="6"/>
        </w:numPr>
      </w:pPr>
      <w:bookmarkStart w:id="833" w:name="_Ref534357564"/>
      <w:bookmarkStart w:id="834" w:name="_Toc37775126"/>
      <w:bookmarkStart w:id="835" w:name="_Toc43987101"/>
      <w:r w:rsidRPr="00CB093C">
        <w:t>Case stud</w:t>
      </w:r>
      <w:bookmarkEnd w:id="833"/>
      <w:r w:rsidR="003A4E60">
        <w:t>y</w:t>
      </w:r>
      <w:bookmarkEnd w:id="834"/>
      <w:bookmarkEnd w:id="835"/>
    </w:p>
    <w:p w14:paraId="089C502D" w14:textId="77777777" w:rsidR="00676C85" w:rsidRPr="00CB093C" w:rsidRDefault="00676C85" w:rsidP="00676C85">
      <w:pPr>
        <w:rPr>
          <w:rFonts w:cs="Arial"/>
          <w:szCs w:val="22"/>
        </w:rPr>
      </w:pPr>
    </w:p>
    <w:p w14:paraId="6FBC8172" w14:textId="77777777" w:rsidR="00676C85" w:rsidRPr="00CB093C" w:rsidRDefault="00676C85" w:rsidP="00676C85">
      <w:pPr>
        <w:rPr>
          <w:rFonts w:cs="Arial"/>
          <w:szCs w:val="22"/>
        </w:rPr>
      </w:pPr>
    </w:p>
    <w:p w14:paraId="2DBEEDF9" w14:textId="77777777" w:rsidR="00676C85" w:rsidRPr="00CB093C" w:rsidRDefault="00676C85" w:rsidP="00676C85">
      <w:pPr>
        <w:rPr>
          <w:rFonts w:cs="Arial"/>
          <w:szCs w:val="22"/>
        </w:rPr>
      </w:pPr>
    </w:p>
    <w:p w14:paraId="10BC312B" w14:textId="77777777" w:rsidR="00676C85" w:rsidRPr="00CB093C" w:rsidRDefault="00676C85" w:rsidP="00676C85">
      <w:pPr>
        <w:rPr>
          <w:rFonts w:cs="Arial"/>
          <w:szCs w:val="22"/>
        </w:rPr>
      </w:pPr>
    </w:p>
    <w:p w14:paraId="1EB6EB95" w14:textId="77777777" w:rsidR="00676C85" w:rsidRPr="00CB093C" w:rsidRDefault="00676C85" w:rsidP="00676C85">
      <w:pPr>
        <w:rPr>
          <w:rFonts w:cs="Arial"/>
          <w:szCs w:val="22"/>
        </w:rPr>
      </w:pPr>
    </w:p>
    <w:p w14:paraId="36D95228" w14:textId="4F8086D9" w:rsidR="00676C85" w:rsidRPr="00E66F33" w:rsidRDefault="00676C85" w:rsidP="00E66F33">
      <w:pPr>
        <w:spacing w:before="60" w:after="60"/>
        <w:rPr>
          <w:rFonts w:cs="Arial"/>
          <w:szCs w:val="22"/>
        </w:rPr>
      </w:pPr>
      <w:r w:rsidRPr="00CB093C">
        <w:rPr>
          <w:rFonts w:cs="Arial"/>
          <w:color w:val="000000"/>
          <w:szCs w:val="22"/>
        </w:rPr>
        <w:br w:type="page"/>
      </w:r>
    </w:p>
    <w:p w14:paraId="524F1337" w14:textId="77777777" w:rsidR="00D355BA" w:rsidRDefault="00D355BA" w:rsidP="00D355BA">
      <w:pPr>
        <w:pStyle w:val="Heading2"/>
        <w:numPr>
          <w:ilvl w:val="0"/>
          <w:numId w:val="0"/>
        </w:numPr>
      </w:pPr>
      <w:bookmarkStart w:id="836" w:name="_Toc5615883"/>
      <w:bookmarkStart w:id="837" w:name="_Toc28249473"/>
      <w:bookmarkStart w:id="838" w:name="_Toc43987102"/>
      <w:r>
        <w:lastRenderedPageBreak/>
        <w:t>Leaf tissue nutrient</w:t>
      </w:r>
      <w:r w:rsidRPr="00676C85">
        <w:t xml:space="preserve"> </w:t>
      </w:r>
      <w:r>
        <w:t>C:N ratio in relation to water quality</w:t>
      </w:r>
      <w:r w:rsidRPr="00676C85">
        <w:t>: Model assessment and implications for report card metrics</w:t>
      </w:r>
      <w:bookmarkEnd w:id="836"/>
      <w:bookmarkEnd w:id="837"/>
      <w:bookmarkEnd w:id="838"/>
    </w:p>
    <w:p w14:paraId="3EA0FD2C" w14:textId="77777777" w:rsidR="00D355BA" w:rsidRPr="00D562E2" w:rsidRDefault="00D355BA" w:rsidP="00D355BA">
      <w:pPr>
        <w:rPr>
          <w:rFonts w:cs="Arial"/>
          <w:szCs w:val="22"/>
        </w:rPr>
      </w:pPr>
      <w:r w:rsidRPr="00D562E2">
        <w:rPr>
          <w:rFonts w:cs="Arial"/>
          <w:szCs w:val="22"/>
        </w:rPr>
        <w:t>Lucas Langlois</w:t>
      </w:r>
      <w:r w:rsidRPr="00D562E2">
        <w:rPr>
          <w:rFonts w:cs="Arial"/>
          <w:szCs w:val="22"/>
          <w:vertAlign w:val="superscript"/>
        </w:rPr>
        <w:t>1</w:t>
      </w:r>
      <w:r w:rsidRPr="00D562E2">
        <w:rPr>
          <w:rFonts w:cs="Arial"/>
          <w:szCs w:val="22"/>
        </w:rPr>
        <w:t>, Catherine J. Collier</w:t>
      </w:r>
      <w:r w:rsidRPr="00D562E2">
        <w:rPr>
          <w:rFonts w:cs="Arial"/>
          <w:szCs w:val="22"/>
          <w:vertAlign w:val="superscript"/>
        </w:rPr>
        <w:t>1</w:t>
      </w:r>
      <w:r w:rsidRPr="00D562E2">
        <w:rPr>
          <w:rFonts w:cs="Arial"/>
          <w:szCs w:val="22"/>
        </w:rPr>
        <w:t xml:space="preserve">, </w:t>
      </w:r>
      <w:r>
        <w:rPr>
          <w:rFonts w:cs="Arial"/>
          <w:szCs w:val="22"/>
        </w:rPr>
        <w:t xml:space="preserve">Stephen </w:t>
      </w:r>
      <w:r w:rsidRPr="00D562E2">
        <w:rPr>
          <w:rFonts w:cs="Arial"/>
          <w:szCs w:val="22"/>
        </w:rPr>
        <w:t>Lewis</w:t>
      </w:r>
      <w:r>
        <w:rPr>
          <w:rFonts w:cs="Arial"/>
          <w:szCs w:val="22"/>
          <w:vertAlign w:val="superscript"/>
        </w:rPr>
        <w:t>2</w:t>
      </w:r>
      <w:r>
        <w:rPr>
          <w:rFonts w:cs="Arial"/>
          <w:szCs w:val="22"/>
        </w:rPr>
        <w:t>, Dieter Tracey</w:t>
      </w:r>
      <w:r w:rsidRPr="00D562E2">
        <w:rPr>
          <w:rFonts w:cs="Arial"/>
          <w:szCs w:val="22"/>
          <w:vertAlign w:val="superscript"/>
        </w:rPr>
        <w:t>2</w:t>
      </w:r>
      <w:r w:rsidRPr="00D562E2">
        <w:rPr>
          <w:rFonts w:cs="Arial"/>
          <w:szCs w:val="22"/>
        </w:rPr>
        <w:t>, Rene</w:t>
      </w:r>
      <w:r>
        <w:rPr>
          <w:rFonts w:cs="Arial"/>
          <w:szCs w:val="22"/>
        </w:rPr>
        <w:t>e</w:t>
      </w:r>
      <w:r w:rsidRPr="00D562E2">
        <w:rPr>
          <w:rFonts w:cs="Arial"/>
          <w:szCs w:val="22"/>
        </w:rPr>
        <w:t xml:space="preserve"> Gruber</w:t>
      </w:r>
      <w:r w:rsidRPr="00D562E2">
        <w:rPr>
          <w:rFonts w:cs="Arial"/>
          <w:szCs w:val="22"/>
          <w:vertAlign w:val="superscript"/>
        </w:rPr>
        <w:t>3</w:t>
      </w:r>
      <w:r w:rsidRPr="00D562E2">
        <w:rPr>
          <w:rFonts w:cs="Arial"/>
          <w:szCs w:val="22"/>
        </w:rPr>
        <w:t>, Len J. McKenzie</w:t>
      </w:r>
      <w:r w:rsidRPr="00D562E2">
        <w:rPr>
          <w:rFonts w:cs="Arial"/>
          <w:szCs w:val="22"/>
          <w:vertAlign w:val="superscript"/>
        </w:rPr>
        <w:t>1</w:t>
      </w:r>
    </w:p>
    <w:p w14:paraId="411D52CE" w14:textId="77777777" w:rsidR="00D355BA" w:rsidRPr="00447832" w:rsidRDefault="00D355BA" w:rsidP="00D355BA">
      <w:pPr>
        <w:rPr>
          <w:rFonts w:ascii="Arial Narrow" w:hAnsi="Arial Narrow" w:cs="Arial"/>
          <w:sz w:val="18"/>
          <w:szCs w:val="18"/>
        </w:rPr>
      </w:pPr>
      <w:r w:rsidRPr="00447832">
        <w:rPr>
          <w:rFonts w:ascii="Arial Narrow" w:hAnsi="Arial Narrow" w:cs="Arial"/>
          <w:sz w:val="18"/>
          <w:szCs w:val="18"/>
          <w:vertAlign w:val="superscript"/>
        </w:rPr>
        <w:t>1</w:t>
      </w:r>
      <w:r w:rsidRPr="00447832">
        <w:rPr>
          <w:rFonts w:ascii="Arial Narrow" w:hAnsi="Arial Narrow" w:cs="Arial"/>
          <w:sz w:val="18"/>
          <w:szCs w:val="18"/>
        </w:rPr>
        <w:t xml:space="preserve"> Centre for Tropical Water &amp; Aquatic Ecosystem Research (TropWATER), James Cook University, Cairns, Australia</w:t>
      </w:r>
      <w:r w:rsidRPr="00447832">
        <w:rPr>
          <w:rFonts w:ascii="Arial Narrow" w:hAnsi="Arial Narrow" w:cs="Arial"/>
          <w:sz w:val="18"/>
          <w:szCs w:val="18"/>
        </w:rPr>
        <w:br/>
      </w:r>
      <w:r w:rsidRPr="00447832">
        <w:rPr>
          <w:rFonts w:ascii="Arial Narrow" w:hAnsi="Arial Narrow" w:cs="Arial"/>
          <w:sz w:val="18"/>
          <w:szCs w:val="18"/>
          <w:vertAlign w:val="superscript"/>
        </w:rPr>
        <w:t xml:space="preserve">2 </w:t>
      </w:r>
      <w:r w:rsidRPr="00447832">
        <w:rPr>
          <w:rFonts w:ascii="Arial Narrow" w:hAnsi="Arial Narrow" w:cs="Arial"/>
          <w:sz w:val="18"/>
          <w:szCs w:val="18"/>
        </w:rPr>
        <w:t>Centre for Tropical Water &amp; Aquatic Ecosystem Research (TropWATER), James Cook University, Townsville, Australia</w:t>
      </w:r>
      <w:r w:rsidRPr="00447832">
        <w:rPr>
          <w:rFonts w:ascii="Arial Narrow" w:hAnsi="Arial Narrow" w:cs="Arial"/>
          <w:sz w:val="18"/>
          <w:szCs w:val="18"/>
        </w:rPr>
        <w:br/>
      </w:r>
      <w:r w:rsidRPr="00447832">
        <w:rPr>
          <w:rFonts w:ascii="Arial Narrow" w:hAnsi="Arial Narrow" w:cs="Arial"/>
          <w:sz w:val="18"/>
          <w:szCs w:val="18"/>
          <w:vertAlign w:val="superscript"/>
        </w:rPr>
        <w:t>3</w:t>
      </w:r>
      <w:r w:rsidRPr="00447832">
        <w:rPr>
          <w:rFonts w:ascii="Arial Narrow" w:hAnsi="Arial Narrow" w:cs="Arial"/>
          <w:sz w:val="18"/>
          <w:szCs w:val="18"/>
        </w:rPr>
        <w:t xml:space="preserve"> Australian Institute of Marine Science, Townsville, Australia</w:t>
      </w:r>
    </w:p>
    <w:p w14:paraId="1CFE902A" w14:textId="77777777" w:rsidR="00D355BA" w:rsidRPr="00AE7F39" w:rsidRDefault="00D355BA" w:rsidP="00D355BA">
      <w:pPr>
        <w:pStyle w:val="Heading3"/>
        <w:numPr>
          <w:ilvl w:val="0"/>
          <w:numId w:val="0"/>
        </w:numPr>
      </w:pPr>
      <w:bookmarkStart w:id="839" w:name="_Toc43987103"/>
      <w:r w:rsidRPr="00AE7F39">
        <w:t>Executive summary</w:t>
      </w:r>
      <w:bookmarkEnd w:id="839"/>
    </w:p>
    <w:p w14:paraId="6CED613D" w14:textId="77777777" w:rsidR="00D355BA" w:rsidRDefault="00D355BA" w:rsidP="00D355BA">
      <w:pPr>
        <w:rPr>
          <w:rFonts w:cs="Arial"/>
          <w:szCs w:val="22"/>
        </w:rPr>
      </w:pPr>
      <w:r w:rsidRPr="00AE7F39">
        <w:rPr>
          <w:rFonts w:cs="Arial"/>
          <w:szCs w:val="22"/>
        </w:rPr>
        <w:t xml:space="preserve">Seagrass leaf tissue C:N </w:t>
      </w:r>
      <w:r>
        <w:rPr>
          <w:rFonts w:cs="Arial"/>
          <w:szCs w:val="22"/>
        </w:rPr>
        <w:t xml:space="preserve">is one of three metrics that form the seagrass health Index for annual reporting through the Paddock to Reef Program. Leaf tissue C:N </w:t>
      </w:r>
      <w:r w:rsidRPr="004A409C">
        <w:rPr>
          <w:rFonts w:cs="Arial"/>
          <w:szCs w:val="22"/>
        </w:rPr>
        <w:t xml:space="preserve">is a measure that integrates </w:t>
      </w:r>
      <w:r>
        <w:rPr>
          <w:rFonts w:cs="Arial"/>
          <w:szCs w:val="22"/>
        </w:rPr>
        <w:t>concentrations of nitrogen in the water column and sediment, as well as photosynthetic carbon uptake and light availability. The suitability of leaf tissue nutrient as a metric is reported from a retrospective analysis, which aimed to:</w:t>
      </w:r>
    </w:p>
    <w:p w14:paraId="69B85406" w14:textId="77777777" w:rsidR="00D355BA" w:rsidRPr="00810A38" w:rsidRDefault="00D355BA" w:rsidP="00D355BA">
      <w:pPr>
        <w:pStyle w:val="ListParagraph"/>
        <w:numPr>
          <w:ilvl w:val="1"/>
          <w:numId w:val="17"/>
        </w:numPr>
        <w:spacing w:before="60" w:after="60"/>
        <w:ind w:left="568" w:hanging="284"/>
        <w:contextualSpacing w:val="0"/>
        <w:rPr>
          <w:rFonts w:cs="Arial"/>
          <w:szCs w:val="22"/>
        </w:rPr>
      </w:pPr>
      <w:r w:rsidRPr="00810A38">
        <w:rPr>
          <w:rFonts w:cs="Arial"/>
          <w:szCs w:val="22"/>
        </w:rPr>
        <w:t>summarise lea</w:t>
      </w:r>
      <w:r>
        <w:rPr>
          <w:rFonts w:cs="Arial"/>
          <w:szCs w:val="22"/>
        </w:rPr>
        <w:t>f tissue C:N from 2005 to 2018. C:N was measured in all foundational species</w:t>
      </w:r>
      <w:r>
        <w:rPr>
          <w:rStyle w:val="FootnoteReference"/>
          <w:szCs w:val="22"/>
        </w:rPr>
        <w:footnoteReference w:id="2"/>
      </w:r>
      <w:r>
        <w:rPr>
          <w:rFonts w:cs="Arial"/>
          <w:szCs w:val="22"/>
        </w:rPr>
        <w:t xml:space="preserve"> in the late dry season. The median C:N for seagrasses of the Reef was 17.3, but there was variability among the different seagrass species.</w:t>
      </w:r>
    </w:p>
    <w:p w14:paraId="5F7C558D" w14:textId="77777777" w:rsidR="00D355BA" w:rsidRPr="00582832" w:rsidRDefault="00D355BA" w:rsidP="00D355BA">
      <w:pPr>
        <w:pStyle w:val="ListParagraph"/>
        <w:numPr>
          <w:ilvl w:val="1"/>
          <w:numId w:val="17"/>
        </w:numPr>
        <w:spacing w:before="60" w:after="60"/>
        <w:ind w:left="568" w:hanging="284"/>
        <w:contextualSpacing w:val="0"/>
        <w:rPr>
          <w:rFonts w:cs="Arial"/>
          <w:szCs w:val="22"/>
          <w:lang w:val="en-US"/>
        </w:rPr>
      </w:pPr>
      <w:r w:rsidRPr="00582832">
        <w:rPr>
          <w:rFonts w:cs="Arial"/>
          <w:szCs w:val="22"/>
        </w:rPr>
        <w:t xml:space="preserve">test whether </w:t>
      </w:r>
      <w:r w:rsidRPr="00582832">
        <w:rPr>
          <w:rFonts w:cs="Arial"/>
          <w:szCs w:val="22"/>
          <w:lang w:val="en-US"/>
        </w:rPr>
        <w:t xml:space="preserve">C:N varies in a consistent and predictable way related to past water quality. </w:t>
      </w:r>
      <w:r w:rsidRPr="00582832">
        <w:rPr>
          <w:rFonts w:cs="Arial"/>
          <w:szCs w:val="22"/>
        </w:rPr>
        <w:t xml:space="preserve">There is no on-going nutrient monitoring at seagrass monitoring sites, so the annual dissolved inorganic nitrogen (DIN) exposure </w:t>
      </w:r>
      <w:r w:rsidRPr="00582832">
        <w:rPr>
          <w:rFonts w:cs="Arial"/>
          <w:szCs w:val="22"/>
        </w:rPr>
        <w:lastRenderedPageBreak/>
        <w:t xml:space="preserve">was estimated from a 2-dimensional loading model, and benthic light reaching seagrass leaves was measured using </w:t>
      </w:r>
      <w:r w:rsidRPr="00582832">
        <w:rPr>
          <w:rFonts w:cs="Arial"/>
          <w:i/>
          <w:szCs w:val="22"/>
        </w:rPr>
        <w:t>in situ</w:t>
      </w:r>
      <w:r w:rsidRPr="00582832">
        <w:rPr>
          <w:rFonts w:cs="Arial"/>
          <w:szCs w:val="22"/>
        </w:rPr>
        <w:t xml:space="preserve"> light loggers and summarised as an annual average. There was a </w:t>
      </w:r>
      <w:r>
        <w:rPr>
          <w:rFonts w:cs="Arial"/>
          <w:szCs w:val="22"/>
        </w:rPr>
        <w:t>weak</w:t>
      </w:r>
      <w:r w:rsidRPr="00582832">
        <w:rPr>
          <w:rFonts w:cs="Arial"/>
          <w:szCs w:val="22"/>
        </w:rPr>
        <w:t xml:space="preserve"> relationship between relative DIN exposure and C:N for all species pooled, whereby C:N ratios decreased as DIN exposure increased. There was also a relationship between light and C:N ratios, where greater light availability correlated with higher C:N ratios, although this trend varied by habitat and sub-region. These trends were the most distinct in coastal habitats where there is high inter-annual variability in relative DIN exposure and light, but in estuarine and reef habitats, the response to DIN exposure was affected by the light history of the site. These relationships were also less distinct when testing on species individually, and when comparing against </w:t>
      </w:r>
      <w:r w:rsidRPr="00582832">
        <w:rPr>
          <w:rFonts w:cs="Arial"/>
          <w:i/>
          <w:szCs w:val="22"/>
        </w:rPr>
        <w:t>in situ</w:t>
      </w:r>
      <w:r w:rsidRPr="00582832">
        <w:rPr>
          <w:rFonts w:cs="Arial"/>
          <w:szCs w:val="22"/>
        </w:rPr>
        <w:t xml:space="preserve"> water quality monitoring data (available for reef sites only).</w:t>
      </w:r>
    </w:p>
    <w:p w14:paraId="3FEAE73A" w14:textId="77777777" w:rsidR="00D355BA" w:rsidRPr="00582832" w:rsidRDefault="00D355BA" w:rsidP="00D355BA">
      <w:pPr>
        <w:pStyle w:val="ListParagraph"/>
        <w:numPr>
          <w:ilvl w:val="1"/>
          <w:numId w:val="17"/>
        </w:numPr>
        <w:spacing w:before="60" w:after="60"/>
        <w:ind w:left="568" w:hanging="284"/>
        <w:contextualSpacing w:val="0"/>
        <w:rPr>
          <w:rFonts w:cs="Arial"/>
          <w:szCs w:val="22"/>
        </w:rPr>
      </w:pPr>
      <w:r w:rsidRPr="00582832">
        <w:rPr>
          <w:rFonts w:cs="Arial"/>
          <w:szCs w:val="22"/>
          <w:lang w:val="en-US"/>
        </w:rPr>
        <w:t xml:space="preserve">test whether C:N is an early-warning indicator of changes in seagrass condition. </w:t>
      </w:r>
      <w:r w:rsidRPr="00582832">
        <w:rPr>
          <w:rFonts w:cs="Arial"/>
          <w:szCs w:val="22"/>
        </w:rPr>
        <w:t xml:space="preserve">There was no consistent trend in the C:N indicator and future changes in seagrass per cent cover, indicating that it is not an early-warning indicator when applied over the time-scales tested here. The inconsistent and unpredictable responses of C:N to the water quality variables may be related to the lack of variation in the water quality variables when summarised over annual time-scales. Furthermore, our models may also have been unable to account for the complexity of environmental conditions, and the dynamic nature of seagrass meadows in the Reef. </w:t>
      </w:r>
    </w:p>
    <w:p w14:paraId="31B57037" w14:textId="77777777" w:rsidR="00D355BA" w:rsidRPr="00810A38" w:rsidRDefault="00D355BA" w:rsidP="00D355BA">
      <w:pPr>
        <w:pStyle w:val="ListParagraph"/>
        <w:numPr>
          <w:ilvl w:val="1"/>
          <w:numId w:val="17"/>
        </w:numPr>
        <w:spacing w:before="60" w:after="60"/>
        <w:ind w:left="568" w:hanging="284"/>
        <w:contextualSpacing w:val="0"/>
        <w:rPr>
          <w:rFonts w:cs="Arial"/>
          <w:szCs w:val="22"/>
        </w:rPr>
      </w:pPr>
      <w:r w:rsidRPr="00810A38">
        <w:rPr>
          <w:rFonts w:cs="Arial"/>
          <w:szCs w:val="22"/>
          <w:lang w:val="en-US"/>
        </w:rPr>
        <w:t xml:space="preserve">explore </w:t>
      </w:r>
      <w:r w:rsidRPr="00810A38">
        <w:rPr>
          <w:rFonts w:cs="Arial"/>
          <w:szCs w:val="22"/>
        </w:rPr>
        <w:t>the effect of including C:N as a metric in the seagrass health index.</w:t>
      </w:r>
      <w:r>
        <w:rPr>
          <w:rFonts w:cs="Arial"/>
          <w:szCs w:val="22"/>
        </w:rPr>
        <w:t xml:space="preserve"> In general, the C:N metric elevates the seagrass health score, and as such down-weighting or removing the C:N score reduces the overall index, especially in the Fitzroy and Burnett-Mary regions.</w:t>
      </w:r>
    </w:p>
    <w:p w14:paraId="189EC726" w14:textId="77777777" w:rsidR="00D355BA" w:rsidRPr="001F0E92" w:rsidRDefault="00D355BA" w:rsidP="00D355BA">
      <w:pPr>
        <w:pStyle w:val="Heading3"/>
        <w:numPr>
          <w:ilvl w:val="0"/>
          <w:numId w:val="0"/>
        </w:numPr>
      </w:pPr>
      <w:bookmarkStart w:id="840" w:name="_Toc28249474"/>
      <w:bookmarkStart w:id="841" w:name="_Toc43987104"/>
      <w:r w:rsidRPr="001F0E92">
        <w:t>Introduction</w:t>
      </w:r>
      <w:bookmarkEnd w:id="840"/>
      <w:bookmarkEnd w:id="841"/>
    </w:p>
    <w:p w14:paraId="1E4AB621" w14:textId="77777777" w:rsidR="00D355BA" w:rsidRDefault="00D355BA" w:rsidP="00D355BA">
      <w:pPr>
        <w:rPr>
          <w:rFonts w:cs="Arial"/>
          <w:szCs w:val="22"/>
        </w:rPr>
      </w:pPr>
      <w:r w:rsidRPr="00D845D6">
        <w:rPr>
          <w:rFonts w:cs="Arial"/>
          <w:szCs w:val="22"/>
        </w:rPr>
        <w:t>Water quality in the inshore Reef</w:t>
      </w:r>
      <w:r>
        <w:rPr>
          <w:rFonts w:cs="Arial"/>
          <w:szCs w:val="22"/>
        </w:rPr>
        <w:t xml:space="preserve"> has declined since European settlement as a result of increasing loads from land-based run-off of sediment, nitrogen and phosphorus (Schaffelke et al. 2017). This is a major cause of concern for many of the inshore coastal and marine ecosystems (Waterhouse et al. 2017). The Great Barrier Reef Marine Monitoring Program (MMP) tracks the health of </w:t>
      </w:r>
      <w:r>
        <w:rPr>
          <w:rFonts w:cs="Arial"/>
          <w:szCs w:val="22"/>
        </w:rPr>
        <w:lastRenderedPageBreak/>
        <w:t xml:space="preserve">coral and seagrass as key habitats of these inshore ecosystems. Seagrasses are well-recognised indicators of environmental pressures such as water quality, and are vitally-important component of the inshore ecosystems of the Reef (McKenzie et al. 2020). </w:t>
      </w:r>
    </w:p>
    <w:p w14:paraId="3339C1BE" w14:textId="77777777" w:rsidR="00D355BA" w:rsidRPr="004A409C" w:rsidRDefault="00D355BA" w:rsidP="00D355BA">
      <w:pPr>
        <w:rPr>
          <w:rFonts w:cs="Arial"/>
          <w:szCs w:val="22"/>
        </w:rPr>
      </w:pPr>
      <w:r w:rsidRPr="004A409C">
        <w:rPr>
          <w:rFonts w:cs="Arial"/>
          <w:szCs w:val="22"/>
        </w:rPr>
        <w:t xml:space="preserve">Water quality can affect seagrasses through multiple impact pathways. Suspended particulate matter (SPM), including sediment, plankton and </w:t>
      </w:r>
      <w:r>
        <w:rPr>
          <w:rFonts w:cs="Arial"/>
          <w:szCs w:val="22"/>
        </w:rPr>
        <w:t>detritus</w:t>
      </w:r>
      <w:r w:rsidRPr="004A409C">
        <w:rPr>
          <w:rFonts w:cs="Arial"/>
          <w:szCs w:val="22"/>
        </w:rPr>
        <w:t xml:space="preserve">, attenuates light as it passes through the water column and reduces the light reaching benthic communities such as seagrasses </w:t>
      </w:r>
      <w:r>
        <w:rPr>
          <w:rFonts w:cs="Arial"/>
          <w:szCs w:val="22"/>
        </w:rPr>
        <w:t xml:space="preserve">(Waycott et al. 2009; </w:t>
      </w:r>
      <w:r w:rsidRPr="004A409C">
        <w:rPr>
          <w:rFonts w:cs="Arial"/>
          <w:szCs w:val="22"/>
        </w:rPr>
        <w:t>Kirk 2011; Bainbridge et al. 2018</w:t>
      </w:r>
      <w:r>
        <w:rPr>
          <w:rFonts w:cs="Arial"/>
          <w:szCs w:val="22"/>
        </w:rPr>
        <w:t>)</w:t>
      </w:r>
      <w:r w:rsidRPr="004A409C">
        <w:rPr>
          <w:rFonts w:cs="Arial"/>
          <w:szCs w:val="22"/>
        </w:rPr>
        <w:t xml:space="preserve">. </w:t>
      </w:r>
      <w:r>
        <w:rPr>
          <w:rFonts w:cs="Arial"/>
          <w:szCs w:val="22"/>
        </w:rPr>
        <w:t>Less light is therefore</w:t>
      </w:r>
      <w:r w:rsidRPr="004A409C">
        <w:rPr>
          <w:rFonts w:cs="Arial"/>
          <w:szCs w:val="22"/>
        </w:rPr>
        <w:t xml:space="preserve"> available for photosynthetic carbon fixation,</w:t>
      </w:r>
      <w:r>
        <w:rPr>
          <w:rFonts w:cs="Arial"/>
          <w:szCs w:val="22"/>
        </w:rPr>
        <w:t xml:space="preserve"> which can result in lower internal carbon concentrations and reduced seagrass leaf tissue carbon content. Persistently low carbon fixation and the ensuing carbon deficit leads to </w:t>
      </w:r>
      <w:r w:rsidRPr="004A409C">
        <w:rPr>
          <w:rFonts w:cs="Arial"/>
          <w:szCs w:val="22"/>
        </w:rPr>
        <w:t>deplet</w:t>
      </w:r>
      <w:r>
        <w:rPr>
          <w:rFonts w:cs="Arial"/>
          <w:szCs w:val="22"/>
        </w:rPr>
        <w:t>ion of</w:t>
      </w:r>
      <w:r w:rsidRPr="004A409C">
        <w:rPr>
          <w:rFonts w:cs="Arial"/>
          <w:szCs w:val="22"/>
        </w:rPr>
        <w:t xml:space="preserve"> internal</w:t>
      </w:r>
      <w:r>
        <w:rPr>
          <w:rFonts w:cs="Arial"/>
          <w:szCs w:val="22"/>
        </w:rPr>
        <w:t>ly stored</w:t>
      </w:r>
      <w:r w:rsidRPr="004A409C">
        <w:rPr>
          <w:rFonts w:cs="Arial"/>
          <w:szCs w:val="22"/>
        </w:rPr>
        <w:t xml:space="preserve"> carbon reserves</w:t>
      </w:r>
      <w:r>
        <w:rPr>
          <w:rFonts w:cs="Arial"/>
          <w:szCs w:val="22"/>
        </w:rPr>
        <w:t xml:space="preserve"> and to </w:t>
      </w:r>
      <w:r w:rsidRPr="004A409C">
        <w:rPr>
          <w:rFonts w:cs="Arial"/>
          <w:szCs w:val="22"/>
        </w:rPr>
        <w:t>physiological and structural modifications</w:t>
      </w:r>
      <w:r>
        <w:rPr>
          <w:rFonts w:cs="Arial"/>
          <w:szCs w:val="22"/>
        </w:rPr>
        <w:t xml:space="preserve"> of the seagrass plant, such as leaf senescence and changes in leaf dimensions</w:t>
      </w:r>
      <w:r w:rsidRPr="004A409C">
        <w:rPr>
          <w:rFonts w:cs="Arial"/>
          <w:szCs w:val="22"/>
        </w:rPr>
        <w:t xml:space="preserve"> </w:t>
      </w:r>
      <w:r>
        <w:rPr>
          <w:rFonts w:cs="Arial"/>
          <w:szCs w:val="22"/>
        </w:rPr>
        <w:t>(</w:t>
      </w:r>
      <w:r w:rsidRPr="004A409C">
        <w:rPr>
          <w:rFonts w:cs="Arial"/>
          <w:szCs w:val="22"/>
        </w:rPr>
        <w:t>Collier et al. 2009a; Collier et al. 2012a; McMahon et al. 2013; O'Brien et al. 2018</w:t>
      </w:r>
      <w:r>
        <w:rPr>
          <w:rFonts w:cs="Arial"/>
          <w:szCs w:val="22"/>
        </w:rPr>
        <w:t>)</w:t>
      </w:r>
      <w:r w:rsidRPr="004A409C">
        <w:rPr>
          <w:rFonts w:cs="Arial"/>
          <w:szCs w:val="22"/>
        </w:rPr>
        <w:t xml:space="preserve">. </w:t>
      </w:r>
      <w:r>
        <w:rPr>
          <w:rFonts w:cs="Arial"/>
          <w:szCs w:val="22"/>
        </w:rPr>
        <w:t>S</w:t>
      </w:r>
      <w:r w:rsidRPr="004A409C">
        <w:rPr>
          <w:rFonts w:cs="Arial"/>
          <w:szCs w:val="22"/>
        </w:rPr>
        <w:t xml:space="preserve">hoot loss and mortality </w:t>
      </w:r>
      <w:r>
        <w:rPr>
          <w:rFonts w:cs="Arial"/>
          <w:szCs w:val="22"/>
        </w:rPr>
        <w:t xml:space="preserve">can </w:t>
      </w:r>
      <w:r w:rsidRPr="004A409C">
        <w:rPr>
          <w:rFonts w:cs="Arial"/>
          <w:szCs w:val="22"/>
        </w:rPr>
        <w:t>result</w:t>
      </w:r>
      <w:r>
        <w:rPr>
          <w:rFonts w:cs="Arial"/>
          <w:szCs w:val="22"/>
        </w:rPr>
        <w:t xml:space="preserve"> from persistently low light conditions</w:t>
      </w:r>
      <w:r w:rsidRPr="004A409C">
        <w:rPr>
          <w:rFonts w:cs="Arial"/>
          <w:szCs w:val="22"/>
        </w:rPr>
        <w:t xml:space="preserve"> </w:t>
      </w:r>
      <w:r>
        <w:rPr>
          <w:rFonts w:cs="Arial"/>
          <w:szCs w:val="22"/>
        </w:rPr>
        <w:t>(</w:t>
      </w:r>
      <w:r w:rsidRPr="004A409C">
        <w:rPr>
          <w:rFonts w:cs="Arial"/>
          <w:szCs w:val="22"/>
        </w:rPr>
        <w:t>Chartrand et al. 2016</w:t>
      </w:r>
      <w:r>
        <w:rPr>
          <w:rFonts w:cs="Arial"/>
          <w:szCs w:val="22"/>
        </w:rPr>
        <w:t>)</w:t>
      </w:r>
      <w:r w:rsidRPr="004A409C">
        <w:rPr>
          <w:rFonts w:cs="Arial"/>
          <w:szCs w:val="22"/>
        </w:rPr>
        <w:t xml:space="preserve">. As the SPM settles on seagrass leaves and on the benthic substrate, it can also affect oxygen diffusion into leaves and affect the biogeochemical condition of the sediment </w:t>
      </w:r>
      <w:r>
        <w:rPr>
          <w:rFonts w:cs="Arial"/>
          <w:szCs w:val="22"/>
        </w:rPr>
        <w:t>(</w:t>
      </w:r>
      <w:r w:rsidRPr="004A409C">
        <w:rPr>
          <w:rFonts w:cs="Arial"/>
          <w:szCs w:val="22"/>
        </w:rPr>
        <w:t>Brodersen et al. 2015; Brodersen et al. 2017</w:t>
      </w:r>
      <w:r>
        <w:rPr>
          <w:rFonts w:cs="Arial"/>
          <w:szCs w:val="22"/>
        </w:rPr>
        <w:t>)</w:t>
      </w:r>
      <w:r w:rsidRPr="004A409C">
        <w:rPr>
          <w:rFonts w:cs="Arial"/>
          <w:szCs w:val="22"/>
        </w:rPr>
        <w:t xml:space="preserve"> both of which </w:t>
      </w:r>
      <w:r>
        <w:rPr>
          <w:rFonts w:cs="Arial"/>
          <w:szCs w:val="22"/>
        </w:rPr>
        <w:t>exacerbate</w:t>
      </w:r>
      <w:r w:rsidRPr="004A409C">
        <w:rPr>
          <w:rFonts w:cs="Arial"/>
          <w:szCs w:val="22"/>
        </w:rPr>
        <w:t xml:space="preserve"> the impact of light reduction </w:t>
      </w:r>
      <w:r>
        <w:rPr>
          <w:rFonts w:cs="Arial"/>
          <w:szCs w:val="22"/>
        </w:rPr>
        <w:t>(</w:t>
      </w:r>
      <w:r w:rsidRPr="004A409C">
        <w:rPr>
          <w:rFonts w:cs="Arial"/>
          <w:szCs w:val="22"/>
        </w:rPr>
        <w:t>Bainbridge et al. 2018</w:t>
      </w:r>
      <w:r>
        <w:rPr>
          <w:rFonts w:cs="Arial"/>
          <w:szCs w:val="22"/>
        </w:rPr>
        <w:t>)</w:t>
      </w:r>
      <w:r w:rsidRPr="004A409C">
        <w:rPr>
          <w:rFonts w:cs="Arial"/>
          <w:szCs w:val="22"/>
        </w:rPr>
        <w:t xml:space="preserve">. </w:t>
      </w:r>
      <w:r>
        <w:rPr>
          <w:rFonts w:cs="Arial"/>
          <w:szCs w:val="22"/>
        </w:rPr>
        <w:t>Being able to detect risk of habitat loss</w:t>
      </w:r>
      <w:r w:rsidRPr="00182119">
        <w:rPr>
          <w:rFonts w:cs="Arial"/>
          <w:szCs w:val="22"/>
        </w:rPr>
        <w:t xml:space="preserve"> </w:t>
      </w:r>
      <w:r>
        <w:rPr>
          <w:rFonts w:cs="Arial"/>
          <w:szCs w:val="22"/>
        </w:rPr>
        <w:t xml:space="preserve">due to low benthic light, and being able to identify the causes of loss if it occurs, are important prerequisites for adaptive management. </w:t>
      </w:r>
      <w:r w:rsidRPr="004A409C">
        <w:rPr>
          <w:rFonts w:cs="Arial"/>
          <w:szCs w:val="22"/>
        </w:rPr>
        <w:t xml:space="preserve"> </w:t>
      </w:r>
    </w:p>
    <w:p w14:paraId="49CA60E0" w14:textId="77777777" w:rsidR="00D355BA" w:rsidRDefault="00D355BA" w:rsidP="00D355BA">
      <w:pPr>
        <w:rPr>
          <w:rFonts w:cs="Arial"/>
          <w:szCs w:val="22"/>
        </w:rPr>
      </w:pPr>
      <w:r w:rsidRPr="004A409C">
        <w:rPr>
          <w:rFonts w:cs="Arial"/>
          <w:szCs w:val="22"/>
        </w:rPr>
        <w:t xml:space="preserve">The effect of nutrient concentrations on seagrasses depends on the </w:t>
      </w:r>
      <w:r>
        <w:rPr>
          <w:rFonts w:cs="Arial"/>
          <w:szCs w:val="22"/>
        </w:rPr>
        <w:t>duration</w:t>
      </w:r>
      <w:r w:rsidRPr="004A409C">
        <w:rPr>
          <w:rFonts w:cs="Arial"/>
          <w:szCs w:val="22"/>
        </w:rPr>
        <w:t xml:space="preserve"> and concentration of exposure, as well as other local habitat conditions </w:t>
      </w:r>
      <w:r>
        <w:rPr>
          <w:rFonts w:cs="Arial"/>
          <w:szCs w:val="22"/>
        </w:rPr>
        <w:t>(</w:t>
      </w:r>
      <w:r w:rsidRPr="004A409C">
        <w:rPr>
          <w:rFonts w:cs="Arial"/>
          <w:szCs w:val="22"/>
        </w:rPr>
        <w:t>Cabaço et al. 2013</w:t>
      </w:r>
      <w:r>
        <w:rPr>
          <w:rFonts w:cs="Arial"/>
          <w:szCs w:val="22"/>
        </w:rPr>
        <w:t>)</w:t>
      </w:r>
      <w:r w:rsidRPr="004A409C">
        <w:rPr>
          <w:rFonts w:cs="Arial"/>
          <w:szCs w:val="22"/>
        </w:rPr>
        <w:t>. When seagrasses are nutrient</w:t>
      </w:r>
      <w:r>
        <w:rPr>
          <w:rFonts w:cs="Arial"/>
          <w:szCs w:val="22"/>
        </w:rPr>
        <w:t>-</w:t>
      </w:r>
      <w:r w:rsidRPr="004A409C">
        <w:rPr>
          <w:rFonts w:cs="Arial"/>
          <w:szCs w:val="22"/>
        </w:rPr>
        <w:t xml:space="preserve">limited, a pulse of nutrients can enhance seagrass </w:t>
      </w:r>
      <w:r>
        <w:rPr>
          <w:rFonts w:cs="Arial"/>
          <w:szCs w:val="22"/>
        </w:rPr>
        <w:t>growth</w:t>
      </w:r>
      <w:r w:rsidRPr="00592F77">
        <w:rPr>
          <w:rFonts w:cs="Arial"/>
          <w:szCs w:val="22"/>
        </w:rPr>
        <w:t xml:space="preserve"> </w:t>
      </w:r>
      <w:r>
        <w:rPr>
          <w:rFonts w:cs="Arial"/>
          <w:szCs w:val="22"/>
        </w:rPr>
        <w:t>(</w:t>
      </w:r>
      <w:r w:rsidRPr="004A409C">
        <w:rPr>
          <w:rFonts w:cs="Arial"/>
          <w:szCs w:val="22"/>
        </w:rPr>
        <w:t>Udy et al. 1999b</w:t>
      </w:r>
      <w:r>
        <w:rPr>
          <w:rFonts w:cs="Arial"/>
          <w:szCs w:val="22"/>
        </w:rPr>
        <w:t xml:space="preserve">). If the pulse of nutrients isn’t used for growth, which could occur if they are limited by other resources including light, then there is luxury consumption and the nutrient content of their tissues increases (Collier et al 2014; Romero et al 2007). Luxury uptake can be a means of buffering against variations in nutrient availability, particularly from variable water column nutrient concentrations (Romero et al 2007). Elevated tissue nutrient concentrations within seagrass leaves can therefore </w:t>
      </w:r>
      <w:r>
        <w:rPr>
          <w:rFonts w:cs="Arial"/>
          <w:szCs w:val="22"/>
        </w:rPr>
        <w:lastRenderedPageBreak/>
        <w:t>indicate the long-term relative availability of nutrient specie</w:t>
      </w:r>
      <w:r w:rsidRPr="00A25F99">
        <w:rPr>
          <w:rFonts w:cs="Arial"/>
          <w:szCs w:val="22"/>
        </w:rPr>
        <w:t>s</w:t>
      </w:r>
      <w:r w:rsidRPr="000A32DD">
        <w:rPr>
          <w:rFonts w:cs="Arial"/>
          <w:szCs w:val="22"/>
        </w:rPr>
        <w:t xml:space="preserve"> </w:t>
      </w:r>
      <w:r w:rsidRPr="00A25F99">
        <w:rPr>
          <w:rFonts w:cs="Arial"/>
          <w:szCs w:val="22"/>
        </w:rPr>
        <w:t>(</w:t>
      </w:r>
      <w:r w:rsidRPr="00EC5697">
        <w:rPr>
          <w:rFonts w:cs="Arial"/>
          <w:szCs w:val="22"/>
        </w:rPr>
        <w:t>Fourqurean et al 1997, Udy et al 1999</w:t>
      </w:r>
      <w:r>
        <w:rPr>
          <w:rFonts w:cs="Arial"/>
          <w:szCs w:val="22"/>
        </w:rPr>
        <w:t xml:space="preserve">), and </w:t>
      </w:r>
      <w:r>
        <w:t>tissue nutrient content can be used as an indicator of nutrient enrichment for a particular nutrient species, such as nitrogen or phosphorus</w:t>
      </w:r>
      <w:r>
        <w:rPr>
          <w:rFonts w:cs="Arial"/>
          <w:szCs w:val="22"/>
        </w:rPr>
        <w:t>.</w:t>
      </w:r>
    </w:p>
    <w:p w14:paraId="73F35CD2" w14:textId="77777777" w:rsidR="00D355BA" w:rsidRPr="004A409C" w:rsidRDefault="00D355BA" w:rsidP="00D355BA">
      <w:pPr>
        <w:rPr>
          <w:rFonts w:cs="Arial"/>
          <w:szCs w:val="22"/>
        </w:rPr>
      </w:pPr>
      <w:r>
        <w:rPr>
          <w:rFonts w:cs="Arial"/>
          <w:szCs w:val="22"/>
        </w:rPr>
        <w:t>E</w:t>
      </w:r>
      <w:r w:rsidRPr="004A409C">
        <w:rPr>
          <w:rFonts w:cs="Arial"/>
          <w:szCs w:val="22"/>
        </w:rPr>
        <w:t xml:space="preserve">xcessive </w:t>
      </w:r>
      <w:r>
        <w:rPr>
          <w:rFonts w:cs="Arial"/>
          <w:szCs w:val="22"/>
        </w:rPr>
        <w:t xml:space="preserve">luxury consumption occurs when nutrient availability is particularly high and </w:t>
      </w:r>
      <w:r w:rsidRPr="004A409C">
        <w:rPr>
          <w:rFonts w:cs="Arial"/>
          <w:szCs w:val="22"/>
        </w:rPr>
        <w:t xml:space="preserve">can be detrimental </w:t>
      </w:r>
      <w:r>
        <w:rPr>
          <w:rFonts w:cs="Arial"/>
          <w:szCs w:val="22"/>
        </w:rPr>
        <w:t xml:space="preserve">to seagrasses </w:t>
      </w:r>
      <w:r w:rsidRPr="004A409C">
        <w:rPr>
          <w:rFonts w:cs="Arial"/>
          <w:szCs w:val="22"/>
        </w:rPr>
        <w:t xml:space="preserve">above species-specific thresholds </w:t>
      </w:r>
      <w:r>
        <w:rPr>
          <w:rFonts w:cs="Arial"/>
          <w:szCs w:val="22"/>
        </w:rPr>
        <w:t>(</w:t>
      </w:r>
      <w:r w:rsidRPr="004A409C">
        <w:rPr>
          <w:rFonts w:cs="Arial"/>
          <w:szCs w:val="22"/>
        </w:rPr>
        <w:t>Cabaço et al. 2013</w:t>
      </w:r>
      <w:r>
        <w:rPr>
          <w:rFonts w:cs="Arial"/>
          <w:szCs w:val="22"/>
        </w:rPr>
        <w:t>), but damaging luxury uptake has not been observed in the Reef</w:t>
      </w:r>
      <w:r w:rsidRPr="004A409C">
        <w:rPr>
          <w:rFonts w:cs="Arial"/>
          <w:szCs w:val="22"/>
        </w:rPr>
        <w:t>. Elevated nutrients can also trigger ecological effects that are harmful to seagrasses</w:t>
      </w:r>
      <w:r>
        <w:rPr>
          <w:rFonts w:cs="Arial"/>
          <w:szCs w:val="22"/>
        </w:rPr>
        <w:t xml:space="preserve"> such</w:t>
      </w:r>
      <w:r w:rsidRPr="004A409C">
        <w:rPr>
          <w:rFonts w:cs="Arial"/>
          <w:szCs w:val="22"/>
        </w:rPr>
        <w:t xml:space="preserve"> as blooms of epiphytic algae and macroalgae, which reduce </w:t>
      </w:r>
      <w:r>
        <w:rPr>
          <w:rFonts w:cs="Arial"/>
          <w:szCs w:val="22"/>
        </w:rPr>
        <w:t xml:space="preserve">gas diffusion and the acquisition of </w:t>
      </w:r>
      <w:r w:rsidRPr="004A409C">
        <w:rPr>
          <w:rFonts w:cs="Arial"/>
          <w:szCs w:val="22"/>
        </w:rPr>
        <w:t xml:space="preserve">light and carbon by seagrass leaves </w:t>
      </w:r>
      <w:r>
        <w:rPr>
          <w:rFonts w:cs="Arial"/>
          <w:szCs w:val="22"/>
        </w:rPr>
        <w:t>(</w:t>
      </w:r>
      <w:r w:rsidRPr="004A409C">
        <w:rPr>
          <w:rFonts w:cs="Arial"/>
          <w:szCs w:val="22"/>
        </w:rPr>
        <w:t>Cambridge et al. 1986; Frankovich and Fourqurean 1998; van Katwijk et al. 2010b</w:t>
      </w:r>
      <w:r>
        <w:rPr>
          <w:rFonts w:cs="Arial"/>
          <w:szCs w:val="22"/>
        </w:rPr>
        <w:t>)</w:t>
      </w:r>
      <w:r w:rsidRPr="004A409C">
        <w:rPr>
          <w:rFonts w:cs="Arial"/>
          <w:szCs w:val="22"/>
        </w:rPr>
        <w:t xml:space="preserve">. Elevated nutrients can also contribute to eutrophication, </w:t>
      </w:r>
      <w:r>
        <w:rPr>
          <w:rFonts w:cs="Arial"/>
          <w:szCs w:val="22"/>
        </w:rPr>
        <w:t>which has</w:t>
      </w:r>
      <w:r w:rsidRPr="004A409C">
        <w:rPr>
          <w:rFonts w:cs="Arial"/>
          <w:szCs w:val="22"/>
        </w:rPr>
        <w:t xml:space="preserve"> </w:t>
      </w:r>
      <w:r>
        <w:rPr>
          <w:rFonts w:cs="Arial"/>
          <w:szCs w:val="22"/>
        </w:rPr>
        <w:t xml:space="preserve">many detrimental outcomes for seagrasses, including </w:t>
      </w:r>
      <w:r w:rsidRPr="004A409C">
        <w:rPr>
          <w:rFonts w:cs="Arial"/>
          <w:szCs w:val="22"/>
        </w:rPr>
        <w:t xml:space="preserve">sediment anoxia, </w:t>
      </w:r>
      <w:r>
        <w:rPr>
          <w:rFonts w:cs="Arial"/>
          <w:szCs w:val="22"/>
        </w:rPr>
        <w:t>shifts in primary producer communities, and alterations to biogeochemical cycles (</w:t>
      </w:r>
      <w:r w:rsidRPr="004A409C">
        <w:rPr>
          <w:rFonts w:cs="Arial"/>
          <w:szCs w:val="22"/>
        </w:rPr>
        <w:t>Burkholder et al. 2007</w:t>
      </w:r>
      <w:r>
        <w:rPr>
          <w:rFonts w:cs="Arial"/>
          <w:szCs w:val="22"/>
        </w:rPr>
        <w:t>)</w:t>
      </w:r>
      <w:r w:rsidRPr="004A409C">
        <w:rPr>
          <w:rFonts w:cs="Arial"/>
          <w:szCs w:val="22"/>
        </w:rPr>
        <w:t xml:space="preserve">. </w:t>
      </w:r>
      <w:r>
        <w:rPr>
          <w:rFonts w:cs="Arial"/>
          <w:szCs w:val="22"/>
        </w:rPr>
        <w:t>E</w:t>
      </w:r>
      <w:r w:rsidRPr="004A409C">
        <w:rPr>
          <w:rFonts w:cs="Arial"/>
          <w:szCs w:val="22"/>
        </w:rPr>
        <w:t>cological shifts</w:t>
      </w:r>
      <w:r>
        <w:rPr>
          <w:rFonts w:cs="Arial"/>
          <w:szCs w:val="22"/>
        </w:rPr>
        <w:t xml:space="preserve"> within seagrass communities due to nutrient loading</w:t>
      </w:r>
      <w:r w:rsidRPr="004A409C">
        <w:rPr>
          <w:rFonts w:cs="Arial"/>
          <w:szCs w:val="22"/>
        </w:rPr>
        <w:t xml:space="preserve"> have not been reported in seagrass meadows of the </w:t>
      </w:r>
      <w:r>
        <w:rPr>
          <w:rFonts w:cs="Arial"/>
          <w:szCs w:val="22"/>
        </w:rPr>
        <w:t>Reef. However, nutrients play an important role in producing SPM</w:t>
      </w:r>
      <w:r w:rsidRPr="00D45743">
        <w:rPr>
          <w:rFonts w:cs="Arial"/>
          <w:szCs w:val="22"/>
        </w:rPr>
        <w:t xml:space="preserve"> </w:t>
      </w:r>
      <w:r>
        <w:rPr>
          <w:rFonts w:cs="Arial"/>
          <w:szCs w:val="22"/>
        </w:rPr>
        <w:t>(Bainbridge et al 2012), thereby affecting benthic community composition through complex pathways including light limitation (Bainbridge et al 2018)</w:t>
      </w:r>
      <w:r w:rsidRPr="004A409C">
        <w:rPr>
          <w:rFonts w:cs="Arial"/>
          <w:szCs w:val="22"/>
        </w:rPr>
        <w:t xml:space="preserve">. </w:t>
      </w:r>
    </w:p>
    <w:p w14:paraId="5A3CD042" w14:textId="77777777" w:rsidR="00D355BA" w:rsidRPr="004A409C" w:rsidRDefault="00D355BA" w:rsidP="00D355BA">
      <w:pPr>
        <w:rPr>
          <w:rFonts w:cs="Arial"/>
          <w:szCs w:val="22"/>
        </w:rPr>
      </w:pPr>
      <w:r w:rsidRPr="004A409C">
        <w:rPr>
          <w:rFonts w:cs="Arial"/>
          <w:szCs w:val="22"/>
        </w:rPr>
        <w:t>There are a number of seagrass plant-scale, or meadow-scale indicators that are sensitive to changing water quality including both light and nitrogen loads</w:t>
      </w:r>
      <w:r>
        <w:rPr>
          <w:rFonts w:cs="Arial"/>
          <w:szCs w:val="22"/>
        </w:rPr>
        <w:t>, including variables such as shoot density, shoot length, and lower depth limit</w:t>
      </w:r>
      <w:r w:rsidRPr="004A409C">
        <w:rPr>
          <w:rFonts w:cs="Arial"/>
          <w:szCs w:val="22"/>
        </w:rPr>
        <w:t xml:space="preserve">. </w:t>
      </w:r>
      <w:r>
        <w:rPr>
          <w:rFonts w:cs="Arial"/>
          <w:szCs w:val="22"/>
        </w:rPr>
        <w:t>E</w:t>
      </w:r>
      <w:r w:rsidRPr="004A409C">
        <w:rPr>
          <w:rFonts w:cs="Arial"/>
          <w:szCs w:val="22"/>
        </w:rPr>
        <w:t xml:space="preserve">arly-warning </w:t>
      </w:r>
      <w:r>
        <w:rPr>
          <w:rFonts w:cs="Arial"/>
          <w:szCs w:val="22"/>
        </w:rPr>
        <w:t>physiological indicators</w:t>
      </w:r>
      <w:r w:rsidRPr="004A409C">
        <w:rPr>
          <w:rFonts w:cs="Arial"/>
          <w:szCs w:val="22"/>
        </w:rPr>
        <w:t xml:space="preserve"> that can forewarn of imminent risk to seagrass meadow condition</w:t>
      </w:r>
      <w:r>
        <w:rPr>
          <w:rFonts w:cs="Arial"/>
          <w:szCs w:val="22"/>
        </w:rPr>
        <w:t xml:space="preserve"> are also useful</w:t>
      </w:r>
      <w:r w:rsidRPr="004A409C">
        <w:rPr>
          <w:rFonts w:cs="Arial"/>
          <w:szCs w:val="22"/>
        </w:rPr>
        <w:t xml:space="preserve"> </w:t>
      </w:r>
      <w:r>
        <w:rPr>
          <w:rFonts w:cs="Arial"/>
          <w:szCs w:val="22"/>
        </w:rPr>
        <w:t>(</w:t>
      </w:r>
      <w:r w:rsidRPr="004A409C">
        <w:rPr>
          <w:rFonts w:cs="Arial"/>
          <w:szCs w:val="22"/>
        </w:rPr>
        <w:t>Schliep et al. 2015</w:t>
      </w:r>
      <w:r>
        <w:rPr>
          <w:rFonts w:cs="Arial"/>
          <w:szCs w:val="22"/>
        </w:rPr>
        <w:t>) b</w:t>
      </w:r>
      <w:r w:rsidRPr="004A409C">
        <w:rPr>
          <w:rFonts w:cs="Arial"/>
          <w:szCs w:val="22"/>
        </w:rPr>
        <w:t xml:space="preserve">ut these tend to be less consistent in their responses </w:t>
      </w:r>
      <w:r>
        <w:rPr>
          <w:rFonts w:cs="Arial"/>
          <w:szCs w:val="22"/>
        </w:rPr>
        <w:t>(</w:t>
      </w:r>
      <w:r w:rsidRPr="004A409C">
        <w:rPr>
          <w:rFonts w:cs="Arial"/>
          <w:szCs w:val="22"/>
        </w:rPr>
        <w:t>McMahon et al. 2013</w:t>
      </w:r>
      <w:r>
        <w:rPr>
          <w:rFonts w:cs="Arial"/>
          <w:szCs w:val="22"/>
        </w:rPr>
        <w:t>)</w:t>
      </w:r>
      <w:r w:rsidRPr="004A409C">
        <w:rPr>
          <w:rFonts w:cs="Arial"/>
          <w:szCs w:val="22"/>
        </w:rPr>
        <w:t>. There are a few notable exceptions, including plant nutrient content as ratios, and the isotopic signature of nutrients</w:t>
      </w:r>
      <w:r>
        <w:rPr>
          <w:rFonts w:cs="Arial"/>
          <w:szCs w:val="22"/>
        </w:rPr>
        <w:t xml:space="preserve"> (</w:t>
      </w:r>
      <w:r w:rsidRPr="004A409C">
        <w:rPr>
          <w:rFonts w:cs="Arial"/>
          <w:szCs w:val="22"/>
        </w:rPr>
        <w:t>Fourqurean et al. 1997; McMahon et al. 2013</w:t>
      </w:r>
      <w:r>
        <w:rPr>
          <w:rFonts w:cs="Arial"/>
          <w:szCs w:val="22"/>
        </w:rPr>
        <w:t>)</w:t>
      </w:r>
      <w:r w:rsidRPr="004A409C">
        <w:rPr>
          <w:rFonts w:cs="Arial"/>
          <w:szCs w:val="22"/>
        </w:rPr>
        <w:t xml:space="preserve">. They are pressure-specific indicators </w:t>
      </w:r>
      <w:r>
        <w:rPr>
          <w:rFonts w:cs="Arial"/>
          <w:szCs w:val="22"/>
        </w:rPr>
        <w:t>(</w:t>
      </w:r>
      <w:r w:rsidRPr="004A409C">
        <w:rPr>
          <w:rFonts w:cs="Arial"/>
          <w:szCs w:val="22"/>
        </w:rPr>
        <w:t>McMahon et al. 2013; Roca et al. 2016</w:t>
      </w:r>
      <w:r>
        <w:rPr>
          <w:rFonts w:cs="Arial"/>
          <w:szCs w:val="22"/>
        </w:rPr>
        <w:t>)</w:t>
      </w:r>
      <w:r w:rsidRPr="004A409C">
        <w:rPr>
          <w:rFonts w:cs="Arial"/>
          <w:szCs w:val="22"/>
        </w:rPr>
        <w:t>, responding to nutrient availability and to light levels</w:t>
      </w:r>
      <w:r>
        <w:rPr>
          <w:rFonts w:cs="Arial"/>
          <w:szCs w:val="22"/>
        </w:rPr>
        <w:t xml:space="preserve"> prior to morphological responses such as shoot loss and mortality</w:t>
      </w:r>
      <w:r w:rsidRPr="004A409C">
        <w:rPr>
          <w:rFonts w:cs="Arial"/>
          <w:szCs w:val="22"/>
        </w:rPr>
        <w:t xml:space="preserve"> (Grice et al. 1996a</w:t>
      </w:r>
      <w:r>
        <w:rPr>
          <w:rFonts w:cs="Arial"/>
          <w:szCs w:val="22"/>
        </w:rPr>
        <w:t>, McMahon et al 2013</w:t>
      </w:r>
      <w:r w:rsidRPr="004A409C">
        <w:rPr>
          <w:rFonts w:cs="Arial"/>
          <w:szCs w:val="22"/>
        </w:rPr>
        <w:t xml:space="preserve">). As such, they have been used to monitor and forecast seagrass responses to changing water quality in some regions of the world </w:t>
      </w:r>
      <w:r>
        <w:rPr>
          <w:rFonts w:cs="Arial"/>
          <w:szCs w:val="22"/>
        </w:rPr>
        <w:t>(</w:t>
      </w:r>
      <w:r w:rsidRPr="004A409C">
        <w:rPr>
          <w:rFonts w:cs="Arial"/>
          <w:szCs w:val="22"/>
        </w:rPr>
        <w:t>Fourqurean et al. 2003; Marbà et al. 2013</w:t>
      </w:r>
      <w:r>
        <w:rPr>
          <w:rFonts w:cs="Arial"/>
          <w:szCs w:val="22"/>
        </w:rPr>
        <w:t>; Roca et al 2013)</w:t>
      </w:r>
      <w:r w:rsidRPr="004A409C">
        <w:rPr>
          <w:rFonts w:cs="Arial"/>
          <w:szCs w:val="22"/>
        </w:rPr>
        <w:t xml:space="preserve">. </w:t>
      </w:r>
    </w:p>
    <w:p w14:paraId="6A0E6A70" w14:textId="77777777" w:rsidR="00D355BA" w:rsidRDefault="00D355BA" w:rsidP="00D355BA">
      <w:pPr>
        <w:rPr>
          <w:rFonts w:cs="Arial"/>
          <w:szCs w:val="22"/>
        </w:rPr>
      </w:pPr>
      <w:r>
        <w:rPr>
          <w:rFonts w:cs="Arial"/>
          <w:szCs w:val="22"/>
        </w:rPr>
        <w:lastRenderedPageBreak/>
        <w:t>T</w:t>
      </w:r>
      <w:r w:rsidRPr="004A409C">
        <w:rPr>
          <w:rFonts w:cs="Arial"/>
          <w:szCs w:val="22"/>
        </w:rPr>
        <w:t xml:space="preserve">here </w:t>
      </w:r>
      <w:r>
        <w:rPr>
          <w:rFonts w:cs="Arial"/>
          <w:szCs w:val="22"/>
        </w:rPr>
        <w:t>has been</w:t>
      </w:r>
      <w:r w:rsidRPr="004A409C">
        <w:rPr>
          <w:rFonts w:cs="Arial"/>
          <w:szCs w:val="22"/>
        </w:rPr>
        <w:t xml:space="preserve"> no ongoing measure of water or sediment quality at the </w:t>
      </w:r>
      <w:r>
        <w:rPr>
          <w:rFonts w:cs="Arial"/>
          <w:szCs w:val="22"/>
        </w:rPr>
        <w:t xml:space="preserve">Marine Monitoring Program (MMP) </w:t>
      </w:r>
      <w:r w:rsidRPr="004A409C">
        <w:rPr>
          <w:rFonts w:cs="Arial"/>
          <w:szCs w:val="22"/>
        </w:rPr>
        <w:t xml:space="preserve">seagrass monitoring sites, though there have been brief periods </w:t>
      </w:r>
      <w:r>
        <w:rPr>
          <w:rFonts w:cs="Arial"/>
          <w:szCs w:val="22"/>
        </w:rPr>
        <w:t>(e.g.</w:t>
      </w:r>
      <w:r w:rsidRPr="004A409C">
        <w:rPr>
          <w:rFonts w:cs="Arial"/>
          <w:szCs w:val="22"/>
        </w:rPr>
        <w:t xml:space="preserve"> a few years</w:t>
      </w:r>
      <w:r>
        <w:rPr>
          <w:rFonts w:cs="Arial"/>
          <w:szCs w:val="22"/>
        </w:rPr>
        <w:t>)</w:t>
      </w:r>
      <w:r w:rsidRPr="004A409C">
        <w:rPr>
          <w:rFonts w:cs="Arial"/>
          <w:szCs w:val="22"/>
        </w:rPr>
        <w:t xml:space="preserve"> </w:t>
      </w:r>
      <w:r>
        <w:rPr>
          <w:rFonts w:cs="Arial"/>
          <w:szCs w:val="22"/>
        </w:rPr>
        <w:t>in which both were measured</w:t>
      </w:r>
      <w:r w:rsidRPr="004A409C">
        <w:rPr>
          <w:rFonts w:cs="Arial"/>
          <w:szCs w:val="22"/>
        </w:rPr>
        <w:t xml:space="preserve"> at some sites. </w:t>
      </w:r>
      <w:r>
        <w:rPr>
          <w:rFonts w:cs="Arial"/>
          <w:szCs w:val="22"/>
        </w:rPr>
        <w:t xml:space="preserve">These periods highlighted that measuring sediment and water column nutrient concentrations is time consuming and expensive. Furthermore, estimating rates of nutrient uptake and assimilation from concentration data is difficult due to the complexity of nutrient pools and processes </w:t>
      </w:r>
      <w:r w:rsidRPr="004D7A80">
        <w:rPr>
          <w:rFonts w:cs="Arial"/>
          <w:szCs w:val="22"/>
        </w:rPr>
        <w:t>(e.g. Mc</w:t>
      </w:r>
      <w:r>
        <w:rPr>
          <w:rFonts w:cs="Arial"/>
          <w:szCs w:val="22"/>
        </w:rPr>
        <w:t>K</w:t>
      </w:r>
      <w:r w:rsidRPr="004D7A80">
        <w:rPr>
          <w:rFonts w:cs="Arial"/>
          <w:szCs w:val="22"/>
        </w:rPr>
        <w:t>enzie et al 2008, McKenzie et al 2009).</w:t>
      </w:r>
      <w:r>
        <w:rPr>
          <w:rFonts w:cs="Arial"/>
          <w:szCs w:val="22"/>
        </w:rPr>
        <w:t xml:space="preserve"> Instead, s</w:t>
      </w:r>
      <w:r w:rsidRPr="004A409C">
        <w:rPr>
          <w:rFonts w:cs="Arial"/>
          <w:szCs w:val="22"/>
        </w:rPr>
        <w:t>eagrass tissue nutrient</w:t>
      </w:r>
      <w:r>
        <w:rPr>
          <w:rFonts w:cs="Arial"/>
          <w:szCs w:val="22"/>
        </w:rPr>
        <w:t xml:space="preserve"> content</w:t>
      </w:r>
      <w:r w:rsidRPr="004A409C">
        <w:rPr>
          <w:rFonts w:cs="Arial"/>
          <w:szCs w:val="22"/>
        </w:rPr>
        <w:t xml:space="preserve"> (carbon, nitrogen and phosphorus) ha</w:t>
      </w:r>
      <w:r>
        <w:rPr>
          <w:rFonts w:cs="Arial"/>
          <w:szCs w:val="22"/>
        </w:rPr>
        <w:t>s</w:t>
      </w:r>
      <w:r w:rsidRPr="004A409C">
        <w:rPr>
          <w:rFonts w:cs="Arial"/>
          <w:szCs w:val="22"/>
        </w:rPr>
        <w:t xml:space="preserve"> been measured at </w:t>
      </w:r>
      <w:r>
        <w:rPr>
          <w:rFonts w:cs="Arial"/>
          <w:szCs w:val="22"/>
        </w:rPr>
        <w:t>Reef</w:t>
      </w:r>
      <w:r w:rsidRPr="004A409C">
        <w:rPr>
          <w:rFonts w:cs="Arial"/>
          <w:szCs w:val="22"/>
        </w:rPr>
        <w:t xml:space="preserve"> inshore seagrass monitoring sites each year during the growing season since the inshore seagrass </w:t>
      </w:r>
      <w:r>
        <w:rPr>
          <w:rFonts w:cs="Arial"/>
          <w:szCs w:val="22"/>
        </w:rPr>
        <w:t>MMP</w:t>
      </w:r>
      <w:r w:rsidRPr="004A409C">
        <w:rPr>
          <w:rFonts w:cs="Arial"/>
          <w:szCs w:val="22"/>
        </w:rPr>
        <w:t xml:space="preserve"> inception in 2005. These have been used as a proxy of changing water quality</w:t>
      </w:r>
      <w:r>
        <w:rPr>
          <w:rFonts w:cs="Arial"/>
          <w:szCs w:val="22"/>
        </w:rPr>
        <w:t xml:space="preserve">, and are also interpreted as an early-warning of changes to seagrass condition (as outlined in McMahon et al 2013, Roca et al 2016). </w:t>
      </w:r>
      <w:r w:rsidRPr="004A409C">
        <w:rPr>
          <w:rFonts w:cs="Arial"/>
          <w:szCs w:val="22"/>
        </w:rPr>
        <w:t xml:space="preserve"> </w:t>
      </w:r>
    </w:p>
    <w:p w14:paraId="46162B32" w14:textId="07B8207F" w:rsidR="00D355BA" w:rsidRDefault="00D355BA" w:rsidP="00D355BA">
      <w:pPr>
        <w:rPr>
          <w:rFonts w:cs="Arial"/>
          <w:szCs w:val="22"/>
        </w:rPr>
      </w:pPr>
      <w:r w:rsidRPr="004A409C">
        <w:rPr>
          <w:rFonts w:cs="Arial"/>
          <w:szCs w:val="22"/>
        </w:rPr>
        <w:t>The ratio of carbon to nitrogen</w:t>
      </w:r>
      <w:r>
        <w:rPr>
          <w:rFonts w:cs="Arial"/>
          <w:szCs w:val="22"/>
        </w:rPr>
        <w:t xml:space="preserve"> content</w:t>
      </w:r>
      <w:r w:rsidRPr="004A409C">
        <w:rPr>
          <w:rFonts w:cs="Arial"/>
          <w:szCs w:val="22"/>
        </w:rPr>
        <w:t xml:space="preserve"> (C:N)</w:t>
      </w:r>
      <w:r>
        <w:rPr>
          <w:rFonts w:cs="Arial"/>
          <w:szCs w:val="22"/>
        </w:rPr>
        <w:t xml:space="preserve"> in seagrass tissue</w:t>
      </w:r>
      <w:r w:rsidRPr="004A409C">
        <w:rPr>
          <w:rFonts w:cs="Arial"/>
          <w:szCs w:val="22"/>
        </w:rPr>
        <w:t xml:space="preserve"> is a measure that integrates </w:t>
      </w:r>
      <w:r>
        <w:rPr>
          <w:rFonts w:cs="Arial"/>
          <w:szCs w:val="22"/>
        </w:rPr>
        <w:t>concentrations of nitrogen in the water column and sediment, as well as photosynthetic carbon uptake. It is therefore an indirect indicator of benthic light levels</w:t>
      </w:r>
      <w:r w:rsidRPr="004A409C">
        <w:rPr>
          <w:rFonts w:cs="Arial"/>
          <w:szCs w:val="22"/>
        </w:rPr>
        <w:t xml:space="preserve">. C:N </w:t>
      </w:r>
      <w:r>
        <w:rPr>
          <w:rFonts w:cs="Arial"/>
          <w:szCs w:val="22"/>
        </w:rPr>
        <w:t>has</w:t>
      </w:r>
      <w:r w:rsidRPr="004A409C">
        <w:rPr>
          <w:rFonts w:cs="Arial"/>
          <w:szCs w:val="22"/>
        </w:rPr>
        <w:t xml:space="preserve"> been scored as one of three metrics in the </w:t>
      </w:r>
      <w:r>
        <w:rPr>
          <w:rFonts w:cs="Arial"/>
          <w:szCs w:val="22"/>
        </w:rPr>
        <w:t>MMP</w:t>
      </w:r>
      <w:r w:rsidRPr="004A409C">
        <w:rPr>
          <w:rFonts w:cs="Arial"/>
          <w:szCs w:val="22"/>
        </w:rPr>
        <w:t xml:space="preserve">, weighted equally to seagrass abundance as </w:t>
      </w:r>
      <w:r>
        <w:rPr>
          <w:rFonts w:cs="Arial"/>
          <w:szCs w:val="22"/>
        </w:rPr>
        <w:t xml:space="preserve">per cent </w:t>
      </w:r>
      <w:r w:rsidRPr="004A409C">
        <w:rPr>
          <w:rFonts w:cs="Arial"/>
          <w:szCs w:val="22"/>
        </w:rPr>
        <w:t>cover, and seagrass reproductive effort (see</w:t>
      </w:r>
      <w:r>
        <w:rPr>
          <w:rFonts w:cs="Arial"/>
          <w:szCs w:val="22"/>
        </w:rPr>
        <w:t xml:space="preserve"> section </w:t>
      </w:r>
      <w:r>
        <w:rPr>
          <w:rFonts w:cs="Arial"/>
          <w:szCs w:val="22"/>
        </w:rPr>
        <w:fldChar w:fldCharType="begin"/>
      </w:r>
      <w:r>
        <w:rPr>
          <w:rFonts w:cs="Arial"/>
          <w:szCs w:val="22"/>
        </w:rPr>
        <w:instrText xml:space="preserve"> REF _Ref534355168 \r \h </w:instrText>
      </w:r>
      <w:r>
        <w:rPr>
          <w:rFonts w:cs="Arial"/>
          <w:szCs w:val="22"/>
        </w:rPr>
      </w:r>
      <w:r>
        <w:rPr>
          <w:rFonts w:cs="Arial"/>
          <w:szCs w:val="22"/>
        </w:rPr>
        <w:fldChar w:fldCharType="separate"/>
      </w:r>
      <w:r w:rsidR="0067675D">
        <w:rPr>
          <w:rFonts w:cs="Arial"/>
          <w:szCs w:val="22"/>
        </w:rPr>
        <w:t>2.5.4</w:t>
      </w:r>
      <w:r>
        <w:rPr>
          <w:rFonts w:cs="Arial"/>
          <w:szCs w:val="22"/>
        </w:rPr>
        <w:fldChar w:fldCharType="end"/>
      </w:r>
      <w:r>
        <w:rPr>
          <w:rFonts w:cs="Arial"/>
          <w:szCs w:val="22"/>
        </w:rPr>
        <w:t xml:space="preserve"> in main report</w:t>
      </w:r>
      <w:r w:rsidRPr="004A409C">
        <w:rPr>
          <w:rFonts w:cs="Arial"/>
          <w:szCs w:val="22"/>
        </w:rPr>
        <w:t xml:space="preserve">). </w:t>
      </w:r>
      <w:r>
        <w:rPr>
          <w:rFonts w:cs="Arial"/>
          <w:szCs w:val="22"/>
        </w:rPr>
        <w:t xml:space="preserve">After 15 years of measurement, </w:t>
      </w:r>
      <w:r w:rsidRPr="004A409C">
        <w:rPr>
          <w:rFonts w:cs="Arial"/>
          <w:szCs w:val="22"/>
        </w:rPr>
        <w:t xml:space="preserve">we are able to examine </w:t>
      </w:r>
      <w:r>
        <w:rPr>
          <w:rFonts w:cs="Arial"/>
          <w:szCs w:val="22"/>
        </w:rPr>
        <w:t>tissue C:N</w:t>
      </w:r>
      <w:r w:rsidRPr="004A409C">
        <w:rPr>
          <w:rFonts w:cs="Arial"/>
          <w:szCs w:val="22"/>
        </w:rPr>
        <w:t xml:space="preserve"> </w:t>
      </w:r>
      <w:r>
        <w:rPr>
          <w:rFonts w:cs="Arial"/>
          <w:szCs w:val="22"/>
        </w:rPr>
        <w:t xml:space="preserve">ratios </w:t>
      </w:r>
      <w:r w:rsidRPr="004A409C">
        <w:rPr>
          <w:rFonts w:cs="Arial"/>
          <w:szCs w:val="22"/>
        </w:rPr>
        <w:t>in relation to water quality</w:t>
      </w:r>
      <w:r>
        <w:rPr>
          <w:rFonts w:cs="Arial"/>
          <w:szCs w:val="22"/>
        </w:rPr>
        <w:t>. This has been undertaken a</w:t>
      </w:r>
      <w:r w:rsidRPr="004A409C">
        <w:rPr>
          <w:rFonts w:cs="Arial"/>
          <w:szCs w:val="22"/>
        </w:rPr>
        <w:t xml:space="preserve">s a collaboration with the </w:t>
      </w:r>
      <w:r>
        <w:rPr>
          <w:rFonts w:cs="Arial"/>
          <w:szCs w:val="22"/>
        </w:rPr>
        <w:t xml:space="preserve">MMP </w:t>
      </w:r>
      <w:r w:rsidRPr="004A409C">
        <w:rPr>
          <w:rFonts w:cs="Arial"/>
          <w:szCs w:val="22"/>
        </w:rPr>
        <w:t>water quality sub-program and as a result of emerging tools including water quality classification based on colour in remotely</w:t>
      </w:r>
      <w:r>
        <w:rPr>
          <w:rFonts w:cs="Arial"/>
          <w:szCs w:val="22"/>
        </w:rPr>
        <w:t>-</w:t>
      </w:r>
      <w:r w:rsidRPr="004A409C">
        <w:rPr>
          <w:rFonts w:cs="Arial"/>
          <w:szCs w:val="22"/>
        </w:rPr>
        <w:t xml:space="preserve">sensed imagery </w:t>
      </w:r>
      <w:r>
        <w:rPr>
          <w:rFonts w:cs="Arial"/>
          <w:szCs w:val="22"/>
        </w:rPr>
        <w:t>and</w:t>
      </w:r>
      <w:r w:rsidRPr="004A409C">
        <w:rPr>
          <w:rFonts w:cs="Arial"/>
          <w:szCs w:val="22"/>
        </w:rPr>
        <w:t xml:space="preserve"> </w:t>
      </w:r>
      <w:r w:rsidRPr="000C3FAB">
        <w:rPr>
          <w:rFonts w:cs="Arial"/>
          <w:i/>
          <w:szCs w:val="22"/>
        </w:rPr>
        <w:t>in situ</w:t>
      </w:r>
      <w:r w:rsidRPr="004A409C">
        <w:rPr>
          <w:rFonts w:cs="Arial"/>
          <w:szCs w:val="22"/>
        </w:rPr>
        <w:t xml:space="preserve"> measured water quality at some </w:t>
      </w:r>
      <w:r>
        <w:rPr>
          <w:rFonts w:cs="Arial"/>
          <w:szCs w:val="22"/>
        </w:rPr>
        <w:t xml:space="preserve">reef </w:t>
      </w:r>
      <w:r w:rsidRPr="004A409C">
        <w:rPr>
          <w:rFonts w:cs="Arial"/>
          <w:szCs w:val="22"/>
        </w:rPr>
        <w:t xml:space="preserve">sites near to seagrass monitoring sites. </w:t>
      </w:r>
    </w:p>
    <w:p w14:paraId="5B83F534" w14:textId="77777777" w:rsidR="00D355BA" w:rsidRDefault="00D355BA" w:rsidP="00D355BA">
      <w:pPr>
        <w:rPr>
          <w:rFonts w:cs="Arial"/>
          <w:szCs w:val="22"/>
        </w:rPr>
      </w:pPr>
      <w:r w:rsidRPr="001F0E92">
        <w:rPr>
          <w:rFonts w:cs="Arial"/>
          <w:szCs w:val="22"/>
        </w:rPr>
        <w:t>The aims of this analysis were to test:</w:t>
      </w:r>
    </w:p>
    <w:p w14:paraId="7062B623" w14:textId="77777777" w:rsidR="00D355BA" w:rsidRPr="00AF5BDD" w:rsidRDefault="00D355BA" w:rsidP="00D355BA">
      <w:pPr>
        <w:numPr>
          <w:ilvl w:val="0"/>
          <w:numId w:val="27"/>
        </w:numPr>
        <w:spacing w:before="240"/>
        <w:rPr>
          <w:rFonts w:cs="Arial"/>
          <w:szCs w:val="22"/>
        </w:rPr>
      </w:pPr>
      <w:r>
        <w:rPr>
          <w:rFonts w:cs="Arial"/>
          <w:szCs w:val="22"/>
        </w:rPr>
        <w:t>whether the leaf C:N baseline values vary between Reef seagrass species and habitats and how they compare to the global guideline</w:t>
      </w:r>
    </w:p>
    <w:p w14:paraId="15F24C49" w14:textId="77777777" w:rsidR="00D355BA" w:rsidRPr="001F0E92" w:rsidRDefault="00D355BA" w:rsidP="00D355BA">
      <w:pPr>
        <w:numPr>
          <w:ilvl w:val="0"/>
          <w:numId w:val="27"/>
        </w:numPr>
        <w:spacing w:before="240"/>
        <w:rPr>
          <w:rFonts w:cs="Arial"/>
          <w:szCs w:val="22"/>
        </w:rPr>
      </w:pPr>
      <w:r>
        <w:rPr>
          <w:rFonts w:cs="Arial"/>
          <w:szCs w:val="22"/>
          <w:lang w:val="en-US"/>
        </w:rPr>
        <w:t>whether l</w:t>
      </w:r>
      <w:r w:rsidRPr="001F0E92">
        <w:rPr>
          <w:rFonts w:cs="Arial"/>
          <w:szCs w:val="22"/>
          <w:lang w:val="en-US"/>
        </w:rPr>
        <w:t>eaf tissue nutrients</w:t>
      </w:r>
      <w:r>
        <w:rPr>
          <w:rFonts w:cs="Arial"/>
          <w:szCs w:val="22"/>
          <w:lang w:val="en-US"/>
        </w:rPr>
        <w:t>, specifically C:N, vary in a consistent and predictable way to</w:t>
      </w:r>
      <w:r w:rsidRPr="001F0E92">
        <w:rPr>
          <w:rFonts w:cs="Arial"/>
          <w:szCs w:val="22"/>
          <w:lang w:val="en-US"/>
        </w:rPr>
        <w:t xml:space="preserve"> </w:t>
      </w:r>
      <w:r>
        <w:rPr>
          <w:rFonts w:cs="Arial"/>
          <w:szCs w:val="22"/>
          <w:lang w:val="en-US"/>
        </w:rPr>
        <w:t xml:space="preserve">reconstruct past </w:t>
      </w:r>
      <w:r w:rsidRPr="001F0E92">
        <w:rPr>
          <w:rFonts w:cs="Arial"/>
          <w:szCs w:val="22"/>
          <w:lang w:val="en-US"/>
        </w:rPr>
        <w:t>water quality</w:t>
      </w:r>
      <w:r>
        <w:rPr>
          <w:rFonts w:cs="Arial"/>
          <w:szCs w:val="22"/>
          <w:lang w:val="en-US"/>
        </w:rPr>
        <w:t xml:space="preserve"> in the Reef, and are therefore a time-integrated indicator of water quality</w:t>
      </w:r>
    </w:p>
    <w:p w14:paraId="0B6551D5" w14:textId="77777777" w:rsidR="00D355BA" w:rsidRPr="004D7A80" w:rsidRDefault="00D355BA" w:rsidP="00D355BA">
      <w:pPr>
        <w:numPr>
          <w:ilvl w:val="0"/>
          <w:numId w:val="27"/>
        </w:numPr>
        <w:spacing w:before="240"/>
        <w:rPr>
          <w:rFonts w:cs="Arial"/>
          <w:szCs w:val="22"/>
        </w:rPr>
      </w:pPr>
      <w:r>
        <w:rPr>
          <w:rFonts w:cs="Arial"/>
          <w:szCs w:val="22"/>
          <w:lang w:val="en-US"/>
        </w:rPr>
        <w:lastRenderedPageBreak/>
        <w:t xml:space="preserve">whether </w:t>
      </w:r>
      <w:r w:rsidRPr="001F0E92">
        <w:rPr>
          <w:rFonts w:cs="Arial"/>
          <w:szCs w:val="22"/>
          <w:lang w:val="en-US"/>
        </w:rPr>
        <w:t>C:N ratio</w:t>
      </w:r>
      <w:r>
        <w:rPr>
          <w:rFonts w:cs="Arial"/>
          <w:szCs w:val="22"/>
          <w:lang w:val="en-US"/>
        </w:rPr>
        <w:t>s</w:t>
      </w:r>
      <w:r w:rsidRPr="001F0E92">
        <w:rPr>
          <w:rFonts w:cs="Arial"/>
          <w:szCs w:val="22"/>
          <w:lang w:val="en-US"/>
        </w:rPr>
        <w:t xml:space="preserve"> </w:t>
      </w:r>
      <w:r>
        <w:rPr>
          <w:rFonts w:cs="Arial"/>
          <w:szCs w:val="22"/>
          <w:lang w:val="en-US"/>
        </w:rPr>
        <w:t>vary in a consistent and predictable way to future seagrass abundance</w:t>
      </w:r>
      <w:r w:rsidRPr="001F0E92">
        <w:rPr>
          <w:rFonts w:cs="Arial"/>
          <w:szCs w:val="22"/>
          <w:lang w:val="en-US"/>
        </w:rPr>
        <w:t xml:space="preserve"> </w:t>
      </w:r>
      <w:r>
        <w:rPr>
          <w:rFonts w:cs="Arial"/>
          <w:szCs w:val="22"/>
          <w:lang w:val="en-US"/>
        </w:rPr>
        <w:t xml:space="preserve">and are therefore </w:t>
      </w:r>
      <w:r w:rsidRPr="001F0E92">
        <w:rPr>
          <w:rFonts w:cs="Arial"/>
          <w:szCs w:val="22"/>
          <w:lang w:val="en-US"/>
        </w:rPr>
        <w:t xml:space="preserve">an early-warning indicator </w:t>
      </w:r>
      <w:r>
        <w:rPr>
          <w:rFonts w:cs="Arial"/>
          <w:szCs w:val="22"/>
          <w:lang w:val="en-US"/>
        </w:rPr>
        <w:t>of changes in seagrass condition</w:t>
      </w:r>
    </w:p>
    <w:p w14:paraId="49010C87" w14:textId="77777777" w:rsidR="00D355BA" w:rsidRPr="001F0E92" w:rsidRDefault="00D355BA" w:rsidP="00D355BA">
      <w:pPr>
        <w:numPr>
          <w:ilvl w:val="0"/>
          <w:numId w:val="27"/>
        </w:numPr>
        <w:spacing w:before="240"/>
        <w:rPr>
          <w:rFonts w:cs="Arial"/>
          <w:szCs w:val="22"/>
        </w:rPr>
      </w:pPr>
      <w:r>
        <w:rPr>
          <w:rFonts w:cs="Arial"/>
          <w:szCs w:val="22"/>
        </w:rPr>
        <w:t>the effect of including C:N ratios on the seagrass report card score.</w:t>
      </w:r>
    </w:p>
    <w:p w14:paraId="484A8111" w14:textId="77777777" w:rsidR="00D355BA" w:rsidRPr="001F0E92" w:rsidRDefault="00D355BA" w:rsidP="00D355BA">
      <w:pPr>
        <w:pStyle w:val="Heading3"/>
        <w:numPr>
          <w:ilvl w:val="0"/>
          <w:numId w:val="0"/>
        </w:numPr>
      </w:pPr>
      <w:bookmarkStart w:id="842" w:name="_Toc5615885"/>
      <w:bookmarkStart w:id="843" w:name="_Toc28249475"/>
      <w:bookmarkStart w:id="844" w:name="_Toc43987105"/>
      <w:r w:rsidRPr="001F0E92">
        <w:t>Methods</w:t>
      </w:r>
      <w:bookmarkEnd w:id="842"/>
      <w:bookmarkEnd w:id="843"/>
      <w:bookmarkEnd w:id="844"/>
    </w:p>
    <w:p w14:paraId="6D4643D6" w14:textId="77777777" w:rsidR="00D355BA" w:rsidRPr="0060084E" w:rsidRDefault="00D355BA" w:rsidP="00D355BA">
      <w:pPr>
        <w:pStyle w:val="Heading4"/>
        <w:numPr>
          <w:ilvl w:val="0"/>
          <w:numId w:val="0"/>
        </w:numPr>
      </w:pPr>
      <w:bookmarkStart w:id="845" w:name="_Toc43987106"/>
      <w:r w:rsidRPr="0060084E">
        <w:t xml:space="preserve">Data </w:t>
      </w:r>
      <w:r>
        <w:t xml:space="preserve">variables and </w:t>
      </w:r>
      <w:r w:rsidRPr="0060084E">
        <w:t>availability</w:t>
      </w:r>
      <w:bookmarkEnd w:id="845"/>
    </w:p>
    <w:p w14:paraId="3BA560B4" w14:textId="77777777" w:rsidR="00D355BA" w:rsidRDefault="00D355BA" w:rsidP="00D355BA">
      <w:pPr>
        <w:spacing w:after="0"/>
        <w:rPr>
          <w:rFonts w:cs="Arial"/>
          <w:szCs w:val="22"/>
        </w:rPr>
      </w:pPr>
      <w:r>
        <w:rPr>
          <w:rFonts w:cs="Arial"/>
          <w:szCs w:val="22"/>
        </w:rPr>
        <w:t>Seagrass tissue nutrients</w:t>
      </w:r>
    </w:p>
    <w:p w14:paraId="527BABE3" w14:textId="77777777" w:rsidR="00D355BA" w:rsidRPr="004A409C" w:rsidRDefault="00D355BA" w:rsidP="00D355BA">
      <w:pPr>
        <w:rPr>
          <w:rFonts w:cs="Arial"/>
          <w:szCs w:val="22"/>
        </w:rPr>
      </w:pPr>
      <w:r w:rsidRPr="004A409C">
        <w:rPr>
          <w:rFonts w:cs="Arial"/>
          <w:szCs w:val="22"/>
        </w:rPr>
        <w:t>Seagrass tissue nutrient data as C:N ratio</w:t>
      </w:r>
      <w:r>
        <w:rPr>
          <w:rFonts w:cs="Arial"/>
          <w:szCs w:val="22"/>
        </w:rPr>
        <w:t>s</w:t>
      </w:r>
      <w:r w:rsidRPr="004A409C">
        <w:rPr>
          <w:rFonts w:cs="Arial"/>
          <w:szCs w:val="22"/>
        </w:rPr>
        <w:t xml:space="preserve"> w</w:t>
      </w:r>
      <w:r>
        <w:rPr>
          <w:rFonts w:cs="Arial"/>
          <w:szCs w:val="22"/>
        </w:rPr>
        <w:t>ere</w:t>
      </w:r>
      <w:r w:rsidRPr="004A409C">
        <w:rPr>
          <w:rFonts w:cs="Arial"/>
          <w:szCs w:val="22"/>
        </w:rPr>
        <w:t xml:space="preserve"> compiled for all sites and all years of the inshore seagrass MMP (2005–2019) where available (Table</w:t>
      </w:r>
      <w:r>
        <w:rPr>
          <w:rFonts w:cs="Arial"/>
          <w:szCs w:val="22"/>
        </w:rPr>
        <w:t>s</w:t>
      </w:r>
      <w:r w:rsidRPr="004A409C">
        <w:rPr>
          <w:rFonts w:cs="Arial"/>
          <w:szCs w:val="22"/>
        </w:rPr>
        <w:t xml:space="preserve"> 1</w:t>
      </w:r>
      <w:r>
        <w:rPr>
          <w:rFonts w:cs="Arial"/>
          <w:szCs w:val="22"/>
        </w:rPr>
        <w:t xml:space="preserve"> and 2)</w:t>
      </w:r>
      <w:r w:rsidRPr="004A409C">
        <w:rPr>
          <w:rFonts w:cs="Arial"/>
          <w:szCs w:val="22"/>
        </w:rPr>
        <w:t>. Data w</w:t>
      </w:r>
      <w:r>
        <w:rPr>
          <w:rFonts w:cs="Arial"/>
          <w:szCs w:val="22"/>
        </w:rPr>
        <w:t>ere</w:t>
      </w:r>
      <w:r w:rsidRPr="004A409C">
        <w:rPr>
          <w:rFonts w:cs="Arial"/>
          <w:szCs w:val="22"/>
        </w:rPr>
        <w:t xml:space="preserve"> compiled for each species separately</w:t>
      </w:r>
      <w:r>
        <w:rPr>
          <w:rFonts w:cs="Arial"/>
          <w:szCs w:val="22"/>
        </w:rPr>
        <w:t>, but only for species that are considered foundational at the site</w:t>
      </w:r>
      <w:r w:rsidRPr="004A409C">
        <w:rPr>
          <w:rFonts w:cs="Arial"/>
          <w:szCs w:val="22"/>
        </w:rPr>
        <w:t xml:space="preserve">. Data gaps occur </w:t>
      </w:r>
      <w:r>
        <w:rPr>
          <w:rFonts w:cs="Arial"/>
          <w:szCs w:val="22"/>
        </w:rPr>
        <w:t>during times when</w:t>
      </w:r>
      <w:r w:rsidRPr="004A409C">
        <w:rPr>
          <w:rFonts w:cs="Arial"/>
          <w:szCs w:val="22"/>
        </w:rPr>
        <w:t xml:space="preserve"> seagrass </w:t>
      </w:r>
      <w:r>
        <w:rPr>
          <w:rFonts w:cs="Arial"/>
          <w:szCs w:val="22"/>
        </w:rPr>
        <w:t>was absent</w:t>
      </w:r>
      <w:r w:rsidRPr="004A409C">
        <w:rPr>
          <w:rFonts w:cs="Arial"/>
          <w:szCs w:val="22"/>
        </w:rPr>
        <w:t>, or whe</w:t>
      </w:r>
      <w:r>
        <w:rPr>
          <w:rFonts w:cs="Arial"/>
          <w:szCs w:val="22"/>
        </w:rPr>
        <w:t>n</w:t>
      </w:r>
      <w:r w:rsidRPr="004A409C">
        <w:rPr>
          <w:rFonts w:cs="Arial"/>
          <w:szCs w:val="22"/>
        </w:rPr>
        <w:t xml:space="preserve"> there was insufficient seagrass for collection, and depending on site commencement (Table </w:t>
      </w:r>
      <w:r>
        <w:rPr>
          <w:rFonts w:cs="Arial"/>
          <w:szCs w:val="22"/>
        </w:rPr>
        <w:t>1</w:t>
      </w:r>
      <w:r w:rsidRPr="004A409C">
        <w:rPr>
          <w:rFonts w:cs="Arial"/>
          <w:szCs w:val="22"/>
        </w:rPr>
        <w:t xml:space="preserve">). Tissue nutrients </w:t>
      </w:r>
      <w:r>
        <w:rPr>
          <w:rFonts w:cs="Arial"/>
          <w:szCs w:val="22"/>
        </w:rPr>
        <w:t>we</w:t>
      </w:r>
      <w:r w:rsidRPr="004A409C">
        <w:rPr>
          <w:rFonts w:cs="Arial"/>
          <w:szCs w:val="22"/>
        </w:rPr>
        <w:t xml:space="preserve">re measured only in foundation species (i.e. not the </w:t>
      </w:r>
      <w:r>
        <w:rPr>
          <w:rFonts w:cs="Arial"/>
          <w:szCs w:val="22"/>
        </w:rPr>
        <w:t>non-leaf replacing colonising</w:t>
      </w:r>
      <w:r w:rsidRPr="004A409C">
        <w:rPr>
          <w:rFonts w:cs="Arial"/>
          <w:szCs w:val="22"/>
        </w:rPr>
        <w:t xml:space="preserve"> </w:t>
      </w:r>
      <w:r w:rsidRPr="00AF5BDD">
        <w:rPr>
          <w:rFonts w:cs="Arial"/>
          <w:i/>
          <w:iCs/>
          <w:szCs w:val="22"/>
        </w:rPr>
        <w:t>Halophila</w:t>
      </w:r>
      <w:r w:rsidRPr="004A409C">
        <w:rPr>
          <w:rFonts w:cs="Arial"/>
          <w:szCs w:val="22"/>
        </w:rPr>
        <w:t xml:space="preserve"> spp.). Phosphorus (P) concentration, and the ratio of </w:t>
      </w:r>
      <w:r>
        <w:rPr>
          <w:rFonts w:cs="Arial"/>
          <w:szCs w:val="22"/>
        </w:rPr>
        <w:t xml:space="preserve">tissue </w:t>
      </w:r>
      <w:r w:rsidRPr="004A409C">
        <w:rPr>
          <w:rFonts w:cs="Arial"/>
          <w:szCs w:val="22"/>
        </w:rPr>
        <w:t>C:P and N:P is also measured and reported in the MMP, but analysis of th</w:t>
      </w:r>
      <w:r>
        <w:rPr>
          <w:rFonts w:cs="Arial"/>
          <w:szCs w:val="22"/>
        </w:rPr>
        <w:t>ose</w:t>
      </w:r>
      <w:r w:rsidRPr="004A409C">
        <w:rPr>
          <w:rFonts w:cs="Arial"/>
          <w:szCs w:val="22"/>
        </w:rPr>
        <w:t xml:space="preserve"> data is not included here because they are not </w:t>
      </w:r>
      <w:r>
        <w:rPr>
          <w:rFonts w:cs="Arial"/>
          <w:szCs w:val="22"/>
        </w:rPr>
        <w:t xml:space="preserve">indicators in the seagrass health </w:t>
      </w:r>
      <w:r w:rsidRPr="004A409C">
        <w:rPr>
          <w:rFonts w:cs="Arial"/>
          <w:szCs w:val="22"/>
        </w:rPr>
        <w:t xml:space="preserve">metric. </w:t>
      </w:r>
      <w:r>
        <w:rPr>
          <w:rFonts w:cs="Arial"/>
          <w:szCs w:val="22"/>
        </w:rPr>
        <w:t xml:space="preserve">All data are presented in this report, but statistical analysis was carried out on a sub-set of data as described in the statistics section below. </w:t>
      </w:r>
    </w:p>
    <w:p w14:paraId="6D7DFCC7" w14:textId="77777777" w:rsidR="00D355BA" w:rsidRDefault="00D355BA" w:rsidP="00D355BA">
      <w:pPr>
        <w:rPr>
          <w:rFonts w:cs="Arial"/>
          <w:szCs w:val="22"/>
        </w:rPr>
      </w:pPr>
      <w:r>
        <w:rPr>
          <w:rFonts w:cs="Arial"/>
          <w:szCs w:val="22"/>
        </w:rPr>
        <w:t>Benthic light</w:t>
      </w:r>
    </w:p>
    <w:p w14:paraId="15574BEA" w14:textId="77777777" w:rsidR="00D355BA" w:rsidRDefault="00D355BA" w:rsidP="00D355BA">
      <w:pPr>
        <w:rPr>
          <w:rFonts w:cs="Arial"/>
          <w:szCs w:val="22"/>
        </w:rPr>
      </w:pPr>
      <w:r w:rsidRPr="004A409C">
        <w:rPr>
          <w:rFonts w:cs="Arial"/>
          <w:szCs w:val="22"/>
        </w:rPr>
        <w:t>Benthic light data w</w:t>
      </w:r>
      <w:r>
        <w:rPr>
          <w:rFonts w:cs="Arial"/>
          <w:szCs w:val="22"/>
        </w:rPr>
        <w:t>ere</w:t>
      </w:r>
      <w:r w:rsidRPr="004A409C">
        <w:rPr>
          <w:rFonts w:cs="Arial"/>
          <w:szCs w:val="22"/>
        </w:rPr>
        <w:t xml:space="preserve"> obtained from </w:t>
      </w:r>
      <w:r w:rsidRPr="000C3FAB">
        <w:rPr>
          <w:rFonts w:cs="Arial"/>
          <w:i/>
          <w:szCs w:val="22"/>
        </w:rPr>
        <w:t>in situ</w:t>
      </w:r>
      <w:r w:rsidRPr="004A409C">
        <w:rPr>
          <w:rFonts w:cs="Arial"/>
          <w:szCs w:val="22"/>
        </w:rPr>
        <w:t xml:space="preserve"> PAR logger data</w:t>
      </w:r>
      <w:r>
        <w:rPr>
          <w:rFonts w:cs="Arial"/>
          <w:szCs w:val="22"/>
        </w:rPr>
        <w:t xml:space="preserve"> at the seagrass monitoring sites</w:t>
      </w:r>
      <w:r w:rsidRPr="004A409C">
        <w:rPr>
          <w:rFonts w:cs="Arial"/>
          <w:szCs w:val="22"/>
        </w:rPr>
        <w:t xml:space="preserve"> </w:t>
      </w:r>
      <w:r>
        <w:rPr>
          <w:rFonts w:cs="Arial"/>
          <w:szCs w:val="22"/>
        </w:rPr>
        <w:t xml:space="preserve">(see methods of this report) </w:t>
      </w:r>
      <w:r w:rsidRPr="004A409C">
        <w:rPr>
          <w:rFonts w:cs="Arial"/>
          <w:szCs w:val="22"/>
        </w:rPr>
        <w:t xml:space="preserve">and averaged for each year leading up to the dry season sampling (i.e. November to October of </w:t>
      </w:r>
      <w:r>
        <w:rPr>
          <w:rFonts w:cs="Arial"/>
          <w:szCs w:val="22"/>
        </w:rPr>
        <w:t>the following year</w:t>
      </w:r>
      <w:r w:rsidRPr="004A409C">
        <w:rPr>
          <w:rFonts w:cs="Arial"/>
          <w:szCs w:val="22"/>
        </w:rPr>
        <w:t>)</w:t>
      </w:r>
      <w:r>
        <w:rPr>
          <w:rFonts w:cs="Arial"/>
          <w:szCs w:val="22"/>
        </w:rPr>
        <w:t xml:space="preserve"> (Table 1)</w:t>
      </w:r>
      <w:r w:rsidRPr="004A409C">
        <w:rPr>
          <w:rFonts w:cs="Arial"/>
          <w:szCs w:val="22"/>
        </w:rPr>
        <w:t xml:space="preserve">. </w:t>
      </w:r>
    </w:p>
    <w:p w14:paraId="51081FF5" w14:textId="77777777" w:rsidR="00D355BA" w:rsidRDefault="00D355BA" w:rsidP="00D355BA">
      <w:pPr>
        <w:rPr>
          <w:rFonts w:cs="Arial"/>
          <w:szCs w:val="22"/>
        </w:rPr>
      </w:pPr>
      <w:r>
        <w:rPr>
          <w:rFonts w:cs="Arial"/>
          <w:szCs w:val="22"/>
        </w:rPr>
        <w:t>Exposure to river loads</w:t>
      </w:r>
    </w:p>
    <w:p w14:paraId="3FBECC93" w14:textId="77777777" w:rsidR="00D355BA" w:rsidRDefault="00D355BA" w:rsidP="00D355BA">
      <w:pPr>
        <w:rPr>
          <w:rFonts w:cs="Arial"/>
          <w:szCs w:val="22"/>
        </w:rPr>
      </w:pPr>
      <w:r>
        <w:rPr>
          <w:rFonts w:cs="Arial"/>
          <w:szCs w:val="22"/>
        </w:rPr>
        <w:t>S</w:t>
      </w:r>
      <w:r w:rsidRPr="004A409C">
        <w:rPr>
          <w:rFonts w:cs="Arial"/>
          <w:szCs w:val="22"/>
        </w:rPr>
        <w:t xml:space="preserve">ingle yearly values </w:t>
      </w:r>
      <w:r>
        <w:rPr>
          <w:rFonts w:cs="Arial"/>
          <w:szCs w:val="22"/>
        </w:rPr>
        <w:t xml:space="preserve">of exposure to sediments and nitrogen </w:t>
      </w:r>
      <w:r w:rsidRPr="004A409C">
        <w:rPr>
          <w:rFonts w:cs="Arial"/>
          <w:szCs w:val="22"/>
        </w:rPr>
        <w:t xml:space="preserve">for each site and monitoring year were extracted from a 2-dimensional loading model </w:t>
      </w:r>
      <w:r>
        <w:rPr>
          <w:rFonts w:cs="Arial"/>
          <w:szCs w:val="22"/>
        </w:rPr>
        <w:t>(</w:t>
      </w:r>
      <w:r w:rsidRPr="004A409C">
        <w:rPr>
          <w:rFonts w:cs="Arial"/>
          <w:szCs w:val="22"/>
        </w:rPr>
        <w:t>Waterhouse et al. 2018</w:t>
      </w:r>
      <w:r>
        <w:rPr>
          <w:rFonts w:cs="Arial"/>
          <w:szCs w:val="22"/>
        </w:rPr>
        <w:t>)</w:t>
      </w:r>
      <w:r w:rsidRPr="004A409C">
        <w:rPr>
          <w:rFonts w:cs="Arial"/>
          <w:szCs w:val="22"/>
        </w:rPr>
        <w:t xml:space="preserve"> consisting of dissolved inorganic nitrogen (DIN)</w:t>
      </w:r>
      <w:r>
        <w:rPr>
          <w:rFonts w:cs="Arial"/>
          <w:szCs w:val="22"/>
        </w:rPr>
        <w:t xml:space="preserve"> (Table 1)</w:t>
      </w:r>
      <w:r w:rsidRPr="004A409C">
        <w:rPr>
          <w:rFonts w:cs="Arial"/>
          <w:szCs w:val="22"/>
        </w:rPr>
        <w:t xml:space="preserve">. The loading model is calculated </w:t>
      </w:r>
      <w:r>
        <w:rPr>
          <w:rFonts w:cs="Arial"/>
          <w:szCs w:val="22"/>
        </w:rPr>
        <w:t xml:space="preserve">as an annual load dispersed during </w:t>
      </w:r>
      <w:r w:rsidRPr="004A409C">
        <w:rPr>
          <w:rFonts w:cs="Arial"/>
          <w:szCs w:val="22"/>
        </w:rPr>
        <w:t xml:space="preserve">the wet </w:t>
      </w:r>
      <w:r w:rsidRPr="004A409C">
        <w:rPr>
          <w:rFonts w:cs="Arial"/>
          <w:szCs w:val="22"/>
        </w:rPr>
        <w:lastRenderedPageBreak/>
        <w:t xml:space="preserve">season (December to April), when the majority of the rain falls throughout the </w:t>
      </w:r>
      <w:r>
        <w:rPr>
          <w:rFonts w:cs="Arial"/>
          <w:szCs w:val="22"/>
        </w:rPr>
        <w:t>Reef catchment area</w:t>
      </w:r>
      <w:r w:rsidRPr="004A409C">
        <w:rPr>
          <w:rFonts w:cs="Arial"/>
          <w:szCs w:val="22"/>
        </w:rPr>
        <w:t xml:space="preserve">. </w:t>
      </w:r>
      <w:r>
        <w:rPr>
          <w:rFonts w:cs="Arial"/>
          <w:szCs w:val="22"/>
        </w:rPr>
        <w:t>These DIN values are not actual concentrations but provide an indication of the influence of the rivers on the inshore marine ecosystem and t</w:t>
      </w:r>
      <w:r w:rsidRPr="004A409C">
        <w:rPr>
          <w:rFonts w:cs="Arial"/>
          <w:szCs w:val="22"/>
        </w:rPr>
        <w:t xml:space="preserve">herefore reflect the relative </w:t>
      </w:r>
      <w:r>
        <w:rPr>
          <w:rFonts w:cs="Arial"/>
          <w:szCs w:val="22"/>
        </w:rPr>
        <w:t xml:space="preserve">magnitude of the </w:t>
      </w:r>
      <w:r w:rsidRPr="004A409C">
        <w:rPr>
          <w:rFonts w:cs="Arial"/>
          <w:szCs w:val="22"/>
        </w:rPr>
        <w:t xml:space="preserve">loads prior to measurement of seagrass tissue nutrients. </w:t>
      </w:r>
      <w:r>
        <w:rPr>
          <w:rFonts w:cs="Arial"/>
          <w:szCs w:val="22"/>
        </w:rPr>
        <w:t>Exposure was</w:t>
      </w:r>
      <w:r w:rsidRPr="004A409C">
        <w:rPr>
          <w:rFonts w:cs="Arial"/>
          <w:szCs w:val="22"/>
        </w:rPr>
        <w:t xml:space="preserve"> calculated for each site from the model, </w:t>
      </w:r>
      <w:r>
        <w:rPr>
          <w:rFonts w:cs="Arial"/>
          <w:szCs w:val="22"/>
        </w:rPr>
        <w:t>except for</w:t>
      </w:r>
      <w:r w:rsidRPr="004A409C">
        <w:rPr>
          <w:rFonts w:cs="Arial"/>
          <w:szCs w:val="22"/>
        </w:rPr>
        <w:t xml:space="preserve"> sites </w:t>
      </w:r>
      <w:r>
        <w:rPr>
          <w:rFonts w:cs="Arial"/>
          <w:szCs w:val="22"/>
        </w:rPr>
        <w:t xml:space="preserve">that </w:t>
      </w:r>
      <w:r w:rsidRPr="004A409C">
        <w:rPr>
          <w:rFonts w:cs="Arial"/>
          <w:szCs w:val="22"/>
        </w:rPr>
        <w:t xml:space="preserve">were not within the model boundary (e.g. too close to land), in which case </w:t>
      </w:r>
      <w:r>
        <w:rPr>
          <w:rFonts w:cs="Arial"/>
          <w:szCs w:val="22"/>
        </w:rPr>
        <w:t>exposure</w:t>
      </w:r>
      <w:r w:rsidRPr="004A409C">
        <w:rPr>
          <w:rFonts w:cs="Arial"/>
          <w:szCs w:val="22"/>
        </w:rPr>
        <w:t xml:space="preserve"> from the </w:t>
      </w:r>
      <w:r>
        <w:rPr>
          <w:rFonts w:cs="Arial"/>
          <w:szCs w:val="22"/>
        </w:rPr>
        <w:t xml:space="preserve">nearest </w:t>
      </w:r>
      <w:r w:rsidRPr="004A409C">
        <w:rPr>
          <w:rFonts w:cs="Arial"/>
          <w:szCs w:val="22"/>
        </w:rPr>
        <w:t xml:space="preserve">adjacent pixel was taken. </w:t>
      </w:r>
    </w:p>
    <w:p w14:paraId="15BB03B0" w14:textId="77777777" w:rsidR="00D355BA" w:rsidRDefault="00D355BA" w:rsidP="00D355BA">
      <w:pPr>
        <w:pStyle w:val="Heading4"/>
        <w:numPr>
          <w:ilvl w:val="0"/>
          <w:numId w:val="0"/>
        </w:numPr>
      </w:pPr>
      <w:bookmarkStart w:id="846" w:name="_Toc43987107"/>
      <w:r w:rsidRPr="000C3FAB">
        <w:t>In situ</w:t>
      </w:r>
      <w:r>
        <w:t xml:space="preserve"> water quality</w:t>
      </w:r>
      <w:bookmarkEnd w:id="846"/>
    </w:p>
    <w:p w14:paraId="42893A13" w14:textId="77777777" w:rsidR="00D355BA" w:rsidRDefault="00D355BA" w:rsidP="00D355BA">
      <w:pPr>
        <w:rPr>
          <w:rFonts w:cs="Arial"/>
          <w:szCs w:val="22"/>
        </w:rPr>
      </w:pPr>
      <w:r w:rsidRPr="000C3FAB">
        <w:rPr>
          <w:rFonts w:cs="Arial"/>
          <w:i/>
          <w:szCs w:val="22"/>
        </w:rPr>
        <w:t>In situ</w:t>
      </w:r>
      <w:r w:rsidRPr="004A409C">
        <w:rPr>
          <w:rFonts w:cs="Arial"/>
          <w:szCs w:val="22"/>
        </w:rPr>
        <w:t xml:space="preserve"> water quality data were compiled for a small selection of locations where measurements are taken nearby to the seagrass site (Table </w:t>
      </w:r>
      <w:r>
        <w:rPr>
          <w:rFonts w:cs="Arial"/>
          <w:szCs w:val="22"/>
        </w:rPr>
        <w:t>2</w:t>
      </w:r>
      <w:r w:rsidRPr="004A409C">
        <w:rPr>
          <w:rFonts w:cs="Arial"/>
          <w:szCs w:val="22"/>
        </w:rPr>
        <w:t xml:space="preserve">). All of these locations </w:t>
      </w:r>
      <w:r>
        <w:rPr>
          <w:rFonts w:cs="Arial"/>
          <w:szCs w:val="22"/>
        </w:rPr>
        <w:t xml:space="preserve">with available </w:t>
      </w:r>
      <w:r w:rsidRPr="00670333">
        <w:rPr>
          <w:rFonts w:cs="Arial"/>
          <w:i/>
          <w:szCs w:val="22"/>
        </w:rPr>
        <w:t>in situ</w:t>
      </w:r>
      <w:r>
        <w:rPr>
          <w:rFonts w:cs="Arial"/>
          <w:szCs w:val="22"/>
        </w:rPr>
        <w:t xml:space="preserve"> water quality data </w:t>
      </w:r>
      <w:r w:rsidRPr="004A409C">
        <w:rPr>
          <w:rFonts w:cs="Arial"/>
          <w:szCs w:val="22"/>
        </w:rPr>
        <w:t>are classified as seagrass reef habitat. The water quality stations ranged in distance from ~2</w:t>
      </w:r>
      <w:r>
        <w:rPr>
          <w:rFonts w:cs="Arial"/>
          <w:szCs w:val="22"/>
        </w:rPr>
        <w:t xml:space="preserve"> </w:t>
      </w:r>
      <w:r w:rsidRPr="004A409C">
        <w:rPr>
          <w:rFonts w:cs="Arial"/>
          <w:szCs w:val="22"/>
        </w:rPr>
        <w:t>km (e.g. Green Island) to ~8</w:t>
      </w:r>
      <w:r>
        <w:rPr>
          <w:rFonts w:cs="Arial"/>
          <w:szCs w:val="22"/>
        </w:rPr>
        <w:t xml:space="preserve"> </w:t>
      </w:r>
      <w:r w:rsidRPr="004A409C">
        <w:rPr>
          <w:rFonts w:cs="Arial"/>
          <w:szCs w:val="22"/>
        </w:rPr>
        <w:t xml:space="preserve">km (e.g. Low Isles and Hamilton Island) away from the seagrass site. </w:t>
      </w:r>
      <w:r w:rsidRPr="000C3FAB">
        <w:rPr>
          <w:rFonts w:cs="Arial"/>
          <w:i/>
          <w:szCs w:val="22"/>
        </w:rPr>
        <w:t>In situ</w:t>
      </w:r>
      <w:r w:rsidRPr="004A409C">
        <w:rPr>
          <w:rFonts w:cs="Arial"/>
          <w:szCs w:val="22"/>
        </w:rPr>
        <w:t xml:space="preserve"> water quality data w</w:t>
      </w:r>
      <w:r>
        <w:rPr>
          <w:rFonts w:cs="Arial"/>
          <w:szCs w:val="22"/>
        </w:rPr>
        <w:t>ere</w:t>
      </w:r>
      <w:r w:rsidRPr="004A409C">
        <w:rPr>
          <w:rFonts w:cs="Arial"/>
          <w:szCs w:val="22"/>
        </w:rPr>
        <w:t xml:space="preserve"> averaged for the previous wet season (December to April) to match the </w:t>
      </w:r>
      <w:r>
        <w:rPr>
          <w:rFonts w:cs="Arial"/>
          <w:szCs w:val="22"/>
        </w:rPr>
        <w:t>time-frames of the C:N</w:t>
      </w:r>
      <w:r w:rsidRPr="004A409C">
        <w:rPr>
          <w:rFonts w:cs="Arial"/>
          <w:szCs w:val="22"/>
        </w:rPr>
        <w:t xml:space="preserve"> data</w:t>
      </w:r>
      <w:r>
        <w:rPr>
          <w:rFonts w:cs="Arial"/>
          <w:szCs w:val="22"/>
        </w:rPr>
        <w:t xml:space="preserve"> (i.e. annual)</w:t>
      </w:r>
      <w:r w:rsidRPr="004A409C">
        <w:rPr>
          <w:rFonts w:cs="Arial"/>
          <w:szCs w:val="22"/>
        </w:rPr>
        <w:t>.</w:t>
      </w:r>
    </w:p>
    <w:p w14:paraId="2585BB27" w14:textId="77777777" w:rsidR="00D355BA" w:rsidRDefault="00D355BA" w:rsidP="00D355BA">
      <w:pPr>
        <w:rPr>
          <w:rFonts w:cs="Arial"/>
          <w:szCs w:val="22"/>
        </w:rPr>
      </w:pPr>
    </w:p>
    <w:p w14:paraId="16698F40" w14:textId="77777777" w:rsidR="00D355BA" w:rsidRPr="001F0E92" w:rsidRDefault="00D355BA" w:rsidP="00D355BA">
      <w:pPr>
        <w:rPr>
          <w:rFonts w:cs="Arial"/>
          <w:szCs w:val="22"/>
        </w:rPr>
      </w:pPr>
      <w:r w:rsidRPr="001F0E92">
        <w:rPr>
          <w:rFonts w:cs="Arial"/>
          <w:szCs w:val="22"/>
        </w:rPr>
        <w:br w:type="column"/>
      </w:r>
      <w:r w:rsidRPr="00867E8C">
        <w:rPr>
          <w:rFonts w:cs="Arial"/>
          <w:szCs w:val="22"/>
        </w:rPr>
        <w:lastRenderedPageBreak/>
        <w:t xml:space="preserve">Table </w:t>
      </w:r>
      <w:r>
        <w:rPr>
          <w:rFonts w:cs="Arial"/>
          <w:szCs w:val="22"/>
        </w:rPr>
        <w:t>1.</w:t>
      </w:r>
      <w:r w:rsidRPr="00867E8C">
        <w:rPr>
          <w:rFonts w:cs="Arial"/>
          <w:szCs w:val="22"/>
        </w:rPr>
        <w:t xml:space="preserve"> </w:t>
      </w:r>
      <w:r w:rsidRPr="001F0E92">
        <w:rPr>
          <w:rFonts w:cs="Arial"/>
          <w:i/>
          <w:szCs w:val="22"/>
        </w:rPr>
        <w:t xml:space="preserve">Variables used for statistical modelling of C:N ratio in relation to water quality </w:t>
      </w:r>
    </w:p>
    <w:tbl>
      <w:tblPr>
        <w:tblStyle w:val="TableGrid"/>
        <w:tblW w:w="9781" w:type="dxa"/>
        <w:tblInd w:w="-5" w:type="dxa"/>
        <w:tblLayout w:type="fixed"/>
        <w:tblCellMar>
          <w:left w:w="0" w:type="dxa"/>
          <w:right w:w="0" w:type="dxa"/>
        </w:tblCellMar>
        <w:tblLook w:val="04A0" w:firstRow="1" w:lastRow="0" w:firstColumn="1" w:lastColumn="0" w:noHBand="0" w:noVBand="1"/>
        <w:tblDescription w:val="List of variables used for statistical modelling from Lawrence and Gladish (2018)"/>
      </w:tblPr>
      <w:tblGrid>
        <w:gridCol w:w="1628"/>
        <w:gridCol w:w="1774"/>
        <w:gridCol w:w="6379"/>
      </w:tblGrid>
      <w:tr w:rsidR="00D355BA" w:rsidRPr="00D108EA" w14:paraId="1AB12CF5" w14:textId="77777777" w:rsidTr="0094354F">
        <w:trPr>
          <w:trHeight w:val="20"/>
          <w:tblHeader/>
        </w:trPr>
        <w:tc>
          <w:tcPr>
            <w:tcW w:w="1628" w:type="dxa"/>
            <w:tcBorders>
              <w:bottom w:val="single" w:sz="4" w:space="0" w:color="auto"/>
              <w:right w:val="single" w:sz="4" w:space="0" w:color="806000" w:themeColor="accent4" w:themeShade="80"/>
            </w:tcBorders>
          </w:tcPr>
          <w:p w14:paraId="6AA95A0C" w14:textId="77777777" w:rsidR="00D355BA" w:rsidRPr="005E0801" w:rsidRDefault="00D355BA" w:rsidP="0094354F">
            <w:pPr>
              <w:pStyle w:val="BodyText"/>
              <w:spacing w:before="60" w:after="60"/>
              <w:ind w:left="57"/>
              <w:jc w:val="left"/>
              <w:rPr>
                <w:rFonts w:cs="Arial"/>
                <w:b/>
                <w:sz w:val="20"/>
                <w:szCs w:val="20"/>
              </w:rPr>
            </w:pPr>
            <w:r>
              <w:rPr>
                <w:rFonts w:cs="Arial"/>
                <w:b/>
                <w:sz w:val="20"/>
                <w:szCs w:val="20"/>
              </w:rPr>
              <w:t>Dataset</w:t>
            </w:r>
          </w:p>
        </w:tc>
        <w:tc>
          <w:tcPr>
            <w:tcW w:w="1774" w:type="dxa"/>
            <w:tcBorders>
              <w:bottom w:val="single" w:sz="4" w:space="0" w:color="auto"/>
              <w:right w:val="single" w:sz="4" w:space="0" w:color="806000" w:themeColor="accent4" w:themeShade="80"/>
            </w:tcBorders>
            <w:vAlign w:val="center"/>
          </w:tcPr>
          <w:p w14:paraId="7DF0695B" w14:textId="77777777" w:rsidR="00D355BA" w:rsidRPr="005E0801" w:rsidRDefault="00D355BA" w:rsidP="0094354F">
            <w:pPr>
              <w:pStyle w:val="BodyText"/>
              <w:spacing w:before="60" w:after="60"/>
              <w:ind w:left="57"/>
              <w:jc w:val="left"/>
              <w:rPr>
                <w:rFonts w:cs="Arial"/>
                <w:b/>
                <w:sz w:val="20"/>
                <w:szCs w:val="20"/>
              </w:rPr>
            </w:pPr>
            <w:r w:rsidRPr="005E0801">
              <w:rPr>
                <w:rFonts w:cs="Arial"/>
                <w:b/>
                <w:sz w:val="20"/>
                <w:szCs w:val="20"/>
              </w:rPr>
              <w:t>Variable Name</w:t>
            </w:r>
          </w:p>
        </w:tc>
        <w:tc>
          <w:tcPr>
            <w:tcW w:w="6379" w:type="dxa"/>
            <w:tcBorders>
              <w:left w:val="single" w:sz="4" w:space="0" w:color="806000" w:themeColor="accent4" w:themeShade="80"/>
              <w:bottom w:val="single" w:sz="4" w:space="0" w:color="auto"/>
            </w:tcBorders>
            <w:vAlign w:val="center"/>
          </w:tcPr>
          <w:p w14:paraId="0B06B096" w14:textId="77777777" w:rsidR="00D355BA" w:rsidRPr="005E0801" w:rsidRDefault="00D355BA" w:rsidP="0094354F">
            <w:pPr>
              <w:pStyle w:val="BodyText"/>
              <w:spacing w:before="60" w:after="60"/>
              <w:ind w:left="57"/>
              <w:rPr>
                <w:rFonts w:cs="Arial"/>
                <w:b/>
                <w:sz w:val="20"/>
                <w:szCs w:val="20"/>
              </w:rPr>
            </w:pPr>
            <w:r w:rsidRPr="005E0801">
              <w:rPr>
                <w:rFonts w:cs="Arial"/>
                <w:b/>
                <w:sz w:val="20"/>
                <w:szCs w:val="20"/>
              </w:rPr>
              <w:t>Description</w:t>
            </w:r>
          </w:p>
        </w:tc>
      </w:tr>
      <w:tr w:rsidR="00D355BA" w:rsidRPr="00D108EA" w14:paraId="0BCB18E4" w14:textId="77777777" w:rsidTr="0094354F">
        <w:trPr>
          <w:trHeight w:val="20"/>
        </w:trPr>
        <w:tc>
          <w:tcPr>
            <w:tcW w:w="1628" w:type="dxa"/>
            <w:vMerge w:val="restart"/>
            <w:tcBorders>
              <w:top w:val="single" w:sz="4" w:space="0" w:color="auto"/>
              <w:right w:val="single" w:sz="4" w:space="0" w:color="806000" w:themeColor="accent4" w:themeShade="80"/>
            </w:tcBorders>
          </w:tcPr>
          <w:p w14:paraId="1A166AE7"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MMP inshore seagrass monitoring data (this report)</w:t>
            </w:r>
          </w:p>
        </w:tc>
        <w:tc>
          <w:tcPr>
            <w:tcW w:w="1774" w:type="dxa"/>
            <w:tcBorders>
              <w:top w:val="single" w:sz="4" w:space="0" w:color="auto"/>
              <w:right w:val="single" w:sz="4" w:space="0" w:color="806000" w:themeColor="accent4" w:themeShade="80"/>
            </w:tcBorders>
            <w:vAlign w:val="center"/>
          </w:tcPr>
          <w:p w14:paraId="690FE6B9" w14:textId="77777777" w:rsidR="00D355BA" w:rsidRDefault="00D355BA" w:rsidP="0094354F">
            <w:pPr>
              <w:pStyle w:val="BodyText"/>
              <w:spacing w:before="60" w:after="60"/>
              <w:ind w:left="57"/>
              <w:jc w:val="left"/>
              <w:rPr>
                <w:rFonts w:cs="Arial"/>
                <w:sz w:val="20"/>
                <w:szCs w:val="20"/>
              </w:rPr>
            </w:pPr>
            <w:r>
              <w:rPr>
                <w:rFonts w:cs="Arial"/>
                <w:sz w:val="20"/>
                <w:szCs w:val="20"/>
              </w:rPr>
              <w:t>C:N</w:t>
            </w:r>
          </w:p>
          <w:p w14:paraId="22133A00"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No units</w:t>
            </w:r>
          </w:p>
        </w:tc>
        <w:tc>
          <w:tcPr>
            <w:tcW w:w="6379" w:type="dxa"/>
            <w:tcBorders>
              <w:top w:val="single" w:sz="4" w:space="0" w:color="auto"/>
              <w:left w:val="single" w:sz="4" w:space="0" w:color="806000" w:themeColor="accent4" w:themeShade="80"/>
            </w:tcBorders>
            <w:vAlign w:val="center"/>
          </w:tcPr>
          <w:p w14:paraId="56A4CFF7" w14:textId="77777777" w:rsidR="00D355BA" w:rsidRPr="005E0801" w:rsidRDefault="00D355BA" w:rsidP="0094354F">
            <w:pPr>
              <w:spacing w:before="60" w:after="60"/>
              <w:ind w:left="57"/>
              <w:rPr>
                <w:sz w:val="20"/>
                <w:szCs w:val="20"/>
              </w:rPr>
            </w:pPr>
            <w:r>
              <w:rPr>
                <w:sz w:val="20"/>
                <w:szCs w:val="20"/>
              </w:rPr>
              <w:t>Leaf tissue nutrient C:N ratio averaged for each seagrass monitoring site (collected and analysed once a year during the Late Dry sampling, usually September or October). Measured as %C and %N, then ratio is calculated as the atomic ratio (see QA/QC document for detailed methods). Only data for foundational species have been included in this analysis (see section 2.2.1 McKenzie et al 2020 for definition)</w:t>
            </w:r>
          </w:p>
        </w:tc>
      </w:tr>
      <w:tr w:rsidR="00D355BA" w:rsidRPr="00D108EA" w14:paraId="221886C9" w14:textId="77777777" w:rsidTr="0094354F">
        <w:trPr>
          <w:trHeight w:val="20"/>
        </w:trPr>
        <w:tc>
          <w:tcPr>
            <w:tcW w:w="1628" w:type="dxa"/>
            <w:vMerge/>
            <w:tcBorders>
              <w:right w:val="single" w:sz="4" w:space="0" w:color="806000" w:themeColor="accent4" w:themeShade="80"/>
            </w:tcBorders>
          </w:tcPr>
          <w:p w14:paraId="0986945C" w14:textId="77777777" w:rsidR="00D355BA" w:rsidRPr="005E0801" w:rsidRDefault="00D355BA" w:rsidP="0094354F">
            <w:pPr>
              <w:pStyle w:val="BodyText"/>
              <w:spacing w:before="60" w:after="60"/>
              <w:ind w:left="57"/>
              <w:jc w:val="left"/>
              <w:rPr>
                <w:rFonts w:cs="Arial"/>
                <w:sz w:val="20"/>
                <w:szCs w:val="20"/>
              </w:rPr>
            </w:pPr>
          </w:p>
        </w:tc>
        <w:tc>
          <w:tcPr>
            <w:tcW w:w="1774" w:type="dxa"/>
            <w:tcBorders>
              <w:right w:val="single" w:sz="4" w:space="0" w:color="806000" w:themeColor="accent4" w:themeShade="80"/>
            </w:tcBorders>
            <w:vAlign w:val="center"/>
          </w:tcPr>
          <w:p w14:paraId="0AF64360" w14:textId="77777777" w:rsidR="00D355BA" w:rsidRDefault="00D355BA" w:rsidP="0094354F">
            <w:pPr>
              <w:pStyle w:val="BodyText"/>
              <w:spacing w:before="60" w:after="60"/>
              <w:ind w:left="57"/>
              <w:jc w:val="left"/>
              <w:rPr>
                <w:rFonts w:cs="Arial"/>
                <w:sz w:val="20"/>
                <w:szCs w:val="20"/>
              </w:rPr>
            </w:pPr>
            <w:r>
              <w:rPr>
                <w:rFonts w:cs="Arial"/>
                <w:sz w:val="20"/>
                <w:szCs w:val="20"/>
              </w:rPr>
              <w:t>Light</w:t>
            </w:r>
          </w:p>
          <w:p w14:paraId="248364F6" w14:textId="77777777" w:rsidR="00D355BA" w:rsidRPr="005903D6" w:rsidRDefault="00D355BA" w:rsidP="0094354F">
            <w:pPr>
              <w:pStyle w:val="BodyText"/>
              <w:spacing w:before="60" w:after="60"/>
              <w:ind w:left="57"/>
              <w:jc w:val="left"/>
              <w:rPr>
                <w:rFonts w:cs="Arial"/>
                <w:sz w:val="20"/>
                <w:szCs w:val="20"/>
              </w:rPr>
            </w:pPr>
            <w:r>
              <w:rPr>
                <w:rFonts w:cs="Arial"/>
                <w:sz w:val="20"/>
                <w:szCs w:val="20"/>
              </w:rPr>
              <w:t>(mol m</w:t>
            </w:r>
            <w:r w:rsidRPr="00987A4E">
              <w:rPr>
                <w:rFonts w:cs="Arial"/>
                <w:sz w:val="20"/>
                <w:szCs w:val="20"/>
                <w:vertAlign w:val="superscript"/>
              </w:rPr>
              <w:t>-2</w:t>
            </w:r>
            <w:r>
              <w:rPr>
                <w:rFonts w:cs="Arial"/>
                <w:sz w:val="20"/>
                <w:szCs w:val="20"/>
              </w:rPr>
              <w:t xml:space="preserve"> d</w:t>
            </w:r>
            <w:r w:rsidRPr="00987A4E">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5FC4F5DA" w14:textId="77777777" w:rsidR="00D355BA" w:rsidRPr="005E0801" w:rsidRDefault="00D355BA" w:rsidP="0094354F">
            <w:pPr>
              <w:spacing w:before="60" w:after="60"/>
              <w:ind w:left="57"/>
              <w:rPr>
                <w:sz w:val="20"/>
                <w:szCs w:val="20"/>
              </w:rPr>
            </w:pPr>
            <w:r>
              <w:rPr>
                <w:sz w:val="20"/>
                <w:szCs w:val="20"/>
              </w:rPr>
              <w:t>Mean yearly daily light from Odyssey Photosynthetically Active Radiation (PAR) loggers measuring PAR every 15 minutes, summed to total daily light, and an average daily light for the previous year leading up to the tissue nutrient sample (</w:t>
            </w:r>
            <w:r w:rsidRPr="005E1F72">
              <w:rPr>
                <w:sz w:val="20"/>
                <w:szCs w:val="20"/>
              </w:rPr>
              <w:t xml:space="preserve">November </w:t>
            </w:r>
            <w:r>
              <w:rPr>
                <w:sz w:val="20"/>
                <w:szCs w:val="20"/>
              </w:rPr>
              <w:t xml:space="preserve">Y-1 </w:t>
            </w:r>
            <w:r w:rsidRPr="005E1F72">
              <w:rPr>
                <w:sz w:val="20"/>
                <w:szCs w:val="20"/>
              </w:rPr>
              <w:t>to October</w:t>
            </w:r>
            <w:r>
              <w:rPr>
                <w:sz w:val="20"/>
                <w:szCs w:val="20"/>
              </w:rPr>
              <w:t xml:space="preserve"> Y) taken at each sampling location (mol m</w:t>
            </w:r>
            <w:r w:rsidRPr="00036030">
              <w:rPr>
                <w:sz w:val="20"/>
                <w:szCs w:val="20"/>
                <w:vertAlign w:val="superscript"/>
              </w:rPr>
              <w:t>-2</w:t>
            </w:r>
            <w:r>
              <w:rPr>
                <w:sz w:val="20"/>
                <w:szCs w:val="20"/>
              </w:rPr>
              <w:t xml:space="preserve"> d</w:t>
            </w:r>
            <w:r w:rsidRPr="00036030">
              <w:rPr>
                <w:sz w:val="20"/>
                <w:szCs w:val="20"/>
                <w:vertAlign w:val="superscript"/>
              </w:rPr>
              <w:t>-1</w:t>
            </w:r>
            <w:r>
              <w:rPr>
                <w:sz w:val="20"/>
                <w:szCs w:val="20"/>
              </w:rPr>
              <w:t>). For visual presentation of the model, the minimum, mean and maximum were selected for plotting (Table 5)</w:t>
            </w:r>
          </w:p>
        </w:tc>
      </w:tr>
      <w:tr w:rsidR="00D355BA" w:rsidRPr="00D108EA" w14:paraId="342FC4BD" w14:textId="77777777" w:rsidTr="0094354F">
        <w:trPr>
          <w:trHeight w:val="20"/>
        </w:trPr>
        <w:tc>
          <w:tcPr>
            <w:tcW w:w="1628" w:type="dxa"/>
            <w:tcBorders>
              <w:right w:val="single" w:sz="4" w:space="0" w:color="806000" w:themeColor="accent4" w:themeShade="80"/>
            </w:tcBorders>
          </w:tcPr>
          <w:p w14:paraId="21F797A6" w14:textId="77777777" w:rsidR="00D355BA" w:rsidRPr="005E0801" w:rsidRDefault="00D355BA" w:rsidP="0094354F">
            <w:pPr>
              <w:pStyle w:val="BodyText"/>
              <w:spacing w:before="60" w:after="60"/>
              <w:ind w:left="57"/>
              <w:jc w:val="left"/>
              <w:rPr>
                <w:rFonts w:cs="Arial"/>
                <w:sz w:val="20"/>
                <w:szCs w:val="20"/>
              </w:rPr>
            </w:pPr>
          </w:p>
        </w:tc>
        <w:tc>
          <w:tcPr>
            <w:tcW w:w="1774" w:type="dxa"/>
            <w:tcBorders>
              <w:right w:val="single" w:sz="4" w:space="0" w:color="806000" w:themeColor="accent4" w:themeShade="80"/>
            </w:tcBorders>
            <w:vAlign w:val="center"/>
          </w:tcPr>
          <w:p w14:paraId="328191D9" w14:textId="77777777" w:rsidR="00D355BA" w:rsidRDefault="00D355BA" w:rsidP="0094354F">
            <w:pPr>
              <w:pStyle w:val="BodyText"/>
              <w:spacing w:before="60" w:after="60"/>
              <w:ind w:left="57"/>
              <w:jc w:val="left"/>
              <w:rPr>
                <w:rFonts w:cs="Arial"/>
                <w:sz w:val="20"/>
                <w:szCs w:val="20"/>
              </w:rPr>
            </w:pPr>
            <w:r>
              <w:rPr>
                <w:rFonts w:cs="Arial"/>
                <w:sz w:val="20"/>
                <w:szCs w:val="20"/>
              </w:rPr>
              <w:t>f_DL</w:t>
            </w:r>
          </w:p>
        </w:tc>
        <w:tc>
          <w:tcPr>
            <w:tcW w:w="6379" w:type="dxa"/>
            <w:tcBorders>
              <w:left w:val="single" w:sz="4" w:space="0" w:color="806000" w:themeColor="accent4" w:themeShade="80"/>
            </w:tcBorders>
            <w:vAlign w:val="center"/>
          </w:tcPr>
          <w:p w14:paraId="2FC503CE" w14:textId="77777777" w:rsidR="00D355BA" w:rsidRPr="00476F26" w:rsidRDefault="00D355BA" w:rsidP="0094354F">
            <w:pPr>
              <w:spacing w:before="60" w:after="60"/>
              <w:ind w:left="57"/>
              <w:rPr>
                <w:sz w:val="20"/>
                <w:szCs w:val="20"/>
                <w:highlight w:val="yellow"/>
              </w:rPr>
            </w:pPr>
            <w:r w:rsidRPr="00356BDC">
              <w:rPr>
                <w:sz w:val="20"/>
                <w:szCs w:val="20"/>
              </w:rPr>
              <w:t xml:space="preserve">Mean </w:t>
            </w:r>
            <w:r>
              <w:rPr>
                <w:sz w:val="20"/>
                <w:szCs w:val="20"/>
              </w:rPr>
              <w:t>d</w:t>
            </w:r>
            <w:r w:rsidRPr="00356BDC">
              <w:rPr>
                <w:sz w:val="20"/>
                <w:szCs w:val="20"/>
              </w:rPr>
              <w:t xml:space="preserve">aily light split into 2 categories, f_DL1 is assigned to data points with </w:t>
            </w:r>
            <w:r>
              <w:rPr>
                <w:sz w:val="20"/>
                <w:szCs w:val="20"/>
              </w:rPr>
              <w:t>Light</w:t>
            </w:r>
            <w:r w:rsidRPr="00356BDC">
              <w:rPr>
                <w:sz w:val="20"/>
                <w:szCs w:val="20"/>
              </w:rPr>
              <w:t xml:space="preserve"> &lt; median </w:t>
            </w:r>
            <w:r>
              <w:rPr>
                <w:sz w:val="20"/>
                <w:szCs w:val="20"/>
              </w:rPr>
              <w:t>Light</w:t>
            </w:r>
            <w:r w:rsidRPr="00356BDC">
              <w:rPr>
                <w:sz w:val="20"/>
                <w:szCs w:val="20"/>
              </w:rPr>
              <w:t xml:space="preserve"> for the Habitat and region, f_DL2 is assigned to data point with </w:t>
            </w:r>
            <w:r>
              <w:rPr>
                <w:sz w:val="20"/>
                <w:szCs w:val="20"/>
              </w:rPr>
              <w:t>Light</w:t>
            </w:r>
            <w:r w:rsidRPr="00356BDC">
              <w:rPr>
                <w:sz w:val="20"/>
                <w:szCs w:val="20"/>
              </w:rPr>
              <w:t xml:space="preserve"> &gt; median </w:t>
            </w:r>
            <w:r>
              <w:rPr>
                <w:sz w:val="20"/>
                <w:szCs w:val="20"/>
              </w:rPr>
              <w:t>Light</w:t>
            </w:r>
            <w:r w:rsidRPr="00356BDC">
              <w:rPr>
                <w:sz w:val="20"/>
                <w:szCs w:val="20"/>
              </w:rPr>
              <w:t xml:space="preserve"> </w:t>
            </w:r>
            <w:r w:rsidRPr="00EB33D0">
              <w:rPr>
                <w:sz w:val="20"/>
                <w:szCs w:val="20"/>
              </w:rPr>
              <w:t>(see Tables 6 and 7)</w:t>
            </w:r>
          </w:p>
        </w:tc>
      </w:tr>
      <w:tr w:rsidR="00D355BA" w:rsidRPr="00D108EA" w14:paraId="3450A210" w14:textId="77777777" w:rsidTr="0094354F">
        <w:trPr>
          <w:trHeight w:val="20"/>
        </w:trPr>
        <w:tc>
          <w:tcPr>
            <w:tcW w:w="1628" w:type="dxa"/>
            <w:tcBorders>
              <w:right w:val="single" w:sz="4" w:space="0" w:color="806000" w:themeColor="accent4" w:themeShade="80"/>
            </w:tcBorders>
          </w:tcPr>
          <w:p w14:paraId="279B4467" w14:textId="77777777" w:rsidR="00D355BA" w:rsidRPr="005E0801" w:rsidRDefault="00D355BA" w:rsidP="0094354F">
            <w:pPr>
              <w:pStyle w:val="BodyText"/>
              <w:spacing w:before="60" w:after="60"/>
              <w:ind w:left="57"/>
              <w:jc w:val="left"/>
              <w:rPr>
                <w:rFonts w:cs="Arial"/>
                <w:sz w:val="20"/>
                <w:szCs w:val="20"/>
              </w:rPr>
            </w:pPr>
          </w:p>
        </w:tc>
        <w:tc>
          <w:tcPr>
            <w:tcW w:w="1774" w:type="dxa"/>
            <w:tcBorders>
              <w:right w:val="single" w:sz="4" w:space="0" w:color="806000" w:themeColor="accent4" w:themeShade="80"/>
            </w:tcBorders>
            <w:vAlign w:val="center"/>
          </w:tcPr>
          <w:p w14:paraId="0A9BF0AC" w14:textId="77777777" w:rsidR="00D355BA" w:rsidRDefault="00D355BA" w:rsidP="0094354F">
            <w:pPr>
              <w:pStyle w:val="BodyText"/>
              <w:spacing w:before="60" w:after="60"/>
              <w:ind w:left="57"/>
              <w:jc w:val="left"/>
              <w:rPr>
                <w:rFonts w:cs="Arial"/>
                <w:sz w:val="20"/>
                <w:szCs w:val="20"/>
              </w:rPr>
            </w:pPr>
            <w:r>
              <w:rPr>
                <w:rFonts w:cs="Arial"/>
                <w:sz w:val="20"/>
                <w:szCs w:val="20"/>
              </w:rPr>
              <w:t>NRM_Sub-region</w:t>
            </w:r>
          </w:p>
        </w:tc>
        <w:tc>
          <w:tcPr>
            <w:tcW w:w="6379" w:type="dxa"/>
            <w:tcBorders>
              <w:left w:val="single" w:sz="4" w:space="0" w:color="806000" w:themeColor="accent4" w:themeShade="80"/>
            </w:tcBorders>
            <w:vAlign w:val="center"/>
          </w:tcPr>
          <w:p w14:paraId="1B6CB461" w14:textId="77777777" w:rsidR="00D355BA" w:rsidRPr="00BA33E3" w:rsidRDefault="00D355BA" w:rsidP="0094354F">
            <w:pPr>
              <w:spacing w:before="60" w:after="60"/>
              <w:ind w:left="57"/>
              <w:rPr>
                <w:sz w:val="20"/>
                <w:szCs w:val="20"/>
              </w:rPr>
            </w:pPr>
            <w:r w:rsidRPr="00BA33E3">
              <w:rPr>
                <w:sz w:val="20"/>
                <w:szCs w:val="20"/>
              </w:rPr>
              <w:t>Natural Resource Management (NRM) boundaries as defined by the NRM2014 Land shapefile © State of Queensland Department of Natural Resources, Mines and Energy</w:t>
            </w:r>
            <w:r>
              <w:rPr>
                <w:sz w:val="20"/>
                <w:szCs w:val="20"/>
              </w:rPr>
              <w:t xml:space="preserve">. Northern and southern tropics are further distinguished for this report as north and south of </w:t>
            </w:r>
            <w:r w:rsidRPr="00965259">
              <w:rPr>
                <w:sz w:val="20"/>
                <w:szCs w:val="20"/>
              </w:rPr>
              <w:t xml:space="preserve">Russell-Mulgrave </w:t>
            </w:r>
            <w:r>
              <w:rPr>
                <w:sz w:val="20"/>
                <w:szCs w:val="20"/>
              </w:rPr>
              <w:t>River mouth</w:t>
            </w:r>
          </w:p>
        </w:tc>
      </w:tr>
      <w:tr w:rsidR="00D355BA" w:rsidRPr="00D108EA" w14:paraId="588049BE" w14:textId="77777777" w:rsidTr="0094354F">
        <w:trPr>
          <w:trHeight w:val="20"/>
        </w:trPr>
        <w:tc>
          <w:tcPr>
            <w:tcW w:w="1628" w:type="dxa"/>
            <w:tcBorders>
              <w:right w:val="single" w:sz="4" w:space="0" w:color="806000" w:themeColor="accent4" w:themeShade="80"/>
            </w:tcBorders>
          </w:tcPr>
          <w:p w14:paraId="14661BD4" w14:textId="77777777" w:rsidR="00D355BA" w:rsidRPr="005E0801" w:rsidRDefault="00D355BA" w:rsidP="0094354F">
            <w:pPr>
              <w:pStyle w:val="BodyText"/>
              <w:spacing w:before="60" w:after="60"/>
              <w:ind w:left="57"/>
              <w:jc w:val="left"/>
              <w:rPr>
                <w:rFonts w:cs="Arial"/>
                <w:sz w:val="20"/>
                <w:szCs w:val="20"/>
              </w:rPr>
            </w:pPr>
          </w:p>
        </w:tc>
        <w:tc>
          <w:tcPr>
            <w:tcW w:w="1774" w:type="dxa"/>
            <w:tcBorders>
              <w:right w:val="single" w:sz="4" w:space="0" w:color="806000" w:themeColor="accent4" w:themeShade="80"/>
            </w:tcBorders>
            <w:vAlign w:val="center"/>
          </w:tcPr>
          <w:p w14:paraId="2C464997" w14:textId="77777777" w:rsidR="00D355BA" w:rsidRDefault="00D355BA" w:rsidP="0094354F">
            <w:pPr>
              <w:pStyle w:val="BodyText"/>
              <w:spacing w:before="60" w:after="60"/>
              <w:ind w:left="57"/>
              <w:jc w:val="left"/>
              <w:rPr>
                <w:rFonts w:cs="Arial"/>
                <w:sz w:val="20"/>
                <w:szCs w:val="20"/>
              </w:rPr>
            </w:pPr>
            <w:r>
              <w:rPr>
                <w:rFonts w:cs="Arial"/>
                <w:sz w:val="20"/>
                <w:szCs w:val="20"/>
              </w:rPr>
              <w:t>Habitat</w:t>
            </w:r>
          </w:p>
        </w:tc>
        <w:tc>
          <w:tcPr>
            <w:tcW w:w="6379" w:type="dxa"/>
            <w:tcBorders>
              <w:left w:val="single" w:sz="4" w:space="0" w:color="806000" w:themeColor="accent4" w:themeShade="80"/>
            </w:tcBorders>
            <w:vAlign w:val="center"/>
          </w:tcPr>
          <w:p w14:paraId="1F81FAD4" w14:textId="77777777" w:rsidR="00D355BA" w:rsidRPr="00BA33E3" w:rsidRDefault="00D355BA" w:rsidP="0094354F">
            <w:pPr>
              <w:spacing w:before="60" w:after="60"/>
              <w:ind w:left="57"/>
              <w:rPr>
                <w:sz w:val="20"/>
                <w:szCs w:val="20"/>
              </w:rPr>
            </w:pPr>
            <w:r w:rsidRPr="00BA33E3">
              <w:rPr>
                <w:rFonts w:cs="Arial"/>
                <w:sz w:val="20"/>
                <w:szCs w:val="20"/>
              </w:rPr>
              <w:t xml:space="preserve">Habitat type as estuarine, coastal, reef, and subtidal if it never exposes (see </w:t>
            </w:r>
            <w:r>
              <w:rPr>
                <w:rFonts w:cs="Arial"/>
                <w:sz w:val="20"/>
                <w:szCs w:val="20"/>
              </w:rPr>
              <w:t xml:space="preserve">this report, and </w:t>
            </w:r>
            <w:r w:rsidRPr="00BA33E3">
              <w:rPr>
                <w:rFonts w:cs="Arial"/>
                <w:sz w:val="20"/>
                <w:szCs w:val="20"/>
              </w:rPr>
              <w:t xml:space="preserve">Carruthers et al. 2002) </w:t>
            </w:r>
          </w:p>
        </w:tc>
      </w:tr>
      <w:tr w:rsidR="00D355BA" w:rsidRPr="00D108EA" w14:paraId="4E7AD6AA" w14:textId="77777777" w:rsidTr="0094354F">
        <w:trPr>
          <w:trHeight w:val="20"/>
        </w:trPr>
        <w:tc>
          <w:tcPr>
            <w:tcW w:w="1628" w:type="dxa"/>
            <w:tcBorders>
              <w:right w:val="single" w:sz="4" w:space="0" w:color="806000" w:themeColor="accent4" w:themeShade="80"/>
            </w:tcBorders>
          </w:tcPr>
          <w:p w14:paraId="4C99D6BD"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MMP water quality data from the loading model (Gruber et al 2020)</w:t>
            </w:r>
          </w:p>
        </w:tc>
        <w:tc>
          <w:tcPr>
            <w:tcW w:w="1774" w:type="dxa"/>
            <w:tcBorders>
              <w:right w:val="single" w:sz="4" w:space="0" w:color="806000" w:themeColor="accent4" w:themeShade="80"/>
            </w:tcBorders>
            <w:vAlign w:val="center"/>
          </w:tcPr>
          <w:p w14:paraId="44CFECE6" w14:textId="77777777" w:rsidR="00D355BA" w:rsidRDefault="00D355BA" w:rsidP="0094354F">
            <w:pPr>
              <w:pStyle w:val="BodyText"/>
              <w:spacing w:before="60" w:after="60"/>
              <w:ind w:left="57"/>
              <w:jc w:val="left"/>
              <w:rPr>
                <w:rFonts w:cs="Arial"/>
                <w:sz w:val="20"/>
                <w:szCs w:val="20"/>
              </w:rPr>
            </w:pPr>
            <w:r>
              <w:rPr>
                <w:rFonts w:cs="Arial"/>
                <w:sz w:val="20"/>
                <w:szCs w:val="20"/>
              </w:rPr>
              <w:t xml:space="preserve">DIN exposure </w:t>
            </w:r>
          </w:p>
          <w:p w14:paraId="77BFFE08"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(r</w:t>
            </w:r>
            <w:r w:rsidRPr="005903D6">
              <w:rPr>
                <w:rFonts w:cs="Arial"/>
                <w:sz w:val="20"/>
                <w:szCs w:val="20"/>
              </w:rPr>
              <w:t>elative units</w:t>
            </w:r>
            <w:r>
              <w:rPr>
                <w:rFonts w:cs="Arial"/>
                <w:sz w:val="20"/>
                <w:szCs w:val="20"/>
              </w:rPr>
              <w:t>)</w:t>
            </w:r>
          </w:p>
        </w:tc>
        <w:tc>
          <w:tcPr>
            <w:tcW w:w="6379" w:type="dxa"/>
            <w:tcBorders>
              <w:left w:val="single" w:sz="4" w:space="0" w:color="806000" w:themeColor="accent4" w:themeShade="80"/>
            </w:tcBorders>
            <w:vAlign w:val="center"/>
          </w:tcPr>
          <w:p w14:paraId="1B8167E1" w14:textId="77777777" w:rsidR="00D355BA" w:rsidRPr="00BA33E3" w:rsidRDefault="00D355BA" w:rsidP="0094354F">
            <w:pPr>
              <w:spacing w:before="60" w:after="60"/>
              <w:ind w:left="57"/>
              <w:rPr>
                <w:sz w:val="20"/>
                <w:szCs w:val="20"/>
              </w:rPr>
            </w:pPr>
            <w:r w:rsidRPr="00BA33E3">
              <w:rPr>
                <w:sz w:val="20"/>
                <w:szCs w:val="20"/>
              </w:rPr>
              <w:t xml:space="preserve">Modelled mean </w:t>
            </w:r>
            <w:r>
              <w:rPr>
                <w:sz w:val="20"/>
                <w:szCs w:val="20"/>
              </w:rPr>
              <w:t>d</w:t>
            </w:r>
            <w:r w:rsidRPr="00BA33E3">
              <w:rPr>
                <w:sz w:val="20"/>
                <w:szCs w:val="20"/>
              </w:rPr>
              <w:t xml:space="preserve">issolved </w:t>
            </w:r>
            <w:r>
              <w:rPr>
                <w:sz w:val="20"/>
                <w:szCs w:val="20"/>
              </w:rPr>
              <w:t>i</w:t>
            </w:r>
            <w:r w:rsidRPr="00BA33E3">
              <w:rPr>
                <w:sz w:val="20"/>
                <w:szCs w:val="20"/>
              </w:rPr>
              <w:t xml:space="preserve">norganic </w:t>
            </w:r>
            <w:r>
              <w:rPr>
                <w:sz w:val="20"/>
                <w:szCs w:val="20"/>
              </w:rPr>
              <w:t>n</w:t>
            </w:r>
            <w:r w:rsidRPr="00BA33E3">
              <w:rPr>
                <w:sz w:val="20"/>
                <w:szCs w:val="20"/>
              </w:rPr>
              <w:t xml:space="preserve">itrogen (DIN) </w:t>
            </w:r>
            <w:r>
              <w:rPr>
                <w:sz w:val="20"/>
                <w:szCs w:val="20"/>
              </w:rPr>
              <w:t xml:space="preserve">load </w:t>
            </w:r>
            <w:r w:rsidRPr="00BA33E3">
              <w:rPr>
                <w:sz w:val="20"/>
                <w:szCs w:val="20"/>
              </w:rPr>
              <w:t xml:space="preserve">for the wet season of the previous MMP sampling year for each seagrass monitoring sites </w:t>
            </w:r>
            <w:r>
              <w:rPr>
                <w:sz w:val="20"/>
                <w:szCs w:val="20"/>
              </w:rPr>
              <w:t>(</w:t>
            </w:r>
            <w:hyperlink w:anchor="_ENREF_152" w:tooltip="Waterhouse, 2018 #1807" w:history="1">
              <w:r w:rsidRPr="00BA33E3">
                <w:rPr>
                  <w:sz w:val="20"/>
                  <w:szCs w:val="20"/>
                </w:rPr>
                <w:fldChar w:fldCharType="begin"/>
              </w:r>
              <w:r w:rsidRPr="00BA33E3">
                <w:rPr>
                  <w:sz w:val="20"/>
                  <w:szCs w:val="20"/>
                </w:rPr>
                <w:instrText xml:space="preserve"> ADDIN EN.CITE &lt;EndNote&gt;&lt;Cite&gt;&lt;Author&gt;Waterhouse&lt;/Author&gt;&lt;Year&gt;2018&lt;/Year&gt;&lt;RecNum&gt;1807&lt;/RecNum&gt;&lt;DisplayText&gt;Waterhouse&lt;style face="italic"&gt; et al.&lt;/style&gt; 2018&lt;/DisplayText&gt;&lt;record&gt;&lt;rec-number&gt;1807&lt;/rec-number&gt;&lt;foreign-keys&gt;&lt;key app="EN" db-id="xp95r2wt4pwtpyeavf5vadf4pa05f0ae5f0d" timestamp="1528182634"&gt;1807&lt;/key&gt;&lt;/foreign-keys&gt;&lt;ref-type name="Report"&gt;27&lt;/ref-type&gt;&lt;contributors&gt;&lt;authors&gt;&lt;author&gt;Waterhouse, J&lt;/author&gt;&lt;author&gt;Lønborg, C&lt;/author&gt;&lt;author&gt;Logan, M&lt;/author&gt;&lt;author&gt;Petus, C&lt;/author&gt;&lt;author&gt;Tracey, D&lt;/author&gt;&lt;author&gt;Howley, C.&lt;/author&gt;&lt;author&gt;Harper, E.&lt;/author&gt;&lt;author&gt;Tonin, H&lt;/author&gt;&lt;author&gt;Skuza, M&lt;/author&gt;&lt;author&gt;Doyle, J.&lt;/author&gt;&lt;author&gt;Costello, P&lt;/author&gt;&lt;author&gt;Davidson, J&lt;/author&gt;&lt;author&gt;Gunn, K&lt;/author&gt;&lt;author&gt;Wright, M&lt;/author&gt;&lt;author&gt;Zagorskis, I&lt;/author&gt;&lt;author&gt;Kroon, F.&lt;/author&gt;&lt;/authors&gt;&lt;/contributors&gt;&lt;titles&gt;&lt;title&gt;Marine Monitoring Program: Annual Report for inshore water quality monitoring 2016-2017. Report for the Great Barrier Reef Marine Park Authority&lt;/title&gt;&lt;/titles&gt;&lt;dates&gt;&lt;year&gt;2018&lt;/year&gt;&lt;/dates&gt;&lt;pub-location&gt;Townsville&lt;/pub-location&gt;&lt;publisher&gt;Great Barrier Reef Marine Park Authority&lt;/publisher&gt;&lt;urls&gt;&lt;/urls&gt;&lt;/record&gt;&lt;/Cite&gt;&lt;/EndNote&gt;</w:instrText>
              </w:r>
              <w:r w:rsidRPr="00BA33E3">
                <w:rPr>
                  <w:sz w:val="20"/>
                  <w:szCs w:val="20"/>
                </w:rPr>
                <w:fldChar w:fldCharType="separate"/>
              </w:r>
              <w:r w:rsidRPr="00BA33E3">
                <w:rPr>
                  <w:noProof/>
                  <w:sz w:val="20"/>
                  <w:szCs w:val="20"/>
                </w:rPr>
                <w:t>Waterhouse</w:t>
              </w:r>
              <w:r w:rsidRPr="00BA33E3">
                <w:rPr>
                  <w:i/>
                  <w:noProof/>
                  <w:sz w:val="20"/>
                  <w:szCs w:val="20"/>
                </w:rPr>
                <w:t xml:space="preserve"> et al.</w:t>
              </w:r>
              <w:r w:rsidRPr="00BA33E3">
                <w:rPr>
                  <w:noProof/>
                  <w:sz w:val="20"/>
                  <w:szCs w:val="20"/>
                </w:rPr>
                <w:t xml:space="preserve"> 2018</w:t>
              </w:r>
              <w:r w:rsidRPr="00BA33E3">
                <w:rPr>
                  <w:sz w:val="20"/>
                  <w:szCs w:val="20"/>
                </w:rPr>
                <w:fldChar w:fldCharType="end"/>
              </w:r>
            </w:hyperlink>
            <w:r>
              <w:rPr>
                <w:sz w:val="20"/>
                <w:szCs w:val="20"/>
              </w:rPr>
              <w:t>)</w:t>
            </w:r>
          </w:p>
        </w:tc>
      </w:tr>
      <w:tr w:rsidR="00D355BA" w:rsidRPr="00D108EA" w14:paraId="50F25ED0" w14:textId="77777777" w:rsidTr="0094354F">
        <w:trPr>
          <w:trHeight w:val="20"/>
        </w:trPr>
        <w:tc>
          <w:tcPr>
            <w:tcW w:w="1628" w:type="dxa"/>
            <w:vMerge w:val="restart"/>
            <w:tcBorders>
              <w:right w:val="single" w:sz="4" w:space="0" w:color="806000" w:themeColor="accent4" w:themeShade="80"/>
            </w:tcBorders>
          </w:tcPr>
          <w:p w14:paraId="598A0CE0"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MMP water quality data from in situ monitoring stations (Gruber et al 2020)</w:t>
            </w:r>
          </w:p>
        </w:tc>
        <w:tc>
          <w:tcPr>
            <w:tcW w:w="1774" w:type="dxa"/>
            <w:tcBorders>
              <w:right w:val="single" w:sz="4" w:space="0" w:color="806000" w:themeColor="accent4" w:themeShade="80"/>
            </w:tcBorders>
            <w:vAlign w:val="center"/>
          </w:tcPr>
          <w:p w14:paraId="201CD467" w14:textId="77777777" w:rsidR="00D355BA" w:rsidRPr="005E0801" w:rsidRDefault="00D355BA" w:rsidP="0094354F">
            <w:pPr>
              <w:pStyle w:val="BodyText"/>
              <w:spacing w:before="60" w:after="60"/>
              <w:ind w:left="57"/>
              <w:jc w:val="left"/>
              <w:rPr>
                <w:rFonts w:cs="Arial"/>
                <w:sz w:val="20"/>
                <w:szCs w:val="20"/>
              </w:rPr>
            </w:pPr>
            <w:r>
              <w:rPr>
                <w:rFonts w:cs="Arial"/>
                <w:sz w:val="20"/>
                <w:szCs w:val="20"/>
              </w:rPr>
              <w:t>Secchi (m)</w:t>
            </w:r>
          </w:p>
        </w:tc>
        <w:tc>
          <w:tcPr>
            <w:tcW w:w="6379" w:type="dxa"/>
            <w:tcBorders>
              <w:left w:val="single" w:sz="4" w:space="0" w:color="806000" w:themeColor="accent4" w:themeShade="80"/>
            </w:tcBorders>
            <w:vAlign w:val="center"/>
          </w:tcPr>
          <w:p w14:paraId="0D0D43E5" w14:textId="77777777" w:rsidR="00D355BA" w:rsidRPr="005E0801" w:rsidRDefault="00D355BA" w:rsidP="0094354F">
            <w:pPr>
              <w:spacing w:before="60" w:after="60"/>
              <w:ind w:left="57"/>
              <w:rPr>
                <w:sz w:val="20"/>
                <w:szCs w:val="20"/>
              </w:rPr>
            </w:pPr>
            <w:r>
              <w:rPr>
                <w:sz w:val="20"/>
                <w:szCs w:val="20"/>
              </w:rPr>
              <w:t xml:space="preserve">Mean Secchi depth measured during the wet season of the previous MMP sampling year for selection of seagrass monitoring locations </w:t>
            </w:r>
          </w:p>
        </w:tc>
      </w:tr>
      <w:tr w:rsidR="00D355BA" w:rsidRPr="00D108EA" w14:paraId="225927AD" w14:textId="77777777" w:rsidTr="0094354F">
        <w:trPr>
          <w:trHeight w:val="20"/>
        </w:trPr>
        <w:tc>
          <w:tcPr>
            <w:tcW w:w="1628" w:type="dxa"/>
            <w:vMerge/>
            <w:tcBorders>
              <w:right w:val="single" w:sz="4" w:space="0" w:color="806000" w:themeColor="accent4" w:themeShade="80"/>
            </w:tcBorders>
          </w:tcPr>
          <w:p w14:paraId="7D2C3B5C" w14:textId="77777777" w:rsidR="00D355BA" w:rsidRPr="005E0801" w:rsidRDefault="00D355BA" w:rsidP="0094354F">
            <w:pPr>
              <w:pStyle w:val="BodyText"/>
              <w:spacing w:before="60" w:after="60"/>
              <w:ind w:left="57"/>
              <w:jc w:val="left"/>
              <w:rPr>
                <w:rFonts w:cs="Arial"/>
                <w:sz w:val="20"/>
                <w:szCs w:val="20"/>
              </w:rPr>
            </w:pPr>
          </w:p>
        </w:tc>
        <w:tc>
          <w:tcPr>
            <w:tcW w:w="1774" w:type="dxa"/>
            <w:tcBorders>
              <w:right w:val="single" w:sz="4" w:space="0" w:color="806000" w:themeColor="accent4" w:themeShade="80"/>
            </w:tcBorders>
            <w:vAlign w:val="center"/>
          </w:tcPr>
          <w:p w14:paraId="24EE248C" w14:textId="77777777" w:rsidR="00D355BA" w:rsidRPr="00FC41D8" w:rsidRDefault="00D355BA" w:rsidP="0094354F">
            <w:pPr>
              <w:pStyle w:val="BodyText"/>
              <w:spacing w:before="60" w:after="60"/>
              <w:ind w:left="57"/>
              <w:jc w:val="left"/>
              <w:rPr>
                <w:rFonts w:cs="Arial"/>
                <w:sz w:val="20"/>
                <w:szCs w:val="20"/>
              </w:rPr>
            </w:pPr>
            <w:r>
              <w:rPr>
                <w:rFonts w:cs="Arial"/>
                <w:sz w:val="20"/>
                <w:szCs w:val="20"/>
              </w:rPr>
              <w:t>TDN (</w:t>
            </w:r>
            <w:r w:rsidRPr="00D8560F">
              <w:rPr>
                <w:rFonts w:cs="Arial"/>
                <w:sz w:val="20"/>
                <w:szCs w:val="20"/>
              </w:rPr>
              <w:sym w:font="Symbol" w:char="F06D"/>
            </w:r>
            <w:r w:rsidRPr="00D8560F">
              <w:rPr>
                <w:rFonts w:cs="Arial"/>
                <w:sz w:val="20"/>
                <w:szCs w:val="20"/>
              </w:rPr>
              <w:t>mol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5EFCC688" w14:textId="77777777" w:rsidR="00D355BA" w:rsidRPr="005E0801" w:rsidRDefault="00D355BA" w:rsidP="0094354F">
            <w:pPr>
              <w:spacing w:before="60" w:after="60"/>
              <w:ind w:left="57"/>
              <w:rPr>
                <w:sz w:val="20"/>
                <w:szCs w:val="20"/>
              </w:rPr>
            </w:pPr>
            <w:r>
              <w:rPr>
                <w:sz w:val="20"/>
                <w:szCs w:val="20"/>
              </w:rPr>
              <w:t>Mean total dissolved nitrogen measured during the wet season of the previous MMP sampling year for selection of seagrass monitoring locations</w:t>
            </w:r>
          </w:p>
        </w:tc>
      </w:tr>
      <w:tr w:rsidR="00D355BA" w:rsidRPr="00D108EA" w14:paraId="2EE5A962" w14:textId="77777777" w:rsidTr="0094354F">
        <w:trPr>
          <w:trHeight w:val="20"/>
        </w:trPr>
        <w:tc>
          <w:tcPr>
            <w:tcW w:w="1628" w:type="dxa"/>
            <w:vMerge/>
            <w:tcBorders>
              <w:right w:val="single" w:sz="4" w:space="0" w:color="806000" w:themeColor="accent4" w:themeShade="80"/>
            </w:tcBorders>
          </w:tcPr>
          <w:p w14:paraId="5153CA46" w14:textId="77777777" w:rsidR="00D355BA" w:rsidRPr="005E0801" w:rsidRDefault="00D355BA" w:rsidP="0094354F">
            <w:pPr>
              <w:pStyle w:val="BodyText"/>
              <w:spacing w:before="60" w:after="60"/>
              <w:ind w:left="57"/>
              <w:jc w:val="left"/>
              <w:rPr>
                <w:rFonts w:cs="Arial"/>
                <w:i/>
                <w:sz w:val="20"/>
                <w:szCs w:val="20"/>
              </w:rPr>
            </w:pPr>
          </w:p>
        </w:tc>
        <w:tc>
          <w:tcPr>
            <w:tcW w:w="1774" w:type="dxa"/>
            <w:tcBorders>
              <w:right w:val="single" w:sz="4" w:space="0" w:color="806000" w:themeColor="accent4" w:themeShade="80"/>
            </w:tcBorders>
            <w:vAlign w:val="center"/>
          </w:tcPr>
          <w:p w14:paraId="1683C2A3" w14:textId="77777777" w:rsidR="00D355BA" w:rsidRPr="00FC41D8" w:rsidRDefault="00D355BA" w:rsidP="0094354F">
            <w:pPr>
              <w:pStyle w:val="BodyText"/>
              <w:spacing w:before="60" w:after="60"/>
              <w:ind w:left="57"/>
              <w:jc w:val="left"/>
              <w:rPr>
                <w:rFonts w:cs="Arial"/>
                <w:sz w:val="20"/>
                <w:szCs w:val="20"/>
              </w:rPr>
            </w:pPr>
            <w:r>
              <w:rPr>
                <w:rFonts w:cs="Arial"/>
                <w:sz w:val="20"/>
                <w:szCs w:val="20"/>
              </w:rPr>
              <w:t>TDP (</w:t>
            </w:r>
            <w:r w:rsidRPr="00D8560F">
              <w:rPr>
                <w:rFonts w:cs="Arial"/>
                <w:sz w:val="20"/>
                <w:szCs w:val="20"/>
              </w:rPr>
              <w:sym w:font="Symbol" w:char="F06D"/>
            </w:r>
            <w:r w:rsidRPr="00D8560F">
              <w:rPr>
                <w:rFonts w:cs="Arial"/>
                <w:sz w:val="20"/>
                <w:szCs w:val="20"/>
              </w:rPr>
              <w:t>mol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57CEAD92" w14:textId="77777777" w:rsidR="00D355BA" w:rsidRPr="005E0801" w:rsidRDefault="00D355BA" w:rsidP="0094354F">
            <w:pPr>
              <w:spacing w:before="60" w:after="60"/>
              <w:ind w:left="57"/>
              <w:rPr>
                <w:sz w:val="20"/>
                <w:szCs w:val="20"/>
              </w:rPr>
            </w:pPr>
            <w:r>
              <w:rPr>
                <w:sz w:val="20"/>
                <w:szCs w:val="20"/>
              </w:rPr>
              <w:t>Mean total dissolved phosphorus measured during the wet season of the previous MMP sampling year for selection of seagrass monitoring locations</w:t>
            </w:r>
          </w:p>
        </w:tc>
      </w:tr>
      <w:tr w:rsidR="00D355BA" w:rsidRPr="00D108EA" w14:paraId="3B33034B" w14:textId="77777777" w:rsidTr="0094354F">
        <w:trPr>
          <w:trHeight w:val="20"/>
        </w:trPr>
        <w:tc>
          <w:tcPr>
            <w:tcW w:w="1628" w:type="dxa"/>
            <w:vMerge/>
            <w:tcBorders>
              <w:right w:val="single" w:sz="4" w:space="0" w:color="806000" w:themeColor="accent4" w:themeShade="80"/>
            </w:tcBorders>
          </w:tcPr>
          <w:p w14:paraId="3B9FEB4B" w14:textId="77777777" w:rsidR="00D355BA" w:rsidRPr="005E0801" w:rsidRDefault="00D355BA" w:rsidP="0094354F">
            <w:pPr>
              <w:pStyle w:val="BodyText"/>
              <w:spacing w:before="60" w:after="60"/>
              <w:ind w:left="57"/>
              <w:jc w:val="left"/>
              <w:rPr>
                <w:rFonts w:cs="Arial"/>
                <w:i/>
                <w:sz w:val="20"/>
                <w:szCs w:val="20"/>
              </w:rPr>
            </w:pPr>
          </w:p>
        </w:tc>
        <w:tc>
          <w:tcPr>
            <w:tcW w:w="1774" w:type="dxa"/>
            <w:tcBorders>
              <w:right w:val="single" w:sz="4" w:space="0" w:color="806000" w:themeColor="accent4" w:themeShade="80"/>
            </w:tcBorders>
            <w:vAlign w:val="center"/>
          </w:tcPr>
          <w:p w14:paraId="01127C29" w14:textId="77777777" w:rsidR="00D355BA" w:rsidRDefault="00D355BA" w:rsidP="0094354F">
            <w:pPr>
              <w:pStyle w:val="BodyText"/>
              <w:spacing w:before="60" w:after="60"/>
              <w:ind w:left="57"/>
              <w:jc w:val="left"/>
              <w:rPr>
                <w:rFonts w:cs="Arial"/>
                <w:sz w:val="20"/>
                <w:szCs w:val="20"/>
              </w:rPr>
            </w:pPr>
            <w:r>
              <w:rPr>
                <w:rFonts w:cs="Arial"/>
                <w:sz w:val="20"/>
                <w:szCs w:val="20"/>
              </w:rPr>
              <w:t>DIN (</w:t>
            </w:r>
            <w:r w:rsidRPr="00D8560F">
              <w:rPr>
                <w:rFonts w:cs="Arial"/>
                <w:sz w:val="20"/>
                <w:szCs w:val="20"/>
              </w:rPr>
              <w:sym w:font="Symbol" w:char="F06D"/>
            </w:r>
            <w:r w:rsidRPr="00D8560F">
              <w:rPr>
                <w:rFonts w:cs="Arial"/>
                <w:sz w:val="20"/>
                <w:szCs w:val="20"/>
              </w:rPr>
              <w:t>mol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3D31D130" w14:textId="77777777" w:rsidR="00D355BA" w:rsidRDefault="00D355BA" w:rsidP="0094354F">
            <w:pPr>
              <w:spacing w:before="60" w:after="60"/>
              <w:ind w:left="57"/>
              <w:rPr>
                <w:sz w:val="20"/>
                <w:szCs w:val="20"/>
              </w:rPr>
            </w:pPr>
            <w:r>
              <w:rPr>
                <w:sz w:val="20"/>
                <w:szCs w:val="20"/>
              </w:rPr>
              <w:t>Mean dissolved inorganic nitrogen measured during the wet season of the previous MMP sampling year for selection of seagrass monitoring locations</w:t>
            </w:r>
          </w:p>
        </w:tc>
      </w:tr>
      <w:tr w:rsidR="00D355BA" w:rsidRPr="00D108EA" w14:paraId="122D2BEE" w14:textId="77777777" w:rsidTr="0094354F">
        <w:trPr>
          <w:trHeight w:val="20"/>
        </w:trPr>
        <w:tc>
          <w:tcPr>
            <w:tcW w:w="1628" w:type="dxa"/>
            <w:vMerge/>
            <w:tcBorders>
              <w:right w:val="single" w:sz="4" w:space="0" w:color="806000" w:themeColor="accent4" w:themeShade="80"/>
            </w:tcBorders>
          </w:tcPr>
          <w:p w14:paraId="2F1225EB" w14:textId="77777777" w:rsidR="00D355BA" w:rsidRPr="005E0801" w:rsidRDefault="00D355BA" w:rsidP="0094354F">
            <w:pPr>
              <w:pStyle w:val="BodyText"/>
              <w:spacing w:before="60" w:after="60"/>
              <w:ind w:left="57"/>
              <w:jc w:val="left"/>
              <w:rPr>
                <w:rFonts w:cs="Arial"/>
                <w:i/>
                <w:sz w:val="20"/>
                <w:szCs w:val="20"/>
              </w:rPr>
            </w:pPr>
          </w:p>
        </w:tc>
        <w:tc>
          <w:tcPr>
            <w:tcW w:w="1774" w:type="dxa"/>
            <w:tcBorders>
              <w:right w:val="single" w:sz="4" w:space="0" w:color="806000" w:themeColor="accent4" w:themeShade="80"/>
            </w:tcBorders>
            <w:vAlign w:val="center"/>
          </w:tcPr>
          <w:p w14:paraId="664581C2" w14:textId="77777777" w:rsidR="00D355BA" w:rsidRPr="00FC41D8" w:rsidRDefault="00D355BA" w:rsidP="0094354F">
            <w:pPr>
              <w:pStyle w:val="BodyText"/>
              <w:spacing w:before="60" w:after="60"/>
              <w:ind w:left="57"/>
              <w:jc w:val="left"/>
              <w:rPr>
                <w:rFonts w:cs="Arial"/>
                <w:sz w:val="20"/>
                <w:szCs w:val="20"/>
              </w:rPr>
            </w:pPr>
            <w:r>
              <w:rPr>
                <w:rFonts w:cs="Arial"/>
                <w:sz w:val="20"/>
                <w:szCs w:val="20"/>
              </w:rPr>
              <w:t>DIP (</w:t>
            </w:r>
            <w:r w:rsidRPr="00D8560F">
              <w:rPr>
                <w:rFonts w:cs="Arial"/>
                <w:sz w:val="20"/>
                <w:szCs w:val="20"/>
              </w:rPr>
              <w:sym w:font="Symbol" w:char="F06D"/>
            </w:r>
            <w:r w:rsidRPr="00D8560F">
              <w:rPr>
                <w:rFonts w:cs="Arial"/>
                <w:sz w:val="20"/>
                <w:szCs w:val="20"/>
              </w:rPr>
              <w:t>mol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138FE411" w14:textId="77777777" w:rsidR="00D355BA" w:rsidRPr="005E0801" w:rsidRDefault="00D355BA" w:rsidP="0094354F">
            <w:pPr>
              <w:spacing w:before="60" w:after="60"/>
              <w:ind w:left="57"/>
              <w:rPr>
                <w:sz w:val="20"/>
                <w:szCs w:val="20"/>
              </w:rPr>
            </w:pPr>
            <w:r>
              <w:rPr>
                <w:sz w:val="20"/>
                <w:szCs w:val="20"/>
              </w:rPr>
              <w:t>Mean dissolved inorganic phosphorus measured during the wet season of the previous MMP sampling year for selection of seagrass monitoring locations</w:t>
            </w:r>
          </w:p>
        </w:tc>
      </w:tr>
      <w:tr w:rsidR="00D355BA" w:rsidRPr="00D108EA" w14:paraId="6DFA1E97" w14:textId="77777777" w:rsidTr="0094354F">
        <w:trPr>
          <w:trHeight w:val="20"/>
        </w:trPr>
        <w:tc>
          <w:tcPr>
            <w:tcW w:w="1628" w:type="dxa"/>
            <w:vMerge/>
            <w:tcBorders>
              <w:right w:val="single" w:sz="4" w:space="0" w:color="806000" w:themeColor="accent4" w:themeShade="80"/>
            </w:tcBorders>
          </w:tcPr>
          <w:p w14:paraId="69FB1570" w14:textId="77777777" w:rsidR="00D355BA" w:rsidRPr="005E0801" w:rsidRDefault="00D355BA" w:rsidP="0094354F">
            <w:pPr>
              <w:pStyle w:val="BodyText"/>
              <w:spacing w:before="60" w:after="60"/>
              <w:ind w:left="57"/>
              <w:jc w:val="left"/>
              <w:rPr>
                <w:rFonts w:cs="Arial"/>
                <w:i/>
                <w:sz w:val="20"/>
                <w:szCs w:val="20"/>
              </w:rPr>
            </w:pPr>
          </w:p>
        </w:tc>
        <w:tc>
          <w:tcPr>
            <w:tcW w:w="1774" w:type="dxa"/>
            <w:tcBorders>
              <w:right w:val="single" w:sz="4" w:space="0" w:color="806000" w:themeColor="accent4" w:themeShade="80"/>
            </w:tcBorders>
            <w:vAlign w:val="center"/>
          </w:tcPr>
          <w:p w14:paraId="60724A91" w14:textId="77777777" w:rsidR="00D355BA" w:rsidRPr="00FC41D8" w:rsidRDefault="00D355BA" w:rsidP="0094354F">
            <w:pPr>
              <w:pStyle w:val="BodyText"/>
              <w:spacing w:before="60" w:after="60"/>
              <w:ind w:left="57"/>
              <w:jc w:val="left"/>
              <w:rPr>
                <w:rFonts w:cs="Arial"/>
                <w:sz w:val="20"/>
                <w:szCs w:val="20"/>
              </w:rPr>
            </w:pPr>
            <w:r>
              <w:rPr>
                <w:rFonts w:cs="Arial"/>
                <w:sz w:val="20"/>
                <w:szCs w:val="20"/>
              </w:rPr>
              <w:t>Chl (mg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1BA39790" w14:textId="77777777" w:rsidR="00D355BA" w:rsidRPr="005E0801" w:rsidRDefault="00D355BA" w:rsidP="0094354F">
            <w:pPr>
              <w:spacing w:before="60" w:after="60"/>
              <w:ind w:left="57"/>
              <w:rPr>
                <w:sz w:val="20"/>
                <w:szCs w:val="20"/>
              </w:rPr>
            </w:pPr>
            <w:r>
              <w:rPr>
                <w:sz w:val="20"/>
                <w:szCs w:val="20"/>
              </w:rPr>
              <w:t xml:space="preserve">Mean chlorophyll </w:t>
            </w:r>
            <w:r w:rsidRPr="00FC41D8">
              <w:rPr>
                <w:i/>
                <w:sz w:val="20"/>
                <w:szCs w:val="20"/>
              </w:rPr>
              <w:t>a</w:t>
            </w:r>
            <w:r>
              <w:rPr>
                <w:sz w:val="20"/>
                <w:szCs w:val="20"/>
              </w:rPr>
              <w:t xml:space="preserve"> measured during the wet season of the previous MMP sampling year for selection of seagrass monitoring locations</w:t>
            </w:r>
          </w:p>
        </w:tc>
      </w:tr>
      <w:tr w:rsidR="00D355BA" w:rsidRPr="00D108EA" w14:paraId="2527B2BB" w14:textId="77777777" w:rsidTr="0094354F">
        <w:trPr>
          <w:trHeight w:val="20"/>
        </w:trPr>
        <w:tc>
          <w:tcPr>
            <w:tcW w:w="1628" w:type="dxa"/>
            <w:vMerge/>
            <w:tcBorders>
              <w:right w:val="single" w:sz="4" w:space="0" w:color="806000" w:themeColor="accent4" w:themeShade="80"/>
            </w:tcBorders>
          </w:tcPr>
          <w:p w14:paraId="2F74784C" w14:textId="77777777" w:rsidR="00D355BA" w:rsidRPr="005E0801" w:rsidRDefault="00D355BA" w:rsidP="0094354F">
            <w:pPr>
              <w:pStyle w:val="BodyText"/>
              <w:spacing w:before="60" w:after="60"/>
              <w:ind w:left="57"/>
              <w:jc w:val="left"/>
              <w:rPr>
                <w:rFonts w:cs="Arial"/>
                <w:i/>
                <w:sz w:val="20"/>
                <w:szCs w:val="20"/>
              </w:rPr>
            </w:pPr>
          </w:p>
        </w:tc>
        <w:tc>
          <w:tcPr>
            <w:tcW w:w="1774" w:type="dxa"/>
            <w:tcBorders>
              <w:right w:val="single" w:sz="4" w:space="0" w:color="806000" w:themeColor="accent4" w:themeShade="80"/>
            </w:tcBorders>
            <w:vAlign w:val="center"/>
          </w:tcPr>
          <w:p w14:paraId="2237D5C0" w14:textId="77777777" w:rsidR="00D355BA" w:rsidRPr="00FC41D8" w:rsidRDefault="00D355BA" w:rsidP="0094354F">
            <w:pPr>
              <w:pStyle w:val="BodyText"/>
              <w:spacing w:before="60" w:after="60"/>
              <w:ind w:left="57"/>
              <w:jc w:val="left"/>
              <w:rPr>
                <w:rFonts w:cs="Arial"/>
                <w:sz w:val="20"/>
                <w:szCs w:val="20"/>
              </w:rPr>
            </w:pPr>
            <w:r>
              <w:rPr>
                <w:rFonts w:cs="Arial"/>
                <w:sz w:val="20"/>
                <w:szCs w:val="20"/>
              </w:rPr>
              <w:t>TSS (mg L</w:t>
            </w:r>
            <w:r w:rsidRPr="00D8560F">
              <w:rPr>
                <w:rFonts w:cs="Arial"/>
                <w:sz w:val="20"/>
                <w:szCs w:val="20"/>
                <w:vertAlign w:val="superscript"/>
              </w:rPr>
              <w:t>-1</w:t>
            </w:r>
            <w:r>
              <w:rPr>
                <w:rFonts w:cs="Arial"/>
                <w:sz w:val="20"/>
                <w:szCs w:val="20"/>
              </w:rPr>
              <w:t>)</w:t>
            </w:r>
          </w:p>
        </w:tc>
        <w:tc>
          <w:tcPr>
            <w:tcW w:w="6379" w:type="dxa"/>
            <w:tcBorders>
              <w:left w:val="single" w:sz="4" w:space="0" w:color="806000" w:themeColor="accent4" w:themeShade="80"/>
            </w:tcBorders>
            <w:vAlign w:val="center"/>
          </w:tcPr>
          <w:p w14:paraId="530FEDEE" w14:textId="77777777" w:rsidR="00D355BA" w:rsidRDefault="00D355BA" w:rsidP="0094354F">
            <w:pPr>
              <w:spacing w:before="60" w:after="60"/>
              <w:ind w:left="57"/>
              <w:rPr>
                <w:sz w:val="20"/>
                <w:szCs w:val="20"/>
              </w:rPr>
            </w:pPr>
            <w:r>
              <w:rPr>
                <w:sz w:val="20"/>
                <w:szCs w:val="20"/>
              </w:rPr>
              <w:t>Mean total suspended solids measured during the wet season of the previous MMP sampling year for selection of seagrass monitoring locations</w:t>
            </w:r>
          </w:p>
        </w:tc>
      </w:tr>
    </w:tbl>
    <w:p w14:paraId="7F007FA7" w14:textId="77777777" w:rsidR="00D355BA" w:rsidRDefault="00D355BA" w:rsidP="00D355BA">
      <w:pPr>
        <w:pStyle w:val="Caption"/>
        <w:rPr>
          <w:rFonts w:cs="Arial"/>
          <w:szCs w:val="22"/>
        </w:rPr>
      </w:pPr>
      <w:bookmarkStart w:id="847" w:name="_Ref22037471"/>
      <w:bookmarkStart w:id="848" w:name="_Ref22036847"/>
    </w:p>
    <w:p w14:paraId="512E340F" w14:textId="77777777" w:rsidR="00D355BA" w:rsidRPr="001F0E92" w:rsidRDefault="00D355BA" w:rsidP="00D355BA">
      <w:pPr>
        <w:pStyle w:val="Caption"/>
        <w:rPr>
          <w:rFonts w:cs="Arial"/>
          <w:i/>
          <w:szCs w:val="22"/>
        </w:rPr>
      </w:pPr>
      <w:r w:rsidRPr="00867E8C">
        <w:rPr>
          <w:rFonts w:cs="Arial"/>
          <w:szCs w:val="22"/>
        </w:rPr>
        <w:lastRenderedPageBreak/>
        <w:t xml:space="preserve">Table </w:t>
      </w:r>
      <w:r>
        <w:rPr>
          <w:rFonts w:cs="Arial"/>
          <w:szCs w:val="22"/>
        </w:rPr>
        <w:t>2</w:t>
      </w:r>
      <w:r w:rsidRPr="00867E8C">
        <w:rPr>
          <w:rFonts w:cs="Arial"/>
          <w:szCs w:val="22"/>
        </w:rPr>
        <w:t xml:space="preserve">. </w:t>
      </w:r>
      <w:r w:rsidRPr="001F0E92">
        <w:rPr>
          <w:rFonts w:cs="Arial"/>
          <w:i/>
          <w:szCs w:val="22"/>
        </w:rPr>
        <w:t xml:space="preserve">Seagrass monitoring locations, and number of data points at each location where a nearby (up </w:t>
      </w:r>
      <w:r w:rsidRPr="001F0E92">
        <w:rPr>
          <w:rFonts w:cs="Arial"/>
          <w:szCs w:val="22"/>
        </w:rPr>
        <w:t>to ~8</w:t>
      </w:r>
      <w:r w:rsidRPr="001F0E92">
        <w:rPr>
          <w:rFonts w:cs="Arial"/>
          <w:i/>
          <w:szCs w:val="22"/>
        </w:rPr>
        <w:t xml:space="preserve"> km) </w:t>
      </w:r>
      <w:r w:rsidRPr="00BF778C">
        <w:rPr>
          <w:rFonts w:cs="Arial"/>
          <w:szCs w:val="22"/>
        </w:rPr>
        <w:t>in situ</w:t>
      </w:r>
      <w:r w:rsidRPr="001F0E92">
        <w:rPr>
          <w:rFonts w:cs="Arial"/>
          <w:i/>
          <w:szCs w:val="22"/>
        </w:rPr>
        <w:t xml:space="preserve"> water quality monitoring station was available for statistical modelling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Seagrass monitoring locations, and number of data points at each location where a nearby (up to ~8 km) in situ water quality monitoring station was available for statistical modelling"/>
      </w:tblPr>
      <w:tblGrid>
        <w:gridCol w:w="2694"/>
        <w:gridCol w:w="2121"/>
        <w:gridCol w:w="2410"/>
        <w:gridCol w:w="1559"/>
      </w:tblGrid>
      <w:tr w:rsidR="00D355BA" w14:paraId="59EBB2E1" w14:textId="77777777" w:rsidTr="0094354F">
        <w:trPr>
          <w:tblHeader/>
          <w:jc w:val="center"/>
        </w:trPr>
        <w:tc>
          <w:tcPr>
            <w:tcW w:w="2694" w:type="dxa"/>
            <w:tcBorders>
              <w:top w:val="single" w:sz="4" w:space="0" w:color="auto"/>
              <w:bottom w:val="single" w:sz="4" w:space="0" w:color="auto"/>
            </w:tcBorders>
            <w:vAlign w:val="center"/>
          </w:tcPr>
          <w:p w14:paraId="7490102B" w14:textId="77777777" w:rsidR="00D355BA" w:rsidRPr="00D06093" w:rsidRDefault="00D355BA" w:rsidP="0094354F">
            <w:pPr>
              <w:spacing w:before="0" w:after="0"/>
              <w:jc w:val="center"/>
              <w:rPr>
                <w:rFonts w:cs="Arial"/>
                <w:b/>
                <w:sz w:val="20"/>
                <w:szCs w:val="20"/>
              </w:rPr>
            </w:pPr>
            <w:r w:rsidRPr="00D06093">
              <w:rPr>
                <w:rFonts w:cs="Arial"/>
                <w:b/>
                <w:sz w:val="20"/>
                <w:szCs w:val="20"/>
              </w:rPr>
              <w:t>Seagrass Location (sites)</w:t>
            </w:r>
          </w:p>
        </w:tc>
        <w:tc>
          <w:tcPr>
            <w:tcW w:w="2121" w:type="dxa"/>
            <w:tcBorders>
              <w:top w:val="single" w:sz="4" w:space="0" w:color="auto"/>
              <w:bottom w:val="single" w:sz="4" w:space="0" w:color="auto"/>
            </w:tcBorders>
            <w:vAlign w:val="center"/>
          </w:tcPr>
          <w:p w14:paraId="55C930F7" w14:textId="77777777" w:rsidR="00D355BA" w:rsidRPr="00D06093" w:rsidRDefault="00D355BA" w:rsidP="0094354F">
            <w:pPr>
              <w:spacing w:before="0" w:after="0"/>
              <w:jc w:val="center"/>
              <w:rPr>
                <w:rFonts w:cs="Arial"/>
                <w:b/>
                <w:sz w:val="20"/>
                <w:szCs w:val="20"/>
              </w:rPr>
            </w:pPr>
            <w:r w:rsidRPr="00D06093">
              <w:rPr>
                <w:rFonts w:cs="Arial"/>
                <w:b/>
                <w:sz w:val="20"/>
                <w:szCs w:val="20"/>
              </w:rPr>
              <w:t>Water quality station</w:t>
            </w:r>
          </w:p>
        </w:tc>
        <w:tc>
          <w:tcPr>
            <w:tcW w:w="2410" w:type="dxa"/>
            <w:tcBorders>
              <w:top w:val="single" w:sz="4" w:space="0" w:color="auto"/>
              <w:bottom w:val="single" w:sz="4" w:space="0" w:color="auto"/>
            </w:tcBorders>
            <w:vAlign w:val="center"/>
          </w:tcPr>
          <w:p w14:paraId="22684A93" w14:textId="77777777" w:rsidR="00D355BA" w:rsidRPr="00D06093" w:rsidRDefault="00D355BA" w:rsidP="0094354F">
            <w:pPr>
              <w:spacing w:before="0" w:after="0"/>
              <w:jc w:val="center"/>
              <w:rPr>
                <w:rFonts w:cs="Arial"/>
                <w:b/>
                <w:sz w:val="20"/>
                <w:szCs w:val="20"/>
              </w:rPr>
            </w:pPr>
            <w:r w:rsidRPr="00D06093">
              <w:rPr>
                <w:rFonts w:cs="Arial"/>
                <w:b/>
                <w:sz w:val="20"/>
                <w:szCs w:val="20"/>
              </w:rPr>
              <w:t>Years available</w:t>
            </w:r>
          </w:p>
        </w:tc>
        <w:tc>
          <w:tcPr>
            <w:tcW w:w="1559" w:type="dxa"/>
            <w:tcBorders>
              <w:top w:val="single" w:sz="4" w:space="0" w:color="auto"/>
              <w:bottom w:val="single" w:sz="4" w:space="0" w:color="auto"/>
            </w:tcBorders>
            <w:vAlign w:val="center"/>
          </w:tcPr>
          <w:p w14:paraId="1601B0E3" w14:textId="77777777" w:rsidR="00D355BA" w:rsidRPr="00D06093" w:rsidRDefault="00D355BA" w:rsidP="0094354F">
            <w:pPr>
              <w:spacing w:before="0" w:after="0"/>
              <w:jc w:val="center"/>
              <w:rPr>
                <w:rFonts w:cs="Arial"/>
                <w:b/>
                <w:sz w:val="20"/>
                <w:szCs w:val="20"/>
              </w:rPr>
            </w:pPr>
            <w:r w:rsidRPr="00D06093">
              <w:rPr>
                <w:rFonts w:cs="Arial"/>
                <w:b/>
                <w:sz w:val="20"/>
                <w:szCs w:val="20"/>
              </w:rPr>
              <w:t>Number of data points</w:t>
            </w:r>
          </w:p>
        </w:tc>
      </w:tr>
      <w:tr w:rsidR="00D355BA" w14:paraId="4CFB9375" w14:textId="77777777" w:rsidTr="0094354F">
        <w:trPr>
          <w:jc w:val="center"/>
        </w:trPr>
        <w:tc>
          <w:tcPr>
            <w:tcW w:w="2694" w:type="dxa"/>
            <w:tcBorders>
              <w:top w:val="single" w:sz="4" w:space="0" w:color="auto"/>
              <w:bottom w:val="single" w:sz="4" w:space="0" w:color="auto"/>
            </w:tcBorders>
          </w:tcPr>
          <w:p w14:paraId="423A4757" w14:textId="77777777" w:rsidR="00D355BA" w:rsidRPr="00D06093" w:rsidRDefault="00D355BA" w:rsidP="0094354F">
            <w:pPr>
              <w:spacing w:before="0" w:after="0"/>
              <w:rPr>
                <w:rFonts w:cs="Arial"/>
                <w:sz w:val="20"/>
                <w:szCs w:val="20"/>
              </w:rPr>
            </w:pPr>
            <w:r w:rsidRPr="00D06093">
              <w:rPr>
                <w:rFonts w:cs="Arial"/>
                <w:sz w:val="20"/>
                <w:szCs w:val="20"/>
              </w:rPr>
              <w:t>Dunk Island (DI1/DI2/DI3)</w:t>
            </w:r>
          </w:p>
        </w:tc>
        <w:tc>
          <w:tcPr>
            <w:tcW w:w="2121" w:type="dxa"/>
            <w:tcBorders>
              <w:top w:val="single" w:sz="4" w:space="0" w:color="auto"/>
              <w:bottom w:val="single" w:sz="4" w:space="0" w:color="auto"/>
            </w:tcBorders>
          </w:tcPr>
          <w:p w14:paraId="50CFBA22" w14:textId="77777777" w:rsidR="00D355BA" w:rsidRPr="00D06093" w:rsidRDefault="00D355BA" w:rsidP="0094354F">
            <w:pPr>
              <w:spacing w:before="0" w:after="0"/>
              <w:rPr>
                <w:rFonts w:cs="Arial"/>
                <w:sz w:val="20"/>
                <w:szCs w:val="20"/>
              </w:rPr>
            </w:pPr>
            <w:r w:rsidRPr="00D06093">
              <w:rPr>
                <w:rFonts w:cs="Arial"/>
                <w:sz w:val="20"/>
                <w:szCs w:val="20"/>
              </w:rPr>
              <w:t>Dunk Island South East (TUL5)</w:t>
            </w:r>
          </w:p>
        </w:tc>
        <w:tc>
          <w:tcPr>
            <w:tcW w:w="2410" w:type="dxa"/>
            <w:tcBorders>
              <w:top w:val="single" w:sz="4" w:space="0" w:color="auto"/>
              <w:bottom w:val="single" w:sz="4" w:space="0" w:color="auto"/>
            </w:tcBorders>
          </w:tcPr>
          <w:p w14:paraId="4C2488E9" w14:textId="77777777" w:rsidR="00D355BA" w:rsidRPr="00D06093" w:rsidRDefault="00D355BA" w:rsidP="0094354F">
            <w:pPr>
              <w:spacing w:before="0" w:after="0"/>
              <w:rPr>
                <w:rFonts w:cs="Arial"/>
                <w:sz w:val="20"/>
                <w:szCs w:val="20"/>
              </w:rPr>
            </w:pPr>
            <w:r w:rsidRPr="00D06093">
              <w:rPr>
                <w:rFonts w:cs="Arial"/>
                <w:sz w:val="20"/>
                <w:szCs w:val="20"/>
              </w:rPr>
              <w:t>2015-2018</w:t>
            </w:r>
          </w:p>
        </w:tc>
        <w:tc>
          <w:tcPr>
            <w:tcW w:w="1559" w:type="dxa"/>
            <w:tcBorders>
              <w:top w:val="single" w:sz="4" w:space="0" w:color="auto"/>
              <w:bottom w:val="single" w:sz="4" w:space="0" w:color="auto"/>
            </w:tcBorders>
          </w:tcPr>
          <w:p w14:paraId="30A53554" w14:textId="77777777" w:rsidR="00D355BA" w:rsidRPr="00D06093" w:rsidRDefault="00D355BA" w:rsidP="0094354F">
            <w:pPr>
              <w:spacing w:before="0" w:after="0"/>
              <w:jc w:val="center"/>
              <w:rPr>
                <w:rFonts w:cs="Arial"/>
                <w:sz w:val="20"/>
                <w:szCs w:val="20"/>
              </w:rPr>
            </w:pPr>
            <w:r w:rsidRPr="00D06093">
              <w:rPr>
                <w:rFonts w:cs="Arial"/>
                <w:sz w:val="20"/>
                <w:szCs w:val="20"/>
              </w:rPr>
              <w:t>35</w:t>
            </w:r>
          </w:p>
        </w:tc>
      </w:tr>
      <w:tr w:rsidR="00D355BA" w14:paraId="0370CC82" w14:textId="77777777" w:rsidTr="0094354F">
        <w:trPr>
          <w:jc w:val="center"/>
        </w:trPr>
        <w:tc>
          <w:tcPr>
            <w:tcW w:w="2694" w:type="dxa"/>
            <w:tcBorders>
              <w:top w:val="single" w:sz="4" w:space="0" w:color="auto"/>
              <w:bottom w:val="single" w:sz="4" w:space="0" w:color="auto"/>
            </w:tcBorders>
          </w:tcPr>
          <w:p w14:paraId="6A54D554" w14:textId="77777777" w:rsidR="00D355BA" w:rsidRPr="00D06093" w:rsidRDefault="00D355BA" w:rsidP="0094354F">
            <w:pPr>
              <w:spacing w:before="0" w:after="0"/>
              <w:rPr>
                <w:rFonts w:cs="Arial"/>
                <w:sz w:val="20"/>
                <w:szCs w:val="20"/>
              </w:rPr>
            </w:pPr>
            <w:r w:rsidRPr="00D06093">
              <w:rPr>
                <w:rFonts w:cs="Arial"/>
                <w:sz w:val="20"/>
                <w:szCs w:val="20"/>
              </w:rPr>
              <w:t>Green Island</w:t>
            </w:r>
          </w:p>
          <w:p w14:paraId="5388F1F3" w14:textId="77777777" w:rsidR="00D355BA" w:rsidRPr="00D06093" w:rsidRDefault="00D355BA" w:rsidP="0094354F">
            <w:pPr>
              <w:spacing w:before="0" w:after="0"/>
              <w:rPr>
                <w:rFonts w:cs="Arial"/>
                <w:sz w:val="20"/>
                <w:szCs w:val="20"/>
              </w:rPr>
            </w:pPr>
            <w:r w:rsidRPr="00D06093">
              <w:rPr>
                <w:rFonts w:cs="Arial"/>
                <w:sz w:val="20"/>
                <w:szCs w:val="20"/>
              </w:rPr>
              <w:t>(GI1/GI2/GI3)</w:t>
            </w:r>
          </w:p>
        </w:tc>
        <w:tc>
          <w:tcPr>
            <w:tcW w:w="2121" w:type="dxa"/>
            <w:tcBorders>
              <w:top w:val="single" w:sz="4" w:space="0" w:color="auto"/>
              <w:bottom w:val="single" w:sz="4" w:space="0" w:color="auto"/>
            </w:tcBorders>
          </w:tcPr>
          <w:p w14:paraId="47B6C979" w14:textId="77777777" w:rsidR="00D355BA" w:rsidRPr="00D06093" w:rsidRDefault="00D355BA" w:rsidP="0094354F">
            <w:pPr>
              <w:spacing w:before="0" w:after="0"/>
              <w:rPr>
                <w:rFonts w:cs="Arial"/>
                <w:sz w:val="20"/>
                <w:szCs w:val="20"/>
              </w:rPr>
            </w:pPr>
            <w:r w:rsidRPr="00D06093">
              <w:rPr>
                <w:rFonts w:cs="Arial"/>
                <w:sz w:val="20"/>
                <w:szCs w:val="20"/>
              </w:rPr>
              <w:t>Green Island (C11)</w:t>
            </w:r>
          </w:p>
        </w:tc>
        <w:tc>
          <w:tcPr>
            <w:tcW w:w="2410" w:type="dxa"/>
            <w:tcBorders>
              <w:top w:val="single" w:sz="4" w:space="0" w:color="auto"/>
              <w:bottom w:val="single" w:sz="4" w:space="0" w:color="auto"/>
            </w:tcBorders>
          </w:tcPr>
          <w:p w14:paraId="4A5C0AC3" w14:textId="77777777" w:rsidR="00D355BA" w:rsidRPr="00D06093" w:rsidRDefault="00D355BA" w:rsidP="0094354F">
            <w:pPr>
              <w:spacing w:before="0" w:after="0"/>
              <w:rPr>
                <w:rFonts w:cs="Arial"/>
                <w:sz w:val="20"/>
                <w:szCs w:val="20"/>
              </w:rPr>
            </w:pPr>
            <w:r w:rsidRPr="00D06093">
              <w:rPr>
                <w:rFonts w:cs="Arial"/>
                <w:sz w:val="20"/>
                <w:szCs w:val="20"/>
              </w:rPr>
              <w:t>2006-2018</w:t>
            </w:r>
          </w:p>
        </w:tc>
        <w:tc>
          <w:tcPr>
            <w:tcW w:w="1559" w:type="dxa"/>
            <w:tcBorders>
              <w:top w:val="single" w:sz="4" w:space="0" w:color="auto"/>
              <w:bottom w:val="single" w:sz="4" w:space="0" w:color="auto"/>
            </w:tcBorders>
          </w:tcPr>
          <w:p w14:paraId="4815B295" w14:textId="77777777" w:rsidR="00D355BA" w:rsidRPr="00D06093" w:rsidRDefault="00D355BA" w:rsidP="0094354F">
            <w:pPr>
              <w:spacing w:before="0" w:after="0"/>
              <w:jc w:val="center"/>
              <w:rPr>
                <w:rFonts w:cs="Arial"/>
                <w:sz w:val="20"/>
                <w:szCs w:val="20"/>
              </w:rPr>
            </w:pPr>
            <w:r w:rsidRPr="00D06093">
              <w:rPr>
                <w:rFonts w:cs="Arial"/>
                <w:sz w:val="20"/>
                <w:szCs w:val="20"/>
              </w:rPr>
              <w:t>87</w:t>
            </w:r>
          </w:p>
        </w:tc>
      </w:tr>
      <w:tr w:rsidR="00D355BA" w14:paraId="4FC563B8" w14:textId="77777777" w:rsidTr="0094354F">
        <w:trPr>
          <w:jc w:val="center"/>
        </w:trPr>
        <w:tc>
          <w:tcPr>
            <w:tcW w:w="2694" w:type="dxa"/>
            <w:tcBorders>
              <w:top w:val="single" w:sz="4" w:space="0" w:color="auto"/>
              <w:bottom w:val="single" w:sz="4" w:space="0" w:color="auto"/>
            </w:tcBorders>
          </w:tcPr>
          <w:p w14:paraId="19624A8E" w14:textId="77777777" w:rsidR="00D355BA" w:rsidRPr="00D06093" w:rsidRDefault="00D355BA" w:rsidP="0094354F">
            <w:pPr>
              <w:spacing w:before="0" w:after="0"/>
              <w:rPr>
                <w:rFonts w:cs="Arial"/>
                <w:sz w:val="20"/>
                <w:szCs w:val="20"/>
              </w:rPr>
            </w:pPr>
            <w:r w:rsidRPr="00D06093">
              <w:rPr>
                <w:rFonts w:cs="Arial"/>
                <w:sz w:val="20"/>
                <w:szCs w:val="20"/>
              </w:rPr>
              <w:t>Great Keppel Island</w:t>
            </w:r>
          </w:p>
          <w:p w14:paraId="6AD2ED52" w14:textId="77777777" w:rsidR="00D355BA" w:rsidRPr="00D06093" w:rsidRDefault="00D355BA" w:rsidP="0094354F">
            <w:pPr>
              <w:spacing w:before="0" w:after="0"/>
              <w:rPr>
                <w:rFonts w:cs="Arial"/>
                <w:sz w:val="20"/>
                <w:szCs w:val="20"/>
              </w:rPr>
            </w:pPr>
            <w:r w:rsidRPr="00D06093">
              <w:rPr>
                <w:rFonts w:cs="Arial"/>
                <w:sz w:val="20"/>
                <w:szCs w:val="20"/>
              </w:rPr>
              <w:t>(GK1/GK2)</w:t>
            </w:r>
          </w:p>
        </w:tc>
        <w:tc>
          <w:tcPr>
            <w:tcW w:w="2121" w:type="dxa"/>
            <w:tcBorders>
              <w:top w:val="single" w:sz="4" w:space="0" w:color="auto"/>
              <w:bottom w:val="single" w:sz="4" w:space="0" w:color="auto"/>
            </w:tcBorders>
          </w:tcPr>
          <w:p w14:paraId="38E7446C" w14:textId="77777777" w:rsidR="00D355BA" w:rsidRPr="00D06093" w:rsidRDefault="00D355BA" w:rsidP="0094354F">
            <w:pPr>
              <w:spacing w:before="0" w:after="0"/>
              <w:rPr>
                <w:rFonts w:cs="Arial"/>
                <w:sz w:val="20"/>
                <w:szCs w:val="20"/>
              </w:rPr>
            </w:pPr>
            <w:r w:rsidRPr="00D06093">
              <w:rPr>
                <w:rFonts w:cs="Arial"/>
                <w:sz w:val="20"/>
                <w:szCs w:val="20"/>
              </w:rPr>
              <w:t>Humpy Island</w:t>
            </w:r>
          </w:p>
          <w:p w14:paraId="1B38B0CA" w14:textId="77777777" w:rsidR="00D355BA" w:rsidRPr="00D06093" w:rsidRDefault="00D355BA" w:rsidP="0094354F">
            <w:pPr>
              <w:spacing w:before="0" w:after="0"/>
              <w:rPr>
                <w:rFonts w:cs="Arial"/>
                <w:sz w:val="20"/>
                <w:szCs w:val="20"/>
              </w:rPr>
            </w:pPr>
          </w:p>
        </w:tc>
        <w:tc>
          <w:tcPr>
            <w:tcW w:w="2410" w:type="dxa"/>
            <w:tcBorders>
              <w:top w:val="single" w:sz="4" w:space="0" w:color="auto"/>
              <w:bottom w:val="single" w:sz="4" w:space="0" w:color="auto"/>
            </w:tcBorders>
          </w:tcPr>
          <w:p w14:paraId="68E2E8C8" w14:textId="77777777" w:rsidR="00D355BA" w:rsidRPr="00D06093" w:rsidRDefault="00D355BA" w:rsidP="0094354F">
            <w:pPr>
              <w:spacing w:before="0" w:after="0"/>
              <w:rPr>
                <w:rFonts w:cs="Arial"/>
                <w:sz w:val="20"/>
                <w:szCs w:val="20"/>
              </w:rPr>
            </w:pPr>
            <w:r w:rsidRPr="00D06093">
              <w:rPr>
                <w:rFonts w:cs="Arial"/>
                <w:sz w:val="20"/>
                <w:szCs w:val="20"/>
              </w:rPr>
              <w:t>2007-2010, 2014</w:t>
            </w:r>
          </w:p>
        </w:tc>
        <w:tc>
          <w:tcPr>
            <w:tcW w:w="1559" w:type="dxa"/>
            <w:tcBorders>
              <w:top w:val="single" w:sz="4" w:space="0" w:color="auto"/>
              <w:bottom w:val="single" w:sz="4" w:space="0" w:color="auto"/>
            </w:tcBorders>
          </w:tcPr>
          <w:p w14:paraId="640931B9" w14:textId="77777777" w:rsidR="00D355BA" w:rsidRPr="00D06093" w:rsidRDefault="00D355BA" w:rsidP="0094354F">
            <w:pPr>
              <w:spacing w:before="0" w:after="0"/>
              <w:jc w:val="center"/>
              <w:rPr>
                <w:rFonts w:cs="Arial"/>
                <w:sz w:val="20"/>
                <w:szCs w:val="20"/>
              </w:rPr>
            </w:pPr>
            <w:r w:rsidRPr="00D06093">
              <w:rPr>
                <w:rFonts w:cs="Arial"/>
                <w:sz w:val="20"/>
                <w:szCs w:val="20"/>
              </w:rPr>
              <w:t>21</w:t>
            </w:r>
          </w:p>
        </w:tc>
      </w:tr>
      <w:tr w:rsidR="00D355BA" w14:paraId="5957F0FC" w14:textId="77777777" w:rsidTr="0094354F">
        <w:trPr>
          <w:jc w:val="center"/>
        </w:trPr>
        <w:tc>
          <w:tcPr>
            <w:tcW w:w="2694" w:type="dxa"/>
            <w:tcBorders>
              <w:top w:val="single" w:sz="4" w:space="0" w:color="auto"/>
              <w:bottom w:val="single" w:sz="4" w:space="0" w:color="auto"/>
            </w:tcBorders>
          </w:tcPr>
          <w:p w14:paraId="628F57B1" w14:textId="77777777" w:rsidR="00D355BA" w:rsidRPr="00D06093" w:rsidRDefault="00D355BA" w:rsidP="0094354F">
            <w:pPr>
              <w:spacing w:before="0" w:after="0"/>
              <w:rPr>
                <w:rFonts w:cs="Arial"/>
                <w:sz w:val="20"/>
                <w:szCs w:val="20"/>
              </w:rPr>
            </w:pPr>
            <w:r w:rsidRPr="00D06093">
              <w:rPr>
                <w:rFonts w:cs="Arial"/>
                <w:sz w:val="20"/>
                <w:szCs w:val="20"/>
              </w:rPr>
              <w:t>Hamilton Island</w:t>
            </w:r>
          </w:p>
          <w:p w14:paraId="302416F1" w14:textId="77777777" w:rsidR="00D355BA" w:rsidRPr="00D06093" w:rsidRDefault="00D355BA" w:rsidP="0094354F">
            <w:pPr>
              <w:spacing w:before="0" w:after="0"/>
              <w:rPr>
                <w:rFonts w:cs="Arial"/>
                <w:sz w:val="20"/>
                <w:szCs w:val="20"/>
              </w:rPr>
            </w:pPr>
            <w:r w:rsidRPr="00D06093">
              <w:rPr>
                <w:rFonts w:cs="Arial"/>
                <w:sz w:val="20"/>
                <w:szCs w:val="20"/>
              </w:rPr>
              <w:t>(HM1/HM2)</w:t>
            </w:r>
          </w:p>
        </w:tc>
        <w:tc>
          <w:tcPr>
            <w:tcW w:w="2121" w:type="dxa"/>
            <w:tcBorders>
              <w:top w:val="single" w:sz="4" w:space="0" w:color="auto"/>
              <w:bottom w:val="single" w:sz="4" w:space="0" w:color="auto"/>
            </w:tcBorders>
          </w:tcPr>
          <w:p w14:paraId="7390D5C4" w14:textId="77777777" w:rsidR="00D355BA" w:rsidRPr="00D06093" w:rsidRDefault="00D355BA" w:rsidP="0094354F">
            <w:pPr>
              <w:spacing w:before="0" w:after="0"/>
              <w:rPr>
                <w:rFonts w:cs="Arial"/>
                <w:sz w:val="20"/>
                <w:szCs w:val="20"/>
              </w:rPr>
            </w:pPr>
            <w:r w:rsidRPr="00D06093">
              <w:rPr>
                <w:rFonts w:cs="Arial"/>
                <w:sz w:val="20"/>
                <w:szCs w:val="20"/>
              </w:rPr>
              <w:t>Pine Island (WH14)</w:t>
            </w:r>
          </w:p>
        </w:tc>
        <w:tc>
          <w:tcPr>
            <w:tcW w:w="2410" w:type="dxa"/>
            <w:tcBorders>
              <w:top w:val="single" w:sz="4" w:space="0" w:color="auto"/>
              <w:bottom w:val="single" w:sz="4" w:space="0" w:color="auto"/>
            </w:tcBorders>
          </w:tcPr>
          <w:p w14:paraId="1665C594" w14:textId="77777777" w:rsidR="00D355BA" w:rsidRPr="00D06093" w:rsidRDefault="00D355BA" w:rsidP="0094354F">
            <w:pPr>
              <w:spacing w:before="0" w:after="0"/>
              <w:rPr>
                <w:rFonts w:cs="Arial"/>
                <w:sz w:val="20"/>
                <w:szCs w:val="20"/>
              </w:rPr>
            </w:pPr>
            <w:r w:rsidRPr="00D06093">
              <w:rPr>
                <w:rFonts w:cs="Arial"/>
                <w:sz w:val="20"/>
                <w:szCs w:val="20"/>
              </w:rPr>
              <w:t>2007-2018</w:t>
            </w:r>
          </w:p>
        </w:tc>
        <w:tc>
          <w:tcPr>
            <w:tcW w:w="1559" w:type="dxa"/>
            <w:tcBorders>
              <w:top w:val="single" w:sz="4" w:space="0" w:color="auto"/>
              <w:bottom w:val="single" w:sz="4" w:space="0" w:color="auto"/>
            </w:tcBorders>
          </w:tcPr>
          <w:p w14:paraId="59597E87" w14:textId="77777777" w:rsidR="00D355BA" w:rsidRPr="00D06093" w:rsidRDefault="00D355BA" w:rsidP="0094354F">
            <w:pPr>
              <w:spacing w:before="0" w:after="0"/>
              <w:jc w:val="center"/>
              <w:rPr>
                <w:rFonts w:cs="Arial"/>
                <w:sz w:val="20"/>
                <w:szCs w:val="20"/>
              </w:rPr>
            </w:pPr>
            <w:r w:rsidRPr="00D06093">
              <w:rPr>
                <w:rFonts w:cs="Arial"/>
                <w:sz w:val="20"/>
                <w:szCs w:val="20"/>
              </w:rPr>
              <w:t>31</w:t>
            </w:r>
          </w:p>
        </w:tc>
      </w:tr>
      <w:tr w:rsidR="00D355BA" w14:paraId="6B9275E1" w14:textId="77777777" w:rsidTr="0094354F">
        <w:trPr>
          <w:jc w:val="center"/>
        </w:trPr>
        <w:tc>
          <w:tcPr>
            <w:tcW w:w="2694" w:type="dxa"/>
            <w:tcBorders>
              <w:top w:val="single" w:sz="4" w:space="0" w:color="auto"/>
              <w:bottom w:val="single" w:sz="4" w:space="0" w:color="auto"/>
            </w:tcBorders>
          </w:tcPr>
          <w:p w14:paraId="1DC4DBA0" w14:textId="77777777" w:rsidR="00D355BA" w:rsidRPr="00D06093" w:rsidRDefault="00D355BA" w:rsidP="0094354F">
            <w:pPr>
              <w:spacing w:before="0" w:after="0"/>
              <w:rPr>
                <w:rFonts w:cs="Arial"/>
                <w:sz w:val="20"/>
                <w:szCs w:val="20"/>
              </w:rPr>
            </w:pPr>
            <w:r w:rsidRPr="00D06093">
              <w:rPr>
                <w:rFonts w:cs="Arial"/>
                <w:sz w:val="20"/>
                <w:szCs w:val="20"/>
              </w:rPr>
              <w:t>Low Isles</w:t>
            </w:r>
          </w:p>
          <w:p w14:paraId="242A4811" w14:textId="77777777" w:rsidR="00D355BA" w:rsidRPr="00D06093" w:rsidRDefault="00D355BA" w:rsidP="0094354F">
            <w:pPr>
              <w:spacing w:before="0" w:after="0"/>
              <w:rPr>
                <w:rFonts w:cs="Arial"/>
                <w:sz w:val="20"/>
                <w:szCs w:val="20"/>
              </w:rPr>
            </w:pPr>
            <w:r w:rsidRPr="00D06093">
              <w:rPr>
                <w:rFonts w:cs="Arial"/>
                <w:sz w:val="20"/>
                <w:szCs w:val="20"/>
              </w:rPr>
              <w:t>(LI1/LI2)</w:t>
            </w:r>
          </w:p>
        </w:tc>
        <w:tc>
          <w:tcPr>
            <w:tcW w:w="2121" w:type="dxa"/>
            <w:tcBorders>
              <w:top w:val="single" w:sz="4" w:space="0" w:color="auto"/>
              <w:bottom w:val="single" w:sz="4" w:space="0" w:color="auto"/>
            </w:tcBorders>
          </w:tcPr>
          <w:p w14:paraId="051B7DD6" w14:textId="77777777" w:rsidR="00D355BA" w:rsidRPr="00D06093" w:rsidRDefault="00D355BA" w:rsidP="0094354F">
            <w:pPr>
              <w:spacing w:before="0" w:after="0"/>
              <w:rPr>
                <w:rFonts w:cs="Arial"/>
                <w:sz w:val="20"/>
                <w:szCs w:val="20"/>
              </w:rPr>
            </w:pPr>
            <w:r w:rsidRPr="00D06093">
              <w:rPr>
                <w:rFonts w:cs="Arial"/>
                <w:sz w:val="20"/>
                <w:szCs w:val="20"/>
              </w:rPr>
              <w:t>Port Douglas (C4)</w:t>
            </w:r>
          </w:p>
        </w:tc>
        <w:tc>
          <w:tcPr>
            <w:tcW w:w="2410" w:type="dxa"/>
            <w:tcBorders>
              <w:top w:val="single" w:sz="4" w:space="0" w:color="auto"/>
              <w:bottom w:val="single" w:sz="4" w:space="0" w:color="auto"/>
            </w:tcBorders>
          </w:tcPr>
          <w:p w14:paraId="0AB71D10" w14:textId="77777777" w:rsidR="00D355BA" w:rsidRPr="00D06093" w:rsidRDefault="00D355BA" w:rsidP="0094354F">
            <w:pPr>
              <w:spacing w:before="0" w:after="0"/>
              <w:rPr>
                <w:rFonts w:cs="Arial"/>
                <w:sz w:val="20"/>
                <w:szCs w:val="20"/>
              </w:rPr>
            </w:pPr>
            <w:r w:rsidRPr="00D06093">
              <w:rPr>
                <w:rFonts w:cs="Arial"/>
                <w:sz w:val="20"/>
                <w:szCs w:val="20"/>
              </w:rPr>
              <w:t>2009-2013, 2015-2017</w:t>
            </w:r>
          </w:p>
        </w:tc>
        <w:tc>
          <w:tcPr>
            <w:tcW w:w="1559" w:type="dxa"/>
            <w:tcBorders>
              <w:top w:val="single" w:sz="4" w:space="0" w:color="auto"/>
              <w:bottom w:val="single" w:sz="4" w:space="0" w:color="auto"/>
            </w:tcBorders>
          </w:tcPr>
          <w:p w14:paraId="2DE2A9A2" w14:textId="77777777" w:rsidR="00D355BA" w:rsidRPr="00D06093" w:rsidRDefault="00D355BA" w:rsidP="0094354F">
            <w:pPr>
              <w:spacing w:before="0" w:after="0"/>
              <w:jc w:val="center"/>
              <w:rPr>
                <w:rFonts w:cs="Arial"/>
                <w:sz w:val="20"/>
                <w:szCs w:val="20"/>
              </w:rPr>
            </w:pPr>
            <w:r w:rsidRPr="00D06093">
              <w:rPr>
                <w:rFonts w:cs="Arial"/>
                <w:sz w:val="20"/>
                <w:szCs w:val="20"/>
              </w:rPr>
              <w:t>44</w:t>
            </w:r>
          </w:p>
        </w:tc>
      </w:tr>
      <w:tr w:rsidR="00D355BA" w14:paraId="5289AD83" w14:textId="77777777" w:rsidTr="0094354F">
        <w:trPr>
          <w:jc w:val="center"/>
        </w:trPr>
        <w:tc>
          <w:tcPr>
            <w:tcW w:w="2694" w:type="dxa"/>
            <w:tcBorders>
              <w:top w:val="single" w:sz="4" w:space="0" w:color="auto"/>
              <w:bottom w:val="single" w:sz="4" w:space="0" w:color="auto"/>
            </w:tcBorders>
          </w:tcPr>
          <w:p w14:paraId="6CC12442" w14:textId="77777777" w:rsidR="00D355BA" w:rsidRPr="00D06093" w:rsidRDefault="00D355BA" w:rsidP="0094354F">
            <w:pPr>
              <w:spacing w:before="0" w:after="0"/>
              <w:rPr>
                <w:rFonts w:cs="Arial"/>
                <w:sz w:val="20"/>
                <w:szCs w:val="20"/>
              </w:rPr>
            </w:pPr>
            <w:r w:rsidRPr="00D06093">
              <w:rPr>
                <w:rFonts w:cs="Arial"/>
                <w:sz w:val="20"/>
                <w:szCs w:val="20"/>
              </w:rPr>
              <w:t>Magnetic Island</w:t>
            </w:r>
          </w:p>
          <w:p w14:paraId="4898EAFE" w14:textId="77777777" w:rsidR="00D355BA" w:rsidRPr="00D06093" w:rsidRDefault="00D355BA" w:rsidP="0094354F">
            <w:pPr>
              <w:spacing w:before="0" w:after="0"/>
              <w:rPr>
                <w:rFonts w:cs="Arial"/>
                <w:sz w:val="20"/>
                <w:szCs w:val="20"/>
              </w:rPr>
            </w:pPr>
            <w:r w:rsidRPr="00D06093">
              <w:rPr>
                <w:rFonts w:cs="Arial"/>
                <w:sz w:val="20"/>
                <w:szCs w:val="20"/>
              </w:rPr>
              <w:t>(MI1/MI2/MI3)</w:t>
            </w:r>
          </w:p>
        </w:tc>
        <w:tc>
          <w:tcPr>
            <w:tcW w:w="2121" w:type="dxa"/>
            <w:tcBorders>
              <w:top w:val="single" w:sz="4" w:space="0" w:color="auto"/>
              <w:bottom w:val="single" w:sz="4" w:space="0" w:color="auto"/>
            </w:tcBorders>
          </w:tcPr>
          <w:p w14:paraId="2D7BE538" w14:textId="77777777" w:rsidR="00D355BA" w:rsidRPr="00D06093" w:rsidRDefault="00D355BA" w:rsidP="0094354F">
            <w:pPr>
              <w:spacing w:before="0" w:after="0"/>
              <w:rPr>
                <w:rFonts w:cs="Arial"/>
                <w:sz w:val="20"/>
                <w:szCs w:val="20"/>
              </w:rPr>
            </w:pPr>
            <w:r w:rsidRPr="00D06093">
              <w:rPr>
                <w:rFonts w:cs="Arial"/>
                <w:sz w:val="20"/>
                <w:szCs w:val="20"/>
              </w:rPr>
              <w:t>Geoffrey Bay</w:t>
            </w:r>
          </w:p>
        </w:tc>
        <w:tc>
          <w:tcPr>
            <w:tcW w:w="2410" w:type="dxa"/>
            <w:tcBorders>
              <w:top w:val="single" w:sz="4" w:space="0" w:color="auto"/>
              <w:bottom w:val="single" w:sz="4" w:space="0" w:color="auto"/>
            </w:tcBorders>
          </w:tcPr>
          <w:p w14:paraId="0515721C" w14:textId="77777777" w:rsidR="00D355BA" w:rsidRPr="00D06093" w:rsidRDefault="00D355BA" w:rsidP="0094354F">
            <w:pPr>
              <w:spacing w:before="0" w:after="0"/>
              <w:rPr>
                <w:rFonts w:cs="Arial"/>
                <w:sz w:val="20"/>
                <w:szCs w:val="20"/>
              </w:rPr>
            </w:pPr>
            <w:r w:rsidRPr="00D06093">
              <w:rPr>
                <w:rFonts w:cs="Arial"/>
                <w:sz w:val="20"/>
                <w:szCs w:val="20"/>
              </w:rPr>
              <w:t>2006-2017</w:t>
            </w:r>
          </w:p>
        </w:tc>
        <w:tc>
          <w:tcPr>
            <w:tcW w:w="1559" w:type="dxa"/>
            <w:tcBorders>
              <w:top w:val="single" w:sz="4" w:space="0" w:color="auto"/>
              <w:bottom w:val="single" w:sz="4" w:space="0" w:color="auto"/>
            </w:tcBorders>
          </w:tcPr>
          <w:p w14:paraId="22C74AB4" w14:textId="77777777" w:rsidR="00D355BA" w:rsidRPr="00D06093" w:rsidRDefault="00D355BA" w:rsidP="0094354F">
            <w:pPr>
              <w:spacing w:before="0" w:after="0"/>
              <w:jc w:val="center"/>
              <w:rPr>
                <w:rFonts w:cs="Arial"/>
                <w:sz w:val="20"/>
                <w:szCs w:val="20"/>
              </w:rPr>
            </w:pPr>
            <w:r w:rsidRPr="00D06093">
              <w:rPr>
                <w:rFonts w:cs="Arial"/>
                <w:sz w:val="20"/>
                <w:szCs w:val="20"/>
              </w:rPr>
              <w:t>102</w:t>
            </w:r>
          </w:p>
        </w:tc>
      </w:tr>
    </w:tbl>
    <w:p w14:paraId="06D2576E" w14:textId="77777777" w:rsidR="00D355BA" w:rsidRPr="001F0E92" w:rsidRDefault="00D355BA" w:rsidP="00D355BA">
      <w:pPr>
        <w:rPr>
          <w:rFonts w:cs="Arial"/>
          <w:szCs w:val="22"/>
          <w:lang w:val="en-GB"/>
        </w:rPr>
      </w:pPr>
    </w:p>
    <w:p w14:paraId="4E70CC76" w14:textId="77777777" w:rsidR="00D355BA" w:rsidRDefault="00D355BA" w:rsidP="00D355BA">
      <w:pPr>
        <w:pStyle w:val="Caption"/>
        <w:rPr>
          <w:rFonts w:cs="Arial"/>
          <w:szCs w:val="22"/>
        </w:rPr>
      </w:pPr>
      <w:r w:rsidRPr="00867E8C">
        <w:rPr>
          <w:rFonts w:cs="Arial"/>
          <w:szCs w:val="22"/>
        </w:rPr>
        <w:t xml:space="preserve">Table </w:t>
      </w:r>
      <w:r>
        <w:rPr>
          <w:rFonts w:cs="Arial"/>
          <w:szCs w:val="22"/>
        </w:rPr>
        <w:t>3</w:t>
      </w:r>
      <w:r w:rsidRPr="00867E8C">
        <w:rPr>
          <w:rFonts w:cs="Arial"/>
          <w:szCs w:val="22"/>
        </w:rPr>
        <w:t xml:space="preserve">. </w:t>
      </w:r>
      <w:r w:rsidRPr="00965259">
        <w:rPr>
          <w:rFonts w:cs="Arial"/>
          <w:i/>
          <w:szCs w:val="22"/>
        </w:rPr>
        <w:t xml:space="preserve">Seagrass leaf tissue nutrient data count of C:N, DIN loads, daily light, region and habitat for all species combined, and when analysing species H. uninervis or Z. muelleri in isolation. Black font indicates data that was included in statistical analysis, and grey font was not further analysed </w:t>
      </w:r>
      <w:r w:rsidRPr="00965259">
        <w:rPr>
          <w:rFonts w:eastAsia="Times New Roman" w:cs="Arial"/>
          <w:i/>
          <w:szCs w:val="22"/>
          <w:lang w:val="en-AU"/>
        </w:rPr>
        <w:t>due to insufficient data and/or limited range in relative DIN exposure.</w:t>
      </w:r>
      <w:r>
        <w:rPr>
          <w:rFonts w:eastAsia="Times New Roman" w:cs="Arial"/>
          <w:szCs w:val="22"/>
          <w:lang w:val="en-AU"/>
        </w:rPr>
        <w:t xml:space="preserve"> </w:t>
      </w:r>
    </w:p>
    <w:tbl>
      <w:tblPr>
        <w:tblW w:w="7655" w:type="dxa"/>
        <w:jc w:val="center"/>
        <w:tblBorders>
          <w:top w:val="single" w:sz="4" w:space="0" w:color="auto"/>
          <w:bottom w:val="single" w:sz="4" w:space="0" w:color="auto"/>
        </w:tblBorders>
        <w:tblLook w:val="04A0" w:firstRow="1" w:lastRow="0" w:firstColumn="1" w:lastColumn="0" w:noHBand="0" w:noVBand="1"/>
      </w:tblPr>
      <w:tblGrid>
        <w:gridCol w:w="2600"/>
        <w:gridCol w:w="906"/>
        <w:gridCol w:w="1134"/>
        <w:gridCol w:w="1597"/>
        <w:gridCol w:w="1418"/>
      </w:tblGrid>
      <w:tr w:rsidR="00D355BA" w:rsidRPr="00965259" w14:paraId="60B7D118" w14:textId="77777777" w:rsidTr="0094354F">
        <w:trPr>
          <w:jc w:val="center"/>
        </w:trPr>
        <w:tc>
          <w:tcPr>
            <w:tcW w:w="2600" w:type="dxa"/>
            <w:tcBorders>
              <w:top w:val="single" w:sz="4" w:space="0" w:color="auto"/>
              <w:bottom w:val="single" w:sz="4" w:space="0" w:color="auto"/>
            </w:tcBorders>
            <w:shd w:val="clear" w:color="auto" w:fill="auto"/>
            <w:noWrap/>
            <w:vAlign w:val="bottom"/>
            <w:hideMark/>
          </w:tcPr>
          <w:p w14:paraId="586098DE" w14:textId="77777777" w:rsidR="00D355BA" w:rsidRPr="00965259" w:rsidRDefault="00D355BA" w:rsidP="0094354F">
            <w:pPr>
              <w:spacing w:before="0" w:after="0"/>
              <w:rPr>
                <w:rFonts w:cs="Arial"/>
                <w:b/>
                <w:color w:val="000000"/>
                <w:sz w:val="20"/>
                <w:szCs w:val="20"/>
              </w:rPr>
            </w:pPr>
            <w:r w:rsidRPr="00965259">
              <w:rPr>
                <w:rFonts w:cs="Arial"/>
                <w:b/>
                <w:color w:val="000000"/>
                <w:sz w:val="20"/>
                <w:szCs w:val="20"/>
              </w:rPr>
              <w:t> </w:t>
            </w:r>
          </w:p>
        </w:tc>
        <w:tc>
          <w:tcPr>
            <w:tcW w:w="906" w:type="dxa"/>
            <w:tcBorders>
              <w:top w:val="single" w:sz="4" w:space="0" w:color="auto"/>
              <w:bottom w:val="single" w:sz="4" w:space="0" w:color="auto"/>
            </w:tcBorders>
            <w:shd w:val="clear" w:color="auto" w:fill="auto"/>
            <w:noWrap/>
            <w:vAlign w:val="bottom"/>
            <w:hideMark/>
          </w:tcPr>
          <w:p w14:paraId="0CD559DD" w14:textId="77777777" w:rsidR="00D355BA" w:rsidRPr="00965259" w:rsidRDefault="00D355BA" w:rsidP="0094354F">
            <w:pPr>
              <w:spacing w:before="0" w:after="0"/>
              <w:rPr>
                <w:rFonts w:cs="Arial"/>
                <w:b/>
                <w:color w:val="000000"/>
                <w:sz w:val="20"/>
                <w:szCs w:val="20"/>
              </w:rPr>
            </w:pPr>
            <w:r w:rsidRPr="00965259">
              <w:rPr>
                <w:rFonts w:cs="Arial"/>
                <w:b/>
                <w:color w:val="000000"/>
                <w:sz w:val="20"/>
                <w:szCs w:val="20"/>
              </w:rPr>
              <w:t>coastal</w:t>
            </w:r>
          </w:p>
        </w:tc>
        <w:tc>
          <w:tcPr>
            <w:tcW w:w="1134" w:type="dxa"/>
            <w:tcBorders>
              <w:top w:val="single" w:sz="4" w:space="0" w:color="auto"/>
              <w:bottom w:val="single" w:sz="4" w:space="0" w:color="auto"/>
            </w:tcBorders>
            <w:shd w:val="clear" w:color="auto" w:fill="auto"/>
            <w:noWrap/>
            <w:vAlign w:val="bottom"/>
            <w:hideMark/>
          </w:tcPr>
          <w:p w14:paraId="6FE52542" w14:textId="77777777" w:rsidR="00D355BA" w:rsidRPr="00965259" w:rsidRDefault="00D355BA" w:rsidP="0094354F">
            <w:pPr>
              <w:spacing w:before="0" w:after="0"/>
              <w:rPr>
                <w:rFonts w:cs="Arial"/>
                <w:b/>
                <w:color w:val="000000"/>
                <w:sz w:val="20"/>
                <w:szCs w:val="20"/>
              </w:rPr>
            </w:pPr>
            <w:r w:rsidRPr="00965259">
              <w:rPr>
                <w:rFonts w:cs="Arial"/>
                <w:b/>
                <w:color w:val="000000"/>
                <w:sz w:val="20"/>
                <w:szCs w:val="20"/>
              </w:rPr>
              <w:t>estuarine</w:t>
            </w:r>
          </w:p>
        </w:tc>
        <w:tc>
          <w:tcPr>
            <w:tcW w:w="1597" w:type="dxa"/>
            <w:tcBorders>
              <w:top w:val="single" w:sz="4" w:space="0" w:color="auto"/>
              <w:bottom w:val="single" w:sz="4" w:space="0" w:color="auto"/>
            </w:tcBorders>
            <w:shd w:val="clear" w:color="auto" w:fill="auto"/>
            <w:noWrap/>
            <w:vAlign w:val="bottom"/>
            <w:hideMark/>
          </w:tcPr>
          <w:p w14:paraId="44D35B19" w14:textId="77777777" w:rsidR="00D355BA" w:rsidRPr="00965259" w:rsidRDefault="00D355BA" w:rsidP="0094354F">
            <w:pPr>
              <w:spacing w:before="0" w:after="0"/>
              <w:rPr>
                <w:rFonts w:cs="Arial"/>
                <w:b/>
                <w:color w:val="000000"/>
                <w:sz w:val="20"/>
                <w:szCs w:val="20"/>
              </w:rPr>
            </w:pPr>
            <w:r w:rsidRPr="00965259">
              <w:rPr>
                <w:rFonts w:cs="Arial"/>
                <w:b/>
                <w:color w:val="000000"/>
                <w:sz w:val="20"/>
                <w:szCs w:val="20"/>
              </w:rPr>
              <w:t>reef intertidal</w:t>
            </w:r>
          </w:p>
        </w:tc>
        <w:tc>
          <w:tcPr>
            <w:tcW w:w="1418" w:type="dxa"/>
            <w:tcBorders>
              <w:top w:val="single" w:sz="4" w:space="0" w:color="auto"/>
              <w:bottom w:val="single" w:sz="4" w:space="0" w:color="auto"/>
            </w:tcBorders>
            <w:shd w:val="clear" w:color="auto" w:fill="auto"/>
            <w:noWrap/>
            <w:vAlign w:val="bottom"/>
            <w:hideMark/>
          </w:tcPr>
          <w:p w14:paraId="7B5AAD50" w14:textId="77777777" w:rsidR="00D355BA" w:rsidRPr="00965259" w:rsidRDefault="00D355BA" w:rsidP="0094354F">
            <w:pPr>
              <w:spacing w:before="0" w:after="0"/>
              <w:rPr>
                <w:rFonts w:cs="Arial"/>
                <w:b/>
                <w:color w:val="000000"/>
                <w:sz w:val="20"/>
                <w:szCs w:val="20"/>
              </w:rPr>
            </w:pPr>
            <w:r w:rsidRPr="00965259">
              <w:rPr>
                <w:rFonts w:cs="Arial"/>
                <w:b/>
                <w:color w:val="000000"/>
                <w:sz w:val="20"/>
                <w:szCs w:val="20"/>
              </w:rPr>
              <w:t>reef subtidal</w:t>
            </w:r>
          </w:p>
        </w:tc>
      </w:tr>
      <w:tr w:rsidR="00D355BA" w:rsidRPr="00C716D8" w14:paraId="4FAD59EE" w14:textId="77777777" w:rsidTr="0094354F">
        <w:trPr>
          <w:jc w:val="center"/>
        </w:trPr>
        <w:tc>
          <w:tcPr>
            <w:tcW w:w="2600" w:type="dxa"/>
            <w:tcBorders>
              <w:top w:val="single" w:sz="4" w:space="0" w:color="auto"/>
              <w:bottom w:val="nil"/>
            </w:tcBorders>
            <w:shd w:val="clear" w:color="auto" w:fill="auto"/>
            <w:noWrap/>
            <w:vAlign w:val="bottom"/>
          </w:tcPr>
          <w:p w14:paraId="06DD6974" w14:textId="77777777" w:rsidR="00D355BA" w:rsidRPr="00F477BD" w:rsidRDefault="00D355BA" w:rsidP="0094354F">
            <w:pPr>
              <w:spacing w:before="0" w:after="0"/>
              <w:rPr>
                <w:rFonts w:cs="Arial"/>
                <w:i/>
                <w:color w:val="000000"/>
                <w:sz w:val="20"/>
                <w:szCs w:val="20"/>
              </w:rPr>
            </w:pPr>
            <w:r w:rsidRPr="00F477BD">
              <w:rPr>
                <w:rFonts w:cs="Arial"/>
                <w:i/>
                <w:color w:val="000000"/>
                <w:sz w:val="20"/>
                <w:szCs w:val="20"/>
              </w:rPr>
              <w:t xml:space="preserve">All </w:t>
            </w:r>
            <w:r>
              <w:rPr>
                <w:rFonts w:cs="Arial"/>
                <w:i/>
                <w:color w:val="000000"/>
                <w:sz w:val="20"/>
                <w:szCs w:val="20"/>
              </w:rPr>
              <w:t xml:space="preserve">foundational </w:t>
            </w:r>
            <w:r w:rsidRPr="00F477BD">
              <w:rPr>
                <w:rFonts w:cs="Arial"/>
                <w:i/>
                <w:color w:val="000000"/>
                <w:sz w:val="20"/>
                <w:szCs w:val="20"/>
              </w:rPr>
              <w:t>species</w:t>
            </w:r>
          </w:p>
        </w:tc>
        <w:tc>
          <w:tcPr>
            <w:tcW w:w="906" w:type="dxa"/>
            <w:tcBorders>
              <w:top w:val="single" w:sz="4" w:space="0" w:color="auto"/>
              <w:bottom w:val="nil"/>
            </w:tcBorders>
            <w:shd w:val="clear" w:color="auto" w:fill="auto"/>
            <w:noWrap/>
            <w:vAlign w:val="bottom"/>
          </w:tcPr>
          <w:p w14:paraId="7723318C" w14:textId="77777777" w:rsidR="00D355BA" w:rsidRPr="00F477BD" w:rsidRDefault="00D355BA" w:rsidP="0094354F">
            <w:pPr>
              <w:spacing w:before="0" w:after="0"/>
              <w:jc w:val="right"/>
              <w:rPr>
                <w:rFonts w:cs="Arial"/>
                <w:color w:val="000000"/>
                <w:sz w:val="20"/>
                <w:szCs w:val="20"/>
              </w:rPr>
            </w:pPr>
          </w:p>
        </w:tc>
        <w:tc>
          <w:tcPr>
            <w:tcW w:w="1134" w:type="dxa"/>
            <w:tcBorders>
              <w:top w:val="single" w:sz="4" w:space="0" w:color="auto"/>
              <w:bottom w:val="nil"/>
            </w:tcBorders>
            <w:shd w:val="clear" w:color="auto" w:fill="auto"/>
            <w:noWrap/>
            <w:vAlign w:val="bottom"/>
          </w:tcPr>
          <w:p w14:paraId="1C30C0B9" w14:textId="77777777" w:rsidR="00D355BA" w:rsidRPr="00F477BD" w:rsidRDefault="00D355BA" w:rsidP="0094354F">
            <w:pPr>
              <w:spacing w:before="0" w:after="0"/>
              <w:jc w:val="right"/>
              <w:rPr>
                <w:rFonts w:cs="Arial"/>
                <w:color w:val="000000"/>
                <w:sz w:val="20"/>
                <w:szCs w:val="20"/>
              </w:rPr>
            </w:pPr>
          </w:p>
        </w:tc>
        <w:tc>
          <w:tcPr>
            <w:tcW w:w="1597" w:type="dxa"/>
            <w:tcBorders>
              <w:top w:val="single" w:sz="4" w:space="0" w:color="auto"/>
              <w:bottom w:val="nil"/>
            </w:tcBorders>
            <w:shd w:val="clear" w:color="auto" w:fill="auto"/>
            <w:noWrap/>
            <w:vAlign w:val="bottom"/>
          </w:tcPr>
          <w:p w14:paraId="155E2C3C" w14:textId="77777777" w:rsidR="00D355BA" w:rsidRPr="00F477BD" w:rsidRDefault="00D355BA" w:rsidP="0094354F">
            <w:pPr>
              <w:spacing w:before="0" w:after="0"/>
              <w:jc w:val="right"/>
              <w:rPr>
                <w:rFonts w:cs="Arial"/>
                <w:color w:val="000000"/>
                <w:sz w:val="20"/>
                <w:szCs w:val="20"/>
              </w:rPr>
            </w:pPr>
          </w:p>
        </w:tc>
        <w:tc>
          <w:tcPr>
            <w:tcW w:w="1418" w:type="dxa"/>
            <w:tcBorders>
              <w:top w:val="single" w:sz="4" w:space="0" w:color="auto"/>
              <w:bottom w:val="nil"/>
            </w:tcBorders>
            <w:shd w:val="clear" w:color="auto" w:fill="auto"/>
            <w:noWrap/>
            <w:vAlign w:val="bottom"/>
          </w:tcPr>
          <w:p w14:paraId="58D3C805" w14:textId="77777777" w:rsidR="00D355BA" w:rsidRPr="00F477BD" w:rsidRDefault="00D355BA" w:rsidP="0094354F">
            <w:pPr>
              <w:spacing w:before="0" w:after="0"/>
              <w:jc w:val="right"/>
              <w:rPr>
                <w:rFonts w:cs="Arial"/>
                <w:color w:val="000000"/>
                <w:sz w:val="20"/>
                <w:szCs w:val="20"/>
              </w:rPr>
            </w:pPr>
          </w:p>
        </w:tc>
      </w:tr>
      <w:tr w:rsidR="00D355BA" w:rsidRPr="00C716D8" w14:paraId="7BA223B1" w14:textId="77777777" w:rsidTr="0094354F">
        <w:trPr>
          <w:jc w:val="center"/>
        </w:trPr>
        <w:tc>
          <w:tcPr>
            <w:tcW w:w="2600" w:type="dxa"/>
            <w:tcBorders>
              <w:top w:val="nil"/>
              <w:bottom w:val="nil"/>
            </w:tcBorders>
            <w:shd w:val="clear" w:color="auto" w:fill="auto"/>
            <w:noWrap/>
            <w:vAlign w:val="bottom"/>
            <w:hideMark/>
          </w:tcPr>
          <w:p w14:paraId="485FF1CD"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Burdekin</w:t>
            </w:r>
          </w:p>
        </w:tc>
        <w:tc>
          <w:tcPr>
            <w:tcW w:w="906" w:type="dxa"/>
            <w:tcBorders>
              <w:top w:val="nil"/>
              <w:bottom w:val="nil"/>
            </w:tcBorders>
            <w:shd w:val="clear" w:color="auto" w:fill="auto"/>
            <w:noWrap/>
            <w:vAlign w:val="bottom"/>
            <w:hideMark/>
          </w:tcPr>
          <w:p w14:paraId="23CC265B"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74</w:t>
            </w:r>
          </w:p>
        </w:tc>
        <w:tc>
          <w:tcPr>
            <w:tcW w:w="1134" w:type="dxa"/>
            <w:tcBorders>
              <w:top w:val="nil"/>
              <w:bottom w:val="nil"/>
            </w:tcBorders>
            <w:shd w:val="clear" w:color="auto" w:fill="auto"/>
            <w:noWrap/>
            <w:vAlign w:val="bottom"/>
            <w:hideMark/>
          </w:tcPr>
          <w:p w14:paraId="69E84593"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597" w:type="dxa"/>
            <w:tcBorders>
              <w:top w:val="nil"/>
              <w:bottom w:val="nil"/>
            </w:tcBorders>
            <w:shd w:val="clear" w:color="auto" w:fill="auto"/>
            <w:noWrap/>
            <w:vAlign w:val="bottom"/>
            <w:hideMark/>
          </w:tcPr>
          <w:p w14:paraId="0EC21469"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92</w:t>
            </w:r>
          </w:p>
        </w:tc>
        <w:tc>
          <w:tcPr>
            <w:tcW w:w="1418" w:type="dxa"/>
            <w:tcBorders>
              <w:top w:val="nil"/>
              <w:bottom w:val="nil"/>
            </w:tcBorders>
            <w:shd w:val="clear" w:color="auto" w:fill="auto"/>
            <w:noWrap/>
            <w:vAlign w:val="bottom"/>
            <w:hideMark/>
          </w:tcPr>
          <w:p w14:paraId="4695CB39"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51</w:t>
            </w:r>
          </w:p>
        </w:tc>
      </w:tr>
      <w:tr w:rsidR="00D355BA" w:rsidRPr="00C716D8" w14:paraId="796FC139" w14:textId="77777777" w:rsidTr="0094354F">
        <w:trPr>
          <w:jc w:val="center"/>
        </w:trPr>
        <w:tc>
          <w:tcPr>
            <w:tcW w:w="2600" w:type="dxa"/>
            <w:tcBorders>
              <w:top w:val="nil"/>
              <w:bottom w:val="nil"/>
            </w:tcBorders>
            <w:shd w:val="clear" w:color="auto" w:fill="auto"/>
            <w:noWrap/>
            <w:vAlign w:val="bottom"/>
            <w:hideMark/>
          </w:tcPr>
          <w:p w14:paraId="16404347"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Burnett–Mary</w:t>
            </w:r>
          </w:p>
        </w:tc>
        <w:tc>
          <w:tcPr>
            <w:tcW w:w="906" w:type="dxa"/>
            <w:tcBorders>
              <w:top w:val="nil"/>
              <w:bottom w:val="nil"/>
            </w:tcBorders>
            <w:shd w:val="clear" w:color="auto" w:fill="auto"/>
            <w:noWrap/>
            <w:vAlign w:val="bottom"/>
            <w:hideMark/>
          </w:tcPr>
          <w:p w14:paraId="3A61A594"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134" w:type="dxa"/>
            <w:tcBorders>
              <w:top w:val="nil"/>
              <w:bottom w:val="nil"/>
            </w:tcBorders>
            <w:shd w:val="clear" w:color="auto" w:fill="auto"/>
            <w:noWrap/>
            <w:vAlign w:val="bottom"/>
            <w:hideMark/>
          </w:tcPr>
          <w:p w14:paraId="4F19EDBD"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82</w:t>
            </w:r>
          </w:p>
        </w:tc>
        <w:tc>
          <w:tcPr>
            <w:tcW w:w="1597" w:type="dxa"/>
            <w:tcBorders>
              <w:top w:val="nil"/>
              <w:bottom w:val="nil"/>
            </w:tcBorders>
            <w:shd w:val="clear" w:color="auto" w:fill="auto"/>
            <w:noWrap/>
            <w:vAlign w:val="bottom"/>
            <w:hideMark/>
          </w:tcPr>
          <w:p w14:paraId="30C256BC"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418" w:type="dxa"/>
            <w:tcBorders>
              <w:top w:val="nil"/>
              <w:bottom w:val="nil"/>
            </w:tcBorders>
            <w:shd w:val="clear" w:color="auto" w:fill="auto"/>
            <w:noWrap/>
            <w:vAlign w:val="bottom"/>
            <w:hideMark/>
          </w:tcPr>
          <w:p w14:paraId="2A86336E"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79A451D0" w14:textId="77777777" w:rsidTr="0094354F">
        <w:trPr>
          <w:jc w:val="center"/>
        </w:trPr>
        <w:tc>
          <w:tcPr>
            <w:tcW w:w="2600" w:type="dxa"/>
            <w:tcBorders>
              <w:top w:val="nil"/>
              <w:bottom w:val="nil"/>
            </w:tcBorders>
            <w:shd w:val="clear" w:color="auto" w:fill="auto"/>
            <w:noWrap/>
            <w:vAlign w:val="bottom"/>
            <w:hideMark/>
          </w:tcPr>
          <w:p w14:paraId="4F54A5BC"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Cape York</w:t>
            </w:r>
          </w:p>
        </w:tc>
        <w:tc>
          <w:tcPr>
            <w:tcW w:w="906" w:type="dxa"/>
            <w:tcBorders>
              <w:top w:val="nil"/>
              <w:bottom w:val="nil"/>
            </w:tcBorders>
            <w:shd w:val="clear" w:color="auto" w:fill="auto"/>
            <w:noWrap/>
            <w:vAlign w:val="bottom"/>
            <w:hideMark/>
          </w:tcPr>
          <w:p w14:paraId="7D670B37"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151</w:t>
            </w:r>
          </w:p>
        </w:tc>
        <w:tc>
          <w:tcPr>
            <w:tcW w:w="1134" w:type="dxa"/>
            <w:tcBorders>
              <w:top w:val="nil"/>
              <w:bottom w:val="nil"/>
            </w:tcBorders>
            <w:shd w:val="clear" w:color="auto" w:fill="auto"/>
            <w:noWrap/>
            <w:vAlign w:val="bottom"/>
            <w:hideMark/>
          </w:tcPr>
          <w:p w14:paraId="752628B9"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tcBorders>
              <w:top w:val="nil"/>
              <w:bottom w:val="nil"/>
            </w:tcBorders>
            <w:shd w:val="clear" w:color="auto" w:fill="auto"/>
            <w:noWrap/>
            <w:vAlign w:val="bottom"/>
            <w:hideMark/>
          </w:tcPr>
          <w:p w14:paraId="53F5493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123</w:t>
            </w:r>
          </w:p>
        </w:tc>
        <w:tc>
          <w:tcPr>
            <w:tcW w:w="1418" w:type="dxa"/>
            <w:tcBorders>
              <w:top w:val="nil"/>
              <w:bottom w:val="nil"/>
            </w:tcBorders>
            <w:shd w:val="clear" w:color="auto" w:fill="auto"/>
            <w:noWrap/>
            <w:vAlign w:val="bottom"/>
            <w:hideMark/>
          </w:tcPr>
          <w:p w14:paraId="04061D72"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56685EBA" w14:textId="77777777" w:rsidTr="0094354F">
        <w:trPr>
          <w:jc w:val="center"/>
        </w:trPr>
        <w:tc>
          <w:tcPr>
            <w:tcW w:w="2600" w:type="dxa"/>
            <w:tcBorders>
              <w:top w:val="nil"/>
              <w:bottom w:val="nil"/>
            </w:tcBorders>
            <w:shd w:val="clear" w:color="auto" w:fill="auto"/>
            <w:noWrap/>
            <w:vAlign w:val="bottom"/>
            <w:hideMark/>
          </w:tcPr>
          <w:p w14:paraId="2FE389A1"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Fitzroy</w:t>
            </w:r>
          </w:p>
        </w:tc>
        <w:tc>
          <w:tcPr>
            <w:tcW w:w="906" w:type="dxa"/>
            <w:tcBorders>
              <w:top w:val="nil"/>
              <w:bottom w:val="nil"/>
            </w:tcBorders>
            <w:shd w:val="clear" w:color="auto" w:fill="auto"/>
            <w:noWrap/>
            <w:vAlign w:val="bottom"/>
            <w:hideMark/>
          </w:tcPr>
          <w:p w14:paraId="4723C31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41</w:t>
            </w:r>
          </w:p>
        </w:tc>
        <w:tc>
          <w:tcPr>
            <w:tcW w:w="1134" w:type="dxa"/>
            <w:tcBorders>
              <w:top w:val="nil"/>
              <w:bottom w:val="nil"/>
            </w:tcBorders>
            <w:shd w:val="clear" w:color="auto" w:fill="auto"/>
            <w:noWrap/>
            <w:vAlign w:val="bottom"/>
            <w:hideMark/>
          </w:tcPr>
          <w:p w14:paraId="41FF84B9"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48</w:t>
            </w:r>
          </w:p>
        </w:tc>
        <w:tc>
          <w:tcPr>
            <w:tcW w:w="1597" w:type="dxa"/>
            <w:tcBorders>
              <w:top w:val="nil"/>
              <w:bottom w:val="nil"/>
            </w:tcBorders>
            <w:shd w:val="clear" w:color="auto" w:fill="auto"/>
            <w:noWrap/>
            <w:vAlign w:val="bottom"/>
            <w:hideMark/>
          </w:tcPr>
          <w:p w14:paraId="0293785D"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48</w:t>
            </w:r>
          </w:p>
        </w:tc>
        <w:tc>
          <w:tcPr>
            <w:tcW w:w="1418" w:type="dxa"/>
            <w:tcBorders>
              <w:top w:val="nil"/>
              <w:bottom w:val="nil"/>
            </w:tcBorders>
            <w:shd w:val="clear" w:color="auto" w:fill="auto"/>
            <w:noWrap/>
            <w:vAlign w:val="bottom"/>
            <w:hideMark/>
          </w:tcPr>
          <w:p w14:paraId="6E7D4260"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200BBF48" w14:textId="77777777" w:rsidTr="0094354F">
        <w:trPr>
          <w:jc w:val="center"/>
        </w:trPr>
        <w:tc>
          <w:tcPr>
            <w:tcW w:w="2600" w:type="dxa"/>
            <w:tcBorders>
              <w:top w:val="nil"/>
              <w:bottom w:val="nil"/>
            </w:tcBorders>
            <w:shd w:val="clear" w:color="auto" w:fill="auto"/>
            <w:noWrap/>
            <w:vAlign w:val="bottom"/>
            <w:hideMark/>
          </w:tcPr>
          <w:p w14:paraId="7D06EE18"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Mackay–Whitsunday</w:t>
            </w:r>
          </w:p>
        </w:tc>
        <w:tc>
          <w:tcPr>
            <w:tcW w:w="906" w:type="dxa"/>
            <w:tcBorders>
              <w:top w:val="nil"/>
              <w:bottom w:val="nil"/>
            </w:tcBorders>
            <w:shd w:val="clear" w:color="auto" w:fill="auto"/>
            <w:noWrap/>
            <w:vAlign w:val="bottom"/>
            <w:hideMark/>
          </w:tcPr>
          <w:p w14:paraId="0DE8F779"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85</w:t>
            </w:r>
          </w:p>
        </w:tc>
        <w:tc>
          <w:tcPr>
            <w:tcW w:w="1134" w:type="dxa"/>
            <w:tcBorders>
              <w:top w:val="nil"/>
              <w:bottom w:val="nil"/>
            </w:tcBorders>
            <w:shd w:val="clear" w:color="auto" w:fill="auto"/>
            <w:noWrap/>
            <w:vAlign w:val="bottom"/>
            <w:hideMark/>
          </w:tcPr>
          <w:p w14:paraId="3D6A8E09"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60</w:t>
            </w:r>
          </w:p>
        </w:tc>
        <w:tc>
          <w:tcPr>
            <w:tcW w:w="1597" w:type="dxa"/>
            <w:tcBorders>
              <w:top w:val="nil"/>
              <w:bottom w:val="nil"/>
            </w:tcBorders>
            <w:shd w:val="clear" w:color="auto" w:fill="auto"/>
            <w:noWrap/>
            <w:vAlign w:val="bottom"/>
            <w:hideMark/>
          </w:tcPr>
          <w:p w14:paraId="3BD7C823"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52</w:t>
            </w:r>
          </w:p>
        </w:tc>
        <w:tc>
          <w:tcPr>
            <w:tcW w:w="1418" w:type="dxa"/>
            <w:tcBorders>
              <w:top w:val="nil"/>
              <w:bottom w:val="nil"/>
            </w:tcBorders>
            <w:shd w:val="clear" w:color="auto" w:fill="auto"/>
            <w:noWrap/>
            <w:vAlign w:val="bottom"/>
            <w:hideMark/>
          </w:tcPr>
          <w:p w14:paraId="6025AA86"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3B0CD411" w14:textId="77777777" w:rsidTr="0094354F">
        <w:trPr>
          <w:jc w:val="center"/>
        </w:trPr>
        <w:tc>
          <w:tcPr>
            <w:tcW w:w="2600" w:type="dxa"/>
            <w:tcBorders>
              <w:top w:val="nil"/>
              <w:bottom w:val="nil"/>
            </w:tcBorders>
            <w:shd w:val="clear" w:color="auto" w:fill="auto"/>
            <w:noWrap/>
            <w:vAlign w:val="bottom"/>
            <w:hideMark/>
          </w:tcPr>
          <w:p w14:paraId="7DB5F682"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Northern Wet Tropics</w:t>
            </w:r>
          </w:p>
        </w:tc>
        <w:tc>
          <w:tcPr>
            <w:tcW w:w="906" w:type="dxa"/>
            <w:tcBorders>
              <w:top w:val="nil"/>
              <w:bottom w:val="nil"/>
            </w:tcBorders>
            <w:shd w:val="clear" w:color="auto" w:fill="auto"/>
            <w:noWrap/>
            <w:vAlign w:val="bottom"/>
            <w:hideMark/>
          </w:tcPr>
          <w:p w14:paraId="48BED2C3"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58</w:t>
            </w:r>
          </w:p>
        </w:tc>
        <w:tc>
          <w:tcPr>
            <w:tcW w:w="1134" w:type="dxa"/>
            <w:tcBorders>
              <w:top w:val="nil"/>
              <w:bottom w:val="nil"/>
            </w:tcBorders>
            <w:shd w:val="clear" w:color="auto" w:fill="auto"/>
            <w:noWrap/>
            <w:vAlign w:val="bottom"/>
            <w:hideMark/>
          </w:tcPr>
          <w:p w14:paraId="5BA84E4B"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597" w:type="dxa"/>
            <w:tcBorders>
              <w:top w:val="nil"/>
              <w:bottom w:val="nil"/>
            </w:tcBorders>
            <w:shd w:val="clear" w:color="auto" w:fill="auto"/>
            <w:noWrap/>
            <w:vAlign w:val="bottom"/>
            <w:hideMark/>
          </w:tcPr>
          <w:p w14:paraId="62D069B6"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148</w:t>
            </w:r>
          </w:p>
        </w:tc>
        <w:tc>
          <w:tcPr>
            <w:tcW w:w="1418" w:type="dxa"/>
            <w:tcBorders>
              <w:top w:val="nil"/>
              <w:bottom w:val="nil"/>
            </w:tcBorders>
            <w:shd w:val="clear" w:color="auto" w:fill="auto"/>
            <w:noWrap/>
            <w:vAlign w:val="bottom"/>
            <w:hideMark/>
          </w:tcPr>
          <w:p w14:paraId="70745C7B"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64</w:t>
            </w:r>
          </w:p>
        </w:tc>
      </w:tr>
      <w:tr w:rsidR="00D355BA" w:rsidRPr="00C716D8" w14:paraId="44142AC3" w14:textId="77777777" w:rsidTr="0094354F">
        <w:trPr>
          <w:jc w:val="center"/>
        </w:trPr>
        <w:tc>
          <w:tcPr>
            <w:tcW w:w="2600" w:type="dxa"/>
            <w:tcBorders>
              <w:top w:val="nil"/>
              <w:bottom w:val="single" w:sz="4" w:space="0" w:color="auto"/>
            </w:tcBorders>
            <w:shd w:val="clear" w:color="auto" w:fill="auto"/>
            <w:noWrap/>
            <w:vAlign w:val="bottom"/>
            <w:hideMark/>
          </w:tcPr>
          <w:p w14:paraId="763073E7"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Southern Wet Tropics</w:t>
            </w:r>
          </w:p>
        </w:tc>
        <w:tc>
          <w:tcPr>
            <w:tcW w:w="906" w:type="dxa"/>
            <w:tcBorders>
              <w:top w:val="nil"/>
              <w:bottom w:val="single" w:sz="4" w:space="0" w:color="auto"/>
            </w:tcBorders>
            <w:shd w:val="clear" w:color="auto" w:fill="auto"/>
            <w:noWrap/>
            <w:vAlign w:val="bottom"/>
            <w:hideMark/>
          </w:tcPr>
          <w:p w14:paraId="3BDB5C0E"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134" w:type="dxa"/>
            <w:tcBorders>
              <w:top w:val="nil"/>
              <w:bottom w:val="single" w:sz="4" w:space="0" w:color="auto"/>
            </w:tcBorders>
            <w:shd w:val="clear" w:color="auto" w:fill="auto"/>
            <w:noWrap/>
            <w:vAlign w:val="bottom"/>
            <w:hideMark/>
          </w:tcPr>
          <w:p w14:paraId="696757BB"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597" w:type="dxa"/>
            <w:tcBorders>
              <w:top w:val="nil"/>
              <w:bottom w:val="single" w:sz="4" w:space="0" w:color="auto"/>
            </w:tcBorders>
            <w:shd w:val="clear" w:color="auto" w:fill="auto"/>
            <w:noWrap/>
            <w:vAlign w:val="bottom"/>
            <w:hideMark/>
          </w:tcPr>
          <w:p w14:paraId="3C9D882F"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92</w:t>
            </w:r>
          </w:p>
        </w:tc>
        <w:tc>
          <w:tcPr>
            <w:tcW w:w="1418" w:type="dxa"/>
            <w:tcBorders>
              <w:top w:val="nil"/>
              <w:bottom w:val="single" w:sz="4" w:space="0" w:color="auto"/>
            </w:tcBorders>
            <w:shd w:val="clear" w:color="auto" w:fill="auto"/>
            <w:noWrap/>
            <w:vAlign w:val="bottom"/>
            <w:hideMark/>
          </w:tcPr>
          <w:p w14:paraId="027E5875"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38</w:t>
            </w:r>
          </w:p>
        </w:tc>
      </w:tr>
      <w:tr w:rsidR="00D355BA" w:rsidRPr="00C716D8" w14:paraId="115BDEEA" w14:textId="77777777" w:rsidTr="0094354F">
        <w:trPr>
          <w:jc w:val="center"/>
        </w:trPr>
        <w:tc>
          <w:tcPr>
            <w:tcW w:w="2600" w:type="dxa"/>
            <w:tcBorders>
              <w:top w:val="single" w:sz="4" w:space="0" w:color="auto"/>
            </w:tcBorders>
            <w:shd w:val="clear" w:color="auto" w:fill="auto"/>
            <w:noWrap/>
            <w:vAlign w:val="bottom"/>
          </w:tcPr>
          <w:p w14:paraId="54B965C4" w14:textId="77777777" w:rsidR="00D355BA" w:rsidRPr="00F477BD" w:rsidRDefault="00D355BA" w:rsidP="0094354F">
            <w:pPr>
              <w:spacing w:before="0" w:after="0"/>
              <w:rPr>
                <w:rFonts w:cs="Arial"/>
                <w:i/>
                <w:color w:val="000000"/>
                <w:sz w:val="20"/>
                <w:szCs w:val="20"/>
              </w:rPr>
            </w:pPr>
            <w:r w:rsidRPr="00F477BD">
              <w:rPr>
                <w:rFonts w:cs="Arial"/>
                <w:i/>
                <w:color w:val="000000"/>
                <w:sz w:val="20"/>
                <w:szCs w:val="20"/>
              </w:rPr>
              <w:t>Halodule uninervis</w:t>
            </w:r>
          </w:p>
        </w:tc>
        <w:tc>
          <w:tcPr>
            <w:tcW w:w="906" w:type="dxa"/>
            <w:tcBorders>
              <w:top w:val="single" w:sz="4" w:space="0" w:color="auto"/>
            </w:tcBorders>
            <w:shd w:val="clear" w:color="auto" w:fill="auto"/>
            <w:noWrap/>
            <w:vAlign w:val="bottom"/>
          </w:tcPr>
          <w:p w14:paraId="6781E266" w14:textId="77777777" w:rsidR="00D355BA" w:rsidRPr="00F477BD" w:rsidRDefault="00D355BA" w:rsidP="0094354F">
            <w:pPr>
              <w:spacing w:before="0" w:after="0"/>
              <w:jc w:val="right"/>
              <w:rPr>
                <w:rFonts w:cs="Arial"/>
                <w:color w:val="000000"/>
                <w:sz w:val="20"/>
                <w:szCs w:val="20"/>
              </w:rPr>
            </w:pPr>
          </w:p>
        </w:tc>
        <w:tc>
          <w:tcPr>
            <w:tcW w:w="1134" w:type="dxa"/>
            <w:tcBorders>
              <w:top w:val="single" w:sz="4" w:space="0" w:color="auto"/>
            </w:tcBorders>
            <w:shd w:val="clear" w:color="auto" w:fill="auto"/>
            <w:noWrap/>
            <w:vAlign w:val="bottom"/>
          </w:tcPr>
          <w:p w14:paraId="7CD746DB" w14:textId="77777777" w:rsidR="00D355BA" w:rsidRPr="00F477BD" w:rsidRDefault="00D355BA" w:rsidP="0094354F">
            <w:pPr>
              <w:spacing w:before="0" w:after="0"/>
              <w:jc w:val="right"/>
              <w:rPr>
                <w:rFonts w:cs="Arial"/>
                <w:color w:val="000000"/>
                <w:sz w:val="20"/>
                <w:szCs w:val="20"/>
              </w:rPr>
            </w:pPr>
          </w:p>
        </w:tc>
        <w:tc>
          <w:tcPr>
            <w:tcW w:w="1597" w:type="dxa"/>
            <w:tcBorders>
              <w:top w:val="single" w:sz="4" w:space="0" w:color="auto"/>
            </w:tcBorders>
            <w:shd w:val="clear" w:color="auto" w:fill="auto"/>
            <w:noWrap/>
            <w:vAlign w:val="bottom"/>
          </w:tcPr>
          <w:p w14:paraId="69C63DA9" w14:textId="77777777" w:rsidR="00D355BA" w:rsidRPr="00F477BD" w:rsidRDefault="00D355BA" w:rsidP="0094354F">
            <w:pPr>
              <w:spacing w:before="0" w:after="0"/>
              <w:jc w:val="right"/>
              <w:rPr>
                <w:rFonts w:cs="Arial"/>
                <w:color w:val="000000"/>
                <w:sz w:val="20"/>
                <w:szCs w:val="20"/>
              </w:rPr>
            </w:pPr>
          </w:p>
        </w:tc>
        <w:tc>
          <w:tcPr>
            <w:tcW w:w="1418" w:type="dxa"/>
            <w:tcBorders>
              <w:top w:val="single" w:sz="4" w:space="0" w:color="auto"/>
            </w:tcBorders>
            <w:shd w:val="clear" w:color="auto" w:fill="auto"/>
            <w:noWrap/>
            <w:vAlign w:val="bottom"/>
          </w:tcPr>
          <w:p w14:paraId="75387134" w14:textId="77777777" w:rsidR="00D355BA" w:rsidRPr="00F477BD" w:rsidRDefault="00D355BA" w:rsidP="0094354F">
            <w:pPr>
              <w:spacing w:before="0" w:after="0"/>
              <w:jc w:val="right"/>
              <w:rPr>
                <w:rFonts w:cs="Arial"/>
                <w:color w:val="000000"/>
                <w:sz w:val="20"/>
                <w:szCs w:val="20"/>
              </w:rPr>
            </w:pPr>
          </w:p>
        </w:tc>
      </w:tr>
      <w:tr w:rsidR="00D355BA" w:rsidRPr="00C716D8" w14:paraId="33037689" w14:textId="77777777" w:rsidTr="0094354F">
        <w:trPr>
          <w:jc w:val="center"/>
        </w:trPr>
        <w:tc>
          <w:tcPr>
            <w:tcW w:w="2600" w:type="dxa"/>
            <w:shd w:val="clear" w:color="auto" w:fill="auto"/>
            <w:noWrap/>
            <w:vAlign w:val="bottom"/>
            <w:hideMark/>
          </w:tcPr>
          <w:p w14:paraId="0C8376C6"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Burdekin</w:t>
            </w:r>
          </w:p>
        </w:tc>
        <w:tc>
          <w:tcPr>
            <w:tcW w:w="906" w:type="dxa"/>
            <w:shd w:val="clear" w:color="auto" w:fill="auto"/>
            <w:noWrap/>
            <w:vAlign w:val="bottom"/>
            <w:hideMark/>
          </w:tcPr>
          <w:p w14:paraId="2A705383"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50</w:t>
            </w:r>
          </w:p>
        </w:tc>
        <w:tc>
          <w:tcPr>
            <w:tcW w:w="1134" w:type="dxa"/>
            <w:shd w:val="clear" w:color="auto" w:fill="auto"/>
            <w:noWrap/>
            <w:vAlign w:val="bottom"/>
            <w:hideMark/>
          </w:tcPr>
          <w:p w14:paraId="32408A4E"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71069146"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60</w:t>
            </w:r>
          </w:p>
        </w:tc>
        <w:tc>
          <w:tcPr>
            <w:tcW w:w="1418" w:type="dxa"/>
            <w:shd w:val="clear" w:color="auto" w:fill="auto"/>
            <w:noWrap/>
            <w:vAlign w:val="bottom"/>
            <w:hideMark/>
          </w:tcPr>
          <w:p w14:paraId="24001A73"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29</w:t>
            </w:r>
          </w:p>
        </w:tc>
      </w:tr>
      <w:tr w:rsidR="00D355BA" w:rsidRPr="00C716D8" w14:paraId="43F68376" w14:textId="77777777" w:rsidTr="0094354F">
        <w:trPr>
          <w:jc w:val="center"/>
        </w:trPr>
        <w:tc>
          <w:tcPr>
            <w:tcW w:w="2600" w:type="dxa"/>
            <w:shd w:val="clear" w:color="auto" w:fill="auto"/>
            <w:noWrap/>
            <w:vAlign w:val="bottom"/>
            <w:hideMark/>
          </w:tcPr>
          <w:p w14:paraId="26E7278F"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Burnett–Mary</w:t>
            </w:r>
          </w:p>
        </w:tc>
        <w:tc>
          <w:tcPr>
            <w:tcW w:w="906" w:type="dxa"/>
            <w:shd w:val="clear" w:color="auto" w:fill="auto"/>
            <w:noWrap/>
            <w:vAlign w:val="bottom"/>
            <w:hideMark/>
          </w:tcPr>
          <w:p w14:paraId="0CE55EDC"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134" w:type="dxa"/>
            <w:shd w:val="clear" w:color="auto" w:fill="auto"/>
            <w:noWrap/>
            <w:vAlign w:val="bottom"/>
            <w:hideMark/>
          </w:tcPr>
          <w:p w14:paraId="5674E374"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5D46C88F"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418" w:type="dxa"/>
            <w:shd w:val="clear" w:color="auto" w:fill="auto"/>
            <w:noWrap/>
            <w:vAlign w:val="bottom"/>
            <w:hideMark/>
          </w:tcPr>
          <w:p w14:paraId="7F88F39B"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0DB0E4F7" w14:textId="77777777" w:rsidTr="0094354F">
        <w:trPr>
          <w:jc w:val="center"/>
        </w:trPr>
        <w:tc>
          <w:tcPr>
            <w:tcW w:w="2600" w:type="dxa"/>
            <w:shd w:val="clear" w:color="auto" w:fill="auto"/>
            <w:noWrap/>
            <w:vAlign w:val="bottom"/>
            <w:hideMark/>
          </w:tcPr>
          <w:p w14:paraId="631E0CF9"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Cape York</w:t>
            </w:r>
          </w:p>
        </w:tc>
        <w:tc>
          <w:tcPr>
            <w:tcW w:w="906" w:type="dxa"/>
            <w:shd w:val="clear" w:color="auto" w:fill="auto"/>
            <w:noWrap/>
            <w:vAlign w:val="bottom"/>
            <w:hideMark/>
          </w:tcPr>
          <w:p w14:paraId="12E494C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70</w:t>
            </w:r>
          </w:p>
        </w:tc>
        <w:tc>
          <w:tcPr>
            <w:tcW w:w="1134" w:type="dxa"/>
            <w:shd w:val="clear" w:color="auto" w:fill="auto"/>
            <w:noWrap/>
            <w:vAlign w:val="bottom"/>
            <w:hideMark/>
          </w:tcPr>
          <w:p w14:paraId="662BAA52"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3431EF72"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43</w:t>
            </w:r>
          </w:p>
        </w:tc>
        <w:tc>
          <w:tcPr>
            <w:tcW w:w="1418" w:type="dxa"/>
            <w:shd w:val="clear" w:color="auto" w:fill="auto"/>
            <w:noWrap/>
            <w:vAlign w:val="bottom"/>
            <w:hideMark/>
          </w:tcPr>
          <w:p w14:paraId="7ABBB237"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26AE9E32" w14:textId="77777777" w:rsidTr="0094354F">
        <w:trPr>
          <w:jc w:val="center"/>
        </w:trPr>
        <w:tc>
          <w:tcPr>
            <w:tcW w:w="2600" w:type="dxa"/>
            <w:shd w:val="clear" w:color="auto" w:fill="auto"/>
            <w:noWrap/>
            <w:vAlign w:val="bottom"/>
            <w:hideMark/>
          </w:tcPr>
          <w:p w14:paraId="564C8A4E"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Fitzroy</w:t>
            </w:r>
          </w:p>
        </w:tc>
        <w:tc>
          <w:tcPr>
            <w:tcW w:w="906" w:type="dxa"/>
            <w:shd w:val="clear" w:color="auto" w:fill="auto"/>
            <w:noWrap/>
            <w:vAlign w:val="bottom"/>
            <w:hideMark/>
          </w:tcPr>
          <w:p w14:paraId="5162C37A"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5</w:t>
            </w:r>
          </w:p>
        </w:tc>
        <w:tc>
          <w:tcPr>
            <w:tcW w:w="1134" w:type="dxa"/>
            <w:shd w:val="clear" w:color="auto" w:fill="auto"/>
            <w:noWrap/>
            <w:vAlign w:val="bottom"/>
            <w:hideMark/>
          </w:tcPr>
          <w:p w14:paraId="54F203CC"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6388993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23</w:t>
            </w:r>
          </w:p>
        </w:tc>
        <w:tc>
          <w:tcPr>
            <w:tcW w:w="1418" w:type="dxa"/>
            <w:shd w:val="clear" w:color="auto" w:fill="auto"/>
            <w:noWrap/>
            <w:vAlign w:val="bottom"/>
            <w:hideMark/>
          </w:tcPr>
          <w:p w14:paraId="0A6A2F8B"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6CA980F1" w14:textId="77777777" w:rsidTr="0094354F">
        <w:trPr>
          <w:jc w:val="center"/>
        </w:trPr>
        <w:tc>
          <w:tcPr>
            <w:tcW w:w="2600" w:type="dxa"/>
            <w:shd w:val="clear" w:color="auto" w:fill="auto"/>
            <w:noWrap/>
            <w:vAlign w:val="bottom"/>
            <w:hideMark/>
          </w:tcPr>
          <w:p w14:paraId="13F7AE92"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Mackay–Whitsunday</w:t>
            </w:r>
          </w:p>
        </w:tc>
        <w:tc>
          <w:tcPr>
            <w:tcW w:w="906" w:type="dxa"/>
            <w:shd w:val="clear" w:color="auto" w:fill="auto"/>
            <w:noWrap/>
            <w:vAlign w:val="bottom"/>
            <w:hideMark/>
          </w:tcPr>
          <w:p w14:paraId="1FF0D8AE"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28</w:t>
            </w:r>
          </w:p>
        </w:tc>
        <w:tc>
          <w:tcPr>
            <w:tcW w:w="1134" w:type="dxa"/>
            <w:shd w:val="clear" w:color="auto" w:fill="auto"/>
            <w:noWrap/>
            <w:vAlign w:val="bottom"/>
            <w:hideMark/>
          </w:tcPr>
          <w:p w14:paraId="75B5432E"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7</w:t>
            </w:r>
          </w:p>
        </w:tc>
        <w:tc>
          <w:tcPr>
            <w:tcW w:w="1597" w:type="dxa"/>
            <w:shd w:val="clear" w:color="auto" w:fill="auto"/>
            <w:noWrap/>
            <w:vAlign w:val="bottom"/>
            <w:hideMark/>
          </w:tcPr>
          <w:p w14:paraId="45DF2FDA"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29</w:t>
            </w:r>
          </w:p>
        </w:tc>
        <w:tc>
          <w:tcPr>
            <w:tcW w:w="1418" w:type="dxa"/>
            <w:shd w:val="clear" w:color="auto" w:fill="auto"/>
            <w:noWrap/>
            <w:vAlign w:val="bottom"/>
            <w:hideMark/>
          </w:tcPr>
          <w:p w14:paraId="1E3B86A7"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r>
      <w:tr w:rsidR="00D355BA" w:rsidRPr="00C716D8" w14:paraId="2EAA8E5B" w14:textId="77777777" w:rsidTr="0094354F">
        <w:trPr>
          <w:jc w:val="center"/>
        </w:trPr>
        <w:tc>
          <w:tcPr>
            <w:tcW w:w="2600" w:type="dxa"/>
            <w:tcBorders>
              <w:bottom w:val="nil"/>
            </w:tcBorders>
            <w:shd w:val="clear" w:color="auto" w:fill="auto"/>
            <w:noWrap/>
            <w:vAlign w:val="bottom"/>
            <w:hideMark/>
          </w:tcPr>
          <w:p w14:paraId="3DC49A4F"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Northern Wet Tropics</w:t>
            </w:r>
          </w:p>
        </w:tc>
        <w:tc>
          <w:tcPr>
            <w:tcW w:w="906" w:type="dxa"/>
            <w:tcBorders>
              <w:bottom w:val="nil"/>
            </w:tcBorders>
            <w:shd w:val="clear" w:color="auto" w:fill="auto"/>
            <w:noWrap/>
            <w:vAlign w:val="bottom"/>
            <w:hideMark/>
          </w:tcPr>
          <w:p w14:paraId="3A608CCF"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58</w:t>
            </w:r>
          </w:p>
        </w:tc>
        <w:tc>
          <w:tcPr>
            <w:tcW w:w="1134" w:type="dxa"/>
            <w:tcBorders>
              <w:bottom w:val="nil"/>
            </w:tcBorders>
            <w:shd w:val="clear" w:color="auto" w:fill="auto"/>
            <w:noWrap/>
            <w:vAlign w:val="bottom"/>
            <w:hideMark/>
          </w:tcPr>
          <w:p w14:paraId="2506BF50"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tcBorders>
              <w:bottom w:val="nil"/>
            </w:tcBorders>
            <w:shd w:val="clear" w:color="auto" w:fill="auto"/>
            <w:noWrap/>
            <w:vAlign w:val="bottom"/>
            <w:hideMark/>
          </w:tcPr>
          <w:p w14:paraId="0EE618F0"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69</w:t>
            </w:r>
          </w:p>
        </w:tc>
        <w:tc>
          <w:tcPr>
            <w:tcW w:w="1418" w:type="dxa"/>
            <w:tcBorders>
              <w:bottom w:val="nil"/>
            </w:tcBorders>
            <w:shd w:val="clear" w:color="auto" w:fill="auto"/>
            <w:noWrap/>
            <w:vAlign w:val="bottom"/>
            <w:hideMark/>
          </w:tcPr>
          <w:p w14:paraId="2C575D7F"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32</w:t>
            </w:r>
          </w:p>
        </w:tc>
      </w:tr>
      <w:tr w:rsidR="00D355BA" w:rsidRPr="00C716D8" w14:paraId="48541FA8" w14:textId="77777777" w:rsidTr="0094354F">
        <w:trPr>
          <w:jc w:val="center"/>
        </w:trPr>
        <w:tc>
          <w:tcPr>
            <w:tcW w:w="2600" w:type="dxa"/>
            <w:tcBorders>
              <w:top w:val="nil"/>
              <w:bottom w:val="single" w:sz="4" w:space="0" w:color="auto"/>
            </w:tcBorders>
            <w:shd w:val="clear" w:color="auto" w:fill="auto"/>
            <w:noWrap/>
            <w:vAlign w:val="bottom"/>
            <w:hideMark/>
          </w:tcPr>
          <w:p w14:paraId="6023FBE5"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Southern Wet Tropics</w:t>
            </w:r>
          </w:p>
        </w:tc>
        <w:tc>
          <w:tcPr>
            <w:tcW w:w="906" w:type="dxa"/>
            <w:tcBorders>
              <w:top w:val="nil"/>
              <w:bottom w:val="single" w:sz="4" w:space="0" w:color="auto"/>
            </w:tcBorders>
            <w:shd w:val="clear" w:color="auto" w:fill="auto"/>
            <w:noWrap/>
            <w:vAlign w:val="bottom"/>
            <w:hideMark/>
          </w:tcPr>
          <w:p w14:paraId="5F835AEE"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134" w:type="dxa"/>
            <w:tcBorders>
              <w:top w:val="nil"/>
              <w:bottom w:val="single" w:sz="4" w:space="0" w:color="auto"/>
            </w:tcBorders>
            <w:shd w:val="clear" w:color="auto" w:fill="auto"/>
            <w:noWrap/>
            <w:vAlign w:val="bottom"/>
            <w:hideMark/>
          </w:tcPr>
          <w:p w14:paraId="4D443507"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tcBorders>
              <w:top w:val="nil"/>
              <w:bottom w:val="single" w:sz="4" w:space="0" w:color="auto"/>
            </w:tcBorders>
            <w:shd w:val="clear" w:color="auto" w:fill="auto"/>
            <w:noWrap/>
            <w:vAlign w:val="bottom"/>
            <w:hideMark/>
          </w:tcPr>
          <w:p w14:paraId="4CB31BD8"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63</w:t>
            </w:r>
          </w:p>
        </w:tc>
        <w:tc>
          <w:tcPr>
            <w:tcW w:w="1418" w:type="dxa"/>
            <w:tcBorders>
              <w:top w:val="nil"/>
              <w:bottom w:val="single" w:sz="4" w:space="0" w:color="auto"/>
            </w:tcBorders>
            <w:shd w:val="clear" w:color="auto" w:fill="auto"/>
            <w:noWrap/>
            <w:vAlign w:val="bottom"/>
            <w:hideMark/>
          </w:tcPr>
          <w:p w14:paraId="0E400031"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28</w:t>
            </w:r>
          </w:p>
        </w:tc>
      </w:tr>
      <w:tr w:rsidR="00D355BA" w:rsidRPr="00C716D8" w14:paraId="3B20FC31" w14:textId="77777777" w:rsidTr="0094354F">
        <w:trPr>
          <w:jc w:val="center"/>
        </w:trPr>
        <w:tc>
          <w:tcPr>
            <w:tcW w:w="2600" w:type="dxa"/>
            <w:tcBorders>
              <w:top w:val="single" w:sz="4" w:space="0" w:color="auto"/>
            </w:tcBorders>
            <w:shd w:val="clear" w:color="auto" w:fill="auto"/>
            <w:noWrap/>
            <w:vAlign w:val="bottom"/>
          </w:tcPr>
          <w:p w14:paraId="5E4F5149" w14:textId="77777777" w:rsidR="00D355BA" w:rsidRPr="00F477BD" w:rsidRDefault="00D355BA" w:rsidP="0094354F">
            <w:pPr>
              <w:spacing w:before="0" w:after="0"/>
              <w:rPr>
                <w:rFonts w:cs="Arial"/>
                <w:i/>
                <w:color w:val="000000"/>
                <w:sz w:val="20"/>
                <w:szCs w:val="20"/>
              </w:rPr>
            </w:pPr>
            <w:r w:rsidRPr="00F477BD">
              <w:rPr>
                <w:rFonts w:cs="Arial"/>
                <w:i/>
                <w:color w:val="000000"/>
                <w:sz w:val="20"/>
                <w:szCs w:val="20"/>
              </w:rPr>
              <w:t>Zostera muelleri</w:t>
            </w:r>
          </w:p>
        </w:tc>
        <w:tc>
          <w:tcPr>
            <w:tcW w:w="906" w:type="dxa"/>
            <w:tcBorders>
              <w:top w:val="single" w:sz="4" w:space="0" w:color="auto"/>
            </w:tcBorders>
            <w:shd w:val="clear" w:color="auto" w:fill="auto"/>
            <w:noWrap/>
            <w:vAlign w:val="bottom"/>
          </w:tcPr>
          <w:p w14:paraId="23EE54E2" w14:textId="77777777" w:rsidR="00D355BA" w:rsidRPr="00F477BD" w:rsidRDefault="00D355BA" w:rsidP="0094354F">
            <w:pPr>
              <w:spacing w:before="0" w:after="0"/>
              <w:jc w:val="right"/>
              <w:rPr>
                <w:rFonts w:cs="Arial"/>
                <w:color w:val="000000"/>
                <w:sz w:val="20"/>
                <w:szCs w:val="20"/>
              </w:rPr>
            </w:pPr>
          </w:p>
        </w:tc>
        <w:tc>
          <w:tcPr>
            <w:tcW w:w="1134" w:type="dxa"/>
            <w:tcBorders>
              <w:top w:val="single" w:sz="4" w:space="0" w:color="auto"/>
            </w:tcBorders>
            <w:shd w:val="clear" w:color="auto" w:fill="auto"/>
            <w:noWrap/>
            <w:vAlign w:val="bottom"/>
          </w:tcPr>
          <w:p w14:paraId="093B2325" w14:textId="77777777" w:rsidR="00D355BA" w:rsidRPr="00F477BD" w:rsidRDefault="00D355BA" w:rsidP="0094354F">
            <w:pPr>
              <w:spacing w:before="0" w:after="0"/>
              <w:jc w:val="right"/>
              <w:rPr>
                <w:rFonts w:cs="Arial"/>
                <w:color w:val="000000"/>
                <w:sz w:val="20"/>
                <w:szCs w:val="20"/>
              </w:rPr>
            </w:pPr>
          </w:p>
        </w:tc>
        <w:tc>
          <w:tcPr>
            <w:tcW w:w="1597" w:type="dxa"/>
            <w:tcBorders>
              <w:top w:val="single" w:sz="4" w:space="0" w:color="auto"/>
            </w:tcBorders>
            <w:shd w:val="clear" w:color="auto" w:fill="auto"/>
            <w:noWrap/>
            <w:vAlign w:val="bottom"/>
          </w:tcPr>
          <w:p w14:paraId="3CBFE908" w14:textId="77777777" w:rsidR="00D355BA" w:rsidRPr="00F477BD" w:rsidRDefault="00D355BA" w:rsidP="0094354F">
            <w:pPr>
              <w:spacing w:before="0" w:after="0"/>
              <w:jc w:val="right"/>
              <w:rPr>
                <w:rFonts w:cs="Arial"/>
                <w:color w:val="000000"/>
                <w:sz w:val="20"/>
                <w:szCs w:val="20"/>
              </w:rPr>
            </w:pPr>
          </w:p>
        </w:tc>
        <w:tc>
          <w:tcPr>
            <w:tcW w:w="1418" w:type="dxa"/>
            <w:tcBorders>
              <w:top w:val="single" w:sz="4" w:space="0" w:color="auto"/>
            </w:tcBorders>
            <w:shd w:val="clear" w:color="auto" w:fill="auto"/>
            <w:noWrap/>
            <w:vAlign w:val="bottom"/>
          </w:tcPr>
          <w:p w14:paraId="295BA04A" w14:textId="77777777" w:rsidR="00D355BA" w:rsidRPr="00F477BD" w:rsidRDefault="00D355BA" w:rsidP="0094354F">
            <w:pPr>
              <w:spacing w:before="0" w:after="0"/>
              <w:jc w:val="right"/>
              <w:rPr>
                <w:rFonts w:cs="Arial"/>
                <w:color w:val="000000"/>
                <w:sz w:val="20"/>
                <w:szCs w:val="20"/>
              </w:rPr>
            </w:pPr>
          </w:p>
        </w:tc>
      </w:tr>
      <w:tr w:rsidR="00D355BA" w:rsidRPr="00C716D8" w14:paraId="32D7A032" w14:textId="77777777" w:rsidTr="0094354F">
        <w:trPr>
          <w:jc w:val="center"/>
        </w:trPr>
        <w:tc>
          <w:tcPr>
            <w:tcW w:w="2600" w:type="dxa"/>
            <w:shd w:val="clear" w:color="auto" w:fill="auto"/>
            <w:noWrap/>
            <w:vAlign w:val="bottom"/>
            <w:hideMark/>
          </w:tcPr>
          <w:p w14:paraId="7B77BE50"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Burdekin</w:t>
            </w:r>
          </w:p>
        </w:tc>
        <w:tc>
          <w:tcPr>
            <w:tcW w:w="906" w:type="dxa"/>
            <w:shd w:val="clear" w:color="auto" w:fill="auto"/>
            <w:noWrap/>
            <w:vAlign w:val="bottom"/>
            <w:hideMark/>
          </w:tcPr>
          <w:p w14:paraId="3BCCED16"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24</w:t>
            </w:r>
          </w:p>
        </w:tc>
        <w:tc>
          <w:tcPr>
            <w:tcW w:w="1134" w:type="dxa"/>
            <w:shd w:val="clear" w:color="auto" w:fill="auto"/>
            <w:noWrap/>
            <w:vAlign w:val="bottom"/>
            <w:hideMark/>
          </w:tcPr>
          <w:p w14:paraId="3FB03FBB"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597" w:type="dxa"/>
            <w:shd w:val="clear" w:color="auto" w:fill="auto"/>
            <w:noWrap/>
            <w:vAlign w:val="bottom"/>
            <w:hideMark/>
          </w:tcPr>
          <w:p w14:paraId="6789C17F"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418" w:type="dxa"/>
            <w:shd w:val="clear" w:color="auto" w:fill="auto"/>
            <w:noWrap/>
            <w:vAlign w:val="bottom"/>
            <w:hideMark/>
          </w:tcPr>
          <w:p w14:paraId="2AD119CD"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48F67A47" w14:textId="77777777" w:rsidTr="0094354F">
        <w:trPr>
          <w:jc w:val="center"/>
        </w:trPr>
        <w:tc>
          <w:tcPr>
            <w:tcW w:w="2600" w:type="dxa"/>
            <w:shd w:val="clear" w:color="auto" w:fill="auto"/>
            <w:noWrap/>
            <w:vAlign w:val="bottom"/>
            <w:hideMark/>
          </w:tcPr>
          <w:p w14:paraId="15296606"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Burnett–Mary</w:t>
            </w:r>
          </w:p>
        </w:tc>
        <w:tc>
          <w:tcPr>
            <w:tcW w:w="906" w:type="dxa"/>
            <w:shd w:val="clear" w:color="auto" w:fill="auto"/>
            <w:noWrap/>
            <w:vAlign w:val="bottom"/>
            <w:hideMark/>
          </w:tcPr>
          <w:p w14:paraId="703BAF12"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134" w:type="dxa"/>
            <w:shd w:val="clear" w:color="auto" w:fill="auto"/>
            <w:noWrap/>
            <w:vAlign w:val="bottom"/>
            <w:hideMark/>
          </w:tcPr>
          <w:p w14:paraId="3CB83CE6"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82</w:t>
            </w:r>
          </w:p>
        </w:tc>
        <w:tc>
          <w:tcPr>
            <w:tcW w:w="1597" w:type="dxa"/>
            <w:shd w:val="clear" w:color="auto" w:fill="auto"/>
            <w:noWrap/>
            <w:vAlign w:val="bottom"/>
            <w:hideMark/>
          </w:tcPr>
          <w:p w14:paraId="03052B09"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0</w:t>
            </w:r>
          </w:p>
        </w:tc>
        <w:tc>
          <w:tcPr>
            <w:tcW w:w="1418" w:type="dxa"/>
            <w:shd w:val="clear" w:color="auto" w:fill="auto"/>
            <w:noWrap/>
            <w:vAlign w:val="bottom"/>
            <w:hideMark/>
          </w:tcPr>
          <w:p w14:paraId="7850A5D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3CDA146D" w14:textId="77777777" w:rsidTr="0094354F">
        <w:trPr>
          <w:jc w:val="center"/>
        </w:trPr>
        <w:tc>
          <w:tcPr>
            <w:tcW w:w="2600" w:type="dxa"/>
            <w:shd w:val="clear" w:color="auto" w:fill="auto"/>
            <w:noWrap/>
            <w:vAlign w:val="bottom"/>
            <w:hideMark/>
          </w:tcPr>
          <w:p w14:paraId="32BDD27B"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Cape York</w:t>
            </w:r>
          </w:p>
        </w:tc>
        <w:tc>
          <w:tcPr>
            <w:tcW w:w="906" w:type="dxa"/>
            <w:shd w:val="clear" w:color="auto" w:fill="auto"/>
            <w:noWrap/>
            <w:vAlign w:val="bottom"/>
            <w:hideMark/>
          </w:tcPr>
          <w:p w14:paraId="3740869C"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17</w:t>
            </w:r>
          </w:p>
        </w:tc>
        <w:tc>
          <w:tcPr>
            <w:tcW w:w="1134" w:type="dxa"/>
            <w:shd w:val="clear" w:color="auto" w:fill="auto"/>
            <w:noWrap/>
            <w:vAlign w:val="bottom"/>
            <w:hideMark/>
          </w:tcPr>
          <w:p w14:paraId="4178E4EA"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55F2C178"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418" w:type="dxa"/>
            <w:shd w:val="clear" w:color="auto" w:fill="auto"/>
            <w:noWrap/>
            <w:vAlign w:val="bottom"/>
            <w:hideMark/>
          </w:tcPr>
          <w:p w14:paraId="5CF4F7FA"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3026B7B7" w14:textId="77777777" w:rsidTr="0094354F">
        <w:trPr>
          <w:jc w:val="center"/>
        </w:trPr>
        <w:tc>
          <w:tcPr>
            <w:tcW w:w="2600" w:type="dxa"/>
            <w:shd w:val="clear" w:color="auto" w:fill="auto"/>
            <w:noWrap/>
            <w:vAlign w:val="bottom"/>
            <w:hideMark/>
          </w:tcPr>
          <w:p w14:paraId="154E74F0"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Fitzroy</w:t>
            </w:r>
          </w:p>
        </w:tc>
        <w:tc>
          <w:tcPr>
            <w:tcW w:w="906" w:type="dxa"/>
            <w:shd w:val="clear" w:color="auto" w:fill="auto"/>
            <w:noWrap/>
            <w:vAlign w:val="bottom"/>
            <w:hideMark/>
          </w:tcPr>
          <w:p w14:paraId="7DE8DEC5"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36</w:t>
            </w:r>
          </w:p>
        </w:tc>
        <w:tc>
          <w:tcPr>
            <w:tcW w:w="1134" w:type="dxa"/>
            <w:shd w:val="clear" w:color="auto" w:fill="auto"/>
            <w:noWrap/>
            <w:vAlign w:val="bottom"/>
            <w:hideMark/>
          </w:tcPr>
          <w:p w14:paraId="69B7259F"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48</w:t>
            </w:r>
          </w:p>
        </w:tc>
        <w:tc>
          <w:tcPr>
            <w:tcW w:w="1597" w:type="dxa"/>
            <w:shd w:val="clear" w:color="auto" w:fill="auto"/>
            <w:noWrap/>
            <w:vAlign w:val="bottom"/>
            <w:hideMark/>
          </w:tcPr>
          <w:p w14:paraId="322B40EB"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25</w:t>
            </w:r>
          </w:p>
        </w:tc>
        <w:tc>
          <w:tcPr>
            <w:tcW w:w="1418" w:type="dxa"/>
            <w:shd w:val="clear" w:color="auto" w:fill="auto"/>
            <w:noWrap/>
            <w:vAlign w:val="bottom"/>
            <w:hideMark/>
          </w:tcPr>
          <w:p w14:paraId="4066506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3CB812D5" w14:textId="77777777" w:rsidTr="0094354F">
        <w:trPr>
          <w:jc w:val="center"/>
        </w:trPr>
        <w:tc>
          <w:tcPr>
            <w:tcW w:w="2600" w:type="dxa"/>
            <w:shd w:val="clear" w:color="auto" w:fill="auto"/>
            <w:noWrap/>
            <w:vAlign w:val="bottom"/>
            <w:hideMark/>
          </w:tcPr>
          <w:p w14:paraId="5862A179" w14:textId="77777777" w:rsidR="00D355BA" w:rsidRPr="00C716D8" w:rsidRDefault="00D355BA" w:rsidP="0094354F">
            <w:pPr>
              <w:spacing w:before="0" w:after="0"/>
              <w:ind w:left="173"/>
              <w:rPr>
                <w:rFonts w:cs="Arial"/>
                <w:color w:val="000000"/>
                <w:sz w:val="20"/>
                <w:szCs w:val="20"/>
              </w:rPr>
            </w:pPr>
            <w:r>
              <w:rPr>
                <w:rFonts w:cs="Arial"/>
                <w:color w:val="000000"/>
                <w:sz w:val="20"/>
                <w:szCs w:val="20"/>
              </w:rPr>
              <w:t>Mackay–Whitsunday</w:t>
            </w:r>
          </w:p>
        </w:tc>
        <w:tc>
          <w:tcPr>
            <w:tcW w:w="906" w:type="dxa"/>
            <w:shd w:val="clear" w:color="auto" w:fill="auto"/>
            <w:noWrap/>
            <w:vAlign w:val="bottom"/>
            <w:hideMark/>
          </w:tcPr>
          <w:p w14:paraId="5AD98F6C"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57</w:t>
            </w:r>
          </w:p>
        </w:tc>
        <w:tc>
          <w:tcPr>
            <w:tcW w:w="1134" w:type="dxa"/>
            <w:shd w:val="clear" w:color="auto" w:fill="auto"/>
            <w:noWrap/>
            <w:vAlign w:val="bottom"/>
            <w:hideMark/>
          </w:tcPr>
          <w:p w14:paraId="676014B9"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53</w:t>
            </w:r>
          </w:p>
        </w:tc>
        <w:tc>
          <w:tcPr>
            <w:tcW w:w="1597" w:type="dxa"/>
            <w:shd w:val="clear" w:color="auto" w:fill="auto"/>
            <w:noWrap/>
            <w:vAlign w:val="bottom"/>
            <w:hideMark/>
          </w:tcPr>
          <w:p w14:paraId="6C07EC06" w14:textId="77777777" w:rsidR="00D355BA" w:rsidRPr="00C716D8" w:rsidRDefault="00D355BA" w:rsidP="0094354F">
            <w:pPr>
              <w:spacing w:before="0" w:after="0"/>
              <w:jc w:val="right"/>
              <w:rPr>
                <w:rFonts w:cs="Arial"/>
                <w:color w:val="000000"/>
                <w:sz w:val="20"/>
                <w:szCs w:val="20"/>
              </w:rPr>
            </w:pPr>
            <w:r w:rsidRPr="00C716D8">
              <w:rPr>
                <w:rFonts w:cs="Arial"/>
                <w:color w:val="000000"/>
                <w:sz w:val="20"/>
                <w:szCs w:val="20"/>
              </w:rPr>
              <w:t>23</w:t>
            </w:r>
          </w:p>
        </w:tc>
        <w:tc>
          <w:tcPr>
            <w:tcW w:w="1418" w:type="dxa"/>
            <w:shd w:val="clear" w:color="auto" w:fill="auto"/>
            <w:noWrap/>
            <w:vAlign w:val="bottom"/>
            <w:hideMark/>
          </w:tcPr>
          <w:p w14:paraId="06F694D3"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52A84AE0" w14:textId="77777777" w:rsidTr="0094354F">
        <w:trPr>
          <w:jc w:val="center"/>
        </w:trPr>
        <w:tc>
          <w:tcPr>
            <w:tcW w:w="2600" w:type="dxa"/>
            <w:shd w:val="clear" w:color="auto" w:fill="auto"/>
            <w:noWrap/>
            <w:vAlign w:val="bottom"/>
            <w:hideMark/>
          </w:tcPr>
          <w:p w14:paraId="7CB74759"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t>Northern Wet Tropics</w:t>
            </w:r>
          </w:p>
        </w:tc>
        <w:tc>
          <w:tcPr>
            <w:tcW w:w="906" w:type="dxa"/>
            <w:shd w:val="clear" w:color="auto" w:fill="auto"/>
            <w:noWrap/>
            <w:vAlign w:val="bottom"/>
            <w:hideMark/>
          </w:tcPr>
          <w:p w14:paraId="1E391699"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134" w:type="dxa"/>
            <w:shd w:val="clear" w:color="auto" w:fill="auto"/>
            <w:noWrap/>
            <w:vAlign w:val="bottom"/>
            <w:hideMark/>
          </w:tcPr>
          <w:p w14:paraId="0F24A967"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0C838247"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418" w:type="dxa"/>
            <w:shd w:val="clear" w:color="auto" w:fill="auto"/>
            <w:noWrap/>
            <w:vAlign w:val="bottom"/>
            <w:hideMark/>
          </w:tcPr>
          <w:p w14:paraId="2C299790"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r w:rsidR="00D355BA" w:rsidRPr="00C716D8" w14:paraId="1DD2209C" w14:textId="77777777" w:rsidTr="0094354F">
        <w:trPr>
          <w:jc w:val="center"/>
        </w:trPr>
        <w:tc>
          <w:tcPr>
            <w:tcW w:w="2600" w:type="dxa"/>
            <w:shd w:val="clear" w:color="auto" w:fill="auto"/>
            <w:noWrap/>
            <w:vAlign w:val="bottom"/>
            <w:hideMark/>
          </w:tcPr>
          <w:p w14:paraId="1D4D4BDE" w14:textId="77777777" w:rsidR="00D355BA" w:rsidRPr="00C716D8" w:rsidRDefault="00D355BA" w:rsidP="0094354F">
            <w:pPr>
              <w:spacing w:before="0" w:after="0"/>
              <w:ind w:left="173"/>
              <w:rPr>
                <w:rFonts w:cs="Arial"/>
                <w:color w:val="000000"/>
                <w:sz w:val="20"/>
                <w:szCs w:val="20"/>
              </w:rPr>
            </w:pPr>
            <w:r w:rsidRPr="00C716D8">
              <w:rPr>
                <w:rFonts w:cs="Arial"/>
                <w:color w:val="000000"/>
                <w:sz w:val="20"/>
                <w:szCs w:val="20"/>
              </w:rPr>
              <w:lastRenderedPageBreak/>
              <w:t>Southern Wet Tropics</w:t>
            </w:r>
          </w:p>
        </w:tc>
        <w:tc>
          <w:tcPr>
            <w:tcW w:w="906" w:type="dxa"/>
            <w:shd w:val="clear" w:color="auto" w:fill="auto"/>
            <w:noWrap/>
            <w:vAlign w:val="bottom"/>
            <w:hideMark/>
          </w:tcPr>
          <w:p w14:paraId="39644AFB"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134" w:type="dxa"/>
            <w:shd w:val="clear" w:color="auto" w:fill="auto"/>
            <w:noWrap/>
            <w:vAlign w:val="bottom"/>
            <w:hideMark/>
          </w:tcPr>
          <w:p w14:paraId="579D5606"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597" w:type="dxa"/>
            <w:shd w:val="clear" w:color="auto" w:fill="auto"/>
            <w:noWrap/>
            <w:vAlign w:val="bottom"/>
            <w:hideMark/>
          </w:tcPr>
          <w:p w14:paraId="49FA1206"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c>
          <w:tcPr>
            <w:tcW w:w="1418" w:type="dxa"/>
            <w:shd w:val="clear" w:color="auto" w:fill="auto"/>
            <w:noWrap/>
            <w:vAlign w:val="bottom"/>
            <w:hideMark/>
          </w:tcPr>
          <w:p w14:paraId="199254F6" w14:textId="77777777" w:rsidR="00D355BA" w:rsidRPr="00C716D8" w:rsidRDefault="00D355BA" w:rsidP="0094354F">
            <w:pPr>
              <w:spacing w:before="0" w:after="0"/>
              <w:jc w:val="right"/>
              <w:rPr>
                <w:rFonts w:cs="Arial"/>
                <w:color w:val="7F7F7F" w:themeColor="text1" w:themeTint="80"/>
                <w:sz w:val="20"/>
                <w:szCs w:val="20"/>
              </w:rPr>
            </w:pPr>
            <w:r w:rsidRPr="00C716D8">
              <w:rPr>
                <w:rFonts w:cs="Arial"/>
                <w:color w:val="7F7F7F" w:themeColor="text1" w:themeTint="80"/>
                <w:sz w:val="20"/>
                <w:szCs w:val="20"/>
              </w:rPr>
              <w:t>0</w:t>
            </w:r>
          </w:p>
        </w:tc>
      </w:tr>
    </w:tbl>
    <w:p w14:paraId="2139BFD7" w14:textId="77777777" w:rsidR="00D355BA" w:rsidRDefault="00D355BA" w:rsidP="00D355BA">
      <w:pPr>
        <w:rPr>
          <w:lang w:val="en-GB"/>
        </w:rPr>
      </w:pPr>
    </w:p>
    <w:p w14:paraId="3F81534D" w14:textId="77777777" w:rsidR="00D355BA" w:rsidRPr="00C716D8" w:rsidRDefault="00D355BA" w:rsidP="00D355BA">
      <w:pPr>
        <w:rPr>
          <w:lang w:val="en-GB"/>
        </w:rPr>
      </w:pPr>
    </w:p>
    <w:bookmarkEnd w:id="847"/>
    <w:bookmarkEnd w:id="848"/>
    <w:p w14:paraId="5F6593A7" w14:textId="77777777" w:rsidR="00D355BA" w:rsidRPr="001F0E92" w:rsidRDefault="00D355BA" w:rsidP="00D355BA">
      <w:pPr>
        <w:jc w:val="center"/>
        <w:rPr>
          <w:rFonts w:cs="Arial"/>
          <w:szCs w:val="22"/>
          <w:lang w:val="en-GB"/>
        </w:rPr>
      </w:pPr>
      <w:r>
        <w:rPr>
          <w:rFonts w:cs="Arial"/>
          <w:noProof/>
          <w:szCs w:val="22"/>
          <w:lang w:eastAsia="en-AU"/>
        </w:rPr>
        <w:drawing>
          <wp:inline distT="0" distB="0" distL="0" distR="0" wp14:anchorId="10FC0585" wp14:editId="2F6C71D2">
            <wp:extent cx="5078880" cy="6032500"/>
            <wp:effectExtent l="0" t="0" r="7620" b="6350"/>
            <wp:docPr id="22" name="Picture 22" descr="Maps showing location of the MMP seagrass sites (circles) and water quality stations (purple triangles) in the World Heritage Area and Natural Resource Management regions including major rivers (blu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p.png"/>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5082816" cy="6037175"/>
                    </a:xfrm>
                    <a:prstGeom prst="rect">
                      <a:avLst/>
                    </a:prstGeom>
                  </pic:spPr>
                </pic:pic>
              </a:graphicData>
            </a:graphic>
          </wp:inline>
        </w:drawing>
      </w:r>
    </w:p>
    <w:p w14:paraId="56DE4FF9" w14:textId="77777777" w:rsidR="00D355BA" w:rsidRDefault="00D355BA" w:rsidP="00D355BA">
      <w:pPr>
        <w:rPr>
          <w:rFonts w:cs="Arial"/>
          <w:szCs w:val="22"/>
        </w:rPr>
      </w:pPr>
      <w:r w:rsidRPr="00867E8C">
        <w:rPr>
          <w:rFonts w:eastAsia="SimSun" w:cs="Arial"/>
          <w:szCs w:val="22"/>
          <w:lang w:val="en-GB"/>
        </w:rPr>
        <w:t xml:space="preserve">Figure 1. </w:t>
      </w:r>
      <w:r w:rsidRPr="00965259">
        <w:rPr>
          <w:rFonts w:eastAsia="SimSun" w:cs="Arial"/>
          <w:i/>
          <w:szCs w:val="22"/>
          <w:lang w:val="en-GB"/>
        </w:rPr>
        <w:t>Maps showing location of the MMP seagrass sites (circles) and water quality stations (purple triangles).</w:t>
      </w:r>
      <w:r>
        <w:rPr>
          <w:rFonts w:eastAsia="SimSun" w:cs="Arial"/>
          <w:szCs w:val="22"/>
          <w:lang w:val="en-GB"/>
        </w:rPr>
        <w:t xml:space="preserve"> </w:t>
      </w:r>
    </w:p>
    <w:p w14:paraId="29AEE949" w14:textId="77777777" w:rsidR="00D355BA" w:rsidRDefault="00D355BA" w:rsidP="00D355BA">
      <w:pPr>
        <w:rPr>
          <w:rFonts w:cs="Arial"/>
          <w:szCs w:val="22"/>
        </w:rPr>
      </w:pPr>
    </w:p>
    <w:p w14:paraId="36386997" w14:textId="77777777" w:rsidR="00D355BA" w:rsidRPr="00941BDB" w:rsidRDefault="00D355BA" w:rsidP="00D355BA">
      <w:pPr>
        <w:pStyle w:val="Heading4"/>
        <w:numPr>
          <w:ilvl w:val="0"/>
          <w:numId w:val="0"/>
        </w:numPr>
      </w:pPr>
      <w:bookmarkStart w:id="849" w:name="_Toc43987108"/>
      <w:r w:rsidRPr="00941BDB">
        <w:lastRenderedPageBreak/>
        <w:t>Statistical analysis</w:t>
      </w:r>
      <w:bookmarkEnd w:id="849"/>
    </w:p>
    <w:p w14:paraId="2D37980E" w14:textId="77777777" w:rsidR="00D355BA" w:rsidRDefault="00D355BA" w:rsidP="00D355BA">
      <w:pPr>
        <w:pStyle w:val="Caption"/>
        <w:spacing w:after="0"/>
        <w:rPr>
          <w:rFonts w:eastAsia="Times New Roman" w:cs="Arial"/>
          <w:szCs w:val="22"/>
          <w:lang w:val="en-AU"/>
        </w:rPr>
      </w:pPr>
      <w:r>
        <w:rPr>
          <w:rFonts w:eastAsia="Times New Roman" w:cs="Arial"/>
          <w:szCs w:val="22"/>
          <w:lang w:val="en-AU"/>
        </w:rPr>
        <w:t>Three</w:t>
      </w:r>
      <w:r w:rsidRPr="004A409C">
        <w:rPr>
          <w:rFonts w:eastAsia="Times New Roman" w:cs="Arial"/>
          <w:szCs w:val="22"/>
          <w:lang w:val="en-AU"/>
        </w:rPr>
        <w:t xml:space="preserve"> modelling frameworks were explored to assess the influence of </w:t>
      </w:r>
      <w:r>
        <w:rPr>
          <w:rFonts w:eastAsia="Times New Roman" w:cs="Arial"/>
          <w:szCs w:val="22"/>
          <w:lang w:val="en-AU"/>
        </w:rPr>
        <w:t>water quality</w:t>
      </w:r>
      <w:r w:rsidRPr="004A409C">
        <w:rPr>
          <w:rFonts w:eastAsia="Times New Roman" w:cs="Arial"/>
          <w:szCs w:val="22"/>
          <w:lang w:val="en-AU"/>
        </w:rPr>
        <w:t xml:space="preserve"> on leaf C:N ratio</w:t>
      </w:r>
      <w:r>
        <w:rPr>
          <w:rFonts w:eastAsia="Times New Roman" w:cs="Arial"/>
          <w:szCs w:val="22"/>
          <w:lang w:val="en-AU"/>
        </w:rPr>
        <w:t xml:space="preserve"> and a fourth analysis testing the effectiveness of C:N as an early-warning indicator</w:t>
      </w:r>
      <w:r w:rsidRPr="004A409C">
        <w:rPr>
          <w:rFonts w:eastAsia="Times New Roman" w:cs="Arial"/>
          <w:szCs w:val="22"/>
          <w:lang w:val="en-AU"/>
        </w:rPr>
        <w:t xml:space="preserve">. These were: </w:t>
      </w:r>
    </w:p>
    <w:p w14:paraId="48D10E87" w14:textId="77777777" w:rsidR="00D355BA" w:rsidRPr="005A755D" w:rsidRDefault="00D355BA" w:rsidP="00D355BA">
      <w:pPr>
        <w:pStyle w:val="Caption"/>
        <w:numPr>
          <w:ilvl w:val="0"/>
          <w:numId w:val="28"/>
        </w:numPr>
        <w:spacing w:before="120" w:line="240" w:lineRule="auto"/>
        <w:ind w:left="1077"/>
        <w:rPr>
          <w:rFonts w:cs="Arial"/>
          <w:szCs w:val="22"/>
        </w:rPr>
      </w:pPr>
      <w:r w:rsidRPr="005A755D">
        <w:rPr>
          <w:rFonts w:eastAsia="Times New Roman" w:cs="Arial"/>
          <w:szCs w:val="22"/>
          <w:lang w:val="en-AU"/>
        </w:rPr>
        <w:t xml:space="preserve">a parametric Generalized Linear Model (GLM) </w:t>
      </w:r>
      <w:r>
        <w:rPr>
          <w:rFonts w:eastAsia="Times New Roman" w:cs="Arial"/>
          <w:szCs w:val="22"/>
          <w:lang w:val="en-AU"/>
        </w:rPr>
        <w:t>on a Gamma family with link log</w:t>
      </w:r>
    </w:p>
    <w:p w14:paraId="172728C9" w14:textId="77777777" w:rsidR="00D355BA" w:rsidRPr="005A755D" w:rsidRDefault="00D355BA" w:rsidP="00D355BA">
      <w:pPr>
        <w:pStyle w:val="Caption"/>
        <w:numPr>
          <w:ilvl w:val="0"/>
          <w:numId w:val="28"/>
        </w:numPr>
        <w:spacing w:before="120" w:line="240" w:lineRule="auto"/>
        <w:ind w:left="1077"/>
        <w:rPr>
          <w:rFonts w:cs="Arial"/>
          <w:szCs w:val="22"/>
        </w:rPr>
      </w:pPr>
      <w:r w:rsidRPr="005A755D">
        <w:rPr>
          <w:rFonts w:eastAsia="Times New Roman" w:cs="Arial"/>
          <w:szCs w:val="22"/>
          <w:lang w:val="en-AU"/>
        </w:rPr>
        <w:t>non-parametric statistic</w:t>
      </w:r>
      <w:r>
        <w:rPr>
          <w:rFonts w:eastAsia="Times New Roman" w:cs="Arial"/>
          <w:szCs w:val="22"/>
          <w:lang w:val="en-AU"/>
        </w:rPr>
        <w:t>al models (Tree analysis)</w:t>
      </w:r>
    </w:p>
    <w:p w14:paraId="54547565" w14:textId="77777777" w:rsidR="00D355BA" w:rsidRDefault="00D355BA" w:rsidP="00D355BA">
      <w:pPr>
        <w:pStyle w:val="Caption"/>
        <w:numPr>
          <w:ilvl w:val="0"/>
          <w:numId w:val="28"/>
        </w:numPr>
        <w:spacing w:before="120" w:line="240" w:lineRule="auto"/>
        <w:ind w:left="1077"/>
        <w:rPr>
          <w:rFonts w:cs="Arial"/>
          <w:szCs w:val="22"/>
        </w:rPr>
      </w:pPr>
      <w:r w:rsidRPr="005A755D">
        <w:rPr>
          <w:rFonts w:cs="Arial"/>
          <w:szCs w:val="22"/>
        </w:rPr>
        <w:t xml:space="preserve">explorative correlations of </w:t>
      </w:r>
      <w:r w:rsidRPr="005A755D">
        <w:rPr>
          <w:rFonts w:cs="Arial"/>
          <w:i/>
          <w:szCs w:val="22"/>
        </w:rPr>
        <w:t>in situ</w:t>
      </w:r>
      <w:r w:rsidRPr="005A755D">
        <w:rPr>
          <w:rFonts w:cs="Arial"/>
          <w:szCs w:val="22"/>
        </w:rPr>
        <w:t xml:space="preserve"> water qua</w:t>
      </w:r>
      <w:r>
        <w:rPr>
          <w:rFonts w:cs="Arial"/>
          <w:szCs w:val="22"/>
        </w:rPr>
        <w:t>lity and C:N at reef sites</w:t>
      </w:r>
    </w:p>
    <w:p w14:paraId="47287D61" w14:textId="77777777" w:rsidR="00D355BA" w:rsidRPr="005A755D" w:rsidRDefault="00D355BA" w:rsidP="00D355BA">
      <w:pPr>
        <w:pStyle w:val="Caption"/>
        <w:numPr>
          <w:ilvl w:val="0"/>
          <w:numId w:val="28"/>
        </w:numPr>
        <w:spacing w:before="120" w:line="240" w:lineRule="auto"/>
        <w:ind w:left="1077"/>
        <w:rPr>
          <w:rFonts w:cs="Arial"/>
          <w:szCs w:val="22"/>
        </w:rPr>
      </w:pPr>
      <w:r w:rsidRPr="005A755D">
        <w:rPr>
          <w:rFonts w:cs="Arial"/>
          <w:szCs w:val="22"/>
        </w:rPr>
        <w:t xml:space="preserve">exploratory analysis of C:N in relation to changes in seagrass per cent cover. </w:t>
      </w:r>
    </w:p>
    <w:p w14:paraId="775EDC55" w14:textId="77777777" w:rsidR="00D355BA" w:rsidRPr="00A60A85" w:rsidRDefault="00D355BA" w:rsidP="00D355BA">
      <w:pPr>
        <w:pStyle w:val="Caption"/>
        <w:rPr>
          <w:rFonts w:eastAsia="Times New Roman" w:cs="Arial"/>
          <w:szCs w:val="22"/>
          <w:lang w:val="en-AU"/>
        </w:rPr>
      </w:pPr>
      <w:r w:rsidRPr="004A409C">
        <w:rPr>
          <w:rFonts w:eastAsia="Times New Roman" w:cs="Arial"/>
          <w:szCs w:val="22"/>
          <w:lang w:val="en-AU"/>
        </w:rPr>
        <w:t xml:space="preserve">All analysis was conducted in R Studio version 1.1.463. </w:t>
      </w:r>
    </w:p>
    <w:p w14:paraId="0D37B0E1" w14:textId="77777777" w:rsidR="00D355BA" w:rsidRPr="00941BDB" w:rsidRDefault="00D355BA" w:rsidP="00D355BA">
      <w:pPr>
        <w:pStyle w:val="ListParagraph"/>
        <w:numPr>
          <w:ilvl w:val="0"/>
          <w:numId w:val="47"/>
        </w:numPr>
        <w:ind w:left="426" w:hanging="426"/>
        <w:rPr>
          <w:i/>
        </w:rPr>
      </w:pPr>
      <w:r w:rsidRPr="00941BDB">
        <w:rPr>
          <w:i/>
        </w:rPr>
        <w:t>Generalized linear models</w:t>
      </w:r>
    </w:p>
    <w:p w14:paraId="2C894EED" w14:textId="77777777" w:rsidR="00D355BA" w:rsidRDefault="00D355BA" w:rsidP="00D355BA">
      <w:pPr>
        <w:pStyle w:val="Caption"/>
        <w:rPr>
          <w:rFonts w:eastAsia="Times New Roman" w:cs="Arial"/>
          <w:szCs w:val="22"/>
          <w:lang w:val="en-AU"/>
        </w:rPr>
      </w:pPr>
      <w:r>
        <w:rPr>
          <w:rFonts w:eastAsia="Times New Roman" w:cs="Arial"/>
          <w:szCs w:val="22"/>
          <w:lang w:val="en-AU"/>
        </w:rPr>
        <w:t>A</w:t>
      </w:r>
      <w:r w:rsidRPr="004A409C">
        <w:rPr>
          <w:rFonts w:eastAsia="Times New Roman" w:cs="Arial"/>
          <w:szCs w:val="22"/>
          <w:lang w:val="en-AU"/>
        </w:rPr>
        <w:t xml:space="preserve"> GLM model on the </w:t>
      </w:r>
      <w:r>
        <w:rPr>
          <w:rFonts w:eastAsia="Times New Roman" w:cs="Arial"/>
          <w:szCs w:val="22"/>
          <w:lang w:val="en-AU"/>
        </w:rPr>
        <w:t>C:N was run with data</w:t>
      </w:r>
      <w:r w:rsidRPr="004A409C">
        <w:rPr>
          <w:rFonts w:eastAsia="Times New Roman" w:cs="Arial"/>
          <w:szCs w:val="22"/>
          <w:lang w:val="en-AU"/>
        </w:rPr>
        <w:t xml:space="preserve"> </w:t>
      </w:r>
      <w:r>
        <w:rPr>
          <w:rFonts w:eastAsia="Times New Roman" w:cs="Arial"/>
          <w:szCs w:val="22"/>
          <w:lang w:val="en-AU"/>
        </w:rPr>
        <w:t xml:space="preserve">for </w:t>
      </w:r>
      <w:r w:rsidRPr="004A409C">
        <w:rPr>
          <w:rFonts w:eastAsia="Times New Roman" w:cs="Arial"/>
          <w:szCs w:val="22"/>
          <w:lang w:val="en-AU"/>
        </w:rPr>
        <w:t>all species pooled.</w:t>
      </w:r>
      <w:r>
        <w:rPr>
          <w:rFonts w:eastAsia="Times New Roman" w:cs="Arial"/>
          <w:szCs w:val="22"/>
          <w:lang w:val="en-AU"/>
        </w:rPr>
        <w:t xml:space="preserve"> The addition of Location, Sites and Species as random effects were investigated but had to be dropped because of too many convergence issues resulting in over-estimated confidence interval estimations, in particular for high DIN range. This is mostly due to the unbalanced nature of this dataset amongst the random effects variables. The fixed factor estimates were still very similar between the two models and the only potential incidence is a slight under-estimation of the prediction confidence intervals but this should not alter the main trends for our interpretation in the context of this case study. </w:t>
      </w:r>
    </w:p>
    <w:p w14:paraId="2AA5B3DD" w14:textId="77777777" w:rsidR="00D355BA" w:rsidRDefault="00D355BA" w:rsidP="00D355BA">
      <w:pPr>
        <w:pStyle w:val="Caption"/>
        <w:rPr>
          <w:rFonts w:eastAsia="Times New Roman" w:cs="Arial"/>
          <w:szCs w:val="22"/>
          <w:lang w:val="en-AU"/>
        </w:rPr>
      </w:pPr>
      <w:r>
        <w:rPr>
          <w:rFonts w:eastAsia="Times New Roman" w:cs="Arial"/>
          <w:szCs w:val="22"/>
          <w:lang w:val="en-AU"/>
        </w:rPr>
        <w:t>The models tested included the predictor variables (all continuous variables showed low levels of correlation):</w:t>
      </w:r>
    </w:p>
    <w:p w14:paraId="31F1EFFD" w14:textId="77777777" w:rsidR="00D355BA" w:rsidRPr="00D000CF" w:rsidRDefault="00D355BA" w:rsidP="00D355BA">
      <w:pPr>
        <w:pStyle w:val="ListParagraph"/>
        <w:numPr>
          <w:ilvl w:val="0"/>
          <w:numId w:val="31"/>
        </w:numPr>
        <w:rPr>
          <w:rFonts w:cs="Arial"/>
          <w:szCs w:val="22"/>
        </w:rPr>
      </w:pPr>
      <w:r w:rsidRPr="00D000CF">
        <w:rPr>
          <w:rFonts w:cs="Arial"/>
          <w:szCs w:val="22"/>
        </w:rPr>
        <w:t>Habitat (as factor)</w:t>
      </w:r>
    </w:p>
    <w:p w14:paraId="29909A6C" w14:textId="77777777" w:rsidR="00D355BA" w:rsidRPr="00D000CF" w:rsidRDefault="00D355BA" w:rsidP="00D355BA">
      <w:pPr>
        <w:pStyle w:val="ListParagraph"/>
        <w:numPr>
          <w:ilvl w:val="0"/>
          <w:numId w:val="31"/>
        </w:numPr>
        <w:rPr>
          <w:rFonts w:cs="Arial"/>
          <w:szCs w:val="22"/>
        </w:rPr>
      </w:pPr>
      <w:r w:rsidRPr="00D000CF">
        <w:rPr>
          <w:rFonts w:cs="Arial"/>
          <w:szCs w:val="22"/>
        </w:rPr>
        <w:t>NRM_sub-region (as factor)</w:t>
      </w:r>
    </w:p>
    <w:p w14:paraId="2B80EF16" w14:textId="77777777" w:rsidR="00D355BA" w:rsidRPr="00D000CF" w:rsidRDefault="00D355BA" w:rsidP="00D355BA">
      <w:pPr>
        <w:pStyle w:val="ListParagraph"/>
        <w:numPr>
          <w:ilvl w:val="0"/>
          <w:numId w:val="31"/>
        </w:numPr>
        <w:rPr>
          <w:rFonts w:cs="Arial"/>
          <w:szCs w:val="22"/>
        </w:rPr>
      </w:pPr>
      <w:r w:rsidRPr="00D000CF">
        <w:rPr>
          <w:rFonts w:cs="Arial"/>
          <w:szCs w:val="22"/>
        </w:rPr>
        <w:t xml:space="preserve">DIN (as </w:t>
      </w:r>
      <w:r>
        <w:rPr>
          <w:rFonts w:cs="Arial"/>
          <w:szCs w:val="22"/>
        </w:rPr>
        <w:t xml:space="preserve">a </w:t>
      </w:r>
      <w:r w:rsidRPr="00D000CF">
        <w:rPr>
          <w:rFonts w:cs="Arial"/>
          <w:szCs w:val="22"/>
        </w:rPr>
        <w:t>linear variable)</w:t>
      </w:r>
    </w:p>
    <w:p w14:paraId="0C60EE45" w14:textId="77777777" w:rsidR="00D355BA" w:rsidRPr="00D000CF" w:rsidRDefault="00D355BA" w:rsidP="00D355BA">
      <w:pPr>
        <w:pStyle w:val="ListParagraph"/>
        <w:numPr>
          <w:ilvl w:val="0"/>
          <w:numId w:val="31"/>
        </w:numPr>
        <w:rPr>
          <w:rFonts w:cs="Arial"/>
          <w:szCs w:val="22"/>
        </w:rPr>
      </w:pPr>
      <w:r>
        <w:rPr>
          <w:rFonts w:cs="Arial"/>
          <w:szCs w:val="22"/>
        </w:rPr>
        <w:t>Light</w:t>
      </w:r>
      <w:r w:rsidRPr="00D000CF">
        <w:rPr>
          <w:rFonts w:cs="Arial"/>
          <w:szCs w:val="22"/>
        </w:rPr>
        <w:t xml:space="preserve"> (as </w:t>
      </w:r>
      <w:r>
        <w:rPr>
          <w:rFonts w:cs="Arial"/>
          <w:szCs w:val="22"/>
        </w:rPr>
        <w:t xml:space="preserve">a </w:t>
      </w:r>
      <w:r w:rsidRPr="00D000CF">
        <w:rPr>
          <w:rFonts w:cs="Arial"/>
          <w:szCs w:val="22"/>
        </w:rPr>
        <w:t>linear variable)</w:t>
      </w:r>
    </w:p>
    <w:p w14:paraId="7DA18748" w14:textId="77777777" w:rsidR="00D355BA" w:rsidRPr="004A409C" w:rsidRDefault="00D355BA" w:rsidP="00D355BA">
      <w:pPr>
        <w:pStyle w:val="Caption"/>
        <w:rPr>
          <w:rFonts w:eastAsia="Times New Roman" w:cs="Arial"/>
          <w:szCs w:val="22"/>
          <w:lang w:val="en-AU"/>
        </w:rPr>
      </w:pPr>
      <w:r>
        <w:rPr>
          <w:rFonts w:eastAsia="Times New Roman" w:cs="Arial"/>
          <w:szCs w:val="22"/>
          <w:lang w:val="en-AU"/>
        </w:rPr>
        <w:lastRenderedPageBreak/>
        <w:t xml:space="preserve">The interactive effects of all predictor variables were tested up to the maximum of 4-way interactions. </w:t>
      </w:r>
      <w:r w:rsidRPr="004A409C">
        <w:rPr>
          <w:rFonts w:eastAsia="Times New Roman" w:cs="Arial"/>
          <w:szCs w:val="22"/>
          <w:lang w:val="en-AU"/>
        </w:rPr>
        <w:t xml:space="preserve">The dredge function (package MuMIn) was used to determine the </w:t>
      </w:r>
      <w:r>
        <w:rPr>
          <w:rFonts w:eastAsia="Times New Roman" w:cs="Arial"/>
          <w:szCs w:val="22"/>
          <w:lang w:val="en-AU"/>
        </w:rPr>
        <w:t xml:space="preserve">best </w:t>
      </w:r>
      <w:r w:rsidRPr="004A409C">
        <w:rPr>
          <w:rFonts w:eastAsia="Times New Roman" w:cs="Arial"/>
          <w:szCs w:val="22"/>
          <w:lang w:val="en-AU"/>
        </w:rPr>
        <w:t xml:space="preserve">model </w:t>
      </w:r>
      <w:r>
        <w:rPr>
          <w:rFonts w:eastAsia="Times New Roman" w:cs="Arial"/>
          <w:szCs w:val="22"/>
          <w:lang w:val="en-AU"/>
        </w:rPr>
        <w:t xml:space="preserve">to describe C:N i.e. the function runs all combination of interactions and provides the optimum model. The optimum model was based on the </w:t>
      </w:r>
      <w:r w:rsidRPr="004A409C">
        <w:rPr>
          <w:rFonts w:eastAsia="Times New Roman" w:cs="Arial"/>
          <w:szCs w:val="22"/>
          <w:lang w:val="en-AU"/>
        </w:rPr>
        <w:t>Akaike Information Criterion (AIC)</w:t>
      </w:r>
      <w:r>
        <w:rPr>
          <w:rFonts w:eastAsia="Times New Roman" w:cs="Arial"/>
          <w:szCs w:val="22"/>
          <w:lang w:val="en-AU"/>
        </w:rPr>
        <w:t>, which describes goodness of fit for the model and also includes a penalty for an increasing number of predictor variables and interactions</w:t>
      </w:r>
      <w:r w:rsidRPr="004A409C">
        <w:rPr>
          <w:rFonts w:eastAsia="Times New Roman" w:cs="Arial"/>
          <w:szCs w:val="22"/>
          <w:lang w:val="en-AU"/>
        </w:rPr>
        <w:t xml:space="preserve">. </w:t>
      </w:r>
      <w:r>
        <w:rPr>
          <w:rFonts w:eastAsia="Times New Roman" w:cs="Arial"/>
          <w:szCs w:val="22"/>
          <w:lang w:val="en-AU"/>
        </w:rPr>
        <w:t>The optimum model for describing C:N for all species pooled based on the outcome of this criteria is model 1 (M1)</w:t>
      </w:r>
      <w:r w:rsidRPr="004A409C">
        <w:rPr>
          <w:rFonts w:eastAsia="Times New Roman" w:cs="Arial"/>
          <w:szCs w:val="22"/>
          <w:lang w:val="en-AU"/>
        </w:rPr>
        <w:t>:</w:t>
      </w:r>
    </w:p>
    <w:p w14:paraId="38CFDA88"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 xml:space="preserve">CN = DIN + Habitat + </w:t>
      </w:r>
      <w:r>
        <w:rPr>
          <w:rFonts w:eastAsia="Times New Roman" w:cs="Arial"/>
          <w:szCs w:val="22"/>
          <w:lang w:val="en-AU"/>
        </w:rPr>
        <w:t>Light</w:t>
      </w:r>
      <w:r w:rsidRPr="004A409C">
        <w:rPr>
          <w:rFonts w:eastAsia="Times New Roman" w:cs="Arial"/>
          <w:szCs w:val="22"/>
          <w:lang w:val="en-AU"/>
        </w:rPr>
        <w:t xml:space="preserve"> + NRM_subregion + DIN:Habitat + DIN:</w:t>
      </w:r>
      <w:r>
        <w:rPr>
          <w:rFonts w:eastAsia="Times New Roman" w:cs="Arial"/>
          <w:szCs w:val="22"/>
          <w:lang w:val="en-AU"/>
        </w:rPr>
        <w:t>Light</w:t>
      </w:r>
      <w:r w:rsidRPr="004A409C">
        <w:rPr>
          <w:rFonts w:eastAsia="Times New Roman" w:cs="Arial"/>
          <w:szCs w:val="22"/>
          <w:lang w:val="en-AU"/>
        </w:rPr>
        <w:t xml:space="preserve"> + DIN:NRM_subregion + Habitat:</w:t>
      </w:r>
      <w:r>
        <w:rPr>
          <w:rFonts w:eastAsia="Times New Roman" w:cs="Arial"/>
          <w:szCs w:val="22"/>
          <w:lang w:val="en-AU"/>
        </w:rPr>
        <w:t>Light</w:t>
      </w:r>
      <w:r w:rsidRPr="004A409C">
        <w:rPr>
          <w:rFonts w:eastAsia="Times New Roman" w:cs="Arial"/>
          <w:szCs w:val="22"/>
          <w:lang w:val="en-AU"/>
        </w:rPr>
        <w:t xml:space="preserve"> + Habitat:NRM_subregion + DIN:Habitat:</w:t>
      </w:r>
      <w:r>
        <w:rPr>
          <w:rFonts w:eastAsia="Times New Roman" w:cs="Arial"/>
          <w:szCs w:val="22"/>
          <w:lang w:val="en-AU"/>
        </w:rPr>
        <w:t>Light</w:t>
      </w:r>
      <w:r w:rsidRPr="004A409C">
        <w:rPr>
          <w:rFonts w:eastAsia="Times New Roman" w:cs="Arial"/>
          <w:szCs w:val="22"/>
          <w:lang w:val="en-AU"/>
        </w:rPr>
        <w:t xml:space="preserve"> </w:t>
      </w:r>
    </w:p>
    <w:p w14:paraId="18FF532C"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 defines interaction term</w:t>
      </w:r>
    </w:p>
    <w:p w14:paraId="16268891" w14:textId="77777777" w:rsidR="00D355BA" w:rsidRPr="004A409C" w:rsidRDefault="00D355BA" w:rsidP="00D355BA">
      <w:pPr>
        <w:pStyle w:val="Caption"/>
        <w:rPr>
          <w:rFonts w:eastAsia="Times New Roman" w:cs="Arial"/>
          <w:szCs w:val="22"/>
          <w:lang w:val="en-AU"/>
        </w:rPr>
      </w:pPr>
      <w:r>
        <w:rPr>
          <w:rFonts w:eastAsia="Times New Roman" w:cs="Arial"/>
          <w:szCs w:val="22"/>
          <w:lang w:val="en-AU"/>
        </w:rPr>
        <w:t>Burnett-Mary</w:t>
      </w:r>
      <w:r w:rsidRPr="004A409C">
        <w:rPr>
          <w:rFonts w:eastAsia="Times New Roman" w:cs="Arial"/>
          <w:szCs w:val="22"/>
          <w:lang w:val="en-AU"/>
        </w:rPr>
        <w:t xml:space="preserve">, Cape York, Fitzroy and reef subtidal sites were removed from the analyses due to </w:t>
      </w:r>
      <w:r>
        <w:rPr>
          <w:rFonts w:eastAsia="Times New Roman" w:cs="Arial"/>
          <w:szCs w:val="22"/>
          <w:lang w:val="en-AU"/>
        </w:rPr>
        <w:t>insufficient</w:t>
      </w:r>
      <w:r w:rsidRPr="004A409C">
        <w:rPr>
          <w:rFonts w:eastAsia="Times New Roman" w:cs="Arial"/>
          <w:szCs w:val="22"/>
          <w:lang w:val="en-AU"/>
        </w:rPr>
        <w:t xml:space="preserve"> data and/or limited range in DIN; however, reef subtidal habitats were retained when investigating responses of </w:t>
      </w:r>
      <w:r w:rsidRPr="0060084E">
        <w:rPr>
          <w:rFonts w:eastAsia="Times New Roman" w:cs="Arial"/>
          <w:i/>
          <w:szCs w:val="22"/>
          <w:lang w:val="en-AU"/>
        </w:rPr>
        <w:t>H. uninervis</w:t>
      </w:r>
      <w:r w:rsidRPr="004A409C">
        <w:rPr>
          <w:rFonts w:eastAsia="Times New Roman" w:cs="Arial"/>
          <w:szCs w:val="22"/>
          <w:lang w:val="en-AU"/>
        </w:rPr>
        <w:t xml:space="preserve"> only, as it is the most common species in reef subtidal habitats. The final model included the regions: Burdekin, Mackay</w:t>
      </w:r>
      <w:r>
        <w:rPr>
          <w:rFonts w:eastAsia="Times New Roman" w:cs="Arial"/>
          <w:szCs w:val="22"/>
          <w:lang w:val="en-AU"/>
        </w:rPr>
        <w:t>-</w:t>
      </w:r>
      <w:r w:rsidRPr="004A409C">
        <w:rPr>
          <w:rFonts w:eastAsia="Times New Roman" w:cs="Arial"/>
          <w:szCs w:val="22"/>
          <w:lang w:val="en-AU"/>
        </w:rPr>
        <w:t>Whitsundays, Northern Wet Tropics and Southern Wet Tropics.</w:t>
      </w:r>
      <w:r>
        <w:rPr>
          <w:rFonts w:eastAsia="Times New Roman" w:cs="Arial"/>
          <w:szCs w:val="22"/>
          <w:lang w:val="en-AU"/>
        </w:rPr>
        <w:t xml:space="preserve"> The Burdekin region and coastal habitat were set as the references for all of the models. </w:t>
      </w:r>
    </w:p>
    <w:p w14:paraId="5F51E463"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 xml:space="preserve">To simplify and avoid 3-dimensional graphical representation of M1, the mean daily light variable was categorised into three groups (minimum, mean, maximum) calculated for each Region and Habitat type combination. The three scenario predictions of M1 were then calculated and plotted against the individual data points for the 8 Region and Habitat combinations. </w:t>
      </w:r>
    </w:p>
    <w:p w14:paraId="63B38F44"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GLM models were also run for individual species only (</w:t>
      </w:r>
      <w:r w:rsidRPr="0060084E">
        <w:rPr>
          <w:rFonts w:eastAsia="Times New Roman" w:cs="Arial"/>
          <w:i/>
          <w:szCs w:val="22"/>
          <w:lang w:val="en-AU"/>
        </w:rPr>
        <w:t>Halodule uninervis, Cymodocea serrulata, Thalassia hemprichii</w:t>
      </w:r>
      <w:r w:rsidRPr="004A409C">
        <w:rPr>
          <w:rFonts w:eastAsia="Times New Roman" w:cs="Arial"/>
          <w:szCs w:val="22"/>
          <w:lang w:val="en-AU"/>
        </w:rPr>
        <w:t xml:space="preserve"> and </w:t>
      </w:r>
      <w:r w:rsidRPr="0060084E">
        <w:rPr>
          <w:rFonts w:eastAsia="Times New Roman" w:cs="Arial"/>
          <w:i/>
          <w:szCs w:val="22"/>
          <w:lang w:val="en-AU"/>
        </w:rPr>
        <w:t>Zostera muelleri</w:t>
      </w:r>
      <w:r w:rsidRPr="004A409C">
        <w:rPr>
          <w:rFonts w:eastAsia="Times New Roman" w:cs="Arial"/>
          <w:szCs w:val="22"/>
          <w:lang w:val="en-AU"/>
        </w:rPr>
        <w:t xml:space="preserve">). There was insufficient data for </w:t>
      </w:r>
      <w:r w:rsidRPr="0060084E">
        <w:rPr>
          <w:rFonts w:eastAsia="Times New Roman" w:cs="Arial"/>
          <w:i/>
          <w:szCs w:val="22"/>
          <w:lang w:val="en-AU"/>
        </w:rPr>
        <w:t>C. serrulata</w:t>
      </w:r>
      <w:r w:rsidRPr="004A409C">
        <w:rPr>
          <w:rFonts w:eastAsia="Times New Roman" w:cs="Arial"/>
          <w:szCs w:val="22"/>
          <w:lang w:val="en-AU"/>
        </w:rPr>
        <w:t xml:space="preserve"> and </w:t>
      </w:r>
      <w:r w:rsidRPr="0060084E">
        <w:rPr>
          <w:rFonts w:eastAsia="Times New Roman" w:cs="Arial"/>
          <w:i/>
          <w:szCs w:val="22"/>
          <w:lang w:val="en-AU"/>
        </w:rPr>
        <w:t>T. hemprichii</w:t>
      </w:r>
      <w:r w:rsidRPr="004A409C">
        <w:rPr>
          <w:rFonts w:eastAsia="Times New Roman" w:cs="Arial"/>
          <w:szCs w:val="22"/>
          <w:lang w:val="en-AU"/>
        </w:rPr>
        <w:t xml:space="preserve"> to interpret model outputs so they are not shown here. Due to the low significance level of the </w:t>
      </w:r>
      <w:r>
        <w:rPr>
          <w:rFonts w:eastAsia="Times New Roman" w:cs="Arial"/>
          <w:szCs w:val="22"/>
          <w:lang w:val="en-AU"/>
        </w:rPr>
        <w:t>Light</w:t>
      </w:r>
      <w:r w:rsidRPr="004A409C">
        <w:rPr>
          <w:rFonts w:eastAsia="Times New Roman" w:cs="Arial"/>
          <w:szCs w:val="22"/>
          <w:lang w:val="en-AU"/>
        </w:rPr>
        <w:t xml:space="preserve"> variable we tried categorical transformations based on either two or </w:t>
      </w:r>
      <w:r w:rsidRPr="004A409C">
        <w:rPr>
          <w:rFonts w:eastAsia="Times New Roman" w:cs="Arial"/>
          <w:szCs w:val="22"/>
          <w:lang w:val="en-AU"/>
        </w:rPr>
        <w:lastRenderedPageBreak/>
        <w:t xml:space="preserve">three categories. The transformation leading to the lowest AIC was a two category variable named f_DL for factor of daily light. Category 1 and 2 were defined as light levels that </w:t>
      </w:r>
      <w:r>
        <w:rPr>
          <w:rFonts w:eastAsia="Times New Roman" w:cs="Arial"/>
          <w:szCs w:val="22"/>
          <w:lang w:val="en-AU"/>
        </w:rPr>
        <w:t xml:space="preserve">were </w:t>
      </w:r>
      <w:r w:rsidRPr="004A409C">
        <w:rPr>
          <w:rFonts w:eastAsia="Times New Roman" w:cs="Arial"/>
          <w:szCs w:val="22"/>
          <w:lang w:val="en-AU"/>
        </w:rPr>
        <w:t xml:space="preserve">below the median (f_DL1) and above the median (f_DL2) i.e. low and high light of each region and habitat type. For </w:t>
      </w:r>
      <w:r w:rsidRPr="0060084E">
        <w:rPr>
          <w:rFonts w:eastAsia="Times New Roman" w:cs="Arial"/>
          <w:i/>
          <w:szCs w:val="22"/>
          <w:lang w:val="en-AU"/>
        </w:rPr>
        <w:t>Z. muelleri</w:t>
      </w:r>
      <w:r w:rsidRPr="004A409C">
        <w:rPr>
          <w:rFonts w:eastAsia="Times New Roman" w:cs="Arial"/>
          <w:szCs w:val="22"/>
          <w:lang w:val="en-AU"/>
        </w:rPr>
        <w:t xml:space="preserve">, the regions Fitzroy and </w:t>
      </w:r>
      <w:r>
        <w:rPr>
          <w:rFonts w:eastAsia="Times New Roman" w:cs="Arial"/>
          <w:szCs w:val="22"/>
          <w:lang w:val="en-AU"/>
        </w:rPr>
        <w:t>Burnett-Mary</w:t>
      </w:r>
      <w:r w:rsidRPr="004A409C">
        <w:rPr>
          <w:rFonts w:eastAsia="Times New Roman" w:cs="Arial"/>
          <w:szCs w:val="22"/>
          <w:lang w:val="en-AU"/>
        </w:rPr>
        <w:t xml:space="preserve"> were included because that species is the most common </w:t>
      </w:r>
      <w:r>
        <w:rPr>
          <w:rFonts w:eastAsia="Times New Roman" w:cs="Arial"/>
          <w:szCs w:val="22"/>
          <w:lang w:val="en-AU"/>
        </w:rPr>
        <w:t>in those regions</w:t>
      </w:r>
      <w:r w:rsidRPr="004A409C">
        <w:rPr>
          <w:rFonts w:eastAsia="Times New Roman" w:cs="Arial"/>
          <w:szCs w:val="22"/>
          <w:lang w:val="en-AU"/>
        </w:rPr>
        <w:t xml:space="preserve">. Model selection for the two species </w:t>
      </w:r>
      <w:r>
        <w:rPr>
          <w:rFonts w:eastAsia="Times New Roman" w:cs="Arial"/>
          <w:szCs w:val="22"/>
          <w:lang w:val="en-AU"/>
        </w:rPr>
        <w:t>followed the criteria above for M1</w:t>
      </w:r>
      <w:r w:rsidRPr="004A409C">
        <w:rPr>
          <w:rFonts w:eastAsia="Times New Roman" w:cs="Arial"/>
          <w:szCs w:val="22"/>
          <w:lang w:val="en-AU"/>
        </w:rPr>
        <w:t xml:space="preserve">. </w:t>
      </w:r>
    </w:p>
    <w:p w14:paraId="7A8C13B8"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 xml:space="preserve">The model for </w:t>
      </w:r>
      <w:r w:rsidRPr="0060084E">
        <w:rPr>
          <w:rFonts w:eastAsia="Times New Roman" w:cs="Arial"/>
          <w:i/>
          <w:szCs w:val="22"/>
          <w:lang w:val="en-AU"/>
        </w:rPr>
        <w:t>H. uninervis</w:t>
      </w:r>
      <w:r>
        <w:rPr>
          <w:rFonts w:eastAsia="Times New Roman" w:cs="Arial"/>
          <w:szCs w:val="22"/>
          <w:lang w:val="en-AU"/>
        </w:rPr>
        <w:t xml:space="preserve"> (</w:t>
      </w:r>
      <w:r w:rsidRPr="004A409C">
        <w:rPr>
          <w:rFonts w:eastAsia="Times New Roman" w:cs="Arial"/>
          <w:szCs w:val="22"/>
          <w:lang w:val="en-AU"/>
        </w:rPr>
        <w:t>M_Hu</w:t>
      </w:r>
      <w:r>
        <w:rPr>
          <w:rFonts w:eastAsia="Times New Roman" w:cs="Arial"/>
          <w:szCs w:val="22"/>
          <w:lang w:val="en-AU"/>
        </w:rPr>
        <w:t>)</w:t>
      </w:r>
      <w:r w:rsidRPr="004A409C">
        <w:rPr>
          <w:rFonts w:eastAsia="Times New Roman" w:cs="Arial"/>
          <w:szCs w:val="22"/>
          <w:lang w:val="en-AU"/>
        </w:rPr>
        <w:t xml:space="preserve"> was:</w:t>
      </w:r>
    </w:p>
    <w:p w14:paraId="6ADD68E3" w14:textId="77777777" w:rsidR="00D355BA" w:rsidRPr="004A409C" w:rsidRDefault="00D355BA" w:rsidP="00D355BA">
      <w:pPr>
        <w:pStyle w:val="Caption"/>
        <w:rPr>
          <w:rFonts w:eastAsia="Times New Roman" w:cs="Arial"/>
          <w:szCs w:val="22"/>
          <w:lang w:val="en-AU"/>
        </w:rPr>
      </w:pPr>
      <w:r>
        <w:rPr>
          <w:rFonts w:eastAsia="Times New Roman" w:cs="Arial"/>
          <w:szCs w:val="22"/>
          <w:lang w:val="en-AU"/>
        </w:rPr>
        <w:t xml:space="preserve">CN = </w:t>
      </w:r>
      <w:r w:rsidRPr="004A409C">
        <w:rPr>
          <w:rFonts w:eastAsia="Times New Roman" w:cs="Arial"/>
          <w:szCs w:val="22"/>
          <w:lang w:val="en-AU"/>
        </w:rPr>
        <w:t>DIN + f_DL + Habitat + NRM_subregion + DIN:f_DL + DIN:Habitat + DIN:NRM_subregion + Habitat:f_DL + Habitat:NRM_subregion + DIN:f_DL:Habitat + DIN:Habitat:NRM_subregion</w:t>
      </w:r>
    </w:p>
    <w:p w14:paraId="4B0DADCC"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 xml:space="preserve">The model for </w:t>
      </w:r>
      <w:r w:rsidRPr="0060084E">
        <w:rPr>
          <w:rFonts w:eastAsia="Times New Roman" w:cs="Arial"/>
          <w:i/>
          <w:szCs w:val="22"/>
          <w:lang w:val="en-AU"/>
        </w:rPr>
        <w:t xml:space="preserve">Z. muelleri </w:t>
      </w:r>
      <w:r w:rsidRPr="004A409C">
        <w:rPr>
          <w:rFonts w:eastAsia="Times New Roman" w:cs="Arial"/>
          <w:szCs w:val="22"/>
          <w:lang w:val="en-AU"/>
        </w:rPr>
        <w:t xml:space="preserve">was </w:t>
      </w:r>
      <w:r>
        <w:rPr>
          <w:rFonts w:eastAsia="Times New Roman" w:cs="Arial"/>
          <w:szCs w:val="22"/>
          <w:lang w:val="en-AU"/>
        </w:rPr>
        <w:t>(</w:t>
      </w:r>
      <w:r w:rsidRPr="004A409C">
        <w:rPr>
          <w:rFonts w:eastAsia="Times New Roman" w:cs="Arial"/>
          <w:szCs w:val="22"/>
          <w:lang w:val="en-AU"/>
        </w:rPr>
        <w:t>M_Zm</w:t>
      </w:r>
      <w:r>
        <w:rPr>
          <w:rFonts w:eastAsia="Times New Roman" w:cs="Arial"/>
          <w:szCs w:val="22"/>
          <w:lang w:val="en-AU"/>
        </w:rPr>
        <w:t>)</w:t>
      </w:r>
      <w:r w:rsidRPr="004A409C">
        <w:rPr>
          <w:rFonts w:eastAsia="Times New Roman" w:cs="Arial"/>
          <w:szCs w:val="22"/>
          <w:lang w:val="en-AU"/>
        </w:rPr>
        <w:t xml:space="preserve"> was:</w:t>
      </w:r>
    </w:p>
    <w:p w14:paraId="66D14326" w14:textId="77777777" w:rsidR="00D355BA" w:rsidRPr="004A409C" w:rsidRDefault="00D355BA" w:rsidP="00D355BA">
      <w:pPr>
        <w:pStyle w:val="Caption"/>
        <w:rPr>
          <w:rFonts w:eastAsia="Times New Roman" w:cs="Arial"/>
          <w:szCs w:val="22"/>
          <w:lang w:val="en-AU"/>
        </w:rPr>
      </w:pPr>
      <w:r w:rsidRPr="004A409C">
        <w:rPr>
          <w:rFonts w:eastAsia="Times New Roman" w:cs="Arial"/>
          <w:szCs w:val="22"/>
          <w:lang w:val="en-AU"/>
        </w:rPr>
        <w:t>C</w:t>
      </w:r>
      <w:r>
        <w:rPr>
          <w:rFonts w:eastAsia="Times New Roman" w:cs="Arial"/>
          <w:szCs w:val="22"/>
          <w:lang w:val="en-AU"/>
        </w:rPr>
        <w:t>:</w:t>
      </w:r>
      <w:r w:rsidRPr="004A409C">
        <w:rPr>
          <w:rFonts w:eastAsia="Times New Roman" w:cs="Arial"/>
          <w:szCs w:val="22"/>
          <w:lang w:val="en-AU"/>
        </w:rPr>
        <w:t>N = DIN + Habitat + f_DL + NRM_subregion + DIN:f_DL + DIN:Habitat + DIN:NRM_subregion + Habitat:f_DL + f_DL:NRM_subregion + Habitat:NRM_subregion + DIN:f_DL:NRM_subregion + DIN:Habitat:NRM_subregion + f_DL:Habitat:NRM_subregion + DIN:f_DL:Habitat:NRM_subregion</w:t>
      </w:r>
    </w:p>
    <w:p w14:paraId="0509F30F" w14:textId="77777777" w:rsidR="00D355BA" w:rsidRPr="00941BDB" w:rsidRDefault="00D355BA" w:rsidP="00D355BA">
      <w:pPr>
        <w:pStyle w:val="ListParagraph"/>
        <w:numPr>
          <w:ilvl w:val="0"/>
          <w:numId w:val="47"/>
        </w:numPr>
        <w:ind w:left="426" w:hanging="426"/>
        <w:rPr>
          <w:i/>
        </w:rPr>
      </w:pPr>
      <w:r w:rsidRPr="00941BDB">
        <w:rPr>
          <w:i/>
        </w:rPr>
        <w:t>Non-parameteric models (Tree analysis)</w:t>
      </w:r>
    </w:p>
    <w:p w14:paraId="69BE294A" w14:textId="77777777" w:rsidR="00D355BA" w:rsidRDefault="00D355BA" w:rsidP="00D355BA">
      <w:pPr>
        <w:pStyle w:val="Caption"/>
        <w:rPr>
          <w:rFonts w:eastAsia="Times New Roman" w:cs="Arial"/>
          <w:szCs w:val="22"/>
          <w:lang w:val="en-AU"/>
        </w:rPr>
      </w:pPr>
      <w:r w:rsidRPr="004A409C">
        <w:rPr>
          <w:rFonts w:eastAsia="Times New Roman" w:cs="Arial"/>
          <w:szCs w:val="22"/>
          <w:lang w:val="en-AU"/>
        </w:rPr>
        <w:t xml:space="preserve">Tree structured regression and classification models (Trees, using “partykit” package in R) were used to explore specific DIN and </w:t>
      </w:r>
      <w:r>
        <w:rPr>
          <w:rFonts w:eastAsia="Times New Roman" w:cs="Arial"/>
          <w:szCs w:val="22"/>
          <w:lang w:val="en-AU"/>
        </w:rPr>
        <w:t>Light</w:t>
      </w:r>
      <w:r w:rsidRPr="004A409C">
        <w:rPr>
          <w:rFonts w:eastAsia="Times New Roman" w:cs="Arial"/>
          <w:szCs w:val="22"/>
          <w:lang w:val="en-AU"/>
        </w:rPr>
        <w:t xml:space="preserve"> values that were associated with significant splits of the C:N values</w:t>
      </w:r>
      <w:r>
        <w:rPr>
          <w:rFonts w:eastAsia="Times New Roman" w:cs="Arial"/>
          <w:szCs w:val="22"/>
          <w:lang w:val="en-AU"/>
        </w:rPr>
        <w:t>. If identifiable, these splits could be used to assess report card grading levels, and aid in the interpretation of inter-annual trends; if DIN or Light exceeds a particular threshold, then C:N is expected to change and vice versa. The model M_HuTree was:</w:t>
      </w:r>
    </w:p>
    <w:p w14:paraId="3F42E77B" w14:textId="77777777" w:rsidR="00D355BA" w:rsidRDefault="00D355BA" w:rsidP="00D355BA">
      <w:pPr>
        <w:pStyle w:val="Caption"/>
        <w:rPr>
          <w:rFonts w:eastAsia="Times New Roman" w:cs="Arial"/>
          <w:szCs w:val="22"/>
          <w:lang w:val="en-AU"/>
        </w:rPr>
      </w:pPr>
      <w:r>
        <w:rPr>
          <w:rFonts w:eastAsia="Times New Roman" w:cs="Arial"/>
          <w:szCs w:val="22"/>
          <w:lang w:val="en-AU"/>
        </w:rPr>
        <w:t>C:N = DIN + Light</w:t>
      </w:r>
    </w:p>
    <w:p w14:paraId="04B72D3C" w14:textId="77777777" w:rsidR="00D355BA" w:rsidRPr="004A409C" w:rsidRDefault="00D355BA" w:rsidP="00D355BA">
      <w:pPr>
        <w:pStyle w:val="Caption"/>
        <w:rPr>
          <w:rFonts w:eastAsia="Times New Roman" w:cs="Arial"/>
          <w:szCs w:val="22"/>
          <w:lang w:val="en-AU"/>
        </w:rPr>
      </w:pPr>
      <w:r>
        <w:rPr>
          <w:rFonts w:eastAsia="Times New Roman" w:cs="Arial"/>
          <w:szCs w:val="22"/>
          <w:lang w:val="en-AU"/>
        </w:rPr>
        <w:t xml:space="preserve">As this is a non-parametric test there is no need for data distribution specification or model selection (i.e. no interaction terms). </w:t>
      </w:r>
      <w:r w:rsidRPr="004A409C">
        <w:rPr>
          <w:rFonts w:eastAsia="Times New Roman" w:cs="Arial"/>
          <w:szCs w:val="22"/>
          <w:lang w:val="en-AU"/>
        </w:rPr>
        <w:t xml:space="preserve">This was carried out for </w:t>
      </w:r>
      <w:r w:rsidRPr="0060084E">
        <w:rPr>
          <w:rFonts w:eastAsia="Times New Roman" w:cs="Arial"/>
          <w:i/>
          <w:szCs w:val="22"/>
          <w:lang w:val="en-AU"/>
        </w:rPr>
        <w:t>H. uninervis</w:t>
      </w:r>
      <w:r w:rsidRPr="004A409C">
        <w:rPr>
          <w:rFonts w:eastAsia="Times New Roman" w:cs="Arial"/>
          <w:szCs w:val="22"/>
          <w:lang w:val="en-AU"/>
        </w:rPr>
        <w:t xml:space="preserve"> only as it has the most data available due to its very wide geographical spread.</w:t>
      </w:r>
      <w:r>
        <w:rPr>
          <w:rFonts w:eastAsia="Times New Roman" w:cs="Arial"/>
          <w:szCs w:val="22"/>
          <w:lang w:val="en-AU"/>
        </w:rPr>
        <w:t xml:space="preserve"> We tried incorporation of additional covariates to the tree </w:t>
      </w:r>
      <w:r>
        <w:rPr>
          <w:rFonts w:eastAsia="Times New Roman" w:cs="Arial"/>
          <w:szCs w:val="22"/>
          <w:lang w:val="en-AU"/>
        </w:rPr>
        <w:lastRenderedPageBreak/>
        <w:t>model such as Species, Habitat and Region. The outputs did not show clear and consistent trends when comparing amongst models. Furthermore, the large number of nodes made it very difficult to interpret and therefore results are not shown here.</w:t>
      </w:r>
    </w:p>
    <w:p w14:paraId="024EF838" w14:textId="77777777" w:rsidR="00D355BA" w:rsidRPr="00941BDB" w:rsidRDefault="00D355BA" w:rsidP="00D355BA">
      <w:pPr>
        <w:pStyle w:val="ListParagraph"/>
        <w:numPr>
          <w:ilvl w:val="0"/>
          <w:numId w:val="47"/>
        </w:numPr>
        <w:ind w:left="426" w:hanging="426"/>
        <w:rPr>
          <w:i/>
        </w:rPr>
      </w:pPr>
      <w:r w:rsidRPr="00941BDB">
        <w:rPr>
          <w:i/>
        </w:rPr>
        <w:t>Correlation analysis of in situ water quality data</w:t>
      </w:r>
    </w:p>
    <w:p w14:paraId="2A953045" w14:textId="77777777" w:rsidR="00D355BA" w:rsidRDefault="00D355BA" w:rsidP="00D355BA">
      <w:pPr>
        <w:pStyle w:val="Caption"/>
        <w:rPr>
          <w:rFonts w:eastAsia="Times New Roman" w:cs="Arial"/>
          <w:szCs w:val="22"/>
          <w:lang w:val="en-AU"/>
        </w:rPr>
      </w:pPr>
      <w:r w:rsidRPr="004A409C">
        <w:rPr>
          <w:rFonts w:eastAsia="Times New Roman" w:cs="Arial"/>
          <w:szCs w:val="22"/>
          <w:lang w:val="en-AU"/>
        </w:rPr>
        <w:t xml:space="preserve">Exploration of </w:t>
      </w:r>
      <w:r w:rsidRPr="0060084E">
        <w:rPr>
          <w:rFonts w:eastAsia="Times New Roman" w:cs="Arial"/>
          <w:i/>
          <w:szCs w:val="22"/>
          <w:lang w:val="en-AU"/>
        </w:rPr>
        <w:t>in situ</w:t>
      </w:r>
      <w:r w:rsidRPr="004A409C">
        <w:rPr>
          <w:rFonts w:eastAsia="Times New Roman" w:cs="Arial"/>
          <w:szCs w:val="22"/>
          <w:lang w:val="en-AU"/>
        </w:rPr>
        <w:t xml:space="preserve"> water quality sampling was undertaken by plotting </w:t>
      </w:r>
      <w:r>
        <w:rPr>
          <w:rFonts w:eastAsia="Times New Roman" w:cs="Arial"/>
          <w:szCs w:val="22"/>
          <w:lang w:val="en-AU"/>
        </w:rPr>
        <w:t xml:space="preserve">various </w:t>
      </w:r>
      <w:r w:rsidRPr="004A409C">
        <w:rPr>
          <w:rFonts w:eastAsia="Times New Roman" w:cs="Arial"/>
          <w:szCs w:val="22"/>
          <w:lang w:val="en-AU"/>
        </w:rPr>
        <w:t xml:space="preserve">water quality variables (all data points at the nearby location in the year prior to C:N measurement being taken) against seagrass C:N ratio in the late dry season. </w:t>
      </w:r>
      <w:r>
        <w:rPr>
          <w:rFonts w:eastAsia="Times New Roman" w:cs="Arial"/>
          <w:szCs w:val="22"/>
          <w:lang w:val="en-AU"/>
        </w:rPr>
        <w:t>A simple linear regression (gaussian distribution) was used to check for significant trend. No further analyses were conducted at this stage, because no apparent correlations were observed.</w:t>
      </w:r>
    </w:p>
    <w:p w14:paraId="38699C30" w14:textId="77777777" w:rsidR="00D355BA" w:rsidRPr="00941BDB" w:rsidRDefault="00D355BA" w:rsidP="00D355BA">
      <w:pPr>
        <w:pStyle w:val="ListParagraph"/>
        <w:numPr>
          <w:ilvl w:val="0"/>
          <w:numId w:val="47"/>
        </w:numPr>
        <w:ind w:left="426" w:hanging="426"/>
        <w:rPr>
          <w:i/>
        </w:rPr>
      </w:pPr>
      <w:r w:rsidRPr="00941BDB">
        <w:rPr>
          <w:i/>
        </w:rPr>
        <w:t>Exploratory analysis of C:N and future seagrass cover</w:t>
      </w:r>
    </w:p>
    <w:p w14:paraId="4699B51B" w14:textId="77777777" w:rsidR="00D355BA" w:rsidRDefault="00D355BA" w:rsidP="00D355BA">
      <w:pPr>
        <w:pStyle w:val="Caption"/>
        <w:rPr>
          <w:rFonts w:eastAsia="Times New Roman" w:cs="Arial"/>
          <w:szCs w:val="22"/>
          <w:lang w:val="en-AU"/>
        </w:rPr>
      </w:pPr>
      <w:r w:rsidRPr="004A409C">
        <w:rPr>
          <w:rFonts w:eastAsia="Times New Roman" w:cs="Arial"/>
          <w:szCs w:val="22"/>
          <w:lang w:val="en-AU"/>
        </w:rPr>
        <w:t xml:space="preserve">Finally, an exploratory analysis of C:N in relation to future change in seagrass </w:t>
      </w:r>
      <w:r>
        <w:rPr>
          <w:rFonts w:eastAsia="Times New Roman" w:cs="Arial"/>
          <w:szCs w:val="22"/>
          <w:lang w:val="en-AU"/>
        </w:rPr>
        <w:t xml:space="preserve">per cent </w:t>
      </w:r>
      <w:r w:rsidRPr="004A409C">
        <w:rPr>
          <w:rFonts w:eastAsia="Times New Roman" w:cs="Arial"/>
          <w:szCs w:val="22"/>
          <w:lang w:val="en-AU"/>
        </w:rPr>
        <w:t>cover</w:t>
      </w:r>
      <w:r>
        <w:rPr>
          <w:rFonts w:eastAsia="Times New Roman" w:cs="Arial"/>
          <w:szCs w:val="22"/>
          <w:lang w:val="en-AU"/>
        </w:rPr>
        <w:t xml:space="preserve"> (all species pooled)</w:t>
      </w:r>
      <w:r w:rsidRPr="004A409C">
        <w:rPr>
          <w:rFonts w:eastAsia="Times New Roman" w:cs="Arial"/>
          <w:szCs w:val="22"/>
          <w:lang w:val="en-AU"/>
        </w:rPr>
        <w:t xml:space="preserve"> was explored. This was to test whether C:N is an early-warning indicator of seagrass condition. To do this, the C:N in year x, was plotted against the change in seagrass %cover calculated as:</w:t>
      </w:r>
      <w:r>
        <w:rPr>
          <w:rFonts w:eastAsia="Times New Roman" w:cs="Arial"/>
          <w:szCs w:val="22"/>
          <w:lang w:val="en-AU"/>
        </w:rPr>
        <w:t xml:space="preserve"> </w:t>
      </w:r>
    </w:p>
    <w:p w14:paraId="11C59438" w14:textId="7A2D91C5" w:rsidR="00D355BA" w:rsidRPr="00B93A8F" w:rsidRDefault="00D355BA" w:rsidP="00D355BA">
      <w:pPr>
        <w:pStyle w:val="Caption"/>
        <w:rPr>
          <w:rFonts w:cs="Arial"/>
          <w:szCs w:val="22"/>
        </w:rPr>
      </w:pPr>
      <w:r w:rsidRPr="001F0E92">
        <w:rPr>
          <w:rFonts w:cs="Arial"/>
          <w:szCs w:val="22"/>
        </w:rPr>
        <w:tab/>
      </w:r>
      <w:r w:rsidRPr="001F0E92">
        <w:rPr>
          <w:rFonts w:cs="Arial"/>
          <w:szCs w:val="22"/>
        </w:rPr>
        <w:tab/>
      </w:r>
      <w:r w:rsidRPr="001F0E92">
        <w:rPr>
          <w:rFonts w:cs="Arial"/>
          <w:szCs w:val="22"/>
        </w:rPr>
        <w:tab/>
        <w:t xml:space="preserve">Change in </w:t>
      </w:r>
      <w:r>
        <w:rPr>
          <w:rFonts w:cs="Arial"/>
          <w:szCs w:val="22"/>
        </w:rPr>
        <w:t>total c</w:t>
      </w:r>
      <w:r w:rsidRPr="001F0E92">
        <w:rPr>
          <w:rFonts w:cs="Arial"/>
          <w:szCs w:val="22"/>
        </w:rPr>
        <w:t>over = %C</w:t>
      </w:r>
      <w:r w:rsidRPr="001F0E92">
        <w:rPr>
          <w:rFonts w:cs="Arial"/>
          <w:szCs w:val="22"/>
          <w:vertAlign w:val="subscript"/>
        </w:rPr>
        <w:t>(x+1)</w:t>
      </w:r>
      <w:r w:rsidRPr="001F0E92">
        <w:rPr>
          <w:rFonts w:cs="Arial"/>
          <w:szCs w:val="22"/>
        </w:rPr>
        <w:t xml:space="preserve"> – %C</w:t>
      </w:r>
      <w:r w:rsidRPr="001F0E92">
        <w:rPr>
          <w:rFonts w:cs="Arial"/>
          <w:szCs w:val="22"/>
          <w:vertAlign w:val="subscript"/>
        </w:rPr>
        <w:t>(x)</w:t>
      </w:r>
      <w:r>
        <w:rPr>
          <w:rFonts w:cs="Arial"/>
          <w:szCs w:val="22"/>
        </w:rPr>
        <w:tab/>
      </w:r>
      <w:r>
        <w:rPr>
          <w:rFonts w:cs="Arial"/>
          <w:szCs w:val="22"/>
        </w:rPr>
        <w:tab/>
      </w:r>
      <w:r w:rsidRPr="001F0E92">
        <w:rPr>
          <w:rFonts w:cs="Arial"/>
          <w:szCs w:val="22"/>
        </w:rPr>
        <w:t xml:space="preserve">Equation </w:t>
      </w:r>
      <w:r w:rsidRPr="001F0E92">
        <w:rPr>
          <w:rFonts w:cs="Arial"/>
          <w:szCs w:val="22"/>
        </w:rPr>
        <w:fldChar w:fldCharType="begin"/>
      </w:r>
      <w:r w:rsidRPr="001F0E92">
        <w:rPr>
          <w:rFonts w:cs="Arial"/>
          <w:szCs w:val="22"/>
        </w:rPr>
        <w:instrText xml:space="preserve"> SEQ Equation \* ARABIC </w:instrText>
      </w:r>
      <w:r w:rsidRPr="001F0E92">
        <w:rPr>
          <w:rFonts w:cs="Arial"/>
          <w:szCs w:val="22"/>
        </w:rPr>
        <w:fldChar w:fldCharType="separate"/>
      </w:r>
      <w:r w:rsidR="0067675D">
        <w:rPr>
          <w:rFonts w:cs="Arial"/>
          <w:noProof/>
          <w:szCs w:val="22"/>
        </w:rPr>
        <w:t>1</w:t>
      </w:r>
      <w:r w:rsidRPr="001F0E92">
        <w:rPr>
          <w:rFonts w:cs="Arial"/>
          <w:noProof/>
          <w:szCs w:val="22"/>
        </w:rPr>
        <w:fldChar w:fldCharType="end"/>
      </w:r>
    </w:p>
    <w:p w14:paraId="63D3DFCA" w14:textId="77777777" w:rsidR="00D355BA" w:rsidRDefault="00D355BA" w:rsidP="00D355BA">
      <w:pPr>
        <w:pStyle w:val="Caption"/>
        <w:rPr>
          <w:rFonts w:cs="Arial"/>
          <w:szCs w:val="22"/>
        </w:rPr>
      </w:pPr>
      <w:r w:rsidRPr="001F0E92">
        <w:rPr>
          <w:rFonts w:cs="Arial"/>
          <w:szCs w:val="22"/>
        </w:rPr>
        <w:t xml:space="preserve">Where %C is the average </w:t>
      </w:r>
      <w:r>
        <w:rPr>
          <w:rFonts w:cs="Arial"/>
          <w:szCs w:val="22"/>
        </w:rPr>
        <w:t xml:space="preserve">per cent </w:t>
      </w:r>
      <w:r w:rsidRPr="001F0E92">
        <w:rPr>
          <w:rFonts w:cs="Arial"/>
          <w:szCs w:val="22"/>
        </w:rPr>
        <w:t xml:space="preserve">cover of all seagrass species at the site. </w:t>
      </w:r>
    </w:p>
    <w:p w14:paraId="523D321B" w14:textId="77777777" w:rsidR="00D355BA" w:rsidRDefault="00D355BA" w:rsidP="00D355BA">
      <w:pPr>
        <w:rPr>
          <w:rFonts w:cs="Arial"/>
          <w:szCs w:val="22"/>
          <w:lang w:val="en-GB"/>
        </w:rPr>
      </w:pPr>
      <w:r>
        <w:rPr>
          <w:rFonts w:cs="Arial"/>
          <w:szCs w:val="22"/>
          <w:lang w:val="en-GB"/>
        </w:rPr>
        <w:t>A GLM model was used to investigate the influence of the lagged C:N ratio on the change in seagrass cover by Habitat and NRM Region. Model selection using the dredge function was applied and the optimal model (gaussian distribution) was as follows:</w:t>
      </w:r>
    </w:p>
    <w:p w14:paraId="10B81AF7" w14:textId="77777777" w:rsidR="00D355BA" w:rsidRDefault="00D355BA" w:rsidP="00D355BA">
      <w:pPr>
        <w:rPr>
          <w:rFonts w:cs="Arial"/>
          <w:szCs w:val="22"/>
          <w:lang w:val="en-GB"/>
        </w:rPr>
      </w:pPr>
      <w:r>
        <w:rPr>
          <w:rFonts w:cs="Arial"/>
          <w:szCs w:val="22"/>
          <w:lang w:val="en-GB"/>
        </w:rPr>
        <w:t xml:space="preserve">Change in cover = </w:t>
      </w:r>
      <w:r w:rsidRPr="00FF1802">
        <w:rPr>
          <w:rFonts w:cs="Arial"/>
          <w:szCs w:val="22"/>
          <w:lang w:val="en-GB"/>
        </w:rPr>
        <w:t>CN_lag + Habitat + Region + CN_lag:Habitat +</w:t>
      </w:r>
      <w:r>
        <w:rPr>
          <w:rFonts w:cs="Arial"/>
          <w:szCs w:val="22"/>
          <w:lang w:val="en-GB"/>
        </w:rPr>
        <w:t xml:space="preserve"> </w:t>
      </w:r>
      <w:r w:rsidRPr="00FF1802">
        <w:rPr>
          <w:rFonts w:cs="Arial"/>
          <w:szCs w:val="22"/>
          <w:lang w:val="en-GB"/>
        </w:rPr>
        <w:t>CN_lag:Region + Habitat:Region + CN_lag:Habitat:Region</w:t>
      </w:r>
    </w:p>
    <w:p w14:paraId="01EF3174" w14:textId="77777777" w:rsidR="00D355BA" w:rsidRDefault="00D355BA" w:rsidP="00D355BA">
      <w:pPr>
        <w:rPr>
          <w:rFonts w:cs="Arial"/>
          <w:szCs w:val="22"/>
          <w:lang w:val="en-GB"/>
        </w:rPr>
      </w:pPr>
      <w:r>
        <w:rPr>
          <w:rFonts w:cs="Arial"/>
          <w:szCs w:val="22"/>
          <w:lang w:val="en-GB"/>
        </w:rPr>
        <w:t xml:space="preserve">Where CN_lag is the CN of year x and other factors are described in Table 1. </w:t>
      </w:r>
    </w:p>
    <w:p w14:paraId="5048D9B3" w14:textId="77777777" w:rsidR="00D355BA" w:rsidRPr="003A4E60" w:rsidRDefault="00D355BA" w:rsidP="00D355BA">
      <w:pPr>
        <w:pStyle w:val="Heading3"/>
        <w:numPr>
          <w:ilvl w:val="0"/>
          <w:numId w:val="0"/>
        </w:numPr>
        <w:rPr>
          <w:rFonts w:asciiTheme="minorHAnsi" w:hAnsiTheme="minorHAnsi" w:cstheme="minorHAnsi"/>
          <w:sz w:val="24"/>
          <w:szCs w:val="24"/>
        </w:rPr>
      </w:pPr>
      <w:bookmarkStart w:id="850" w:name="_Toc28249476"/>
      <w:bookmarkStart w:id="851" w:name="_Toc43987109"/>
      <w:r>
        <w:rPr>
          <w:rFonts w:asciiTheme="minorHAnsi" w:hAnsiTheme="minorHAnsi" w:cstheme="minorHAnsi"/>
          <w:sz w:val="24"/>
          <w:szCs w:val="24"/>
        </w:rPr>
        <w:lastRenderedPageBreak/>
        <w:t>Results</w:t>
      </w:r>
      <w:bookmarkEnd w:id="850"/>
      <w:bookmarkEnd w:id="851"/>
    </w:p>
    <w:p w14:paraId="15D48877" w14:textId="77777777" w:rsidR="00D355BA" w:rsidRPr="00A60A85" w:rsidRDefault="00D355BA" w:rsidP="00D355BA">
      <w:pPr>
        <w:pStyle w:val="Heading4"/>
        <w:numPr>
          <w:ilvl w:val="0"/>
          <w:numId w:val="0"/>
        </w:numPr>
      </w:pPr>
      <w:bookmarkStart w:id="852" w:name="_Toc43987110"/>
      <w:r>
        <w:t>Long-term baseline s</w:t>
      </w:r>
      <w:r w:rsidRPr="00A60A85">
        <w:t xml:space="preserve">ummary of </w:t>
      </w:r>
      <w:r>
        <w:t>leaf C:N in seagrasses of the Reef</w:t>
      </w:r>
      <w:bookmarkEnd w:id="852"/>
    </w:p>
    <w:p w14:paraId="1583FEF2" w14:textId="77777777" w:rsidR="00D355BA" w:rsidRDefault="00D355BA" w:rsidP="00D355BA">
      <w:pPr>
        <w:rPr>
          <w:rFonts w:cs="Arial"/>
          <w:szCs w:val="22"/>
        </w:rPr>
      </w:pPr>
      <w:r>
        <w:rPr>
          <w:rFonts w:cs="Arial"/>
          <w:szCs w:val="22"/>
        </w:rPr>
        <w:t xml:space="preserve">The median C:N of all species pooled in the Reef was 17.3 (Table 4). However, C:N varies among species, with </w:t>
      </w:r>
      <w:r w:rsidRPr="00023D7E">
        <w:rPr>
          <w:rFonts w:cs="Arial"/>
          <w:i/>
          <w:szCs w:val="22"/>
        </w:rPr>
        <w:t>T. hemprichii</w:t>
      </w:r>
      <w:r>
        <w:rPr>
          <w:rFonts w:cs="Arial"/>
          <w:szCs w:val="22"/>
        </w:rPr>
        <w:t xml:space="preserve"> and </w:t>
      </w:r>
      <w:r w:rsidRPr="00023D7E">
        <w:rPr>
          <w:rFonts w:cs="Arial"/>
          <w:i/>
          <w:szCs w:val="22"/>
        </w:rPr>
        <w:t>H. uninervis</w:t>
      </w:r>
      <w:r>
        <w:rPr>
          <w:rFonts w:cs="Arial"/>
          <w:szCs w:val="22"/>
        </w:rPr>
        <w:t xml:space="preserve"> having the lowest median C:N (16.2 and 16.3), and </w:t>
      </w:r>
      <w:r w:rsidRPr="00023D7E">
        <w:rPr>
          <w:rFonts w:cs="Arial"/>
          <w:i/>
          <w:szCs w:val="22"/>
        </w:rPr>
        <w:t>C. serrulata</w:t>
      </w:r>
      <w:r>
        <w:rPr>
          <w:rFonts w:cs="Arial"/>
          <w:szCs w:val="22"/>
        </w:rPr>
        <w:t xml:space="preserve"> the highest (21.9, Table 4). Median C:N exceeds the global guideline value of 20 in </w:t>
      </w:r>
      <w:r w:rsidRPr="00426A7B">
        <w:rPr>
          <w:rFonts w:cs="Arial"/>
          <w:i/>
          <w:szCs w:val="22"/>
        </w:rPr>
        <w:t>C. serrulata</w:t>
      </w:r>
      <w:r>
        <w:rPr>
          <w:rFonts w:cs="Arial"/>
          <w:szCs w:val="22"/>
        </w:rPr>
        <w:t xml:space="preserve">, and </w:t>
      </w:r>
      <w:r w:rsidRPr="00426A7B">
        <w:rPr>
          <w:rFonts w:cs="Arial"/>
          <w:i/>
          <w:szCs w:val="22"/>
        </w:rPr>
        <w:t>S. isoetifolium</w:t>
      </w:r>
      <w:r>
        <w:rPr>
          <w:rFonts w:cs="Arial"/>
          <w:szCs w:val="22"/>
        </w:rPr>
        <w:t xml:space="preserve"> but not in the remaining species (Table 4, Figure 2) highlighting that species composition will affect scores based on the guideline of 20. C:N of species also varies among habitats, particularly for two of the species most broadly distributed throughout the Reef: </w:t>
      </w:r>
      <w:r w:rsidRPr="00023D7E">
        <w:rPr>
          <w:rFonts w:cs="Arial"/>
          <w:i/>
          <w:szCs w:val="22"/>
        </w:rPr>
        <w:t>Z. muelleri</w:t>
      </w:r>
      <w:r>
        <w:rPr>
          <w:rFonts w:cs="Arial"/>
          <w:szCs w:val="22"/>
        </w:rPr>
        <w:t xml:space="preserve"> and </w:t>
      </w:r>
      <w:r w:rsidRPr="00023D7E">
        <w:rPr>
          <w:rFonts w:cs="Arial"/>
          <w:i/>
          <w:szCs w:val="22"/>
        </w:rPr>
        <w:t>H. uninervis</w:t>
      </w:r>
      <w:r>
        <w:rPr>
          <w:rFonts w:cs="Arial"/>
          <w:szCs w:val="22"/>
        </w:rPr>
        <w:t xml:space="preserve"> (Figure 3). C:N is higher in </w:t>
      </w:r>
      <w:r w:rsidRPr="00023D7E">
        <w:rPr>
          <w:rFonts w:cs="Arial"/>
          <w:i/>
          <w:szCs w:val="22"/>
        </w:rPr>
        <w:t>H. uninervis</w:t>
      </w:r>
      <w:r>
        <w:rPr>
          <w:rFonts w:cs="Arial"/>
          <w:szCs w:val="22"/>
        </w:rPr>
        <w:t xml:space="preserve"> from reef habitats (both intertidal and subtidal), while for </w:t>
      </w:r>
      <w:r w:rsidRPr="00023D7E">
        <w:rPr>
          <w:rFonts w:cs="Arial"/>
          <w:i/>
          <w:szCs w:val="22"/>
        </w:rPr>
        <w:t>Z. muelleri</w:t>
      </w:r>
      <w:r>
        <w:rPr>
          <w:rFonts w:cs="Arial"/>
          <w:szCs w:val="22"/>
        </w:rPr>
        <w:t xml:space="preserve"> C:N is lowest in reef habitats (intertidal only as it is not found in subtidal reef habitats) (Figure 4). </w:t>
      </w:r>
    </w:p>
    <w:p w14:paraId="03D848DC" w14:textId="77777777" w:rsidR="00D355BA" w:rsidRDefault="00D355BA" w:rsidP="00D355BA">
      <w:pPr>
        <w:rPr>
          <w:rFonts w:cs="Arial"/>
          <w:szCs w:val="22"/>
        </w:rPr>
      </w:pPr>
      <w:r>
        <w:rPr>
          <w:rFonts w:cs="Arial"/>
          <w:szCs w:val="22"/>
        </w:rPr>
        <w:t xml:space="preserve">Table 4. </w:t>
      </w:r>
      <w:r w:rsidRPr="00965259">
        <w:rPr>
          <w:rFonts w:cs="Arial"/>
          <w:i/>
          <w:szCs w:val="22"/>
        </w:rPr>
        <w:t>The mean, median, 25</w:t>
      </w:r>
      <w:r w:rsidRPr="00965259">
        <w:rPr>
          <w:rFonts w:cs="Arial"/>
          <w:i/>
          <w:szCs w:val="22"/>
          <w:vertAlign w:val="superscript"/>
        </w:rPr>
        <w:t>th</w:t>
      </w:r>
      <w:r w:rsidRPr="00965259">
        <w:rPr>
          <w:rFonts w:cs="Arial"/>
          <w:i/>
          <w:szCs w:val="22"/>
        </w:rPr>
        <w:t xml:space="preserve"> and 75</w:t>
      </w:r>
      <w:r w:rsidRPr="00965259">
        <w:rPr>
          <w:rFonts w:cs="Arial"/>
          <w:i/>
          <w:szCs w:val="22"/>
          <w:vertAlign w:val="superscript"/>
        </w:rPr>
        <w:t>th</w:t>
      </w:r>
      <w:r w:rsidRPr="00965259">
        <w:rPr>
          <w:rFonts w:cs="Arial"/>
          <w:i/>
          <w:szCs w:val="22"/>
        </w:rPr>
        <w:t xml:space="preserve"> percentiles (PCTL) of C:N ratios for all species pooled in the Reef, and for the six species assessed in the MMP. Samples were collected from 2005 to 2018.</w:t>
      </w:r>
    </w:p>
    <w:tbl>
      <w:tblPr>
        <w:tblStyle w:val="Table"/>
        <w:tblW w:w="5529" w:type="dxa"/>
        <w:jc w:val="center"/>
        <w:tblBorders>
          <w:top w:val="single" w:sz="4" w:space="0" w:color="auto"/>
          <w:bottom w:val="single" w:sz="4" w:space="0" w:color="auto"/>
        </w:tblBorders>
        <w:tblLook w:val="04A0" w:firstRow="1" w:lastRow="0" w:firstColumn="1" w:lastColumn="0" w:noHBand="0" w:noVBand="1"/>
        <w:tblDescription w:val="The mean, median, 25th and 75th percentiles (PCTL) of C:N ratios for all species pooled in the Reef, and for the six species assessed in the MMP. Samples were collected from 2005 to 2018."/>
      </w:tblPr>
      <w:tblGrid>
        <w:gridCol w:w="1560"/>
        <w:gridCol w:w="992"/>
        <w:gridCol w:w="993"/>
        <w:gridCol w:w="992"/>
        <w:gridCol w:w="992"/>
      </w:tblGrid>
      <w:tr w:rsidR="00D355BA" w:rsidRPr="00965259" w14:paraId="622D1EB7" w14:textId="77777777" w:rsidTr="0094354F">
        <w:trPr>
          <w:trHeight w:val="320"/>
          <w:tblHeader/>
          <w:jc w:val="center"/>
        </w:trPr>
        <w:tc>
          <w:tcPr>
            <w:tcW w:w="1560" w:type="dxa"/>
            <w:tcBorders>
              <w:top w:val="single" w:sz="4" w:space="0" w:color="auto"/>
              <w:bottom w:val="single" w:sz="4" w:space="0" w:color="auto"/>
            </w:tcBorders>
            <w:noWrap/>
            <w:hideMark/>
          </w:tcPr>
          <w:p w14:paraId="1B6FC337" w14:textId="77777777" w:rsidR="00D355BA" w:rsidRPr="00965259" w:rsidRDefault="00D355BA" w:rsidP="0094354F">
            <w:pPr>
              <w:spacing w:before="0" w:after="0"/>
              <w:rPr>
                <w:rFonts w:cs="Arial"/>
                <w:b/>
                <w:color w:val="000000"/>
                <w:sz w:val="20"/>
              </w:rPr>
            </w:pPr>
            <w:r w:rsidRPr="00965259">
              <w:rPr>
                <w:rFonts w:cs="Arial"/>
                <w:b/>
                <w:color w:val="000000"/>
                <w:sz w:val="20"/>
              </w:rPr>
              <w:t>Species</w:t>
            </w:r>
          </w:p>
        </w:tc>
        <w:tc>
          <w:tcPr>
            <w:tcW w:w="992" w:type="dxa"/>
            <w:tcBorders>
              <w:top w:val="single" w:sz="4" w:space="0" w:color="auto"/>
              <w:bottom w:val="single" w:sz="4" w:space="0" w:color="auto"/>
            </w:tcBorders>
            <w:noWrap/>
            <w:hideMark/>
          </w:tcPr>
          <w:p w14:paraId="29A0DDAA" w14:textId="77777777" w:rsidR="00D355BA" w:rsidRPr="00965259" w:rsidRDefault="00D355BA" w:rsidP="0094354F">
            <w:pPr>
              <w:spacing w:before="0" w:after="0"/>
              <w:jc w:val="center"/>
              <w:rPr>
                <w:rFonts w:cs="Arial"/>
                <w:b/>
                <w:color w:val="000000"/>
                <w:sz w:val="20"/>
              </w:rPr>
            </w:pPr>
            <w:r w:rsidRPr="00965259">
              <w:rPr>
                <w:rFonts w:cs="Arial"/>
                <w:b/>
                <w:color w:val="000000"/>
                <w:sz w:val="20"/>
              </w:rPr>
              <w:t>Mean</w:t>
            </w:r>
          </w:p>
        </w:tc>
        <w:tc>
          <w:tcPr>
            <w:tcW w:w="993" w:type="dxa"/>
            <w:tcBorders>
              <w:top w:val="single" w:sz="4" w:space="0" w:color="auto"/>
              <w:bottom w:val="single" w:sz="4" w:space="0" w:color="auto"/>
            </w:tcBorders>
            <w:noWrap/>
            <w:hideMark/>
          </w:tcPr>
          <w:p w14:paraId="1B647D94" w14:textId="77777777" w:rsidR="00D355BA" w:rsidRPr="00965259" w:rsidRDefault="00D355BA" w:rsidP="0094354F">
            <w:pPr>
              <w:spacing w:before="0" w:after="0"/>
              <w:jc w:val="center"/>
              <w:rPr>
                <w:rFonts w:cs="Arial"/>
                <w:b/>
                <w:color w:val="000000"/>
                <w:sz w:val="20"/>
              </w:rPr>
            </w:pPr>
            <w:r w:rsidRPr="00965259">
              <w:rPr>
                <w:rFonts w:cs="Arial"/>
                <w:b/>
                <w:color w:val="000000"/>
                <w:sz w:val="20"/>
              </w:rPr>
              <w:t>Median</w:t>
            </w:r>
          </w:p>
        </w:tc>
        <w:tc>
          <w:tcPr>
            <w:tcW w:w="992" w:type="dxa"/>
            <w:tcBorders>
              <w:top w:val="single" w:sz="4" w:space="0" w:color="auto"/>
              <w:bottom w:val="single" w:sz="4" w:space="0" w:color="auto"/>
            </w:tcBorders>
            <w:noWrap/>
            <w:hideMark/>
          </w:tcPr>
          <w:p w14:paraId="793260CB" w14:textId="77777777" w:rsidR="00D355BA" w:rsidRPr="00965259" w:rsidRDefault="00D355BA" w:rsidP="0094354F">
            <w:pPr>
              <w:spacing w:before="0" w:after="0"/>
              <w:jc w:val="center"/>
              <w:rPr>
                <w:rFonts w:cs="Arial"/>
                <w:b/>
                <w:color w:val="000000"/>
                <w:sz w:val="20"/>
              </w:rPr>
            </w:pPr>
            <w:r w:rsidRPr="00965259">
              <w:rPr>
                <w:rFonts w:cs="Arial"/>
                <w:b/>
                <w:color w:val="000000"/>
                <w:sz w:val="20"/>
              </w:rPr>
              <w:t>25</w:t>
            </w:r>
            <w:r w:rsidRPr="00965259">
              <w:rPr>
                <w:rFonts w:cs="Arial"/>
                <w:b/>
                <w:color w:val="000000"/>
                <w:sz w:val="20"/>
                <w:vertAlign w:val="superscript"/>
              </w:rPr>
              <w:t>th</w:t>
            </w:r>
            <w:r w:rsidRPr="00965259">
              <w:rPr>
                <w:rFonts w:cs="Arial"/>
                <w:b/>
                <w:color w:val="000000"/>
                <w:sz w:val="20"/>
              </w:rPr>
              <w:t xml:space="preserve"> PCTL</w:t>
            </w:r>
          </w:p>
        </w:tc>
        <w:tc>
          <w:tcPr>
            <w:tcW w:w="992" w:type="dxa"/>
            <w:tcBorders>
              <w:top w:val="single" w:sz="4" w:space="0" w:color="auto"/>
              <w:bottom w:val="single" w:sz="4" w:space="0" w:color="auto"/>
            </w:tcBorders>
            <w:noWrap/>
            <w:hideMark/>
          </w:tcPr>
          <w:p w14:paraId="1CB83745" w14:textId="77777777" w:rsidR="00D355BA" w:rsidRPr="00965259" w:rsidRDefault="00D355BA" w:rsidP="0094354F">
            <w:pPr>
              <w:spacing w:before="0" w:after="0"/>
              <w:jc w:val="center"/>
              <w:rPr>
                <w:rFonts w:cs="Arial"/>
                <w:b/>
                <w:color w:val="000000"/>
                <w:sz w:val="20"/>
              </w:rPr>
            </w:pPr>
            <w:r w:rsidRPr="00965259">
              <w:rPr>
                <w:rFonts w:cs="Arial"/>
                <w:b/>
                <w:color w:val="000000"/>
                <w:sz w:val="20"/>
              </w:rPr>
              <w:t>75</w:t>
            </w:r>
            <w:r w:rsidRPr="00965259">
              <w:rPr>
                <w:rFonts w:cs="Arial"/>
                <w:b/>
                <w:color w:val="000000"/>
                <w:sz w:val="20"/>
                <w:vertAlign w:val="superscript"/>
              </w:rPr>
              <w:t>th</w:t>
            </w:r>
            <w:r w:rsidRPr="00965259">
              <w:rPr>
                <w:rFonts w:cs="Arial"/>
                <w:b/>
                <w:color w:val="000000"/>
                <w:sz w:val="20"/>
              </w:rPr>
              <w:t xml:space="preserve"> PCTL</w:t>
            </w:r>
          </w:p>
        </w:tc>
      </w:tr>
      <w:tr w:rsidR="00D355BA" w14:paraId="0A7906EC" w14:textId="77777777" w:rsidTr="0094354F">
        <w:trPr>
          <w:trHeight w:val="320"/>
          <w:jc w:val="center"/>
        </w:trPr>
        <w:tc>
          <w:tcPr>
            <w:tcW w:w="1560" w:type="dxa"/>
            <w:tcBorders>
              <w:top w:val="single" w:sz="4" w:space="0" w:color="auto"/>
            </w:tcBorders>
            <w:noWrap/>
            <w:hideMark/>
          </w:tcPr>
          <w:p w14:paraId="78004BB6" w14:textId="77777777" w:rsidR="00D355BA" w:rsidRPr="005C23C6" w:rsidRDefault="00D355BA" w:rsidP="0094354F">
            <w:pPr>
              <w:spacing w:before="0" w:after="0"/>
              <w:rPr>
                <w:rFonts w:cs="Arial"/>
                <w:color w:val="000000"/>
                <w:sz w:val="20"/>
              </w:rPr>
            </w:pPr>
            <w:r w:rsidRPr="005C23C6">
              <w:rPr>
                <w:rFonts w:cs="Arial"/>
                <w:color w:val="000000"/>
                <w:sz w:val="20"/>
              </w:rPr>
              <w:t>Reef pooled</w:t>
            </w:r>
          </w:p>
        </w:tc>
        <w:tc>
          <w:tcPr>
            <w:tcW w:w="992" w:type="dxa"/>
            <w:tcBorders>
              <w:top w:val="single" w:sz="4" w:space="0" w:color="auto"/>
            </w:tcBorders>
            <w:noWrap/>
            <w:hideMark/>
          </w:tcPr>
          <w:p w14:paraId="3E658146" w14:textId="77777777" w:rsidR="00D355BA" w:rsidRPr="005C23C6" w:rsidRDefault="00D355BA" w:rsidP="0094354F">
            <w:pPr>
              <w:spacing w:before="0" w:after="0"/>
              <w:jc w:val="center"/>
              <w:rPr>
                <w:rFonts w:cs="Arial"/>
                <w:color w:val="000000"/>
                <w:sz w:val="20"/>
              </w:rPr>
            </w:pPr>
            <w:r w:rsidRPr="005C23C6">
              <w:rPr>
                <w:rFonts w:cs="Arial"/>
                <w:color w:val="000000"/>
                <w:sz w:val="20"/>
              </w:rPr>
              <w:t>17.7</w:t>
            </w:r>
          </w:p>
        </w:tc>
        <w:tc>
          <w:tcPr>
            <w:tcW w:w="993" w:type="dxa"/>
            <w:tcBorders>
              <w:top w:val="single" w:sz="4" w:space="0" w:color="auto"/>
            </w:tcBorders>
            <w:noWrap/>
            <w:hideMark/>
          </w:tcPr>
          <w:p w14:paraId="571D3385" w14:textId="77777777" w:rsidR="00D355BA" w:rsidRPr="005C23C6" w:rsidRDefault="00D355BA" w:rsidP="0094354F">
            <w:pPr>
              <w:spacing w:before="0" w:after="0"/>
              <w:jc w:val="center"/>
              <w:rPr>
                <w:rFonts w:cs="Arial"/>
                <w:color w:val="000000"/>
                <w:sz w:val="20"/>
              </w:rPr>
            </w:pPr>
            <w:r w:rsidRPr="005C23C6">
              <w:rPr>
                <w:rFonts w:cs="Arial"/>
                <w:color w:val="000000"/>
                <w:sz w:val="20"/>
              </w:rPr>
              <w:t>17.3</w:t>
            </w:r>
          </w:p>
        </w:tc>
        <w:tc>
          <w:tcPr>
            <w:tcW w:w="992" w:type="dxa"/>
            <w:tcBorders>
              <w:top w:val="single" w:sz="4" w:space="0" w:color="auto"/>
            </w:tcBorders>
            <w:noWrap/>
            <w:hideMark/>
          </w:tcPr>
          <w:p w14:paraId="164E4E09" w14:textId="77777777" w:rsidR="00D355BA" w:rsidRPr="005C23C6" w:rsidRDefault="00D355BA" w:rsidP="0094354F">
            <w:pPr>
              <w:spacing w:before="0" w:after="0"/>
              <w:jc w:val="center"/>
              <w:rPr>
                <w:rFonts w:cs="Arial"/>
                <w:color w:val="000000"/>
                <w:sz w:val="20"/>
              </w:rPr>
            </w:pPr>
            <w:r w:rsidRPr="005C23C6">
              <w:rPr>
                <w:rFonts w:cs="Arial"/>
                <w:color w:val="000000"/>
                <w:sz w:val="20"/>
              </w:rPr>
              <w:t>15.1</w:t>
            </w:r>
          </w:p>
        </w:tc>
        <w:tc>
          <w:tcPr>
            <w:tcW w:w="992" w:type="dxa"/>
            <w:tcBorders>
              <w:top w:val="single" w:sz="4" w:space="0" w:color="auto"/>
            </w:tcBorders>
            <w:noWrap/>
            <w:hideMark/>
          </w:tcPr>
          <w:p w14:paraId="55146524" w14:textId="77777777" w:rsidR="00D355BA" w:rsidRPr="005C23C6" w:rsidRDefault="00D355BA" w:rsidP="0094354F">
            <w:pPr>
              <w:spacing w:before="0" w:after="0"/>
              <w:jc w:val="center"/>
              <w:rPr>
                <w:rFonts w:cs="Arial"/>
                <w:color w:val="000000"/>
                <w:sz w:val="20"/>
              </w:rPr>
            </w:pPr>
            <w:r w:rsidRPr="005C23C6">
              <w:rPr>
                <w:rFonts w:cs="Arial"/>
                <w:color w:val="000000"/>
                <w:sz w:val="20"/>
              </w:rPr>
              <w:t>20.0</w:t>
            </w:r>
          </w:p>
        </w:tc>
      </w:tr>
      <w:tr w:rsidR="00D355BA" w14:paraId="778AD59C" w14:textId="77777777" w:rsidTr="0094354F">
        <w:trPr>
          <w:trHeight w:val="320"/>
          <w:jc w:val="center"/>
        </w:trPr>
        <w:tc>
          <w:tcPr>
            <w:tcW w:w="1560" w:type="dxa"/>
            <w:noWrap/>
            <w:hideMark/>
          </w:tcPr>
          <w:p w14:paraId="600B5457" w14:textId="77777777" w:rsidR="00D355BA" w:rsidRPr="005C23C6" w:rsidRDefault="00D355BA" w:rsidP="0094354F">
            <w:pPr>
              <w:spacing w:before="0" w:after="0"/>
              <w:rPr>
                <w:rFonts w:cs="Arial"/>
                <w:i/>
                <w:color w:val="000000"/>
                <w:sz w:val="20"/>
              </w:rPr>
            </w:pPr>
            <w:r w:rsidRPr="005C23C6">
              <w:rPr>
                <w:rFonts w:cs="Arial"/>
                <w:i/>
                <w:color w:val="000000"/>
                <w:sz w:val="20"/>
              </w:rPr>
              <w:t>C. rotundata</w:t>
            </w:r>
          </w:p>
        </w:tc>
        <w:tc>
          <w:tcPr>
            <w:tcW w:w="992" w:type="dxa"/>
            <w:noWrap/>
            <w:hideMark/>
          </w:tcPr>
          <w:p w14:paraId="2DAF67D2" w14:textId="77777777" w:rsidR="00D355BA" w:rsidRPr="005C23C6" w:rsidRDefault="00D355BA" w:rsidP="0094354F">
            <w:pPr>
              <w:spacing w:before="0" w:after="0"/>
              <w:jc w:val="center"/>
              <w:rPr>
                <w:rFonts w:cs="Arial"/>
                <w:color w:val="000000"/>
                <w:sz w:val="20"/>
              </w:rPr>
            </w:pPr>
            <w:r w:rsidRPr="005C23C6">
              <w:rPr>
                <w:rFonts w:cs="Arial"/>
                <w:color w:val="000000"/>
                <w:sz w:val="20"/>
              </w:rPr>
              <w:t>18.6</w:t>
            </w:r>
          </w:p>
        </w:tc>
        <w:tc>
          <w:tcPr>
            <w:tcW w:w="993" w:type="dxa"/>
            <w:noWrap/>
            <w:hideMark/>
          </w:tcPr>
          <w:p w14:paraId="3D2EB171" w14:textId="77777777" w:rsidR="00D355BA" w:rsidRPr="005C23C6" w:rsidRDefault="00D355BA" w:rsidP="0094354F">
            <w:pPr>
              <w:spacing w:before="0" w:after="0"/>
              <w:jc w:val="center"/>
              <w:rPr>
                <w:rFonts w:cs="Arial"/>
                <w:color w:val="000000"/>
                <w:sz w:val="20"/>
              </w:rPr>
            </w:pPr>
            <w:r w:rsidRPr="005C23C6">
              <w:rPr>
                <w:rFonts w:cs="Arial"/>
                <w:color w:val="000000"/>
                <w:sz w:val="20"/>
              </w:rPr>
              <w:t>18.0</w:t>
            </w:r>
          </w:p>
        </w:tc>
        <w:tc>
          <w:tcPr>
            <w:tcW w:w="992" w:type="dxa"/>
            <w:noWrap/>
            <w:hideMark/>
          </w:tcPr>
          <w:p w14:paraId="435A00D6" w14:textId="77777777" w:rsidR="00D355BA" w:rsidRPr="005C23C6" w:rsidRDefault="00D355BA" w:rsidP="0094354F">
            <w:pPr>
              <w:spacing w:before="0" w:after="0"/>
              <w:jc w:val="center"/>
              <w:rPr>
                <w:rFonts w:cs="Arial"/>
                <w:color w:val="000000"/>
                <w:sz w:val="20"/>
              </w:rPr>
            </w:pPr>
            <w:r w:rsidRPr="005C23C6">
              <w:rPr>
                <w:rFonts w:cs="Arial"/>
                <w:color w:val="000000"/>
                <w:sz w:val="20"/>
              </w:rPr>
              <w:t>16.8</w:t>
            </w:r>
          </w:p>
        </w:tc>
        <w:tc>
          <w:tcPr>
            <w:tcW w:w="992" w:type="dxa"/>
            <w:noWrap/>
            <w:hideMark/>
          </w:tcPr>
          <w:p w14:paraId="6EDEE1D7" w14:textId="77777777" w:rsidR="00D355BA" w:rsidRPr="005C23C6" w:rsidRDefault="00D355BA" w:rsidP="0094354F">
            <w:pPr>
              <w:spacing w:before="0" w:after="0"/>
              <w:jc w:val="center"/>
              <w:rPr>
                <w:rFonts w:cs="Arial"/>
                <w:color w:val="000000"/>
                <w:sz w:val="20"/>
              </w:rPr>
            </w:pPr>
            <w:r w:rsidRPr="005C23C6">
              <w:rPr>
                <w:rFonts w:cs="Arial"/>
                <w:color w:val="000000"/>
                <w:sz w:val="20"/>
              </w:rPr>
              <w:t>19.7</w:t>
            </w:r>
          </w:p>
        </w:tc>
      </w:tr>
      <w:tr w:rsidR="00D355BA" w14:paraId="4D1782FE" w14:textId="77777777" w:rsidTr="0094354F">
        <w:trPr>
          <w:trHeight w:val="320"/>
          <w:jc w:val="center"/>
        </w:trPr>
        <w:tc>
          <w:tcPr>
            <w:tcW w:w="1560" w:type="dxa"/>
            <w:noWrap/>
            <w:hideMark/>
          </w:tcPr>
          <w:p w14:paraId="2431C014" w14:textId="77777777" w:rsidR="00D355BA" w:rsidRPr="005C23C6" w:rsidRDefault="00D355BA" w:rsidP="0094354F">
            <w:pPr>
              <w:spacing w:before="0" w:after="0"/>
              <w:rPr>
                <w:rFonts w:cs="Arial"/>
                <w:i/>
                <w:color w:val="000000"/>
                <w:sz w:val="20"/>
              </w:rPr>
            </w:pPr>
            <w:r w:rsidRPr="005C23C6">
              <w:rPr>
                <w:rFonts w:cs="Arial"/>
                <w:i/>
                <w:color w:val="000000"/>
                <w:sz w:val="20"/>
              </w:rPr>
              <w:t>C. serrulata</w:t>
            </w:r>
          </w:p>
        </w:tc>
        <w:tc>
          <w:tcPr>
            <w:tcW w:w="992" w:type="dxa"/>
            <w:noWrap/>
            <w:hideMark/>
          </w:tcPr>
          <w:p w14:paraId="23A2833A" w14:textId="77777777" w:rsidR="00D355BA" w:rsidRPr="005C23C6" w:rsidRDefault="00D355BA" w:rsidP="0094354F">
            <w:pPr>
              <w:spacing w:before="0" w:after="0"/>
              <w:jc w:val="center"/>
              <w:rPr>
                <w:rFonts w:cs="Arial"/>
                <w:color w:val="000000"/>
                <w:sz w:val="20"/>
              </w:rPr>
            </w:pPr>
            <w:r w:rsidRPr="005C23C6">
              <w:rPr>
                <w:rFonts w:cs="Arial"/>
                <w:color w:val="000000"/>
                <w:sz w:val="20"/>
              </w:rPr>
              <w:t>22.3</w:t>
            </w:r>
          </w:p>
        </w:tc>
        <w:tc>
          <w:tcPr>
            <w:tcW w:w="993" w:type="dxa"/>
            <w:noWrap/>
            <w:hideMark/>
          </w:tcPr>
          <w:p w14:paraId="2C91183F" w14:textId="77777777" w:rsidR="00D355BA" w:rsidRPr="005C23C6" w:rsidRDefault="00D355BA" w:rsidP="0094354F">
            <w:pPr>
              <w:spacing w:before="0" w:after="0"/>
              <w:jc w:val="center"/>
              <w:rPr>
                <w:rFonts w:cs="Arial"/>
                <w:color w:val="000000"/>
                <w:sz w:val="20"/>
              </w:rPr>
            </w:pPr>
            <w:r w:rsidRPr="005C23C6">
              <w:rPr>
                <w:rFonts w:cs="Arial"/>
                <w:color w:val="000000"/>
                <w:sz w:val="20"/>
              </w:rPr>
              <w:t>21.9</w:t>
            </w:r>
          </w:p>
        </w:tc>
        <w:tc>
          <w:tcPr>
            <w:tcW w:w="992" w:type="dxa"/>
            <w:noWrap/>
            <w:hideMark/>
          </w:tcPr>
          <w:p w14:paraId="555BEA00" w14:textId="77777777" w:rsidR="00D355BA" w:rsidRPr="005C23C6" w:rsidRDefault="00D355BA" w:rsidP="0094354F">
            <w:pPr>
              <w:spacing w:before="0" w:after="0"/>
              <w:jc w:val="center"/>
              <w:rPr>
                <w:rFonts w:cs="Arial"/>
                <w:color w:val="000000"/>
                <w:sz w:val="20"/>
              </w:rPr>
            </w:pPr>
            <w:r w:rsidRPr="005C23C6">
              <w:rPr>
                <w:rFonts w:cs="Arial"/>
                <w:color w:val="000000"/>
                <w:sz w:val="20"/>
              </w:rPr>
              <w:t>20.0</w:t>
            </w:r>
          </w:p>
        </w:tc>
        <w:tc>
          <w:tcPr>
            <w:tcW w:w="992" w:type="dxa"/>
            <w:noWrap/>
            <w:hideMark/>
          </w:tcPr>
          <w:p w14:paraId="422CD5EB" w14:textId="77777777" w:rsidR="00D355BA" w:rsidRPr="005C23C6" w:rsidRDefault="00D355BA" w:rsidP="0094354F">
            <w:pPr>
              <w:spacing w:before="0" w:after="0"/>
              <w:jc w:val="center"/>
              <w:rPr>
                <w:rFonts w:cs="Arial"/>
                <w:color w:val="000000"/>
                <w:sz w:val="20"/>
              </w:rPr>
            </w:pPr>
            <w:r w:rsidRPr="005C23C6">
              <w:rPr>
                <w:rFonts w:cs="Arial"/>
                <w:color w:val="000000"/>
                <w:sz w:val="20"/>
              </w:rPr>
              <w:t>23.9</w:t>
            </w:r>
          </w:p>
        </w:tc>
      </w:tr>
      <w:tr w:rsidR="00D355BA" w14:paraId="501F321E" w14:textId="77777777" w:rsidTr="0094354F">
        <w:trPr>
          <w:trHeight w:val="320"/>
          <w:jc w:val="center"/>
        </w:trPr>
        <w:tc>
          <w:tcPr>
            <w:tcW w:w="1560" w:type="dxa"/>
            <w:noWrap/>
            <w:hideMark/>
          </w:tcPr>
          <w:p w14:paraId="1A093653" w14:textId="77777777" w:rsidR="00D355BA" w:rsidRPr="005C23C6" w:rsidRDefault="00D355BA" w:rsidP="0094354F">
            <w:pPr>
              <w:spacing w:before="0" w:after="0"/>
              <w:rPr>
                <w:rFonts w:cs="Arial"/>
                <w:i/>
                <w:color w:val="000000"/>
                <w:sz w:val="20"/>
              </w:rPr>
            </w:pPr>
            <w:r w:rsidRPr="005C23C6">
              <w:rPr>
                <w:rFonts w:cs="Arial"/>
                <w:i/>
                <w:color w:val="000000"/>
                <w:sz w:val="20"/>
              </w:rPr>
              <w:t>H. uninervis</w:t>
            </w:r>
          </w:p>
        </w:tc>
        <w:tc>
          <w:tcPr>
            <w:tcW w:w="992" w:type="dxa"/>
            <w:noWrap/>
            <w:hideMark/>
          </w:tcPr>
          <w:p w14:paraId="6E75BEC7" w14:textId="77777777" w:rsidR="00D355BA" w:rsidRPr="005C23C6" w:rsidRDefault="00D355BA" w:rsidP="0094354F">
            <w:pPr>
              <w:spacing w:before="0" w:after="0"/>
              <w:jc w:val="center"/>
              <w:rPr>
                <w:rFonts w:cs="Arial"/>
                <w:color w:val="000000"/>
                <w:sz w:val="20"/>
              </w:rPr>
            </w:pPr>
            <w:r w:rsidRPr="005C23C6">
              <w:rPr>
                <w:rFonts w:cs="Arial"/>
                <w:color w:val="000000"/>
                <w:sz w:val="20"/>
              </w:rPr>
              <w:t>16.4</w:t>
            </w:r>
          </w:p>
        </w:tc>
        <w:tc>
          <w:tcPr>
            <w:tcW w:w="993" w:type="dxa"/>
            <w:noWrap/>
            <w:hideMark/>
          </w:tcPr>
          <w:p w14:paraId="3624D413" w14:textId="77777777" w:rsidR="00D355BA" w:rsidRPr="005C23C6" w:rsidRDefault="00D355BA" w:rsidP="0094354F">
            <w:pPr>
              <w:spacing w:before="0" w:after="0"/>
              <w:jc w:val="center"/>
              <w:rPr>
                <w:rFonts w:cs="Arial"/>
                <w:color w:val="000000"/>
                <w:sz w:val="20"/>
              </w:rPr>
            </w:pPr>
            <w:r w:rsidRPr="005C23C6">
              <w:rPr>
                <w:rFonts w:cs="Arial"/>
                <w:color w:val="000000"/>
                <w:sz w:val="20"/>
              </w:rPr>
              <w:t>16.3</w:t>
            </w:r>
          </w:p>
        </w:tc>
        <w:tc>
          <w:tcPr>
            <w:tcW w:w="992" w:type="dxa"/>
            <w:noWrap/>
            <w:hideMark/>
          </w:tcPr>
          <w:p w14:paraId="3DE8B970" w14:textId="77777777" w:rsidR="00D355BA" w:rsidRPr="005C23C6" w:rsidRDefault="00D355BA" w:rsidP="0094354F">
            <w:pPr>
              <w:spacing w:before="0" w:after="0"/>
              <w:jc w:val="center"/>
              <w:rPr>
                <w:rFonts w:cs="Arial"/>
                <w:color w:val="000000"/>
                <w:sz w:val="20"/>
              </w:rPr>
            </w:pPr>
            <w:r w:rsidRPr="005C23C6">
              <w:rPr>
                <w:rFonts w:cs="Arial"/>
                <w:color w:val="000000"/>
                <w:sz w:val="20"/>
              </w:rPr>
              <w:t>13.4</w:t>
            </w:r>
          </w:p>
        </w:tc>
        <w:tc>
          <w:tcPr>
            <w:tcW w:w="992" w:type="dxa"/>
            <w:noWrap/>
            <w:hideMark/>
          </w:tcPr>
          <w:p w14:paraId="241EE40B" w14:textId="77777777" w:rsidR="00D355BA" w:rsidRPr="005C23C6" w:rsidRDefault="00D355BA" w:rsidP="0094354F">
            <w:pPr>
              <w:spacing w:before="0" w:after="0"/>
              <w:jc w:val="center"/>
              <w:rPr>
                <w:rFonts w:cs="Arial"/>
                <w:color w:val="000000"/>
                <w:sz w:val="20"/>
              </w:rPr>
            </w:pPr>
            <w:r w:rsidRPr="005C23C6">
              <w:rPr>
                <w:rFonts w:cs="Arial"/>
                <w:color w:val="000000"/>
                <w:sz w:val="20"/>
              </w:rPr>
              <w:t>18.7</w:t>
            </w:r>
          </w:p>
        </w:tc>
      </w:tr>
      <w:tr w:rsidR="00D355BA" w14:paraId="2EB452A4" w14:textId="77777777" w:rsidTr="0094354F">
        <w:trPr>
          <w:trHeight w:val="320"/>
          <w:jc w:val="center"/>
        </w:trPr>
        <w:tc>
          <w:tcPr>
            <w:tcW w:w="1560" w:type="dxa"/>
            <w:noWrap/>
            <w:hideMark/>
          </w:tcPr>
          <w:p w14:paraId="57D2849C" w14:textId="77777777" w:rsidR="00D355BA" w:rsidRPr="005C23C6" w:rsidRDefault="00D355BA" w:rsidP="0094354F">
            <w:pPr>
              <w:spacing w:before="0" w:after="0"/>
              <w:rPr>
                <w:rFonts w:cs="Arial"/>
                <w:i/>
                <w:color w:val="000000"/>
                <w:sz w:val="20"/>
              </w:rPr>
            </w:pPr>
            <w:r w:rsidRPr="005C23C6">
              <w:rPr>
                <w:rFonts w:cs="Arial"/>
                <w:i/>
                <w:color w:val="000000"/>
                <w:sz w:val="20"/>
              </w:rPr>
              <w:t>S. isoetifolium</w:t>
            </w:r>
          </w:p>
        </w:tc>
        <w:tc>
          <w:tcPr>
            <w:tcW w:w="992" w:type="dxa"/>
            <w:noWrap/>
            <w:hideMark/>
          </w:tcPr>
          <w:p w14:paraId="42363B19" w14:textId="77777777" w:rsidR="00D355BA" w:rsidRPr="005C23C6" w:rsidRDefault="00D355BA" w:rsidP="0094354F">
            <w:pPr>
              <w:spacing w:before="0" w:after="0"/>
              <w:jc w:val="center"/>
              <w:rPr>
                <w:rFonts w:cs="Arial"/>
                <w:color w:val="000000"/>
                <w:sz w:val="20"/>
              </w:rPr>
            </w:pPr>
            <w:r w:rsidRPr="005C23C6">
              <w:rPr>
                <w:rFonts w:cs="Arial"/>
                <w:color w:val="000000"/>
                <w:sz w:val="20"/>
              </w:rPr>
              <w:t>21.3</w:t>
            </w:r>
          </w:p>
        </w:tc>
        <w:tc>
          <w:tcPr>
            <w:tcW w:w="993" w:type="dxa"/>
            <w:noWrap/>
            <w:hideMark/>
          </w:tcPr>
          <w:p w14:paraId="35861389" w14:textId="77777777" w:rsidR="00D355BA" w:rsidRPr="005C23C6" w:rsidRDefault="00D355BA" w:rsidP="0094354F">
            <w:pPr>
              <w:spacing w:before="0" w:after="0"/>
              <w:jc w:val="center"/>
              <w:rPr>
                <w:rFonts w:cs="Arial"/>
                <w:color w:val="000000"/>
                <w:sz w:val="20"/>
              </w:rPr>
            </w:pPr>
            <w:r w:rsidRPr="005C23C6">
              <w:rPr>
                <w:rFonts w:cs="Arial"/>
                <w:color w:val="000000"/>
                <w:sz w:val="20"/>
              </w:rPr>
              <w:t>21.4</w:t>
            </w:r>
          </w:p>
        </w:tc>
        <w:tc>
          <w:tcPr>
            <w:tcW w:w="992" w:type="dxa"/>
            <w:noWrap/>
            <w:hideMark/>
          </w:tcPr>
          <w:p w14:paraId="73A8465C" w14:textId="77777777" w:rsidR="00D355BA" w:rsidRPr="005C23C6" w:rsidRDefault="00D355BA" w:rsidP="0094354F">
            <w:pPr>
              <w:spacing w:before="0" w:after="0"/>
              <w:jc w:val="center"/>
              <w:rPr>
                <w:rFonts w:cs="Arial"/>
                <w:color w:val="000000"/>
                <w:sz w:val="20"/>
              </w:rPr>
            </w:pPr>
            <w:r w:rsidRPr="005C23C6">
              <w:rPr>
                <w:rFonts w:cs="Arial"/>
                <w:color w:val="000000"/>
                <w:sz w:val="20"/>
              </w:rPr>
              <w:t>19.9</w:t>
            </w:r>
          </w:p>
        </w:tc>
        <w:tc>
          <w:tcPr>
            <w:tcW w:w="992" w:type="dxa"/>
            <w:noWrap/>
            <w:hideMark/>
          </w:tcPr>
          <w:p w14:paraId="19A01E3A" w14:textId="77777777" w:rsidR="00D355BA" w:rsidRPr="005C23C6" w:rsidRDefault="00D355BA" w:rsidP="0094354F">
            <w:pPr>
              <w:spacing w:before="0" w:after="0"/>
              <w:jc w:val="center"/>
              <w:rPr>
                <w:rFonts w:cs="Arial"/>
                <w:color w:val="000000"/>
                <w:sz w:val="20"/>
              </w:rPr>
            </w:pPr>
            <w:r w:rsidRPr="005C23C6">
              <w:rPr>
                <w:rFonts w:cs="Arial"/>
                <w:color w:val="000000"/>
                <w:sz w:val="20"/>
              </w:rPr>
              <w:t>22.9</w:t>
            </w:r>
          </w:p>
        </w:tc>
      </w:tr>
      <w:tr w:rsidR="00D355BA" w14:paraId="6F800078" w14:textId="77777777" w:rsidTr="0094354F">
        <w:trPr>
          <w:trHeight w:val="320"/>
          <w:jc w:val="center"/>
        </w:trPr>
        <w:tc>
          <w:tcPr>
            <w:tcW w:w="1560" w:type="dxa"/>
            <w:noWrap/>
            <w:hideMark/>
          </w:tcPr>
          <w:p w14:paraId="56D32090" w14:textId="77777777" w:rsidR="00D355BA" w:rsidRPr="005C23C6" w:rsidRDefault="00D355BA" w:rsidP="0094354F">
            <w:pPr>
              <w:spacing w:before="0" w:after="0"/>
              <w:rPr>
                <w:rFonts w:cs="Arial"/>
                <w:i/>
                <w:color w:val="000000"/>
                <w:sz w:val="20"/>
              </w:rPr>
            </w:pPr>
            <w:r w:rsidRPr="005C23C6">
              <w:rPr>
                <w:rFonts w:cs="Arial"/>
                <w:i/>
                <w:color w:val="000000"/>
                <w:sz w:val="20"/>
              </w:rPr>
              <w:t>T. hemprichii</w:t>
            </w:r>
          </w:p>
        </w:tc>
        <w:tc>
          <w:tcPr>
            <w:tcW w:w="992" w:type="dxa"/>
            <w:noWrap/>
            <w:hideMark/>
          </w:tcPr>
          <w:p w14:paraId="7C951CFC" w14:textId="77777777" w:rsidR="00D355BA" w:rsidRPr="005C23C6" w:rsidRDefault="00D355BA" w:rsidP="0094354F">
            <w:pPr>
              <w:spacing w:before="0" w:after="0"/>
              <w:jc w:val="center"/>
              <w:rPr>
                <w:rFonts w:cs="Arial"/>
                <w:color w:val="000000"/>
                <w:sz w:val="20"/>
              </w:rPr>
            </w:pPr>
            <w:r w:rsidRPr="005C23C6">
              <w:rPr>
                <w:rFonts w:cs="Arial"/>
                <w:color w:val="000000"/>
                <w:sz w:val="20"/>
              </w:rPr>
              <w:t>16.6</w:t>
            </w:r>
          </w:p>
        </w:tc>
        <w:tc>
          <w:tcPr>
            <w:tcW w:w="993" w:type="dxa"/>
            <w:noWrap/>
            <w:hideMark/>
          </w:tcPr>
          <w:p w14:paraId="7F85E63B" w14:textId="77777777" w:rsidR="00D355BA" w:rsidRPr="005C23C6" w:rsidRDefault="00D355BA" w:rsidP="0094354F">
            <w:pPr>
              <w:spacing w:before="0" w:after="0"/>
              <w:jc w:val="center"/>
              <w:rPr>
                <w:rFonts w:cs="Arial"/>
                <w:color w:val="000000"/>
                <w:sz w:val="20"/>
              </w:rPr>
            </w:pPr>
            <w:r w:rsidRPr="005C23C6">
              <w:rPr>
                <w:rFonts w:cs="Arial"/>
                <w:color w:val="000000"/>
                <w:sz w:val="20"/>
              </w:rPr>
              <w:t>16.2</w:t>
            </w:r>
          </w:p>
        </w:tc>
        <w:tc>
          <w:tcPr>
            <w:tcW w:w="992" w:type="dxa"/>
            <w:noWrap/>
            <w:hideMark/>
          </w:tcPr>
          <w:p w14:paraId="4EDE5AD8" w14:textId="77777777" w:rsidR="00D355BA" w:rsidRPr="005C23C6" w:rsidRDefault="00D355BA" w:rsidP="0094354F">
            <w:pPr>
              <w:spacing w:before="0" w:after="0"/>
              <w:jc w:val="center"/>
              <w:rPr>
                <w:rFonts w:cs="Arial"/>
                <w:color w:val="000000"/>
                <w:sz w:val="20"/>
              </w:rPr>
            </w:pPr>
            <w:r w:rsidRPr="005C23C6">
              <w:rPr>
                <w:rFonts w:cs="Arial"/>
                <w:color w:val="000000"/>
                <w:sz w:val="20"/>
              </w:rPr>
              <w:t>15.4</w:t>
            </w:r>
          </w:p>
        </w:tc>
        <w:tc>
          <w:tcPr>
            <w:tcW w:w="992" w:type="dxa"/>
            <w:noWrap/>
            <w:hideMark/>
          </w:tcPr>
          <w:p w14:paraId="43500296" w14:textId="77777777" w:rsidR="00D355BA" w:rsidRPr="005C23C6" w:rsidRDefault="00D355BA" w:rsidP="0094354F">
            <w:pPr>
              <w:spacing w:before="0" w:after="0"/>
              <w:jc w:val="center"/>
              <w:rPr>
                <w:rFonts w:cs="Arial"/>
                <w:color w:val="000000"/>
                <w:sz w:val="20"/>
              </w:rPr>
            </w:pPr>
            <w:r w:rsidRPr="005C23C6">
              <w:rPr>
                <w:rFonts w:cs="Arial"/>
                <w:color w:val="000000"/>
                <w:sz w:val="20"/>
              </w:rPr>
              <w:t>17.4</w:t>
            </w:r>
          </w:p>
        </w:tc>
      </w:tr>
      <w:tr w:rsidR="00D355BA" w14:paraId="5DC75936" w14:textId="77777777" w:rsidTr="0094354F">
        <w:trPr>
          <w:trHeight w:val="320"/>
          <w:jc w:val="center"/>
        </w:trPr>
        <w:tc>
          <w:tcPr>
            <w:tcW w:w="1560" w:type="dxa"/>
            <w:noWrap/>
            <w:hideMark/>
          </w:tcPr>
          <w:p w14:paraId="1C9EDC7B" w14:textId="77777777" w:rsidR="00D355BA" w:rsidRPr="005C23C6" w:rsidRDefault="00D355BA" w:rsidP="0094354F">
            <w:pPr>
              <w:spacing w:before="0" w:after="0"/>
              <w:rPr>
                <w:rFonts w:cs="Arial"/>
                <w:i/>
                <w:color w:val="000000"/>
                <w:sz w:val="20"/>
              </w:rPr>
            </w:pPr>
            <w:r w:rsidRPr="005C23C6">
              <w:rPr>
                <w:rFonts w:cs="Arial"/>
                <w:i/>
                <w:color w:val="000000"/>
                <w:sz w:val="20"/>
              </w:rPr>
              <w:t>Z. muelleri</w:t>
            </w:r>
          </w:p>
        </w:tc>
        <w:tc>
          <w:tcPr>
            <w:tcW w:w="992" w:type="dxa"/>
            <w:noWrap/>
            <w:hideMark/>
          </w:tcPr>
          <w:p w14:paraId="157D08EB" w14:textId="77777777" w:rsidR="00D355BA" w:rsidRPr="005C23C6" w:rsidRDefault="00D355BA" w:rsidP="0094354F">
            <w:pPr>
              <w:spacing w:before="0" w:after="0"/>
              <w:jc w:val="center"/>
              <w:rPr>
                <w:rFonts w:cs="Arial"/>
                <w:color w:val="000000"/>
                <w:sz w:val="20"/>
              </w:rPr>
            </w:pPr>
            <w:r w:rsidRPr="005C23C6">
              <w:rPr>
                <w:rFonts w:cs="Arial"/>
                <w:color w:val="000000"/>
                <w:sz w:val="20"/>
              </w:rPr>
              <w:t>18.7</w:t>
            </w:r>
          </w:p>
        </w:tc>
        <w:tc>
          <w:tcPr>
            <w:tcW w:w="993" w:type="dxa"/>
            <w:noWrap/>
            <w:hideMark/>
          </w:tcPr>
          <w:p w14:paraId="78CBD59E" w14:textId="77777777" w:rsidR="00D355BA" w:rsidRPr="005C23C6" w:rsidRDefault="00D355BA" w:rsidP="0094354F">
            <w:pPr>
              <w:spacing w:before="0" w:after="0"/>
              <w:jc w:val="center"/>
              <w:rPr>
                <w:rFonts w:cs="Arial"/>
                <w:color w:val="000000"/>
                <w:sz w:val="20"/>
              </w:rPr>
            </w:pPr>
            <w:r w:rsidRPr="005C23C6">
              <w:rPr>
                <w:rFonts w:cs="Arial"/>
                <w:color w:val="000000"/>
                <w:sz w:val="20"/>
              </w:rPr>
              <w:t>18.2</w:t>
            </w:r>
          </w:p>
        </w:tc>
        <w:tc>
          <w:tcPr>
            <w:tcW w:w="992" w:type="dxa"/>
            <w:noWrap/>
            <w:hideMark/>
          </w:tcPr>
          <w:p w14:paraId="3ECEFBB8" w14:textId="77777777" w:rsidR="00D355BA" w:rsidRPr="005C23C6" w:rsidRDefault="00D355BA" w:rsidP="0094354F">
            <w:pPr>
              <w:spacing w:before="0" w:after="0"/>
              <w:jc w:val="center"/>
              <w:rPr>
                <w:rFonts w:cs="Arial"/>
                <w:color w:val="000000"/>
                <w:sz w:val="20"/>
              </w:rPr>
            </w:pPr>
            <w:r w:rsidRPr="005C23C6">
              <w:rPr>
                <w:rFonts w:cs="Arial"/>
                <w:color w:val="000000"/>
                <w:sz w:val="20"/>
              </w:rPr>
              <w:t>15.7</w:t>
            </w:r>
          </w:p>
        </w:tc>
        <w:tc>
          <w:tcPr>
            <w:tcW w:w="992" w:type="dxa"/>
            <w:noWrap/>
            <w:hideMark/>
          </w:tcPr>
          <w:p w14:paraId="259B9C49" w14:textId="77777777" w:rsidR="00D355BA" w:rsidRPr="005C23C6" w:rsidRDefault="00D355BA" w:rsidP="0094354F">
            <w:pPr>
              <w:spacing w:before="0" w:after="0"/>
              <w:jc w:val="center"/>
              <w:rPr>
                <w:rFonts w:cs="Arial"/>
                <w:color w:val="000000"/>
                <w:sz w:val="20"/>
              </w:rPr>
            </w:pPr>
            <w:r w:rsidRPr="005C23C6">
              <w:rPr>
                <w:rFonts w:cs="Arial"/>
                <w:color w:val="000000"/>
                <w:sz w:val="20"/>
              </w:rPr>
              <w:t>21.1</w:t>
            </w:r>
          </w:p>
        </w:tc>
      </w:tr>
    </w:tbl>
    <w:p w14:paraId="43B64B67" w14:textId="77777777" w:rsidR="00D355BA" w:rsidRDefault="00D355BA" w:rsidP="00D355BA">
      <w:pPr>
        <w:jc w:val="center"/>
        <w:rPr>
          <w:rFonts w:cs="Arial"/>
          <w:b/>
          <w:szCs w:val="22"/>
        </w:rPr>
      </w:pPr>
      <w:r>
        <w:rPr>
          <w:rFonts w:cs="Arial"/>
          <w:noProof/>
          <w:szCs w:val="22"/>
          <w:lang w:eastAsia="en-AU"/>
        </w:rPr>
        <w:lastRenderedPageBreak/>
        <w:drawing>
          <wp:inline distT="0" distB="0" distL="0" distR="0" wp14:anchorId="6E575777" wp14:editId="27C35BE7">
            <wp:extent cx="3533297" cy="2514600"/>
            <wp:effectExtent l="0" t="0" r="0" b="0"/>
            <wp:docPr id="63" name="Picture 63" descr="Figure of Boxplots showing distribution of C:N data for each species for samples collected from 2005 to 2018. Dashed line indicates the accepted seagrass guideline value based on the global median value (Atkinson and Smith 1983; Fourqurean et al 1992). The box represents the interquartile range of values, where the boundary of the box closest to zero indicates the 25th percentile, a line within the box marks the median, and the boundary of the box farthest from zero indicates the 75th percentile. Whiskers (error bars) above and below the box indicate the 90th and 10th percentiles, and the dots represent outlying 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N_GBR_spp_boxplot_CC.pdf"/>
                    <pic:cNvPicPr/>
                  </pic:nvPicPr>
                  <pic:blipFill>
                    <a:blip r:embed="rId180"/>
                    <a:stretch>
                      <a:fillRect/>
                    </a:stretch>
                  </pic:blipFill>
                  <pic:spPr>
                    <a:xfrm>
                      <a:off x="0" y="0"/>
                      <a:ext cx="3543743" cy="2522035"/>
                    </a:xfrm>
                    <a:prstGeom prst="rect">
                      <a:avLst/>
                    </a:prstGeom>
                  </pic:spPr>
                </pic:pic>
              </a:graphicData>
            </a:graphic>
          </wp:inline>
        </w:drawing>
      </w:r>
    </w:p>
    <w:p w14:paraId="43777FA4" w14:textId="77777777" w:rsidR="00D355BA" w:rsidRDefault="00D355BA" w:rsidP="00D355BA">
      <w:pPr>
        <w:rPr>
          <w:rFonts w:cs="Arial"/>
          <w:szCs w:val="22"/>
        </w:rPr>
      </w:pPr>
      <w:r w:rsidRPr="0032597D">
        <w:rPr>
          <w:rFonts w:cs="Arial"/>
          <w:szCs w:val="22"/>
        </w:rPr>
        <w:t xml:space="preserve">Figure </w:t>
      </w:r>
      <w:r>
        <w:rPr>
          <w:rFonts w:cs="Arial"/>
          <w:szCs w:val="22"/>
        </w:rPr>
        <w:t>2</w:t>
      </w:r>
      <w:r w:rsidRPr="0032597D">
        <w:rPr>
          <w:rFonts w:cs="Arial"/>
          <w:szCs w:val="22"/>
        </w:rPr>
        <w:t>.</w:t>
      </w:r>
      <w:r>
        <w:rPr>
          <w:rFonts w:cs="Arial"/>
          <w:szCs w:val="22"/>
        </w:rPr>
        <w:t xml:space="preserve"> </w:t>
      </w:r>
      <w:r w:rsidRPr="00965259">
        <w:rPr>
          <w:rFonts w:cs="Arial"/>
          <w:i/>
          <w:szCs w:val="22"/>
        </w:rPr>
        <w:t>Boxplots showing distribution of C:N data for each species for samples collected from 2005 to 2018. Dashed line indicates the accepted GBR seagrass guideline value based on the global median value (Atkinson and Smith 1983; Fourqurean et al 1992). The box represents the interquartile range of values, where the boundary of the box closest to zero indicates the 25</w:t>
      </w:r>
      <w:r w:rsidRPr="00965259">
        <w:rPr>
          <w:rFonts w:cs="Arial"/>
          <w:i/>
          <w:szCs w:val="22"/>
          <w:vertAlign w:val="superscript"/>
        </w:rPr>
        <w:t>th</w:t>
      </w:r>
      <w:r w:rsidRPr="00965259">
        <w:rPr>
          <w:rFonts w:cs="Arial"/>
          <w:i/>
          <w:szCs w:val="22"/>
        </w:rPr>
        <w:t xml:space="preserve"> percentile, a line within the box marks the median, and the boundary of the box farthest from zero indicates the 75</w:t>
      </w:r>
      <w:r w:rsidRPr="00965259">
        <w:rPr>
          <w:rFonts w:cs="Arial"/>
          <w:i/>
          <w:szCs w:val="22"/>
          <w:vertAlign w:val="superscript"/>
        </w:rPr>
        <w:t>th</w:t>
      </w:r>
      <w:r w:rsidRPr="00965259">
        <w:rPr>
          <w:rFonts w:cs="Arial"/>
          <w:i/>
          <w:szCs w:val="22"/>
        </w:rPr>
        <w:t xml:space="preserve"> percentile. Whiskers (error bars) above and below the box indicate the 90</w:t>
      </w:r>
      <w:r w:rsidRPr="00965259">
        <w:rPr>
          <w:rFonts w:cs="Arial"/>
          <w:i/>
          <w:szCs w:val="22"/>
          <w:vertAlign w:val="superscript"/>
        </w:rPr>
        <w:t>th</w:t>
      </w:r>
      <w:r w:rsidRPr="00965259">
        <w:rPr>
          <w:rFonts w:cs="Arial"/>
          <w:i/>
          <w:szCs w:val="22"/>
        </w:rPr>
        <w:t xml:space="preserve"> and 10</w:t>
      </w:r>
      <w:r w:rsidRPr="00965259">
        <w:rPr>
          <w:rFonts w:cs="Arial"/>
          <w:i/>
          <w:szCs w:val="22"/>
          <w:vertAlign w:val="superscript"/>
        </w:rPr>
        <w:t>th</w:t>
      </w:r>
      <w:r w:rsidRPr="00965259">
        <w:rPr>
          <w:rFonts w:cs="Arial"/>
          <w:i/>
          <w:szCs w:val="22"/>
        </w:rPr>
        <w:t xml:space="preserve"> percentiles, and the dots represent outlying points.</w:t>
      </w:r>
    </w:p>
    <w:p w14:paraId="5A688C85" w14:textId="77777777" w:rsidR="00D355BA" w:rsidRDefault="00D355BA" w:rsidP="00D355BA">
      <w:pPr>
        <w:jc w:val="center"/>
        <w:rPr>
          <w:rFonts w:cs="Arial"/>
          <w:szCs w:val="22"/>
        </w:rPr>
      </w:pPr>
      <w:r>
        <w:rPr>
          <w:rFonts w:cs="Arial"/>
          <w:b/>
          <w:noProof/>
          <w:szCs w:val="22"/>
          <w:lang w:eastAsia="en-AU"/>
        </w:rPr>
        <w:drawing>
          <wp:inline distT="0" distB="0" distL="0" distR="0" wp14:anchorId="0CA98782" wp14:editId="5EC050DB">
            <wp:extent cx="5759450" cy="2374265"/>
            <wp:effectExtent l="0" t="0" r="0" b="0"/>
            <wp:docPr id="55" name="Picture 55" descr="Figure of 6 panels of boxplots showing the distribution of C:N data for each Reef seagrass species based on each Reef habitat type. Dashed line indicates the accepted seagrass guideline value based on global median value (Atkinson and Smith 1983; Fourqurean et al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N_Hab_spp_boxplot_CC.pdf"/>
                    <pic:cNvPicPr/>
                  </pic:nvPicPr>
                  <pic:blipFill>
                    <a:blip r:embed="rId181"/>
                    <a:stretch>
                      <a:fillRect/>
                    </a:stretch>
                  </pic:blipFill>
                  <pic:spPr>
                    <a:xfrm>
                      <a:off x="0" y="0"/>
                      <a:ext cx="5759450" cy="2374265"/>
                    </a:xfrm>
                    <a:prstGeom prst="rect">
                      <a:avLst/>
                    </a:prstGeom>
                  </pic:spPr>
                </pic:pic>
              </a:graphicData>
            </a:graphic>
          </wp:inline>
        </w:drawing>
      </w:r>
    </w:p>
    <w:p w14:paraId="77E3B144" w14:textId="77777777" w:rsidR="00D355BA" w:rsidRDefault="00D355BA" w:rsidP="00D355BA">
      <w:pPr>
        <w:rPr>
          <w:rFonts w:cs="Arial"/>
          <w:szCs w:val="22"/>
        </w:rPr>
      </w:pPr>
      <w:r>
        <w:rPr>
          <w:rFonts w:cs="Arial"/>
          <w:szCs w:val="22"/>
        </w:rPr>
        <w:t xml:space="preserve">Figure 3. </w:t>
      </w:r>
      <w:r w:rsidRPr="0032597D">
        <w:rPr>
          <w:rFonts w:cs="Arial"/>
          <w:szCs w:val="22"/>
        </w:rPr>
        <w:t xml:space="preserve"> </w:t>
      </w:r>
      <w:r w:rsidRPr="00965259">
        <w:rPr>
          <w:rFonts w:cs="Arial"/>
          <w:i/>
          <w:szCs w:val="22"/>
        </w:rPr>
        <w:t xml:space="preserve">Boxplot showing distribution of C:N data for each Reef seagrass species based on each Reef habitat type. Dashed line indicates the accepted </w:t>
      </w:r>
      <w:r w:rsidRPr="00965259">
        <w:rPr>
          <w:rFonts w:cs="Arial"/>
          <w:i/>
          <w:szCs w:val="22"/>
        </w:rPr>
        <w:lastRenderedPageBreak/>
        <w:t>seagrass guideline value based on global median value (Atkinson and Smith 1983; Fourqurean et al 1992)</w:t>
      </w:r>
      <w:r>
        <w:rPr>
          <w:rFonts w:cs="Arial"/>
          <w:szCs w:val="22"/>
        </w:rPr>
        <w:t xml:space="preserve"> </w:t>
      </w:r>
    </w:p>
    <w:p w14:paraId="75146D91" w14:textId="77777777" w:rsidR="00D355BA" w:rsidRDefault="00D355BA" w:rsidP="00D355BA">
      <w:pPr>
        <w:rPr>
          <w:rFonts w:cs="Arial"/>
          <w:b/>
        </w:rPr>
      </w:pPr>
    </w:p>
    <w:p w14:paraId="2BBC5B39" w14:textId="77777777" w:rsidR="00D355BA" w:rsidRPr="00B56FDB" w:rsidRDefault="00D355BA" w:rsidP="00D355BA">
      <w:pPr>
        <w:pStyle w:val="ListParagraph"/>
        <w:numPr>
          <w:ilvl w:val="0"/>
          <w:numId w:val="33"/>
        </w:numPr>
        <w:rPr>
          <w:rFonts w:cs="Arial"/>
        </w:rPr>
      </w:pPr>
      <w:r w:rsidRPr="00B56FDB">
        <w:rPr>
          <w:rFonts w:cs="Arial"/>
        </w:rPr>
        <w:t>Generalised linear models of C:N</w:t>
      </w:r>
    </w:p>
    <w:p w14:paraId="740463CF" w14:textId="77777777" w:rsidR="00D355BA" w:rsidRDefault="00D355BA" w:rsidP="00D355BA">
      <w:pPr>
        <w:pStyle w:val="Heading4"/>
        <w:numPr>
          <w:ilvl w:val="0"/>
          <w:numId w:val="0"/>
        </w:numPr>
      </w:pPr>
      <w:bookmarkStart w:id="853" w:name="_Toc43987111"/>
      <w:r>
        <w:t>Changes in</w:t>
      </w:r>
      <w:r w:rsidRPr="00564F44">
        <w:t xml:space="preserve"> C:N</w:t>
      </w:r>
      <w:r>
        <w:t xml:space="preserve"> (species pooled) in relation to</w:t>
      </w:r>
      <w:r w:rsidRPr="00564F44">
        <w:t xml:space="preserve"> DIN loads and daily light</w:t>
      </w:r>
      <w:bookmarkEnd w:id="853"/>
    </w:p>
    <w:p w14:paraId="6775EEB0" w14:textId="77777777" w:rsidR="00D355BA" w:rsidRDefault="00D355BA" w:rsidP="00D355BA">
      <w:r>
        <w:rPr>
          <w:rFonts w:cs="Arial"/>
          <w:szCs w:val="22"/>
        </w:rPr>
        <w:t>T</w:t>
      </w:r>
      <w:r w:rsidRPr="004A409C">
        <w:rPr>
          <w:rFonts w:cs="Arial"/>
          <w:szCs w:val="22"/>
        </w:rPr>
        <w:t xml:space="preserve">here was a </w:t>
      </w:r>
      <w:r>
        <w:rPr>
          <w:rFonts w:cs="Arial"/>
          <w:szCs w:val="22"/>
        </w:rPr>
        <w:t>weak non-significant</w:t>
      </w:r>
      <w:r w:rsidRPr="004A409C">
        <w:rPr>
          <w:rFonts w:cs="Arial"/>
          <w:szCs w:val="22"/>
        </w:rPr>
        <w:t xml:space="preserve"> </w:t>
      </w:r>
      <w:r>
        <w:rPr>
          <w:rFonts w:cs="Arial"/>
          <w:szCs w:val="22"/>
        </w:rPr>
        <w:t xml:space="preserve">inverse relationship between relative </w:t>
      </w:r>
      <w:r w:rsidRPr="004A409C">
        <w:rPr>
          <w:rFonts w:cs="Arial"/>
          <w:szCs w:val="22"/>
        </w:rPr>
        <w:t xml:space="preserve">DIN </w:t>
      </w:r>
      <w:r>
        <w:rPr>
          <w:rFonts w:cs="Arial"/>
          <w:szCs w:val="22"/>
        </w:rPr>
        <w:t>exposure</w:t>
      </w:r>
      <w:r w:rsidRPr="004A409C">
        <w:rPr>
          <w:rFonts w:cs="Arial"/>
          <w:szCs w:val="22"/>
        </w:rPr>
        <w:t xml:space="preserve"> </w:t>
      </w:r>
      <w:r>
        <w:rPr>
          <w:rFonts w:cs="Arial"/>
          <w:szCs w:val="22"/>
        </w:rPr>
        <w:t xml:space="preserve">and </w:t>
      </w:r>
      <w:r w:rsidRPr="004A409C">
        <w:rPr>
          <w:rFonts w:cs="Arial"/>
          <w:szCs w:val="22"/>
        </w:rPr>
        <w:t>C:N</w:t>
      </w:r>
      <w:r>
        <w:rPr>
          <w:rFonts w:cs="Arial"/>
          <w:szCs w:val="22"/>
        </w:rPr>
        <w:t xml:space="preserve"> for all species pooled, whereby C:N ratios decreased as DIN exposure increased. There was also a relationship between light and C:N ratios, where greater light availability correlated with higher C:N ratios, although this trend varied by habitat and sub-region </w:t>
      </w:r>
      <w:r w:rsidRPr="004A409C">
        <w:t>(</w:t>
      </w:r>
      <w:r>
        <w:t xml:space="preserve">Figure 4, </w:t>
      </w:r>
      <w:r w:rsidRPr="004A409C">
        <w:t xml:space="preserve">see </w:t>
      </w:r>
      <w:r>
        <w:t>Supplementary Materials</w:t>
      </w:r>
      <w:r w:rsidRPr="004A409C">
        <w:t xml:space="preserve"> for output summary details)</w:t>
      </w:r>
      <w:r>
        <w:rPr>
          <w:rFonts w:cs="Arial"/>
          <w:szCs w:val="22"/>
        </w:rPr>
        <w:t xml:space="preserve">. Relationships between light and C:N were especially clear </w:t>
      </w:r>
      <w:r>
        <w:t xml:space="preserve">in coastal intertidal habitats where wide ranges of both relative DIN exposure and light levels occur. In estuarine and reef intertidal habitats, light availability affected the response of C:N to relative DIN loads in more complex ways as described in greater detail below. </w:t>
      </w:r>
    </w:p>
    <w:p w14:paraId="3252C4C2" w14:textId="77777777" w:rsidR="00D355BA" w:rsidRDefault="00D355BA" w:rsidP="00D355BA">
      <w:r>
        <w:t xml:space="preserve">Relationships between C:N, light, and relative DIN exposure varied with habitat type. Ratios of C:N increased with light availability </w:t>
      </w:r>
      <w:r w:rsidRPr="004A409C">
        <w:t>in coastal intertidal habitat</w:t>
      </w:r>
      <w:r>
        <w:t>s</w:t>
      </w:r>
      <w:r w:rsidRPr="004A409C">
        <w:t xml:space="preserve"> (Figure </w:t>
      </w:r>
      <w:r>
        <w:t>4; Table A1</w:t>
      </w:r>
      <w:r w:rsidRPr="004A409C">
        <w:t xml:space="preserve">) in </w:t>
      </w:r>
      <w:r>
        <w:t>the three</w:t>
      </w:r>
      <w:r w:rsidRPr="004A409C">
        <w:t xml:space="preserve"> regions included in the analysis. This finding is compatible with the conceptual understanding of how light affects C:N based on previous experimental and field observations; as light and photosynthesis increase</w:t>
      </w:r>
      <w:r>
        <w:t>,</w:t>
      </w:r>
      <w:r w:rsidRPr="004A409C">
        <w:t xml:space="preserve"> relatively more carbon </w:t>
      </w:r>
      <w:r>
        <w:t xml:space="preserve">is </w:t>
      </w:r>
      <w:r w:rsidRPr="004A409C">
        <w:t xml:space="preserve">incorporated into seagrass tissue. </w:t>
      </w:r>
      <w:r>
        <w:t xml:space="preserve">There is high inter-annual variability in light in coastal habitats because it can be influenced by riverine discharge, wind-driven resuspension and clouds. </w:t>
      </w:r>
    </w:p>
    <w:p w14:paraId="2C5312C1" w14:textId="77777777" w:rsidR="00D355BA" w:rsidRPr="004A409C" w:rsidRDefault="00D355BA" w:rsidP="00D355BA">
      <w:pPr>
        <w:rPr>
          <w:rFonts w:cs="Arial"/>
          <w:szCs w:val="22"/>
        </w:rPr>
      </w:pPr>
      <w:r>
        <w:rPr>
          <w:rFonts w:cs="Arial"/>
          <w:szCs w:val="22"/>
        </w:rPr>
        <w:t>There was a negative relationship between</w:t>
      </w:r>
      <w:r w:rsidRPr="004A409C">
        <w:rPr>
          <w:rFonts w:cs="Arial"/>
          <w:szCs w:val="22"/>
        </w:rPr>
        <w:t xml:space="preserve"> </w:t>
      </w:r>
      <w:r>
        <w:rPr>
          <w:rFonts w:cs="Arial"/>
          <w:szCs w:val="22"/>
        </w:rPr>
        <w:t xml:space="preserve">DIN exposure and C:N in coastal habitats of </w:t>
      </w:r>
      <w:r w:rsidRPr="004A409C">
        <w:rPr>
          <w:rFonts w:cs="Arial"/>
          <w:szCs w:val="22"/>
        </w:rPr>
        <w:t xml:space="preserve">the Burdekin and Mackay-Whitsunday regions. Again, this is compatible with previous experimental and field observations; as nitrogen availability increases, then there is relatively more uptake of N, which lowers the C:N ratio. </w:t>
      </w:r>
      <w:r>
        <w:rPr>
          <w:rFonts w:cs="Arial"/>
          <w:szCs w:val="22"/>
        </w:rPr>
        <w:t>In general, there is high inter-annual variability in predicted relative DIN loads in coastal habitats. However, t</w:t>
      </w:r>
      <w:r w:rsidRPr="004A409C">
        <w:rPr>
          <w:rFonts w:cs="Arial"/>
          <w:szCs w:val="22"/>
        </w:rPr>
        <w:t xml:space="preserve">here was no detectable effect of </w:t>
      </w:r>
      <w:r>
        <w:rPr>
          <w:rFonts w:cs="Arial"/>
          <w:szCs w:val="22"/>
        </w:rPr>
        <w:t xml:space="preserve">relative </w:t>
      </w:r>
      <w:r w:rsidRPr="004A409C">
        <w:rPr>
          <w:rFonts w:cs="Arial"/>
          <w:szCs w:val="22"/>
        </w:rPr>
        <w:t>DIN load on C:N in the northern Wet Tropics</w:t>
      </w:r>
      <w:r>
        <w:rPr>
          <w:rFonts w:cs="Arial"/>
          <w:szCs w:val="22"/>
        </w:rPr>
        <w:t xml:space="preserve"> for coastal habitat</w:t>
      </w:r>
      <w:r w:rsidRPr="004A409C">
        <w:rPr>
          <w:rFonts w:cs="Arial"/>
          <w:szCs w:val="22"/>
        </w:rPr>
        <w:t xml:space="preserve"> due to the low variability in </w:t>
      </w:r>
      <w:r>
        <w:rPr>
          <w:rFonts w:cs="Arial"/>
          <w:szCs w:val="22"/>
        </w:rPr>
        <w:t xml:space="preserve">relative </w:t>
      </w:r>
      <w:r w:rsidRPr="004A409C">
        <w:rPr>
          <w:rFonts w:cs="Arial"/>
          <w:szCs w:val="22"/>
        </w:rPr>
        <w:t xml:space="preserve">DIN loads predicted for that region from the loading model </w:t>
      </w:r>
      <w:r w:rsidRPr="004A409C">
        <w:rPr>
          <w:rFonts w:cs="Arial"/>
          <w:szCs w:val="22"/>
        </w:rPr>
        <w:lastRenderedPageBreak/>
        <w:t>compared to the two other regions. Overall</w:t>
      </w:r>
      <w:r>
        <w:rPr>
          <w:rFonts w:cs="Arial"/>
          <w:szCs w:val="22"/>
        </w:rPr>
        <w:t>,</w:t>
      </w:r>
      <w:r w:rsidRPr="004A409C">
        <w:rPr>
          <w:rFonts w:cs="Arial"/>
          <w:szCs w:val="22"/>
        </w:rPr>
        <w:t xml:space="preserve"> these results are consistent with what we would expect in habitat</w:t>
      </w:r>
      <w:r>
        <w:rPr>
          <w:rFonts w:cs="Arial"/>
          <w:szCs w:val="22"/>
        </w:rPr>
        <w:t>s</w:t>
      </w:r>
      <w:r w:rsidRPr="004A409C">
        <w:rPr>
          <w:rFonts w:cs="Arial"/>
          <w:szCs w:val="22"/>
        </w:rPr>
        <w:t xml:space="preserve"> that </w:t>
      </w:r>
      <w:r>
        <w:rPr>
          <w:rFonts w:cs="Arial"/>
          <w:szCs w:val="22"/>
        </w:rPr>
        <w:t>are</w:t>
      </w:r>
      <w:r w:rsidRPr="004A409C">
        <w:rPr>
          <w:rFonts w:cs="Arial"/>
          <w:szCs w:val="22"/>
        </w:rPr>
        <w:t xml:space="preserve"> subjected to a variable light and nutrient regime</w:t>
      </w:r>
      <w:r>
        <w:rPr>
          <w:rFonts w:cs="Arial"/>
          <w:szCs w:val="22"/>
        </w:rPr>
        <w:t>.</w:t>
      </w:r>
      <w:r w:rsidRPr="004A409C">
        <w:rPr>
          <w:rFonts w:cs="Arial"/>
          <w:szCs w:val="22"/>
        </w:rPr>
        <w:t xml:space="preserve"> </w:t>
      </w:r>
      <w:r>
        <w:rPr>
          <w:rFonts w:cs="Arial"/>
          <w:szCs w:val="22"/>
        </w:rPr>
        <w:t>H</w:t>
      </w:r>
      <w:r w:rsidRPr="004A409C">
        <w:rPr>
          <w:rFonts w:cs="Arial"/>
          <w:szCs w:val="22"/>
        </w:rPr>
        <w:t xml:space="preserve">owever, there was no interaction between light and </w:t>
      </w:r>
      <w:r>
        <w:rPr>
          <w:rFonts w:cs="Arial"/>
          <w:szCs w:val="22"/>
        </w:rPr>
        <w:t xml:space="preserve">relative </w:t>
      </w:r>
      <w:r w:rsidRPr="004A409C">
        <w:rPr>
          <w:rFonts w:cs="Arial"/>
          <w:szCs w:val="22"/>
        </w:rPr>
        <w:t>DIN load,</w:t>
      </w:r>
      <w:r>
        <w:rPr>
          <w:rFonts w:cs="Arial"/>
          <w:szCs w:val="22"/>
        </w:rPr>
        <w:t xml:space="preserve"> represented by the fact that the slope of change of the C:N with DIN does not significantly change with the light (i.e. the prediction lines for the 3 scenarios are parallel); </w:t>
      </w:r>
      <w:r w:rsidRPr="004A409C">
        <w:rPr>
          <w:rFonts w:cs="Arial"/>
          <w:szCs w:val="22"/>
        </w:rPr>
        <w:t>which is an unexpected finding.</w:t>
      </w:r>
      <w:r>
        <w:rPr>
          <w:rFonts w:cs="Arial"/>
          <w:szCs w:val="22"/>
        </w:rPr>
        <w:t xml:space="preserve"> </w:t>
      </w:r>
    </w:p>
    <w:p w14:paraId="0A034C82" w14:textId="77777777" w:rsidR="00D355BA" w:rsidRPr="004A409C" w:rsidRDefault="00D355BA" w:rsidP="00D355BA">
      <w:pPr>
        <w:rPr>
          <w:rFonts w:cs="Arial"/>
          <w:szCs w:val="22"/>
        </w:rPr>
      </w:pPr>
      <w:r w:rsidRPr="004A409C">
        <w:rPr>
          <w:rFonts w:cs="Arial"/>
          <w:szCs w:val="22"/>
        </w:rPr>
        <w:t xml:space="preserve">The </w:t>
      </w:r>
      <w:r>
        <w:rPr>
          <w:rFonts w:cs="Arial"/>
          <w:szCs w:val="22"/>
        </w:rPr>
        <w:t xml:space="preserve">analysis of </w:t>
      </w:r>
      <w:r w:rsidRPr="004A409C">
        <w:rPr>
          <w:rFonts w:cs="Arial"/>
          <w:szCs w:val="22"/>
        </w:rPr>
        <w:t>estuarine intertidal habitat was limited to the Mackay-Whitsunday region</w:t>
      </w:r>
      <w:r>
        <w:rPr>
          <w:rFonts w:cs="Arial"/>
          <w:szCs w:val="22"/>
        </w:rPr>
        <w:t xml:space="preserve"> when all species were pooled, but it is dominated by </w:t>
      </w:r>
      <w:r w:rsidRPr="00D176E1">
        <w:rPr>
          <w:rFonts w:cs="Arial"/>
          <w:i/>
          <w:szCs w:val="22"/>
        </w:rPr>
        <w:t>Z. muelleri</w:t>
      </w:r>
      <w:r>
        <w:rPr>
          <w:rFonts w:cs="Arial"/>
          <w:szCs w:val="22"/>
        </w:rPr>
        <w:t>. Ratios of C:N showed contrasting relationships with DIN loads, which depended on light availability (Table A1; Figure 4; Table 5). W</w:t>
      </w:r>
      <w:r w:rsidRPr="004A409C">
        <w:rPr>
          <w:rFonts w:cs="Arial"/>
          <w:szCs w:val="22"/>
        </w:rPr>
        <w:t xml:space="preserve">hen subject to low light, the C:N significantly decreased with increasing </w:t>
      </w:r>
      <w:r>
        <w:rPr>
          <w:rFonts w:cs="Arial"/>
          <w:szCs w:val="22"/>
        </w:rPr>
        <w:t xml:space="preserve">relative </w:t>
      </w:r>
      <w:r w:rsidRPr="004A409C">
        <w:rPr>
          <w:rFonts w:cs="Arial"/>
          <w:szCs w:val="22"/>
        </w:rPr>
        <w:t xml:space="preserve">DIN load, which indicated </w:t>
      </w:r>
      <w:r>
        <w:rPr>
          <w:rFonts w:cs="Arial"/>
          <w:szCs w:val="22"/>
        </w:rPr>
        <w:t xml:space="preserve">luxury </w:t>
      </w:r>
      <w:r w:rsidRPr="004A409C">
        <w:rPr>
          <w:rFonts w:cs="Arial"/>
          <w:szCs w:val="22"/>
        </w:rPr>
        <w:t xml:space="preserve">nitrogen uptake. Daily light alone does not seem to have any significant </w:t>
      </w:r>
      <w:r>
        <w:rPr>
          <w:rFonts w:cs="Arial"/>
          <w:szCs w:val="22"/>
        </w:rPr>
        <w:t xml:space="preserve">effect </w:t>
      </w:r>
      <w:r w:rsidRPr="004A409C">
        <w:rPr>
          <w:rFonts w:cs="Arial"/>
          <w:szCs w:val="22"/>
        </w:rPr>
        <w:t>on C:N, which may be due to a relatively more limited light range compared to coastal intertidal sites in the same region (</w:t>
      </w:r>
      <w:r>
        <w:rPr>
          <w:rFonts w:cs="Arial"/>
          <w:szCs w:val="22"/>
        </w:rPr>
        <w:t>Table 5)</w:t>
      </w:r>
    </w:p>
    <w:p w14:paraId="3B9ADB43" w14:textId="77777777" w:rsidR="00D355BA" w:rsidRDefault="00D355BA" w:rsidP="00D355BA">
      <w:pPr>
        <w:rPr>
          <w:rFonts w:cs="Arial"/>
          <w:szCs w:val="22"/>
        </w:rPr>
      </w:pPr>
      <w:r w:rsidRPr="004A409C">
        <w:rPr>
          <w:rFonts w:cs="Arial"/>
          <w:szCs w:val="22"/>
        </w:rPr>
        <w:t>In reef intertidal habitat</w:t>
      </w:r>
      <w:r>
        <w:rPr>
          <w:rFonts w:cs="Arial"/>
          <w:szCs w:val="22"/>
        </w:rPr>
        <w:t>s</w:t>
      </w:r>
      <w:r w:rsidRPr="004A409C">
        <w:rPr>
          <w:rFonts w:cs="Arial"/>
          <w:szCs w:val="22"/>
        </w:rPr>
        <w:t xml:space="preserve"> there was a negative effect of </w:t>
      </w:r>
      <w:r>
        <w:rPr>
          <w:rFonts w:cs="Arial"/>
          <w:szCs w:val="22"/>
        </w:rPr>
        <w:t xml:space="preserve">relative </w:t>
      </w:r>
      <w:r w:rsidRPr="004A409C">
        <w:rPr>
          <w:rFonts w:cs="Arial"/>
          <w:szCs w:val="22"/>
        </w:rPr>
        <w:t xml:space="preserve">DIN on C:N when light was high (an interactive effect): C:N was at its highest under high light but low </w:t>
      </w:r>
      <w:r>
        <w:rPr>
          <w:rFonts w:cs="Arial"/>
          <w:szCs w:val="22"/>
        </w:rPr>
        <w:t xml:space="preserve">relative </w:t>
      </w:r>
      <w:r w:rsidRPr="004A409C">
        <w:rPr>
          <w:rFonts w:cs="Arial"/>
          <w:szCs w:val="22"/>
        </w:rPr>
        <w:t xml:space="preserve">DIN loads, but as the </w:t>
      </w:r>
      <w:r>
        <w:rPr>
          <w:rFonts w:cs="Arial"/>
          <w:szCs w:val="22"/>
        </w:rPr>
        <w:t>DI</w:t>
      </w:r>
      <w:r w:rsidRPr="004A409C">
        <w:rPr>
          <w:rFonts w:cs="Arial"/>
          <w:szCs w:val="22"/>
        </w:rPr>
        <w:t>N loads increased C:N declined particularly in the Burdekin region. This was not observed when light was low</w:t>
      </w:r>
      <w:r>
        <w:rPr>
          <w:rFonts w:cs="Arial"/>
          <w:szCs w:val="22"/>
        </w:rPr>
        <w:t>, which</w:t>
      </w:r>
      <w:r w:rsidRPr="004A409C">
        <w:rPr>
          <w:rFonts w:cs="Arial"/>
          <w:szCs w:val="22"/>
        </w:rPr>
        <w:t xml:space="preserve"> is the opposite of what occurred in the estuarine habitat. The reef intertidal sites are further </w:t>
      </w:r>
      <w:r>
        <w:rPr>
          <w:rFonts w:cs="Arial"/>
          <w:szCs w:val="22"/>
        </w:rPr>
        <w:t>seaward</w:t>
      </w:r>
      <w:r w:rsidRPr="004A409C">
        <w:rPr>
          <w:rFonts w:cs="Arial"/>
          <w:szCs w:val="22"/>
        </w:rPr>
        <w:t xml:space="preserve"> and get consistently more light (16 mol m</w:t>
      </w:r>
      <w:r w:rsidRPr="00763BEB">
        <w:rPr>
          <w:rFonts w:cs="Arial"/>
          <w:szCs w:val="22"/>
          <w:vertAlign w:val="superscript"/>
        </w:rPr>
        <w:t>-2</w:t>
      </w:r>
      <w:r w:rsidRPr="004A409C">
        <w:rPr>
          <w:rFonts w:cs="Arial"/>
          <w:szCs w:val="22"/>
        </w:rPr>
        <w:t xml:space="preserve"> d</w:t>
      </w:r>
      <w:r w:rsidRPr="00763BEB">
        <w:rPr>
          <w:rFonts w:cs="Arial"/>
          <w:szCs w:val="22"/>
          <w:vertAlign w:val="superscript"/>
        </w:rPr>
        <w:t>-1</w:t>
      </w:r>
      <w:r w:rsidRPr="004A409C">
        <w:rPr>
          <w:rFonts w:cs="Arial"/>
          <w:szCs w:val="22"/>
        </w:rPr>
        <w:t>) than the coastal and estuarine sites (11.8 mol m</w:t>
      </w:r>
      <w:r w:rsidRPr="00763BEB">
        <w:rPr>
          <w:rFonts w:cs="Arial"/>
          <w:szCs w:val="22"/>
          <w:vertAlign w:val="superscript"/>
        </w:rPr>
        <w:t>-2</w:t>
      </w:r>
      <w:r w:rsidRPr="004A409C">
        <w:rPr>
          <w:rFonts w:cs="Arial"/>
          <w:szCs w:val="22"/>
        </w:rPr>
        <w:t xml:space="preserve"> d</w:t>
      </w:r>
      <w:r w:rsidRPr="00763BEB">
        <w:rPr>
          <w:rFonts w:cs="Arial"/>
          <w:szCs w:val="22"/>
          <w:vertAlign w:val="superscript"/>
        </w:rPr>
        <w:t>-1</w:t>
      </w:r>
      <w:r w:rsidRPr="004A409C">
        <w:rPr>
          <w:rFonts w:cs="Arial"/>
          <w:szCs w:val="22"/>
        </w:rPr>
        <w:t xml:space="preserve"> and 11.3 mol m</w:t>
      </w:r>
      <w:r w:rsidRPr="00763BEB">
        <w:rPr>
          <w:rFonts w:cs="Arial"/>
          <w:szCs w:val="22"/>
          <w:vertAlign w:val="superscript"/>
        </w:rPr>
        <w:t>-2</w:t>
      </w:r>
      <w:r w:rsidRPr="004A409C">
        <w:rPr>
          <w:rFonts w:cs="Arial"/>
          <w:szCs w:val="22"/>
        </w:rPr>
        <w:t xml:space="preserve"> d</w:t>
      </w:r>
      <w:r w:rsidRPr="00763BEB">
        <w:rPr>
          <w:rFonts w:cs="Arial"/>
          <w:szCs w:val="22"/>
          <w:vertAlign w:val="superscript"/>
        </w:rPr>
        <w:t>-1</w:t>
      </w:r>
      <w:r w:rsidRPr="004A409C">
        <w:rPr>
          <w:rFonts w:cs="Arial"/>
          <w:szCs w:val="22"/>
        </w:rPr>
        <w:t xml:space="preserve">). </w:t>
      </w:r>
    </w:p>
    <w:p w14:paraId="3EDA707B" w14:textId="77777777" w:rsidR="00D355BA" w:rsidRPr="004A409C" w:rsidRDefault="00D355BA" w:rsidP="00D355BA">
      <w:pPr>
        <w:rPr>
          <w:rFonts w:cs="Arial"/>
          <w:szCs w:val="22"/>
        </w:rPr>
      </w:pPr>
    </w:p>
    <w:p w14:paraId="5D1A0209" w14:textId="77777777" w:rsidR="00D355BA" w:rsidRDefault="00D355BA" w:rsidP="00D355BA">
      <w:pPr>
        <w:rPr>
          <w:rFonts w:cs="Arial"/>
          <w:szCs w:val="22"/>
        </w:rPr>
      </w:pPr>
      <w:r w:rsidRPr="001F0E92">
        <w:rPr>
          <w:rFonts w:cs="Arial"/>
          <w:noProof/>
          <w:szCs w:val="22"/>
          <w:lang w:eastAsia="en-AU"/>
        </w:rPr>
        <w:lastRenderedPageBreak/>
        <w:drawing>
          <wp:inline distT="0" distB="0" distL="0" distR="0" wp14:anchorId="12EAB81B" wp14:editId="51A58F6B">
            <wp:extent cx="5727699" cy="4827544"/>
            <wp:effectExtent l="0" t="0" r="635" b="0"/>
            <wp:docPr id="1" name="Picture 1" descr="Panel of 12 graphs, displayed in four by four matrix, illustrating the GLM results for C:N in relation to relative DIN exposure, mean light, region and habitat for all species pooled (model M1). To simplify the representation, daily light is plotted in 3 categories (minimum, mean, maximum for each habitat and region), but it was used as a linear data set for the modelling. The gradient scale of Light refers to the light levels of the point data, while the Scenarios refer to the 3 daily light categories (Table 5). Shaded areas indicate the 95% prediction confidence intervals from the model for each of the scenati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M TN vs DIN+Light.pdf"/>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5727699" cy="4827544"/>
                    </a:xfrm>
                    <a:prstGeom prst="rect">
                      <a:avLst/>
                    </a:prstGeom>
                  </pic:spPr>
                </pic:pic>
              </a:graphicData>
            </a:graphic>
          </wp:inline>
        </w:drawing>
      </w:r>
      <w:r w:rsidRPr="00867E8C">
        <w:rPr>
          <w:rFonts w:cs="Arial"/>
          <w:szCs w:val="22"/>
        </w:rPr>
        <w:t xml:space="preserve">Figure </w:t>
      </w:r>
      <w:r>
        <w:rPr>
          <w:rFonts w:cs="Arial"/>
          <w:szCs w:val="22"/>
        </w:rPr>
        <w:t>4</w:t>
      </w:r>
      <w:r w:rsidRPr="00867E8C">
        <w:rPr>
          <w:rFonts w:cs="Arial"/>
          <w:szCs w:val="22"/>
        </w:rPr>
        <w:t xml:space="preserve">. </w:t>
      </w:r>
      <w:r w:rsidRPr="001F0E92">
        <w:rPr>
          <w:rFonts w:cs="Arial"/>
          <w:szCs w:val="22"/>
        </w:rPr>
        <w:t xml:space="preserve">Graphical representation of the GLM results for C:N in relation to </w:t>
      </w:r>
      <w:r>
        <w:rPr>
          <w:rFonts w:cs="Arial"/>
          <w:szCs w:val="22"/>
        </w:rPr>
        <w:t xml:space="preserve">relative </w:t>
      </w:r>
      <w:r w:rsidRPr="001F0E92">
        <w:rPr>
          <w:rFonts w:cs="Arial"/>
          <w:szCs w:val="22"/>
        </w:rPr>
        <w:t xml:space="preserve">DIN </w:t>
      </w:r>
      <w:r>
        <w:rPr>
          <w:rFonts w:cs="Arial"/>
          <w:szCs w:val="22"/>
        </w:rPr>
        <w:t>exposure</w:t>
      </w:r>
      <w:r w:rsidRPr="001F0E92">
        <w:rPr>
          <w:rFonts w:cs="Arial"/>
          <w:szCs w:val="22"/>
        </w:rPr>
        <w:t>, mean light, region and habitat for all species pooled (model M1). To simplify the representation, daily light is plotted in 3 categories (minimum, mean, maximum</w:t>
      </w:r>
      <w:r>
        <w:rPr>
          <w:rFonts w:cs="Arial"/>
          <w:szCs w:val="22"/>
        </w:rPr>
        <w:t xml:space="preserve"> </w:t>
      </w:r>
      <w:r w:rsidRPr="00971A87">
        <w:rPr>
          <w:rFonts w:cs="Arial"/>
          <w:szCs w:val="22"/>
        </w:rPr>
        <w:t>for each habitat and region),</w:t>
      </w:r>
      <w:r w:rsidRPr="001F0E92">
        <w:rPr>
          <w:rFonts w:cs="Arial"/>
          <w:szCs w:val="22"/>
        </w:rPr>
        <w:t xml:space="preserve"> but it was used as a linear data set for the modelling. The gradient scale </w:t>
      </w:r>
      <w:r>
        <w:rPr>
          <w:rFonts w:cs="Arial"/>
          <w:szCs w:val="22"/>
        </w:rPr>
        <w:t xml:space="preserve">of Light </w:t>
      </w:r>
      <w:r w:rsidRPr="001F0E92">
        <w:rPr>
          <w:rFonts w:cs="Arial"/>
          <w:szCs w:val="22"/>
        </w:rPr>
        <w:t>refers to the light levels of the point data</w:t>
      </w:r>
      <w:r>
        <w:rPr>
          <w:rFonts w:cs="Arial"/>
          <w:szCs w:val="22"/>
        </w:rPr>
        <w:t>, while the Scenarios refer to the 3 daily light categories (Table 5). Shaded areas indicate the 95% prediction confidence intervals from the model for each of the scenarios.</w:t>
      </w:r>
      <w:r w:rsidRPr="001F0E92">
        <w:rPr>
          <w:rFonts w:cs="Arial"/>
          <w:szCs w:val="22"/>
        </w:rPr>
        <w:t xml:space="preserve">  </w:t>
      </w:r>
    </w:p>
    <w:p w14:paraId="49CD0DED" w14:textId="77777777" w:rsidR="00D355BA" w:rsidRDefault="00D355BA" w:rsidP="00D355BA">
      <w:pPr>
        <w:rPr>
          <w:rFonts w:cs="Arial"/>
          <w:szCs w:val="22"/>
        </w:rPr>
      </w:pPr>
    </w:p>
    <w:p w14:paraId="5A9C2433" w14:textId="77777777" w:rsidR="00D355BA" w:rsidRDefault="00D355BA" w:rsidP="00D355BA">
      <w:pPr>
        <w:rPr>
          <w:rFonts w:cs="Arial"/>
          <w:szCs w:val="22"/>
        </w:rPr>
      </w:pPr>
    </w:p>
    <w:p w14:paraId="33258FF8" w14:textId="77777777" w:rsidR="00D355BA" w:rsidRDefault="00D355BA" w:rsidP="00D355BA">
      <w:r w:rsidRPr="00B10272">
        <w:lastRenderedPageBreak/>
        <w:t>Table 5.</w:t>
      </w:r>
      <w:r>
        <w:t xml:space="preserve"> </w:t>
      </w:r>
      <w:r w:rsidRPr="00965259">
        <w:rPr>
          <w:i/>
        </w:rPr>
        <w:t>The light levels corresponding to the minimum, mean, and maximum for each sub-region and habitat used for graphical representation (Figure 4) of the continuous variable of light (mol m</w:t>
      </w:r>
      <w:r w:rsidRPr="00965259">
        <w:rPr>
          <w:i/>
          <w:vertAlign w:val="superscript"/>
        </w:rPr>
        <w:t>-2</w:t>
      </w:r>
      <w:r w:rsidRPr="00965259">
        <w:rPr>
          <w:i/>
        </w:rPr>
        <w:t xml:space="preserve"> d</w:t>
      </w:r>
      <w:r w:rsidRPr="00965259">
        <w:rPr>
          <w:i/>
          <w:vertAlign w:val="superscript"/>
        </w:rPr>
        <w:t>-1</w:t>
      </w:r>
      <w:r w:rsidRPr="00965259">
        <w:rPr>
          <w:i/>
        </w:rPr>
        <w:t>) in M1 of C:N for all species.</w:t>
      </w:r>
    </w:p>
    <w:tbl>
      <w:tblPr>
        <w:tblW w:w="7326" w:type="dxa"/>
        <w:jc w:val="center"/>
        <w:tblLook w:val="04A0" w:firstRow="1" w:lastRow="0" w:firstColumn="1" w:lastColumn="0" w:noHBand="0" w:noVBand="1"/>
      </w:tblPr>
      <w:tblGrid>
        <w:gridCol w:w="2200"/>
        <w:gridCol w:w="2020"/>
        <w:gridCol w:w="1028"/>
        <w:gridCol w:w="995"/>
        <w:gridCol w:w="1083"/>
      </w:tblGrid>
      <w:tr w:rsidR="00D355BA" w:rsidRPr="007142B4" w14:paraId="7689B3A1" w14:textId="77777777" w:rsidTr="0094354F">
        <w:trPr>
          <w:trHeight w:val="320"/>
          <w:jc w:val="center"/>
        </w:trPr>
        <w:tc>
          <w:tcPr>
            <w:tcW w:w="2200" w:type="dxa"/>
            <w:vMerge w:val="restart"/>
            <w:tcBorders>
              <w:top w:val="single" w:sz="4" w:space="0" w:color="auto"/>
              <w:left w:val="nil"/>
              <w:right w:val="nil"/>
            </w:tcBorders>
            <w:shd w:val="clear" w:color="auto" w:fill="auto"/>
            <w:noWrap/>
            <w:vAlign w:val="center"/>
          </w:tcPr>
          <w:p w14:paraId="4310F5F5" w14:textId="77777777" w:rsidR="00D355BA" w:rsidRPr="00BD3B52" w:rsidRDefault="00D355BA" w:rsidP="0094354F">
            <w:pPr>
              <w:spacing w:before="0" w:after="0"/>
              <w:jc w:val="center"/>
              <w:rPr>
                <w:rFonts w:cs="Arial"/>
                <w:color w:val="000000"/>
                <w:sz w:val="20"/>
                <w:szCs w:val="20"/>
              </w:rPr>
            </w:pPr>
            <w:r w:rsidRPr="00BD3B52">
              <w:rPr>
                <w:rFonts w:cs="Arial"/>
                <w:color w:val="000000"/>
                <w:sz w:val="20"/>
                <w:szCs w:val="20"/>
              </w:rPr>
              <w:t>NRM_subregion</w:t>
            </w:r>
          </w:p>
        </w:tc>
        <w:tc>
          <w:tcPr>
            <w:tcW w:w="2020" w:type="dxa"/>
            <w:vMerge w:val="restart"/>
            <w:tcBorders>
              <w:top w:val="single" w:sz="4" w:space="0" w:color="auto"/>
              <w:left w:val="nil"/>
              <w:right w:val="nil"/>
            </w:tcBorders>
            <w:shd w:val="clear" w:color="auto" w:fill="auto"/>
            <w:noWrap/>
            <w:vAlign w:val="center"/>
          </w:tcPr>
          <w:p w14:paraId="7CB8A22D" w14:textId="77777777" w:rsidR="00D355BA" w:rsidRPr="00BD3B52" w:rsidRDefault="00D355BA" w:rsidP="0094354F">
            <w:pPr>
              <w:spacing w:before="0" w:after="0"/>
              <w:jc w:val="center"/>
              <w:rPr>
                <w:rFonts w:cs="Arial"/>
                <w:color w:val="000000"/>
                <w:sz w:val="20"/>
                <w:szCs w:val="20"/>
              </w:rPr>
            </w:pPr>
            <w:r w:rsidRPr="00BD3B52">
              <w:rPr>
                <w:rFonts w:cs="Arial"/>
                <w:color w:val="000000"/>
                <w:sz w:val="20"/>
                <w:szCs w:val="20"/>
              </w:rPr>
              <w:t>Habitat</w:t>
            </w:r>
          </w:p>
        </w:tc>
        <w:tc>
          <w:tcPr>
            <w:tcW w:w="3106" w:type="dxa"/>
            <w:gridSpan w:val="3"/>
            <w:tcBorders>
              <w:top w:val="single" w:sz="4" w:space="0" w:color="auto"/>
              <w:left w:val="nil"/>
              <w:bottom w:val="single" w:sz="4" w:space="0" w:color="auto"/>
              <w:right w:val="nil"/>
            </w:tcBorders>
            <w:shd w:val="clear" w:color="auto" w:fill="auto"/>
            <w:noWrap/>
            <w:vAlign w:val="bottom"/>
          </w:tcPr>
          <w:p w14:paraId="523280F2" w14:textId="77777777" w:rsidR="00D355BA" w:rsidRPr="00BD3B52" w:rsidRDefault="00D355BA" w:rsidP="0094354F">
            <w:pPr>
              <w:spacing w:before="0" w:after="0"/>
              <w:jc w:val="center"/>
              <w:rPr>
                <w:rFonts w:cs="Arial"/>
                <w:color w:val="000000"/>
                <w:sz w:val="20"/>
                <w:szCs w:val="20"/>
              </w:rPr>
            </w:pPr>
            <w:r>
              <w:rPr>
                <w:rFonts w:cs="Arial"/>
                <w:color w:val="000000"/>
                <w:sz w:val="20"/>
                <w:szCs w:val="20"/>
              </w:rPr>
              <w:t>Light</w:t>
            </w:r>
            <w:r w:rsidRPr="00BD3B52">
              <w:rPr>
                <w:rFonts w:cs="Arial"/>
                <w:color w:val="000000"/>
                <w:sz w:val="20"/>
                <w:szCs w:val="20"/>
              </w:rPr>
              <w:t xml:space="preserve"> (mol m</w:t>
            </w:r>
            <w:r w:rsidRPr="00BD3B52">
              <w:rPr>
                <w:rFonts w:cs="Arial"/>
                <w:color w:val="000000"/>
                <w:sz w:val="20"/>
                <w:szCs w:val="20"/>
                <w:vertAlign w:val="superscript"/>
              </w:rPr>
              <w:t>-2</w:t>
            </w:r>
            <w:r w:rsidRPr="00BD3B52">
              <w:rPr>
                <w:rFonts w:cs="Arial"/>
                <w:color w:val="000000"/>
                <w:sz w:val="20"/>
                <w:szCs w:val="20"/>
              </w:rPr>
              <w:t xml:space="preserve"> d</w:t>
            </w:r>
            <w:r w:rsidRPr="00BD3B52">
              <w:rPr>
                <w:rFonts w:cs="Arial"/>
                <w:color w:val="000000"/>
                <w:sz w:val="20"/>
                <w:szCs w:val="20"/>
                <w:vertAlign w:val="superscript"/>
              </w:rPr>
              <w:t>-1</w:t>
            </w:r>
            <w:r w:rsidRPr="00BD3B52">
              <w:rPr>
                <w:rFonts w:cs="Arial"/>
                <w:color w:val="000000"/>
                <w:sz w:val="20"/>
                <w:szCs w:val="20"/>
              </w:rPr>
              <w:t>)</w:t>
            </w:r>
          </w:p>
        </w:tc>
      </w:tr>
      <w:tr w:rsidR="00D355BA" w:rsidRPr="007142B4" w14:paraId="41A4FBCE" w14:textId="77777777" w:rsidTr="0094354F">
        <w:trPr>
          <w:trHeight w:val="320"/>
          <w:jc w:val="center"/>
        </w:trPr>
        <w:tc>
          <w:tcPr>
            <w:tcW w:w="2200" w:type="dxa"/>
            <w:vMerge/>
            <w:tcBorders>
              <w:left w:val="nil"/>
              <w:bottom w:val="single" w:sz="4" w:space="0" w:color="auto"/>
              <w:right w:val="nil"/>
            </w:tcBorders>
            <w:shd w:val="clear" w:color="auto" w:fill="auto"/>
            <w:noWrap/>
            <w:vAlign w:val="bottom"/>
            <w:hideMark/>
          </w:tcPr>
          <w:p w14:paraId="1BBD2106" w14:textId="77777777" w:rsidR="00D355BA" w:rsidRPr="00BD3B52" w:rsidRDefault="00D355BA" w:rsidP="0094354F">
            <w:pPr>
              <w:spacing w:before="0" w:after="0"/>
              <w:rPr>
                <w:rFonts w:cs="Arial"/>
                <w:color w:val="000000"/>
                <w:sz w:val="20"/>
                <w:szCs w:val="20"/>
              </w:rPr>
            </w:pPr>
          </w:p>
        </w:tc>
        <w:tc>
          <w:tcPr>
            <w:tcW w:w="2020" w:type="dxa"/>
            <w:vMerge/>
            <w:tcBorders>
              <w:left w:val="nil"/>
              <w:bottom w:val="single" w:sz="4" w:space="0" w:color="auto"/>
              <w:right w:val="nil"/>
            </w:tcBorders>
            <w:shd w:val="clear" w:color="auto" w:fill="auto"/>
            <w:noWrap/>
            <w:vAlign w:val="bottom"/>
            <w:hideMark/>
          </w:tcPr>
          <w:p w14:paraId="41A8AEA2" w14:textId="77777777" w:rsidR="00D355BA" w:rsidRPr="00BD3B52" w:rsidRDefault="00D355BA" w:rsidP="0094354F">
            <w:pPr>
              <w:spacing w:before="0" w:after="0"/>
              <w:rPr>
                <w:rFonts w:cs="Arial"/>
                <w:color w:val="000000"/>
                <w:sz w:val="20"/>
                <w:szCs w:val="20"/>
              </w:rPr>
            </w:pPr>
          </w:p>
        </w:tc>
        <w:tc>
          <w:tcPr>
            <w:tcW w:w="1028" w:type="dxa"/>
            <w:tcBorders>
              <w:top w:val="single" w:sz="4" w:space="0" w:color="auto"/>
              <w:left w:val="nil"/>
              <w:bottom w:val="single" w:sz="4" w:space="0" w:color="auto"/>
              <w:right w:val="nil"/>
            </w:tcBorders>
            <w:shd w:val="clear" w:color="auto" w:fill="auto"/>
            <w:noWrap/>
            <w:vAlign w:val="bottom"/>
            <w:hideMark/>
          </w:tcPr>
          <w:p w14:paraId="7F405351" w14:textId="77777777" w:rsidR="00D355BA" w:rsidRPr="00BD3B52" w:rsidRDefault="00D355BA" w:rsidP="0094354F">
            <w:pPr>
              <w:spacing w:before="0" w:after="0"/>
              <w:jc w:val="center"/>
              <w:rPr>
                <w:rFonts w:cs="Arial"/>
                <w:color w:val="000000"/>
                <w:sz w:val="20"/>
                <w:szCs w:val="20"/>
              </w:rPr>
            </w:pPr>
            <w:r>
              <w:rPr>
                <w:rFonts w:cs="Arial"/>
                <w:color w:val="000000"/>
                <w:sz w:val="20"/>
                <w:szCs w:val="20"/>
              </w:rPr>
              <w:t>Minimum</w:t>
            </w:r>
          </w:p>
        </w:tc>
        <w:tc>
          <w:tcPr>
            <w:tcW w:w="995" w:type="dxa"/>
            <w:tcBorders>
              <w:top w:val="single" w:sz="4" w:space="0" w:color="auto"/>
              <w:left w:val="nil"/>
              <w:bottom w:val="single" w:sz="4" w:space="0" w:color="auto"/>
              <w:right w:val="nil"/>
            </w:tcBorders>
            <w:shd w:val="clear" w:color="auto" w:fill="auto"/>
            <w:noWrap/>
            <w:vAlign w:val="bottom"/>
            <w:hideMark/>
          </w:tcPr>
          <w:p w14:paraId="61C93BCA" w14:textId="77777777" w:rsidR="00D355BA" w:rsidRPr="00BD3B52" w:rsidRDefault="00D355BA" w:rsidP="0094354F">
            <w:pPr>
              <w:spacing w:before="0" w:after="0"/>
              <w:jc w:val="center"/>
              <w:rPr>
                <w:rFonts w:cs="Arial"/>
                <w:color w:val="000000"/>
                <w:sz w:val="20"/>
                <w:szCs w:val="20"/>
              </w:rPr>
            </w:pPr>
            <w:r>
              <w:rPr>
                <w:rFonts w:cs="Arial"/>
                <w:color w:val="000000"/>
                <w:sz w:val="20"/>
                <w:szCs w:val="20"/>
              </w:rPr>
              <w:t>Mean</w:t>
            </w:r>
          </w:p>
        </w:tc>
        <w:tc>
          <w:tcPr>
            <w:tcW w:w="1083" w:type="dxa"/>
            <w:tcBorders>
              <w:top w:val="single" w:sz="4" w:space="0" w:color="auto"/>
              <w:left w:val="nil"/>
              <w:bottom w:val="single" w:sz="4" w:space="0" w:color="auto"/>
              <w:right w:val="nil"/>
            </w:tcBorders>
            <w:shd w:val="clear" w:color="auto" w:fill="auto"/>
            <w:noWrap/>
            <w:vAlign w:val="bottom"/>
            <w:hideMark/>
          </w:tcPr>
          <w:p w14:paraId="0007ADD9" w14:textId="77777777" w:rsidR="00D355BA" w:rsidRPr="00BD3B52" w:rsidRDefault="00D355BA" w:rsidP="0094354F">
            <w:pPr>
              <w:spacing w:before="0" w:after="0"/>
              <w:jc w:val="center"/>
              <w:rPr>
                <w:rFonts w:cs="Arial"/>
                <w:color w:val="000000"/>
                <w:sz w:val="20"/>
                <w:szCs w:val="20"/>
              </w:rPr>
            </w:pPr>
            <w:r>
              <w:rPr>
                <w:rFonts w:cs="Arial"/>
                <w:color w:val="000000"/>
                <w:sz w:val="20"/>
                <w:szCs w:val="20"/>
              </w:rPr>
              <w:t>Maximum</w:t>
            </w:r>
          </w:p>
        </w:tc>
      </w:tr>
      <w:tr w:rsidR="00D355BA" w:rsidRPr="007142B4" w14:paraId="5F2299C9"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715CDA7C"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Burdekin</w:t>
            </w:r>
          </w:p>
        </w:tc>
        <w:tc>
          <w:tcPr>
            <w:tcW w:w="2020" w:type="dxa"/>
            <w:tcBorders>
              <w:top w:val="nil"/>
              <w:left w:val="nil"/>
              <w:bottom w:val="nil"/>
              <w:right w:val="nil"/>
            </w:tcBorders>
            <w:shd w:val="clear" w:color="auto" w:fill="auto"/>
            <w:noWrap/>
            <w:vAlign w:val="bottom"/>
            <w:hideMark/>
          </w:tcPr>
          <w:p w14:paraId="1236CDEC"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coastal intertidal</w:t>
            </w:r>
          </w:p>
        </w:tc>
        <w:tc>
          <w:tcPr>
            <w:tcW w:w="1028" w:type="dxa"/>
            <w:tcBorders>
              <w:top w:val="nil"/>
              <w:left w:val="nil"/>
              <w:bottom w:val="nil"/>
              <w:right w:val="nil"/>
            </w:tcBorders>
            <w:shd w:val="clear" w:color="auto" w:fill="auto"/>
            <w:noWrap/>
            <w:vAlign w:val="bottom"/>
            <w:hideMark/>
          </w:tcPr>
          <w:p w14:paraId="5B868869"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4.0</w:t>
            </w:r>
          </w:p>
        </w:tc>
        <w:tc>
          <w:tcPr>
            <w:tcW w:w="995" w:type="dxa"/>
            <w:tcBorders>
              <w:top w:val="nil"/>
              <w:left w:val="nil"/>
              <w:bottom w:val="nil"/>
              <w:right w:val="nil"/>
            </w:tcBorders>
            <w:shd w:val="clear" w:color="auto" w:fill="auto"/>
            <w:noWrap/>
            <w:vAlign w:val="bottom"/>
            <w:hideMark/>
          </w:tcPr>
          <w:p w14:paraId="532C0E64"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8.9</w:t>
            </w:r>
          </w:p>
        </w:tc>
        <w:tc>
          <w:tcPr>
            <w:tcW w:w="1083" w:type="dxa"/>
            <w:tcBorders>
              <w:top w:val="nil"/>
              <w:left w:val="nil"/>
              <w:bottom w:val="nil"/>
              <w:right w:val="nil"/>
            </w:tcBorders>
            <w:shd w:val="clear" w:color="auto" w:fill="auto"/>
            <w:noWrap/>
            <w:vAlign w:val="bottom"/>
            <w:hideMark/>
          </w:tcPr>
          <w:p w14:paraId="5C3101E5"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14.8</w:t>
            </w:r>
          </w:p>
        </w:tc>
      </w:tr>
      <w:tr w:rsidR="00D355BA" w:rsidRPr="007142B4" w14:paraId="0316B5A3"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4D72ADED"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Burdekin</w:t>
            </w:r>
          </w:p>
        </w:tc>
        <w:tc>
          <w:tcPr>
            <w:tcW w:w="2020" w:type="dxa"/>
            <w:tcBorders>
              <w:top w:val="nil"/>
              <w:left w:val="nil"/>
              <w:bottom w:val="nil"/>
              <w:right w:val="nil"/>
            </w:tcBorders>
            <w:shd w:val="clear" w:color="auto" w:fill="auto"/>
            <w:noWrap/>
            <w:vAlign w:val="bottom"/>
            <w:hideMark/>
          </w:tcPr>
          <w:p w14:paraId="43874B3E"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reef intertidal</w:t>
            </w:r>
          </w:p>
        </w:tc>
        <w:tc>
          <w:tcPr>
            <w:tcW w:w="1028" w:type="dxa"/>
            <w:tcBorders>
              <w:top w:val="nil"/>
              <w:left w:val="nil"/>
              <w:bottom w:val="nil"/>
              <w:right w:val="nil"/>
            </w:tcBorders>
            <w:shd w:val="clear" w:color="auto" w:fill="auto"/>
            <w:noWrap/>
            <w:vAlign w:val="bottom"/>
            <w:hideMark/>
          </w:tcPr>
          <w:p w14:paraId="385E63D0"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9.4</w:t>
            </w:r>
          </w:p>
        </w:tc>
        <w:tc>
          <w:tcPr>
            <w:tcW w:w="995" w:type="dxa"/>
            <w:tcBorders>
              <w:top w:val="nil"/>
              <w:left w:val="nil"/>
              <w:bottom w:val="nil"/>
              <w:right w:val="nil"/>
            </w:tcBorders>
            <w:shd w:val="clear" w:color="auto" w:fill="auto"/>
            <w:noWrap/>
            <w:vAlign w:val="bottom"/>
            <w:hideMark/>
          </w:tcPr>
          <w:p w14:paraId="1827F7AF"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14.5</w:t>
            </w:r>
          </w:p>
        </w:tc>
        <w:tc>
          <w:tcPr>
            <w:tcW w:w="1083" w:type="dxa"/>
            <w:tcBorders>
              <w:top w:val="nil"/>
              <w:left w:val="nil"/>
              <w:bottom w:val="nil"/>
              <w:right w:val="nil"/>
            </w:tcBorders>
            <w:shd w:val="clear" w:color="auto" w:fill="auto"/>
            <w:noWrap/>
            <w:vAlign w:val="bottom"/>
            <w:hideMark/>
          </w:tcPr>
          <w:p w14:paraId="5055B53D"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18.5</w:t>
            </w:r>
          </w:p>
        </w:tc>
      </w:tr>
      <w:tr w:rsidR="00D355BA" w:rsidRPr="007142B4" w14:paraId="0AA0EA23"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1942E4D7" w14:textId="77777777" w:rsidR="00D355BA" w:rsidRPr="00BD3B52" w:rsidRDefault="00D355BA" w:rsidP="0094354F">
            <w:pPr>
              <w:spacing w:before="0" w:after="0"/>
              <w:rPr>
                <w:rFonts w:cs="Arial"/>
                <w:color w:val="000000"/>
                <w:sz w:val="20"/>
                <w:szCs w:val="20"/>
              </w:rPr>
            </w:pPr>
            <w:r>
              <w:rPr>
                <w:rFonts w:cs="Arial"/>
                <w:color w:val="000000"/>
                <w:sz w:val="20"/>
                <w:szCs w:val="20"/>
              </w:rPr>
              <w:t>Mackay–Whitsunday</w:t>
            </w:r>
          </w:p>
        </w:tc>
        <w:tc>
          <w:tcPr>
            <w:tcW w:w="2020" w:type="dxa"/>
            <w:tcBorders>
              <w:top w:val="nil"/>
              <w:left w:val="nil"/>
              <w:bottom w:val="nil"/>
              <w:right w:val="nil"/>
            </w:tcBorders>
            <w:shd w:val="clear" w:color="auto" w:fill="auto"/>
            <w:noWrap/>
            <w:vAlign w:val="bottom"/>
            <w:hideMark/>
          </w:tcPr>
          <w:p w14:paraId="3651CF8B"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coastal intertidal</w:t>
            </w:r>
          </w:p>
        </w:tc>
        <w:tc>
          <w:tcPr>
            <w:tcW w:w="1028" w:type="dxa"/>
            <w:tcBorders>
              <w:top w:val="nil"/>
              <w:left w:val="nil"/>
              <w:bottom w:val="nil"/>
              <w:right w:val="nil"/>
            </w:tcBorders>
            <w:shd w:val="clear" w:color="auto" w:fill="auto"/>
            <w:noWrap/>
            <w:vAlign w:val="bottom"/>
            <w:hideMark/>
          </w:tcPr>
          <w:p w14:paraId="7B93E441"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5.5</w:t>
            </w:r>
          </w:p>
        </w:tc>
        <w:tc>
          <w:tcPr>
            <w:tcW w:w="995" w:type="dxa"/>
            <w:tcBorders>
              <w:top w:val="nil"/>
              <w:left w:val="nil"/>
              <w:bottom w:val="nil"/>
              <w:right w:val="nil"/>
            </w:tcBorders>
            <w:shd w:val="clear" w:color="auto" w:fill="auto"/>
            <w:noWrap/>
            <w:vAlign w:val="bottom"/>
            <w:hideMark/>
          </w:tcPr>
          <w:p w14:paraId="73A88CDE"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11.1</w:t>
            </w:r>
          </w:p>
        </w:tc>
        <w:tc>
          <w:tcPr>
            <w:tcW w:w="1083" w:type="dxa"/>
            <w:tcBorders>
              <w:top w:val="nil"/>
              <w:left w:val="nil"/>
              <w:bottom w:val="nil"/>
              <w:right w:val="nil"/>
            </w:tcBorders>
            <w:shd w:val="clear" w:color="auto" w:fill="auto"/>
            <w:noWrap/>
            <w:vAlign w:val="bottom"/>
            <w:hideMark/>
          </w:tcPr>
          <w:p w14:paraId="24311936"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23.6</w:t>
            </w:r>
          </w:p>
        </w:tc>
      </w:tr>
      <w:tr w:rsidR="00D355BA" w:rsidRPr="007142B4" w14:paraId="64F0FF49"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5A42F90F" w14:textId="77777777" w:rsidR="00D355BA" w:rsidRPr="00BD3B52" w:rsidRDefault="00D355BA" w:rsidP="0094354F">
            <w:pPr>
              <w:spacing w:before="0" w:after="0"/>
              <w:rPr>
                <w:rFonts w:cs="Arial"/>
                <w:color w:val="000000"/>
                <w:sz w:val="20"/>
                <w:szCs w:val="20"/>
              </w:rPr>
            </w:pPr>
            <w:r>
              <w:rPr>
                <w:rFonts w:cs="Arial"/>
                <w:color w:val="000000"/>
                <w:sz w:val="20"/>
                <w:szCs w:val="20"/>
              </w:rPr>
              <w:t>Mackay–Whitsunday</w:t>
            </w:r>
          </w:p>
        </w:tc>
        <w:tc>
          <w:tcPr>
            <w:tcW w:w="2020" w:type="dxa"/>
            <w:tcBorders>
              <w:top w:val="nil"/>
              <w:left w:val="nil"/>
              <w:bottom w:val="nil"/>
              <w:right w:val="nil"/>
            </w:tcBorders>
            <w:shd w:val="clear" w:color="auto" w:fill="auto"/>
            <w:noWrap/>
            <w:vAlign w:val="bottom"/>
            <w:hideMark/>
          </w:tcPr>
          <w:p w14:paraId="5659A511"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estuarine intertidal</w:t>
            </w:r>
          </w:p>
        </w:tc>
        <w:tc>
          <w:tcPr>
            <w:tcW w:w="1028" w:type="dxa"/>
            <w:tcBorders>
              <w:top w:val="nil"/>
              <w:left w:val="nil"/>
              <w:bottom w:val="nil"/>
              <w:right w:val="nil"/>
            </w:tcBorders>
            <w:shd w:val="clear" w:color="auto" w:fill="auto"/>
            <w:noWrap/>
            <w:vAlign w:val="bottom"/>
            <w:hideMark/>
          </w:tcPr>
          <w:p w14:paraId="481E573D"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9.2</w:t>
            </w:r>
          </w:p>
        </w:tc>
        <w:tc>
          <w:tcPr>
            <w:tcW w:w="995" w:type="dxa"/>
            <w:tcBorders>
              <w:top w:val="nil"/>
              <w:left w:val="nil"/>
              <w:bottom w:val="nil"/>
              <w:right w:val="nil"/>
            </w:tcBorders>
            <w:shd w:val="clear" w:color="auto" w:fill="auto"/>
            <w:noWrap/>
            <w:vAlign w:val="bottom"/>
            <w:hideMark/>
          </w:tcPr>
          <w:p w14:paraId="4F05A5BD"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11.3</w:t>
            </w:r>
          </w:p>
        </w:tc>
        <w:tc>
          <w:tcPr>
            <w:tcW w:w="1083" w:type="dxa"/>
            <w:tcBorders>
              <w:top w:val="nil"/>
              <w:left w:val="nil"/>
              <w:bottom w:val="nil"/>
              <w:right w:val="nil"/>
            </w:tcBorders>
            <w:shd w:val="clear" w:color="auto" w:fill="auto"/>
            <w:noWrap/>
            <w:vAlign w:val="bottom"/>
            <w:hideMark/>
          </w:tcPr>
          <w:p w14:paraId="26B410B0"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13.2</w:t>
            </w:r>
          </w:p>
        </w:tc>
      </w:tr>
      <w:tr w:rsidR="00D355BA" w:rsidRPr="007142B4" w14:paraId="3858970E"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0C7E7B13" w14:textId="77777777" w:rsidR="00D355BA" w:rsidRPr="00BD3B52" w:rsidRDefault="00D355BA" w:rsidP="0094354F">
            <w:pPr>
              <w:spacing w:before="0" w:after="0"/>
              <w:rPr>
                <w:rFonts w:cs="Arial"/>
                <w:color w:val="000000"/>
                <w:sz w:val="20"/>
                <w:szCs w:val="20"/>
              </w:rPr>
            </w:pPr>
            <w:r>
              <w:rPr>
                <w:rFonts w:cs="Arial"/>
                <w:color w:val="000000"/>
                <w:sz w:val="20"/>
                <w:szCs w:val="20"/>
              </w:rPr>
              <w:t>Mackay–Whitsunday</w:t>
            </w:r>
          </w:p>
        </w:tc>
        <w:tc>
          <w:tcPr>
            <w:tcW w:w="2020" w:type="dxa"/>
            <w:tcBorders>
              <w:top w:val="nil"/>
              <w:left w:val="nil"/>
              <w:bottom w:val="nil"/>
              <w:right w:val="nil"/>
            </w:tcBorders>
            <w:shd w:val="clear" w:color="auto" w:fill="auto"/>
            <w:noWrap/>
            <w:vAlign w:val="bottom"/>
            <w:hideMark/>
          </w:tcPr>
          <w:p w14:paraId="6B443C6D"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reef intertidal</w:t>
            </w:r>
          </w:p>
        </w:tc>
        <w:tc>
          <w:tcPr>
            <w:tcW w:w="1028" w:type="dxa"/>
            <w:tcBorders>
              <w:top w:val="nil"/>
              <w:left w:val="nil"/>
              <w:bottom w:val="nil"/>
              <w:right w:val="nil"/>
            </w:tcBorders>
            <w:shd w:val="clear" w:color="auto" w:fill="auto"/>
            <w:noWrap/>
            <w:vAlign w:val="bottom"/>
            <w:hideMark/>
          </w:tcPr>
          <w:p w14:paraId="33CF081A"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13.2</w:t>
            </w:r>
          </w:p>
        </w:tc>
        <w:tc>
          <w:tcPr>
            <w:tcW w:w="995" w:type="dxa"/>
            <w:tcBorders>
              <w:top w:val="nil"/>
              <w:left w:val="nil"/>
              <w:bottom w:val="nil"/>
              <w:right w:val="nil"/>
            </w:tcBorders>
            <w:shd w:val="clear" w:color="auto" w:fill="auto"/>
            <w:noWrap/>
            <w:vAlign w:val="bottom"/>
            <w:hideMark/>
          </w:tcPr>
          <w:p w14:paraId="28769381"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17.0</w:t>
            </w:r>
          </w:p>
        </w:tc>
        <w:tc>
          <w:tcPr>
            <w:tcW w:w="1083" w:type="dxa"/>
            <w:tcBorders>
              <w:top w:val="nil"/>
              <w:left w:val="nil"/>
              <w:bottom w:val="nil"/>
              <w:right w:val="nil"/>
            </w:tcBorders>
            <w:shd w:val="clear" w:color="auto" w:fill="auto"/>
            <w:noWrap/>
            <w:vAlign w:val="bottom"/>
            <w:hideMark/>
          </w:tcPr>
          <w:p w14:paraId="68058F55"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22.0</w:t>
            </w:r>
          </w:p>
        </w:tc>
      </w:tr>
      <w:tr w:rsidR="00D355BA" w:rsidRPr="007142B4" w14:paraId="39F06A7D"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39A7D27F" w14:textId="77777777" w:rsidR="00D355BA" w:rsidRPr="00BD3B52" w:rsidRDefault="00D355BA" w:rsidP="0094354F">
            <w:pPr>
              <w:spacing w:before="0" w:after="0"/>
              <w:rPr>
                <w:rFonts w:cs="Arial"/>
                <w:color w:val="000000"/>
                <w:sz w:val="20"/>
                <w:szCs w:val="20"/>
              </w:rPr>
            </w:pPr>
            <w:r>
              <w:rPr>
                <w:rFonts w:cs="Arial"/>
                <w:color w:val="000000"/>
                <w:sz w:val="20"/>
                <w:szCs w:val="20"/>
              </w:rPr>
              <w:t>n</w:t>
            </w:r>
            <w:r w:rsidRPr="00BD3B52">
              <w:rPr>
                <w:rFonts w:cs="Arial"/>
                <w:color w:val="000000"/>
                <w:sz w:val="20"/>
                <w:szCs w:val="20"/>
              </w:rPr>
              <w:t>orthern Wet Tropics</w:t>
            </w:r>
          </w:p>
        </w:tc>
        <w:tc>
          <w:tcPr>
            <w:tcW w:w="2020" w:type="dxa"/>
            <w:tcBorders>
              <w:top w:val="nil"/>
              <w:left w:val="nil"/>
              <w:bottom w:val="nil"/>
              <w:right w:val="nil"/>
            </w:tcBorders>
            <w:shd w:val="clear" w:color="auto" w:fill="auto"/>
            <w:noWrap/>
            <w:vAlign w:val="bottom"/>
            <w:hideMark/>
          </w:tcPr>
          <w:p w14:paraId="764326E1"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coastal intertidal</w:t>
            </w:r>
          </w:p>
        </w:tc>
        <w:tc>
          <w:tcPr>
            <w:tcW w:w="1028" w:type="dxa"/>
            <w:tcBorders>
              <w:top w:val="nil"/>
              <w:left w:val="nil"/>
              <w:bottom w:val="nil"/>
              <w:right w:val="nil"/>
            </w:tcBorders>
            <w:shd w:val="clear" w:color="auto" w:fill="auto"/>
            <w:noWrap/>
            <w:vAlign w:val="bottom"/>
            <w:hideMark/>
          </w:tcPr>
          <w:p w14:paraId="0937704A"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10.2</w:t>
            </w:r>
          </w:p>
        </w:tc>
        <w:tc>
          <w:tcPr>
            <w:tcW w:w="995" w:type="dxa"/>
            <w:tcBorders>
              <w:top w:val="nil"/>
              <w:left w:val="nil"/>
              <w:bottom w:val="nil"/>
              <w:right w:val="nil"/>
            </w:tcBorders>
            <w:shd w:val="clear" w:color="auto" w:fill="auto"/>
            <w:noWrap/>
            <w:vAlign w:val="bottom"/>
            <w:hideMark/>
          </w:tcPr>
          <w:p w14:paraId="2EDB85C0"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15.7</w:t>
            </w:r>
          </w:p>
        </w:tc>
        <w:tc>
          <w:tcPr>
            <w:tcW w:w="1083" w:type="dxa"/>
            <w:tcBorders>
              <w:top w:val="nil"/>
              <w:left w:val="nil"/>
              <w:bottom w:val="nil"/>
              <w:right w:val="nil"/>
            </w:tcBorders>
            <w:shd w:val="clear" w:color="auto" w:fill="auto"/>
            <w:noWrap/>
            <w:vAlign w:val="bottom"/>
            <w:hideMark/>
          </w:tcPr>
          <w:p w14:paraId="36A6D970"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22.1</w:t>
            </w:r>
          </w:p>
        </w:tc>
      </w:tr>
      <w:tr w:rsidR="00D355BA" w:rsidRPr="007142B4" w14:paraId="3A77A96D" w14:textId="77777777" w:rsidTr="0094354F">
        <w:trPr>
          <w:trHeight w:val="320"/>
          <w:jc w:val="center"/>
        </w:trPr>
        <w:tc>
          <w:tcPr>
            <w:tcW w:w="2200" w:type="dxa"/>
            <w:tcBorders>
              <w:top w:val="nil"/>
              <w:left w:val="nil"/>
              <w:bottom w:val="nil"/>
              <w:right w:val="nil"/>
            </w:tcBorders>
            <w:shd w:val="clear" w:color="auto" w:fill="auto"/>
            <w:noWrap/>
            <w:vAlign w:val="bottom"/>
            <w:hideMark/>
          </w:tcPr>
          <w:p w14:paraId="57321E37" w14:textId="77777777" w:rsidR="00D355BA" w:rsidRPr="00BD3B52" w:rsidRDefault="00D355BA" w:rsidP="0094354F">
            <w:pPr>
              <w:spacing w:before="0" w:after="0"/>
              <w:rPr>
                <w:rFonts w:cs="Arial"/>
                <w:color w:val="000000"/>
                <w:sz w:val="20"/>
                <w:szCs w:val="20"/>
              </w:rPr>
            </w:pPr>
            <w:r>
              <w:rPr>
                <w:rFonts w:cs="Arial"/>
                <w:color w:val="000000"/>
                <w:sz w:val="20"/>
                <w:szCs w:val="20"/>
              </w:rPr>
              <w:t>n</w:t>
            </w:r>
            <w:r w:rsidRPr="00BD3B52">
              <w:rPr>
                <w:rFonts w:cs="Arial"/>
                <w:color w:val="000000"/>
                <w:sz w:val="20"/>
                <w:szCs w:val="20"/>
              </w:rPr>
              <w:t>orthern Wet Tropics</w:t>
            </w:r>
          </w:p>
        </w:tc>
        <w:tc>
          <w:tcPr>
            <w:tcW w:w="2020" w:type="dxa"/>
            <w:tcBorders>
              <w:top w:val="nil"/>
              <w:left w:val="nil"/>
              <w:bottom w:val="nil"/>
              <w:right w:val="nil"/>
            </w:tcBorders>
            <w:shd w:val="clear" w:color="auto" w:fill="auto"/>
            <w:noWrap/>
            <w:vAlign w:val="bottom"/>
            <w:hideMark/>
          </w:tcPr>
          <w:p w14:paraId="38BE17E5"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reef intertidal</w:t>
            </w:r>
          </w:p>
        </w:tc>
        <w:tc>
          <w:tcPr>
            <w:tcW w:w="1028" w:type="dxa"/>
            <w:tcBorders>
              <w:top w:val="nil"/>
              <w:left w:val="nil"/>
              <w:bottom w:val="nil"/>
              <w:right w:val="nil"/>
            </w:tcBorders>
            <w:shd w:val="clear" w:color="auto" w:fill="auto"/>
            <w:noWrap/>
            <w:vAlign w:val="bottom"/>
            <w:hideMark/>
          </w:tcPr>
          <w:p w14:paraId="6FA785F4"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13.6</w:t>
            </w:r>
          </w:p>
        </w:tc>
        <w:tc>
          <w:tcPr>
            <w:tcW w:w="995" w:type="dxa"/>
            <w:tcBorders>
              <w:top w:val="nil"/>
              <w:left w:val="nil"/>
              <w:bottom w:val="nil"/>
              <w:right w:val="nil"/>
            </w:tcBorders>
            <w:shd w:val="clear" w:color="auto" w:fill="auto"/>
            <w:noWrap/>
            <w:vAlign w:val="bottom"/>
            <w:hideMark/>
          </w:tcPr>
          <w:p w14:paraId="08CAD2B6"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17.7</w:t>
            </w:r>
          </w:p>
        </w:tc>
        <w:tc>
          <w:tcPr>
            <w:tcW w:w="1083" w:type="dxa"/>
            <w:tcBorders>
              <w:top w:val="nil"/>
              <w:left w:val="nil"/>
              <w:bottom w:val="nil"/>
              <w:right w:val="nil"/>
            </w:tcBorders>
            <w:shd w:val="clear" w:color="auto" w:fill="auto"/>
            <w:noWrap/>
            <w:vAlign w:val="bottom"/>
            <w:hideMark/>
          </w:tcPr>
          <w:p w14:paraId="68024756"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23.5</w:t>
            </w:r>
          </w:p>
        </w:tc>
      </w:tr>
      <w:tr w:rsidR="00D355BA" w:rsidRPr="007142B4" w14:paraId="620B671A" w14:textId="77777777" w:rsidTr="0094354F">
        <w:trPr>
          <w:trHeight w:val="320"/>
          <w:jc w:val="center"/>
        </w:trPr>
        <w:tc>
          <w:tcPr>
            <w:tcW w:w="2200" w:type="dxa"/>
            <w:tcBorders>
              <w:top w:val="nil"/>
              <w:left w:val="nil"/>
              <w:bottom w:val="single" w:sz="4" w:space="0" w:color="auto"/>
              <w:right w:val="nil"/>
            </w:tcBorders>
            <w:shd w:val="clear" w:color="auto" w:fill="auto"/>
            <w:noWrap/>
            <w:vAlign w:val="bottom"/>
            <w:hideMark/>
          </w:tcPr>
          <w:p w14:paraId="1BAB85C1" w14:textId="77777777" w:rsidR="00D355BA" w:rsidRPr="00BD3B52" w:rsidRDefault="00D355BA" w:rsidP="0094354F">
            <w:pPr>
              <w:spacing w:before="0" w:after="0"/>
              <w:rPr>
                <w:rFonts w:cs="Arial"/>
                <w:color w:val="000000"/>
                <w:sz w:val="20"/>
                <w:szCs w:val="20"/>
              </w:rPr>
            </w:pPr>
            <w:r>
              <w:rPr>
                <w:rFonts w:cs="Arial"/>
                <w:color w:val="000000"/>
                <w:sz w:val="20"/>
                <w:szCs w:val="20"/>
              </w:rPr>
              <w:t>s</w:t>
            </w:r>
            <w:r w:rsidRPr="00BD3B52">
              <w:rPr>
                <w:rFonts w:cs="Arial"/>
                <w:color w:val="000000"/>
                <w:sz w:val="20"/>
                <w:szCs w:val="20"/>
              </w:rPr>
              <w:t>outhern Wet Tropics</w:t>
            </w:r>
          </w:p>
        </w:tc>
        <w:tc>
          <w:tcPr>
            <w:tcW w:w="2020" w:type="dxa"/>
            <w:tcBorders>
              <w:top w:val="nil"/>
              <w:left w:val="nil"/>
              <w:bottom w:val="single" w:sz="4" w:space="0" w:color="auto"/>
              <w:right w:val="nil"/>
            </w:tcBorders>
            <w:shd w:val="clear" w:color="auto" w:fill="auto"/>
            <w:noWrap/>
            <w:vAlign w:val="bottom"/>
            <w:hideMark/>
          </w:tcPr>
          <w:p w14:paraId="1E36F7B6" w14:textId="77777777" w:rsidR="00D355BA" w:rsidRPr="00BD3B52" w:rsidRDefault="00D355BA" w:rsidP="0094354F">
            <w:pPr>
              <w:spacing w:before="0" w:after="0"/>
              <w:rPr>
                <w:rFonts w:cs="Arial"/>
                <w:color w:val="000000"/>
                <w:sz w:val="20"/>
                <w:szCs w:val="20"/>
              </w:rPr>
            </w:pPr>
            <w:r w:rsidRPr="00BD3B52">
              <w:rPr>
                <w:rFonts w:cs="Arial"/>
                <w:color w:val="000000"/>
                <w:sz w:val="20"/>
                <w:szCs w:val="20"/>
              </w:rPr>
              <w:t>reef intertidal</w:t>
            </w:r>
          </w:p>
        </w:tc>
        <w:tc>
          <w:tcPr>
            <w:tcW w:w="1028" w:type="dxa"/>
            <w:tcBorders>
              <w:top w:val="nil"/>
              <w:left w:val="nil"/>
              <w:bottom w:val="single" w:sz="4" w:space="0" w:color="auto"/>
              <w:right w:val="nil"/>
            </w:tcBorders>
            <w:shd w:val="clear" w:color="auto" w:fill="auto"/>
            <w:noWrap/>
            <w:vAlign w:val="bottom"/>
            <w:hideMark/>
          </w:tcPr>
          <w:p w14:paraId="3DC9B63E"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13.2</w:t>
            </w:r>
          </w:p>
        </w:tc>
        <w:tc>
          <w:tcPr>
            <w:tcW w:w="995" w:type="dxa"/>
            <w:tcBorders>
              <w:top w:val="nil"/>
              <w:left w:val="nil"/>
              <w:bottom w:val="single" w:sz="4" w:space="0" w:color="auto"/>
              <w:right w:val="nil"/>
            </w:tcBorders>
            <w:shd w:val="clear" w:color="auto" w:fill="auto"/>
            <w:noWrap/>
            <w:vAlign w:val="bottom"/>
            <w:hideMark/>
          </w:tcPr>
          <w:p w14:paraId="7E613A0B"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17.0</w:t>
            </w:r>
          </w:p>
        </w:tc>
        <w:tc>
          <w:tcPr>
            <w:tcW w:w="1083" w:type="dxa"/>
            <w:tcBorders>
              <w:top w:val="nil"/>
              <w:left w:val="nil"/>
              <w:bottom w:val="single" w:sz="4" w:space="0" w:color="auto"/>
              <w:right w:val="nil"/>
            </w:tcBorders>
            <w:shd w:val="clear" w:color="auto" w:fill="auto"/>
            <w:noWrap/>
            <w:vAlign w:val="bottom"/>
            <w:hideMark/>
          </w:tcPr>
          <w:p w14:paraId="72FCA9CF" w14:textId="77777777" w:rsidR="00D355BA" w:rsidRPr="00BD3B52" w:rsidRDefault="00D355BA" w:rsidP="0094354F">
            <w:pPr>
              <w:spacing w:before="0" w:after="0"/>
              <w:jc w:val="right"/>
              <w:rPr>
                <w:rFonts w:cs="Arial"/>
                <w:color w:val="000000"/>
                <w:sz w:val="20"/>
                <w:szCs w:val="20"/>
              </w:rPr>
            </w:pPr>
            <w:r w:rsidRPr="00BD3B52">
              <w:rPr>
                <w:rFonts w:cs="Arial"/>
                <w:color w:val="000000"/>
                <w:sz w:val="20"/>
                <w:szCs w:val="20"/>
              </w:rPr>
              <w:t>20.3</w:t>
            </w:r>
          </w:p>
        </w:tc>
      </w:tr>
    </w:tbl>
    <w:p w14:paraId="6A7F48DA" w14:textId="77777777" w:rsidR="00D355BA" w:rsidRDefault="00D355BA" w:rsidP="00D355BA"/>
    <w:p w14:paraId="301ACF6D" w14:textId="77777777" w:rsidR="00D355BA" w:rsidRPr="004A409C" w:rsidRDefault="00D355BA" w:rsidP="00D355BA">
      <w:pPr>
        <w:rPr>
          <w:rFonts w:cs="Arial"/>
          <w:szCs w:val="22"/>
        </w:rPr>
      </w:pPr>
      <w:r w:rsidRPr="004A409C">
        <w:rPr>
          <w:rFonts w:cs="Arial"/>
          <w:szCs w:val="22"/>
        </w:rPr>
        <w:t xml:space="preserve">In conclusion, habitat strongly affects the response of C:N </w:t>
      </w:r>
      <w:r>
        <w:rPr>
          <w:rFonts w:cs="Arial"/>
          <w:szCs w:val="22"/>
        </w:rPr>
        <w:t xml:space="preserve">(all species pooled) </w:t>
      </w:r>
      <w:r w:rsidRPr="004A409C">
        <w:rPr>
          <w:rFonts w:cs="Arial"/>
          <w:szCs w:val="22"/>
        </w:rPr>
        <w:t xml:space="preserve">to light and DIN loads. In coastal habitats where there is high variability in light and </w:t>
      </w:r>
      <w:r>
        <w:rPr>
          <w:rFonts w:cs="Arial"/>
          <w:szCs w:val="22"/>
        </w:rPr>
        <w:t xml:space="preserve">relative </w:t>
      </w:r>
      <w:r w:rsidRPr="004A409C">
        <w:rPr>
          <w:rFonts w:cs="Arial"/>
          <w:szCs w:val="22"/>
        </w:rPr>
        <w:t>DIN loads, the C:N ratio respond</w:t>
      </w:r>
      <w:r>
        <w:rPr>
          <w:rFonts w:cs="Arial"/>
          <w:szCs w:val="22"/>
        </w:rPr>
        <w:t>s</w:t>
      </w:r>
      <w:r w:rsidRPr="004A409C">
        <w:rPr>
          <w:rFonts w:cs="Arial"/>
          <w:szCs w:val="22"/>
        </w:rPr>
        <w:t xml:space="preserve"> strongly to both. In estuary and reef habitats, C:N ratio responds to DIN when subject to the light environment they most frequently encounter i.e. low and high light respectively. However, the variation </w:t>
      </w:r>
      <w:r>
        <w:rPr>
          <w:rFonts w:cs="Arial"/>
          <w:szCs w:val="22"/>
        </w:rPr>
        <w:t>in</w:t>
      </w:r>
      <w:r w:rsidRPr="004A409C">
        <w:rPr>
          <w:rFonts w:cs="Arial"/>
          <w:szCs w:val="22"/>
        </w:rPr>
        <w:t xml:space="preserve"> response among habitats may also be affected </w:t>
      </w:r>
      <w:r>
        <w:rPr>
          <w:rFonts w:cs="Arial"/>
          <w:szCs w:val="22"/>
        </w:rPr>
        <w:t xml:space="preserve">by </w:t>
      </w:r>
      <w:r w:rsidRPr="004A409C">
        <w:rPr>
          <w:rFonts w:cs="Arial"/>
          <w:szCs w:val="22"/>
        </w:rPr>
        <w:t xml:space="preserve">the species composition, therefore, we also tested the response of C:N in the most common species: </w:t>
      </w:r>
      <w:r w:rsidRPr="00C41C98">
        <w:rPr>
          <w:rFonts w:cs="Arial"/>
          <w:i/>
          <w:szCs w:val="22"/>
        </w:rPr>
        <w:t>H. uninervis</w:t>
      </w:r>
      <w:r w:rsidRPr="004A409C">
        <w:rPr>
          <w:rFonts w:cs="Arial"/>
          <w:szCs w:val="22"/>
        </w:rPr>
        <w:t xml:space="preserve"> and </w:t>
      </w:r>
      <w:r w:rsidRPr="00C41C98">
        <w:rPr>
          <w:rFonts w:cs="Arial"/>
          <w:i/>
          <w:szCs w:val="22"/>
        </w:rPr>
        <w:t>Z. muelleri</w:t>
      </w:r>
      <w:r w:rsidRPr="004A409C">
        <w:rPr>
          <w:rFonts w:cs="Arial"/>
          <w:szCs w:val="22"/>
        </w:rPr>
        <w:t xml:space="preserve">. </w:t>
      </w:r>
    </w:p>
    <w:p w14:paraId="0F946896" w14:textId="77777777" w:rsidR="00D355BA" w:rsidRPr="00FE185C" w:rsidRDefault="00D355BA" w:rsidP="00D355BA">
      <w:pPr>
        <w:pStyle w:val="Heading4"/>
        <w:numPr>
          <w:ilvl w:val="0"/>
          <w:numId w:val="0"/>
        </w:numPr>
      </w:pPr>
      <w:bookmarkStart w:id="854" w:name="_Toc43987112"/>
      <w:r>
        <w:t>Changes in</w:t>
      </w:r>
      <w:r w:rsidRPr="00564F44">
        <w:t xml:space="preserve"> C:N</w:t>
      </w:r>
      <w:r>
        <w:t xml:space="preserve"> (</w:t>
      </w:r>
      <w:r w:rsidRPr="007B18F7">
        <w:t>H. uninervis</w:t>
      </w:r>
      <w:r>
        <w:t>) in relation to</w:t>
      </w:r>
      <w:r w:rsidRPr="00564F44">
        <w:t xml:space="preserve"> </w:t>
      </w:r>
      <w:r>
        <w:t xml:space="preserve">relative </w:t>
      </w:r>
      <w:r w:rsidRPr="00564F44">
        <w:t xml:space="preserve">DIN </w:t>
      </w:r>
      <w:r>
        <w:t>exposure</w:t>
      </w:r>
      <w:r w:rsidRPr="00564F44">
        <w:t xml:space="preserve"> and light</w:t>
      </w:r>
      <w:bookmarkEnd w:id="854"/>
    </w:p>
    <w:p w14:paraId="4B7CE9C1" w14:textId="77777777" w:rsidR="00D355BA" w:rsidRPr="00BA5737" w:rsidRDefault="00D355BA" w:rsidP="00D355BA">
      <w:pPr>
        <w:rPr>
          <w:rFonts w:cs="Arial"/>
          <w:szCs w:val="22"/>
        </w:rPr>
      </w:pPr>
      <w:r w:rsidRPr="00BA5737">
        <w:rPr>
          <w:rFonts w:cs="Arial"/>
          <w:szCs w:val="22"/>
        </w:rPr>
        <w:t xml:space="preserve">For </w:t>
      </w:r>
      <w:r w:rsidRPr="00BA5737">
        <w:rPr>
          <w:rFonts w:cs="Arial"/>
          <w:i/>
          <w:szCs w:val="22"/>
        </w:rPr>
        <w:t>H. uninervis</w:t>
      </w:r>
      <w:r w:rsidRPr="00BA5737">
        <w:rPr>
          <w:rFonts w:cs="Arial"/>
          <w:szCs w:val="22"/>
        </w:rPr>
        <w:t xml:space="preserve">, the most widespread seagrass species across MMP monitoring sites on the Reef, C:N was affected by light and DIN </w:t>
      </w:r>
      <w:r>
        <w:rPr>
          <w:rFonts w:cs="Arial"/>
          <w:szCs w:val="22"/>
        </w:rPr>
        <w:t xml:space="preserve">exposure </w:t>
      </w:r>
      <w:r w:rsidRPr="00BA5737">
        <w:rPr>
          <w:rFonts w:cs="Arial"/>
          <w:szCs w:val="22"/>
        </w:rPr>
        <w:t xml:space="preserve">most clearly in the Burdekin region (Table A3, Table A4, Figure 5). There was a negative effect of DIN </w:t>
      </w:r>
      <w:r>
        <w:rPr>
          <w:rFonts w:cs="Arial"/>
          <w:szCs w:val="22"/>
        </w:rPr>
        <w:t xml:space="preserve">exposure </w:t>
      </w:r>
      <w:r w:rsidRPr="00BA5737">
        <w:rPr>
          <w:rFonts w:cs="Arial"/>
          <w:szCs w:val="22"/>
        </w:rPr>
        <w:t xml:space="preserve">on C:N particularly </w:t>
      </w:r>
      <w:r>
        <w:rPr>
          <w:rFonts w:cs="Arial"/>
          <w:szCs w:val="22"/>
        </w:rPr>
        <w:t>when f_DL was in the middle of the range for light levels including f_DL2 in the reef subtidal and f_DL1 and f_DL2 in the coastal habitats. The factor for light is based on being above or below the median for each habitat within region (Table 6).</w:t>
      </w:r>
    </w:p>
    <w:p w14:paraId="122071D9" w14:textId="77777777" w:rsidR="00D355BA" w:rsidRPr="00BA5737" w:rsidRDefault="00D355BA" w:rsidP="00D355BA">
      <w:pPr>
        <w:rPr>
          <w:rFonts w:cs="Arial"/>
          <w:szCs w:val="22"/>
        </w:rPr>
      </w:pPr>
      <w:r>
        <w:rPr>
          <w:rFonts w:cs="Arial"/>
          <w:szCs w:val="22"/>
        </w:rPr>
        <w:t xml:space="preserve">In coastal habitats, ratios of </w:t>
      </w:r>
      <w:r w:rsidRPr="00BA5737">
        <w:rPr>
          <w:rFonts w:cs="Arial"/>
          <w:szCs w:val="22"/>
        </w:rPr>
        <w:t xml:space="preserve">C:N </w:t>
      </w:r>
      <w:r>
        <w:rPr>
          <w:rFonts w:cs="Arial"/>
          <w:szCs w:val="22"/>
        </w:rPr>
        <w:t xml:space="preserve">in </w:t>
      </w:r>
      <w:r w:rsidRPr="008D6282">
        <w:rPr>
          <w:rFonts w:cs="Arial"/>
          <w:i/>
          <w:iCs/>
          <w:szCs w:val="22"/>
        </w:rPr>
        <w:t>H. univervis</w:t>
      </w:r>
      <w:r>
        <w:rPr>
          <w:rFonts w:cs="Arial"/>
          <w:szCs w:val="22"/>
        </w:rPr>
        <w:t xml:space="preserve"> were greater under high light conditions compared to low light conditions. Burdekin and Mackay-Whitsunday coastal habitats showed a negative relationship between C:N and DIN loading, </w:t>
      </w:r>
      <w:r>
        <w:rPr>
          <w:rFonts w:cs="Arial"/>
          <w:szCs w:val="22"/>
        </w:rPr>
        <w:lastRenderedPageBreak/>
        <w:t xml:space="preserve">whereby C:N ratios decreased with increasing DIN loading. Similar patterns were observed for </w:t>
      </w:r>
      <w:r w:rsidRPr="008D6282">
        <w:rPr>
          <w:rFonts w:cs="Arial"/>
          <w:i/>
          <w:iCs/>
          <w:szCs w:val="22"/>
        </w:rPr>
        <w:t>H. univervis</w:t>
      </w:r>
      <w:r>
        <w:rPr>
          <w:rFonts w:cs="Arial"/>
          <w:szCs w:val="22"/>
        </w:rPr>
        <w:t xml:space="preserve"> in reef intertidal and subtidal habitats of the Burdekin and Mackay–Whitsunday regions. For reef habitats of the Wet Tropics region, </w:t>
      </w:r>
      <w:r w:rsidRPr="00BA5737">
        <w:rPr>
          <w:rFonts w:cs="Arial"/>
          <w:szCs w:val="22"/>
        </w:rPr>
        <w:t xml:space="preserve">the </w:t>
      </w:r>
      <w:r>
        <w:rPr>
          <w:rFonts w:cs="Arial"/>
          <w:szCs w:val="22"/>
        </w:rPr>
        <w:t xml:space="preserve">effect of light availability on C:N ratios was not significant </w:t>
      </w:r>
      <w:r w:rsidRPr="00BA5737">
        <w:rPr>
          <w:rFonts w:cs="Arial"/>
          <w:szCs w:val="22"/>
        </w:rPr>
        <w:t xml:space="preserve">or </w:t>
      </w:r>
      <w:r>
        <w:rPr>
          <w:rFonts w:cs="Arial"/>
          <w:szCs w:val="22"/>
        </w:rPr>
        <w:t>was</w:t>
      </w:r>
      <w:r w:rsidRPr="00BA5737">
        <w:rPr>
          <w:rFonts w:cs="Arial"/>
          <w:szCs w:val="22"/>
        </w:rPr>
        <w:t xml:space="preserve"> driven by </w:t>
      </w:r>
      <w:r>
        <w:rPr>
          <w:rFonts w:cs="Arial"/>
          <w:szCs w:val="22"/>
        </w:rPr>
        <w:t>a limited range of</w:t>
      </w:r>
      <w:r w:rsidRPr="00BA5737">
        <w:rPr>
          <w:rFonts w:cs="Arial"/>
          <w:szCs w:val="22"/>
        </w:rPr>
        <w:t xml:space="preserve"> data points. The high variation in C:N ratio for those instances are making it very difficult to detect clear patterns and would require additional data to be validated.</w:t>
      </w:r>
    </w:p>
    <w:p w14:paraId="01BC586B" w14:textId="77777777" w:rsidR="00D355BA" w:rsidRDefault="00D355BA" w:rsidP="00D355BA">
      <w:pPr>
        <w:rPr>
          <w:rFonts w:cs="Arial"/>
          <w:szCs w:val="22"/>
        </w:rPr>
      </w:pPr>
      <w:r>
        <w:rPr>
          <w:rFonts w:cs="Arial"/>
          <w:szCs w:val="22"/>
        </w:rPr>
        <w:br w:type="column"/>
      </w:r>
    </w:p>
    <w:p w14:paraId="3198B865" w14:textId="77777777" w:rsidR="00D355BA" w:rsidRPr="001F0E92" w:rsidRDefault="00D355BA" w:rsidP="00D355BA">
      <w:pPr>
        <w:rPr>
          <w:rFonts w:cs="Arial"/>
          <w:szCs w:val="22"/>
        </w:rPr>
      </w:pPr>
      <w:r w:rsidRPr="001F0E92">
        <w:rPr>
          <w:rFonts w:cs="Arial"/>
          <w:noProof/>
          <w:szCs w:val="22"/>
          <w:lang w:eastAsia="en-AU"/>
        </w:rPr>
        <w:drawing>
          <wp:inline distT="0" distB="0" distL="0" distR="0" wp14:anchorId="577BCAC5" wp14:editId="431ECBAC">
            <wp:extent cx="5727699" cy="5162743"/>
            <wp:effectExtent l="0" t="0" r="635" b="0"/>
            <wp:docPr id="16" name="Picture 16" descr="Panel of 12 graphs, displayed in four by four matrix, illustrating the GLM results for C:N of H. uninervis in relation to relative DIN loads, mean daily light, region and habitat (model M1). To simplify the representation, daily light was used in the model as a factor in two categories below (f_DL1, low light) and above the median (f_DL2, high light) for each habitat within region (Table 6). Shaded areas indicate the 95% prediction confidence intervals from the model for both light catego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LM_TN vs DIN+Light_HU.pdf"/>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5727699" cy="5162743"/>
                    </a:xfrm>
                    <a:prstGeom prst="rect">
                      <a:avLst/>
                    </a:prstGeom>
                  </pic:spPr>
                </pic:pic>
              </a:graphicData>
            </a:graphic>
          </wp:inline>
        </w:drawing>
      </w:r>
    </w:p>
    <w:p w14:paraId="4AE6C506" w14:textId="77777777" w:rsidR="00D355BA" w:rsidRDefault="00D355BA" w:rsidP="00D355BA">
      <w:pPr>
        <w:pStyle w:val="Caption"/>
        <w:rPr>
          <w:rFonts w:cs="Arial"/>
          <w:szCs w:val="22"/>
        </w:rPr>
      </w:pPr>
      <w:r w:rsidRPr="00867E8C">
        <w:rPr>
          <w:rFonts w:cs="Arial"/>
          <w:szCs w:val="22"/>
        </w:rPr>
        <w:t xml:space="preserve">Figure </w:t>
      </w:r>
      <w:r>
        <w:rPr>
          <w:rFonts w:cs="Arial"/>
          <w:szCs w:val="22"/>
        </w:rPr>
        <w:t>5</w:t>
      </w:r>
      <w:r w:rsidRPr="00867E8C">
        <w:rPr>
          <w:rFonts w:cs="Arial"/>
          <w:szCs w:val="22"/>
        </w:rPr>
        <w:t xml:space="preserve">. </w:t>
      </w:r>
      <w:r w:rsidRPr="00965259">
        <w:rPr>
          <w:rFonts w:cs="Arial"/>
          <w:i/>
          <w:szCs w:val="22"/>
        </w:rPr>
        <w:t>Graphical representation of the GLM results for C:N of H. uninervis in relation to relative DIN loads, mean daily light, region and habitat (model M1). To simplify the representation, daily light was used in the model as a factor in two categories below (f_DL1, low light) and above the median (f_DL2, high light) for each habitat within region (Table 6). Shaded areas indicate the 95% prediction confidence intervals from the model for both light categories.</w:t>
      </w:r>
      <w:r w:rsidRPr="001F0E92">
        <w:rPr>
          <w:rFonts w:cs="Arial"/>
          <w:szCs w:val="22"/>
        </w:rPr>
        <w:t xml:space="preserve">  </w:t>
      </w:r>
    </w:p>
    <w:p w14:paraId="122148DB" w14:textId="77777777" w:rsidR="00D355BA" w:rsidRDefault="00D355BA" w:rsidP="00D355BA">
      <w:pPr>
        <w:rPr>
          <w:i/>
        </w:rPr>
      </w:pPr>
      <w:r>
        <w:rPr>
          <w:lang w:val="en-GB"/>
        </w:rPr>
        <w:br w:type="column"/>
      </w:r>
      <w:r w:rsidRPr="00965259">
        <w:lastRenderedPageBreak/>
        <w:t xml:space="preserve">Table 6. </w:t>
      </w:r>
      <w:r>
        <w:rPr>
          <w:i/>
        </w:rPr>
        <w:t>The minimum, median and maximum daily light (mol m</w:t>
      </w:r>
      <w:r w:rsidRPr="007608C3">
        <w:rPr>
          <w:i/>
          <w:vertAlign w:val="superscript"/>
        </w:rPr>
        <w:t>-2</w:t>
      </w:r>
      <w:r>
        <w:rPr>
          <w:i/>
        </w:rPr>
        <w:t xml:space="preserve"> d</w:t>
      </w:r>
      <w:r w:rsidRPr="007608C3">
        <w:rPr>
          <w:i/>
          <w:vertAlign w:val="superscript"/>
        </w:rPr>
        <w:t>-1</w:t>
      </w:r>
      <w:r>
        <w:rPr>
          <w:i/>
        </w:rPr>
        <w:t>) used to set the two factors for f_DL for each sub-region and habitat</w:t>
      </w:r>
      <w:r w:rsidRPr="00BA5737">
        <w:rPr>
          <w:i/>
        </w:rPr>
        <w:t xml:space="preserve"> </w:t>
      </w:r>
      <w:r>
        <w:rPr>
          <w:i/>
        </w:rPr>
        <w:t xml:space="preserve">in M_Hu of C:N. F_DL1 is the mean annual daily light when below the median, but greater than the minimum, and f_DL2 includes mean daily light that is equal to or greater than the median. </w:t>
      </w:r>
    </w:p>
    <w:tbl>
      <w:tblPr>
        <w:tblW w:w="7601" w:type="dxa"/>
        <w:jc w:val="center"/>
        <w:tblLook w:val="04A0" w:firstRow="1" w:lastRow="0" w:firstColumn="1" w:lastColumn="0" w:noHBand="0" w:noVBand="1"/>
      </w:tblPr>
      <w:tblGrid>
        <w:gridCol w:w="2552"/>
        <w:gridCol w:w="1843"/>
        <w:gridCol w:w="992"/>
        <w:gridCol w:w="914"/>
        <w:gridCol w:w="1300"/>
      </w:tblGrid>
      <w:tr w:rsidR="00D355BA" w:rsidRPr="00965259" w14:paraId="1DC4C390" w14:textId="77777777" w:rsidTr="0094354F">
        <w:trPr>
          <w:trHeight w:val="320"/>
          <w:jc w:val="center"/>
        </w:trPr>
        <w:tc>
          <w:tcPr>
            <w:tcW w:w="2552" w:type="dxa"/>
            <w:vMerge w:val="restart"/>
            <w:tcBorders>
              <w:top w:val="single" w:sz="4" w:space="0" w:color="auto"/>
              <w:left w:val="nil"/>
              <w:right w:val="nil"/>
            </w:tcBorders>
            <w:shd w:val="clear" w:color="auto" w:fill="auto"/>
            <w:noWrap/>
            <w:vAlign w:val="center"/>
          </w:tcPr>
          <w:p w14:paraId="21F4AC96"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NRM subregion</w:t>
            </w:r>
          </w:p>
        </w:tc>
        <w:tc>
          <w:tcPr>
            <w:tcW w:w="1843" w:type="dxa"/>
            <w:vMerge w:val="restart"/>
            <w:tcBorders>
              <w:top w:val="single" w:sz="4" w:space="0" w:color="auto"/>
              <w:left w:val="nil"/>
              <w:right w:val="nil"/>
            </w:tcBorders>
            <w:shd w:val="clear" w:color="auto" w:fill="auto"/>
            <w:noWrap/>
            <w:vAlign w:val="center"/>
          </w:tcPr>
          <w:p w14:paraId="428DC4B8"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Habitat</w:t>
            </w:r>
          </w:p>
        </w:tc>
        <w:tc>
          <w:tcPr>
            <w:tcW w:w="3206" w:type="dxa"/>
            <w:gridSpan w:val="3"/>
            <w:tcBorders>
              <w:top w:val="single" w:sz="4" w:space="0" w:color="auto"/>
              <w:left w:val="nil"/>
              <w:bottom w:val="single" w:sz="4" w:space="0" w:color="auto"/>
              <w:right w:val="nil"/>
            </w:tcBorders>
            <w:shd w:val="clear" w:color="auto" w:fill="auto"/>
            <w:noWrap/>
            <w:vAlign w:val="center"/>
          </w:tcPr>
          <w:p w14:paraId="53C09298"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Light (mol m</w:t>
            </w:r>
            <w:r w:rsidRPr="00965259">
              <w:rPr>
                <w:rFonts w:cs="Arial"/>
                <w:b/>
                <w:color w:val="000000"/>
                <w:sz w:val="20"/>
                <w:szCs w:val="20"/>
                <w:vertAlign w:val="superscript"/>
              </w:rPr>
              <w:t>-2</w:t>
            </w:r>
            <w:r w:rsidRPr="00965259">
              <w:rPr>
                <w:rFonts w:cs="Arial"/>
                <w:b/>
                <w:color w:val="000000"/>
                <w:sz w:val="20"/>
                <w:szCs w:val="20"/>
              </w:rPr>
              <w:t xml:space="preserve"> d</w:t>
            </w:r>
            <w:r w:rsidRPr="00965259">
              <w:rPr>
                <w:rFonts w:cs="Arial"/>
                <w:b/>
                <w:color w:val="000000"/>
                <w:sz w:val="20"/>
                <w:szCs w:val="20"/>
                <w:vertAlign w:val="superscript"/>
              </w:rPr>
              <w:t>-1</w:t>
            </w:r>
            <w:r w:rsidRPr="00965259">
              <w:rPr>
                <w:rFonts w:cs="Arial"/>
                <w:b/>
                <w:color w:val="000000"/>
                <w:sz w:val="20"/>
                <w:szCs w:val="20"/>
              </w:rPr>
              <w:t>)</w:t>
            </w:r>
          </w:p>
        </w:tc>
      </w:tr>
      <w:tr w:rsidR="00D355BA" w:rsidRPr="00965259" w14:paraId="69561EF5" w14:textId="77777777" w:rsidTr="0094354F">
        <w:trPr>
          <w:trHeight w:val="320"/>
          <w:jc w:val="center"/>
        </w:trPr>
        <w:tc>
          <w:tcPr>
            <w:tcW w:w="2552" w:type="dxa"/>
            <w:vMerge/>
            <w:tcBorders>
              <w:left w:val="nil"/>
              <w:bottom w:val="single" w:sz="4" w:space="0" w:color="auto"/>
              <w:right w:val="nil"/>
            </w:tcBorders>
            <w:shd w:val="clear" w:color="auto" w:fill="auto"/>
            <w:noWrap/>
            <w:vAlign w:val="center"/>
            <w:hideMark/>
          </w:tcPr>
          <w:p w14:paraId="208F25D5" w14:textId="77777777" w:rsidR="00D355BA" w:rsidRPr="00965259" w:rsidRDefault="00D355BA" w:rsidP="0094354F">
            <w:pPr>
              <w:spacing w:before="0" w:after="0"/>
              <w:jc w:val="center"/>
              <w:rPr>
                <w:rFonts w:cs="Arial"/>
                <w:b/>
                <w:color w:val="000000"/>
                <w:sz w:val="20"/>
                <w:szCs w:val="20"/>
              </w:rPr>
            </w:pPr>
          </w:p>
        </w:tc>
        <w:tc>
          <w:tcPr>
            <w:tcW w:w="1843" w:type="dxa"/>
            <w:vMerge/>
            <w:tcBorders>
              <w:left w:val="nil"/>
              <w:bottom w:val="single" w:sz="4" w:space="0" w:color="auto"/>
              <w:right w:val="nil"/>
            </w:tcBorders>
            <w:shd w:val="clear" w:color="auto" w:fill="auto"/>
            <w:noWrap/>
            <w:vAlign w:val="center"/>
            <w:hideMark/>
          </w:tcPr>
          <w:p w14:paraId="2EAB30E6" w14:textId="77777777" w:rsidR="00D355BA" w:rsidRPr="00965259" w:rsidRDefault="00D355BA" w:rsidP="0094354F">
            <w:pPr>
              <w:spacing w:before="0" w:after="0"/>
              <w:jc w:val="center"/>
              <w:rPr>
                <w:rFonts w:cs="Arial"/>
                <w:b/>
                <w:color w:val="000000"/>
                <w:sz w:val="20"/>
                <w:szCs w:val="20"/>
              </w:rPr>
            </w:pPr>
          </w:p>
        </w:tc>
        <w:tc>
          <w:tcPr>
            <w:tcW w:w="992" w:type="dxa"/>
            <w:tcBorders>
              <w:top w:val="single" w:sz="4" w:space="0" w:color="auto"/>
              <w:left w:val="nil"/>
              <w:bottom w:val="single" w:sz="4" w:space="0" w:color="auto"/>
              <w:right w:val="nil"/>
            </w:tcBorders>
            <w:shd w:val="clear" w:color="auto" w:fill="auto"/>
            <w:noWrap/>
            <w:vAlign w:val="center"/>
            <w:hideMark/>
          </w:tcPr>
          <w:p w14:paraId="787FBD32"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Min</w:t>
            </w:r>
          </w:p>
        </w:tc>
        <w:tc>
          <w:tcPr>
            <w:tcW w:w="914" w:type="dxa"/>
            <w:tcBorders>
              <w:top w:val="single" w:sz="4" w:space="0" w:color="auto"/>
              <w:left w:val="nil"/>
              <w:bottom w:val="single" w:sz="4" w:space="0" w:color="auto"/>
              <w:right w:val="nil"/>
            </w:tcBorders>
            <w:shd w:val="clear" w:color="auto" w:fill="auto"/>
            <w:noWrap/>
            <w:vAlign w:val="center"/>
            <w:hideMark/>
          </w:tcPr>
          <w:p w14:paraId="578A189B"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Median</w:t>
            </w:r>
          </w:p>
        </w:tc>
        <w:tc>
          <w:tcPr>
            <w:tcW w:w="1300" w:type="dxa"/>
            <w:tcBorders>
              <w:top w:val="single" w:sz="4" w:space="0" w:color="auto"/>
              <w:left w:val="nil"/>
              <w:bottom w:val="single" w:sz="4" w:space="0" w:color="auto"/>
              <w:right w:val="nil"/>
            </w:tcBorders>
            <w:shd w:val="clear" w:color="auto" w:fill="auto"/>
            <w:noWrap/>
            <w:vAlign w:val="center"/>
            <w:hideMark/>
          </w:tcPr>
          <w:p w14:paraId="67DECC72" w14:textId="77777777" w:rsidR="00D355BA" w:rsidRPr="00965259" w:rsidRDefault="00D355BA" w:rsidP="0094354F">
            <w:pPr>
              <w:spacing w:before="0" w:after="0"/>
              <w:jc w:val="center"/>
              <w:rPr>
                <w:rFonts w:cs="Arial"/>
                <w:b/>
                <w:color w:val="000000"/>
                <w:sz w:val="20"/>
                <w:szCs w:val="20"/>
              </w:rPr>
            </w:pPr>
            <w:r w:rsidRPr="00965259">
              <w:rPr>
                <w:rFonts w:cs="Arial"/>
                <w:b/>
                <w:color w:val="000000"/>
                <w:sz w:val="20"/>
                <w:szCs w:val="20"/>
              </w:rPr>
              <w:t>Max</w:t>
            </w:r>
          </w:p>
        </w:tc>
      </w:tr>
      <w:tr w:rsidR="00D355BA" w14:paraId="75755A36"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27EE8C46"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Burdekin</w:t>
            </w:r>
          </w:p>
        </w:tc>
        <w:tc>
          <w:tcPr>
            <w:tcW w:w="1843" w:type="dxa"/>
            <w:tcBorders>
              <w:top w:val="nil"/>
              <w:left w:val="nil"/>
              <w:bottom w:val="nil"/>
              <w:right w:val="nil"/>
            </w:tcBorders>
            <w:shd w:val="clear" w:color="auto" w:fill="auto"/>
            <w:noWrap/>
            <w:vAlign w:val="bottom"/>
            <w:hideMark/>
          </w:tcPr>
          <w:p w14:paraId="05882928"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coastal intertidal</w:t>
            </w:r>
          </w:p>
        </w:tc>
        <w:tc>
          <w:tcPr>
            <w:tcW w:w="992" w:type="dxa"/>
            <w:tcBorders>
              <w:top w:val="nil"/>
              <w:left w:val="nil"/>
              <w:bottom w:val="nil"/>
              <w:right w:val="nil"/>
            </w:tcBorders>
            <w:shd w:val="clear" w:color="auto" w:fill="auto"/>
            <w:noWrap/>
            <w:vAlign w:val="bottom"/>
            <w:hideMark/>
          </w:tcPr>
          <w:p w14:paraId="539FA132"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4.0</w:t>
            </w:r>
          </w:p>
        </w:tc>
        <w:tc>
          <w:tcPr>
            <w:tcW w:w="914" w:type="dxa"/>
            <w:tcBorders>
              <w:top w:val="nil"/>
              <w:left w:val="nil"/>
              <w:bottom w:val="nil"/>
              <w:right w:val="nil"/>
            </w:tcBorders>
            <w:shd w:val="clear" w:color="auto" w:fill="auto"/>
            <w:noWrap/>
            <w:vAlign w:val="bottom"/>
            <w:hideMark/>
          </w:tcPr>
          <w:p w14:paraId="2DF7E7D0"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7.6</w:t>
            </w:r>
          </w:p>
        </w:tc>
        <w:tc>
          <w:tcPr>
            <w:tcW w:w="1300" w:type="dxa"/>
            <w:tcBorders>
              <w:top w:val="nil"/>
              <w:left w:val="nil"/>
              <w:bottom w:val="nil"/>
              <w:right w:val="nil"/>
            </w:tcBorders>
            <w:shd w:val="clear" w:color="auto" w:fill="auto"/>
            <w:noWrap/>
            <w:vAlign w:val="bottom"/>
            <w:hideMark/>
          </w:tcPr>
          <w:p w14:paraId="1A84D894"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14.8</w:t>
            </w:r>
          </w:p>
        </w:tc>
      </w:tr>
      <w:tr w:rsidR="00D355BA" w14:paraId="08B2988D"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3212CF84"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Burdekin</w:t>
            </w:r>
          </w:p>
        </w:tc>
        <w:tc>
          <w:tcPr>
            <w:tcW w:w="1843" w:type="dxa"/>
            <w:tcBorders>
              <w:top w:val="nil"/>
              <w:left w:val="nil"/>
              <w:bottom w:val="nil"/>
              <w:right w:val="nil"/>
            </w:tcBorders>
            <w:shd w:val="clear" w:color="auto" w:fill="auto"/>
            <w:noWrap/>
            <w:vAlign w:val="bottom"/>
            <w:hideMark/>
          </w:tcPr>
          <w:p w14:paraId="16AFC536"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intertidal</w:t>
            </w:r>
          </w:p>
        </w:tc>
        <w:tc>
          <w:tcPr>
            <w:tcW w:w="992" w:type="dxa"/>
            <w:tcBorders>
              <w:top w:val="nil"/>
              <w:left w:val="nil"/>
              <w:bottom w:val="nil"/>
              <w:right w:val="nil"/>
            </w:tcBorders>
            <w:shd w:val="clear" w:color="auto" w:fill="auto"/>
            <w:noWrap/>
            <w:vAlign w:val="bottom"/>
            <w:hideMark/>
          </w:tcPr>
          <w:p w14:paraId="702D5C51"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9.4</w:t>
            </w:r>
          </w:p>
        </w:tc>
        <w:tc>
          <w:tcPr>
            <w:tcW w:w="914" w:type="dxa"/>
            <w:tcBorders>
              <w:top w:val="nil"/>
              <w:left w:val="nil"/>
              <w:bottom w:val="nil"/>
              <w:right w:val="nil"/>
            </w:tcBorders>
            <w:shd w:val="clear" w:color="auto" w:fill="auto"/>
            <w:noWrap/>
            <w:vAlign w:val="bottom"/>
            <w:hideMark/>
          </w:tcPr>
          <w:p w14:paraId="173B7601"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14.4</w:t>
            </w:r>
          </w:p>
        </w:tc>
        <w:tc>
          <w:tcPr>
            <w:tcW w:w="1300" w:type="dxa"/>
            <w:tcBorders>
              <w:top w:val="nil"/>
              <w:left w:val="nil"/>
              <w:bottom w:val="nil"/>
              <w:right w:val="nil"/>
            </w:tcBorders>
            <w:shd w:val="clear" w:color="auto" w:fill="auto"/>
            <w:noWrap/>
            <w:vAlign w:val="bottom"/>
            <w:hideMark/>
          </w:tcPr>
          <w:p w14:paraId="5F2AD177"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18.5</w:t>
            </w:r>
          </w:p>
        </w:tc>
      </w:tr>
      <w:tr w:rsidR="00D355BA" w14:paraId="789D9EBE"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4693164A"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Burdekin</w:t>
            </w:r>
          </w:p>
        </w:tc>
        <w:tc>
          <w:tcPr>
            <w:tcW w:w="1843" w:type="dxa"/>
            <w:tcBorders>
              <w:top w:val="nil"/>
              <w:left w:val="nil"/>
              <w:bottom w:val="nil"/>
              <w:right w:val="nil"/>
            </w:tcBorders>
            <w:shd w:val="clear" w:color="auto" w:fill="auto"/>
            <w:noWrap/>
            <w:vAlign w:val="bottom"/>
            <w:hideMark/>
          </w:tcPr>
          <w:p w14:paraId="13CAF026"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subtidal</w:t>
            </w:r>
          </w:p>
        </w:tc>
        <w:tc>
          <w:tcPr>
            <w:tcW w:w="992" w:type="dxa"/>
            <w:tcBorders>
              <w:top w:val="nil"/>
              <w:left w:val="nil"/>
              <w:bottom w:val="nil"/>
              <w:right w:val="nil"/>
            </w:tcBorders>
            <w:shd w:val="clear" w:color="auto" w:fill="auto"/>
            <w:noWrap/>
            <w:vAlign w:val="bottom"/>
            <w:hideMark/>
          </w:tcPr>
          <w:p w14:paraId="6B6B9E6B"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4.5</w:t>
            </w:r>
          </w:p>
        </w:tc>
        <w:tc>
          <w:tcPr>
            <w:tcW w:w="914" w:type="dxa"/>
            <w:tcBorders>
              <w:top w:val="nil"/>
              <w:left w:val="nil"/>
              <w:bottom w:val="nil"/>
              <w:right w:val="nil"/>
            </w:tcBorders>
            <w:shd w:val="clear" w:color="auto" w:fill="auto"/>
            <w:noWrap/>
            <w:vAlign w:val="bottom"/>
            <w:hideMark/>
          </w:tcPr>
          <w:p w14:paraId="1AA96D0E"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5.2</w:t>
            </w:r>
          </w:p>
        </w:tc>
        <w:tc>
          <w:tcPr>
            <w:tcW w:w="1300" w:type="dxa"/>
            <w:tcBorders>
              <w:top w:val="nil"/>
              <w:left w:val="nil"/>
              <w:bottom w:val="nil"/>
              <w:right w:val="nil"/>
            </w:tcBorders>
            <w:shd w:val="clear" w:color="auto" w:fill="auto"/>
            <w:noWrap/>
            <w:vAlign w:val="bottom"/>
            <w:hideMark/>
          </w:tcPr>
          <w:p w14:paraId="70C96110"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7.0</w:t>
            </w:r>
          </w:p>
        </w:tc>
      </w:tr>
      <w:tr w:rsidR="00D355BA" w14:paraId="188DC804"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51DFC9A5" w14:textId="77777777" w:rsidR="00D355BA" w:rsidRPr="002D43C1" w:rsidRDefault="00D355BA" w:rsidP="0094354F">
            <w:pPr>
              <w:spacing w:before="0" w:after="0"/>
              <w:rPr>
                <w:rFonts w:cs="Arial"/>
                <w:color w:val="000000"/>
                <w:sz w:val="20"/>
                <w:szCs w:val="20"/>
              </w:rPr>
            </w:pPr>
            <w:r>
              <w:rPr>
                <w:rFonts w:cs="Arial"/>
                <w:color w:val="000000"/>
                <w:sz w:val="20"/>
                <w:szCs w:val="20"/>
              </w:rPr>
              <w:t>Mackay–Whitsunday</w:t>
            </w:r>
          </w:p>
        </w:tc>
        <w:tc>
          <w:tcPr>
            <w:tcW w:w="1843" w:type="dxa"/>
            <w:tcBorders>
              <w:top w:val="nil"/>
              <w:left w:val="nil"/>
              <w:bottom w:val="nil"/>
              <w:right w:val="nil"/>
            </w:tcBorders>
            <w:shd w:val="clear" w:color="auto" w:fill="auto"/>
            <w:noWrap/>
            <w:vAlign w:val="bottom"/>
            <w:hideMark/>
          </w:tcPr>
          <w:p w14:paraId="1147AB11"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coastal intertidal</w:t>
            </w:r>
          </w:p>
        </w:tc>
        <w:tc>
          <w:tcPr>
            <w:tcW w:w="992" w:type="dxa"/>
            <w:tcBorders>
              <w:top w:val="nil"/>
              <w:left w:val="nil"/>
              <w:bottom w:val="nil"/>
              <w:right w:val="nil"/>
            </w:tcBorders>
            <w:shd w:val="clear" w:color="auto" w:fill="auto"/>
            <w:noWrap/>
            <w:vAlign w:val="bottom"/>
            <w:hideMark/>
          </w:tcPr>
          <w:p w14:paraId="057A62C7"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5.5</w:t>
            </w:r>
          </w:p>
        </w:tc>
        <w:tc>
          <w:tcPr>
            <w:tcW w:w="914" w:type="dxa"/>
            <w:tcBorders>
              <w:top w:val="nil"/>
              <w:left w:val="nil"/>
              <w:bottom w:val="nil"/>
              <w:right w:val="nil"/>
            </w:tcBorders>
            <w:shd w:val="clear" w:color="auto" w:fill="auto"/>
            <w:noWrap/>
            <w:vAlign w:val="bottom"/>
            <w:hideMark/>
          </w:tcPr>
          <w:p w14:paraId="432C173A"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7.8</w:t>
            </w:r>
          </w:p>
        </w:tc>
        <w:tc>
          <w:tcPr>
            <w:tcW w:w="1300" w:type="dxa"/>
            <w:tcBorders>
              <w:top w:val="nil"/>
              <w:left w:val="nil"/>
              <w:bottom w:val="nil"/>
              <w:right w:val="nil"/>
            </w:tcBorders>
            <w:shd w:val="clear" w:color="auto" w:fill="auto"/>
            <w:noWrap/>
            <w:vAlign w:val="bottom"/>
            <w:hideMark/>
          </w:tcPr>
          <w:p w14:paraId="0D83E8FC"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11.4</w:t>
            </w:r>
          </w:p>
        </w:tc>
      </w:tr>
      <w:tr w:rsidR="00D355BA" w14:paraId="74B7A25D"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123F0B56" w14:textId="77777777" w:rsidR="00D355BA" w:rsidRPr="002D43C1" w:rsidRDefault="00D355BA" w:rsidP="0094354F">
            <w:pPr>
              <w:spacing w:before="0" w:after="0"/>
              <w:rPr>
                <w:rFonts w:cs="Arial"/>
                <w:color w:val="000000"/>
                <w:sz w:val="20"/>
                <w:szCs w:val="20"/>
              </w:rPr>
            </w:pPr>
            <w:r>
              <w:rPr>
                <w:rFonts w:cs="Arial"/>
                <w:color w:val="000000"/>
                <w:sz w:val="20"/>
                <w:szCs w:val="20"/>
              </w:rPr>
              <w:t>Mackay–Whitsunday</w:t>
            </w:r>
          </w:p>
        </w:tc>
        <w:tc>
          <w:tcPr>
            <w:tcW w:w="1843" w:type="dxa"/>
            <w:tcBorders>
              <w:top w:val="nil"/>
              <w:left w:val="nil"/>
              <w:bottom w:val="nil"/>
              <w:right w:val="nil"/>
            </w:tcBorders>
            <w:shd w:val="clear" w:color="auto" w:fill="auto"/>
            <w:noWrap/>
            <w:vAlign w:val="bottom"/>
            <w:hideMark/>
          </w:tcPr>
          <w:p w14:paraId="17A29978"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intertidal</w:t>
            </w:r>
          </w:p>
        </w:tc>
        <w:tc>
          <w:tcPr>
            <w:tcW w:w="992" w:type="dxa"/>
            <w:tcBorders>
              <w:top w:val="nil"/>
              <w:left w:val="nil"/>
              <w:bottom w:val="nil"/>
              <w:right w:val="nil"/>
            </w:tcBorders>
            <w:shd w:val="clear" w:color="auto" w:fill="auto"/>
            <w:noWrap/>
            <w:vAlign w:val="bottom"/>
            <w:hideMark/>
          </w:tcPr>
          <w:p w14:paraId="53E63F0C"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12.0</w:t>
            </w:r>
          </w:p>
        </w:tc>
        <w:tc>
          <w:tcPr>
            <w:tcW w:w="914" w:type="dxa"/>
            <w:tcBorders>
              <w:top w:val="nil"/>
              <w:left w:val="nil"/>
              <w:bottom w:val="nil"/>
              <w:right w:val="nil"/>
            </w:tcBorders>
            <w:shd w:val="clear" w:color="auto" w:fill="auto"/>
            <w:noWrap/>
            <w:vAlign w:val="bottom"/>
            <w:hideMark/>
          </w:tcPr>
          <w:p w14:paraId="430DA0E0"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16.7</w:t>
            </w:r>
          </w:p>
        </w:tc>
        <w:tc>
          <w:tcPr>
            <w:tcW w:w="1300" w:type="dxa"/>
            <w:tcBorders>
              <w:top w:val="nil"/>
              <w:left w:val="nil"/>
              <w:bottom w:val="nil"/>
              <w:right w:val="nil"/>
            </w:tcBorders>
            <w:shd w:val="clear" w:color="auto" w:fill="auto"/>
            <w:noWrap/>
            <w:vAlign w:val="bottom"/>
            <w:hideMark/>
          </w:tcPr>
          <w:p w14:paraId="7CE19254"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22.0</w:t>
            </w:r>
          </w:p>
        </w:tc>
      </w:tr>
      <w:tr w:rsidR="00D355BA" w14:paraId="46BED7E4"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43DCC1BF" w14:textId="77777777" w:rsidR="00D355BA" w:rsidRPr="002D43C1" w:rsidRDefault="00D355BA" w:rsidP="0094354F">
            <w:pPr>
              <w:spacing w:before="0" w:after="0"/>
              <w:rPr>
                <w:rFonts w:cs="Arial"/>
                <w:color w:val="000000"/>
                <w:sz w:val="20"/>
                <w:szCs w:val="20"/>
              </w:rPr>
            </w:pPr>
            <w:r>
              <w:rPr>
                <w:rFonts w:cs="Arial"/>
                <w:color w:val="000000"/>
                <w:sz w:val="20"/>
                <w:szCs w:val="20"/>
              </w:rPr>
              <w:t>northern Wet Tropics</w:t>
            </w:r>
          </w:p>
        </w:tc>
        <w:tc>
          <w:tcPr>
            <w:tcW w:w="1843" w:type="dxa"/>
            <w:tcBorders>
              <w:top w:val="nil"/>
              <w:left w:val="nil"/>
              <w:bottom w:val="nil"/>
              <w:right w:val="nil"/>
            </w:tcBorders>
            <w:shd w:val="clear" w:color="auto" w:fill="auto"/>
            <w:noWrap/>
            <w:vAlign w:val="bottom"/>
            <w:hideMark/>
          </w:tcPr>
          <w:p w14:paraId="07018EE3"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coastal intertidal</w:t>
            </w:r>
          </w:p>
        </w:tc>
        <w:tc>
          <w:tcPr>
            <w:tcW w:w="992" w:type="dxa"/>
            <w:tcBorders>
              <w:top w:val="nil"/>
              <w:left w:val="nil"/>
              <w:bottom w:val="nil"/>
              <w:right w:val="nil"/>
            </w:tcBorders>
            <w:shd w:val="clear" w:color="auto" w:fill="auto"/>
            <w:noWrap/>
            <w:vAlign w:val="bottom"/>
            <w:hideMark/>
          </w:tcPr>
          <w:p w14:paraId="61D34D6A"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10.2</w:t>
            </w:r>
          </w:p>
        </w:tc>
        <w:tc>
          <w:tcPr>
            <w:tcW w:w="914" w:type="dxa"/>
            <w:tcBorders>
              <w:top w:val="nil"/>
              <w:left w:val="nil"/>
              <w:bottom w:val="nil"/>
              <w:right w:val="nil"/>
            </w:tcBorders>
            <w:shd w:val="clear" w:color="auto" w:fill="auto"/>
            <w:noWrap/>
            <w:vAlign w:val="bottom"/>
            <w:hideMark/>
          </w:tcPr>
          <w:p w14:paraId="024DC922"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16.1</w:t>
            </w:r>
          </w:p>
        </w:tc>
        <w:tc>
          <w:tcPr>
            <w:tcW w:w="1300" w:type="dxa"/>
            <w:tcBorders>
              <w:top w:val="nil"/>
              <w:left w:val="nil"/>
              <w:bottom w:val="nil"/>
              <w:right w:val="nil"/>
            </w:tcBorders>
            <w:shd w:val="clear" w:color="auto" w:fill="auto"/>
            <w:noWrap/>
            <w:vAlign w:val="bottom"/>
            <w:hideMark/>
          </w:tcPr>
          <w:p w14:paraId="7D29C6DC"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22.1</w:t>
            </w:r>
          </w:p>
        </w:tc>
      </w:tr>
      <w:tr w:rsidR="00D355BA" w14:paraId="374D204D"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226D1AE0" w14:textId="77777777" w:rsidR="00D355BA" w:rsidRPr="002D43C1" w:rsidRDefault="00D355BA" w:rsidP="0094354F">
            <w:pPr>
              <w:spacing w:before="0" w:after="0"/>
              <w:rPr>
                <w:rFonts w:cs="Arial"/>
                <w:color w:val="000000"/>
                <w:sz w:val="20"/>
                <w:szCs w:val="20"/>
              </w:rPr>
            </w:pPr>
            <w:r>
              <w:rPr>
                <w:rFonts w:cs="Arial"/>
                <w:color w:val="000000"/>
                <w:sz w:val="20"/>
                <w:szCs w:val="20"/>
              </w:rPr>
              <w:t>northern Wet Tropics</w:t>
            </w:r>
          </w:p>
        </w:tc>
        <w:tc>
          <w:tcPr>
            <w:tcW w:w="1843" w:type="dxa"/>
            <w:tcBorders>
              <w:top w:val="nil"/>
              <w:left w:val="nil"/>
              <w:bottom w:val="nil"/>
              <w:right w:val="nil"/>
            </w:tcBorders>
            <w:shd w:val="clear" w:color="auto" w:fill="auto"/>
            <w:noWrap/>
            <w:vAlign w:val="bottom"/>
            <w:hideMark/>
          </w:tcPr>
          <w:p w14:paraId="4EACBD12"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intertidal</w:t>
            </w:r>
          </w:p>
        </w:tc>
        <w:tc>
          <w:tcPr>
            <w:tcW w:w="992" w:type="dxa"/>
            <w:tcBorders>
              <w:top w:val="nil"/>
              <w:left w:val="nil"/>
              <w:bottom w:val="nil"/>
              <w:right w:val="nil"/>
            </w:tcBorders>
            <w:shd w:val="clear" w:color="auto" w:fill="auto"/>
            <w:noWrap/>
            <w:vAlign w:val="bottom"/>
            <w:hideMark/>
          </w:tcPr>
          <w:p w14:paraId="53DE3022"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11.6</w:t>
            </w:r>
          </w:p>
        </w:tc>
        <w:tc>
          <w:tcPr>
            <w:tcW w:w="914" w:type="dxa"/>
            <w:tcBorders>
              <w:top w:val="nil"/>
              <w:left w:val="nil"/>
              <w:bottom w:val="nil"/>
              <w:right w:val="nil"/>
            </w:tcBorders>
            <w:shd w:val="clear" w:color="auto" w:fill="auto"/>
            <w:noWrap/>
            <w:vAlign w:val="bottom"/>
            <w:hideMark/>
          </w:tcPr>
          <w:p w14:paraId="0DE964F7"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16.6</w:t>
            </w:r>
          </w:p>
        </w:tc>
        <w:tc>
          <w:tcPr>
            <w:tcW w:w="1300" w:type="dxa"/>
            <w:tcBorders>
              <w:top w:val="nil"/>
              <w:left w:val="nil"/>
              <w:bottom w:val="nil"/>
              <w:right w:val="nil"/>
            </w:tcBorders>
            <w:shd w:val="clear" w:color="auto" w:fill="auto"/>
            <w:noWrap/>
            <w:vAlign w:val="bottom"/>
            <w:hideMark/>
          </w:tcPr>
          <w:p w14:paraId="4DD31EB0"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23.5</w:t>
            </w:r>
          </w:p>
        </w:tc>
      </w:tr>
      <w:tr w:rsidR="00D355BA" w14:paraId="302113C3"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24DD0610" w14:textId="77777777" w:rsidR="00D355BA" w:rsidRPr="002D43C1" w:rsidRDefault="00D355BA" w:rsidP="0094354F">
            <w:pPr>
              <w:spacing w:before="0" w:after="0"/>
              <w:rPr>
                <w:rFonts w:cs="Arial"/>
                <w:color w:val="000000"/>
                <w:sz w:val="20"/>
                <w:szCs w:val="20"/>
              </w:rPr>
            </w:pPr>
            <w:r>
              <w:rPr>
                <w:rFonts w:cs="Arial"/>
                <w:color w:val="000000"/>
                <w:sz w:val="20"/>
                <w:szCs w:val="20"/>
              </w:rPr>
              <w:t>northern Wet Tropics</w:t>
            </w:r>
          </w:p>
        </w:tc>
        <w:tc>
          <w:tcPr>
            <w:tcW w:w="1843" w:type="dxa"/>
            <w:tcBorders>
              <w:top w:val="nil"/>
              <w:left w:val="nil"/>
              <w:bottom w:val="nil"/>
              <w:right w:val="nil"/>
            </w:tcBorders>
            <w:shd w:val="clear" w:color="auto" w:fill="auto"/>
            <w:noWrap/>
            <w:vAlign w:val="bottom"/>
            <w:hideMark/>
          </w:tcPr>
          <w:p w14:paraId="4E3E505B"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subtidal</w:t>
            </w:r>
          </w:p>
        </w:tc>
        <w:tc>
          <w:tcPr>
            <w:tcW w:w="992" w:type="dxa"/>
            <w:tcBorders>
              <w:top w:val="nil"/>
              <w:left w:val="nil"/>
              <w:bottom w:val="nil"/>
              <w:right w:val="nil"/>
            </w:tcBorders>
            <w:shd w:val="clear" w:color="auto" w:fill="auto"/>
            <w:noWrap/>
            <w:vAlign w:val="bottom"/>
            <w:hideMark/>
          </w:tcPr>
          <w:p w14:paraId="479D83E8"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5.6</w:t>
            </w:r>
          </w:p>
        </w:tc>
        <w:tc>
          <w:tcPr>
            <w:tcW w:w="914" w:type="dxa"/>
            <w:tcBorders>
              <w:top w:val="nil"/>
              <w:left w:val="nil"/>
              <w:bottom w:val="nil"/>
              <w:right w:val="nil"/>
            </w:tcBorders>
            <w:shd w:val="clear" w:color="auto" w:fill="auto"/>
            <w:noWrap/>
            <w:vAlign w:val="bottom"/>
            <w:hideMark/>
          </w:tcPr>
          <w:p w14:paraId="00DA34C0"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10.5</w:t>
            </w:r>
          </w:p>
        </w:tc>
        <w:tc>
          <w:tcPr>
            <w:tcW w:w="1300" w:type="dxa"/>
            <w:tcBorders>
              <w:top w:val="nil"/>
              <w:left w:val="nil"/>
              <w:bottom w:val="nil"/>
              <w:right w:val="nil"/>
            </w:tcBorders>
            <w:shd w:val="clear" w:color="auto" w:fill="auto"/>
            <w:noWrap/>
            <w:vAlign w:val="bottom"/>
            <w:hideMark/>
          </w:tcPr>
          <w:p w14:paraId="4E265894"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16.0</w:t>
            </w:r>
          </w:p>
        </w:tc>
      </w:tr>
      <w:tr w:rsidR="00D355BA" w14:paraId="1B7924D2" w14:textId="77777777" w:rsidTr="0094354F">
        <w:trPr>
          <w:trHeight w:val="320"/>
          <w:jc w:val="center"/>
        </w:trPr>
        <w:tc>
          <w:tcPr>
            <w:tcW w:w="2552" w:type="dxa"/>
            <w:tcBorders>
              <w:top w:val="nil"/>
              <w:left w:val="nil"/>
              <w:bottom w:val="nil"/>
              <w:right w:val="nil"/>
            </w:tcBorders>
            <w:shd w:val="clear" w:color="auto" w:fill="auto"/>
            <w:noWrap/>
            <w:vAlign w:val="bottom"/>
            <w:hideMark/>
          </w:tcPr>
          <w:p w14:paraId="7FFFF7A7" w14:textId="77777777" w:rsidR="00D355BA" w:rsidRPr="002D43C1" w:rsidRDefault="00D355BA" w:rsidP="0094354F">
            <w:pPr>
              <w:spacing w:before="0" w:after="0"/>
              <w:rPr>
                <w:rFonts w:cs="Arial"/>
                <w:color w:val="000000"/>
                <w:sz w:val="20"/>
                <w:szCs w:val="20"/>
              </w:rPr>
            </w:pPr>
            <w:r>
              <w:rPr>
                <w:rFonts w:cs="Arial"/>
                <w:color w:val="000000"/>
                <w:sz w:val="20"/>
                <w:szCs w:val="20"/>
              </w:rPr>
              <w:t>southern Wet Tropics</w:t>
            </w:r>
          </w:p>
        </w:tc>
        <w:tc>
          <w:tcPr>
            <w:tcW w:w="1843" w:type="dxa"/>
            <w:tcBorders>
              <w:top w:val="nil"/>
              <w:left w:val="nil"/>
              <w:bottom w:val="nil"/>
              <w:right w:val="nil"/>
            </w:tcBorders>
            <w:shd w:val="clear" w:color="auto" w:fill="auto"/>
            <w:noWrap/>
            <w:vAlign w:val="bottom"/>
            <w:hideMark/>
          </w:tcPr>
          <w:p w14:paraId="19CCBD61"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intertidal</w:t>
            </w:r>
          </w:p>
        </w:tc>
        <w:tc>
          <w:tcPr>
            <w:tcW w:w="992" w:type="dxa"/>
            <w:tcBorders>
              <w:top w:val="nil"/>
              <w:left w:val="nil"/>
              <w:bottom w:val="nil"/>
              <w:right w:val="nil"/>
            </w:tcBorders>
            <w:shd w:val="clear" w:color="auto" w:fill="auto"/>
            <w:noWrap/>
            <w:vAlign w:val="bottom"/>
            <w:hideMark/>
          </w:tcPr>
          <w:p w14:paraId="5E89E184"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13.2</w:t>
            </w:r>
          </w:p>
        </w:tc>
        <w:tc>
          <w:tcPr>
            <w:tcW w:w="914" w:type="dxa"/>
            <w:tcBorders>
              <w:top w:val="nil"/>
              <w:left w:val="nil"/>
              <w:bottom w:val="nil"/>
              <w:right w:val="nil"/>
            </w:tcBorders>
            <w:shd w:val="clear" w:color="auto" w:fill="auto"/>
            <w:noWrap/>
            <w:vAlign w:val="bottom"/>
            <w:hideMark/>
          </w:tcPr>
          <w:p w14:paraId="6A9D7664"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17.4</w:t>
            </w:r>
          </w:p>
        </w:tc>
        <w:tc>
          <w:tcPr>
            <w:tcW w:w="1300" w:type="dxa"/>
            <w:tcBorders>
              <w:top w:val="nil"/>
              <w:left w:val="nil"/>
              <w:bottom w:val="nil"/>
              <w:right w:val="nil"/>
            </w:tcBorders>
            <w:shd w:val="clear" w:color="auto" w:fill="auto"/>
            <w:noWrap/>
            <w:vAlign w:val="bottom"/>
            <w:hideMark/>
          </w:tcPr>
          <w:p w14:paraId="35D3DAAE"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20.3</w:t>
            </w:r>
          </w:p>
        </w:tc>
      </w:tr>
      <w:tr w:rsidR="00D355BA" w14:paraId="46E06C69" w14:textId="77777777" w:rsidTr="0094354F">
        <w:trPr>
          <w:trHeight w:val="320"/>
          <w:jc w:val="center"/>
        </w:trPr>
        <w:tc>
          <w:tcPr>
            <w:tcW w:w="2552" w:type="dxa"/>
            <w:tcBorders>
              <w:top w:val="nil"/>
              <w:left w:val="nil"/>
              <w:bottom w:val="single" w:sz="4" w:space="0" w:color="auto"/>
              <w:right w:val="nil"/>
            </w:tcBorders>
            <w:shd w:val="clear" w:color="auto" w:fill="auto"/>
            <w:noWrap/>
            <w:vAlign w:val="bottom"/>
            <w:hideMark/>
          </w:tcPr>
          <w:p w14:paraId="11865D71" w14:textId="77777777" w:rsidR="00D355BA" w:rsidRPr="002D43C1" w:rsidRDefault="00D355BA" w:rsidP="0094354F">
            <w:pPr>
              <w:spacing w:before="0" w:after="0"/>
              <w:rPr>
                <w:rFonts w:cs="Arial"/>
                <w:color w:val="000000"/>
                <w:sz w:val="20"/>
                <w:szCs w:val="20"/>
              </w:rPr>
            </w:pPr>
            <w:r>
              <w:rPr>
                <w:rFonts w:cs="Arial"/>
                <w:color w:val="000000"/>
                <w:sz w:val="20"/>
                <w:szCs w:val="20"/>
              </w:rPr>
              <w:t>southern Wet Tropics</w:t>
            </w:r>
          </w:p>
        </w:tc>
        <w:tc>
          <w:tcPr>
            <w:tcW w:w="1843" w:type="dxa"/>
            <w:tcBorders>
              <w:top w:val="nil"/>
              <w:left w:val="nil"/>
              <w:bottom w:val="single" w:sz="4" w:space="0" w:color="auto"/>
              <w:right w:val="nil"/>
            </w:tcBorders>
            <w:shd w:val="clear" w:color="auto" w:fill="auto"/>
            <w:noWrap/>
            <w:vAlign w:val="bottom"/>
            <w:hideMark/>
          </w:tcPr>
          <w:p w14:paraId="6ABB60A9" w14:textId="77777777" w:rsidR="00D355BA" w:rsidRPr="002D43C1" w:rsidRDefault="00D355BA" w:rsidP="0094354F">
            <w:pPr>
              <w:spacing w:before="0" w:after="0"/>
              <w:rPr>
                <w:rFonts w:cs="Arial"/>
                <w:color w:val="000000"/>
                <w:sz w:val="20"/>
                <w:szCs w:val="20"/>
              </w:rPr>
            </w:pPr>
            <w:r w:rsidRPr="002D43C1">
              <w:rPr>
                <w:rFonts w:cs="Arial"/>
                <w:color w:val="000000"/>
                <w:sz w:val="20"/>
                <w:szCs w:val="20"/>
              </w:rPr>
              <w:t>reef subtidal</w:t>
            </w:r>
          </w:p>
        </w:tc>
        <w:tc>
          <w:tcPr>
            <w:tcW w:w="992" w:type="dxa"/>
            <w:tcBorders>
              <w:top w:val="nil"/>
              <w:left w:val="nil"/>
              <w:bottom w:val="single" w:sz="4" w:space="0" w:color="auto"/>
              <w:right w:val="nil"/>
            </w:tcBorders>
            <w:shd w:val="clear" w:color="auto" w:fill="auto"/>
            <w:noWrap/>
            <w:vAlign w:val="bottom"/>
            <w:hideMark/>
          </w:tcPr>
          <w:p w14:paraId="31781E78"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4.6</w:t>
            </w:r>
          </w:p>
        </w:tc>
        <w:tc>
          <w:tcPr>
            <w:tcW w:w="914" w:type="dxa"/>
            <w:tcBorders>
              <w:top w:val="nil"/>
              <w:left w:val="nil"/>
              <w:bottom w:val="single" w:sz="4" w:space="0" w:color="auto"/>
              <w:right w:val="nil"/>
            </w:tcBorders>
            <w:shd w:val="clear" w:color="auto" w:fill="auto"/>
            <w:noWrap/>
            <w:vAlign w:val="bottom"/>
            <w:hideMark/>
          </w:tcPr>
          <w:p w14:paraId="6835AAB9"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6.9</w:t>
            </w:r>
          </w:p>
        </w:tc>
        <w:tc>
          <w:tcPr>
            <w:tcW w:w="1300" w:type="dxa"/>
            <w:tcBorders>
              <w:top w:val="nil"/>
              <w:left w:val="nil"/>
              <w:bottom w:val="single" w:sz="4" w:space="0" w:color="auto"/>
              <w:right w:val="nil"/>
            </w:tcBorders>
            <w:shd w:val="clear" w:color="auto" w:fill="auto"/>
            <w:noWrap/>
            <w:vAlign w:val="bottom"/>
            <w:hideMark/>
          </w:tcPr>
          <w:p w14:paraId="6DE35FD5" w14:textId="77777777" w:rsidR="00D355BA" w:rsidRPr="002D43C1" w:rsidRDefault="00D355BA" w:rsidP="0094354F">
            <w:pPr>
              <w:spacing w:before="0" w:after="0"/>
              <w:jc w:val="right"/>
              <w:rPr>
                <w:rFonts w:cs="Arial"/>
                <w:color w:val="000000"/>
                <w:sz w:val="20"/>
                <w:szCs w:val="20"/>
              </w:rPr>
            </w:pPr>
            <w:r w:rsidRPr="002D43C1">
              <w:rPr>
                <w:rFonts w:cs="Arial"/>
                <w:color w:val="000000"/>
                <w:sz w:val="20"/>
                <w:szCs w:val="20"/>
              </w:rPr>
              <w:t>11.1</w:t>
            </w:r>
          </w:p>
        </w:tc>
      </w:tr>
    </w:tbl>
    <w:p w14:paraId="2AABBFB4" w14:textId="77777777" w:rsidR="00D355BA" w:rsidRDefault="00D355BA" w:rsidP="00D355BA"/>
    <w:p w14:paraId="19E621C7" w14:textId="77777777" w:rsidR="00D355BA" w:rsidRPr="00FE185C" w:rsidRDefault="00D355BA" w:rsidP="00D355BA">
      <w:pPr>
        <w:pStyle w:val="Heading4"/>
        <w:numPr>
          <w:ilvl w:val="0"/>
          <w:numId w:val="0"/>
        </w:numPr>
      </w:pPr>
      <w:r>
        <w:br w:type="column"/>
      </w:r>
      <w:bookmarkStart w:id="855" w:name="_Toc43987113"/>
      <w:r>
        <w:lastRenderedPageBreak/>
        <w:t>Changes in</w:t>
      </w:r>
      <w:r w:rsidRPr="00564F44">
        <w:t xml:space="preserve"> C:N</w:t>
      </w:r>
      <w:r>
        <w:t xml:space="preserve"> (</w:t>
      </w:r>
      <w:r w:rsidRPr="00FE185C">
        <w:t>Z. muelleri</w:t>
      </w:r>
      <w:r>
        <w:t>) in relation to</w:t>
      </w:r>
      <w:r w:rsidRPr="00564F44">
        <w:t xml:space="preserve"> DIN loads and daily light</w:t>
      </w:r>
      <w:bookmarkEnd w:id="855"/>
    </w:p>
    <w:p w14:paraId="2CAA8A6A" w14:textId="77777777" w:rsidR="00D355BA" w:rsidRPr="00B10272" w:rsidRDefault="00D355BA" w:rsidP="00D355BA">
      <w:pPr>
        <w:rPr>
          <w:rFonts w:cs="Arial"/>
          <w:szCs w:val="22"/>
        </w:rPr>
      </w:pPr>
      <w:r w:rsidRPr="00B10272">
        <w:rPr>
          <w:rFonts w:cs="Arial"/>
          <w:i/>
          <w:szCs w:val="22"/>
        </w:rPr>
        <w:t>Z. muelleri</w:t>
      </w:r>
      <w:r w:rsidRPr="00B10272">
        <w:rPr>
          <w:rFonts w:cs="Arial"/>
          <w:szCs w:val="22"/>
        </w:rPr>
        <w:t xml:space="preserve"> is mostly found in the southern regions of the </w:t>
      </w:r>
      <w:r>
        <w:rPr>
          <w:rFonts w:cs="Arial"/>
          <w:szCs w:val="22"/>
        </w:rPr>
        <w:t>Reef</w:t>
      </w:r>
      <w:r w:rsidRPr="00B10272">
        <w:rPr>
          <w:rFonts w:cs="Arial"/>
          <w:szCs w:val="22"/>
        </w:rPr>
        <w:t xml:space="preserve"> and the effects on C:N were very complicated due to a large number of interactions, including 3-way interactions (Table A5, Figure 6). This makes it very difficult to interpret C:N using this species. </w:t>
      </w:r>
      <w:r>
        <w:rPr>
          <w:rFonts w:cs="Arial"/>
          <w:szCs w:val="22"/>
        </w:rPr>
        <w:t xml:space="preserve">Ratios of </w:t>
      </w:r>
      <w:r w:rsidRPr="00B10272">
        <w:rPr>
          <w:rFonts w:cs="Arial"/>
          <w:szCs w:val="22"/>
        </w:rPr>
        <w:t>C:N w</w:t>
      </w:r>
      <w:r>
        <w:rPr>
          <w:rFonts w:cs="Arial"/>
          <w:szCs w:val="22"/>
        </w:rPr>
        <w:t>ere</w:t>
      </w:r>
      <w:r w:rsidRPr="00B10272">
        <w:rPr>
          <w:rFonts w:cs="Arial"/>
          <w:szCs w:val="22"/>
        </w:rPr>
        <w:t xml:space="preserve"> significantly higher in low light in estuarine habitat</w:t>
      </w:r>
      <w:r>
        <w:rPr>
          <w:rFonts w:cs="Arial"/>
          <w:szCs w:val="22"/>
        </w:rPr>
        <w:t>s</w:t>
      </w:r>
      <w:r w:rsidRPr="00B10272">
        <w:rPr>
          <w:rFonts w:cs="Arial"/>
          <w:szCs w:val="22"/>
        </w:rPr>
        <w:t xml:space="preserve"> of the Burnett-Mary, and significantly higher in high light in coastal habitat</w:t>
      </w:r>
      <w:r>
        <w:rPr>
          <w:rFonts w:cs="Arial"/>
          <w:szCs w:val="22"/>
        </w:rPr>
        <w:t>s</w:t>
      </w:r>
      <w:r w:rsidRPr="00B10272">
        <w:rPr>
          <w:rFonts w:cs="Arial"/>
          <w:szCs w:val="22"/>
        </w:rPr>
        <w:t xml:space="preserve"> of the Mackay-Whitsundays. Furthermore, DIN </w:t>
      </w:r>
      <w:r>
        <w:rPr>
          <w:rFonts w:cs="Arial"/>
          <w:szCs w:val="22"/>
        </w:rPr>
        <w:t xml:space="preserve">exposure </w:t>
      </w:r>
      <w:r w:rsidRPr="00B10272">
        <w:rPr>
          <w:rFonts w:cs="Arial"/>
          <w:szCs w:val="22"/>
        </w:rPr>
        <w:t>had a significant positive effect in some cases (estuarine habitat, Burnett</w:t>
      </w:r>
      <w:r>
        <w:rPr>
          <w:rFonts w:cs="Arial"/>
          <w:szCs w:val="22"/>
        </w:rPr>
        <w:t>-</w:t>
      </w:r>
      <w:r w:rsidRPr="00B10272">
        <w:rPr>
          <w:rFonts w:cs="Arial"/>
          <w:szCs w:val="22"/>
        </w:rPr>
        <w:t xml:space="preserve">Mary and coastal habitat Fitzroy), but it must be noted that there was very low range in DIN </w:t>
      </w:r>
      <w:r>
        <w:rPr>
          <w:rFonts w:cs="Arial"/>
          <w:szCs w:val="22"/>
        </w:rPr>
        <w:t xml:space="preserve">exposure </w:t>
      </w:r>
      <w:r w:rsidRPr="00B10272">
        <w:rPr>
          <w:rFonts w:cs="Arial"/>
          <w:szCs w:val="22"/>
        </w:rPr>
        <w:t xml:space="preserve">in those habitats. These results go against the expected effect of light and excess nitrogen and highlight the complexity of interpreting C:N ratio across such a wide variety of species, habitats and locations. </w:t>
      </w:r>
    </w:p>
    <w:p w14:paraId="258CC40D" w14:textId="77777777" w:rsidR="00D355BA" w:rsidRPr="001F0E92" w:rsidRDefault="00D355BA" w:rsidP="00D355BA">
      <w:pPr>
        <w:rPr>
          <w:rFonts w:cs="Arial"/>
          <w:szCs w:val="22"/>
        </w:rPr>
      </w:pPr>
      <w:r w:rsidRPr="001F0E92">
        <w:rPr>
          <w:rFonts w:cs="Arial"/>
          <w:noProof/>
          <w:szCs w:val="22"/>
          <w:lang w:eastAsia="en-AU"/>
        </w:rPr>
        <w:lastRenderedPageBreak/>
        <w:drawing>
          <wp:inline distT="0" distB="0" distL="0" distR="0" wp14:anchorId="0F7852BD" wp14:editId="160ADA8E">
            <wp:extent cx="5727700" cy="5174924"/>
            <wp:effectExtent l="0" t="0" r="0" b="0"/>
            <wp:docPr id="17" name="Picture 17" descr="Panel of 12 graphs, displayed in four by four matrix, illustrating the GLM results for C:N of Z. muelleri in relation to relative DIN loads, mean daily light, region and habitat (model M1). To simplify the representation, daily light was used in the model as a factor in two categories below (f_DL1, low light) and above the median (f_DL2, high light) for each habitat within region (Table 6). Shaded areas indicate the 95% prediction confidence intervals from the model for both light catego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LM_TN vs DIN+Light_ZM.pdf"/>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5727700" cy="5174924"/>
                    </a:xfrm>
                    <a:prstGeom prst="rect">
                      <a:avLst/>
                    </a:prstGeom>
                  </pic:spPr>
                </pic:pic>
              </a:graphicData>
            </a:graphic>
          </wp:inline>
        </w:drawing>
      </w:r>
    </w:p>
    <w:p w14:paraId="2449DB66" w14:textId="77777777" w:rsidR="00D355BA" w:rsidRDefault="00D355BA" w:rsidP="00D355BA">
      <w:pPr>
        <w:pStyle w:val="Caption"/>
        <w:rPr>
          <w:rFonts w:cs="Arial"/>
          <w:szCs w:val="22"/>
        </w:rPr>
      </w:pPr>
      <w:r w:rsidRPr="00867E8C">
        <w:rPr>
          <w:rFonts w:cs="Arial"/>
          <w:szCs w:val="22"/>
        </w:rPr>
        <w:t xml:space="preserve">Figure </w:t>
      </w:r>
      <w:r>
        <w:rPr>
          <w:rFonts w:cs="Arial"/>
          <w:szCs w:val="22"/>
        </w:rPr>
        <w:t>6</w:t>
      </w:r>
      <w:r w:rsidRPr="00867E8C">
        <w:rPr>
          <w:rFonts w:cs="Arial"/>
          <w:szCs w:val="22"/>
        </w:rPr>
        <w:t xml:space="preserve">. </w:t>
      </w:r>
      <w:r w:rsidRPr="007B18F7">
        <w:rPr>
          <w:rFonts w:cs="Arial"/>
          <w:i/>
          <w:szCs w:val="22"/>
        </w:rPr>
        <w:t>Graphical representation of the GLM results for C:N of Z. muelleri in relation to relative DIN loads, mean daily light, region and habitat (model M1). To simplify the representation, daily light was used in the model as a factor in two categories below (f_DL1, low light) and above the median (f_DL2, high light) for each habitat within region (Table 7). Shaded areas indicate the 95% prediction confidence intervals from the model for both light categories.</w:t>
      </w:r>
      <w:r w:rsidRPr="001F0E92">
        <w:rPr>
          <w:rFonts w:cs="Arial"/>
          <w:szCs w:val="22"/>
        </w:rPr>
        <w:t xml:space="preserve">  </w:t>
      </w:r>
    </w:p>
    <w:p w14:paraId="4072A621" w14:textId="77777777" w:rsidR="00D355BA" w:rsidRDefault="00D355BA" w:rsidP="00D355BA">
      <w:pPr>
        <w:rPr>
          <w:i/>
        </w:rPr>
      </w:pPr>
      <w:r>
        <w:rPr>
          <w:lang w:val="en-GB"/>
        </w:rPr>
        <w:br w:type="column"/>
      </w:r>
      <w:r w:rsidRPr="00B10272">
        <w:rPr>
          <w:lang w:val="en-GB"/>
        </w:rPr>
        <w:lastRenderedPageBreak/>
        <w:t>Table 7.</w:t>
      </w:r>
      <w:r>
        <w:rPr>
          <w:lang w:val="en-GB"/>
        </w:rPr>
        <w:t xml:space="preserve"> </w:t>
      </w:r>
      <w:r>
        <w:rPr>
          <w:i/>
        </w:rPr>
        <w:t>The light levels corresponding to f_DL for each sub-region and habitat for graphical representation of daily light (mol m</w:t>
      </w:r>
      <w:r w:rsidRPr="007608C3">
        <w:rPr>
          <w:i/>
          <w:vertAlign w:val="superscript"/>
        </w:rPr>
        <w:t>-2</w:t>
      </w:r>
      <w:r>
        <w:rPr>
          <w:i/>
        </w:rPr>
        <w:t xml:space="preserve"> d</w:t>
      </w:r>
      <w:r w:rsidRPr="007608C3">
        <w:rPr>
          <w:i/>
          <w:vertAlign w:val="superscript"/>
        </w:rPr>
        <w:t>-1</w:t>
      </w:r>
      <w:r>
        <w:rPr>
          <w:i/>
        </w:rPr>
        <w:t xml:space="preserve">) variable when converted to a factor for analysis in M_Zm of C:N for the species </w:t>
      </w:r>
      <w:r>
        <w:t>Z. muelleri</w:t>
      </w:r>
      <w:r>
        <w:rPr>
          <w:i/>
        </w:rPr>
        <w:t>.</w:t>
      </w:r>
    </w:p>
    <w:tbl>
      <w:tblPr>
        <w:tblW w:w="7269" w:type="dxa"/>
        <w:jc w:val="center"/>
        <w:tblLook w:val="04A0" w:firstRow="1" w:lastRow="0" w:firstColumn="1" w:lastColumn="0" w:noHBand="0" w:noVBand="1"/>
      </w:tblPr>
      <w:tblGrid>
        <w:gridCol w:w="2268"/>
        <w:gridCol w:w="2127"/>
        <w:gridCol w:w="606"/>
        <w:gridCol w:w="1288"/>
        <w:gridCol w:w="980"/>
      </w:tblGrid>
      <w:tr w:rsidR="00D355BA" w:rsidRPr="007B18F7" w14:paraId="7A0698B8" w14:textId="77777777" w:rsidTr="0094354F">
        <w:trPr>
          <w:trHeight w:val="320"/>
          <w:jc w:val="center"/>
        </w:trPr>
        <w:tc>
          <w:tcPr>
            <w:tcW w:w="2268" w:type="dxa"/>
            <w:vMerge w:val="restart"/>
            <w:tcBorders>
              <w:top w:val="single" w:sz="4" w:space="0" w:color="auto"/>
              <w:left w:val="nil"/>
              <w:right w:val="nil"/>
            </w:tcBorders>
            <w:shd w:val="clear" w:color="auto" w:fill="auto"/>
            <w:noWrap/>
            <w:vAlign w:val="center"/>
          </w:tcPr>
          <w:p w14:paraId="095C242C"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NRM_subregion</w:t>
            </w:r>
          </w:p>
        </w:tc>
        <w:tc>
          <w:tcPr>
            <w:tcW w:w="2127" w:type="dxa"/>
            <w:vMerge w:val="restart"/>
            <w:tcBorders>
              <w:top w:val="single" w:sz="4" w:space="0" w:color="auto"/>
              <w:left w:val="nil"/>
              <w:right w:val="nil"/>
            </w:tcBorders>
            <w:shd w:val="clear" w:color="auto" w:fill="auto"/>
            <w:noWrap/>
            <w:vAlign w:val="center"/>
          </w:tcPr>
          <w:p w14:paraId="2EE459D8"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Habitat</w:t>
            </w:r>
          </w:p>
        </w:tc>
        <w:tc>
          <w:tcPr>
            <w:tcW w:w="2874" w:type="dxa"/>
            <w:gridSpan w:val="3"/>
            <w:tcBorders>
              <w:top w:val="single" w:sz="4" w:space="0" w:color="auto"/>
              <w:left w:val="nil"/>
              <w:bottom w:val="single" w:sz="4" w:space="0" w:color="auto"/>
              <w:right w:val="nil"/>
            </w:tcBorders>
            <w:shd w:val="clear" w:color="auto" w:fill="auto"/>
            <w:noWrap/>
            <w:vAlign w:val="center"/>
          </w:tcPr>
          <w:p w14:paraId="09576D3E"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Light (mol m</w:t>
            </w:r>
            <w:r w:rsidRPr="007B18F7">
              <w:rPr>
                <w:rFonts w:cs="Arial"/>
                <w:b/>
                <w:color w:val="000000"/>
                <w:sz w:val="20"/>
                <w:szCs w:val="20"/>
                <w:vertAlign w:val="superscript"/>
              </w:rPr>
              <w:t>-2</w:t>
            </w:r>
            <w:r w:rsidRPr="007B18F7">
              <w:rPr>
                <w:rFonts w:cs="Arial"/>
                <w:b/>
                <w:color w:val="000000"/>
                <w:sz w:val="20"/>
                <w:szCs w:val="20"/>
              </w:rPr>
              <w:t xml:space="preserve"> d</w:t>
            </w:r>
            <w:r w:rsidRPr="007B18F7">
              <w:rPr>
                <w:rFonts w:cs="Arial"/>
                <w:b/>
                <w:color w:val="000000"/>
                <w:sz w:val="20"/>
                <w:szCs w:val="20"/>
                <w:vertAlign w:val="superscript"/>
              </w:rPr>
              <w:t>-1</w:t>
            </w:r>
            <w:r w:rsidRPr="007B18F7">
              <w:rPr>
                <w:rFonts w:cs="Arial"/>
                <w:b/>
                <w:color w:val="000000"/>
                <w:sz w:val="20"/>
                <w:szCs w:val="20"/>
              </w:rPr>
              <w:t>)</w:t>
            </w:r>
          </w:p>
        </w:tc>
      </w:tr>
      <w:tr w:rsidR="00D355BA" w:rsidRPr="007B18F7" w14:paraId="79A5E22A" w14:textId="77777777" w:rsidTr="0094354F">
        <w:trPr>
          <w:trHeight w:val="320"/>
          <w:jc w:val="center"/>
        </w:trPr>
        <w:tc>
          <w:tcPr>
            <w:tcW w:w="2268" w:type="dxa"/>
            <w:vMerge/>
            <w:tcBorders>
              <w:left w:val="nil"/>
              <w:bottom w:val="single" w:sz="4" w:space="0" w:color="auto"/>
              <w:right w:val="nil"/>
            </w:tcBorders>
            <w:shd w:val="clear" w:color="auto" w:fill="auto"/>
            <w:noWrap/>
            <w:vAlign w:val="center"/>
            <w:hideMark/>
          </w:tcPr>
          <w:p w14:paraId="6A1DC9B2" w14:textId="77777777" w:rsidR="00D355BA" w:rsidRPr="007B18F7" w:rsidRDefault="00D355BA" w:rsidP="0094354F">
            <w:pPr>
              <w:spacing w:before="0" w:after="0"/>
              <w:jc w:val="center"/>
              <w:rPr>
                <w:rFonts w:cs="Arial"/>
                <w:b/>
                <w:color w:val="000000"/>
                <w:sz w:val="20"/>
                <w:szCs w:val="20"/>
              </w:rPr>
            </w:pPr>
          </w:p>
        </w:tc>
        <w:tc>
          <w:tcPr>
            <w:tcW w:w="2127" w:type="dxa"/>
            <w:vMerge/>
            <w:tcBorders>
              <w:left w:val="nil"/>
              <w:bottom w:val="single" w:sz="4" w:space="0" w:color="auto"/>
              <w:right w:val="nil"/>
            </w:tcBorders>
            <w:shd w:val="clear" w:color="auto" w:fill="auto"/>
            <w:noWrap/>
            <w:vAlign w:val="center"/>
            <w:hideMark/>
          </w:tcPr>
          <w:p w14:paraId="13CF9F70" w14:textId="77777777" w:rsidR="00D355BA" w:rsidRPr="007B18F7" w:rsidRDefault="00D355BA" w:rsidP="0094354F">
            <w:pPr>
              <w:spacing w:before="0" w:after="0"/>
              <w:jc w:val="center"/>
              <w:rPr>
                <w:rFonts w:cs="Arial"/>
                <w:b/>
                <w:color w:val="000000"/>
                <w:sz w:val="20"/>
                <w:szCs w:val="20"/>
              </w:rPr>
            </w:pPr>
          </w:p>
        </w:tc>
        <w:tc>
          <w:tcPr>
            <w:tcW w:w="606" w:type="dxa"/>
            <w:tcBorders>
              <w:top w:val="single" w:sz="4" w:space="0" w:color="auto"/>
              <w:left w:val="nil"/>
              <w:bottom w:val="single" w:sz="4" w:space="0" w:color="auto"/>
              <w:right w:val="nil"/>
            </w:tcBorders>
            <w:shd w:val="clear" w:color="auto" w:fill="auto"/>
            <w:noWrap/>
            <w:vAlign w:val="center"/>
            <w:hideMark/>
          </w:tcPr>
          <w:p w14:paraId="1F244323"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Min</w:t>
            </w:r>
          </w:p>
        </w:tc>
        <w:tc>
          <w:tcPr>
            <w:tcW w:w="1288" w:type="dxa"/>
            <w:tcBorders>
              <w:top w:val="single" w:sz="4" w:space="0" w:color="auto"/>
              <w:left w:val="nil"/>
              <w:bottom w:val="single" w:sz="4" w:space="0" w:color="auto"/>
              <w:right w:val="nil"/>
            </w:tcBorders>
            <w:shd w:val="clear" w:color="auto" w:fill="auto"/>
            <w:noWrap/>
            <w:vAlign w:val="center"/>
            <w:hideMark/>
          </w:tcPr>
          <w:p w14:paraId="4D305913"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Median</w:t>
            </w:r>
          </w:p>
        </w:tc>
        <w:tc>
          <w:tcPr>
            <w:tcW w:w="980" w:type="dxa"/>
            <w:tcBorders>
              <w:top w:val="single" w:sz="4" w:space="0" w:color="auto"/>
              <w:left w:val="nil"/>
              <w:bottom w:val="single" w:sz="4" w:space="0" w:color="auto"/>
              <w:right w:val="nil"/>
            </w:tcBorders>
            <w:shd w:val="clear" w:color="auto" w:fill="auto"/>
            <w:noWrap/>
            <w:vAlign w:val="center"/>
            <w:hideMark/>
          </w:tcPr>
          <w:p w14:paraId="52D6130E" w14:textId="77777777" w:rsidR="00D355BA" w:rsidRPr="007B18F7" w:rsidRDefault="00D355BA" w:rsidP="0094354F">
            <w:pPr>
              <w:spacing w:before="0" w:after="0"/>
              <w:jc w:val="center"/>
              <w:rPr>
                <w:rFonts w:cs="Arial"/>
                <w:b/>
                <w:color w:val="000000"/>
                <w:sz w:val="20"/>
                <w:szCs w:val="20"/>
              </w:rPr>
            </w:pPr>
            <w:r w:rsidRPr="007B18F7">
              <w:rPr>
                <w:rFonts w:cs="Arial"/>
                <w:b/>
                <w:color w:val="000000"/>
                <w:sz w:val="20"/>
                <w:szCs w:val="20"/>
              </w:rPr>
              <w:t>Max</w:t>
            </w:r>
          </w:p>
        </w:tc>
      </w:tr>
      <w:tr w:rsidR="00D355BA" w:rsidRPr="00B10272" w14:paraId="48738166"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6BE25C8B"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Burdekin</w:t>
            </w:r>
          </w:p>
        </w:tc>
        <w:tc>
          <w:tcPr>
            <w:tcW w:w="2127" w:type="dxa"/>
            <w:tcBorders>
              <w:top w:val="nil"/>
              <w:left w:val="nil"/>
              <w:bottom w:val="nil"/>
              <w:right w:val="nil"/>
            </w:tcBorders>
            <w:shd w:val="clear" w:color="auto" w:fill="auto"/>
            <w:noWrap/>
            <w:vAlign w:val="bottom"/>
            <w:hideMark/>
          </w:tcPr>
          <w:p w14:paraId="660520ED"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coastal intertidal</w:t>
            </w:r>
          </w:p>
        </w:tc>
        <w:tc>
          <w:tcPr>
            <w:tcW w:w="606" w:type="dxa"/>
            <w:tcBorders>
              <w:top w:val="nil"/>
              <w:left w:val="nil"/>
              <w:bottom w:val="nil"/>
              <w:right w:val="nil"/>
            </w:tcBorders>
            <w:shd w:val="clear" w:color="auto" w:fill="auto"/>
            <w:noWrap/>
            <w:vAlign w:val="bottom"/>
            <w:hideMark/>
          </w:tcPr>
          <w:p w14:paraId="6DCD1B9B"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8.0</w:t>
            </w:r>
          </w:p>
        </w:tc>
        <w:tc>
          <w:tcPr>
            <w:tcW w:w="1288" w:type="dxa"/>
            <w:tcBorders>
              <w:top w:val="nil"/>
              <w:left w:val="nil"/>
              <w:bottom w:val="nil"/>
              <w:right w:val="nil"/>
            </w:tcBorders>
            <w:shd w:val="clear" w:color="auto" w:fill="auto"/>
            <w:noWrap/>
            <w:vAlign w:val="bottom"/>
            <w:hideMark/>
          </w:tcPr>
          <w:p w14:paraId="70A8FEA5"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12.3</w:t>
            </w:r>
          </w:p>
        </w:tc>
        <w:tc>
          <w:tcPr>
            <w:tcW w:w="980" w:type="dxa"/>
            <w:tcBorders>
              <w:top w:val="nil"/>
              <w:left w:val="nil"/>
              <w:bottom w:val="nil"/>
              <w:right w:val="nil"/>
            </w:tcBorders>
            <w:shd w:val="clear" w:color="auto" w:fill="auto"/>
            <w:noWrap/>
            <w:vAlign w:val="bottom"/>
            <w:hideMark/>
          </w:tcPr>
          <w:p w14:paraId="1E3DEB2B"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14.8</w:t>
            </w:r>
          </w:p>
        </w:tc>
      </w:tr>
      <w:tr w:rsidR="00D355BA" w:rsidRPr="00B10272" w14:paraId="58813920"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1238096A"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Burnett</w:t>
            </w:r>
            <w:r>
              <w:rPr>
                <w:rFonts w:cs="Arial"/>
                <w:color w:val="000000"/>
                <w:sz w:val="20"/>
                <w:szCs w:val="20"/>
              </w:rPr>
              <w:t>-</w:t>
            </w:r>
            <w:r w:rsidRPr="00F07347">
              <w:rPr>
                <w:rFonts w:cs="Arial"/>
                <w:color w:val="000000"/>
                <w:sz w:val="20"/>
                <w:szCs w:val="20"/>
              </w:rPr>
              <w:t>Mary</w:t>
            </w:r>
          </w:p>
        </w:tc>
        <w:tc>
          <w:tcPr>
            <w:tcW w:w="2127" w:type="dxa"/>
            <w:tcBorders>
              <w:top w:val="nil"/>
              <w:left w:val="nil"/>
              <w:bottom w:val="nil"/>
              <w:right w:val="nil"/>
            </w:tcBorders>
            <w:shd w:val="clear" w:color="auto" w:fill="auto"/>
            <w:noWrap/>
            <w:vAlign w:val="bottom"/>
            <w:hideMark/>
          </w:tcPr>
          <w:p w14:paraId="0ACDD571"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estuarine intertidal</w:t>
            </w:r>
          </w:p>
        </w:tc>
        <w:tc>
          <w:tcPr>
            <w:tcW w:w="606" w:type="dxa"/>
            <w:tcBorders>
              <w:top w:val="nil"/>
              <w:left w:val="nil"/>
              <w:bottom w:val="nil"/>
              <w:right w:val="nil"/>
            </w:tcBorders>
            <w:shd w:val="clear" w:color="auto" w:fill="auto"/>
            <w:noWrap/>
            <w:vAlign w:val="bottom"/>
            <w:hideMark/>
          </w:tcPr>
          <w:p w14:paraId="158210CB"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8.0</w:t>
            </w:r>
          </w:p>
        </w:tc>
        <w:tc>
          <w:tcPr>
            <w:tcW w:w="1288" w:type="dxa"/>
            <w:tcBorders>
              <w:top w:val="nil"/>
              <w:left w:val="nil"/>
              <w:bottom w:val="nil"/>
              <w:right w:val="nil"/>
            </w:tcBorders>
            <w:shd w:val="clear" w:color="auto" w:fill="auto"/>
            <w:noWrap/>
            <w:vAlign w:val="bottom"/>
            <w:hideMark/>
          </w:tcPr>
          <w:p w14:paraId="39CAECD3"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11.2</w:t>
            </w:r>
          </w:p>
        </w:tc>
        <w:tc>
          <w:tcPr>
            <w:tcW w:w="980" w:type="dxa"/>
            <w:tcBorders>
              <w:top w:val="nil"/>
              <w:left w:val="nil"/>
              <w:bottom w:val="nil"/>
              <w:right w:val="nil"/>
            </w:tcBorders>
            <w:shd w:val="clear" w:color="auto" w:fill="auto"/>
            <w:noWrap/>
            <w:vAlign w:val="bottom"/>
            <w:hideMark/>
          </w:tcPr>
          <w:p w14:paraId="38EC3385"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27.6</w:t>
            </w:r>
          </w:p>
        </w:tc>
      </w:tr>
      <w:tr w:rsidR="00D355BA" w:rsidRPr="00B10272" w14:paraId="784D2FB4"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70796939"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Fitzroy</w:t>
            </w:r>
          </w:p>
        </w:tc>
        <w:tc>
          <w:tcPr>
            <w:tcW w:w="2127" w:type="dxa"/>
            <w:tcBorders>
              <w:top w:val="nil"/>
              <w:left w:val="nil"/>
              <w:bottom w:val="nil"/>
              <w:right w:val="nil"/>
            </w:tcBorders>
            <w:shd w:val="clear" w:color="auto" w:fill="auto"/>
            <w:noWrap/>
            <w:vAlign w:val="bottom"/>
            <w:hideMark/>
          </w:tcPr>
          <w:p w14:paraId="7CC69F6C"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coastal intertidal</w:t>
            </w:r>
          </w:p>
        </w:tc>
        <w:tc>
          <w:tcPr>
            <w:tcW w:w="606" w:type="dxa"/>
            <w:tcBorders>
              <w:top w:val="nil"/>
              <w:left w:val="nil"/>
              <w:bottom w:val="nil"/>
              <w:right w:val="nil"/>
            </w:tcBorders>
            <w:shd w:val="clear" w:color="auto" w:fill="auto"/>
            <w:noWrap/>
            <w:vAlign w:val="bottom"/>
            <w:hideMark/>
          </w:tcPr>
          <w:p w14:paraId="6ADEEBD7"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13.7</w:t>
            </w:r>
          </w:p>
        </w:tc>
        <w:tc>
          <w:tcPr>
            <w:tcW w:w="1288" w:type="dxa"/>
            <w:tcBorders>
              <w:top w:val="nil"/>
              <w:left w:val="nil"/>
              <w:bottom w:val="nil"/>
              <w:right w:val="nil"/>
            </w:tcBorders>
            <w:shd w:val="clear" w:color="auto" w:fill="auto"/>
            <w:noWrap/>
            <w:vAlign w:val="bottom"/>
            <w:hideMark/>
          </w:tcPr>
          <w:p w14:paraId="050A8FD2"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19.4</w:t>
            </w:r>
          </w:p>
        </w:tc>
        <w:tc>
          <w:tcPr>
            <w:tcW w:w="980" w:type="dxa"/>
            <w:tcBorders>
              <w:top w:val="nil"/>
              <w:left w:val="nil"/>
              <w:bottom w:val="nil"/>
              <w:right w:val="nil"/>
            </w:tcBorders>
            <w:shd w:val="clear" w:color="auto" w:fill="auto"/>
            <w:noWrap/>
            <w:vAlign w:val="bottom"/>
            <w:hideMark/>
          </w:tcPr>
          <w:p w14:paraId="013C1062"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25.5</w:t>
            </w:r>
          </w:p>
        </w:tc>
      </w:tr>
      <w:tr w:rsidR="00D355BA" w:rsidRPr="00B10272" w14:paraId="7F00C44F"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442BFDC2"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Fitzroy</w:t>
            </w:r>
          </w:p>
        </w:tc>
        <w:tc>
          <w:tcPr>
            <w:tcW w:w="2127" w:type="dxa"/>
            <w:tcBorders>
              <w:top w:val="nil"/>
              <w:left w:val="nil"/>
              <w:bottom w:val="nil"/>
              <w:right w:val="nil"/>
            </w:tcBorders>
            <w:shd w:val="clear" w:color="auto" w:fill="auto"/>
            <w:noWrap/>
            <w:vAlign w:val="bottom"/>
            <w:hideMark/>
          </w:tcPr>
          <w:p w14:paraId="66B2DA1C"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estuarine intertidal</w:t>
            </w:r>
          </w:p>
        </w:tc>
        <w:tc>
          <w:tcPr>
            <w:tcW w:w="606" w:type="dxa"/>
            <w:tcBorders>
              <w:top w:val="nil"/>
              <w:left w:val="nil"/>
              <w:bottom w:val="nil"/>
              <w:right w:val="nil"/>
            </w:tcBorders>
            <w:shd w:val="clear" w:color="auto" w:fill="auto"/>
            <w:noWrap/>
            <w:vAlign w:val="bottom"/>
            <w:hideMark/>
          </w:tcPr>
          <w:p w14:paraId="76664DD1"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9.5</w:t>
            </w:r>
          </w:p>
        </w:tc>
        <w:tc>
          <w:tcPr>
            <w:tcW w:w="1288" w:type="dxa"/>
            <w:tcBorders>
              <w:top w:val="nil"/>
              <w:left w:val="nil"/>
              <w:bottom w:val="nil"/>
              <w:right w:val="nil"/>
            </w:tcBorders>
            <w:shd w:val="clear" w:color="auto" w:fill="auto"/>
            <w:noWrap/>
            <w:vAlign w:val="bottom"/>
            <w:hideMark/>
          </w:tcPr>
          <w:p w14:paraId="4DC44F79"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10.5</w:t>
            </w:r>
          </w:p>
        </w:tc>
        <w:tc>
          <w:tcPr>
            <w:tcW w:w="980" w:type="dxa"/>
            <w:tcBorders>
              <w:top w:val="nil"/>
              <w:left w:val="nil"/>
              <w:bottom w:val="nil"/>
              <w:right w:val="nil"/>
            </w:tcBorders>
            <w:shd w:val="clear" w:color="auto" w:fill="auto"/>
            <w:noWrap/>
            <w:vAlign w:val="bottom"/>
            <w:hideMark/>
          </w:tcPr>
          <w:p w14:paraId="7F29BB3B"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14.5</w:t>
            </w:r>
          </w:p>
        </w:tc>
      </w:tr>
      <w:tr w:rsidR="00D355BA" w:rsidRPr="00B10272" w14:paraId="6A1770BE"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5B7810E5"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Fitzroy</w:t>
            </w:r>
          </w:p>
        </w:tc>
        <w:tc>
          <w:tcPr>
            <w:tcW w:w="2127" w:type="dxa"/>
            <w:tcBorders>
              <w:top w:val="nil"/>
              <w:left w:val="nil"/>
              <w:bottom w:val="nil"/>
              <w:right w:val="nil"/>
            </w:tcBorders>
            <w:shd w:val="clear" w:color="auto" w:fill="auto"/>
            <w:noWrap/>
            <w:vAlign w:val="bottom"/>
            <w:hideMark/>
          </w:tcPr>
          <w:p w14:paraId="282D0752"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reef intertidal</w:t>
            </w:r>
          </w:p>
        </w:tc>
        <w:tc>
          <w:tcPr>
            <w:tcW w:w="606" w:type="dxa"/>
            <w:tcBorders>
              <w:top w:val="nil"/>
              <w:left w:val="nil"/>
              <w:bottom w:val="nil"/>
              <w:right w:val="nil"/>
            </w:tcBorders>
            <w:shd w:val="clear" w:color="auto" w:fill="auto"/>
            <w:noWrap/>
            <w:vAlign w:val="bottom"/>
            <w:hideMark/>
          </w:tcPr>
          <w:p w14:paraId="627E9E5E"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6.3</w:t>
            </w:r>
          </w:p>
        </w:tc>
        <w:tc>
          <w:tcPr>
            <w:tcW w:w="1288" w:type="dxa"/>
            <w:tcBorders>
              <w:top w:val="nil"/>
              <w:left w:val="nil"/>
              <w:bottom w:val="nil"/>
              <w:right w:val="nil"/>
            </w:tcBorders>
            <w:shd w:val="clear" w:color="auto" w:fill="auto"/>
            <w:noWrap/>
            <w:vAlign w:val="bottom"/>
            <w:hideMark/>
          </w:tcPr>
          <w:p w14:paraId="2E8E643A"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16.1</w:t>
            </w:r>
          </w:p>
        </w:tc>
        <w:tc>
          <w:tcPr>
            <w:tcW w:w="980" w:type="dxa"/>
            <w:tcBorders>
              <w:top w:val="nil"/>
              <w:left w:val="nil"/>
              <w:bottom w:val="nil"/>
              <w:right w:val="nil"/>
            </w:tcBorders>
            <w:shd w:val="clear" w:color="auto" w:fill="auto"/>
            <w:noWrap/>
            <w:vAlign w:val="bottom"/>
            <w:hideMark/>
          </w:tcPr>
          <w:p w14:paraId="27A7C403"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21.4</w:t>
            </w:r>
          </w:p>
        </w:tc>
      </w:tr>
      <w:tr w:rsidR="00D355BA" w:rsidRPr="00B10272" w14:paraId="6B03DE46" w14:textId="77777777" w:rsidTr="0094354F">
        <w:trPr>
          <w:trHeight w:val="320"/>
          <w:jc w:val="center"/>
        </w:trPr>
        <w:tc>
          <w:tcPr>
            <w:tcW w:w="2268" w:type="dxa"/>
            <w:tcBorders>
              <w:top w:val="nil"/>
              <w:left w:val="nil"/>
              <w:bottom w:val="nil"/>
              <w:right w:val="nil"/>
            </w:tcBorders>
            <w:shd w:val="clear" w:color="auto" w:fill="auto"/>
            <w:noWrap/>
            <w:vAlign w:val="bottom"/>
            <w:hideMark/>
          </w:tcPr>
          <w:p w14:paraId="204D1812"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Mackay</w:t>
            </w:r>
            <w:r>
              <w:rPr>
                <w:rFonts w:cs="Arial"/>
                <w:color w:val="000000"/>
                <w:sz w:val="20"/>
                <w:szCs w:val="20"/>
              </w:rPr>
              <w:t>-</w:t>
            </w:r>
            <w:r w:rsidRPr="00F07347">
              <w:rPr>
                <w:rFonts w:cs="Arial"/>
                <w:color w:val="000000"/>
                <w:sz w:val="20"/>
                <w:szCs w:val="20"/>
              </w:rPr>
              <w:t>Whitsunday</w:t>
            </w:r>
          </w:p>
        </w:tc>
        <w:tc>
          <w:tcPr>
            <w:tcW w:w="2127" w:type="dxa"/>
            <w:tcBorders>
              <w:top w:val="nil"/>
              <w:left w:val="nil"/>
              <w:bottom w:val="nil"/>
              <w:right w:val="nil"/>
            </w:tcBorders>
            <w:shd w:val="clear" w:color="auto" w:fill="auto"/>
            <w:noWrap/>
            <w:vAlign w:val="bottom"/>
            <w:hideMark/>
          </w:tcPr>
          <w:p w14:paraId="48A1255C"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coastal intertidal</w:t>
            </w:r>
          </w:p>
        </w:tc>
        <w:tc>
          <w:tcPr>
            <w:tcW w:w="606" w:type="dxa"/>
            <w:tcBorders>
              <w:top w:val="nil"/>
              <w:left w:val="nil"/>
              <w:bottom w:val="nil"/>
              <w:right w:val="nil"/>
            </w:tcBorders>
            <w:shd w:val="clear" w:color="auto" w:fill="auto"/>
            <w:noWrap/>
            <w:vAlign w:val="bottom"/>
            <w:hideMark/>
          </w:tcPr>
          <w:p w14:paraId="69230473"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5.5</w:t>
            </w:r>
          </w:p>
        </w:tc>
        <w:tc>
          <w:tcPr>
            <w:tcW w:w="1288" w:type="dxa"/>
            <w:tcBorders>
              <w:top w:val="nil"/>
              <w:left w:val="nil"/>
              <w:bottom w:val="nil"/>
              <w:right w:val="nil"/>
            </w:tcBorders>
            <w:shd w:val="clear" w:color="auto" w:fill="auto"/>
            <w:noWrap/>
            <w:vAlign w:val="bottom"/>
            <w:hideMark/>
          </w:tcPr>
          <w:p w14:paraId="7F6E9B4C"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11.6</w:t>
            </w:r>
          </w:p>
        </w:tc>
        <w:tc>
          <w:tcPr>
            <w:tcW w:w="980" w:type="dxa"/>
            <w:tcBorders>
              <w:top w:val="nil"/>
              <w:left w:val="nil"/>
              <w:bottom w:val="nil"/>
              <w:right w:val="nil"/>
            </w:tcBorders>
            <w:shd w:val="clear" w:color="auto" w:fill="auto"/>
            <w:noWrap/>
            <w:vAlign w:val="bottom"/>
            <w:hideMark/>
          </w:tcPr>
          <w:p w14:paraId="5148A58C"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23.6</w:t>
            </w:r>
          </w:p>
        </w:tc>
      </w:tr>
      <w:tr w:rsidR="00D355BA" w:rsidRPr="00B10272" w14:paraId="26395BC8" w14:textId="77777777" w:rsidTr="0094354F">
        <w:trPr>
          <w:trHeight w:val="320"/>
          <w:jc w:val="center"/>
        </w:trPr>
        <w:tc>
          <w:tcPr>
            <w:tcW w:w="2268" w:type="dxa"/>
            <w:tcBorders>
              <w:top w:val="nil"/>
              <w:left w:val="nil"/>
              <w:right w:val="nil"/>
            </w:tcBorders>
            <w:shd w:val="clear" w:color="auto" w:fill="auto"/>
            <w:noWrap/>
            <w:vAlign w:val="bottom"/>
            <w:hideMark/>
          </w:tcPr>
          <w:p w14:paraId="0E730B49"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Mackay</w:t>
            </w:r>
            <w:r>
              <w:rPr>
                <w:rFonts w:cs="Arial"/>
                <w:color w:val="000000"/>
                <w:sz w:val="20"/>
                <w:szCs w:val="20"/>
              </w:rPr>
              <w:t>-</w:t>
            </w:r>
            <w:r w:rsidRPr="00F07347">
              <w:rPr>
                <w:rFonts w:cs="Arial"/>
                <w:color w:val="000000"/>
                <w:sz w:val="20"/>
                <w:szCs w:val="20"/>
              </w:rPr>
              <w:t>Whitsunday</w:t>
            </w:r>
          </w:p>
        </w:tc>
        <w:tc>
          <w:tcPr>
            <w:tcW w:w="2127" w:type="dxa"/>
            <w:tcBorders>
              <w:top w:val="nil"/>
              <w:left w:val="nil"/>
              <w:right w:val="nil"/>
            </w:tcBorders>
            <w:shd w:val="clear" w:color="auto" w:fill="auto"/>
            <w:noWrap/>
            <w:vAlign w:val="bottom"/>
            <w:hideMark/>
          </w:tcPr>
          <w:p w14:paraId="6E8499B4"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estuarine intertidal</w:t>
            </w:r>
          </w:p>
        </w:tc>
        <w:tc>
          <w:tcPr>
            <w:tcW w:w="606" w:type="dxa"/>
            <w:tcBorders>
              <w:top w:val="nil"/>
              <w:left w:val="nil"/>
              <w:right w:val="nil"/>
            </w:tcBorders>
            <w:shd w:val="clear" w:color="auto" w:fill="auto"/>
            <w:noWrap/>
            <w:vAlign w:val="bottom"/>
            <w:hideMark/>
          </w:tcPr>
          <w:p w14:paraId="70097258"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9.2</w:t>
            </w:r>
          </w:p>
        </w:tc>
        <w:tc>
          <w:tcPr>
            <w:tcW w:w="1288" w:type="dxa"/>
            <w:tcBorders>
              <w:top w:val="nil"/>
              <w:left w:val="nil"/>
              <w:right w:val="nil"/>
            </w:tcBorders>
            <w:shd w:val="clear" w:color="auto" w:fill="auto"/>
            <w:noWrap/>
            <w:vAlign w:val="bottom"/>
            <w:hideMark/>
          </w:tcPr>
          <w:p w14:paraId="35747FCC"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10.7</w:t>
            </w:r>
          </w:p>
        </w:tc>
        <w:tc>
          <w:tcPr>
            <w:tcW w:w="980" w:type="dxa"/>
            <w:tcBorders>
              <w:top w:val="nil"/>
              <w:left w:val="nil"/>
              <w:right w:val="nil"/>
            </w:tcBorders>
            <w:shd w:val="clear" w:color="auto" w:fill="auto"/>
            <w:noWrap/>
            <w:vAlign w:val="bottom"/>
            <w:hideMark/>
          </w:tcPr>
          <w:p w14:paraId="51578941"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13.2</w:t>
            </w:r>
          </w:p>
        </w:tc>
      </w:tr>
      <w:tr w:rsidR="00D355BA" w:rsidRPr="00B10272" w14:paraId="464E7C56" w14:textId="77777777" w:rsidTr="0094354F">
        <w:trPr>
          <w:trHeight w:val="320"/>
          <w:jc w:val="center"/>
        </w:trPr>
        <w:tc>
          <w:tcPr>
            <w:tcW w:w="2268" w:type="dxa"/>
            <w:tcBorders>
              <w:top w:val="nil"/>
              <w:left w:val="nil"/>
              <w:bottom w:val="single" w:sz="4" w:space="0" w:color="auto"/>
              <w:right w:val="nil"/>
            </w:tcBorders>
            <w:shd w:val="clear" w:color="auto" w:fill="auto"/>
            <w:noWrap/>
            <w:vAlign w:val="bottom"/>
            <w:hideMark/>
          </w:tcPr>
          <w:p w14:paraId="0182C0FB"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Mackay</w:t>
            </w:r>
            <w:r>
              <w:rPr>
                <w:rFonts w:cs="Arial"/>
                <w:color w:val="000000"/>
                <w:sz w:val="20"/>
                <w:szCs w:val="20"/>
              </w:rPr>
              <w:t>-</w:t>
            </w:r>
            <w:r w:rsidRPr="00F07347">
              <w:rPr>
                <w:rFonts w:cs="Arial"/>
                <w:color w:val="000000"/>
                <w:sz w:val="20"/>
                <w:szCs w:val="20"/>
              </w:rPr>
              <w:t>Whitsunday</w:t>
            </w:r>
          </w:p>
        </w:tc>
        <w:tc>
          <w:tcPr>
            <w:tcW w:w="2127" w:type="dxa"/>
            <w:tcBorders>
              <w:top w:val="nil"/>
              <w:left w:val="nil"/>
              <w:bottom w:val="single" w:sz="4" w:space="0" w:color="auto"/>
              <w:right w:val="nil"/>
            </w:tcBorders>
            <w:shd w:val="clear" w:color="auto" w:fill="auto"/>
            <w:noWrap/>
            <w:vAlign w:val="bottom"/>
            <w:hideMark/>
          </w:tcPr>
          <w:p w14:paraId="10320EF0" w14:textId="77777777" w:rsidR="00D355BA" w:rsidRPr="00F07347" w:rsidRDefault="00D355BA" w:rsidP="0094354F">
            <w:pPr>
              <w:spacing w:before="0" w:after="0"/>
              <w:rPr>
                <w:rFonts w:cs="Arial"/>
                <w:color w:val="000000"/>
                <w:sz w:val="20"/>
                <w:szCs w:val="20"/>
              </w:rPr>
            </w:pPr>
            <w:r w:rsidRPr="00F07347">
              <w:rPr>
                <w:rFonts w:cs="Arial"/>
                <w:color w:val="000000"/>
                <w:sz w:val="20"/>
                <w:szCs w:val="20"/>
              </w:rPr>
              <w:t>reef intertidal</w:t>
            </w:r>
          </w:p>
        </w:tc>
        <w:tc>
          <w:tcPr>
            <w:tcW w:w="606" w:type="dxa"/>
            <w:tcBorders>
              <w:top w:val="nil"/>
              <w:left w:val="nil"/>
              <w:bottom w:val="single" w:sz="4" w:space="0" w:color="auto"/>
              <w:right w:val="nil"/>
            </w:tcBorders>
            <w:shd w:val="clear" w:color="auto" w:fill="auto"/>
            <w:noWrap/>
            <w:vAlign w:val="bottom"/>
            <w:hideMark/>
          </w:tcPr>
          <w:p w14:paraId="6B73D80A"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13.2</w:t>
            </w:r>
          </w:p>
        </w:tc>
        <w:tc>
          <w:tcPr>
            <w:tcW w:w="1288" w:type="dxa"/>
            <w:tcBorders>
              <w:top w:val="nil"/>
              <w:left w:val="nil"/>
              <w:bottom w:val="single" w:sz="4" w:space="0" w:color="auto"/>
              <w:right w:val="nil"/>
            </w:tcBorders>
            <w:shd w:val="clear" w:color="auto" w:fill="auto"/>
            <w:noWrap/>
            <w:vAlign w:val="bottom"/>
            <w:hideMark/>
          </w:tcPr>
          <w:p w14:paraId="5633EE95"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17.1</w:t>
            </w:r>
          </w:p>
        </w:tc>
        <w:tc>
          <w:tcPr>
            <w:tcW w:w="980" w:type="dxa"/>
            <w:tcBorders>
              <w:top w:val="nil"/>
              <w:left w:val="nil"/>
              <w:bottom w:val="single" w:sz="4" w:space="0" w:color="auto"/>
              <w:right w:val="nil"/>
            </w:tcBorders>
            <w:shd w:val="clear" w:color="auto" w:fill="auto"/>
            <w:noWrap/>
            <w:vAlign w:val="bottom"/>
            <w:hideMark/>
          </w:tcPr>
          <w:p w14:paraId="21549E6D" w14:textId="77777777" w:rsidR="00D355BA" w:rsidRPr="00F07347" w:rsidRDefault="00D355BA" w:rsidP="0094354F">
            <w:pPr>
              <w:spacing w:before="0" w:after="0"/>
              <w:jc w:val="right"/>
              <w:rPr>
                <w:rFonts w:cs="Arial"/>
                <w:color w:val="000000"/>
                <w:sz w:val="20"/>
                <w:szCs w:val="20"/>
              </w:rPr>
            </w:pPr>
            <w:r w:rsidRPr="00F07347">
              <w:rPr>
                <w:rFonts w:cs="Arial"/>
                <w:color w:val="000000"/>
                <w:sz w:val="20"/>
                <w:szCs w:val="20"/>
              </w:rPr>
              <w:t>22.0</w:t>
            </w:r>
          </w:p>
        </w:tc>
      </w:tr>
    </w:tbl>
    <w:p w14:paraId="4C04C6AF" w14:textId="77777777" w:rsidR="00D355BA" w:rsidRDefault="00D355BA" w:rsidP="00D355BA">
      <w:pPr>
        <w:rPr>
          <w:rFonts w:cs="Arial"/>
          <w:b/>
          <w:szCs w:val="22"/>
        </w:rPr>
      </w:pPr>
    </w:p>
    <w:p w14:paraId="6E470070" w14:textId="77777777" w:rsidR="00D355BA" w:rsidRPr="00B56FDB" w:rsidRDefault="00D355BA" w:rsidP="00D355BA">
      <w:pPr>
        <w:pStyle w:val="ListParagraph"/>
        <w:numPr>
          <w:ilvl w:val="0"/>
          <w:numId w:val="33"/>
        </w:numPr>
        <w:rPr>
          <w:rFonts w:cs="Arial"/>
          <w:szCs w:val="22"/>
        </w:rPr>
      </w:pPr>
      <w:r w:rsidRPr="00B56FDB">
        <w:rPr>
          <w:rFonts w:cs="Arial"/>
          <w:szCs w:val="22"/>
        </w:rPr>
        <w:t>Trees analysis of seagrass leaf C:N, DIN loads and daily light</w:t>
      </w:r>
    </w:p>
    <w:p w14:paraId="34E8B2DD" w14:textId="77777777" w:rsidR="00D355BA" w:rsidRDefault="00D355BA" w:rsidP="00D355BA">
      <w:pPr>
        <w:rPr>
          <w:rFonts w:cs="Arial"/>
          <w:szCs w:val="22"/>
        </w:rPr>
      </w:pPr>
      <w:r w:rsidRPr="001F0E92">
        <w:rPr>
          <w:rFonts w:cs="Arial"/>
          <w:szCs w:val="22"/>
        </w:rPr>
        <w:t>Tree</w:t>
      </w:r>
      <w:r>
        <w:rPr>
          <w:rFonts w:cs="Arial"/>
          <w:szCs w:val="22"/>
        </w:rPr>
        <w:t>s</w:t>
      </w:r>
      <w:r w:rsidRPr="001F0E92">
        <w:rPr>
          <w:rFonts w:cs="Arial"/>
          <w:szCs w:val="22"/>
        </w:rPr>
        <w:t xml:space="preserve"> analysis was used to explore whether </w:t>
      </w:r>
      <w:r>
        <w:rPr>
          <w:rFonts w:cs="Arial"/>
          <w:szCs w:val="22"/>
        </w:rPr>
        <w:t xml:space="preserve">specific thresholds for </w:t>
      </w:r>
      <w:r w:rsidRPr="001F0E92">
        <w:rPr>
          <w:rFonts w:cs="Arial"/>
          <w:szCs w:val="22"/>
        </w:rPr>
        <w:t xml:space="preserve">light and </w:t>
      </w:r>
      <w:r>
        <w:rPr>
          <w:rFonts w:cs="Arial"/>
          <w:szCs w:val="22"/>
        </w:rPr>
        <w:t xml:space="preserve">relative </w:t>
      </w:r>
      <w:r w:rsidRPr="001F0E92">
        <w:rPr>
          <w:rFonts w:cs="Arial"/>
          <w:szCs w:val="22"/>
        </w:rPr>
        <w:t xml:space="preserve">DIN </w:t>
      </w:r>
      <w:r>
        <w:rPr>
          <w:rFonts w:cs="Arial"/>
          <w:szCs w:val="22"/>
        </w:rPr>
        <w:t xml:space="preserve">exposure </w:t>
      </w:r>
      <w:r w:rsidRPr="001F0E92">
        <w:rPr>
          <w:rFonts w:cs="Arial"/>
          <w:szCs w:val="22"/>
        </w:rPr>
        <w:t>can be identified</w:t>
      </w:r>
      <w:r>
        <w:rPr>
          <w:rFonts w:cs="Arial"/>
          <w:szCs w:val="22"/>
        </w:rPr>
        <w:t xml:space="preserve"> (Figure 7)</w:t>
      </w:r>
      <w:r w:rsidRPr="001F0E92">
        <w:rPr>
          <w:rFonts w:cs="Arial"/>
          <w:szCs w:val="22"/>
        </w:rPr>
        <w:t xml:space="preserve">. </w:t>
      </w:r>
    </w:p>
    <w:p w14:paraId="5E228A98" w14:textId="77777777" w:rsidR="00D355BA" w:rsidRPr="001F0E92" w:rsidRDefault="00D355BA" w:rsidP="00D355BA">
      <w:pPr>
        <w:rPr>
          <w:rFonts w:cs="Arial"/>
          <w:szCs w:val="22"/>
        </w:rPr>
      </w:pPr>
      <w:r>
        <w:rPr>
          <w:rFonts w:cs="Arial"/>
          <w:szCs w:val="22"/>
        </w:rPr>
        <w:t xml:space="preserve">C:N of </w:t>
      </w:r>
      <w:r w:rsidRPr="005A2B5D">
        <w:rPr>
          <w:rFonts w:cs="Arial"/>
          <w:i/>
          <w:szCs w:val="22"/>
        </w:rPr>
        <w:t>H. uninervis</w:t>
      </w:r>
      <w:r>
        <w:rPr>
          <w:rFonts w:cs="Arial"/>
          <w:szCs w:val="22"/>
        </w:rPr>
        <w:t xml:space="preserve"> was affected by relative DIN exposure. Below relative DIN exposure of </w:t>
      </w:r>
      <w:r w:rsidRPr="001F0E92">
        <w:rPr>
          <w:rFonts w:cs="Arial"/>
          <w:szCs w:val="22"/>
        </w:rPr>
        <w:t>7.8</w:t>
      </w:r>
      <w:r>
        <w:rPr>
          <w:rFonts w:cs="Arial"/>
          <w:szCs w:val="22"/>
        </w:rPr>
        <w:t xml:space="preserve">, C:N was 15.4 on average (node 2, Figure 7). Between relative DIN load of 7.8 and 17.1 C:N was 19.0 (node 9, Figure 7). When relative DIN loads were greater than 17.1, which was the majority of data points, C:N was further affected by Light (nodes 6, 7 ,8). Within this category, the response to Light was not clear. The lowest C:N occurred when Light was between 14.2 and 16.1 (node 6) </w:t>
      </w:r>
      <w:r w:rsidRPr="00B56FDB">
        <w:rPr>
          <w:rFonts w:cs="Arial"/>
          <w:szCs w:val="22"/>
        </w:rPr>
        <w:t>and</w:t>
      </w:r>
      <w:r>
        <w:rPr>
          <w:rFonts w:cs="Arial"/>
          <w:szCs w:val="22"/>
        </w:rPr>
        <w:t xml:space="preserve"> C:N increased when Light was either below or above this range (nodes 7 and 8). Furthermore, the range in C:N in this category overlaps with the C:N in the very low relative DIN loads category (node 2). </w:t>
      </w:r>
      <w:r w:rsidRPr="001F0E92">
        <w:rPr>
          <w:rFonts w:cs="Arial"/>
          <w:szCs w:val="22"/>
        </w:rPr>
        <w:t xml:space="preserve">This </w:t>
      </w:r>
      <w:r>
        <w:rPr>
          <w:rFonts w:cs="Arial"/>
          <w:szCs w:val="22"/>
        </w:rPr>
        <w:t xml:space="preserve">means it is not possible </w:t>
      </w:r>
      <w:r w:rsidRPr="001F0E92">
        <w:rPr>
          <w:rFonts w:cs="Arial"/>
          <w:szCs w:val="22"/>
        </w:rPr>
        <w:t xml:space="preserve">to use the DIN threshold </w:t>
      </w:r>
      <w:r>
        <w:rPr>
          <w:rFonts w:cs="Arial"/>
          <w:szCs w:val="22"/>
        </w:rPr>
        <w:t xml:space="preserve">or Light </w:t>
      </w:r>
      <w:r w:rsidRPr="001F0E92">
        <w:rPr>
          <w:rFonts w:cs="Arial"/>
          <w:szCs w:val="22"/>
        </w:rPr>
        <w:t>to predict whether changes in C:N are due to daily light or DIN</w:t>
      </w:r>
      <w:r>
        <w:rPr>
          <w:rFonts w:cs="Arial"/>
          <w:szCs w:val="22"/>
        </w:rPr>
        <w:t xml:space="preserve"> with this simple model</w:t>
      </w:r>
      <w:r w:rsidRPr="001F0E92">
        <w:rPr>
          <w:rFonts w:cs="Arial"/>
          <w:szCs w:val="22"/>
        </w:rPr>
        <w:t xml:space="preserve">. </w:t>
      </w:r>
    </w:p>
    <w:p w14:paraId="6E2BDFE7" w14:textId="77777777" w:rsidR="00D355BA" w:rsidRPr="001F0E92" w:rsidRDefault="00D355BA" w:rsidP="00D355BA">
      <w:pPr>
        <w:rPr>
          <w:rFonts w:cs="Arial"/>
          <w:szCs w:val="22"/>
        </w:rPr>
      </w:pPr>
      <w:r w:rsidRPr="001F0E92">
        <w:rPr>
          <w:rFonts w:cs="Arial"/>
          <w:szCs w:val="22"/>
        </w:rPr>
        <w:t xml:space="preserve">Many other Tree analyses were conducted, including for other species, combined species, and by focussing on certain habitats or regions but these results are not shown here. Unfortunately, the results were highly sensitive to the data selection for the model and thresholds associated with the splits varied widely. This is not surprising, given the variability in response to C:N based </w:t>
      </w:r>
      <w:r w:rsidRPr="001F0E92">
        <w:rPr>
          <w:rFonts w:cs="Arial"/>
          <w:szCs w:val="22"/>
        </w:rPr>
        <w:lastRenderedPageBreak/>
        <w:t>on species, habitat and region as described above from GLMs and other factors that are hard to capture and model. Therefore, the Trees analysis can</w:t>
      </w:r>
      <w:r>
        <w:rPr>
          <w:rFonts w:cs="Arial"/>
          <w:szCs w:val="22"/>
        </w:rPr>
        <w:t>not</w:t>
      </w:r>
      <w:r w:rsidRPr="001F0E92">
        <w:rPr>
          <w:rFonts w:cs="Arial"/>
          <w:szCs w:val="22"/>
        </w:rPr>
        <w:t xml:space="preserve"> provide thresholds that can be used for interpretation of future C:N monitoring. </w:t>
      </w:r>
    </w:p>
    <w:p w14:paraId="24399655" w14:textId="77777777" w:rsidR="00D355BA" w:rsidRPr="001F0E92" w:rsidRDefault="00D355BA" w:rsidP="00D355BA">
      <w:pPr>
        <w:rPr>
          <w:rFonts w:cs="Arial"/>
          <w:szCs w:val="22"/>
        </w:rPr>
      </w:pPr>
      <w:r>
        <w:rPr>
          <w:rFonts w:cs="Arial"/>
          <w:noProof/>
          <w:szCs w:val="22"/>
          <w:lang w:eastAsia="en-AU"/>
        </w:rPr>
        <w:drawing>
          <wp:inline distT="0" distB="0" distL="0" distR="0" wp14:anchorId="396F2E69" wp14:editId="79544E27">
            <wp:extent cx="5759450" cy="1949450"/>
            <wp:effectExtent l="0" t="0" r="6350" b="6350"/>
            <wp:docPr id="25" name="Picture 25" descr="Panel of two graphs. On the left the results of the Trees analysis of C:N showing the different significant splits in relation to daily light and relative DIN exposure for H. uninervis. On the right the same results are represented in a scatter plots showing the average Mean Daily Light and DIN values for each nodes of the trees with associated standard error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ee CN HU_combined plot.pdf"/>
                    <pic:cNvPicPr/>
                  </pic:nvPicPr>
                  <pic:blipFill>
                    <a:blip r:embed="rId185">
                      <a:extLst>
                        <a:ext uri="{28A0092B-C50C-407E-A947-70E740481C1C}">
                          <a14:useLocalDpi xmlns:a14="http://schemas.microsoft.com/office/drawing/2010/main" val="0"/>
                        </a:ext>
                      </a:extLst>
                    </a:blip>
                    <a:stretch>
                      <a:fillRect/>
                    </a:stretch>
                  </pic:blipFill>
                  <pic:spPr>
                    <a:xfrm>
                      <a:off x="0" y="0"/>
                      <a:ext cx="5759450" cy="1949450"/>
                    </a:xfrm>
                    <a:prstGeom prst="rect">
                      <a:avLst/>
                    </a:prstGeom>
                  </pic:spPr>
                </pic:pic>
              </a:graphicData>
            </a:graphic>
          </wp:inline>
        </w:drawing>
      </w:r>
    </w:p>
    <w:p w14:paraId="504906A1" w14:textId="77777777" w:rsidR="00D355BA" w:rsidRPr="001F0E92" w:rsidRDefault="00D355BA" w:rsidP="00D355BA">
      <w:pPr>
        <w:pStyle w:val="Caption"/>
        <w:rPr>
          <w:rFonts w:cs="Arial"/>
          <w:szCs w:val="22"/>
        </w:rPr>
      </w:pPr>
      <w:r w:rsidRPr="00867E8C">
        <w:rPr>
          <w:rFonts w:cs="Arial"/>
          <w:szCs w:val="22"/>
        </w:rPr>
        <w:t xml:space="preserve">Figure </w:t>
      </w:r>
      <w:r>
        <w:rPr>
          <w:rFonts w:cs="Arial"/>
          <w:szCs w:val="22"/>
        </w:rPr>
        <w:t>7</w:t>
      </w:r>
      <w:r w:rsidRPr="00867E8C">
        <w:rPr>
          <w:rFonts w:cs="Arial"/>
          <w:szCs w:val="22"/>
        </w:rPr>
        <w:t xml:space="preserve">. </w:t>
      </w:r>
      <w:r w:rsidRPr="007B18F7">
        <w:rPr>
          <w:rFonts w:cs="Arial"/>
          <w:i/>
          <w:szCs w:val="22"/>
        </w:rPr>
        <w:t>Trees analysis of C:N in relation to daily light (Light) and relative DIN exposure for H. uninervis .</w:t>
      </w:r>
    </w:p>
    <w:p w14:paraId="1C9040D5" w14:textId="77777777" w:rsidR="00D355BA" w:rsidRPr="00736FD6" w:rsidRDefault="00D355BA" w:rsidP="00D355BA">
      <w:pPr>
        <w:pStyle w:val="ListParagraph"/>
        <w:numPr>
          <w:ilvl w:val="0"/>
          <w:numId w:val="33"/>
        </w:numPr>
        <w:rPr>
          <w:rFonts w:cs="Arial"/>
          <w:szCs w:val="22"/>
        </w:rPr>
      </w:pPr>
      <w:r w:rsidRPr="00736FD6">
        <w:rPr>
          <w:rFonts w:cs="Arial"/>
          <w:szCs w:val="22"/>
        </w:rPr>
        <w:t>Exploratory analysis of seagrass leaf C:N and in situ water quality</w:t>
      </w:r>
    </w:p>
    <w:p w14:paraId="6513E5E5" w14:textId="77777777" w:rsidR="00D355BA" w:rsidRDefault="00D355BA" w:rsidP="00D355BA">
      <w:pPr>
        <w:rPr>
          <w:rFonts w:cs="Arial"/>
          <w:szCs w:val="22"/>
        </w:rPr>
      </w:pPr>
      <w:r>
        <w:rPr>
          <w:rFonts w:cs="Arial"/>
          <w:szCs w:val="22"/>
        </w:rPr>
        <w:t xml:space="preserve">This analysis was undertaken in order to assess whether the </w:t>
      </w:r>
      <w:r w:rsidRPr="0007163F">
        <w:rPr>
          <w:rFonts w:cs="Arial"/>
          <w:i/>
          <w:szCs w:val="22"/>
        </w:rPr>
        <w:t>in situ</w:t>
      </w:r>
      <w:r>
        <w:rPr>
          <w:rFonts w:cs="Arial"/>
          <w:szCs w:val="22"/>
        </w:rPr>
        <w:t xml:space="preserve"> water quality data, which has a high degree of precision, could provide an alternative to modelled nutrient exposure particularly with respect to nitrogen. However, </w:t>
      </w:r>
      <w:r w:rsidRPr="0007163F">
        <w:rPr>
          <w:rFonts w:cs="Arial"/>
          <w:i/>
          <w:szCs w:val="22"/>
        </w:rPr>
        <w:t>in situ</w:t>
      </w:r>
      <w:r>
        <w:rPr>
          <w:rFonts w:cs="Arial"/>
          <w:szCs w:val="22"/>
        </w:rPr>
        <w:t xml:space="preserve"> water quality data are only available for reef sites and only represent ‘point-in-time’ measurements. </w:t>
      </w:r>
      <w:r w:rsidRPr="001F0E92">
        <w:rPr>
          <w:rFonts w:cs="Arial"/>
          <w:szCs w:val="22"/>
        </w:rPr>
        <w:t xml:space="preserve">The nutrient variables (TDN, TDP and DIP) did not </w:t>
      </w:r>
      <w:r>
        <w:rPr>
          <w:rFonts w:cs="Arial"/>
          <w:szCs w:val="22"/>
        </w:rPr>
        <w:t>correlate to</w:t>
      </w:r>
      <w:r w:rsidRPr="001F0E92">
        <w:rPr>
          <w:rFonts w:cs="Arial"/>
          <w:szCs w:val="22"/>
        </w:rPr>
        <w:t xml:space="preserve"> C:N</w:t>
      </w:r>
      <w:r>
        <w:rPr>
          <w:rFonts w:cs="Arial"/>
          <w:szCs w:val="22"/>
        </w:rPr>
        <w:t xml:space="preserve"> with R</w:t>
      </w:r>
      <w:r>
        <w:rPr>
          <w:rFonts w:cs="Arial"/>
          <w:szCs w:val="22"/>
          <w:vertAlign w:val="superscript"/>
        </w:rPr>
        <w:t>2</w:t>
      </w:r>
      <w:r>
        <w:rPr>
          <w:rFonts w:cs="Arial"/>
          <w:szCs w:val="22"/>
        </w:rPr>
        <w:t xml:space="preserve"> values ranging from 0.022 to 0.11 (Figure 8)</w:t>
      </w:r>
      <w:r w:rsidRPr="001F0E92">
        <w:rPr>
          <w:rFonts w:cs="Arial"/>
          <w:szCs w:val="22"/>
        </w:rPr>
        <w:t>.</w:t>
      </w:r>
      <w:r>
        <w:rPr>
          <w:rFonts w:cs="Arial"/>
          <w:szCs w:val="22"/>
        </w:rPr>
        <w:t xml:space="preserve"> Furthermore due to the large amount of explained and heterogenous variance in C:N with the different covariate even the significant p values returned are probably unreliable. </w:t>
      </w:r>
      <w:r w:rsidRPr="001F0E92">
        <w:rPr>
          <w:rFonts w:cs="Arial"/>
          <w:szCs w:val="22"/>
        </w:rPr>
        <w:t>The</w:t>
      </w:r>
      <w:r>
        <w:rPr>
          <w:rFonts w:cs="Arial"/>
          <w:szCs w:val="22"/>
        </w:rPr>
        <w:t xml:space="preserve"> strongest linear relationship (explaining only 12% of the variance, R</w:t>
      </w:r>
      <w:r>
        <w:rPr>
          <w:rFonts w:cs="Arial"/>
          <w:szCs w:val="22"/>
          <w:vertAlign w:val="superscript"/>
        </w:rPr>
        <w:t>2</w:t>
      </w:r>
      <w:r>
        <w:rPr>
          <w:rFonts w:cs="Arial"/>
          <w:szCs w:val="22"/>
        </w:rPr>
        <w:t>=0.12)</w:t>
      </w:r>
      <w:r w:rsidRPr="001F0E92">
        <w:rPr>
          <w:rFonts w:cs="Arial"/>
          <w:szCs w:val="22"/>
        </w:rPr>
        <w:t xml:space="preserve"> was</w:t>
      </w:r>
      <w:r>
        <w:rPr>
          <w:rFonts w:cs="Arial"/>
          <w:szCs w:val="22"/>
        </w:rPr>
        <w:t xml:space="preserve"> </w:t>
      </w:r>
      <w:r w:rsidRPr="001F0E92">
        <w:rPr>
          <w:rFonts w:cs="Arial"/>
          <w:szCs w:val="22"/>
        </w:rPr>
        <w:t xml:space="preserve">a positive effect of </w:t>
      </w:r>
      <w:r>
        <w:rPr>
          <w:rFonts w:cs="Arial"/>
          <w:szCs w:val="22"/>
        </w:rPr>
        <w:t>S</w:t>
      </w:r>
      <w:r w:rsidRPr="001F0E92">
        <w:rPr>
          <w:rFonts w:cs="Arial"/>
          <w:szCs w:val="22"/>
        </w:rPr>
        <w:t>ecchi depth on C:N</w:t>
      </w:r>
      <w:r>
        <w:rPr>
          <w:rFonts w:cs="Arial"/>
          <w:szCs w:val="22"/>
        </w:rPr>
        <w:t xml:space="preserve">. However, it is important to note that this is influenced by </w:t>
      </w:r>
      <w:r w:rsidRPr="001F0E92">
        <w:rPr>
          <w:rFonts w:cs="Arial"/>
          <w:szCs w:val="22"/>
        </w:rPr>
        <w:t xml:space="preserve">a few high </w:t>
      </w:r>
      <w:r>
        <w:rPr>
          <w:rFonts w:cs="Arial"/>
          <w:szCs w:val="22"/>
        </w:rPr>
        <w:t>Secchi depth</w:t>
      </w:r>
      <w:r w:rsidRPr="001F0E92">
        <w:rPr>
          <w:rFonts w:cs="Arial"/>
          <w:szCs w:val="22"/>
        </w:rPr>
        <w:t xml:space="preserve"> values </w:t>
      </w:r>
      <w:r w:rsidRPr="00D54DD5">
        <w:rPr>
          <w:rFonts w:cs="Arial"/>
          <w:szCs w:val="22"/>
        </w:rPr>
        <w:t xml:space="preserve">from the Green Island water quality monitoring sites in 2006, 2008, 2009 and 2018. </w:t>
      </w:r>
      <w:r w:rsidRPr="0007163F">
        <w:rPr>
          <w:rFonts w:cs="Arial"/>
          <w:szCs w:val="22"/>
        </w:rPr>
        <w:t xml:space="preserve">Within the normal range of </w:t>
      </w:r>
      <w:r>
        <w:rPr>
          <w:rFonts w:cs="Arial"/>
          <w:szCs w:val="22"/>
        </w:rPr>
        <w:t>S</w:t>
      </w:r>
      <w:r w:rsidRPr="0007163F">
        <w:rPr>
          <w:rFonts w:cs="Arial"/>
          <w:szCs w:val="22"/>
        </w:rPr>
        <w:t>ecchi depths recorded</w:t>
      </w:r>
      <w:r>
        <w:rPr>
          <w:rFonts w:cs="Arial"/>
          <w:szCs w:val="22"/>
        </w:rPr>
        <w:t xml:space="preserve"> (0-12m)</w:t>
      </w:r>
      <w:r w:rsidRPr="0007163F">
        <w:rPr>
          <w:rFonts w:cs="Arial"/>
          <w:szCs w:val="22"/>
        </w:rPr>
        <w:t xml:space="preserve">, there is no significant trend in C:N in relation to </w:t>
      </w:r>
      <w:r>
        <w:rPr>
          <w:rFonts w:cs="Arial"/>
          <w:szCs w:val="22"/>
        </w:rPr>
        <w:t>S</w:t>
      </w:r>
      <w:r w:rsidRPr="0007163F">
        <w:rPr>
          <w:rFonts w:cs="Arial"/>
          <w:szCs w:val="22"/>
        </w:rPr>
        <w:t>ecchi depth.</w:t>
      </w:r>
      <w:r>
        <w:rPr>
          <w:rFonts w:cs="Arial"/>
          <w:szCs w:val="22"/>
          <w:highlight w:val="yellow"/>
        </w:rPr>
        <w:t xml:space="preserve"> </w:t>
      </w:r>
      <w:r>
        <w:rPr>
          <w:rFonts w:cs="Arial"/>
          <w:szCs w:val="22"/>
        </w:rPr>
        <w:t xml:space="preserve">    </w:t>
      </w:r>
    </w:p>
    <w:p w14:paraId="47677D13" w14:textId="77777777" w:rsidR="00D355BA" w:rsidRPr="001F0E92" w:rsidRDefault="00D355BA" w:rsidP="00D355BA">
      <w:pPr>
        <w:rPr>
          <w:rFonts w:cs="Arial"/>
          <w:szCs w:val="22"/>
        </w:rPr>
      </w:pPr>
      <w:r w:rsidRPr="001F0E92">
        <w:rPr>
          <w:rFonts w:cs="Arial"/>
          <w:szCs w:val="22"/>
        </w:rPr>
        <w:t xml:space="preserve">There are a number of considerations when looking at the </w:t>
      </w:r>
      <w:r w:rsidRPr="001F0E92">
        <w:rPr>
          <w:rFonts w:cs="Arial"/>
          <w:i/>
          <w:szCs w:val="22"/>
        </w:rPr>
        <w:t>in situ</w:t>
      </w:r>
      <w:r w:rsidRPr="001F0E92">
        <w:rPr>
          <w:rFonts w:cs="Arial"/>
          <w:szCs w:val="22"/>
        </w:rPr>
        <w:t xml:space="preserve"> water quality data in relation to seagrass leaf C:N. Firstly, the </w:t>
      </w:r>
      <w:r>
        <w:rPr>
          <w:rFonts w:cs="Arial"/>
          <w:szCs w:val="22"/>
        </w:rPr>
        <w:t xml:space="preserve">water quality and seagrass </w:t>
      </w:r>
      <w:r w:rsidRPr="001F0E92">
        <w:rPr>
          <w:rFonts w:cs="Arial"/>
          <w:szCs w:val="22"/>
        </w:rPr>
        <w:lastRenderedPageBreak/>
        <w:t xml:space="preserve">sites are up to ~8km apart from each other and there is not a unique water quality sample for both intertidal and subtidal habitats. For parameters that affect benthic light levels (TSS, Chl and </w:t>
      </w:r>
      <w:r>
        <w:rPr>
          <w:rFonts w:cs="Arial"/>
          <w:szCs w:val="22"/>
        </w:rPr>
        <w:t>S</w:t>
      </w:r>
      <w:r w:rsidRPr="001F0E92">
        <w:rPr>
          <w:rFonts w:cs="Arial"/>
          <w:szCs w:val="22"/>
        </w:rPr>
        <w:t xml:space="preserve">ecchi), these will have different effects on seagrass growing subtidally or intertidally. Secondly, most of the water quality sampling is conducted in the wet season (and this analysis was based only on wet season data). For both of these reasons, the water quality data can only be used as broadly representative of changing spatial-temporal patterns in water quality in relation to seagrass nutrient availability. In addition, </w:t>
      </w:r>
      <w:r w:rsidRPr="001F0E92">
        <w:rPr>
          <w:rFonts w:cs="Arial"/>
          <w:i/>
          <w:szCs w:val="22"/>
        </w:rPr>
        <w:t>in situ</w:t>
      </w:r>
      <w:r w:rsidRPr="001F0E92">
        <w:rPr>
          <w:rFonts w:cs="Arial"/>
          <w:szCs w:val="22"/>
        </w:rPr>
        <w:t xml:space="preserve"> sampling is only conducted in proximity to seagrass ‘reef’ sites, and not the coastal or estuarine sites, which had some of the stronger patterns </w:t>
      </w:r>
      <w:r>
        <w:rPr>
          <w:rFonts w:cs="Arial"/>
          <w:szCs w:val="22"/>
        </w:rPr>
        <w:t>in the</w:t>
      </w:r>
      <w:r w:rsidRPr="001F0E92">
        <w:rPr>
          <w:rFonts w:cs="Arial"/>
          <w:szCs w:val="22"/>
        </w:rPr>
        <w:t xml:space="preserve"> GLMs particularly at coastal sites. No further analysis has been conducted at this stage. </w:t>
      </w:r>
    </w:p>
    <w:p w14:paraId="6836178B" w14:textId="77777777" w:rsidR="00D355BA" w:rsidRDefault="00D355BA" w:rsidP="00D355BA">
      <w:pPr>
        <w:jc w:val="center"/>
        <w:rPr>
          <w:rFonts w:cs="Arial"/>
          <w:szCs w:val="22"/>
        </w:rPr>
      </w:pPr>
    </w:p>
    <w:p w14:paraId="7E3220EF" w14:textId="77777777" w:rsidR="00D355BA" w:rsidRPr="001F0E92" w:rsidRDefault="00D355BA" w:rsidP="00D355BA">
      <w:pPr>
        <w:jc w:val="center"/>
        <w:rPr>
          <w:rFonts w:cs="Arial"/>
          <w:szCs w:val="22"/>
        </w:rPr>
      </w:pPr>
      <w:r>
        <w:rPr>
          <w:rFonts w:cs="Arial"/>
          <w:noProof/>
          <w:szCs w:val="22"/>
          <w:lang w:eastAsia="en-AU"/>
        </w:rPr>
        <w:drawing>
          <wp:inline distT="0" distB="0" distL="0" distR="0" wp14:anchorId="32473078" wp14:editId="701B40A2">
            <wp:extent cx="5759450" cy="2879725"/>
            <wp:effectExtent l="0" t="0" r="6350" b="3175"/>
            <wp:docPr id="27" name="Picture 27" descr="Panel of 6 graphs, in a three by two matrix, showing the results of exploratory analysis of seagrass leaf C:N in relation to in situ water quality data from Gruber et al. 2019a. The solid line represent the fitted linear regression with shaded areas indicating the 95% prediction confidence interv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N vs in situ WQ_withR2_CC.pdf"/>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p>
    <w:p w14:paraId="6426712D" w14:textId="77777777" w:rsidR="00D355BA" w:rsidRDefault="00D355BA" w:rsidP="00D355BA">
      <w:pPr>
        <w:pStyle w:val="Caption"/>
        <w:rPr>
          <w:rFonts w:cs="Arial"/>
          <w:szCs w:val="22"/>
        </w:rPr>
      </w:pPr>
      <w:r w:rsidRPr="00867E8C">
        <w:rPr>
          <w:rFonts w:cs="Arial"/>
          <w:szCs w:val="22"/>
        </w:rPr>
        <w:t xml:space="preserve">Figure </w:t>
      </w:r>
      <w:r>
        <w:rPr>
          <w:rFonts w:cs="Arial"/>
          <w:szCs w:val="22"/>
        </w:rPr>
        <w:t>8</w:t>
      </w:r>
      <w:r w:rsidRPr="00867E8C">
        <w:rPr>
          <w:rFonts w:cs="Arial"/>
          <w:szCs w:val="22"/>
        </w:rPr>
        <w:t xml:space="preserve">. </w:t>
      </w:r>
      <w:r w:rsidRPr="001F0E92">
        <w:rPr>
          <w:rFonts w:cs="Arial"/>
          <w:szCs w:val="22"/>
        </w:rPr>
        <w:t xml:space="preserve">Exploratory analysis of seagrass leaf C:N in relation to </w:t>
      </w:r>
      <w:r w:rsidRPr="001F0E92">
        <w:rPr>
          <w:rFonts w:cs="Arial"/>
          <w:i/>
          <w:szCs w:val="22"/>
        </w:rPr>
        <w:t>in situ</w:t>
      </w:r>
      <w:r w:rsidRPr="001F0E92">
        <w:rPr>
          <w:rFonts w:cs="Arial"/>
          <w:szCs w:val="22"/>
        </w:rPr>
        <w:t xml:space="preserve"> water quality </w:t>
      </w:r>
      <w:hyperlink w:anchor="_ENREF_67" w:tooltip="Gruber, 2019 #1918" w:history="1">
        <w:r w:rsidRPr="001F0E92">
          <w:rPr>
            <w:rFonts w:cs="Arial"/>
            <w:szCs w:val="22"/>
          </w:rPr>
          <w:fldChar w:fldCharType="begin"/>
        </w:r>
        <w:r w:rsidRPr="001F0E92">
          <w:rPr>
            <w:rFonts w:cs="Arial"/>
            <w:szCs w:val="22"/>
          </w:rPr>
          <w:instrText xml:space="preserve"> ADDIN EN.CITE &lt;EndNote&gt;&lt;Cite&gt;&lt;Author&gt;Gruber&lt;/Author&gt;&lt;Year&gt;2019&lt;/Year&gt;&lt;RecNum&gt;1918&lt;/RecNum&gt;&lt;Prefix&gt;data from &lt;/Prefix&gt;&lt;DisplayText&gt;data from Gruber&lt;style face="italic"&gt; et al.&lt;/style&gt; 2019a&lt;/DisplayText&gt;&lt;record&gt;&lt;rec-number&gt;1918&lt;/rec-number&gt;&lt;foreign-keys&gt;&lt;key app="EN" db-id="xp95r2wt4pwtpyeavf5vadf4pa05f0ae5f0d" timestamp="1571194191"&gt;1918&lt;/key&gt;&lt;/foreign-keys&gt;&lt;ref-type name="Report"&gt;27&lt;/ref-type&gt;&lt;contributors&gt;&lt;authors&gt;&lt;author&gt;Gruber, R., &lt;/author&gt;&lt;author&gt;Waterhouse, J., &lt;/author&gt;&lt;author&gt;Logan, M., &lt;/author&gt;&lt;author&gt;Petus, C., &lt;/author&gt;&lt;author&gt;Howley, C., &lt;/author&gt;&lt;author&gt;Lewis, S., &lt;/author&gt;&lt;author&gt;Tracey, D., &lt;/author&gt;&lt;author&gt;Langlois, L., &lt;/author&gt;&lt;author&gt;Tonin, H., &lt;/author&gt;&lt;author&gt;Skuza, M., &lt;/author&gt;&lt;author&gt;Costello, P., &lt;/author&gt;&lt;author&gt;Davidson, J., &lt;/author&gt;&lt;author&gt;Gunn, K., &lt;/author&gt;&lt;author&gt;Lefevre, C., &lt;/author&gt;&lt;author&gt;Shanahan, M., &lt;/author&gt;&lt;author&gt;Wright, M., &lt;/author&gt;&lt;author&gt;Zagorskis, I., &lt;/author&gt;&lt;author&gt;Kroon, F., &lt;/author&gt;&lt;author&gt;Neilen, A., &lt;/author&gt;&lt;/authors&gt;&lt;/contributors&gt;&lt;titles&gt;&lt;title&gt;Marine Monitoring Program: Annual Report for Inshore Water Quality Monitoring 2017-18. Report for the Great Barrier Reef Marine Park Authority&lt;/title&gt;&lt;/titles&gt;&lt;dates&gt;&lt;year&gt;2019&lt;/year&gt;&lt;/dates&gt;&lt;pub-location&gt;Townsville&lt;/pub-location&gt;&lt;publisher&gt;Great Barrier Reef Marine Park Authority&lt;/publisher&gt;&lt;urls&gt;&lt;/urls&gt;&lt;/record&gt;&lt;/Cite&gt;&lt;/EndNote&gt;</w:instrText>
        </w:r>
        <w:r w:rsidRPr="001F0E92">
          <w:rPr>
            <w:rFonts w:cs="Arial"/>
            <w:szCs w:val="22"/>
          </w:rPr>
          <w:fldChar w:fldCharType="separate"/>
        </w:r>
        <w:r w:rsidRPr="001F0E92">
          <w:rPr>
            <w:rFonts w:cs="Arial"/>
            <w:noProof/>
            <w:szCs w:val="22"/>
          </w:rPr>
          <w:t>data from Gruber</w:t>
        </w:r>
        <w:r w:rsidRPr="001F0E92">
          <w:rPr>
            <w:rFonts w:cs="Arial"/>
            <w:i/>
            <w:noProof/>
            <w:szCs w:val="22"/>
          </w:rPr>
          <w:t xml:space="preserve"> et al.</w:t>
        </w:r>
        <w:r w:rsidRPr="001F0E92">
          <w:rPr>
            <w:rFonts w:cs="Arial"/>
            <w:noProof/>
            <w:szCs w:val="22"/>
          </w:rPr>
          <w:t xml:space="preserve"> 2019a</w:t>
        </w:r>
        <w:r w:rsidRPr="001F0E92">
          <w:rPr>
            <w:rFonts w:cs="Arial"/>
            <w:szCs w:val="22"/>
          </w:rPr>
          <w:fldChar w:fldCharType="end"/>
        </w:r>
      </w:hyperlink>
      <w:r>
        <w:rPr>
          <w:rFonts w:cs="Arial"/>
          <w:szCs w:val="22"/>
        </w:rPr>
        <w:t>. The solid line represents the fitted linear regression with shaded areas indicating the 95% prediction confidence intervals (warning: most of these fitted linear models violate the homogeneity of variance assumption).</w:t>
      </w:r>
    </w:p>
    <w:p w14:paraId="31D0AB08" w14:textId="77777777" w:rsidR="00D355BA" w:rsidRPr="00B25240" w:rsidRDefault="00D355BA" w:rsidP="00D355BA">
      <w:pPr>
        <w:spacing w:before="0" w:after="160" w:line="259" w:lineRule="auto"/>
        <w:rPr>
          <w:rFonts w:eastAsia="SimSun" w:cs="Arial"/>
          <w:szCs w:val="22"/>
          <w:lang w:val="en-GB"/>
        </w:rPr>
      </w:pPr>
      <w:r>
        <w:rPr>
          <w:rFonts w:cs="Arial"/>
          <w:szCs w:val="22"/>
        </w:rPr>
        <w:br w:type="page"/>
      </w:r>
    </w:p>
    <w:p w14:paraId="2D3E2A06" w14:textId="77777777" w:rsidR="00D355BA" w:rsidRPr="00B25240" w:rsidRDefault="00D355BA" w:rsidP="00D355BA">
      <w:pPr>
        <w:pStyle w:val="ListParagraph"/>
        <w:numPr>
          <w:ilvl w:val="0"/>
          <w:numId w:val="33"/>
        </w:numPr>
        <w:rPr>
          <w:rFonts w:cs="Arial"/>
          <w:szCs w:val="22"/>
        </w:rPr>
      </w:pPr>
      <w:r w:rsidRPr="00736FD6">
        <w:rPr>
          <w:rFonts w:cs="Arial"/>
          <w:szCs w:val="22"/>
        </w:rPr>
        <w:lastRenderedPageBreak/>
        <w:t>C:N as a predictor of changes in seagrass abundance</w:t>
      </w:r>
    </w:p>
    <w:p w14:paraId="44DEF308" w14:textId="77777777" w:rsidR="00D355BA" w:rsidRDefault="00D355BA" w:rsidP="00D355BA">
      <w:pPr>
        <w:rPr>
          <w:rFonts w:cs="Arial"/>
          <w:szCs w:val="22"/>
          <w:lang w:eastAsia="x-none"/>
        </w:rPr>
      </w:pPr>
      <w:r w:rsidRPr="004A409C">
        <w:rPr>
          <w:rFonts w:cs="Arial"/>
          <w:szCs w:val="22"/>
          <w:lang w:eastAsia="x-none"/>
        </w:rPr>
        <w:t xml:space="preserve">To test whether seagrass C:N can forewarn of changes in seagrass abundance, the C:N (all species, in year x) was plotted against the change in seagrass abundance for that site from year x to year x+1. There were no observable patterns in the </w:t>
      </w:r>
      <w:r>
        <w:rPr>
          <w:rFonts w:cs="Arial"/>
          <w:szCs w:val="22"/>
          <w:lang w:eastAsia="x-none"/>
        </w:rPr>
        <w:t>combined seagrass data (Figure 9</w:t>
      </w:r>
      <w:r w:rsidRPr="004A409C">
        <w:rPr>
          <w:rFonts w:cs="Arial"/>
          <w:szCs w:val="22"/>
          <w:lang w:eastAsia="x-none"/>
        </w:rPr>
        <w:t>)</w:t>
      </w:r>
      <w:r>
        <w:rPr>
          <w:rFonts w:cs="Arial"/>
          <w:szCs w:val="22"/>
          <w:lang w:eastAsia="x-none"/>
        </w:rPr>
        <w:t>, but this was further interrogated at the region and habitat level. Again, there was no observable pattern with the exception of the coastal habitat in the Burdekin region, in which higher C:N was associated with loss in the following year (Figure 10). N</w:t>
      </w:r>
      <w:r w:rsidRPr="004A409C">
        <w:rPr>
          <w:rFonts w:cs="Arial"/>
          <w:szCs w:val="22"/>
          <w:lang w:eastAsia="x-none"/>
        </w:rPr>
        <w:t xml:space="preserve">o further analysis has been undertaken at this stage. </w:t>
      </w:r>
    </w:p>
    <w:p w14:paraId="381E655B" w14:textId="77777777" w:rsidR="00D355BA" w:rsidRDefault="00D355BA" w:rsidP="00D355BA">
      <w:pPr>
        <w:rPr>
          <w:rFonts w:cs="Arial"/>
          <w:szCs w:val="22"/>
          <w:lang w:eastAsia="x-none"/>
        </w:rPr>
      </w:pPr>
      <w:r w:rsidRPr="004A409C">
        <w:rPr>
          <w:rFonts w:cs="Arial"/>
          <w:szCs w:val="22"/>
          <w:lang w:eastAsia="x-none"/>
        </w:rPr>
        <w:t xml:space="preserve">This indicates that </w:t>
      </w:r>
      <w:r>
        <w:rPr>
          <w:rFonts w:cs="Arial"/>
          <w:szCs w:val="22"/>
          <w:lang w:eastAsia="x-none"/>
        </w:rPr>
        <w:t xml:space="preserve">the assumption that </w:t>
      </w:r>
      <w:r w:rsidRPr="004A409C">
        <w:rPr>
          <w:rFonts w:cs="Arial"/>
          <w:szCs w:val="22"/>
          <w:lang w:eastAsia="x-none"/>
        </w:rPr>
        <w:t xml:space="preserve">C:N may be a suitable early-warning indicator of future changes in seagrass abundance </w:t>
      </w:r>
      <w:r>
        <w:rPr>
          <w:rFonts w:cs="Arial"/>
          <w:szCs w:val="22"/>
          <w:lang w:eastAsia="x-none"/>
        </w:rPr>
        <w:t xml:space="preserve">is unsubstantiated, which is not surprising </w:t>
      </w:r>
      <w:r w:rsidRPr="004A409C">
        <w:rPr>
          <w:rFonts w:cs="Arial"/>
          <w:szCs w:val="22"/>
          <w:lang w:eastAsia="x-none"/>
        </w:rPr>
        <w:t xml:space="preserve">when considering the complexity of species and habitat types present in the </w:t>
      </w:r>
      <w:r>
        <w:rPr>
          <w:rFonts w:cs="Arial"/>
          <w:szCs w:val="22"/>
          <w:lang w:eastAsia="x-none"/>
        </w:rPr>
        <w:t xml:space="preserve">Reef, </w:t>
      </w:r>
      <w:r w:rsidRPr="004A409C">
        <w:rPr>
          <w:rFonts w:cs="Arial"/>
          <w:szCs w:val="22"/>
          <w:lang w:eastAsia="x-none"/>
        </w:rPr>
        <w:t>the sampling resolution (3 samples per site a</w:t>
      </w:r>
      <w:r>
        <w:rPr>
          <w:rFonts w:cs="Arial"/>
          <w:szCs w:val="22"/>
          <w:lang w:eastAsia="x-none"/>
        </w:rPr>
        <w:t>nd species per year), and the time-frames of measuring and reporting (annual).</w:t>
      </w:r>
    </w:p>
    <w:p w14:paraId="012319AC" w14:textId="77777777" w:rsidR="00D355BA" w:rsidRPr="001F0E92" w:rsidRDefault="00D355BA" w:rsidP="00D355BA">
      <w:pPr>
        <w:jc w:val="center"/>
        <w:rPr>
          <w:rFonts w:cs="Arial"/>
          <w:szCs w:val="22"/>
        </w:rPr>
      </w:pPr>
      <w:r w:rsidRPr="001F0E92">
        <w:rPr>
          <w:rFonts w:cs="Arial"/>
          <w:noProof/>
          <w:szCs w:val="22"/>
          <w:lang w:eastAsia="en-AU"/>
        </w:rPr>
        <w:drawing>
          <wp:inline distT="0" distB="0" distL="0" distR="0" wp14:anchorId="608B8D45" wp14:editId="64B78B2C">
            <wp:extent cx="5039360" cy="2467163"/>
            <wp:effectExtent l="0" t="0" r="2540" b="0"/>
            <wp:docPr id="28" name="Picture 28" descr="Single scatterplot showing the seagrass leaf C:N (year x) in relation to change in seagrass cover in the following year for all data combin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N vs Cover change.png"/>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047831" cy="2471310"/>
                    </a:xfrm>
                    <a:prstGeom prst="rect">
                      <a:avLst/>
                    </a:prstGeom>
                  </pic:spPr>
                </pic:pic>
              </a:graphicData>
            </a:graphic>
          </wp:inline>
        </w:drawing>
      </w:r>
    </w:p>
    <w:p w14:paraId="3A9C8525" w14:textId="77777777" w:rsidR="00D355BA" w:rsidRDefault="00D355BA" w:rsidP="00D355BA">
      <w:pPr>
        <w:pStyle w:val="Caption"/>
        <w:rPr>
          <w:rFonts w:cs="Arial"/>
          <w:szCs w:val="22"/>
        </w:rPr>
      </w:pPr>
      <w:r w:rsidRPr="00867E8C">
        <w:rPr>
          <w:rFonts w:cs="Arial"/>
          <w:szCs w:val="22"/>
        </w:rPr>
        <w:t xml:space="preserve">Figure </w:t>
      </w:r>
      <w:r>
        <w:rPr>
          <w:rFonts w:cs="Arial"/>
          <w:szCs w:val="22"/>
        </w:rPr>
        <w:t>9</w:t>
      </w:r>
      <w:r w:rsidRPr="00867E8C">
        <w:rPr>
          <w:rFonts w:cs="Arial"/>
          <w:szCs w:val="22"/>
        </w:rPr>
        <w:t xml:space="preserve">. </w:t>
      </w:r>
      <w:r w:rsidRPr="007B18F7">
        <w:rPr>
          <w:rFonts w:cs="Arial"/>
          <w:i/>
          <w:szCs w:val="22"/>
        </w:rPr>
        <w:t>Seagrass leaf C:N (year x) in relation to change in seagrass cover in the following year for all data combined.</w:t>
      </w:r>
      <w:r w:rsidRPr="001F0E92">
        <w:rPr>
          <w:rFonts w:cs="Arial"/>
          <w:szCs w:val="22"/>
        </w:rPr>
        <w:t xml:space="preserve">  </w:t>
      </w:r>
    </w:p>
    <w:p w14:paraId="21ACB5FC" w14:textId="77777777" w:rsidR="00D355BA" w:rsidRDefault="00D355BA" w:rsidP="00D355BA">
      <w:pPr>
        <w:rPr>
          <w:lang w:val="en-GB"/>
        </w:rPr>
      </w:pPr>
    </w:p>
    <w:p w14:paraId="79CE45CE" w14:textId="77777777" w:rsidR="00D355BA" w:rsidRDefault="00D355BA" w:rsidP="00D355BA">
      <w:pPr>
        <w:rPr>
          <w:lang w:val="en-GB"/>
        </w:rPr>
      </w:pPr>
      <w:r>
        <w:rPr>
          <w:noProof/>
          <w:lang w:eastAsia="en-AU"/>
        </w:rPr>
        <w:lastRenderedPageBreak/>
        <w:drawing>
          <wp:inline distT="0" distB="0" distL="0" distR="0" wp14:anchorId="70630188" wp14:editId="213EA37D">
            <wp:extent cx="5759450" cy="5759450"/>
            <wp:effectExtent l="0" t="0" r="0" b="0"/>
            <wp:docPr id="29" name="Picture 29" descr="Panel of 24 graphs, displayed in six by four matrix, illustrating the percent change in seagrass cover in relation to the C:N in the previous dry season for each region and hab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LM_CNlag_pctcover.pdf"/>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759450" cy="5759450"/>
                    </a:xfrm>
                    <a:prstGeom prst="rect">
                      <a:avLst/>
                    </a:prstGeom>
                  </pic:spPr>
                </pic:pic>
              </a:graphicData>
            </a:graphic>
          </wp:inline>
        </w:drawing>
      </w:r>
    </w:p>
    <w:p w14:paraId="7958F80D" w14:textId="77777777" w:rsidR="00D355BA" w:rsidRDefault="00D355BA" w:rsidP="00D355BA">
      <w:pPr>
        <w:rPr>
          <w:lang w:val="en-GB"/>
        </w:rPr>
      </w:pPr>
      <w:r>
        <w:rPr>
          <w:lang w:val="en-GB"/>
        </w:rPr>
        <w:t xml:space="preserve">Figure 10. </w:t>
      </w:r>
      <w:r w:rsidRPr="007B18F7">
        <w:rPr>
          <w:i/>
          <w:lang w:val="en-GB"/>
        </w:rPr>
        <w:t xml:space="preserve">Percent change in seagrass cover in relation to the C:N in the previous dry season for each region and habitat. </w:t>
      </w:r>
      <w:r w:rsidRPr="007B18F7">
        <w:rPr>
          <w:rFonts w:cs="Arial"/>
          <w:i/>
          <w:szCs w:val="22"/>
        </w:rPr>
        <w:t>Shaded areas indicate the 95% prediction confidence intervals from the model.</w:t>
      </w:r>
      <w:r w:rsidRPr="001F0E92">
        <w:rPr>
          <w:rFonts w:cs="Arial"/>
          <w:szCs w:val="22"/>
        </w:rPr>
        <w:t xml:space="preserve">  </w:t>
      </w:r>
      <w:r>
        <w:rPr>
          <w:lang w:val="en-GB"/>
        </w:rPr>
        <w:t xml:space="preserve"> </w:t>
      </w:r>
    </w:p>
    <w:p w14:paraId="6531139D" w14:textId="77777777" w:rsidR="00D355BA" w:rsidRPr="00B25240" w:rsidRDefault="00D355BA" w:rsidP="00D355BA">
      <w:pPr>
        <w:spacing w:before="0" w:after="160" w:line="259" w:lineRule="auto"/>
        <w:rPr>
          <w:lang w:val="en-GB"/>
        </w:rPr>
      </w:pPr>
      <w:r>
        <w:rPr>
          <w:lang w:val="en-GB"/>
        </w:rPr>
        <w:br w:type="page"/>
      </w:r>
    </w:p>
    <w:p w14:paraId="26CA68D8" w14:textId="77777777" w:rsidR="00D355BA" w:rsidRPr="00B25240" w:rsidRDefault="00D355BA" w:rsidP="00D355BA">
      <w:pPr>
        <w:pStyle w:val="ListParagraph"/>
        <w:numPr>
          <w:ilvl w:val="0"/>
          <w:numId w:val="33"/>
        </w:numPr>
        <w:rPr>
          <w:rFonts w:cs="Arial"/>
          <w:szCs w:val="22"/>
        </w:rPr>
      </w:pPr>
      <w:r>
        <w:rPr>
          <w:rFonts w:cs="Arial"/>
          <w:szCs w:val="22"/>
        </w:rPr>
        <w:lastRenderedPageBreak/>
        <w:t>C:N ratio and the Reef health index</w:t>
      </w:r>
    </w:p>
    <w:p w14:paraId="3E24F525" w14:textId="77777777" w:rsidR="00D355BA" w:rsidRDefault="00D355BA" w:rsidP="00D355BA">
      <w:pPr>
        <w:rPr>
          <w:rFonts w:cs="Arial"/>
          <w:szCs w:val="22"/>
          <w:lang w:eastAsia="x-none"/>
        </w:rPr>
      </w:pPr>
      <w:r w:rsidRPr="004A409C">
        <w:rPr>
          <w:rFonts w:cs="Arial"/>
          <w:szCs w:val="22"/>
          <w:lang w:eastAsia="x-none"/>
        </w:rPr>
        <w:t xml:space="preserve">Seagrass leaf C:N ratio is included in the Reef health index as one of 3 metrics, together with reproductive effort and seagrass abundance. This analysis calls into question the suitability of retaining such a strong weighting of C:N. We </w:t>
      </w:r>
      <w:r>
        <w:rPr>
          <w:rFonts w:cs="Arial"/>
          <w:szCs w:val="22"/>
          <w:lang w:eastAsia="x-none"/>
        </w:rPr>
        <w:t xml:space="preserve">have therefore tested the effect of the C:N metric on the reef health Index by comparing the index as it is currently reported, to a 50% weighting of C:N towards the Index, and removing C:N from the health Index (Figure 11). </w:t>
      </w:r>
    </w:p>
    <w:p w14:paraId="2ADD5BA4" w14:textId="77777777" w:rsidR="00D355BA" w:rsidRDefault="00D355BA" w:rsidP="00D355BA">
      <w:pPr>
        <w:rPr>
          <w:rFonts w:cs="Arial"/>
          <w:szCs w:val="22"/>
          <w:lang w:eastAsia="x-none"/>
        </w:rPr>
      </w:pPr>
      <w:r>
        <w:rPr>
          <w:rFonts w:cs="Arial"/>
          <w:szCs w:val="22"/>
          <w:lang w:eastAsia="x-none"/>
        </w:rPr>
        <w:t xml:space="preserve">In general, down-weighting or removing C:N from the health index reduces the overall Index, and occasionally causes it to drop to a lower category. However, most of the time the re-calculated score remains within the confidence intervals for the score and is therefore not a ‘significant’ change (Figure 12). The exceptions are in the Fitzroy and Burnett-Mary regions, where the health Index is currently buoyed by a high C:N score due in part to the dominance of </w:t>
      </w:r>
      <w:r w:rsidRPr="007D6C0B">
        <w:rPr>
          <w:rFonts w:cs="Arial"/>
          <w:i/>
          <w:szCs w:val="22"/>
          <w:lang w:eastAsia="x-none"/>
        </w:rPr>
        <w:t>Z. muelleri</w:t>
      </w:r>
      <w:r>
        <w:rPr>
          <w:rFonts w:cs="Arial"/>
          <w:szCs w:val="22"/>
          <w:lang w:eastAsia="x-none"/>
        </w:rPr>
        <w:t xml:space="preserve"> in those regions, which has a higher C:N (and therefore receives a higher rating for that metric) than </w:t>
      </w:r>
      <w:r w:rsidRPr="007D6C0B">
        <w:rPr>
          <w:rFonts w:cs="Arial"/>
          <w:i/>
          <w:szCs w:val="22"/>
          <w:lang w:eastAsia="x-none"/>
        </w:rPr>
        <w:t>H. uninervis</w:t>
      </w:r>
      <w:r>
        <w:rPr>
          <w:rFonts w:cs="Arial"/>
          <w:szCs w:val="22"/>
          <w:lang w:eastAsia="x-none"/>
        </w:rPr>
        <w:t xml:space="preserve"> which dominates in other regions. It is important to note that the reproduction metric (reproductive effort) is also under consideration for review. Any potential changes to the calculation of the Index will consider changes to the other metrics at the same time. </w:t>
      </w:r>
    </w:p>
    <w:p w14:paraId="09117C32" w14:textId="77777777" w:rsidR="00D355BA" w:rsidRDefault="00D355BA" w:rsidP="00D355BA">
      <w:pPr>
        <w:spacing w:before="0" w:after="160" w:line="259" w:lineRule="auto"/>
        <w:rPr>
          <w:rFonts w:cs="Arial"/>
          <w:szCs w:val="22"/>
          <w:lang w:eastAsia="x-none"/>
        </w:rPr>
      </w:pPr>
      <w:r>
        <w:rPr>
          <w:rFonts w:cs="Arial"/>
          <w:szCs w:val="22"/>
          <w:lang w:eastAsia="x-none"/>
        </w:rPr>
        <w:br w:type="page"/>
      </w:r>
    </w:p>
    <w:p w14:paraId="7ED646ED" w14:textId="77777777" w:rsidR="00D355BA" w:rsidRDefault="00D355BA" w:rsidP="00D355BA">
      <w:pPr>
        <w:rPr>
          <w:rFonts w:cs="Arial"/>
          <w:szCs w:val="22"/>
          <w:lang w:eastAsia="x-none"/>
        </w:rPr>
        <w:sectPr w:rsidR="00D355BA" w:rsidSect="0085398A">
          <w:headerReference w:type="even" r:id="rId189"/>
          <w:headerReference w:type="default" r:id="rId190"/>
          <w:footerReference w:type="even" r:id="rId191"/>
          <w:footerReference w:type="default" r:id="rId192"/>
          <w:headerReference w:type="first" r:id="rId193"/>
          <w:footerReference w:type="first" r:id="rId194"/>
          <w:pgSz w:w="11906" w:h="16838"/>
          <w:pgMar w:top="1135" w:right="1418" w:bottom="1418" w:left="1418" w:header="709" w:footer="709" w:gutter="0"/>
          <w:cols w:space="708"/>
          <w:docGrid w:linePitch="360"/>
        </w:sectPr>
      </w:pPr>
    </w:p>
    <w:p w14:paraId="7D6BFE36" w14:textId="77777777" w:rsidR="00D355BA" w:rsidRDefault="00D355BA" w:rsidP="00D355BA">
      <w:pPr>
        <w:rPr>
          <w:rFonts w:cs="Arial"/>
          <w:szCs w:val="22"/>
          <w:lang w:eastAsia="x-none"/>
        </w:rPr>
      </w:pPr>
      <w:r>
        <w:rPr>
          <w:rFonts w:cs="Arial"/>
          <w:noProof/>
          <w:szCs w:val="22"/>
          <w:lang w:eastAsia="en-AU"/>
        </w:rPr>
        <w:lastRenderedPageBreak/>
        <w:drawing>
          <wp:inline distT="0" distB="0" distL="0" distR="0" wp14:anchorId="7B12A73B" wp14:editId="15A684D0">
            <wp:extent cx="7999255" cy="5332836"/>
            <wp:effectExtent l="0" t="0" r="1905" b="1270"/>
            <wp:docPr id="30" name="Picture 30" descr="Panel of 18 graphs, displayed in six by three matrix, illustrating the changes in seagrass health index from the reporting period 2005-06 through to 2018-19 with C:N weighted equally (100%) to abundance and reproductive effort (top), and with a 50% (centre) and 0% weighting (bottom), in each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eagrass_Index per NRM_3scenariosTN.pdf"/>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8127190" cy="5418126"/>
                    </a:xfrm>
                    <a:prstGeom prst="rect">
                      <a:avLst/>
                    </a:prstGeom>
                  </pic:spPr>
                </pic:pic>
              </a:graphicData>
            </a:graphic>
          </wp:inline>
        </w:drawing>
      </w:r>
    </w:p>
    <w:p w14:paraId="3304513C" w14:textId="77777777" w:rsidR="00D355BA" w:rsidRDefault="00D355BA" w:rsidP="00D355BA">
      <w:pPr>
        <w:rPr>
          <w:rFonts w:cs="Arial"/>
          <w:szCs w:val="22"/>
          <w:lang w:eastAsia="x-none"/>
        </w:rPr>
      </w:pPr>
      <w:r>
        <w:rPr>
          <w:rFonts w:cs="Arial"/>
          <w:szCs w:val="22"/>
          <w:lang w:eastAsia="x-none"/>
        </w:rPr>
        <w:t xml:space="preserve">Figure 11.  </w:t>
      </w:r>
      <w:r w:rsidRPr="007B18F7">
        <w:rPr>
          <w:rFonts w:cs="Arial"/>
          <w:i/>
          <w:szCs w:val="22"/>
          <w:lang w:eastAsia="x-none"/>
        </w:rPr>
        <w:t>The seagrass health index from the reporting period 2005-06 through to 2018-19 with C:N weighted equally (100%) to abundance and reproductive effort (top), and with a 50% (centre) and 0% weighting (bottom), in each NRM region.</w:t>
      </w:r>
      <w:r>
        <w:rPr>
          <w:rFonts w:cs="Arial"/>
          <w:szCs w:val="22"/>
          <w:lang w:eastAsia="x-none"/>
        </w:rPr>
        <w:t xml:space="preserve"> </w:t>
      </w:r>
    </w:p>
    <w:p w14:paraId="47AD28C3" w14:textId="77777777" w:rsidR="00D355BA" w:rsidRDefault="00D355BA" w:rsidP="00D355BA">
      <w:pPr>
        <w:rPr>
          <w:rFonts w:cs="Arial"/>
          <w:szCs w:val="22"/>
          <w:lang w:eastAsia="x-none"/>
        </w:rPr>
        <w:sectPr w:rsidR="00D355BA" w:rsidSect="0085398A">
          <w:headerReference w:type="even" r:id="rId196"/>
          <w:headerReference w:type="default" r:id="rId197"/>
          <w:footerReference w:type="even" r:id="rId198"/>
          <w:footerReference w:type="default" r:id="rId199"/>
          <w:headerReference w:type="first" r:id="rId200"/>
          <w:footerReference w:type="first" r:id="rId201"/>
          <w:type w:val="continuous"/>
          <w:pgSz w:w="16838" w:h="11906" w:orient="landscape"/>
          <w:pgMar w:top="1418" w:right="1418" w:bottom="1418" w:left="1134" w:header="709" w:footer="709" w:gutter="0"/>
          <w:cols w:space="708"/>
          <w:docGrid w:linePitch="360"/>
        </w:sectPr>
      </w:pPr>
    </w:p>
    <w:p w14:paraId="5901A2FF" w14:textId="77777777" w:rsidR="00D355BA" w:rsidRDefault="00D355BA" w:rsidP="00D355BA">
      <w:pPr>
        <w:jc w:val="center"/>
        <w:rPr>
          <w:rFonts w:cs="Arial"/>
          <w:szCs w:val="22"/>
          <w:lang w:eastAsia="x-none"/>
        </w:rPr>
      </w:pPr>
      <w:r>
        <w:rPr>
          <w:rFonts w:cs="Arial"/>
          <w:noProof/>
          <w:szCs w:val="22"/>
          <w:lang w:eastAsia="en-AU"/>
        </w:rPr>
        <w:lastRenderedPageBreak/>
        <w:drawing>
          <wp:inline distT="0" distB="0" distL="0" distR="0" wp14:anchorId="3041D523" wp14:editId="689A74AE">
            <wp:extent cx="7245398" cy="4830264"/>
            <wp:effectExtent l="0" t="0" r="0" b="8890"/>
            <wp:docPr id="31" name="Picture 31" descr="Panel of 12 graphs, displayed in six by two matrix, illustrating difference in the seagrass health index when C:N is down-weighted (50%), or removed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eagrass_Index_diff per NRM_3scenariosTN.pdf"/>
                    <pic:cNvPicPr/>
                  </pic:nvPicPr>
                  <pic:blipFill>
                    <a:blip r:embed="rId202">
                      <a:extLst>
                        <a:ext uri="{28A0092B-C50C-407E-A947-70E740481C1C}">
                          <a14:useLocalDpi xmlns:a14="http://schemas.microsoft.com/office/drawing/2010/main" val="0"/>
                        </a:ext>
                      </a:extLst>
                    </a:blip>
                    <a:stretch>
                      <a:fillRect/>
                    </a:stretch>
                  </pic:blipFill>
                  <pic:spPr>
                    <a:xfrm>
                      <a:off x="0" y="0"/>
                      <a:ext cx="7258611" cy="4839073"/>
                    </a:xfrm>
                    <a:prstGeom prst="rect">
                      <a:avLst/>
                    </a:prstGeom>
                  </pic:spPr>
                </pic:pic>
              </a:graphicData>
            </a:graphic>
          </wp:inline>
        </w:drawing>
      </w:r>
    </w:p>
    <w:p w14:paraId="2ED6E887" w14:textId="77777777" w:rsidR="00D355BA" w:rsidRDefault="00D355BA" w:rsidP="00D355BA">
      <w:pPr>
        <w:rPr>
          <w:rFonts w:cs="Arial"/>
          <w:i/>
          <w:szCs w:val="22"/>
          <w:lang w:eastAsia="x-none"/>
        </w:rPr>
      </w:pPr>
      <w:r>
        <w:rPr>
          <w:rFonts w:cs="Arial"/>
          <w:szCs w:val="22"/>
          <w:lang w:eastAsia="x-none"/>
        </w:rPr>
        <w:t xml:space="preserve">Figure 12. </w:t>
      </w:r>
      <w:r w:rsidRPr="007B18F7">
        <w:rPr>
          <w:rFonts w:cs="Arial"/>
          <w:i/>
          <w:szCs w:val="22"/>
          <w:lang w:eastAsia="x-none"/>
        </w:rPr>
        <w:t>Difference in the seagrass health index when C:N is down</w:t>
      </w:r>
      <w:r>
        <w:rPr>
          <w:rFonts w:cs="Arial"/>
          <w:i/>
          <w:szCs w:val="22"/>
          <w:lang w:eastAsia="x-none"/>
        </w:rPr>
        <w:t>-</w:t>
      </w:r>
      <w:r w:rsidRPr="007B18F7">
        <w:rPr>
          <w:rFonts w:cs="Arial"/>
          <w:i/>
          <w:szCs w:val="22"/>
          <w:lang w:eastAsia="x-none"/>
        </w:rPr>
        <w:t xml:space="preserve">weighted (50%), or removed (0%). Grey shaded areas are the confidence intervals (error bars) from the original index in Figure </w:t>
      </w:r>
      <w:r>
        <w:rPr>
          <w:rFonts w:cs="Arial"/>
          <w:i/>
          <w:szCs w:val="22"/>
          <w:lang w:eastAsia="x-none"/>
        </w:rPr>
        <w:t>11</w:t>
      </w:r>
      <w:r w:rsidRPr="007B18F7">
        <w:rPr>
          <w:rFonts w:cs="Arial"/>
          <w:i/>
          <w:szCs w:val="22"/>
          <w:lang w:eastAsia="x-none"/>
        </w:rPr>
        <w:t>. Green is for when the index remains within the intervals and red for when the calculation falls outside of the intervals.</w:t>
      </w:r>
    </w:p>
    <w:p w14:paraId="05A35F5C" w14:textId="77777777" w:rsidR="00D355BA" w:rsidRDefault="00D355BA" w:rsidP="00D355BA">
      <w:pPr>
        <w:spacing w:before="0" w:after="160" w:line="259" w:lineRule="auto"/>
        <w:rPr>
          <w:rFonts w:cs="Arial"/>
          <w:i/>
          <w:szCs w:val="22"/>
          <w:lang w:eastAsia="x-none"/>
        </w:rPr>
        <w:sectPr w:rsidR="00D355BA" w:rsidSect="0085398A">
          <w:headerReference w:type="even" r:id="rId203"/>
          <w:headerReference w:type="default" r:id="rId204"/>
          <w:footerReference w:type="even" r:id="rId205"/>
          <w:footerReference w:type="default" r:id="rId206"/>
          <w:headerReference w:type="first" r:id="rId207"/>
          <w:footerReference w:type="first" r:id="rId208"/>
          <w:type w:val="continuous"/>
          <w:pgSz w:w="16838" w:h="11906" w:orient="landscape"/>
          <w:pgMar w:top="1418" w:right="1418" w:bottom="1418" w:left="1134" w:header="709" w:footer="709" w:gutter="0"/>
          <w:cols w:space="708"/>
          <w:docGrid w:linePitch="360"/>
        </w:sectPr>
      </w:pPr>
    </w:p>
    <w:p w14:paraId="678DF781" w14:textId="77777777" w:rsidR="00D355BA" w:rsidRPr="001F0E92" w:rsidRDefault="00D355BA" w:rsidP="00D355BA">
      <w:pPr>
        <w:pStyle w:val="Heading3"/>
        <w:numPr>
          <w:ilvl w:val="0"/>
          <w:numId w:val="0"/>
        </w:numPr>
      </w:pPr>
      <w:bookmarkStart w:id="856" w:name="_Toc28249477"/>
      <w:bookmarkStart w:id="857" w:name="_Toc43987114"/>
      <w:r w:rsidRPr="001F0E92">
        <w:lastRenderedPageBreak/>
        <w:t>Conclusions</w:t>
      </w:r>
      <w:bookmarkEnd w:id="856"/>
      <w:bookmarkEnd w:id="857"/>
    </w:p>
    <w:p w14:paraId="4C5CFAB6" w14:textId="77777777" w:rsidR="00D355BA" w:rsidRDefault="00D355BA" w:rsidP="00D355BA">
      <w:pPr>
        <w:rPr>
          <w:rFonts w:cs="Arial"/>
          <w:szCs w:val="22"/>
          <w:lang w:eastAsia="x-none"/>
        </w:rPr>
      </w:pPr>
      <w:r w:rsidRPr="004A409C">
        <w:rPr>
          <w:rFonts w:cs="Arial"/>
          <w:szCs w:val="22"/>
          <w:lang w:eastAsia="x-none"/>
        </w:rPr>
        <w:t xml:space="preserve">Seagrass leaf C:N at inshore seagrass monitoring sites within the MMP is generally highly variable and influenced by daily light and predicted </w:t>
      </w:r>
      <w:r>
        <w:rPr>
          <w:rFonts w:cs="Arial"/>
          <w:szCs w:val="22"/>
          <w:lang w:eastAsia="x-none"/>
        </w:rPr>
        <w:t xml:space="preserve">relative </w:t>
      </w:r>
      <w:r w:rsidRPr="004A409C">
        <w:rPr>
          <w:rFonts w:cs="Arial"/>
          <w:szCs w:val="22"/>
          <w:lang w:eastAsia="x-none"/>
        </w:rPr>
        <w:t xml:space="preserve">DIN loads in different ways depending on species, habitat and region. </w:t>
      </w:r>
      <w:r>
        <w:rPr>
          <w:rFonts w:cs="Arial"/>
          <w:szCs w:val="22"/>
          <w:lang w:eastAsia="x-none"/>
        </w:rPr>
        <w:t>It is an expected finding that habitat and region influences how C:N responds to water quality. However, the high complexity of the interactions, and the counter-intuitive or non-significant relationship between C:N and DIN and light in some habitats and regions makes it difficult to confidently interpret C:N as an indicator of water quality. For example, i</w:t>
      </w:r>
      <w:r w:rsidRPr="004A409C">
        <w:rPr>
          <w:rFonts w:cs="Arial"/>
          <w:szCs w:val="22"/>
          <w:lang w:eastAsia="x-none"/>
        </w:rPr>
        <w:t>n coastal habitats, there were clear and predictable effects of light and DIN loads on C:N within the Wet Tropics, Burdekin and Mackay</w:t>
      </w:r>
      <w:r>
        <w:rPr>
          <w:rFonts w:cs="Arial"/>
          <w:szCs w:val="22"/>
          <w:lang w:eastAsia="x-none"/>
        </w:rPr>
        <w:t>-</w:t>
      </w:r>
      <w:r w:rsidRPr="004A409C">
        <w:rPr>
          <w:rFonts w:cs="Arial"/>
          <w:szCs w:val="22"/>
          <w:lang w:eastAsia="x-none"/>
        </w:rPr>
        <w:t>Whitsunday</w:t>
      </w:r>
      <w:r>
        <w:rPr>
          <w:rFonts w:cs="Arial"/>
          <w:szCs w:val="22"/>
          <w:lang w:eastAsia="x-none"/>
        </w:rPr>
        <w:t>,</w:t>
      </w:r>
      <w:r w:rsidRPr="004A409C">
        <w:rPr>
          <w:rFonts w:cs="Arial"/>
          <w:szCs w:val="22"/>
          <w:lang w:eastAsia="x-none"/>
        </w:rPr>
        <w:t xml:space="preserve"> but this trend was not observed for other habitats, or when exploring results on species separately. </w:t>
      </w:r>
    </w:p>
    <w:p w14:paraId="260AF2B5" w14:textId="77777777" w:rsidR="00D355BA" w:rsidRDefault="00D355BA" w:rsidP="00D355BA">
      <w:pPr>
        <w:rPr>
          <w:rFonts w:cs="Arial"/>
          <w:szCs w:val="22"/>
          <w:lang w:eastAsia="x-none"/>
        </w:rPr>
      </w:pPr>
      <w:r w:rsidRPr="004A409C">
        <w:rPr>
          <w:rFonts w:cs="Arial"/>
          <w:szCs w:val="22"/>
          <w:lang w:eastAsia="x-none"/>
        </w:rPr>
        <w:t xml:space="preserve">Furthermore, C:N does not appear to relate to future changes in seagrass abundance. </w:t>
      </w:r>
      <w:r>
        <w:rPr>
          <w:rFonts w:cs="Arial"/>
          <w:szCs w:val="22"/>
          <w:lang w:eastAsia="x-none"/>
        </w:rPr>
        <w:t xml:space="preserve">In all habitats and regions, there was no correlation between C:N and the change in seagrass cover over the following year. The exception was for the coastal sites in the Burdekin region, in which higher C:N was strongly associated with greater seagrass loss, which is counter to the findings from previous experimental studies (McMahon et al 2013). Therefore, C:N is not an ‘early-warning’ indicator of imminent seagrass decline, at least not when applied over the time-scales used here. </w:t>
      </w:r>
    </w:p>
    <w:p w14:paraId="0D0DD463" w14:textId="77777777" w:rsidR="00D355BA" w:rsidRDefault="00D355BA" w:rsidP="00D355BA">
      <w:pPr>
        <w:rPr>
          <w:rFonts w:cs="Arial"/>
          <w:szCs w:val="22"/>
          <w:lang w:eastAsia="x-none"/>
        </w:rPr>
      </w:pPr>
      <w:r>
        <w:rPr>
          <w:rFonts w:cs="Arial"/>
          <w:szCs w:val="22"/>
          <w:lang w:eastAsia="x-none"/>
        </w:rPr>
        <w:t xml:space="preserve">Tissue nutrients, including but not limited to </w:t>
      </w:r>
      <w:r w:rsidRPr="004A409C">
        <w:rPr>
          <w:rFonts w:cs="Arial"/>
          <w:szCs w:val="22"/>
          <w:lang w:eastAsia="x-none"/>
        </w:rPr>
        <w:t xml:space="preserve">C:N is used as an indicator of ecosystem health elsewhere in the world including in the USA and in Europe </w:t>
      </w:r>
      <w:r>
        <w:rPr>
          <w:rFonts w:cs="Arial"/>
          <w:szCs w:val="22"/>
          <w:lang w:eastAsia="x-none"/>
        </w:rPr>
        <w:t>(</w:t>
      </w:r>
      <w:r w:rsidRPr="004A409C">
        <w:rPr>
          <w:rFonts w:cs="Arial"/>
          <w:szCs w:val="22"/>
          <w:lang w:eastAsia="x-none"/>
        </w:rPr>
        <w:t>Duarte 1990a; Fourqurean et al. 2003; Roca et al. 2016</w:t>
      </w:r>
      <w:r>
        <w:rPr>
          <w:rFonts w:cs="Arial"/>
          <w:szCs w:val="22"/>
          <w:lang w:eastAsia="x-none"/>
        </w:rPr>
        <w:t>)</w:t>
      </w:r>
      <w:r w:rsidRPr="004A409C">
        <w:rPr>
          <w:rFonts w:cs="Arial"/>
          <w:szCs w:val="22"/>
          <w:lang w:eastAsia="x-none"/>
        </w:rPr>
        <w:t xml:space="preserve"> and is sensitive to variable conditions in both </w:t>
      </w:r>
      <w:r w:rsidRPr="00FC4B3F">
        <w:rPr>
          <w:rFonts w:cs="Arial"/>
          <w:i/>
          <w:szCs w:val="22"/>
          <w:lang w:eastAsia="x-none"/>
        </w:rPr>
        <w:t>in-situ</w:t>
      </w:r>
      <w:r w:rsidRPr="004A409C">
        <w:rPr>
          <w:rFonts w:cs="Arial"/>
          <w:szCs w:val="22"/>
          <w:lang w:eastAsia="x-none"/>
        </w:rPr>
        <w:t xml:space="preserve"> and experimental studies </w:t>
      </w:r>
      <w:r>
        <w:rPr>
          <w:rFonts w:cs="Arial"/>
          <w:szCs w:val="22"/>
          <w:lang w:eastAsia="x-none"/>
        </w:rPr>
        <w:t>(</w:t>
      </w:r>
      <w:r w:rsidRPr="004A409C">
        <w:rPr>
          <w:rFonts w:cs="Arial"/>
          <w:szCs w:val="22"/>
          <w:lang w:eastAsia="x-none"/>
        </w:rPr>
        <w:t>Grice et al. 1996b; Collier et al. 2009a; Cabaço et al. 2013</w:t>
      </w:r>
      <w:r>
        <w:rPr>
          <w:rFonts w:cs="Arial"/>
          <w:szCs w:val="22"/>
          <w:lang w:eastAsia="x-none"/>
        </w:rPr>
        <w:t>)</w:t>
      </w:r>
      <w:r w:rsidRPr="004A409C">
        <w:rPr>
          <w:rFonts w:cs="Arial"/>
          <w:szCs w:val="22"/>
          <w:lang w:eastAsia="x-none"/>
        </w:rPr>
        <w:t xml:space="preserve">. </w:t>
      </w:r>
      <w:r>
        <w:rPr>
          <w:rFonts w:cs="Arial"/>
          <w:szCs w:val="22"/>
          <w:lang w:eastAsia="x-none"/>
        </w:rPr>
        <w:t xml:space="preserve">Therefore, it was selected by the integration team as one of three indicators for scoring seagrass health for the Reef report card, which initially focused on water quality improvement in the Reef, based on management activities within Reef catchments. </w:t>
      </w:r>
      <w:r w:rsidRPr="004A409C">
        <w:rPr>
          <w:rFonts w:cs="Arial"/>
          <w:szCs w:val="22"/>
          <w:lang w:eastAsia="x-none"/>
        </w:rPr>
        <w:t xml:space="preserve">In the </w:t>
      </w:r>
      <w:r>
        <w:rPr>
          <w:rFonts w:cs="Arial"/>
          <w:szCs w:val="22"/>
          <w:lang w:eastAsia="x-none"/>
        </w:rPr>
        <w:t>Reef</w:t>
      </w:r>
      <w:r w:rsidRPr="004A409C">
        <w:rPr>
          <w:rFonts w:cs="Arial"/>
          <w:szCs w:val="22"/>
          <w:lang w:eastAsia="x-none"/>
        </w:rPr>
        <w:t xml:space="preserve">, the seagrass diversity as well as the complexity of environmental and biological drivers of seagrass condition and of C:N appears to overshadow the effect of the water quality variables used in these models. </w:t>
      </w:r>
      <w:r>
        <w:rPr>
          <w:rFonts w:cs="Arial"/>
          <w:szCs w:val="22"/>
          <w:lang w:eastAsia="x-none"/>
        </w:rPr>
        <w:t xml:space="preserve">Furthermore, </w:t>
      </w:r>
      <w:r w:rsidRPr="00250B8F">
        <w:rPr>
          <w:rFonts w:cs="Arial"/>
          <w:szCs w:val="22"/>
          <w:lang w:eastAsia="x-none"/>
        </w:rPr>
        <w:t>C</w:t>
      </w:r>
      <w:r>
        <w:rPr>
          <w:rFonts w:cs="Arial"/>
          <w:szCs w:val="22"/>
          <w:lang w:eastAsia="x-none"/>
        </w:rPr>
        <w:t>:</w:t>
      </w:r>
      <w:r w:rsidRPr="00250B8F">
        <w:rPr>
          <w:rFonts w:cs="Arial"/>
          <w:szCs w:val="22"/>
          <w:lang w:eastAsia="x-none"/>
        </w:rPr>
        <w:t xml:space="preserve">N is measured once per year in the growth season while the response time of the </w:t>
      </w:r>
      <w:r w:rsidRPr="00250B8F">
        <w:rPr>
          <w:rFonts w:cs="Arial"/>
          <w:szCs w:val="22"/>
          <w:lang w:eastAsia="x-none"/>
        </w:rPr>
        <w:lastRenderedPageBreak/>
        <w:t xml:space="preserve">indicator is weeks to months (McMahon et al 2013, Roca et al. 2016). This annual reporting time-frame may not be suitable for this indicator. </w:t>
      </w:r>
      <w:r>
        <w:rPr>
          <w:rFonts w:cs="Arial"/>
          <w:szCs w:val="22"/>
          <w:lang w:eastAsia="x-none"/>
        </w:rPr>
        <w:t xml:space="preserve">However, over 15 years of annual tissue nutrient sampling, a substantial ‘base-line’ C:N has been developed for comparison to global averages (Figure 2 and 3) and which could be used for tracking long-term changes in nutrient availability over time. </w:t>
      </w:r>
    </w:p>
    <w:p w14:paraId="66998A24" w14:textId="77777777" w:rsidR="00D355BA" w:rsidRDefault="00D355BA" w:rsidP="00D355BA">
      <w:pPr>
        <w:rPr>
          <w:rFonts w:cs="Arial"/>
          <w:szCs w:val="22"/>
          <w:lang w:eastAsia="x-none"/>
        </w:rPr>
      </w:pPr>
      <w:r>
        <w:rPr>
          <w:rFonts w:cs="Arial"/>
          <w:szCs w:val="22"/>
          <w:lang w:eastAsia="x-none"/>
        </w:rPr>
        <w:t xml:space="preserve">The inconsistent and unpredictable response of C:N to water quality may be related to the lack of variation in the predictor variables used (relative DIN loads and benthic light), and the way they were summarised for analysis. </w:t>
      </w:r>
      <w:r w:rsidRPr="004A409C">
        <w:rPr>
          <w:rFonts w:cs="Arial"/>
          <w:szCs w:val="22"/>
          <w:lang w:eastAsia="x-none"/>
        </w:rPr>
        <w:t xml:space="preserve">Aside from benthic light levels, there is no water quality data that is available at a proximity and scale that is ideal for the seagrass sites in the MMP, and so we have relied on coarse-scale DIN </w:t>
      </w:r>
      <w:r>
        <w:rPr>
          <w:rFonts w:cs="Arial"/>
          <w:szCs w:val="22"/>
          <w:lang w:eastAsia="x-none"/>
        </w:rPr>
        <w:t>exposure</w:t>
      </w:r>
      <w:r w:rsidRPr="004A409C">
        <w:rPr>
          <w:rFonts w:cs="Arial"/>
          <w:szCs w:val="22"/>
          <w:lang w:eastAsia="x-none"/>
        </w:rPr>
        <w:t xml:space="preserve"> and </w:t>
      </w:r>
      <w:r w:rsidRPr="00040EC8">
        <w:rPr>
          <w:rFonts w:cs="Arial"/>
          <w:i/>
          <w:szCs w:val="22"/>
          <w:lang w:eastAsia="x-none"/>
        </w:rPr>
        <w:t>in situ</w:t>
      </w:r>
      <w:r w:rsidRPr="004A409C">
        <w:rPr>
          <w:rFonts w:cs="Arial"/>
          <w:szCs w:val="22"/>
          <w:lang w:eastAsia="x-none"/>
        </w:rPr>
        <w:t xml:space="preserve"> water quality from nearby sites.</w:t>
      </w:r>
      <w:r>
        <w:rPr>
          <w:rFonts w:cs="Arial"/>
          <w:szCs w:val="22"/>
          <w:lang w:eastAsia="x-none"/>
        </w:rPr>
        <w:t xml:space="preserve"> DIN loads did not vary much in several of the habitats and regions, in particular in the Wet Tropics, Fitzroy and Burnett-Mary regions. Loads from these rivers do vary over time (Griber et al 2020), but the predicted load reaching seagrass sites is affected by proximity to the river (some are very close, while others are very distant from the rivers) as well as assumptions in the model about dispersion (Gruber et al 2020). The loading models are in the process of being updated, including updates to the dispersion. </w:t>
      </w:r>
    </w:p>
    <w:p w14:paraId="2B557F6A" w14:textId="77777777" w:rsidR="00D355BA" w:rsidRDefault="00D355BA" w:rsidP="00D355BA">
      <w:pPr>
        <w:rPr>
          <w:rFonts w:cs="Arial"/>
          <w:szCs w:val="22"/>
          <w:lang w:eastAsia="x-none"/>
        </w:rPr>
      </w:pPr>
      <w:r>
        <w:rPr>
          <w:rFonts w:cs="Arial"/>
          <w:szCs w:val="22"/>
          <w:lang w:eastAsia="x-none"/>
        </w:rPr>
        <w:t xml:space="preserve">Another reason for the low range may be due to the method of summarising the variables over annual time frames (annual loads, annual average benthic light), which was necessary to match the C:N data measured in the late dry (September – November) to load data from the previous wet season. </w:t>
      </w:r>
      <w:r w:rsidRPr="004A409C">
        <w:rPr>
          <w:rFonts w:cs="Arial"/>
          <w:szCs w:val="22"/>
          <w:lang w:eastAsia="x-none"/>
        </w:rPr>
        <w:t>Even benthic light, while measured within the seagrass habitat, has been averaged to a coarse level (annual average benthic light levels) in an attempt to span the range of other data (DIN loads in previous wet season, December to April), and the C:N which is collected in the following dry season (either September or October). Therefore, the complexity of responses in C:N relative to water quality parameters may also be affected by the suitability of the predictor variables used in the models here.</w:t>
      </w:r>
    </w:p>
    <w:p w14:paraId="0A05D469" w14:textId="77777777" w:rsidR="00D355BA" w:rsidRDefault="00D355BA" w:rsidP="00D355BA">
      <w:pPr>
        <w:rPr>
          <w:rFonts w:cs="Arial"/>
          <w:szCs w:val="22"/>
          <w:lang w:eastAsia="x-none"/>
        </w:rPr>
      </w:pPr>
      <w:r>
        <w:rPr>
          <w:rFonts w:cs="Arial"/>
          <w:szCs w:val="22"/>
          <w:lang w:eastAsia="x-none"/>
        </w:rPr>
        <w:t>In</w:t>
      </w:r>
      <w:r w:rsidRPr="004A409C">
        <w:rPr>
          <w:rFonts w:cs="Arial"/>
          <w:szCs w:val="22"/>
          <w:lang w:eastAsia="x-none"/>
        </w:rPr>
        <w:t xml:space="preserve"> some cases we have undertaken only preliminary exploratory analysis i.e. with the </w:t>
      </w:r>
      <w:r w:rsidRPr="00EE2F3F">
        <w:rPr>
          <w:rFonts w:cs="Arial"/>
          <w:i/>
          <w:szCs w:val="22"/>
          <w:lang w:eastAsia="x-none"/>
        </w:rPr>
        <w:t>in situ</w:t>
      </w:r>
      <w:r w:rsidRPr="004A409C">
        <w:rPr>
          <w:rFonts w:cs="Arial"/>
          <w:szCs w:val="22"/>
          <w:lang w:eastAsia="x-none"/>
        </w:rPr>
        <w:t xml:space="preserve"> water quality data. These analyses could be explored in more </w:t>
      </w:r>
      <w:r w:rsidRPr="004A409C">
        <w:rPr>
          <w:rFonts w:cs="Arial"/>
          <w:szCs w:val="22"/>
          <w:lang w:eastAsia="x-none"/>
        </w:rPr>
        <w:lastRenderedPageBreak/>
        <w:t xml:space="preserve">detail, and could include analysis of C:P and N:P, and any other available nutrient data (e.g. historical sediment nutrient data, eReefs predicted loads, updated loading model results). </w:t>
      </w:r>
    </w:p>
    <w:p w14:paraId="1CB27DE3" w14:textId="77777777" w:rsidR="00D355BA" w:rsidRDefault="00D355BA" w:rsidP="00D355BA">
      <w:pPr>
        <w:rPr>
          <w:rFonts w:cs="Arial"/>
          <w:szCs w:val="22"/>
          <w:lang w:eastAsia="x-none"/>
        </w:rPr>
      </w:pPr>
      <w:r w:rsidRPr="004A409C">
        <w:rPr>
          <w:rFonts w:cs="Arial"/>
          <w:szCs w:val="22"/>
          <w:lang w:eastAsia="x-none"/>
        </w:rPr>
        <w:t xml:space="preserve">This analysis </w:t>
      </w:r>
      <w:r>
        <w:rPr>
          <w:rFonts w:cs="Arial"/>
          <w:szCs w:val="22"/>
          <w:lang w:eastAsia="x-none"/>
        </w:rPr>
        <w:t xml:space="preserve">has made us reconsider the relevance and reliability </w:t>
      </w:r>
      <w:r w:rsidRPr="004A409C">
        <w:rPr>
          <w:rFonts w:cs="Arial"/>
          <w:szCs w:val="22"/>
          <w:lang w:eastAsia="x-none"/>
        </w:rPr>
        <w:t xml:space="preserve">of retaining </w:t>
      </w:r>
      <w:r>
        <w:rPr>
          <w:rFonts w:cs="Arial"/>
          <w:szCs w:val="22"/>
          <w:lang w:eastAsia="x-none"/>
        </w:rPr>
        <w:t xml:space="preserve">the </w:t>
      </w:r>
      <w:r w:rsidRPr="004A409C">
        <w:rPr>
          <w:rFonts w:cs="Arial"/>
          <w:szCs w:val="22"/>
          <w:lang w:eastAsia="x-none"/>
        </w:rPr>
        <w:t>C:N</w:t>
      </w:r>
      <w:r>
        <w:rPr>
          <w:rFonts w:cs="Arial"/>
          <w:szCs w:val="22"/>
          <w:lang w:eastAsia="x-none"/>
        </w:rPr>
        <w:t xml:space="preserve"> ratio as a metric with equal weight into the reef health Index calculation</w:t>
      </w:r>
    </w:p>
    <w:p w14:paraId="06943AB8" w14:textId="3480638D" w:rsidR="00D355BA" w:rsidRDefault="00D355BA" w:rsidP="00D355BA">
      <w:pPr>
        <w:spacing w:before="0" w:after="160" w:line="259" w:lineRule="auto"/>
        <w:rPr>
          <w:rFonts w:cs="Arial"/>
          <w:szCs w:val="22"/>
          <w:lang w:eastAsia="x-none"/>
        </w:rPr>
      </w:pPr>
    </w:p>
    <w:p w14:paraId="7F9D62BB" w14:textId="77777777" w:rsidR="00D355BA" w:rsidRDefault="00D355BA" w:rsidP="00D355BA">
      <w:pPr>
        <w:rPr>
          <w:rFonts w:cs="Arial"/>
          <w:szCs w:val="22"/>
          <w:lang w:eastAsia="x-none"/>
        </w:rPr>
        <w:sectPr w:rsidR="00D355BA" w:rsidSect="0085398A">
          <w:headerReference w:type="even" r:id="rId209"/>
          <w:headerReference w:type="default" r:id="rId210"/>
          <w:footerReference w:type="even" r:id="rId211"/>
          <w:footerReference w:type="default" r:id="rId212"/>
          <w:headerReference w:type="first" r:id="rId213"/>
          <w:footerReference w:type="first" r:id="rId214"/>
          <w:type w:val="continuous"/>
          <w:pgSz w:w="11906" w:h="16838"/>
          <w:pgMar w:top="1134" w:right="1418" w:bottom="1418" w:left="1418" w:header="709" w:footer="709" w:gutter="0"/>
          <w:cols w:space="708"/>
          <w:docGrid w:linePitch="360"/>
        </w:sectPr>
      </w:pPr>
    </w:p>
    <w:p w14:paraId="53E1A17C" w14:textId="77777777" w:rsidR="00D355BA" w:rsidRDefault="00D355BA" w:rsidP="00D355BA">
      <w:pPr>
        <w:rPr>
          <w:rFonts w:cs="Arial"/>
          <w:szCs w:val="22"/>
          <w:lang w:eastAsia="x-none"/>
        </w:rPr>
        <w:sectPr w:rsidR="00D355BA" w:rsidSect="0085398A">
          <w:headerReference w:type="even" r:id="rId215"/>
          <w:headerReference w:type="default" r:id="rId216"/>
          <w:footerReference w:type="even" r:id="rId217"/>
          <w:footerReference w:type="default" r:id="rId218"/>
          <w:headerReference w:type="first" r:id="rId219"/>
          <w:footerReference w:type="first" r:id="rId220"/>
          <w:type w:val="continuous"/>
          <w:pgSz w:w="11906" w:h="16838"/>
          <w:pgMar w:top="1134" w:right="1418" w:bottom="1418" w:left="1418" w:header="709" w:footer="709" w:gutter="0"/>
          <w:cols w:space="708"/>
          <w:docGrid w:linePitch="360"/>
        </w:sectPr>
      </w:pPr>
    </w:p>
    <w:p w14:paraId="11FCEE23" w14:textId="77777777" w:rsidR="00D355BA" w:rsidRPr="001F0E92" w:rsidRDefault="00D355BA" w:rsidP="00D355BA">
      <w:pPr>
        <w:pStyle w:val="Heading3"/>
        <w:numPr>
          <w:ilvl w:val="0"/>
          <w:numId w:val="0"/>
        </w:numPr>
      </w:pPr>
      <w:bookmarkStart w:id="858" w:name="_Toc37775132"/>
      <w:bookmarkStart w:id="859" w:name="_Toc43987115"/>
      <w:r w:rsidRPr="001F0E92">
        <w:lastRenderedPageBreak/>
        <w:t>References</w:t>
      </w:r>
      <w:bookmarkEnd w:id="858"/>
      <w:bookmarkEnd w:id="859"/>
    </w:p>
    <w:p w14:paraId="2F487142" w14:textId="77777777" w:rsidR="00D355BA" w:rsidRPr="000E4B94" w:rsidRDefault="00D355BA" w:rsidP="00D355BA">
      <w:pPr>
        <w:spacing w:after="0"/>
        <w:ind w:left="720" w:hanging="720"/>
      </w:pPr>
      <w:r w:rsidRPr="000E4B94">
        <w:rPr>
          <w:rFonts w:cs="Arial"/>
          <w:szCs w:val="22"/>
        </w:rPr>
        <w:t xml:space="preserve">Atkinson, M.J. and Smith, S.V. 1983, C:N:P ratios of benthic marine plants. </w:t>
      </w:r>
      <w:r w:rsidRPr="000E4B94">
        <w:rPr>
          <w:rFonts w:cs="Arial"/>
          <w:i/>
          <w:szCs w:val="22"/>
        </w:rPr>
        <w:t xml:space="preserve">Limnology and Oceanography, </w:t>
      </w:r>
      <w:r w:rsidRPr="000E4B94">
        <w:rPr>
          <w:rFonts w:cs="Arial"/>
          <w:szCs w:val="22"/>
        </w:rPr>
        <w:t>28(3): 568-574</w:t>
      </w:r>
      <w:r w:rsidRPr="00C201F2">
        <w:t xml:space="preserve">. </w:t>
      </w:r>
    </w:p>
    <w:p w14:paraId="092DC1D4" w14:textId="77777777" w:rsidR="00D355BA" w:rsidRPr="001F0E92" w:rsidRDefault="00D355BA" w:rsidP="00D355BA">
      <w:pPr>
        <w:ind w:left="567" w:hanging="567"/>
        <w:contextualSpacing/>
        <w:rPr>
          <w:rFonts w:cs="Arial"/>
          <w:szCs w:val="22"/>
          <w:lang w:val="en-GB"/>
        </w:rPr>
      </w:pPr>
      <w:r w:rsidRPr="001F0E92">
        <w:rPr>
          <w:rFonts w:cs="Arial"/>
          <w:szCs w:val="22"/>
          <w:lang w:val="en-GB"/>
        </w:rPr>
        <w:t>Bainbridge, Z. T., S. Lewis, R. Bartley, K. Fabricius, C. Collier, J. Waterhouse, A. Garzon-Garcia, B. Robson, J. Burton, A. Wenger and J. Brodie (2018) "Fine sediment and particulate organic matter: a review and case study on ridge-to-reef transport, transformations, fates and impacts on marine ecosystems." Marine Pollution Bulletin 135 DOI: https://doi.org/10.1016/j.marpolbul.2018.08.002.</w:t>
      </w:r>
    </w:p>
    <w:p w14:paraId="3B71951E" w14:textId="77777777" w:rsidR="00D355BA" w:rsidRPr="001F0E92" w:rsidRDefault="00D355BA" w:rsidP="00D355BA">
      <w:pPr>
        <w:ind w:left="567" w:hanging="567"/>
        <w:contextualSpacing/>
        <w:rPr>
          <w:rFonts w:cs="Arial"/>
          <w:szCs w:val="22"/>
          <w:lang w:val="en-GB"/>
        </w:rPr>
      </w:pPr>
      <w:r w:rsidRPr="001F0E92">
        <w:rPr>
          <w:rFonts w:cs="Arial"/>
          <w:szCs w:val="22"/>
          <w:lang w:val="en-GB"/>
        </w:rPr>
        <w:t>Brodersen, K. E., K. J. Hammer, V. Schrameyer, A. Floytrup, M. A. Rasheed, P. J. Ralph, M. Kühl and O. Pedersen (2017). "Sediment Resuspension and Deposition on Seagrass Leaves Impedes Internal Plant Aeration and Promotes Phytotoxic H2S Intrusion." Frontiers in Plant Science 8(657).</w:t>
      </w:r>
    </w:p>
    <w:p w14:paraId="0F727518" w14:textId="77777777" w:rsidR="00D355BA" w:rsidRPr="001F0E92" w:rsidRDefault="00D355BA" w:rsidP="00D355BA">
      <w:pPr>
        <w:ind w:left="567" w:hanging="567"/>
        <w:contextualSpacing/>
        <w:rPr>
          <w:rFonts w:cs="Arial"/>
          <w:szCs w:val="22"/>
          <w:lang w:val="en-GB"/>
        </w:rPr>
      </w:pPr>
      <w:r w:rsidRPr="001F0E92">
        <w:rPr>
          <w:rFonts w:cs="Arial"/>
          <w:szCs w:val="22"/>
          <w:lang w:val="en-GB"/>
        </w:rPr>
        <w:t>Brodersen, K. E., D. A. Nielsen, P. J. Ralph and M. Kühl (2015). "Oxic microshield and local pH enhancement protects Zostera muelleri from sediment derived hydrogen sulphide." New Phytologist 205(3): 1264-1276.</w:t>
      </w:r>
    </w:p>
    <w:p w14:paraId="3502E15A" w14:textId="77777777" w:rsidR="00D355BA" w:rsidRPr="001F0E92" w:rsidRDefault="00D355BA" w:rsidP="00D355BA">
      <w:pPr>
        <w:ind w:left="567" w:hanging="567"/>
        <w:contextualSpacing/>
        <w:rPr>
          <w:rFonts w:cs="Arial"/>
          <w:szCs w:val="22"/>
          <w:lang w:val="en-GB"/>
        </w:rPr>
      </w:pPr>
      <w:r w:rsidRPr="001F0E92">
        <w:rPr>
          <w:rFonts w:cs="Arial"/>
          <w:szCs w:val="22"/>
          <w:lang w:val="en-GB"/>
        </w:rPr>
        <w:t>Burkholder, J. M., D. A. Tomasko and B. W. Touchette (2007). "Seagrasses and eutrophication." Journal of Experimental Marine Biology and Ecology 350(1–2): 46-72.</w:t>
      </w:r>
    </w:p>
    <w:p w14:paraId="4A8C060C" w14:textId="77777777" w:rsidR="00D355BA" w:rsidRPr="001F0E92" w:rsidRDefault="00D355BA" w:rsidP="00D355BA">
      <w:pPr>
        <w:ind w:left="567" w:hanging="567"/>
        <w:contextualSpacing/>
        <w:rPr>
          <w:rFonts w:cs="Arial"/>
          <w:szCs w:val="22"/>
          <w:lang w:val="en-GB"/>
        </w:rPr>
      </w:pPr>
      <w:r w:rsidRPr="001F0E92">
        <w:rPr>
          <w:rFonts w:cs="Arial"/>
          <w:szCs w:val="22"/>
          <w:lang w:val="en-GB"/>
        </w:rPr>
        <w:t>Cabaço, S., E. T. Apostolaki, P. García-Marín, R. Gruber, I. Hernández, B. Martínez-Crego, O. Mascaró, M. Pérez, A. Prathep, C. Robinson, J. Romero, A. L. Schmidt, F. T. Short, B. I. van Tussenbroek and R. Santos (2013). "Effects of nutrient enrichment on seagrass population dynamics: evidence and synthesis from the biomass–density relationships." Journal of Ecology 101(6): 1552-1562.</w:t>
      </w:r>
    </w:p>
    <w:p w14:paraId="78D0D7B8" w14:textId="77777777" w:rsidR="00D355BA" w:rsidRDefault="00D355BA" w:rsidP="00D355BA">
      <w:pPr>
        <w:ind w:left="567" w:hanging="567"/>
        <w:contextualSpacing/>
        <w:rPr>
          <w:rFonts w:cs="Arial"/>
          <w:szCs w:val="22"/>
          <w:lang w:val="en-GB"/>
        </w:rPr>
      </w:pPr>
      <w:r w:rsidRPr="001F0E92">
        <w:rPr>
          <w:rFonts w:cs="Arial"/>
          <w:szCs w:val="22"/>
          <w:lang w:val="en-GB"/>
        </w:rPr>
        <w:t>Cambridge, M. L., A. W. Chiffings, C. Brittain, L. Moore and A. J. McComb (1986). "The loss of seagrass in Cockburn Sound, Western Australia. II. Possible causes of seagrass decline." Aquatic Botany 24: 269-285.</w:t>
      </w:r>
    </w:p>
    <w:p w14:paraId="7EF0941E" w14:textId="77777777" w:rsidR="00D355BA" w:rsidRPr="001F0E92" w:rsidRDefault="00D355BA" w:rsidP="00D355BA">
      <w:pPr>
        <w:ind w:left="567" w:hanging="567"/>
        <w:contextualSpacing/>
        <w:rPr>
          <w:rFonts w:cs="Arial"/>
          <w:szCs w:val="22"/>
          <w:lang w:val="en-GB"/>
        </w:rPr>
      </w:pPr>
      <w:r w:rsidRPr="00BA33E3">
        <w:rPr>
          <w:rFonts w:cs="Arial"/>
          <w:szCs w:val="22"/>
          <w:lang w:val="en-GB"/>
        </w:rPr>
        <w:t>Carruthers, T., Dennison, W., Longstaff, B., Waycott, M., Abal, E.G., McKenzie, L.J., Lee Long, W.</w:t>
      </w:r>
      <w:r>
        <w:rPr>
          <w:rFonts w:cs="Arial"/>
          <w:szCs w:val="22"/>
          <w:lang w:val="en-GB"/>
        </w:rPr>
        <w:t xml:space="preserve"> (</w:t>
      </w:r>
      <w:r w:rsidRPr="00BA33E3">
        <w:rPr>
          <w:rFonts w:cs="Arial"/>
          <w:szCs w:val="22"/>
          <w:lang w:val="en-GB"/>
        </w:rPr>
        <w:t>2002</w:t>
      </w:r>
      <w:r>
        <w:rPr>
          <w:rFonts w:cs="Arial"/>
          <w:szCs w:val="22"/>
          <w:lang w:val="en-GB"/>
        </w:rPr>
        <w:t>)</w:t>
      </w:r>
      <w:r w:rsidRPr="00BA33E3">
        <w:rPr>
          <w:rFonts w:cs="Arial"/>
          <w:szCs w:val="22"/>
          <w:lang w:val="en-GB"/>
        </w:rPr>
        <w:t>. Seagrass habitats of north east Australia: models of key processes and controls. Bulletin of Marine Science 71, 1153-1169.</w:t>
      </w:r>
    </w:p>
    <w:p w14:paraId="6E6F40DA" w14:textId="77777777" w:rsidR="00D355BA" w:rsidRPr="001F0E92" w:rsidRDefault="00D355BA" w:rsidP="00D355BA">
      <w:pPr>
        <w:ind w:left="567" w:hanging="567"/>
        <w:contextualSpacing/>
        <w:rPr>
          <w:rFonts w:cs="Arial"/>
          <w:szCs w:val="22"/>
          <w:lang w:val="en-GB"/>
        </w:rPr>
      </w:pPr>
      <w:r w:rsidRPr="001F0E92">
        <w:rPr>
          <w:rFonts w:cs="Arial"/>
          <w:szCs w:val="22"/>
          <w:lang w:val="en-GB"/>
        </w:rPr>
        <w:lastRenderedPageBreak/>
        <w:t>Chartrand, K. M., C. V. Bryant, A. B. Carter, P. J. Ralph and M. A. Rasheed (2016) "Light Thresholds to Prevent Dredging Impacts on the Great Barrier Reef Seagrass, Zostera muelleri ssp. capricorni." Frontiers in Marine Science 3 DOI: 10.3389/fmars.2016.00106.</w:t>
      </w:r>
    </w:p>
    <w:p w14:paraId="3D17D213" w14:textId="77777777" w:rsidR="00D355BA" w:rsidRPr="001F0E92" w:rsidRDefault="00D355BA" w:rsidP="00D355BA">
      <w:pPr>
        <w:ind w:left="567" w:hanging="567"/>
        <w:contextualSpacing/>
        <w:rPr>
          <w:rFonts w:cs="Arial"/>
          <w:szCs w:val="22"/>
          <w:lang w:val="en-GB"/>
        </w:rPr>
      </w:pPr>
      <w:r w:rsidRPr="001F0E92">
        <w:rPr>
          <w:rFonts w:cs="Arial"/>
          <w:szCs w:val="22"/>
          <w:lang w:val="en-GB"/>
        </w:rPr>
        <w:t>Collier, C. J., P. S. Lavery, R. J. Masini and P. J. Ralph (2009). "Shade-induced response and recovery of the seagrass Posidonia sinuosa." Journal of Experimental Marine Biology and Ecology 370: 89-103.</w:t>
      </w:r>
    </w:p>
    <w:p w14:paraId="55E2E583" w14:textId="77777777" w:rsidR="00D355BA" w:rsidRDefault="00D355BA" w:rsidP="00D355BA">
      <w:pPr>
        <w:ind w:left="567" w:hanging="567"/>
        <w:contextualSpacing/>
        <w:rPr>
          <w:rFonts w:cs="Arial"/>
          <w:szCs w:val="22"/>
          <w:lang w:val="en-GB"/>
        </w:rPr>
      </w:pPr>
      <w:r w:rsidRPr="001F0E92">
        <w:rPr>
          <w:rFonts w:cs="Arial"/>
          <w:szCs w:val="22"/>
          <w:lang w:val="en-GB"/>
        </w:rPr>
        <w:t>Collier, C. J., M. Waycott and A. Giraldo-Ospina (2012) "Responses of four Indo-West Pacific seagrass species to shading." Marine Pollution Bulletin 65, 342-354 DOI: 10.1016/j.marpolbul.2011.06.017.</w:t>
      </w:r>
    </w:p>
    <w:p w14:paraId="7C8BBEC8" w14:textId="77777777" w:rsidR="00D355BA" w:rsidRPr="006C207C" w:rsidRDefault="00D355BA" w:rsidP="00D355BA">
      <w:pPr>
        <w:ind w:left="567" w:hanging="567"/>
        <w:contextualSpacing/>
        <w:rPr>
          <w:rFonts w:cs="Arial"/>
          <w:szCs w:val="22"/>
          <w:lang w:val="en-GB"/>
        </w:rPr>
      </w:pPr>
      <w:r w:rsidRPr="006C207C">
        <w:rPr>
          <w:rFonts w:cs="Arial"/>
          <w:noProof/>
          <w:szCs w:val="22"/>
        </w:rPr>
        <w:t xml:space="preserve">Collier, C.J., M. Devlin, L. Langlois, L.J. McKenzie, C. Petus, E. Teixera da Silva, K. McMahon, M. Adams, K. O'Brien, J. Statton, and M. Waycott, </w:t>
      </w:r>
      <w:r w:rsidRPr="006C207C">
        <w:rPr>
          <w:rFonts w:cs="Arial"/>
          <w:i/>
          <w:noProof/>
          <w:szCs w:val="22"/>
        </w:rPr>
        <w:t>Final report on Thresholds and indicators of declining water quality as tools for tropical seagrass management. A summary of findings from Project 5.3 Vulnerability of seagrass habitats in the GBR to flood plume impacts: light, nutrients, salinity</w:t>
      </w:r>
      <w:r w:rsidRPr="006C207C">
        <w:rPr>
          <w:rFonts w:cs="Arial"/>
          <w:noProof/>
          <w:szCs w:val="22"/>
        </w:rPr>
        <w:t xml:space="preserve">, in </w:t>
      </w:r>
      <w:r w:rsidRPr="006C207C">
        <w:rPr>
          <w:rFonts w:cs="Arial"/>
          <w:i/>
          <w:noProof/>
          <w:szCs w:val="22"/>
        </w:rPr>
        <w:t xml:space="preserve">Report to the National Environmental Research Program. </w:t>
      </w:r>
      <w:r w:rsidRPr="006C207C">
        <w:rPr>
          <w:rFonts w:cs="Arial"/>
          <w:noProof/>
          <w:szCs w:val="22"/>
        </w:rPr>
        <w:t>. 2014, Reef and Rainforest Research Centre Limited, Cairns. p. 46.</w:t>
      </w:r>
    </w:p>
    <w:p w14:paraId="182309F3" w14:textId="77777777" w:rsidR="00D355BA" w:rsidRPr="001F0E92" w:rsidRDefault="00D355BA" w:rsidP="00D355BA">
      <w:pPr>
        <w:ind w:left="567" w:hanging="567"/>
        <w:contextualSpacing/>
        <w:rPr>
          <w:rFonts w:cs="Arial"/>
          <w:szCs w:val="22"/>
          <w:lang w:val="en-GB"/>
        </w:rPr>
      </w:pPr>
      <w:r w:rsidRPr="001F0E92">
        <w:rPr>
          <w:rFonts w:cs="Arial"/>
          <w:szCs w:val="22"/>
          <w:lang w:val="en-GB"/>
        </w:rPr>
        <w:t>Duarte, C. M. (1990). "Seagrass nutrient content." Marine Ecology Progress Series 67: 201-207.</w:t>
      </w:r>
    </w:p>
    <w:p w14:paraId="13417C88" w14:textId="77777777" w:rsidR="00D355BA" w:rsidRPr="000E4B94" w:rsidRDefault="00D355BA" w:rsidP="00D355BA">
      <w:pPr>
        <w:spacing w:after="0"/>
        <w:ind w:left="720" w:hanging="720"/>
        <w:rPr>
          <w:rFonts w:cs="Arial"/>
          <w:szCs w:val="22"/>
        </w:rPr>
      </w:pPr>
      <w:r w:rsidRPr="000E4B94">
        <w:rPr>
          <w:rFonts w:cs="Arial"/>
          <w:szCs w:val="22"/>
        </w:rPr>
        <w:t xml:space="preserve">Fourqurean, J.W., Zieman, J.C., Powell, G.V.N. 1992, Relationships between porewater nutrients and seagrasses in a subtropical carbonate environment. </w:t>
      </w:r>
      <w:r w:rsidRPr="000E4B94">
        <w:rPr>
          <w:rFonts w:cs="Arial"/>
          <w:i/>
          <w:szCs w:val="22"/>
        </w:rPr>
        <w:t xml:space="preserve">Marine Biology, </w:t>
      </w:r>
      <w:r w:rsidRPr="000E4B94">
        <w:rPr>
          <w:rFonts w:cs="Arial"/>
          <w:szCs w:val="22"/>
        </w:rPr>
        <w:t>114(1): 57-65. doi: 10.1007/bf00350856</w:t>
      </w:r>
    </w:p>
    <w:p w14:paraId="52532B4C" w14:textId="77777777" w:rsidR="00D355BA" w:rsidRPr="001F0E92" w:rsidRDefault="00D355BA" w:rsidP="00D355BA">
      <w:pPr>
        <w:ind w:left="567" w:hanging="567"/>
        <w:contextualSpacing/>
        <w:rPr>
          <w:rFonts w:cs="Arial"/>
          <w:szCs w:val="22"/>
          <w:lang w:val="en-GB"/>
        </w:rPr>
      </w:pPr>
      <w:r w:rsidRPr="001F0E92">
        <w:rPr>
          <w:rFonts w:cs="Arial"/>
          <w:szCs w:val="22"/>
          <w:lang w:val="en-GB"/>
        </w:rPr>
        <w:t>Fourqurean, J. W., J. N. Boyer, M. J. Durako, L. N. Hefty and B. J. Peterson (2003). "Forecasting responses of seagrass distributions to changing water quality using monitoring data." Ecological Applications 13(2): 474-489.</w:t>
      </w:r>
    </w:p>
    <w:p w14:paraId="5BB0DDCC" w14:textId="77777777" w:rsidR="00D355BA" w:rsidRPr="001F0E92" w:rsidRDefault="00D355BA" w:rsidP="00D355BA">
      <w:pPr>
        <w:ind w:left="567" w:hanging="567"/>
        <w:contextualSpacing/>
        <w:rPr>
          <w:rFonts w:cs="Arial"/>
          <w:szCs w:val="22"/>
          <w:lang w:val="en-GB"/>
        </w:rPr>
      </w:pPr>
      <w:r w:rsidRPr="001F0E92">
        <w:rPr>
          <w:rFonts w:cs="Arial"/>
          <w:szCs w:val="22"/>
          <w:lang w:val="en-GB"/>
        </w:rPr>
        <w:t>Fourqurean, J. W., T. O. Moore, B. Fry and J. T. Hollibaugh (1997). "Spatial and temporal variation in C:N:P Ratios, Delta15N and Delta13C of eelgrass Zostera marina as indicators of ecosystem processes, Tomales Bay, California, USA." Marine Ecology Progress Series 157: 147-157.</w:t>
      </w:r>
    </w:p>
    <w:p w14:paraId="2B39B71F" w14:textId="77777777" w:rsidR="00D355BA" w:rsidRPr="001F0E92" w:rsidRDefault="00D355BA" w:rsidP="00D355BA">
      <w:pPr>
        <w:ind w:left="567" w:hanging="567"/>
        <w:contextualSpacing/>
        <w:rPr>
          <w:rFonts w:cs="Arial"/>
          <w:szCs w:val="22"/>
          <w:lang w:val="en-GB"/>
        </w:rPr>
      </w:pPr>
      <w:r w:rsidRPr="001F0E92">
        <w:rPr>
          <w:rFonts w:cs="Arial"/>
          <w:szCs w:val="22"/>
          <w:lang w:val="en-GB"/>
        </w:rPr>
        <w:t>Frankovich, T. A. and J. W. Fourqurean (1998). "Seagrass epiphyte loads along a nutrient availability gradient, Florida Bay, USA (correction)." Marine Ecology Progress Series 165: 306.</w:t>
      </w:r>
    </w:p>
    <w:p w14:paraId="6032FC32" w14:textId="77777777" w:rsidR="00D355BA" w:rsidRPr="001F0E92" w:rsidRDefault="00D355BA" w:rsidP="00D355BA">
      <w:pPr>
        <w:ind w:left="567" w:hanging="567"/>
        <w:contextualSpacing/>
        <w:rPr>
          <w:rFonts w:cs="Arial"/>
          <w:szCs w:val="22"/>
          <w:lang w:val="en-GB"/>
        </w:rPr>
      </w:pPr>
      <w:r w:rsidRPr="001F0E92">
        <w:rPr>
          <w:rFonts w:cs="Arial"/>
          <w:szCs w:val="22"/>
          <w:lang w:val="en-GB"/>
        </w:rPr>
        <w:lastRenderedPageBreak/>
        <w:t>Grice, A. M., N. R. Loneragan and W. C. Dennison (1996). "Light intensity and the interactions between physiology, morphology and stable isotope ratios in five species of seagrass." Journal of Experimental Marine Biology and Ecology 195: 91-110.</w:t>
      </w:r>
    </w:p>
    <w:p w14:paraId="1F020580" w14:textId="77777777" w:rsidR="00D355BA" w:rsidRPr="001F0E92" w:rsidRDefault="00D355BA" w:rsidP="00D355BA">
      <w:pPr>
        <w:ind w:left="567" w:hanging="567"/>
        <w:contextualSpacing/>
        <w:rPr>
          <w:rFonts w:cs="Arial"/>
          <w:szCs w:val="22"/>
          <w:lang w:val="en-GB"/>
        </w:rPr>
      </w:pPr>
      <w:r w:rsidRPr="001F0E92">
        <w:rPr>
          <w:rFonts w:cs="Arial"/>
          <w:szCs w:val="22"/>
          <w:lang w:val="en-GB"/>
        </w:rPr>
        <w:t>Gruber, R., J. Waterhouse, M. Logan, C. Petus, C. Howley, S. Lewis, D. Tracey, L. Langlois, H. Tonin, M. Skuza, P. Costello, J. Davidson, K. Gunn, C. Lefevre, M. Shanahan, M. Wright, I. Zagorskis, F. Kroon and A. Neilen (2019). Marine Monitoring Program: Annual Report for Inshore Water Quality Monitoring 2017-18. Report for the Great Barrier Reef Marine Park Authority. Townsville, Great Barrier Reef Marine Park Authority.</w:t>
      </w:r>
    </w:p>
    <w:p w14:paraId="2B99B23A" w14:textId="77777777" w:rsidR="00D355BA" w:rsidRPr="001F0E92" w:rsidRDefault="00D355BA" w:rsidP="00D355BA">
      <w:pPr>
        <w:ind w:left="567" w:hanging="567"/>
        <w:contextualSpacing/>
        <w:rPr>
          <w:rFonts w:cs="Arial"/>
          <w:szCs w:val="22"/>
          <w:lang w:val="en-GB"/>
        </w:rPr>
      </w:pPr>
      <w:r w:rsidRPr="001F0E92">
        <w:rPr>
          <w:rFonts w:cs="Arial"/>
          <w:szCs w:val="22"/>
          <w:lang w:val="en-GB"/>
        </w:rPr>
        <w:t>Kirk, J. T. O. (2011). Light and photosynthesis in aquatic ecosystems. New York, Cambridge University Press.</w:t>
      </w:r>
    </w:p>
    <w:p w14:paraId="425733C9" w14:textId="77777777" w:rsidR="00D355BA" w:rsidRDefault="00D355BA" w:rsidP="00D355BA">
      <w:pPr>
        <w:ind w:left="567" w:hanging="567"/>
        <w:contextualSpacing/>
        <w:rPr>
          <w:rFonts w:cs="Arial"/>
          <w:szCs w:val="22"/>
          <w:lang w:val="en-GB"/>
        </w:rPr>
      </w:pPr>
      <w:r w:rsidRPr="001F0E92">
        <w:rPr>
          <w:rFonts w:cs="Arial"/>
          <w:szCs w:val="22"/>
          <w:lang w:val="en-GB"/>
        </w:rPr>
        <w:t>Marbà, N., D. Krause-Jensen, T. Alcoverro, S. Birk, A. Pedersen, J. M. Neto, S. Orfanidis, J. M. Garmendia, I. Muxika, A. Borja, K. Dencheva and C. M. Duarte (2013) "Diversity of European seagrass indicators: patterns within and across regions." Hydrobiologia 704, 265-278 DOI: 10.1007/s10750-012-1403-7.</w:t>
      </w:r>
    </w:p>
    <w:p w14:paraId="266A8242" w14:textId="77777777" w:rsidR="00D355BA" w:rsidRPr="004D7A80" w:rsidRDefault="00D355BA" w:rsidP="00D355BA">
      <w:pPr>
        <w:spacing w:after="0"/>
        <w:ind w:left="720" w:hanging="720"/>
        <w:rPr>
          <w:rFonts w:cs="Arial"/>
          <w:szCs w:val="22"/>
        </w:rPr>
      </w:pPr>
      <w:r w:rsidRPr="004D7A80">
        <w:rPr>
          <w:rFonts w:cs="Arial"/>
          <w:szCs w:val="22"/>
        </w:rPr>
        <w:t xml:space="preserve">McKenzie, L., J. Mellors, and M. Waycott, </w:t>
      </w:r>
      <w:r w:rsidRPr="004D7A80">
        <w:rPr>
          <w:rFonts w:cs="Arial"/>
          <w:i/>
          <w:szCs w:val="22"/>
        </w:rPr>
        <w:t>Great Barrier Reef Water Quality Protection Plan - Marine Monitoring Program Intertidal Seagrass. Final report for the sampling period 1st September 2006 - 31st May 2007</w:t>
      </w:r>
      <w:r w:rsidRPr="004D7A80">
        <w:rPr>
          <w:rFonts w:cs="Arial"/>
          <w:szCs w:val="22"/>
        </w:rPr>
        <w:t xml:space="preserve">, in </w:t>
      </w:r>
      <w:r w:rsidRPr="004D7A80">
        <w:rPr>
          <w:rFonts w:cs="Arial"/>
          <w:i/>
          <w:szCs w:val="22"/>
        </w:rPr>
        <w:t>Marine and Tropical Sciences Research Facility Project 1.1.3 Condition trend and risk in coastal habitats: Seagrass indicators, distribution and thresholds of potential concern</w:t>
      </w:r>
      <w:r w:rsidRPr="004D7A80">
        <w:rPr>
          <w:rFonts w:cs="Arial"/>
          <w:szCs w:val="22"/>
        </w:rPr>
        <w:t>. 2008, Marine and Tropical Sciences Research Facility: Townsville.</w:t>
      </w:r>
    </w:p>
    <w:p w14:paraId="5F13E874" w14:textId="77777777" w:rsidR="00D355BA" w:rsidRPr="004D7A80" w:rsidRDefault="00D355BA" w:rsidP="00D355BA">
      <w:pPr>
        <w:ind w:left="720" w:hanging="720"/>
        <w:rPr>
          <w:rFonts w:cs="Arial"/>
          <w:szCs w:val="22"/>
          <w:lang w:val="en-GB"/>
        </w:rPr>
      </w:pPr>
      <w:r w:rsidRPr="004D7A80">
        <w:rPr>
          <w:rFonts w:cs="Arial"/>
          <w:szCs w:val="22"/>
        </w:rPr>
        <w:t xml:space="preserve">McKenzie, L., J. Mellors, and M. Waycott, </w:t>
      </w:r>
      <w:r w:rsidRPr="004D7A80">
        <w:rPr>
          <w:rFonts w:cs="Arial"/>
          <w:i/>
          <w:szCs w:val="22"/>
        </w:rPr>
        <w:t>Great Barrier Reef Water Quality Protection Plan (Reef Rescue) - Marine Monitoring Program Intertidal Seagrass. Final report for the sampling period 1st September 2007 - 31st May 2008</w:t>
      </w:r>
      <w:r w:rsidRPr="004D7A80">
        <w:rPr>
          <w:rFonts w:cs="Arial"/>
          <w:szCs w:val="22"/>
        </w:rPr>
        <w:t xml:space="preserve">, in </w:t>
      </w:r>
      <w:r w:rsidRPr="004D7A80">
        <w:rPr>
          <w:rFonts w:cs="Arial"/>
          <w:i/>
          <w:szCs w:val="22"/>
        </w:rPr>
        <w:t>Project 1.1.3 Condition trend and risk in coastal habitats: Seagrass indicators, distribution and thresholds of potential concern</w:t>
      </w:r>
      <w:r w:rsidRPr="004D7A80">
        <w:rPr>
          <w:rFonts w:cs="Arial"/>
          <w:szCs w:val="22"/>
        </w:rPr>
        <w:t>. 2009, Marine and Tropical Sciences Research Facility: Townsville.</w:t>
      </w:r>
    </w:p>
    <w:p w14:paraId="19C9991D" w14:textId="77777777" w:rsidR="00D355BA" w:rsidRPr="001F0E92" w:rsidRDefault="00D355BA" w:rsidP="00D355BA">
      <w:pPr>
        <w:ind w:left="567" w:hanging="567"/>
        <w:contextualSpacing/>
        <w:rPr>
          <w:rFonts w:cs="Arial"/>
          <w:szCs w:val="22"/>
          <w:lang w:val="en-GB"/>
        </w:rPr>
      </w:pPr>
      <w:r w:rsidRPr="001F0E92">
        <w:rPr>
          <w:rFonts w:cs="Arial"/>
          <w:szCs w:val="22"/>
          <w:lang w:val="en-GB"/>
        </w:rPr>
        <w:t>McMahon, K. M., C. J. Collier and P. S. Lavery (2013) "Identifying robust bioindicators of light stress in seagrasses: A review." Ecological Indicators 30, 7-15 DOI: https://doi.org/10.1016/j.ecolind.2013.01.030.</w:t>
      </w:r>
    </w:p>
    <w:p w14:paraId="6603A162" w14:textId="77777777" w:rsidR="00D355BA" w:rsidRPr="001F0E92" w:rsidRDefault="00D355BA" w:rsidP="00D355BA">
      <w:pPr>
        <w:ind w:left="567" w:hanging="567"/>
        <w:contextualSpacing/>
        <w:rPr>
          <w:rFonts w:cs="Arial"/>
          <w:szCs w:val="22"/>
          <w:lang w:val="en-GB"/>
        </w:rPr>
      </w:pPr>
      <w:r w:rsidRPr="001F0E92">
        <w:rPr>
          <w:rFonts w:cs="Arial"/>
          <w:szCs w:val="22"/>
          <w:lang w:val="en-GB"/>
        </w:rPr>
        <w:lastRenderedPageBreak/>
        <w:t>O'Brien, K. R., M. P. Adams, A. J. P. Ferguson, J. Villarreal-Samper, P. S. Maxwell, M. E. Baird and C. J. Collier (2018). Seagrass resistance to light deprivation: implications for resilience. Seagrasses of Australia. A. W. D. Larkum, R. P.J. and G. Kendrick.</w:t>
      </w:r>
    </w:p>
    <w:p w14:paraId="3453211E" w14:textId="77777777" w:rsidR="00D355BA" w:rsidRPr="001F0E92" w:rsidRDefault="00D355BA" w:rsidP="00D355BA">
      <w:pPr>
        <w:ind w:left="567" w:hanging="567"/>
        <w:contextualSpacing/>
        <w:rPr>
          <w:rFonts w:cs="Arial"/>
          <w:szCs w:val="22"/>
          <w:lang w:val="en-GB"/>
        </w:rPr>
      </w:pPr>
      <w:r w:rsidRPr="001F0E92">
        <w:rPr>
          <w:rFonts w:cs="Arial"/>
          <w:szCs w:val="22"/>
          <w:lang w:val="en-GB"/>
        </w:rPr>
        <w:t>Petus, C., C. J. Collier, M. Devlin, M. Rasheed and S. McKenna (2014) "Using MODIS data for understanding changes in seagrass meadow health: a case study in the Great Barrier Reef (Australia)." Marine Environmental Research 137, 163-177 DOI: http://dx.doi.org/10.1016/j.jenvman.2013.11.050.</w:t>
      </w:r>
    </w:p>
    <w:p w14:paraId="742A40AE" w14:textId="77777777" w:rsidR="00D355BA" w:rsidRPr="001F0E92" w:rsidRDefault="00D355BA" w:rsidP="00D355BA">
      <w:pPr>
        <w:ind w:left="567" w:hanging="567"/>
        <w:contextualSpacing/>
        <w:rPr>
          <w:rFonts w:cs="Arial"/>
          <w:szCs w:val="22"/>
          <w:lang w:val="en-GB"/>
        </w:rPr>
      </w:pPr>
      <w:r w:rsidRPr="001F0E92">
        <w:rPr>
          <w:rFonts w:cs="Arial"/>
          <w:szCs w:val="22"/>
          <w:lang w:val="en-GB"/>
        </w:rPr>
        <w:t>Rasheed, M. A., S. A. McKenna, A. B. Carter and R. G. Coles (2014) "Contrasting recovery of shallow and deep water seagrass communities following climate associated losses in tropical north Queensland, Australia." Marine Pollution Bulletin 83, 491-499 DOI: http://dx.doi.org/10.1016/j.marpolbul.2014.02.013.</w:t>
      </w:r>
    </w:p>
    <w:p w14:paraId="140049AD" w14:textId="77777777" w:rsidR="00D355BA" w:rsidRPr="001F0E92" w:rsidRDefault="00D355BA" w:rsidP="00D355BA">
      <w:pPr>
        <w:ind w:left="567" w:hanging="567"/>
        <w:contextualSpacing/>
        <w:rPr>
          <w:rFonts w:cs="Arial"/>
          <w:szCs w:val="22"/>
          <w:lang w:val="en-GB"/>
        </w:rPr>
      </w:pPr>
      <w:r w:rsidRPr="001F0E92">
        <w:rPr>
          <w:rFonts w:cs="Arial"/>
          <w:szCs w:val="22"/>
          <w:lang w:val="en-GB"/>
        </w:rPr>
        <w:t>Roca, G., T. Alcoverro, D. Krause-Jensen, T. J. S. Balsby, M. M. van Katwijk, N. Marbà, R. Santos, R. Arthur, O. Mascaró, Y. Fernández-Torquemada, M. Pérez, C. M. Duarte and J. Romero (2016) "Response of seagrass indicators to shifts in environmental stressors: A global review and management synthesis." Ecological Indicators 63, 310-323 DOI: https://doi.org/10.1016/j.ecolind.2015.12.007.</w:t>
      </w:r>
    </w:p>
    <w:p w14:paraId="6A172C11" w14:textId="77777777" w:rsidR="00D355BA" w:rsidRPr="001F0E92" w:rsidRDefault="00D355BA" w:rsidP="00D355BA">
      <w:pPr>
        <w:ind w:left="567" w:hanging="567"/>
        <w:contextualSpacing/>
        <w:rPr>
          <w:rFonts w:cs="Arial"/>
          <w:szCs w:val="22"/>
          <w:lang w:val="en-GB"/>
        </w:rPr>
      </w:pPr>
      <w:r w:rsidRPr="001F0E92">
        <w:rPr>
          <w:rFonts w:cs="Arial"/>
          <w:szCs w:val="22"/>
          <w:lang w:val="en-GB"/>
        </w:rPr>
        <w:t>Schliep, M., M. Pernice, S. Sinutok, C. V. Bryant, P. H. York, M. A. Rasheed and P. J. Ralph (2015) "Evaluation of Reference Genes for RT-qPCR Studies in the Seagrass Zostera muelleri Exposed to Light Limitation." Scientific Reports 5, 17051 DOI: 10.1038/srep17051</w:t>
      </w:r>
    </w:p>
    <w:p w14:paraId="16026730" w14:textId="77777777" w:rsidR="00D355BA" w:rsidRPr="001F0E92" w:rsidRDefault="00D355BA" w:rsidP="00D355BA">
      <w:pPr>
        <w:ind w:left="567" w:hanging="567"/>
        <w:contextualSpacing/>
        <w:rPr>
          <w:rFonts w:cs="Arial"/>
          <w:szCs w:val="22"/>
          <w:lang w:val="en-GB"/>
        </w:rPr>
      </w:pPr>
      <w:r w:rsidRPr="001F0E92">
        <w:rPr>
          <w:rFonts w:cs="Arial"/>
          <w:szCs w:val="22"/>
          <w:lang w:val="en-GB"/>
        </w:rPr>
        <w:t>http://www.nature.com/articles/srep17051#supplementary-information.</w:t>
      </w:r>
    </w:p>
    <w:p w14:paraId="753D5C33" w14:textId="77777777" w:rsidR="00D355BA" w:rsidRPr="001F0E92" w:rsidRDefault="00D355BA" w:rsidP="00D355BA">
      <w:pPr>
        <w:ind w:left="567" w:hanging="567"/>
        <w:contextualSpacing/>
        <w:rPr>
          <w:rFonts w:cs="Arial"/>
          <w:szCs w:val="22"/>
          <w:lang w:val="en-GB"/>
        </w:rPr>
      </w:pPr>
      <w:r w:rsidRPr="001F0E92">
        <w:rPr>
          <w:rFonts w:cs="Arial"/>
          <w:szCs w:val="22"/>
          <w:lang w:val="en-GB"/>
        </w:rPr>
        <w:t>Udy, J. W., W. C. Dennison, W. J. L. Long and L. J. McKenzie (1999). "Responses of seagrass to nutrients in the Great Barrier Reef, Australia." Marine Ecology-Progress Series 185: 257-271.</w:t>
      </w:r>
    </w:p>
    <w:p w14:paraId="4E070078" w14:textId="77777777" w:rsidR="00D355BA" w:rsidRPr="001F0E92" w:rsidRDefault="00D355BA" w:rsidP="00D355BA">
      <w:pPr>
        <w:ind w:left="567" w:hanging="567"/>
        <w:contextualSpacing/>
        <w:rPr>
          <w:rFonts w:cs="Arial"/>
          <w:szCs w:val="22"/>
          <w:lang w:val="en-GB"/>
        </w:rPr>
      </w:pPr>
      <w:r w:rsidRPr="001F0E92">
        <w:rPr>
          <w:rFonts w:cs="Arial"/>
          <w:szCs w:val="22"/>
          <w:lang w:val="en-GB"/>
        </w:rPr>
        <w:t>van Katwijk, M. M., A. R. Bos, P. Kennis and R. de Vries (2010). "Vulnerability to eutrophication of a semi-annual life history: A lesson learnt from an extinct eelgrass (Zostera marina) population." Biological Conservation 143(1): 248-254.</w:t>
      </w:r>
    </w:p>
    <w:p w14:paraId="7DA9E3D1" w14:textId="77777777" w:rsidR="00D355BA" w:rsidRPr="001F0E92" w:rsidRDefault="00D355BA" w:rsidP="00D355BA">
      <w:pPr>
        <w:ind w:left="567" w:hanging="567"/>
        <w:contextualSpacing/>
        <w:rPr>
          <w:rFonts w:cs="Arial"/>
          <w:szCs w:val="22"/>
          <w:lang w:val="en-GB"/>
        </w:rPr>
      </w:pPr>
      <w:r w:rsidRPr="001F0E92">
        <w:rPr>
          <w:rFonts w:cs="Arial"/>
          <w:szCs w:val="22"/>
          <w:lang w:val="en-GB"/>
        </w:rPr>
        <w:lastRenderedPageBreak/>
        <w:t>Waterhouse, J., C. Lønborg, M. Logan, C. Petus, D. Tracey, C. Howley, E. Harper, H. Tonin, M. Skuza, J. Doyle, P. Costello, J. Davidson, K. Gunn, M. Wright, I. Zagorskis and F. Kroon (2018). Marine Monitoring Program: Annual Report for inshore water quality monitoring 2016-2017. Report for the Great Barrier Reef Marine Park Authority. Townsville, Great Barrier Reef Marine Park Authority.</w:t>
      </w:r>
    </w:p>
    <w:p w14:paraId="7995BC2A" w14:textId="77777777" w:rsidR="00D355BA" w:rsidRPr="001F0E92" w:rsidRDefault="00D355BA" w:rsidP="00D355BA">
      <w:pPr>
        <w:ind w:left="567" w:hanging="567"/>
        <w:contextualSpacing/>
        <w:rPr>
          <w:rFonts w:cs="Arial"/>
          <w:szCs w:val="22"/>
          <w:lang w:val="en-GB"/>
        </w:rPr>
      </w:pPr>
      <w:r w:rsidRPr="001F0E92">
        <w:rPr>
          <w:rFonts w:cs="Arial"/>
          <w:szCs w:val="22"/>
          <w:lang w:val="en-GB"/>
        </w:rPr>
        <w:t>Waycott, M., C. M. Duarte, T. J. B. Carruthers, R. J. Orth, W. C. Dennison, S. Olyarnik, A. Calladine, J. W. Fourqurean, K. L. Heck, A. R. Hughes, G. A. Kendrick, W. J. Kenworthy, F. T. Short and S. L. Williams (2009) "Accelerating loss of seagrasses across the globe threatens coastal ecosystems." Proceedings of the National Academy of Sciences 106, 12377-12381 DOI: 10.1073/pnas.0905620106.</w:t>
      </w:r>
    </w:p>
    <w:p w14:paraId="00607F30" w14:textId="77777777" w:rsidR="00D355BA" w:rsidRDefault="00D355BA" w:rsidP="00D355BA"/>
    <w:p w14:paraId="288DE204" w14:textId="79EC404D" w:rsidR="00867E8C" w:rsidRPr="001F0E92" w:rsidRDefault="003A4E60" w:rsidP="0052343E">
      <w:pPr>
        <w:pStyle w:val="Heading3"/>
        <w:numPr>
          <w:ilvl w:val="0"/>
          <w:numId w:val="0"/>
        </w:numPr>
      </w:pPr>
      <w:r>
        <w:br w:type="column"/>
      </w:r>
      <w:bookmarkStart w:id="860" w:name="_Toc37775133"/>
      <w:bookmarkStart w:id="861" w:name="_Toc43987116"/>
      <w:r w:rsidR="00867E8C" w:rsidRPr="00867E8C">
        <w:lastRenderedPageBreak/>
        <w:t xml:space="preserve">Case study </w:t>
      </w:r>
      <w:r w:rsidR="00941BDB">
        <w:t>Supplementary Material</w:t>
      </w:r>
      <w:r w:rsidR="00867E8C" w:rsidRPr="001F0E92">
        <w:t xml:space="preserve"> – Statistical outputs</w:t>
      </w:r>
      <w:bookmarkEnd w:id="860"/>
      <w:bookmarkEnd w:id="861"/>
    </w:p>
    <w:p w14:paraId="76344385" w14:textId="77777777" w:rsidR="003A4E60" w:rsidRPr="001F0E92" w:rsidRDefault="003A4E60" w:rsidP="003A4E60">
      <w:pPr>
        <w:rPr>
          <w:rFonts w:cs="Arial"/>
          <w:b/>
          <w:szCs w:val="22"/>
        </w:rPr>
      </w:pPr>
      <w:r w:rsidRPr="001F0E92">
        <w:rPr>
          <w:rFonts w:cs="Arial"/>
          <w:b/>
          <w:szCs w:val="22"/>
        </w:rPr>
        <w:t>All species pooled</w:t>
      </w:r>
    </w:p>
    <w:p w14:paraId="4E0F3EED" w14:textId="4936541B" w:rsidR="003A4E60" w:rsidRPr="001F0E92" w:rsidRDefault="003A4E60" w:rsidP="003A4E60">
      <w:pPr>
        <w:rPr>
          <w:rFonts w:cs="Arial"/>
          <w:szCs w:val="22"/>
          <w:lang w:eastAsia="x-none"/>
        </w:rPr>
      </w:pPr>
      <w:r w:rsidRPr="001F0E92">
        <w:rPr>
          <w:rFonts w:cs="Arial"/>
          <w:szCs w:val="22"/>
          <w:lang w:eastAsia="x-none"/>
        </w:rPr>
        <w:t xml:space="preserve">Table A1. </w:t>
      </w:r>
      <w:r w:rsidRPr="007B18F7">
        <w:rPr>
          <w:rFonts w:cs="Arial"/>
          <w:i/>
          <w:szCs w:val="22"/>
          <w:lang w:eastAsia="x-none"/>
        </w:rPr>
        <w:t xml:space="preserve">Model 1 (M1) – summary of the GLM used to test for the effects of DIN loading, mean daily light, region, and habitat on the C:N ratio of all seagrasses species pooled. Estimates are on the log scale. </w:t>
      </w:r>
      <w:r w:rsidR="009F428E" w:rsidRPr="007B18F7">
        <w:rPr>
          <w:rFonts w:cs="Arial"/>
          <w:i/>
          <w:szCs w:val="22"/>
          <w:lang w:eastAsia="x-none"/>
        </w:rPr>
        <w:t xml:space="preserve">Bold </w:t>
      </w:r>
      <w:r w:rsidR="007B18F7" w:rsidRPr="007B18F7">
        <w:rPr>
          <w:rFonts w:cs="Arial"/>
          <w:i/>
          <w:szCs w:val="22"/>
          <w:lang w:eastAsia="x-none"/>
        </w:rPr>
        <w:t xml:space="preserve">P-values </w:t>
      </w:r>
      <w:r w:rsidR="009F428E" w:rsidRPr="007B18F7">
        <w:rPr>
          <w:rFonts w:cs="Arial"/>
          <w:i/>
          <w:szCs w:val="22"/>
          <w:lang w:eastAsia="x-none"/>
        </w:rPr>
        <w:t>indicates significant</w:t>
      </w:r>
    </w:p>
    <w:tbl>
      <w:tblPr>
        <w:tblW w:w="0" w:type="auto"/>
        <w:jc w:val="center"/>
        <w:tblLayout w:type="fixed"/>
        <w:tblLook w:val="04A0" w:firstRow="1" w:lastRow="0" w:firstColumn="1" w:lastColumn="0" w:noHBand="0" w:noVBand="1"/>
      </w:tblPr>
      <w:tblGrid>
        <w:gridCol w:w="4106"/>
        <w:gridCol w:w="1276"/>
        <w:gridCol w:w="1276"/>
        <w:gridCol w:w="1134"/>
        <w:gridCol w:w="1218"/>
      </w:tblGrid>
      <w:tr w:rsidR="003A4E60" w:rsidRPr="004A409C" w14:paraId="35708171" w14:textId="77777777" w:rsidTr="007B18F7">
        <w:trPr>
          <w:jc w:val="center"/>
        </w:trPr>
        <w:tc>
          <w:tcPr>
            <w:tcW w:w="4106" w:type="dxa"/>
            <w:tcBorders>
              <w:top w:val="single" w:sz="4" w:space="0" w:color="auto"/>
              <w:bottom w:val="single" w:sz="4" w:space="0" w:color="auto"/>
            </w:tcBorders>
            <w:vAlign w:val="bottom"/>
          </w:tcPr>
          <w:p w14:paraId="39EDDC72" w14:textId="77777777" w:rsidR="003A4E60" w:rsidRPr="004A409C" w:rsidRDefault="003A4E60" w:rsidP="007B18F7">
            <w:pPr>
              <w:spacing w:before="0" w:after="0"/>
              <w:rPr>
                <w:rFonts w:cs="Arial"/>
                <w:b/>
                <w:sz w:val="20"/>
                <w:szCs w:val="20"/>
                <w:lang w:eastAsia="x-none"/>
              </w:rPr>
            </w:pPr>
            <w:r w:rsidRPr="004A409C">
              <w:rPr>
                <w:rFonts w:cs="Arial"/>
                <w:b/>
                <w:sz w:val="20"/>
                <w:szCs w:val="20"/>
                <w:lang w:eastAsia="x-none"/>
              </w:rPr>
              <w:t>Parameter</w:t>
            </w:r>
          </w:p>
        </w:tc>
        <w:tc>
          <w:tcPr>
            <w:tcW w:w="1276" w:type="dxa"/>
            <w:tcBorders>
              <w:top w:val="single" w:sz="4" w:space="0" w:color="auto"/>
              <w:bottom w:val="single" w:sz="4" w:space="0" w:color="auto"/>
            </w:tcBorders>
            <w:vAlign w:val="bottom"/>
          </w:tcPr>
          <w:p w14:paraId="752ECCCA" w14:textId="77777777" w:rsidR="003A4E60" w:rsidRPr="004A409C" w:rsidRDefault="003A4E60" w:rsidP="007B18F7">
            <w:pPr>
              <w:spacing w:before="0" w:after="0"/>
              <w:jc w:val="center"/>
              <w:rPr>
                <w:rFonts w:cs="Arial"/>
                <w:b/>
                <w:sz w:val="20"/>
                <w:szCs w:val="20"/>
                <w:lang w:eastAsia="x-none"/>
              </w:rPr>
            </w:pPr>
            <w:r w:rsidRPr="004A409C">
              <w:rPr>
                <w:rFonts w:cs="Arial"/>
                <w:b/>
                <w:color w:val="000000"/>
                <w:sz w:val="20"/>
                <w:szCs w:val="20"/>
              </w:rPr>
              <w:t>Estimate</w:t>
            </w:r>
          </w:p>
        </w:tc>
        <w:tc>
          <w:tcPr>
            <w:tcW w:w="1276" w:type="dxa"/>
            <w:tcBorders>
              <w:top w:val="single" w:sz="4" w:space="0" w:color="auto"/>
              <w:bottom w:val="single" w:sz="4" w:space="0" w:color="auto"/>
            </w:tcBorders>
            <w:vAlign w:val="bottom"/>
          </w:tcPr>
          <w:p w14:paraId="1F73573F" w14:textId="77777777" w:rsidR="003A4E60" w:rsidRPr="004A409C" w:rsidRDefault="003A4E60" w:rsidP="007B18F7">
            <w:pPr>
              <w:spacing w:before="0" w:after="0"/>
              <w:jc w:val="center"/>
              <w:rPr>
                <w:rFonts w:cs="Arial"/>
                <w:b/>
                <w:sz w:val="20"/>
                <w:szCs w:val="20"/>
                <w:lang w:eastAsia="x-none"/>
              </w:rPr>
            </w:pPr>
            <w:r w:rsidRPr="004A409C">
              <w:rPr>
                <w:rFonts w:cs="Arial"/>
                <w:b/>
                <w:color w:val="000000"/>
                <w:sz w:val="20"/>
                <w:szCs w:val="20"/>
              </w:rPr>
              <w:t>Std Error</w:t>
            </w:r>
          </w:p>
        </w:tc>
        <w:tc>
          <w:tcPr>
            <w:tcW w:w="1134" w:type="dxa"/>
            <w:tcBorders>
              <w:top w:val="single" w:sz="4" w:space="0" w:color="auto"/>
              <w:bottom w:val="single" w:sz="4" w:space="0" w:color="auto"/>
            </w:tcBorders>
            <w:vAlign w:val="bottom"/>
          </w:tcPr>
          <w:p w14:paraId="26E6DB16" w14:textId="77777777" w:rsidR="003A4E60" w:rsidRPr="004A409C" w:rsidRDefault="003A4E60" w:rsidP="007B18F7">
            <w:pPr>
              <w:spacing w:before="0" w:after="0"/>
              <w:jc w:val="center"/>
              <w:rPr>
                <w:rFonts w:cs="Arial"/>
                <w:b/>
                <w:sz w:val="20"/>
                <w:szCs w:val="20"/>
                <w:lang w:eastAsia="x-none"/>
              </w:rPr>
            </w:pPr>
            <w:r w:rsidRPr="004A409C">
              <w:rPr>
                <w:rFonts w:cs="Arial"/>
                <w:b/>
                <w:color w:val="000000"/>
                <w:sz w:val="20"/>
                <w:szCs w:val="20"/>
              </w:rPr>
              <w:t>t-value</w:t>
            </w:r>
          </w:p>
        </w:tc>
        <w:tc>
          <w:tcPr>
            <w:tcW w:w="1218" w:type="dxa"/>
            <w:tcBorders>
              <w:top w:val="single" w:sz="4" w:space="0" w:color="auto"/>
              <w:bottom w:val="single" w:sz="4" w:space="0" w:color="auto"/>
            </w:tcBorders>
            <w:vAlign w:val="bottom"/>
          </w:tcPr>
          <w:p w14:paraId="016FB49C" w14:textId="77777777" w:rsidR="003A4E60" w:rsidRPr="004A409C" w:rsidRDefault="003A4E60" w:rsidP="007B18F7">
            <w:pPr>
              <w:spacing w:before="0" w:after="0"/>
              <w:jc w:val="center"/>
              <w:rPr>
                <w:rFonts w:cs="Arial"/>
                <w:b/>
                <w:sz w:val="20"/>
                <w:szCs w:val="20"/>
                <w:lang w:eastAsia="x-none"/>
              </w:rPr>
            </w:pPr>
            <w:r w:rsidRPr="004A409C">
              <w:rPr>
                <w:rFonts w:cs="Arial"/>
                <w:b/>
                <w:color w:val="000000"/>
                <w:sz w:val="20"/>
                <w:szCs w:val="20"/>
              </w:rPr>
              <w:t>P-value</w:t>
            </w:r>
          </w:p>
        </w:tc>
      </w:tr>
      <w:tr w:rsidR="003A4E60" w:rsidRPr="001F0E92" w14:paraId="0D596E92" w14:textId="77777777" w:rsidTr="007B18F7">
        <w:trPr>
          <w:jc w:val="center"/>
        </w:trPr>
        <w:tc>
          <w:tcPr>
            <w:tcW w:w="4106" w:type="dxa"/>
            <w:tcBorders>
              <w:top w:val="single" w:sz="4" w:space="0" w:color="auto"/>
            </w:tcBorders>
            <w:vAlign w:val="bottom"/>
          </w:tcPr>
          <w:p w14:paraId="38228B7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Intercept (Burdekin and Coastal intertidal)</w:t>
            </w:r>
          </w:p>
        </w:tc>
        <w:tc>
          <w:tcPr>
            <w:tcW w:w="1276" w:type="dxa"/>
            <w:tcBorders>
              <w:top w:val="single" w:sz="4" w:space="0" w:color="auto"/>
            </w:tcBorders>
            <w:vAlign w:val="bottom"/>
          </w:tcPr>
          <w:p w14:paraId="204C469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2.47E+00</w:t>
            </w:r>
          </w:p>
        </w:tc>
        <w:tc>
          <w:tcPr>
            <w:tcW w:w="1276" w:type="dxa"/>
            <w:tcBorders>
              <w:top w:val="single" w:sz="4" w:space="0" w:color="auto"/>
            </w:tcBorders>
            <w:vAlign w:val="bottom"/>
          </w:tcPr>
          <w:p w14:paraId="293DE9B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5.75E-02</w:t>
            </w:r>
          </w:p>
        </w:tc>
        <w:tc>
          <w:tcPr>
            <w:tcW w:w="1134" w:type="dxa"/>
            <w:tcBorders>
              <w:top w:val="single" w:sz="4" w:space="0" w:color="auto"/>
            </w:tcBorders>
            <w:vAlign w:val="bottom"/>
          </w:tcPr>
          <w:p w14:paraId="473B4AC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43.025</w:t>
            </w:r>
          </w:p>
        </w:tc>
        <w:tc>
          <w:tcPr>
            <w:tcW w:w="1218" w:type="dxa"/>
            <w:tcBorders>
              <w:top w:val="single" w:sz="4" w:space="0" w:color="auto"/>
            </w:tcBorders>
            <w:vAlign w:val="bottom"/>
          </w:tcPr>
          <w:p w14:paraId="48AF6F9B"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15214A40" w14:textId="77777777" w:rsidTr="004A409C">
        <w:trPr>
          <w:jc w:val="center"/>
        </w:trPr>
        <w:tc>
          <w:tcPr>
            <w:tcW w:w="4106" w:type="dxa"/>
            <w:vAlign w:val="bottom"/>
          </w:tcPr>
          <w:p w14:paraId="3AF381A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1276" w:type="dxa"/>
            <w:vAlign w:val="bottom"/>
          </w:tcPr>
          <w:p w14:paraId="2AC28AE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-5.16E-03</w:t>
            </w:r>
          </w:p>
        </w:tc>
        <w:tc>
          <w:tcPr>
            <w:tcW w:w="1276" w:type="dxa"/>
            <w:vAlign w:val="bottom"/>
          </w:tcPr>
          <w:p w14:paraId="0456F36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3.81E-03</w:t>
            </w:r>
          </w:p>
        </w:tc>
        <w:tc>
          <w:tcPr>
            <w:tcW w:w="1134" w:type="dxa"/>
            <w:vAlign w:val="bottom"/>
          </w:tcPr>
          <w:p w14:paraId="16C5184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-1.355</w:t>
            </w:r>
          </w:p>
        </w:tc>
        <w:tc>
          <w:tcPr>
            <w:tcW w:w="1218" w:type="dxa"/>
            <w:vAlign w:val="bottom"/>
          </w:tcPr>
          <w:p w14:paraId="22403AE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0.17583</w:t>
            </w:r>
          </w:p>
        </w:tc>
      </w:tr>
      <w:tr w:rsidR="003A4E60" w:rsidRPr="001F0E92" w14:paraId="78F468FD" w14:textId="77777777" w:rsidTr="004A409C">
        <w:trPr>
          <w:jc w:val="center"/>
        </w:trPr>
        <w:tc>
          <w:tcPr>
            <w:tcW w:w="4106" w:type="dxa"/>
            <w:vAlign w:val="bottom"/>
          </w:tcPr>
          <w:p w14:paraId="392A3CE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Estuarine intertidal (EI)</w:t>
            </w:r>
          </w:p>
        </w:tc>
        <w:tc>
          <w:tcPr>
            <w:tcW w:w="1276" w:type="dxa"/>
            <w:vAlign w:val="bottom"/>
          </w:tcPr>
          <w:p w14:paraId="246F914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1.56E+00</w:t>
            </w:r>
          </w:p>
        </w:tc>
        <w:tc>
          <w:tcPr>
            <w:tcW w:w="1276" w:type="dxa"/>
            <w:vAlign w:val="bottom"/>
          </w:tcPr>
          <w:p w14:paraId="6726554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5.13E-01</w:t>
            </w:r>
          </w:p>
        </w:tc>
        <w:tc>
          <w:tcPr>
            <w:tcW w:w="1134" w:type="dxa"/>
            <w:vAlign w:val="bottom"/>
          </w:tcPr>
          <w:p w14:paraId="44A3170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3.041</w:t>
            </w:r>
          </w:p>
        </w:tc>
        <w:tc>
          <w:tcPr>
            <w:tcW w:w="1218" w:type="dxa"/>
            <w:vAlign w:val="bottom"/>
          </w:tcPr>
          <w:p w14:paraId="3FB7604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0.00246</w:t>
            </w:r>
          </w:p>
        </w:tc>
      </w:tr>
      <w:tr w:rsidR="003A4E60" w:rsidRPr="001F0E92" w14:paraId="5800EC22" w14:textId="77777777" w:rsidTr="004A409C">
        <w:trPr>
          <w:jc w:val="center"/>
        </w:trPr>
        <w:tc>
          <w:tcPr>
            <w:tcW w:w="4106" w:type="dxa"/>
            <w:vAlign w:val="bottom"/>
          </w:tcPr>
          <w:p w14:paraId="536CA7C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Reef intertidal (RI)</w:t>
            </w:r>
          </w:p>
        </w:tc>
        <w:tc>
          <w:tcPr>
            <w:tcW w:w="1276" w:type="dxa"/>
            <w:vAlign w:val="bottom"/>
          </w:tcPr>
          <w:p w14:paraId="0A6D262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2.08E-02</w:t>
            </w:r>
          </w:p>
        </w:tc>
        <w:tc>
          <w:tcPr>
            <w:tcW w:w="1276" w:type="dxa"/>
            <w:vAlign w:val="bottom"/>
          </w:tcPr>
          <w:p w14:paraId="185C999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1.61E-01</w:t>
            </w:r>
          </w:p>
        </w:tc>
        <w:tc>
          <w:tcPr>
            <w:tcW w:w="1134" w:type="dxa"/>
            <w:vAlign w:val="bottom"/>
          </w:tcPr>
          <w:p w14:paraId="337D8C1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0.129</w:t>
            </w:r>
          </w:p>
        </w:tc>
        <w:tc>
          <w:tcPr>
            <w:tcW w:w="1218" w:type="dxa"/>
            <w:vAlign w:val="bottom"/>
          </w:tcPr>
          <w:p w14:paraId="72739AA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0.89707</w:t>
            </w:r>
          </w:p>
        </w:tc>
      </w:tr>
      <w:tr w:rsidR="003A4E60" w:rsidRPr="001F0E92" w14:paraId="08E098B7" w14:textId="77777777" w:rsidTr="004A409C">
        <w:trPr>
          <w:jc w:val="center"/>
        </w:trPr>
        <w:tc>
          <w:tcPr>
            <w:tcW w:w="4106" w:type="dxa"/>
            <w:vAlign w:val="bottom"/>
          </w:tcPr>
          <w:p w14:paraId="366FAAB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Mean_DL</w:t>
            </w:r>
          </w:p>
        </w:tc>
        <w:tc>
          <w:tcPr>
            <w:tcW w:w="1276" w:type="dxa"/>
            <w:vAlign w:val="bottom"/>
          </w:tcPr>
          <w:p w14:paraId="74F6256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4.33E-02</w:t>
            </w:r>
          </w:p>
        </w:tc>
        <w:tc>
          <w:tcPr>
            <w:tcW w:w="1276" w:type="dxa"/>
            <w:vAlign w:val="bottom"/>
          </w:tcPr>
          <w:p w14:paraId="2206776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5.31E-03</w:t>
            </w:r>
          </w:p>
        </w:tc>
        <w:tc>
          <w:tcPr>
            <w:tcW w:w="1134" w:type="dxa"/>
            <w:vAlign w:val="bottom"/>
          </w:tcPr>
          <w:p w14:paraId="6D1E814D" w14:textId="4796119C"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8.15</w:t>
            </w:r>
            <w:r w:rsidR="00564F44">
              <w:rPr>
                <w:rFonts w:cs="Arial"/>
                <w:color w:val="000000"/>
                <w:sz w:val="20"/>
                <w:szCs w:val="20"/>
              </w:rPr>
              <w:t>0</w:t>
            </w:r>
          </w:p>
        </w:tc>
        <w:tc>
          <w:tcPr>
            <w:tcW w:w="1218" w:type="dxa"/>
            <w:vAlign w:val="bottom"/>
          </w:tcPr>
          <w:p w14:paraId="46536899"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1.85E-15</w:t>
            </w:r>
          </w:p>
        </w:tc>
      </w:tr>
      <w:tr w:rsidR="003A4E60" w:rsidRPr="001F0E92" w14:paraId="2F71DCF2" w14:textId="77777777" w:rsidTr="004A409C">
        <w:trPr>
          <w:jc w:val="center"/>
        </w:trPr>
        <w:tc>
          <w:tcPr>
            <w:tcW w:w="4106" w:type="dxa"/>
            <w:vAlign w:val="bottom"/>
          </w:tcPr>
          <w:p w14:paraId="2B4F63DF" w14:textId="079DE455" w:rsidR="003A4E60" w:rsidRPr="001F0E92" w:rsidRDefault="003A4E60" w:rsidP="007B18F7">
            <w:pPr>
              <w:spacing w:before="0" w:after="0"/>
              <w:rPr>
                <w:rFonts w:cs="Arial"/>
                <w:sz w:val="20"/>
                <w:szCs w:val="20"/>
                <w:lang w:eastAsia="x-none"/>
              </w:rPr>
            </w:pPr>
            <w:r w:rsidRPr="001F0E92">
              <w:rPr>
                <w:rFonts w:cs="Arial"/>
                <w:color w:val="000000"/>
                <w:sz w:val="20"/>
                <w:szCs w:val="20"/>
              </w:rPr>
              <w:t xml:space="preserve">NRM_subregion – </w:t>
            </w:r>
            <w:r w:rsidR="00B72AC4">
              <w:rPr>
                <w:rFonts w:cs="Arial"/>
                <w:color w:val="000000"/>
                <w:sz w:val="20"/>
                <w:szCs w:val="20"/>
              </w:rPr>
              <w:t>Mackay–Whitsunday</w:t>
            </w:r>
            <w:r w:rsidRPr="001F0E92">
              <w:rPr>
                <w:rFonts w:cs="Arial"/>
                <w:color w:val="000000"/>
                <w:sz w:val="20"/>
                <w:szCs w:val="20"/>
              </w:rPr>
              <w:t xml:space="preserve"> (MW)</w:t>
            </w:r>
          </w:p>
        </w:tc>
        <w:tc>
          <w:tcPr>
            <w:tcW w:w="1276" w:type="dxa"/>
            <w:vAlign w:val="bottom"/>
          </w:tcPr>
          <w:p w14:paraId="1FB72F1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-1.02E-01</w:t>
            </w:r>
          </w:p>
        </w:tc>
        <w:tc>
          <w:tcPr>
            <w:tcW w:w="1276" w:type="dxa"/>
            <w:vAlign w:val="bottom"/>
          </w:tcPr>
          <w:p w14:paraId="519741D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3.40E-02</w:t>
            </w:r>
          </w:p>
        </w:tc>
        <w:tc>
          <w:tcPr>
            <w:tcW w:w="1134" w:type="dxa"/>
            <w:vAlign w:val="bottom"/>
          </w:tcPr>
          <w:p w14:paraId="32C62BA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-2.992</w:t>
            </w:r>
          </w:p>
        </w:tc>
        <w:tc>
          <w:tcPr>
            <w:tcW w:w="1218" w:type="dxa"/>
            <w:vAlign w:val="bottom"/>
          </w:tcPr>
          <w:p w14:paraId="77847462"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0.00288</w:t>
            </w:r>
          </w:p>
        </w:tc>
      </w:tr>
      <w:tr w:rsidR="003A4E60" w:rsidRPr="001F0E92" w14:paraId="6C5DACDA" w14:textId="77777777" w:rsidTr="004A409C">
        <w:trPr>
          <w:jc w:val="center"/>
        </w:trPr>
        <w:tc>
          <w:tcPr>
            <w:tcW w:w="4106" w:type="dxa"/>
            <w:vAlign w:val="bottom"/>
          </w:tcPr>
          <w:p w14:paraId="3E3607C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 – Northern Wet Tropics (NWT)</w:t>
            </w:r>
          </w:p>
        </w:tc>
        <w:tc>
          <w:tcPr>
            <w:tcW w:w="1276" w:type="dxa"/>
            <w:vAlign w:val="bottom"/>
          </w:tcPr>
          <w:p w14:paraId="39D6462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-7.75E-01</w:t>
            </w:r>
          </w:p>
        </w:tc>
        <w:tc>
          <w:tcPr>
            <w:tcW w:w="1276" w:type="dxa"/>
            <w:vAlign w:val="bottom"/>
          </w:tcPr>
          <w:p w14:paraId="6C4DF14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7.77E-02</w:t>
            </w:r>
          </w:p>
        </w:tc>
        <w:tc>
          <w:tcPr>
            <w:tcW w:w="1134" w:type="dxa"/>
            <w:vAlign w:val="bottom"/>
          </w:tcPr>
          <w:p w14:paraId="052D0F1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-9.975</w:t>
            </w:r>
          </w:p>
        </w:tc>
        <w:tc>
          <w:tcPr>
            <w:tcW w:w="1218" w:type="dxa"/>
            <w:vAlign w:val="bottom"/>
          </w:tcPr>
          <w:p w14:paraId="2CA90CD2"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7BDBCE14" w14:textId="77777777" w:rsidTr="004A409C">
        <w:trPr>
          <w:jc w:val="center"/>
        </w:trPr>
        <w:tc>
          <w:tcPr>
            <w:tcW w:w="4106" w:type="dxa"/>
            <w:vAlign w:val="bottom"/>
          </w:tcPr>
          <w:p w14:paraId="60BD1BD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 - Southern Wet Tropics (SWT)</w:t>
            </w:r>
          </w:p>
        </w:tc>
        <w:tc>
          <w:tcPr>
            <w:tcW w:w="1276" w:type="dxa"/>
            <w:vAlign w:val="bottom"/>
          </w:tcPr>
          <w:p w14:paraId="51E299B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-8.58E-02</w:t>
            </w:r>
          </w:p>
        </w:tc>
        <w:tc>
          <w:tcPr>
            <w:tcW w:w="1276" w:type="dxa"/>
            <w:vAlign w:val="bottom"/>
          </w:tcPr>
          <w:p w14:paraId="7D2FF6A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8.86E-02</w:t>
            </w:r>
          </w:p>
        </w:tc>
        <w:tc>
          <w:tcPr>
            <w:tcW w:w="1134" w:type="dxa"/>
            <w:vAlign w:val="bottom"/>
          </w:tcPr>
          <w:p w14:paraId="3416DB4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-0.969</w:t>
            </w:r>
          </w:p>
        </w:tc>
        <w:tc>
          <w:tcPr>
            <w:tcW w:w="1218" w:type="dxa"/>
            <w:vAlign w:val="bottom"/>
          </w:tcPr>
          <w:p w14:paraId="6BE6446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0.33306</w:t>
            </w:r>
          </w:p>
        </w:tc>
      </w:tr>
      <w:tr w:rsidR="003A4E60" w:rsidRPr="001F0E92" w14:paraId="679D8F4A" w14:textId="77777777" w:rsidTr="004A409C">
        <w:trPr>
          <w:jc w:val="center"/>
        </w:trPr>
        <w:tc>
          <w:tcPr>
            <w:tcW w:w="4106" w:type="dxa"/>
            <w:vAlign w:val="bottom"/>
          </w:tcPr>
          <w:p w14:paraId="3A7DD65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DIN:EI</w:t>
            </w:r>
          </w:p>
        </w:tc>
        <w:tc>
          <w:tcPr>
            <w:tcW w:w="1276" w:type="dxa"/>
            <w:vAlign w:val="bottom"/>
          </w:tcPr>
          <w:p w14:paraId="0895ACC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-9.07E-02</w:t>
            </w:r>
          </w:p>
        </w:tc>
        <w:tc>
          <w:tcPr>
            <w:tcW w:w="1276" w:type="dxa"/>
            <w:vAlign w:val="bottom"/>
          </w:tcPr>
          <w:p w14:paraId="711296A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3.39E-02</w:t>
            </w:r>
          </w:p>
        </w:tc>
        <w:tc>
          <w:tcPr>
            <w:tcW w:w="1134" w:type="dxa"/>
            <w:vAlign w:val="bottom"/>
          </w:tcPr>
          <w:p w14:paraId="712A534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-2.679</w:t>
            </w:r>
          </w:p>
        </w:tc>
        <w:tc>
          <w:tcPr>
            <w:tcW w:w="1218" w:type="dxa"/>
            <w:vAlign w:val="bottom"/>
          </w:tcPr>
          <w:p w14:paraId="7FC9465E"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0.00757</w:t>
            </w:r>
          </w:p>
        </w:tc>
      </w:tr>
      <w:tr w:rsidR="003A4E60" w:rsidRPr="001F0E92" w14:paraId="3ABBEE7E" w14:textId="77777777" w:rsidTr="004A409C">
        <w:trPr>
          <w:jc w:val="center"/>
        </w:trPr>
        <w:tc>
          <w:tcPr>
            <w:tcW w:w="4106" w:type="dxa"/>
            <w:vAlign w:val="bottom"/>
          </w:tcPr>
          <w:p w14:paraId="228EEF9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w:t>
            </w:r>
          </w:p>
        </w:tc>
        <w:tc>
          <w:tcPr>
            <w:tcW w:w="1276" w:type="dxa"/>
            <w:vAlign w:val="bottom"/>
          </w:tcPr>
          <w:p w14:paraId="60892D7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2.53E-02</w:t>
            </w:r>
          </w:p>
        </w:tc>
        <w:tc>
          <w:tcPr>
            <w:tcW w:w="1276" w:type="dxa"/>
            <w:vAlign w:val="bottom"/>
          </w:tcPr>
          <w:p w14:paraId="09A148D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8.80E-03</w:t>
            </w:r>
          </w:p>
        </w:tc>
        <w:tc>
          <w:tcPr>
            <w:tcW w:w="1134" w:type="dxa"/>
            <w:vAlign w:val="bottom"/>
          </w:tcPr>
          <w:p w14:paraId="0B74B64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2.873</w:t>
            </w:r>
          </w:p>
        </w:tc>
        <w:tc>
          <w:tcPr>
            <w:tcW w:w="1218" w:type="dxa"/>
            <w:vAlign w:val="bottom"/>
          </w:tcPr>
          <w:p w14:paraId="17809409"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0.0042</w:t>
            </w:r>
          </w:p>
        </w:tc>
      </w:tr>
      <w:tr w:rsidR="003A4E60" w:rsidRPr="001F0E92" w14:paraId="082E9839" w14:textId="77777777" w:rsidTr="004A409C">
        <w:trPr>
          <w:jc w:val="center"/>
        </w:trPr>
        <w:tc>
          <w:tcPr>
            <w:tcW w:w="4106" w:type="dxa"/>
            <w:vAlign w:val="bottom"/>
          </w:tcPr>
          <w:p w14:paraId="56B92DB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DIN:Mean_DL</w:t>
            </w:r>
          </w:p>
        </w:tc>
        <w:tc>
          <w:tcPr>
            <w:tcW w:w="1276" w:type="dxa"/>
            <w:vAlign w:val="bottom"/>
          </w:tcPr>
          <w:p w14:paraId="191BAC6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2.49E-05</w:t>
            </w:r>
          </w:p>
        </w:tc>
        <w:tc>
          <w:tcPr>
            <w:tcW w:w="1276" w:type="dxa"/>
            <w:vAlign w:val="bottom"/>
          </w:tcPr>
          <w:p w14:paraId="55B2E7D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2.72E-04</w:t>
            </w:r>
          </w:p>
        </w:tc>
        <w:tc>
          <w:tcPr>
            <w:tcW w:w="1134" w:type="dxa"/>
            <w:vAlign w:val="bottom"/>
          </w:tcPr>
          <w:p w14:paraId="4B74911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0.091</w:t>
            </w:r>
          </w:p>
        </w:tc>
        <w:tc>
          <w:tcPr>
            <w:tcW w:w="1218" w:type="dxa"/>
            <w:vAlign w:val="bottom"/>
          </w:tcPr>
          <w:p w14:paraId="51F03BA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0.92732</w:t>
            </w:r>
          </w:p>
        </w:tc>
      </w:tr>
      <w:tr w:rsidR="003A4E60" w:rsidRPr="001F0E92" w14:paraId="63FC519E" w14:textId="77777777" w:rsidTr="004A409C">
        <w:trPr>
          <w:jc w:val="center"/>
        </w:trPr>
        <w:tc>
          <w:tcPr>
            <w:tcW w:w="4106" w:type="dxa"/>
            <w:vAlign w:val="bottom"/>
          </w:tcPr>
          <w:p w14:paraId="7E92688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DIN:MW</w:t>
            </w:r>
          </w:p>
        </w:tc>
        <w:tc>
          <w:tcPr>
            <w:tcW w:w="1276" w:type="dxa"/>
            <w:vAlign w:val="bottom"/>
          </w:tcPr>
          <w:p w14:paraId="51C1924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2.64E-04</w:t>
            </w:r>
          </w:p>
        </w:tc>
        <w:tc>
          <w:tcPr>
            <w:tcW w:w="1276" w:type="dxa"/>
            <w:vAlign w:val="bottom"/>
          </w:tcPr>
          <w:p w14:paraId="0A15C2A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2.55E-03</w:t>
            </w:r>
          </w:p>
        </w:tc>
        <w:tc>
          <w:tcPr>
            <w:tcW w:w="1134" w:type="dxa"/>
            <w:vAlign w:val="bottom"/>
          </w:tcPr>
          <w:p w14:paraId="7FDA3D9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0.104</w:t>
            </w:r>
          </w:p>
        </w:tc>
        <w:tc>
          <w:tcPr>
            <w:tcW w:w="1218" w:type="dxa"/>
            <w:vAlign w:val="bottom"/>
          </w:tcPr>
          <w:p w14:paraId="727A96E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0.91755</w:t>
            </w:r>
          </w:p>
        </w:tc>
      </w:tr>
      <w:tr w:rsidR="003A4E60" w:rsidRPr="001F0E92" w14:paraId="26AC3F77" w14:textId="77777777" w:rsidTr="004A409C">
        <w:trPr>
          <w:jc w:val="center"/>
        </w:trPr>
        <w:tc>
          <w:tcPr>
            <w:tcW w:w="4106" w:type="dxa"/>
            <w:vAlign w:val="bottom"/>
          </w:tcPr>
          <w:p w14:paraId="61D406A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DIN:NWT</w:t>
            </w:r>
          </w:p>
        </w:tc>
        <w:tc>
          <w:tcPr>
            <w:tcW w:w="1276" w:type="dxa"/>
            <w:vAlign w:val="bottom"/>
          </w:tcPr>
          <w:p w14:paraId="1E10BA0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1.05E-02</w:t>
            </w:r>
          </w:p>
        </w:tc>
        <w:tc>
          <w:tcPr>
            <w:tcW w:w="1276" w:type="dxa"/>
            <w:vAlign w:val="bottom"/>
          </w:tcPr>
          <w:p w14:paraId="02BD1AE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3.16E-03</w:t>
            </w:r>
          </w:p>
        </w:tc>
        <w:tc>
          <w:tcPr>
            <w:tcW w:w="1134" w:type="dxa"/>
            <w:vAlign w:val="bottom"/>
          </w:tcPr>
          <w:p w14:paraId="2BBCBAA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3.308</w:t>
            </w:r>
          </w:p>
        </w:tc>
        <w:tc>
          <w:tcPr>
            <w:tcW w:w="1218" w:type="dxa"/>
            <w:vAlign w:val="bottom"/>
          </w:tcPr>
          <w:p w14:paraId="0252344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0.00099</w:t>
            </w:r>
          </w:p>
        </w:tc>
      </w:tr>
      <w:tr w:rsidR="003A4E60" w:rsidRPr="001F0E92" w14:paraId="0917F0A9" w14:textId="77777777" w:rsidTr="004A409C">
        <w:trPr>
          <w:jc w:val="center"/>
        </w:trPr>
        <w:tc>
          <w:tcPr>
            <w:tcW w:w="4106" w:type="dxa"/>
            <w:vAlign w:val="bottom"/>
          </w:tcPr>
          <w:p w14:paraId="390B908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DIN:SWT</w:t>
            </w:r>
          </w:p>
        </w:tc>
        <w:tc>
          <w:tcPr>
            <w:tcW w:w="1276" w:type="dxa"/>
            <w:vAlign w:val="bottom"/>
          </w:tcPr>
          <w:p w14:paraId="0BB347E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5.10E-04</w:t>
            </w:r>
          </w:p>
        </w:tc>
        <w:tc>
          <w:tcPr>
            <w:tcW w:w="1276" w:type="dxa"/>
            <w:vAlign w:val="bottom"/>
          </w:tcPr>
          <w:p w14:paraId="77DB4F9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4.21E-03</w:t>
            </w:r>
          </w:p>
        </w:tc>
        <w:tc>
          <w:tcPr>
            <w:tcW w:w="1134" w:type="dxa"/>
            <w:vAlign w:val="bottom"/>
          </w:tcPr>
          <w:p w14:paraId="33898E2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0.121</w:t>
            </w:r>
          </w:p>
        </w:tc>
        <w:tc>
          <w:tcPr>
            <w:tcW w:w="1218" w:type="dxa"/>
            <w:vAlign w:val="bottom"/>
          </w:tcPr>
          <w:p w14:paraId="3F1E510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0.90369</w:t>
            </w:r>
          </w:p>
        </w:tc>
      </w:tr>
      <w:tr w:rsidR="003A4E60" w:rsidRPr="001F0E92" w14:paraId="062DBAEA" w14:textId="77777777" w:rsidTr="004A409C">
        <w:trPr>
          <w:jc w:val="center"/>
        </w:trPr>
        <w:tc>
          <w:tcPr>
            <w:tcW w:w="4106" w:type="dxa"/>
            <w:vAlign w:val="bottom"/>
          </w:tcPr>
          <w:p w14:paraId="767838D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EI:Mean_DL</w:t>
            </w:r>
          </w:p>
        </w:tc>
        <w:tc>
          <w:tcPr>
            <w:tcW w:w="1276" w:type="dxa"/>
            <w:vAlign w:val="bottom"/>
          </w:tcPr>
          <w:p w14:paraId="7D28975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-1.41E-01</w:t>
            </w:r>
          </w:p>
        </w:tc>
        <w:tc>
          <w:tcPr>
            <w:tcW w:w="1276" w:type="dxa"/>
            <w:vAlign w:val="bottom"/>
          </w:tcPr>
          <w:p w14:paraId="1942062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4.58E-02</w:t>
            </w:r>
          </w:p>
        </w:tc>
        <w:tc>
          <w:tcPr>
            <w:tcW w:w="1134" w:type="dxa"/>
            <w:vAlign w:val="bottom"/>
          </w:tcPr>
          <w:p w14:paraId="14F1AB4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-3.089</w:t>
            </w:r>
          </w:p>
        </w:tc>
        <w:tc>
          <w:tcPr>
            <w:tcW w:w="1218" w:type="dxa"/>
            <w:vAlign w:val="bottom"/>
          </w:tcPr>
          <w:p w14:paraId="16459339"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0.0021</w:t>
            </w:r>
          </w:p>
        </w:tc>
      </w:tr>
      <w:tr w:rsidR="003A4E60" w:rsidRPr="001F0E92" w14:paraId="6BF7DA68" w14:textId="77777777" w:rsidTr="004A409C">
        <w:trPr>
          <w:jc w:val="center"/>
        </w:trPr>
        <w:tc>
          <w:tcPr>
            <w:tcW w:w="4106" w:type="dxa"/>
            <w:vAlign w:val="bottom"/>
          </w:tcPr>
          <w:p w14:paraId="2368683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RI:NRM_subregionMackay</w:t>
            </w:r>
          </w:p>
        </w:tc>
        <w:tc>
          <w:tcPr>
            <w:tcW w:w="1276" w:type="dxa"/>
            <w:vAlign w:val="bottom"/>
          </w:tcPr>
          <w:p w14:paraId="7773E61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-3.68E-03</w:t>
            </w:r>
          </w:p>
        </w:tc>
        <w:tc>
          <w:tcPr>
            <w:tcW w:w="1276" w:type="dxa"/>
            <w:vAlign w:val="bottom"/>
          </w:tcPr>
          <w:p w14:paraId="344E085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1.18E-02</w:t>
            </w:r>
          </w:p>
        </w:tc>
        <w:tc>
          <w:tcPr>
            <w:tcW w:w="1134" w:type="dxa"/>
            <w:vAlign w:val="bottom"/>
          </w:tcPr>
          <w:p w14:paraId="30A20C3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-0.313</w:t>
            </w:r>
          </w:p>
        </w:tc>
        <w:tc>
          <w:tcPr>
            <w:tcW w:w="1218" w:type="dxa"/>
            <w:vAlign w:val="bottom"/>
          </w:tcPr>
          <w:p w14:paraId="53BBF02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0.75413</w:t>
            </w:r>
          </w:p>
        </w:tc>
      </w:tr>
      <w:tr w:rsidR="003A4E60" w:rsidRPr="001F0E92" w14:paraId="0AA6FAEF" w14:textId="77777777" w:rsidTr="004A409C">
        <w:trPr>
          <w:jc w:val="center"/>
        </w:trPr>
        <w:tc>
          <w:tcPr>
            <w:tcW w:w="4106" w:type="dxa"/>
            <w:vAlign w:val="bottom"/>
          </w:tcPr>
          <w:p w14:paraId="1E82BF5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RI:MW</w:t>
            </w:r>
          </w:p>
        </w:tc>
        <w:tc>
          <w:tcPr>
            <w:tcW w:w="1276" w:type="dxa"/>
            <w:vAlign w:val="bottom"/>
          </w:tcPr>
          <w:p w14:paraId="18F44F1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-3.86E-01</w:t>
            </w:r>
          </w:p>
        </w:tc>
        <w:tc>
          <w:tcPr>
            <w:tcW w:w="1276" w:type="dxa"/>
            <w:vAlign w:val="bottom"/>
          </w:tcPr>
          <w:p w14:paraId="6F8B0C4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4.58E-02</w:t>
            </w:r>
          </w:p>
        </w:tc>
        <w:tc>
          <w:tcPr>
            <w:tcW w:w="1134" w:type="dxa"/>
            <w:vAlign w:val="bottom"/>
          </w:tcPr>
          <w:p w14:paraId="4463FC3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-8.422</w:t>
            </w:r>
          </w:p>
        </w:tc>
        <w:tc>
          <w:tcPr>
            <w:tcW w:w="1218" w:type="dxa"/>
            <w:vAlign w:val="bottom"/>
          </w:tcPr>
          <w:p w14:paraId="4ACF3813"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2.33E-16</w:t>
            </w:r>
          </w:p>
        </w:tc>
      </w:tr>
      <w:tr w:rsidR="003A4E60" w:rsidRPr="001F0E92" w14:paraId="79791435" w14:textId="77777777" w:rsidTr="004A409C">
        <w:trPr>
          <w:jc w:val="center"/>
        </w:trPr>
        <w:tc>
          <w:tcPr>
            <w:tcW w:w="4106" w:type="dxa"/>
            <w:vAlign w:val="bottom"/>
          </w:tcPr>
          <w:p w14:paraId="42F567F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RI:SWT</w:t>
            </w:r>
          </w:p>
        </w:tc>
        <w:tc>
          <w:tcPr>
            <w:tcW w:w="1276" w:type="dxa"/>
            <w:vAlign w:val="bottom"/>
          </w:tcPr>
          <w:p w14:paraId="5BA2FB1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4.78E-01</w:t>
            </w:r>
          </w:p>
        </w:tc>
        <w:tc>
          <w:tcPr>
            <w:tcW w:w="1276" w:type="dxa"/>
            <w:vAlign w:val="bottom"/>
          </w:tcPr>
          <w:p w14:paraId="1688C68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5.35E-02</w:t>
            </w:r>
          </w:p>
        </w:tc>
        <w:tc>
          <w:tcPr>
            <w:tcW w:w="1134" w:type="dxa"/>
            <w:vAlign w:val="bottom"/>
          </w:tcPr>
          <w:p w14:paraId="183502F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8.941</w:t>
            </w:r>
          </w:p>
        </w:tc>
        <w:tc>
          <w:tcPr>
            <w:tcW w:w="1218" w:type="dxa"/>
            <w:vAlign w:val="bottom"/>
          </w:tcPr>
          <w:p w14:paraId="44BF49A5"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5F6001B9" w14:textId="77777777" w:rsidTr="007B18F7">
        <w:trPr>
          <w:jc w:val="center"/>
        </w:trPr>
        <w:tc>
          <w:tcPr>
            <w:tcW w:w="4106" w:type="dxa"/>
            <w:vAlign w:val="bottom"/>
          </w:tcPr>
          <w:p w14:paraId="35092A3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DIN:EI:Mean_DL</w:t>
            </w:r>
          </w:p>
        </w:tc>
        <w:tc>
          <w:tcPr>
            <w:tcW w:w="1276" w:type="dxa"/>
            <w:vAlign w:val="bottom"/>
          </w:tcPr>
          <w:p w14:paraId="3BA56EA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7.51E-03</w:t>
            </w:r>
          </w:p>
        </w:tc>
        <w:tc>
          <w:tcPr>
            <w:tcW w:w="1276" w:type="dxa"/>
            <w:vAlign w:val="bottom"/>
          </w:tcPr>
          <w:p w14:paraId="5492BB0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2.94E-03</w:t>
            </w:r>
          </w:p>
        </w:tc>
        <w:tc>
          <w:tcPr>
            <w:tcW w:w="1134" w:type="dxa"/>
            <w:vAlign w:val="bottom"/>
          </w:tcPr>
          <w:p w14:paraId="1C1D1A5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2.555</w:t>
            </w:r>
          </w:p>
        </w:tc>
        <w:tc>
          <w:tcPr>
            <w:tcW w:w="1218" w:type="dxa"/>
            <w:vAlign w:val="bottom"/>
          </w:tcPr>
          <w:p w14:paraId="23892513"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0.01083</w:t>
            </w:r>
          </w:p>
        </w:tc>
      </w:tr>
      <w:tr w:rsidR="003A4E60" w:rsidRPr="001F0E92" w14:paraId="67F19588" w14:textId="77777777" w:rsidTr="007B18F7">
        <w:trPr>
          <w:jc w:val="center"/>
        </w:trPr>
        <w:tc>
          <w:tcPr>
            <w:tcW w:w="4106" w:type="dxa"/>
            <w:tcBorders>
              <w:bottom w:val="single" w:sz="4" w:space="0" w:color="auto"/>
            </w:tcBorders>
            <w:vAlign w:val="bottom"/>
          </w:tcPr>
          <w:p w14:paraId="012EFC6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DIN:RI:Mean_DL</w:t>
            </w:r>
          </w:p>
        </w:tc>
        <w:tc>
          <w:tcPr>
            <w:tcW w:w="1276" w:type="dxa"/>
            <w:tcBorders>
              <w:bottom w:val="single" w:sz="4" w:space="0" w:color="auto"/>
            </w:tcBorders>
            <w:vAlign w:val="bottom"/>
          </w:tcPr>
          <w:p w14:paraId="029618B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-1.75E-03</w:t>
            </w:r>
          </w:p>
        </w:tc>
        <w:tc>
          <w:tcPr>
            <w:tcW w:w="1276" w:type="dxa"/>
            <w:tcBorders>
              <w:bottom w:val="single" w:sz="4" w:space="0" w:color="auto"/>
            </w:tcBorders>
            <w:vAlign w:val="bottom"/>
          </w:tcPr>
          <w:p w14:paraId="533E224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5.98E-04</w:t>
            </w:r>
          </w:p>
        </w:tc>
        <w:tc>
          <w:tcPr>
            <w:tcW w:w="1134" w:type="dxa"/>
            <w:tcBorders>
              <w:bottom w:val="single" w:sz="4" w:space="0" w:color="auto"/>
            </w:tcBorders>
            <w:vAlign w:val="bottom"/>
          </w:tcPr>
          <w:p w14:paraId="11B508C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-2.921</w:t>
            </w:r>
          </w:p>
        </w:tc>
        <w:tc>
          <w:tcPr>
            <w:tcW w:w="1218" w:type="dxa"/>
            <w:tcBorders>
              <w:bottom w:val="single" w:sz="4" w:space="0" w:color="auto"/>
            </w:tcBorders>
            <w:vAlign w:val="bottom"/>
          </w:tcPr>
          <w:p w14:paraId="691F118F"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0.00361</w:t>
            </w:r>
          </w:p>
        </w:tc>
      </w:tr>
    </w:tbl>
    <w:p w14:paraId="38F1E2C1" w14:textId="77777777" w:rsidR="007B18F7" w:rsidRPr="001F0E92" w:rsidRDefault="007B18F7" w:rsidP="003A4E60">
      <w:pPr>
        <w:rPr>
          <w:rFonts w:cs="Arial"/>
          <w:szCs w:val="22"/>
          <w:lang w:eastAsia="x-none"/>
        </w:rPr>
      </w:pPr>
    </w:p>
    <w:p w14:paraId="088B23B3" w14:textId="33B6AB39" w:rsidR="003A4E60" w:rsidRPr="001F0E92" w:rsidRDefault="003A4E60" w:rsidP="003A4E60">
      <w:pPr>
        <w:rPr>
          <w:rFonts w:cs="Arial"/>
          <w:szCs w:val="22"/>
          <w:lang w:eastAsia="x-none"/>
        </w:rPr>
      </w:pPr>
      <w:r w:rsidRPr="001F0E92">
        <w:rPr>
          <w:rFonts w:cs="Arial"/>
          <w:szCs w:val="22"/>
          <w:lang w:eastAsia="x-none"/>
        </w:rPr>
        <w:t xml:space="preserve">Table A2. </w:t>
      </w:r>
      <w:r w:rsidRPr="007B18F7">
        <w:rPr>
          <w:rFonts w:cs="Arial"/>
          <w:i/>
          <w:szCs w:val="22"/>
          <w:lang w:eastAsia="x-none"/>
        </w:rPr>
        <w:t>Model 1 (M1) – ANOVA of the effects of DIN loading, mean daily light, region, and habitat on the C:N ratio of all seagrasses species pooled.</w:t>
      </w:r>
      <w:r w:rsidR="009F428E" w:rsidRPr="007B18F7">
        <w:rPr>
          <w:rFonts w:cs="Arial"/>
          <w:i/>
          <w:szCs w:val="22"/>
          <w:lang w:eastAsia="x-none"/>
        </w:rPr>
        <w:t xml:space="preserve"> Bold </w:t>
      </w:r>
      <w:r w:rsidR="007B18F7" w:rsidRPr="007B18F7">
        <w:rPr>
          <w:rFonts w:cs="Arial"/>
          <w:i/>
          <w:szCs w:val="22"/>
          <w:lang w:eastAsia="x-none"/>
        </w:rPr>
        <w:t xml:space="preserve">P-values </w:t>
      </w:r>
      <w:r w:rsidR="009F428E" w:rsidRPr="007B18F7">
        <w:rPr>
          <w:rFonts w:cs="Arial"/>
          <w:i/>
          <w:szCs w:val="22"/>
          <w:lang w:eastAsia="x-none"/>
        </w:rPr>
        <w:t>indicates significant</w:t>
      </w:r>
      <w:r w:rsidR="007B18F7" w:rsidRPr="007B18F7">
        <w:rPr>
          <w:rFonts w:cs="Arial"/>
          <w:i/>
          <w:szCs w:val="22"/>
          <w:lang w:eastAsia="x-none"/>
        </w:rPr>
        <w:t>.</w:t>
      </w:r>
    </w:p>
    <w:tbl>
      <w:tblPr>
        <w:tblW w:w="0" w:type="auto"/>
        <w:jc w:val="center"/>
        <w:tblLook w:val="04A0" w:firstRow="1" w:lastRow="0" w:firstColumn="1" w:lastColumn="0" w:noHBand="0" w:noVBand="1"/>
      </w:tblPr>
      <w:tblGrid>
        <w:gridCol w:w="2351"/>
        <w:gridCol w:w="550"/>
        <w:gridCol w:w="961"/>
        <w:gridCol w:w="1039"/>
        <w:gridCol w:w="939"/>
        <w:gridCol w:w="1145"/>
      </w:tblGrid>
      <w:tr w:rsidR="003A4E60" w:rsidRPr="004A409C" w14:paraId="18BE5711" w14:textId="77777777" w:rsidTr="007B18F7">
        <w:trPr>
          <w:jc w:val="center"/>
        </w:trPr>
        <w:tc>
          <w:tcPr>
            <w:tcW w:w="0" w:type="auto"/>
            <w:tcBorders>
              <w:top w:val="single" w:sz="4" w:space="0" w:color="auto"/>
              <w:bottom w:val="single" w:sz="4" w:space="0" w:color="auto"/>
            </w:tcBorders>
            <w:vAlign w:val="bottom"/>
          </w:tcPr>
          <w:p w14:paraId="5CE53C27" w14:textId="77777777" w:rsidR="003A4E60" w:rsidRPr="004A409C" w:rsidRDefault="003A4E60" w:rsidP="007B18F7">
            <w:pPr>
              <w:spacing w:before="0" w:after="0"/>
              <w:rPr>
                <w:rFonts w:cs="Arial"/>
                <w:b/>
                <w:sz w:val="20"/>
                <w:szCs w:val="20"/>
                <w:lang w:eastAsia="x-none"/>
              </w:rPr>
            </w:pPr>
            <w:r w:rsidRPr="004A409C">
              <w:rPr>
                <w:rFonts w:cs="Arial"/>
                <w:b/>
                <w:sz w:val="20"/>
                <w:szCs w:val="20"/>
                <w:lang w:eastAsia="x-none"/>
              </w:rPr>
              <w:t>Parameters</w:t>
            </w:r>
          </w:p>
        </w:tc>
        <w:tc>
          <w:tcPr>
            <w:tcW w:w="0" w:type="auto"/>
            <w:tcBorders>
              <w:top w:val="single" w:sz="4" w:space="0" w:color="auto"/>
              <w:bottom w:val="single" w:sz="4" w:space="0" w:color="auto"/>
            </w:tcBorders>
            <w:vAlign w:val="bottom"/>
          </w:tcPr>
          <w:p w14:paraId="614191DC" w14:textId="77777777" w:rsidR="003A4E60" w:rsidRPr="004A409C" w:rsidRDefault="003A4E60" w:rsidP="007B18F7">
            <w:pPr>
              <w:spacing w:before="0" w:after="0"/>
              <w:rPr>
                <w:rFonts w:cs="Arial"/>
                <w:b/>
                <w:sz w:val="20"/>
                <w:szCs w:val="20"/>
                <w:lang w:eastAsia="x-none"/>
              </w:rPr>
            </w:pPr>
            <w:r w:rsidRPr="004A409C">
              <w:rPr>
                <w:rFonts w:cs="Arial"/>
                <w:b/>
                <w:color w:val="000000"/>
                <w:sz w:val="20"/>
                <w:szCs w:val="20"/>
              </w:rPr>
              <w:t>Df</w:t>
            </w:r>
          </w:p>
        </w:tc>
        <w:tc>
          <w:tcPr>
            <w:tcW w:w="0" w:type="auto"/>
            <w:tcBorders>
              <w:top w:val="single" w:sz="4" w:space="0" w:color="auto"/>
              <w:bottom w:val="single" w:sz="4" w:space="0" w:color="auto"/>
            </w:tcBorders>
            <w:vAlign w:val="bottom"/>
          </w:tcPr>
          <w:p w14:paraId="2B85A221" w14:textId="77777777" w:rsidR="003A4E60" w:rsidRPr="004A409C" w:rsidRDefault="003A4E60" w:rsidP="007B18F7">
            <w:pPr>
              <w:spacing w:before="0" w:after="0"/>
              <w:rPr>
                <w:rFonts w:cs="Arial"/>
                <w:b/>
                <w:sz w:val="20"/>
                <w:szCs w:val="20"/>
                <w:lang w:eastAsia="x-none"/>
              </w:rPr>
            </w:pPr>
            <w:r w:rsidRPr="004A409C">
              <w:rPr>
                <w:rFonts w:cs="Arial"/>
                <w:b/>
                <w:color w:val="000000"/>
                <w:sz w:val="20"/>
                <w:szCs w:val="20"/>
              </w:rPr>
              <w:t>Sum Sq</w:t>
            </w:r>
          </w:p>
        </w:tc>
        <w:tc>
          <w:tcPr>
            <w:tcW w:w="0" w:type="auto"/>
            <w:tcBorders>
              <w:top w:val="single" w:sz="4" w:space="0" w:color="auto"/>
              <w:bottom w:val="single" w:sz="4" w:space="0" w:color="auto"/>
            </w:tcBorders>
            <w:vAlign w:val="bottom"/>
          </w:tcPr>
          <w:p w14:paraId="40A99378" w14:textId="77777777" w:rsidR="003A4E60" w:rsidRPr="004A409C" w:rsidRDefault="003A4E60" w:rsidP="007B18F7">
            <w:pPr>
              <w:spacing w:before="0" w:after="0"/>
              <w:rPr>
                <w:rFonts w:cs="Arial"/>
                <w:b/>
                <w:sz w:val="20"/>
                <w:szCs w:val="20"/>
                <w:lang w:eastAsia="x-none"/>
              </w:rPr>
            </w:pPr>
            <w:r w:rsidRPr="004A409C">
              <w:rPr>
                <w:rFonts w:cs="Arial"/>
                <w:b/>
                <w:color w:val="000000"/>
                <w:sz w:val="20"/>
                <w:szCs w:val="20"/>
              </w:rPr>
              <w:t>Mean Sq</w:t>
            </w:r>
          </w:p>
        </w:tc>
        <w:tc>
          <w:tcPr>
            <w:tcW w:w="0" w:type="auto"/>
            <w:tcBorders>
              <w:top w:val="single" w:sz="4" w:space="0" w:color="auto"/>
              <w:bottom w:val="single" w:sz="4" w:space="0" w:color="auto"/>
            </w:tcBorders>
            <w:vAlign w:val="bottom"/>
          </w:tcPr>
          <w:p w14:paraId="448B475F" w14:textId="77777777" w:rsidR="003A4E60" w:rsidRPr="004A409C" w:rsidRDefault="003A4E60" w:rsidP="007B18F7">
            <w:pPr>
              <w:spacing w:before="0" w:after="0"/>
              <w:rPr>
                <w:rFonts w:cs="Arial"/>
                <w:b/>
                <w:sz w:val="20"/>
                <w:szCs w:val="20"/>
                <w:lang w:eastAsia="x-none"/>
              </w:rPr>
            </w:pPr>
            <w:r w:rsidRPr="004A409C">
              <w:rPr>
                <w:rFonts w:cs="Arial"/>
                <w:b/>
                <w:color w:val="000000"/>
                <w:sz w:val="20"/>
                <w:szCs w:val="20"/>
              </w:rPr>
              <w:t>F value</w:t>
            </w:r>
          </w:p>
        </w:tc>
        <w:tc>
          <w:tcPr>
            <w:tcW w:w="0" w:type="auto"/>
            <w:tcBorders>
              <w:top w:val="single" w:sz="4" w:space="0" w:color="auto"/>
              <w:bottom w:val="single" w:sz="4" w:space="0" w:color="auto"/>
            </w:tcBorders>
            <w:vAlign w:val="bottom"/>
          </w:tcPr>
          <w:p w14:paraId="2E3DED1E" w14:textId="77777777" w:rsidR="003A4E60" w:rsidRPr="004A409C" w:rsidRDefault="003A4E60" w:rsidP="007B18F7">
            <w:pPr>
              <w:spacing w:before="0" w:after="0"/>
              <w:rPr>
                <w:rFonts w:cs="Arial"/>
                <w:b/>
                <w:sz w:val="20"/>
                <w:szCs w:val="20"/>
                <w:lang w:eastAsia="x-none"/>
              </w:rPr>
            </w:pPr>
            <w:r w:rsidRPr="004A409C">
              <w:rPr>
                <w:rFonts w:cs="Arial"/>
                <w:b/>
                <w:color w:val="000000"/>
                <w:sz w:val="20"/>
                <w:szCs w:val="20"/>
              </w:rPr>
              <w:t>P-value</w:t>
            </w:r>
          </w:p>
        </w:tc>
      </w:tr>
      <w:tr w:rsidR="003A4E60" w:rsidRPr="001F0E92" w14:paraId="685C5C48" w14:textId="77777777" w:rsidTr="007B18F7">
        <w:trPr>
          <w:jc w:val="center"/>
        </w:trPr>
        <w:tc>
          <w:tcPr>
            <w:tcW w:w="0" w:type="auto"/>
            <w:tcBorders>
              <w:top w:val="single" w:sz="4" w:space="0" w:color="auto"/>
            </w:tcBorders>
            <w:vAlign w:val="bottom"/>
          </w:tcPr>
          <w:p w14:paraId="591EDF5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0" w:type="auto"/>
            <w:tcBorders>
              <w:top w:val="single" w:sz="4" w:space="0" w:color="auto"/>
            </w:tcBorders>
            <w:vAlign w:val="bottom"/>
          </w:tcPr>
          <w:p w14:paraId="106C223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tcBorders>
              <w:top w:val="single" w:sz="4" w:space="0" w:color="auto"/>
            </w:tcBorders>
            <w:vAlign w:val="bottom"/>
          </w:tcPr>
          <w:p w14:paraId="1F68941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w:t>
            </w:r>
          </w:p>
        </w:tc>
        <w:tc>
          <w:tcPr>
            <w:tcW w:w="0" w:type="auto"/>
            <w:tcBorders>
              <w:top w:val="single" w:sz="4" w:space="0" w:color="auto"/>
            </w:tcBorders>
            <w:vAlign w:val="bottom"/>
          </w:tcPr>
          <w:p w14:paraId="0A06B5A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6.1</w:t>
            </w:r>
          </w:p>
        </w:tc>
        <w:tc>
          <w:tcPr>
            <w:tcW w:w="0" w:type="auto"/>
            <w:tcBorders>
              <w:top w:val="single" w:sz="4" w:space="0" w:color="auto"/>
            </w:tcBorders>
            <w:vAlign w:val="bottom"/>
          </w:tcPr>
          <w:p w14:paraId="3E73024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0.754</w:t>
            </w:r>
          </w:p>
        </w:tc>
        <w:tc>
          <w:tcPr>
            <w:tcW w:w="0" w:type="auto"/>
            <w:tcBorders>
              <w:top w:val="single" w:sz="4" w:space="0" w:color="auto"/>
            </w:tcBorders>
            <w:vAlign w:val="bottom"/>
          </w:tcPr>
          <w:p w14:paraId="5D2B7CB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0.38557</w:t>
            </w:r>
          </w:p>
        </w:tc>
      </w:tr>
      <w:tr w:rsidR="003A4E60" w:rsidRPr="001F0E92" w14:paraId="310F12E8" w14:textId="77777777" w:rsidTr="004A409C">
        <w:trPr>
          <w:jc w:val="center"/>
        </w:trPr>
        <w:tc>
          <w:tcPr>
            <w:tcW w:w="0" w:type="auto"/>
            <w:vAlign w:val="bottom"/>
          </w:tcPr>
          <w:p w14:paraId="3A4D344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w:t>
            </w:r>
          </w:p>
        </w:tc>
        <w:tc>
          <w:tcPr>
            <w:tcW w:w="0" w:type="auto"/>
            <w:vAlign w:val="bottom"/>
          </w:tcPr>
          <w:p w14:paraId="3EDABCB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6886922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952</w:t>
            </w:r>
          </w:p>
        </w:tc>
        <w:tc>
          <w:tcPr>
            <w:tcW w:w="0" w:type="auto"/>
            <w:vAlign w:val="bottom"/>
          </w:tcPr>
          <w:p w14:paraId="0DA265B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475.8</w:t>
            </w:r>
          </w:p>
        </w:tc>
        <w:tc>
          <w:tcPr>
            <w:tcW w:w="0" w:type="auto"/>
            <w:vAlign w:val="bottom"/>
          </w:tcPr>
          <w:p w14:paraId="2A25257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59.209</w:t>
            </w:r>
          </w:p>
        </w:tc>
        <w:tc>
          <w:tcPr>
            <w:tcW w:w="0" w:type="auto"/>
            <w:vAlign w:val="bottom"/>
          </w:tcPr>
          <w:p w14:paraId="6E1B86CB"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59028CB9" w14:textId="77777777" w:rsidTr="004A409C">
        <w:trPr>
          <w:jc w:val="center"/>
        </w:trPr>
        <w:tc>
          <w:tcPr>
            <w:tcW w:w="0" w:type="auto"/>
            <w:vAlign w:val="bottom"/>
          </w:tcPr>
          <w:p w14:paraId="2A551D2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Mean_DL</w:t>
            </w:r>
          </w:p>
        </w:tc>
        <w:tc>
          <w:tcPr>
            <w:tcW w:w="0" w:type="auto"/>
            <w:vAlign w:val="bottom"/>
          </w:tcPr>
          <w:p w14:paraId="1E4D51D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17488C2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167</w:t>
            </w:r>
          </w:p>
        </w:tc>
        <w:tc>
          <w:tcPr>
            <w:tcW w:w="0" w:type="auto"/>
            <w:vAlign w:val="bottom"/>
          </w:tcPr>
          <w:p w14:paraId="55367E9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166.6</w:t>
            </w:r>
          </w:p>
        </w:tc>
        <w:tc>
          <w:tcPr>
            <w:tcW w:w="0" w:type="auto"/>
            <w:vAlign w:val="bottom"/>
          </w:tcPr>
          <w:p w14:paraId="26A3B52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20.731</w:t>
            </w:r>
          </w:p>
        </w:tc>
        <w:tc>
          <w:tcPr>
            <w:tcW w:w="0" w:type="auto"/>
            <w:vAlign w:val="bottom"/>
          </w:tcPr>
          <w:p w14:paraId="7168B55C"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6.30E-06</w:t>
            </w:r>
          </w:p>
        </w:tc>
      </w:tr>
      <w:tr w:rsidR="003A4E60" w:rsidRPr="001F0E92" w14:paraId="10B896AF" w14:textId="77777777" w:rsidTr="004A409C">
        <w:trPr>
          <w:jc w:val="center"/>
        </w:trPr>
        <w:tc>
          <w:tcPr>
            <w:tcW w:w="0" w:type="auto"/>
            <w:vAlign w:val="bottom"/>
          </w:tcPr>
          <w:p w14:paraId="51DD6A4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w:t>
            </w:r>
          </w:p>
        </w:tc>
        <w:tc>
          <w:tcPr>
            <w:tcW w:w="0" w:type="auto"/>
            <w:vAlign w:val="bottom"/>
          </w:tcPr>
          <w:p w14:paraId="3641F94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1C06204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762</w:t>
            </w:r>
          </w:p>
        </w:tc>
        <w:tc>
          <w:tcPr>
            <w:tcW w:w="0" w:type="auto"/>
            <w:vAlign w:val="bottom"/>
          </w:tcPr>
          <w:p w14:paraId="3211B9D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254.1</w:t>
            </w:r>
          </w:p>
        </w:tc>
        <w:tc>
          <w:tcPr>
            <w:tcW w:w="0" w:type="auto"/>
            <w:vAlign w:val="bottom"/>
          </w:tcPr>
          <w:p w14:paraId="6D13F3E0" w14:textId="647A7568"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31.62</w:t>
            </w:r>
            <w:r w:rsidR="00564F44">
              <w:rPr>
                <w:rFonts w:cs="Arial"/>
                <w:color w:val="000000"/>
                <w:sz w:val="20"/>
                <w:szCs w:val="20"/>
              </w:rPr>
              <w:t>0</w:t>
            </w:r>
          </w:p>
        </w:tc>
        <w:tc>
          <w:tcPr>
            <w:tcW w:w="0" w:type="auto"/>
            <w:vAlign w:val="bottom"/>
          </w:tcPr>
          <w:p w14:paraId="317FD91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5492E5D3" w14:textId="77777777" w:rsidTr="004A409C">
        <w:trPr>
          <w:jc w:val="center"/>
        </w:trPr>
        <w:tc>
          <w:tcPr>
            <w:tcW w:w="0" w:type="auto"/>
            <w:vAlign w:val="bottom"/>
          </w:tcPr>
          <w:p w14:paraId="1479820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w:t>
            </w:r>
          </w:p>
        </w:tc>
        <w:tc>
          <w:tcPr>
            <w:tcW w:w="0" w:type="auto"/>
            <w:vAlign w:val="bottom"/>
          </w:tcPr>
          <w:p w14:paraId="147F1BB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6B562F8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370</w:t>
            </w:r>
          </w:p>
        </w:tc>
        <w:tc>
          <w:tcPr>
            <w:tcW w:w="0" w:type="auto"/>
            <w:vAlign w:val="bottom"/>
          </w:tcPr>
          <w:p w14:paraId="6469A91A" w14:textId="17403DF5"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185</w:t>
            </w:r>
            <w:r w:rsidR="00564F44">
              <w:rPr>
                <w:rFonts w:cs="Arial"/>
                <w:color w:val="000000"/>
                <w:sz w:val="20"/>
                <w:szCs w:val="20"/>
              </w:rPr>
              <w:t>.0</w:t>
            </w:r>
          </w:p>
        </w:tc>
        <w:tc>
          <w:tcPr>
            <w:tcW w:w="0" w:type="auto"/>
            <w:vAlign w:val="bottom"/>
          </w:tcPr>
          <w:p w14:paraId="448935A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23.016</w:t>
            </w:r>
          </w:p>
        </w:tc>
        <w:tc>
          <w:tcPr>
            <w:tcW w:w="0" w:type="auto"/>
            <w:vAlign w:val="bottom"/>
          </w:tcPr>
          <w:p w14:paraId="5EDCB830"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2.19E-10</w:t>
            </w:r>
          </w:p>
        </w:tc>
      </w:tr>
      <w:tr w:rsidR="003A4E60" w:rsidRPr="001F0E92" w14:paraId="18B4B29E" w14:textId="77777777" w:rsidTr="004A409C">
        <w:trPr>
          <w:jc w:val="center"/>
        </w:trPr>
        <w:tc>
          <w:tcPr>
            <w:tcW w:w="0" w:type="auto"/>
            <w:vAlign w:val="bottom"/>
          </w:tcPr>
          <w:p w14:paraId="2287A81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DIN:Mean_DL</w:t>
            </w:r>
          </w:p>
        </w:tc>
        <w:tc>
          <w:tcPr>
            <w:tcW w:w="0" w:type="auto"/>
            <w:vAlign w:val="bottom"/>
          </w:tcPr>
          <w:p w14:paraId="49477AE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5642CAE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w:t>
            </w:r>
          </w:p>
        </w:tc>
        <w:tc>
          <w:tcPr>
            <w:tcW w:w="0" w:type="auto"/>
            <w:vAlign w:val="bottom"/>
          </w:tcPr>
          <w:p w14:paraId="5B6E073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28.6</w:t>
            </w:r>
          </w:p>
        </w:tc>
        <w:tc>
          <w:tcPr>
            <w:tcW w:w="0" w:type="auto"/>
            <w:vAlign w:val="bottom"/>
          </w:tcPr>
          <w:p w14:paraId="2717648E" w14:textId="48F70560"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3.56</w:t>
            </w:r>
            <w:r w:rsidR="00564F44">
              <w:rPr>
                <w:rFonts w:cs="Arial"/>
                <w:color w:val="000000"/>
                <w:sz w:val="20"/>
                <w:szCs w:val="20"/>
              </w:rPr>
              <w:t>0</w:t>
            </w:r>
          </w:p>
        </w:tc>
        <w:tc>
          <w:tcPr>
            <w:tcW w:w="0" w:type="auto"/>
            <w:vAlign w:val="bottom"/>
          </w:tcPr>
          <w:p w14:paraId="47796F6E"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0.05963</w:t>
            </w:r>
          </w:p>
        </w:tc>
      </w:tr>
      <w:tr w:rsidR="003A4E60" w:rsidRPr="001F0E92" w14:paraId="48AB165A" w14:textId="77777777" w:rsidTr="004A409C">
        <w:trPr>
          <w:jc w:val="center"/>
        </w:trPr>
        <w:tc>
          <w:tcPr>
            <w:tcW w:w="0" w:type="auto"/>
            <w:vAlign w:val="bottom"/>
          </w:tcPr>
          <w:p w14:paraId="6735213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DIN:NRM_subregion</w:t>
            </w:r>
          </w:p>
        </w:tc>
        <w:tc>
          <w:tcPr>
            <w:tcW w:w="0" w:type="auto"/>
            <w:vAlign w:val="bottom"/>
          </w:tcPr>
          <w:p w14:paraId="7C479E8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6298BA2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279</w:t>
            </w:r>
          </w:p>
        </w:tc>
        <w:tc>
          <w:tcPr>
            <w:tcW w:w="0" w:type="auto"/>
            <w:vAlign w:val="bottom"/>
          </w:tcPr>
          <w:p w14:paraId="182ACE7A" w14:textId="06F0BD33"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93</w:t>
            </w:r>
            <w:r w:rsidR="00564F44">
              <w:rPr>
                <w:rFonts w:cs="Arial"/>
                <w:color w:val="000000"/>
                <w:sz w:val="20"/>
                <w:szCs w:val="20"/>
              </w:rPr>
              <w:t>.0</w:t>
            </w:r>
          </w:p>
        </w:tc>
        <w:tc>
          <w:tcPr>
            <w:tcW w:w="0" w:type="auto"/>
            <w:vAlign w:val="bottom"/>
          </w:tcPr>
          <w:p w14:paraId="3D3FE36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11.576</w:t>
            </w:r>
          </w:p>
        </w:tc>
        <w:tc>
          <w:tcPr>
            <w:tcW w:w="0" w:type="auto"/>
            <w:vAlign w:val="bottom"/>
          </w:tcPr>
          <w:p w14:paraId="5703D263"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2.12E-07</w:t>
            </w:r>
          </w:p>
        </w:tc>
      </w:tr>
      <w:tr w:rsidR="003A4E60" w:rsidRPr="001F0E92" w14:paraId="2E619902" w14:textId="77777777" w:rsidTr="004A409C">
        <w:trPr>
          <w:jc w:val="center"/>
        </w:trPr>
        <w:tc>
          <w:tcPr>
            <w:tcW w:w="0" w:type="auto"/>
            <w:vAlign w:val="bottom"/>
          </w:tcPr>
          <w:p w14:paraId="6685543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Habitat:Mean_DL</w:t>
            </w:r>
          </w:p>
        </w:tc>
        <w:tc>
          <w:tcPr>
            <w:tcW w:w="0" w:type="auto"/>
            <w:vAlign w:val="bottom"/>
          </w:tcPr>
          <w:p w14:paraId="23FD5DF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4A0A69E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364</w:t>
            </w:r>
          </w:p>
        </w:tc>
        <w:tc>
          <w:tcPr>
            <w:tcW w:w="0" w:type="auto"/>
            <w:vAlign w:val="bottom"/>
          </w:tcPr>
          <w:p w14:paraId="0C8CA97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181.9</w:t>
            </w:r>
          </w:p>
        </w:tc>
        <w:tc>
          <w:tcPr>
            <w:tcW w:w="0" w:type="auto"/>
            <w:vAlign w:val="bottom"/>
          </w:tcPr>
          <w:p w14:paraId="0B4E141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22.633</w:t>
            </w:r>
          </w:p>
        </w:tc>
        <w:tc>
          <w:tcPr>
            <w:tcW w:w="0" w:type="auto"/>
            <w:vAlign w:val="bottom"/>
          </w:tcPr>
          <w:p w14:paraId="4D64C836"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3.13E-10</w:t>
            </w:r>
          </w:p>
        </w:tc>
      </w:tr>
      <w:tr w:rsidR="003A4E60" w:rsidRPr="001F0E92" w14:paraId="36E1F3B6" w14:textId="77777777" w:rsidTr="004A409C">
        <w:trPr>
          <w:jc w:val="center"/>
        </w:trPr>
        <w:tc>
          <w:tcPr>
            <w:tcW w:w="0" w:type="auto"/>
            <w:vAlign w:val="bottom"/>
          </w:tcPr>
          <w:p w14:paraId="7137AFF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Habitat:NRM_subregion</w:t>
            </w:r>
          </w:p>
        </w:tc>
        <w:tc>
          <w:tcPr>
            <w:tcW w:w="0" w:type="auto"/>
            <w:vAlign w:val="bottom"/>
          </w:tcPr>
          <w:p w14:paraId="0065EF6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619DC1B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1962</w:t>
            </w:r>
          </w:p>
        </w:tc>
        <w:tc>
          <w:tcPr>
            <w:tcW w:w="0" w:type="auto"/>
            <w:vAlign w:val="bottom"/>
          </w:tcPr>
          <w:p w14:paraId="7C1E7DD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980.8</w:t>
            </w:r>
          </w:p>
        </w:tc>
        <w:tc>
          <w:tcPr>
            <w:tcW w:w="0" w:type="auto"/>
            <w:vAlign w:val="bottom"/>
          </w:tcPr>
          <w:p w14:paraId="38CFD92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122.048</w:t>
            </w:r>
          </w:p>
        </w:tc>
        <w:tc>
          <w:tcPr>
            <w:tcW w:w="0" w:type="auto"/>
            <w:vAlign w:val="bottom"/>
          </w:tcPr>
          <w:p w14:paraId="18CACB32"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2F3E38B5" w14:textId="77777777" w:rsidTr="007B18F7">
        <w:trPr>
          <w:jc w:val="center"/>
        </w:trPr>
        <w:tc>
          <w:tcPr>
            <w:tcW w:w="0" w:type="auto"/>
            <w:vAlign w:val="bottom"/>
          </w:tcPr>
          <w:p w14:paraId="154F6FF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DIN:Habitat:Mean_DL</w:t>
            </w:r>
          </w:p>
        </w:tc>
        <w:tc>
          <w:tcPr>
            <w:tcW w:w="0" w:type="auto"/>
            <w:vAlign w:val="bottom"/>
          </w:tcPr>
          <w:p w14:paraId="2386872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7AFBE71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105</w:t>
            </w:r>
          </w:p>
        </w:tc>
        <w:tc>
          <w:tcPr>
            <w:tcW w:w="0" w:type="auto"/>
            <w:vAlign w:val="bottom"/>
          </w:tcPr>
          <w:p w14:paraId="2CDE3EB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52.6</w:t>
            </w:r>
          </w:p>
        </w:tc>
        <w:tc>
          <w:tcPr>
            <w:tcW w:w="0" w:type="auto"/>
            <w:vAlign w:val="bottom"/>
          </w:tcPr>
          <w:p w14:paraId="6518E3F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6.539</w:t>
            </w:r>
          </w:p>
        </w:tc>
        <w:tc>
          <w:tcPr>
            <w:tcW w:w="0" w:type="auto"/>
            <w:vAlign w:val="bottom"/>
          </w:tcPr>
          <w:p w14:paraId="06EF8E99"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0.00154</w:t>
            </w:r>
          </w:p>
        </w:tc>
      </w:tr>
      <w:tr w:rsidR="003A4E60" w:rsidRPr="001F0E92" w14:paraId="477D1DF8" w14:textId="77777777" w:rsidTr="007B18F7">
        <w:trPr>
          <w:jc w:val="center"/>
        </w:trPr>
        <w:tc>
          <w:tcPr>
            <w:tcW w:w="0" w:type="auto"/>
            <w:tcBorders>
              <w:bottom w:val="single" w:sz="4" w:space="0" w:color="auto"/>
            </w:tcBorders>
            <w:vAlign w:val="bottom"/>
          </w:tcPr>
          <w:p w14:paraId="0112494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Residuals</w:t>
            </w:r>
          </w:p>
        </w:tc>
        <w:tc>
          <w:tcPr>
            <w:tcW w:w="0" w:type="auto"/>
            <w:tcBorders>
              <w:bottom w:val="single" w:sz="4" w:space="0" w:color="auto"/>
            </w:tcBorders>
            <w:vAlign w:val="bottom"/>
          </w:tcPr>
          <w:p w14:paraId="3591F43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655</w:t>
            </w:r>
          </w:p>
        </w:tc>
        <w:tc>
          <w:tcPr>
            <w:tcW w:w="0" w:type="auto"/>
            <w:tcBorders>
              <w:bottom w:val="single" w:sz="4" w:space="0" w:color="auto"/>
            </w:tcBorders>
            <w:vAlign w:val="bottom"/>
          </w:tcPr>
          <w:p w14:paraId="3B53EB5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5264</w:t>
            </w:r>
          </w:p>
        </w:tc>
        <w:tc>
          <w:tcPr>
            <w:tcW w:w="0" w:type="auto"/>
            <w:tcBorders>
              <w:bottom w:val="single" w:sz="4" w:space="0" w:color="auto"/>
            </w:tcBorders>
            <w:vAlign w:val="bottom"/>
          </w:tcPr>
          <w:p w14:paraId="1D78D887" w14:textId="27E0571B"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w:t>
            </w:r>
            <w:r w:rsidR="00564F44">
              <w:rPr>
                <w:rFonts w:cs="Arial"/>
                <w:color w:val="000000"/>
                <w:sz w:val="20"/>
                <w:szCs w:val="20"/>
              </w:rPr>
              <w:t>.0</w:t>
            </w:r>
          </w:p>
        </w:tc>
        <w:tc>
          <w:tcPr>
            <w:tcW w:w="0" w:type="auto"/>
            <w:tcBorders>
              <w:bottom w:val="single" w:sz="4" w:space="0" w:color="auto"/>
            </w:tcBorders>
            <w:vAlign w:val="bottom"/>
          </w:tcPr>
          <w:p w14:paraId="40177E0C" w14:textId="77777777" w:rsidR="003A4E60" w:rsidRPr="001F0E92" w:rsidRDefault="003A4E60" w:rsidP="007B18F7">
            <w:pPr>
              <w:spacing w:before="0" w:after="0"/>
              <w:jc w:val="right"/>
              <w:rPr>
                <w:rFonts w:cs="Arial"/>
                <w:sz w:val="20"/>
                <w:szCs w:val="20"/>
                <w:lang w:eastAsia="x-none"/>
              </w:rPr>
            </w:pPr>
          </w:p>
        </w:tc>
        <w:tc>
          <w:tcPr>
            <w:tcW w:w="0" w:type="auto"/>
            <w:tcBorders>
              <w:bottom w:val="single" w:sz="4" w:space="0" w:color="auto"/>
            </w:tcBorders>
            <w:vAlign w:val="bottom"/>
          </w:tcPr>
          <w:p w14:paraId="604B6561" w14:textId="77777777" w:rsidR="003A4E60" w:rsidRPr="001F0E92" w:rsidRDefault="003A4E60" w:rsidP="007B18F7">
            <w:pPr>
              <w:spacing w:before="0" w:after="0"/>
              <w:jc w:val="right"/>
              <w:rPr>
                <w:rFonts w:cs="Arial"/>
                <w:sz w:val="20"/>
                <w:szCs w:val="20"/>
                <w:lang w:eastAsia="x-none"/>
              </w:rPr>
            </w:pPr>
          </w:p>
        </w:tc>
      </w:tr>
    </w:tbl>
    <w:p w14:paraId="25F383DE" w14:textId="77777777" w:rsidR="003A4E60" w:rsidRPr="001F0E92" w:rsidRDefault="003A4E60" w:rsidP="003A4E60">
      <w:pPr>
        <w:rPr>
          <w:rFonts w:cs="Arial"/>
          <w:szCs w:val="22"/>
          <w:lang w:eastAsia="x-none"/>
        </w:rPr>
      </w:pPr>
    </w:p>
    <w:p w14:paraId="0A16AE26" w14:textId="77777777" w:rsidR="003A4E60" w:rsidRPr="001F0E92" w:rsidRDefault="003A4E60" w:rsidP="003A4E60">
      <w:pPr>
        <w:rPr>
          <w:rFonts w:cs="Arial"/>
          <w:b/>
          <w:i/>
          <w:szCs w:val="22"/>
        </w:rPr>
      </w:pPr>
      <w:r w:rsidRPr="001F0E92">
        <w:rPr>
          <w:rFonts w:cs="Arial"/>
        </w:rPr>
        <w:br w:type="column"/>
      </w:r>
      <w:r w:rsidRPr="001F0E92">
        <w:rPr>
          <w:rFonts w:cs="Arial"/>
          <w:b/>
          <w:i/>
          <w:szCs w:val="22"/>
        </w:rPr>
        <w:lastRenderedPageBreak/>
        <w:t>Halodule uninervis</w:t>
      </w:r>
    </w:p>
    <w:p w14:paraId="23239AC2" w14:textId="758D23B9" w:rsidR="003A4E60" w:rsidRPr="001F0E92" w:rsidRDefault="003A4E60" w:rsidP="003A4E60">
      <w:pPr>
        <w:rPr>
          <w:rFonts w:cs="Arial"/>
          <w:szCs w:val="22"/>
          <w:lang w:eastAsia="x-none"/>
        </w:rPr>
      </w:pPr>
      <w:r w:rsidRPr="001F0E92">
        <w:rPr>
          <w:rFonts w:cs="Arial"/>
          <w:szCs w:val="22"/>
          <w:lang w:eastAsia="x-none"/>
        </w:rPr>
        <w:t xml:space="preserve">Table A3. </w:t>
      </w:r>
      <w:r w:rsidRPr="007B18F7">
        <w:rPr>
          <w:rFonts w:cs="Arial"/>
          <w:i/>
          <w:szCs w:val="22"/>
          <w:lang w:eastAsia="x-none"/>
        </w:rPr>
        <w:t>Model 1 (M_Hu) – summary of the GLM used to test for the effects of DIN loading, mean daily light, region, and habitat on the C:N ratio of H. uninervis. Estimates are on the log scale.</w:t>
      </w:r>
      <w:r w:rsidR="009F428E" w:rsidRPr="007B18F7">
        <w:rPr>
          <w:rFonts w:cs="Arial"/>
          <w:i/>
          <w:szCs w:val="22"/>
          <w:lang w:eastAsia="x-none"/>
        </w:rPr>
        <w:t xml:space="preserve"> Bold font indicates significant</w:t>
      </w:r>
    </w:p>
    <w:tbl>
      <w:tblPr>
        <w:tblW w:w="9672" w:type="dxa"/>
        <w:jc w:val="center"/>
        <w:tblLayout w:type="fixed"/>
        <w:tblLook w:val="04A0" w:firstRow="1" w:lastRow="0" w:firstColumn="1" w:lastColumn="0" w:noHBand="0" w:noVBand="1"/>
      </w:tblPr>
      <w:tblGrid>
        <w:gridCol w:w="4673"/>
        <w:gridCol w:w="1276"/>
        <w:gridCol w:w="1276"/>
        <w:gridCol w:w="1134"/>
        <w:gridCol w:w="1313"/>
      </w:tblGrid>
      <w:tr w:rsidR="003A4E60" w:rsidRPr="007B18F7" w14:paraId="2594DB17" w14:textId="77777777" w:rsidTr="007B18F7">
        <w:trPr>
          <w:jc w:val="center"/>
        </w:trPr>
        <w:tc>
          <w:tcPr>
            <w:tcW w:w="4673" w:type="dxa"/>
            <w:tcBorders>
              <w:top w:val="single" w:sz="4" w:space="0" w:color="auto"/>
              <w:bottom w:val="single" w:sz="4" w:space="0" w:color="auto"/>
            </w:tcBorders>
            <w:vAlign w:val="bottom"/>
          </w:tcPr>
          <w:p w14:paraId="27F4CBBC" w14:textId="27C7944E" w:rsidR="003A4E60" w:rsidRPr="007B18F7" w:rsidRDefault="003A4E60" w:rsidP="007B18F7">
            <w:pPr>
              <w:spacing w:before="0" w:after="0"/>
              <w:jc w:val="center"/>
              <w:rPr>
                <w:rFonts w:cs="Arial"/>
                <w:b/>
                <w:sz w:val="20"/>
                <w:szCs w:val="20"/>
                <w:lang w:eastAsia="x-none"/>
              </w:rPr>
            </w:pPr>
          </w:p>
        </w:tc>
        <w:tc>
          <w:tcPr>
            <w:tcW w:w="1276" w:type="dxa"/>
            <w:tcBorders>
              <w:top w:val="single" w:sz="4" w:space="0" w:color="auto"/>
              <w:bottom w:val="single" w:sz="4" w:space="0" w:color="auto"/>
            </w:tcBorders>
            <w:vAlign w:val="bottom"/>
          </w:tcPr>
          <w:p w14:paraId="7538BB2B"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Estimate</w:t>
            </w:r>
          </w:p>
        </w:tc>
        <w:tc>
          <w:tcPr>
            <w:tcW w:w="1276" w:type="dxa"/>
            <w:tcBorders>
              <w:top w:val="single" w:sz="4" w:space="0" w:color="auto"/>
              <w:bottom w:val="single" w:sz="4" w:space="0" w:color="auto"/>
            </w:tcBorders>
            <w:vAlign w:val="bottom"/>
          </w:tcPr>
          <w:p w14:paraId="1C715297"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Std Error</w:t>
            </w:r>
          </w:p>
        </w:tc>
        <w:tc>
          <w:tcPr>
            <w:tcW w:w="1134" w:type="dxa"/>
            <w:tcBorders>
              <w:top w:val="single" w:sz="4" w:space="0" w:color="auto"/>
              <w:bottom w:val="single" w:sz="4" w:space="0" w:color="auto"/>
            </w:tcBorders>
            <w:vAlign w:val="bottom"/>
          </w:tcPr>
          <w:p w14:paraId="427A28F9"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t value</w:t>
            </w:r>
          </w:p>
        </w:tc>
        <w:tc>
          <w:tcPr>
            <w:tcW w:w="1313" w:type="dxa"/>
            <w:tcBorders>
              <w:top w:val="single" w:sz="4" w:space="0" w:color="auto"/>
              <w:bottom w:val="single" w:sz="4" w:space="0" w:color="auto"/>
            </w:tcBorders>
            <w:vAlign w:val="bottom"/>
          </w:tcPr>
          <w:p w14:paraId="6382A22F"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P-value</w:t>
            </w:r>
          </w:p>
        </w:tc>
      </w:tr>
      <w:tr w:rsidR="003A4E60" w:rsidRPr="001F0E92" w14:paraId="2086E70C" w14:textId="77777777" w:rsidTr="007B18F7">
        <w:trPr>
          <w:jc w:val="center"/>
        </w:trPr>
        <w:tc>
          <w:tcPr>
            <w:tcW w:w="4673" w:type="dxa"/>
            <w:tcBorders>
              <w:top w:val="single" w:sz="4" w:space="0" w:color="auto"/>
            </w:tcBorders>
            <w:vAlign w:val="bottom"/>
          </w:tcPr>
          <w:p w14:paraId="5AA5B80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Intercept (Burdekin and Coastal intertidal and f_DL1)</w:t>
            </w:r>
          </w:p>
        </w:tc>
        <w:tc>
          <w:tcPr>
            <w:tcW w:w="1276" w:type="dxa"/>
            <w:tcBorders>
              <w:top w:val="single" w:sz="4" w:space="0" w:color="auto"/>
            </w:tcBorders>
            <w:vAlign w:val="bottom"/>
          </w:tcPr>
          <w:p w14:paraId="2292BB7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2.72E+00</w:t>
            </w:r>
          </w:p>
        </w:tc>
        <w:tc>
          <w:tcPr>
            <w:tcW w:w="1276" w:type="dxa"/>
            <w:tcBorders>
              <w:top w:val="single" w:sz="4" w:space="0" w:color="auto"/>
            </w:tcBorders>
            <w:vAlign w:val="bottom"/>
          </w:tcPr>
          <w:p w14:paraId="722F926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3.90E-02</w:t>
            </w:r>
          </w:p>
        </w:tc>
        <w:tc>
          <w:tcPr>
            <w:tcW w:w="1134" w:type="dxa"/>
            <w:tcBorders>
              <w:top w:val="single" w:sz="4" w:space="0" w:color="auto"/>
            </w:tcBorders>
            <w:vAlign w:val="bottom"/>
          </w:tcPr>
          <w:p w14:paraId="2610A47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69.856</w:t>
            </w:r>
          </w:p>
        </w:tc>
        <w:tc>
          <w:tcPr>
            <w:tcW w:w="1313" w:type="dxa"/>
            <w:tcBorders>
              <w:top w:val="single" w:sz="4" w:space="0" w:color="auto"/>
            </w:tcBorders>
            <w:vAlign w:val="bottom"/>
          </w:tcPr>
          <w:p w14:paraId="6782D08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08ED8AC8" w14:textId="77777777" w:rsidTr="004A409C">
        <w:trPr>
          <w:jc w:val="center"/>
        </w:trPr>
        <w:tc>
          <w:tcPr>
            <w:tcW w:w="4673" w:type="dxa"/>
            <w:vAlign w:val="bottom"/>
          </w:tcPr>
          <w:p w14:paraId="725A719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1276" w:type="dxa"/>
            <w:vAlign w:val="bottom"/>
          </w:tcPr>
          <w:p w14:paraId="12C419C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-1.55E-02</w:t>
            </w:r>
          </w:p>
        </w:tc>
        <w:tc>
          <w:tcPr>
            <w:tcW w:w="1276" w:type="dxa"/>
            <w:vAlign w:val="bottom"/>
          </w:tcPr>
          <w:p w14:paraId="081DA71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3.39E-03</w:t>
            </w:r>
          </w:p>
        </w:tc>
        <w:tc>
          <w:tcPr>
            <w:tcW w:w="1134" w:type="dxa"/>
            <w:vAlign w:val="bottom"/>
          </w:tcPr>
          <w:p w14:paraId="749EB40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-4.563</w:t>
            </w:r>
          </w:p>
        </w:tc>
        <w:tc>
          <w:tcPr>
            <w:tcW w:w="1313" w:type="dxa"/>
            <w:vAlign w:val="bottom"/>
          </w:tcPr>
          <w:p w14:paraId="076D589F"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6.49E-06</w:t>
            </w:r>
          </w:p>
        </w:tc>
      </w:tr>
      <w:tr w:rsidR="003A4E60" w:rsidRPr="001F0E92" w14:paraId="43929CFD" w14:textId="77777777" w:rsidTr="004A409C">
        <w:trPr>
          <w:jc w:val="center"/>
        </w:trPr>
        <w:tc>
          <w:tcPr>
            <w:tcW w:w="4673" w:type="dxa"/>
            <w:vAlign w:val="bottom"/>
          </w:tcPr>
          <w:p w14:paraId="1BF1C4E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w:t>
            </w:r>
          </w:p>
        </w:tc>
        <w:tc>
          <w:tcPr>
            <w:tcW w:w="1276" w:type="dxa"/>
            <w:vAlign w:val="bottom"/>
          </w:tcPr>
          <w:p w14:paraId="251C2FE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1.33E-01</w:t>
            </w:r>
          </w:p>
        </w:tc>
        <w:tc>
          <w:tcPr>
            <w:tcW w:w="1276" w:type="dxa"/>
            <w:vAlign w:val="bottom"/>
          </w:tcPr>
          <w:p w14:paraId="45679F0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4.51E-02</w:t>
            </w:r>
          </w:p>
        </w:tc>
        <w:tc>
          <w:tcPr>
            <w:tcW w:w="1134" w:type="dxa"/>
            <w:vAlign w:val="bottom"/>
          </w:tcPr>
          <w:p w14:paraId="334C495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2.939</w:t>
            </w:r>
          </w:p>
        </w:tc>
        <w:tc>
          <w:tcPr>
            <w:tcW w:w="1313" w:type="dxa"/>
            <w:vAlign w:val="bottom"/>
          </w:tcPr>
          <w:p w14:paraId="10A5CC13"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0.003455</w:t>
            </w:r>
          </w:p>
        </w:tc>
      </w:tr>
      <w:tr w:rsidR="003A4E60" w:rsidRPr="001F0E92" w14:paraId="2007323E" w14:textId="77777777" w:rsidTr="004A409C">
        <w:trPr>
          <w:jc w:val="center"/>
        </w:trPr>
        <w:tc>
          <w:tcPr>
            <w:tcW w:w="4673" w:type="dxa"/>
            <w:vAlign w:val="bottom"/>
          </w:tcPr>
          <w:p w14:paraId="6A9D769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Reef intertidal (RI)</w:t>
            </w:r>
          </w:p>
        </w:tc>
        <w:tc>
          <w:tcPr>
            <w:tcW w:w="1276" w:type="dxa"/>
            <w:vAlign w:val="bottom"/>
          </w:tcPr>
          <w:p w14:paraId="35DA7EA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2.71E-01</w:t>
            </w:r>
          </w:p>
        </w:tc>
        <w:tc>
          <w:tcPr>
            <w:tcW w:w="1276" w:type="dxa"/>
            <w:vAlign w:val="bottom"/>
          </w:tcPr>
          <w:p w14:paraId="1A39AEA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5.76E-02</w:t>
            </w:r>
          </w:p>
        </w:tc>
        <w:tc>
          <w:tcPr>
            <w:tcW w:w="1134" w:type="dxa"/>
            <w:vAlign w:val="bottom"/>
          </w:tcPr>
          <w:p w14:paraId="31EEECC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4.707</w:t>
            </w:r>
          </w:p>
        </w:tc>
        <w:tc>
          <w:tcPr>
            <w:tcW w:w="1313" w:type="dxa"/>
            <w:vAlign w:val="bottom"/>
          </w:tcPr>
          <w:p w14:paraId="35FF590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3.34E-06</w:t>
            </w:r>
          </w:p>
        </w:tc>
      </w:tr>
      <w:tr w:rsidR="003A4E60" w:rsidRPr="001F0E92" w14:paraId="535AB5C1" w14:textId="77777777" w:rsidTr="004A409C">
        <w:trPr>
          <w:jc w:val="center"/>
        </w:trPr>
        <w:tc>
          <w:tcPr>
            <w:tcW w:w="4673" w:type="dxa"/>
            <w:vAlign w:val="bottom"/>
          </w:tcPr>
          <w:p w14:paraId="4F1F400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Reef subtidal (RS)</w:t>
            </w:r>
          </w:p>
        </w:tc>
        <w:tc>
          <w:tcPr>
            <w:tcW w:w="1276" w:type="dxa"/>
            <w:vAlign w:val="bottom"/>
          </w:tcPr>
          <w:p w14:paraId="7CE9102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2.47E-01</w:t>
            </w:r>
          </w:p>
        </w:tc>
        <w:tc>
          <w:tcPr>
            <w:tcW w:w="1276" w:type="dxa"/>
            <w:vAlign w:val="bottom"/>
          </w:tcPr>
          <w:p w14:paraId="141DBBC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8.15E-02</w:t>
            </w:r>
          </w:p>
        </w:tc>
        <w:tc>
          <w:tcPr>
            <w:tcW w:w="1134" w:type="dxa"/>
            <w:vAlign w:val="bottom"/>
          </w:tcPr>
          <w:p w14:paraId="53B994D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3.023</w:t>
            </w:r>
          </w:p>
        </w:tc>
        <w:tc>
          <w:tcPr>
            <w:tcW w:w="1313" w:type="dxa"/>
            <w:vAlign w:val="bottom"/>
          </w:tcPr>
          <w:p w14:paraId="118FC3E4"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0.002642</w:t>
            </w:r>
          </w:p>
        </w:tc>
      </w:tr>
      <w:tr w:rsidR="003A4E60" w:rsidRPr="001F0E92" w14:paraId="3F037DBC" w14:textId="77777777" w:rsidTr="004A409C">
        <w:trPr>
          <w:jc w:val="center"/>
        </w:trPr>
        <w:tc>
          <w:tcPr>
            <w:tcW w:w="4673" w:type="dxa"/>
            <w:vAlign w:val="bottom"/>
          </w:tcPr>
          <w:p w14:paraId="59FB823B" w14:textId="4F4D428E" w:rsidR="003A4E60" w:rsidRPr="001F0E92" w:rsidRDefault="003A4E60" w:rsidP="007B18F7">
            <w:pPr>
              <w:spacing w:before="0" w:after="0"/>
              <w:rPr>
                <w:rFonts w:cs="Arial"/>
                <w:sz w:val="20"/>
                <w:szCs w:val="20"/>
                <w:lang w:eastAsia="x-none"/>
              </w:rPr>
            </w:pPr>
            <w:r w:rsidRPr="001F0E92">
              <w:rPr>
                <w:rFonts w:cs="Arial"/>
                <w:color w:val="000000"/>
                <w:sz w:val="20"/>
                <w:szCs w:val="20"/>
              </w:rPr>
              <w:t xml:space="preserve">NRM_subregion - </w:t>
            </w:r>
            <w:r w:rsidR="00B72AC4">
              <w:rPr>
                <w:rFonts w:cs="Arial"/>
                <w:color w:val="000000"/>
                <w:sz w:val="20"/>
                <w:szCs w:val="20"/>
              </w:rPr>
              <w:t>Mackay–Whitsunday</w:t>
            </w:r>
            <w:r w:rsidRPr="001F0E92">
              <w:rPr>
                <w:rFonts w:cs="Arial"/>
                <w:color w:val="000000"/>
                <w:sz w:val="20"/>
                <w:szCs w:val="20"/>
              </w:rPr>
              <w:t xml:space="preserve"> (MW)</w:t>
            </w:r>
          </w:p>
        </w:tc>
        <w:tc>
          <w:tcPr>
            <w:tcW w:w="1276" w:type="dxa"/>
            <w:vAlign w:val="bottom"/>
          </w:tcPr>
          <w:p w14:paraId="20BFF87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-1.13E-01</w:t>
            </w:r>
          </w:p>
        </w:tc>
        <w:tc>
          <w:tcPr>
            <w:tcW w:w="1276" w:type="dxa"/>
            <w:vAlign w:val="bottom"/>
          </w:tcPr>
          <w:p w14:paraId="7FAB975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5.13E-02</w:t>
            </w:r>
          </w:p>
        </w:tc>
        <w:tc>
          <w:tcPr>
            <w:tcW w:w="1134" w:type="dxa"/>
            <w:vAlign w:val="bottom"/>
          </w:tcPr>
          <w:p w14:paraId="74D9C19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-2.199</w:t>
            </w:r>
          </w:p>
        </w:tc>
        <w:tc>
          <w:tcPr>
            <w:tcW w:w="1313" w:type="dxa"/>
            <w:vAlign w:val="bottom"/>
          </w:tcPr>
          <w:p w14:paraId="60E4A7B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0.028341</w:t>
            </w:r>
          </w:p>
        </w:tc>
      </w:tr>
      <w:tr w:rsidR="003A4E60" w:rsidRPr="001F0E92" w14:paraId="6CAFDAB4" w14:textId="77777777" w:rsidTr="004A409C">
        <w:trPr>
          <w:jc w:val="center"/>
        </w:trPr>
        <w:tc>
          <w:tcPr>
            <w:tcW w:w="4673" w:type="dxa"/>
            <w:vAlign w:val="bottom"/>
          </w:tcPr>
          <w:p w14:paraId="03FB761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 – Northern Wet Tropics (NWT)</w:t>
            </w:r>
          </w:p>
        </w:tc>
        <w:tc>
          <w:tcPr>
            <w:tcW w:w="1276" w:type="dxa"/>
            <w:vAlign w:val="bottom"/>
          </w:tcPr>
          <w:p w14:paraId="60EEB75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-3.91E-01</w:t>
            </w:r>
          </w:p>
        </w:tc>
        <w:tc>
          <w:tcPr>
            <w:tcW w:w="1276" w:type="dxa"/>
            <w:vAlign w:val="bottom"/>
          </w:tcPr>
          <w:p w14:paraId="40FD1E3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1.12E-01</w:t>
            </w:r>
          </w:p>
        </w:tc>
        <w:tc>
          <w:tcPr>
            <w:tcW w:w="1134" w:type="dxa"/>
            <w:vAlign w:val="bottom"/>
          </w:tcPr>
          <w:p w14:paraId="497BE224" w14:textId="64480CAA"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-3.49</w:t>
            </w:r>
            <w:r w:rsidR="00564F44">
              <w:rPr>
                <w:rFonts w:cs="Arial"/>
                <w:color w:val="000000"/>
                <w:sz w:val="20"/>
                <w:szCs w:val="20"/>
              </w:rPr>
              <w:t>0</w:t>
            </w:r>
          </w:p>
        </w:tc>
        <w:tc>
          <w:tcPr>
            <w:tcW w:w="1313" w:type="dxa"/>
            <w:vAlign w:val="bottom"/>
          </w:tcPr>
          <w:p w14:paraId="309F5C97" w14:textId="72FDD0A3"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0.00053</w:t>
            </w:r>
            <w:r w:rsidR="00564F44">
              <w:rPr>
                <w:rFonts w:cs="Arial"/>
                <w:b/>
                <w:bCs/>
                <w:color w:val="000000"/>
                <w:sz w:val="20"/>
                <w:szCs w:val="20"/>
              </w:rPr>
              <w:t>0</w:t>
            </w:r>
          </w:p>
        </w:tc>
      </w:tr>
      <w:tr w:rsidR="003A4E60" w:rsidRPr="001F0E92" w14:paraId="0734C5A8" w14:textId="77777777" w:rsidTr="004A409C">
        <w:trPr>
          <w:jc w:val="center"/>
        </w:trPr>
        <w:tc>
          <w:tcPr>
            <w:tcW w:w="4673" w:type="dxa"/>
            <w:vAlign w:val="bottom"/>
          </w:tcPr>
          <w:p w14:paraId="3166210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 – Southern Wet Tropics (SWT)</w:t>
            </w:r>
          </w:p>
        </w:tc>
        <w:tc>
          <w:tcPr>
            <w:tcW w:w="1276" w:type="dxa"/>
            <w:vAlign w:val="bottom"/>
          </w:tcPr>
          <w:p w14:paraId="360DEA4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2.26E-02</w:t>
            </w:r>
          </w:p>
        </w:tc>
        <w:tc>
          <w:tcPr>
            <w:tcW w:w="1276" w:type="dxa"/>
            <w:vAlign w:val="bottom"/>
          </w:tcPr>
          <w:p w14:paraId="4EE16C6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1.23E-01</w:t>
            </w:r>
          </w:p>
        </w:tc>
        <w:tc>
          <w:tcPr>
            <w:tcW w:w="1134" w:type="dxa"/>
            <w:vAlign w:val="bottom"/>
          </w:tcPr>
          <w:p w14:paraId="39077CC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0.183</w:t>
            </w:r>
          </w:p>
        </w:tc>
        <w:tc>
          <w:tcPr>
            <w:tcW w:w="1313" w:type="dxa"/>
            <w:vAlign w:val="bottom"/>
          </w:tcPr>
          <w:p w14:paraId="6F4A0F2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0.854589</w:t>
            </w:r>
          </w:p>
        </w:tc>
      </w:tr>
      <w:tr w:rsidR="003A4E60" w:rsidRPr="001F0E92" w14:paraId="2635D381" w14:textId="77777777" w:rsidTr="004A409C">
        <w:trPr>
          <w:jc w:val="center"/>
        </w:trPr>
        <w:tc>
          <w:tcPr>
            <w:tcW w:w="4673" w:type="dxa"/>
            <w:vAlign w:val="bottom"/>
          </w:tcPr>
          <w:p w14:paraId="0E8F7A3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w:t>
            </w:r>
          </w:p>
        </w:tc>
        <w:tc>
          <w:tcPr>
            <w:tcW w:w="1276" w:type="dxa"/>
            <w:vAlign w:val="bottom"/>
          </w:tcPr>
          <w:p w14:paraId="314FCAE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3.53E-03</w:t>
            </w:r>
          </w:p>
        </w:tc>
        <w:tc>
          <w:tcPr>
            <w:tcW w:w="1276" w:type="dxa"/>
            <w:vAlign w:val="bottom"/>
          </w:tcPr>
          <w:p w14:paraId="5D27A14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2.73E-03</w:t>
            </w:r>
          </w:p>
        </w:tc>
        <w:tc>
          <w:tcPr>
            <w:tcW w:w="1134" w:type="dxa"/>
            <w:vAlign w:val="bottom"/>
          </w:tcPr>
          <w:p w14:paraId="54625AA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1.294</w:t>
            </w:r>
          </w:p>
        </w:tc>
        <w:tc>
          <w:tcPr>
            <w:tcW w:w="1313" w:type="dxa"/>
            <w:vAlign w:val="bottom"/>
          </w:tcPr>
          <w:p w14:paraId="5C3CDEA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0.196374</w:t>
            </w:r>
          </w:p>
        </w:tc>
      </w:tr>
      <w:tr w:rsidR="003A4E60" w:rsidRPr="001F0E92" w14:paraId="155499F2" w14:textId="77777777" w:rsidTr="004A409C">
        <w:trPr>
          <w:jc w:val="center"/>
        </w:trPr>
        <w:tc>
          <w:tcPr>
            <w:tcW w:w="4673" w:type="dxa"/>
            <w:vAlign w:val="bottom"/>
          </w:tcPr>
          <w:p w14:paraId="79FFCFD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w:t>
            </w:r>
          </w:p>
        </w:tc>
        <w:tc>
          <w:tcPr>
            <w:tcW w:w="1276" w:type="dxa"/>
            <w:vAlign w:val="bottom"/>
          </w:tcPr>
          <w:p w14:paraId="65D5F62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9.63E-03</w:t>
            </w:r>
          </w:p>
        </w:tc>
        <w:tc>
          <w:tcPr>
            <w:tcW w:w="1276" w:type="dxa"/>
            <w:vAlign w:val="bottom"/>
          </w:tcPr>
          <w:p w14:paraId="5C50F7B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4.26E-03</w:t>
            </w:r>
          </w:p>
        </w:tc>
        <w:tc>
          <w:tcPr>
            <w:tcW w:w="1134" w:type="dxa"/>
            <w:vAlign w:val="bottom"/>
          </w:tcPr>
          <w:p w14:paraId="293C984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2.261</w:t>
            </w:r>
          </w:p>
        </w:tc>
        <w:tc>
          <w:tcPr>
            <w:tcW w:w="1313" w:type="dxa"/>
            <w:vAlign w:val="bottom"/>
          </w:tcPr>
          <w:p w14:paraId="14AB93DF"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0.024215</w:t>
            </w:r>
          </w:p>
        </w:tc>
      </w:tr>
      <w:tr w:rsidR="003A4E60" w:rsidRPr="001F0E92" w14:paraId="249B8B9F" w14:textId="77777777" w:rsidTr="004A409C">
        <w:trPr>
          <w:jc w:val="center"/>
        </w:trPr>
        <w:tc>
          <w:tcPr>
            <w:tcW w:w="4673" w:type="dxa"/>
            <w:vAlign w:val="bottom"/>
          </w:tcPr>
          <w:p w14:paraId="69A29AC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DIN:RS</w:t>
            </w:r>
          </w:p>
        </w:tc>
        <w:tc>
          <w:tcPr>
            <w:tcW w:w="1276" w:type="dxa"/>
            <w:vAlign w:val="bottom"/>
          </w:tcPr>
          <w:p w14:paraId="1E18912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9.46E-03</w:t>
            </w:r>
          </w:p>
        </w:tc>
        <w:tc>
          <w:tcPr>
            <w:tcW w:w="1276" w:type="dxa"/>
            <w:vAlign w:val="bottom"/>
          </w:tcPr>
          <w:p w14:paraId="2F86066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4.91E-03</w:t>
            </w:r>
          </w:p>
        </w:tc>
        <w:tc>
          <w:tcPr>
            <w:tcW w:w="1134" w:type="dxa"/>
            <w:vAlign w:val="bottom"/>
          </w:tcPr>
          <w:p w14:paraId="43B0407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1.926</w:t>
            </w:r>
          </w:p>
        </w:tc>
        <w:tc>
          <w:tcPr>
            <w:tcW w:w="1313" w:type="dxa"/>
            <w:vAlign w:val="bottom"/>
          </w:tcPr>
          <w:p w14:paraId="5BA6AF2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0.054692</w:t>
            </w:r>
          </w:p>
        </w:tc>
      </w:tr>
      <w:tr w:rsidR="003A4E60" w:rsidRPr="001F0E92" w14:paraId="475346B8" w14:textId="77777777" w:rsidTr="004A409C">
        <w:trPr>
          <w:jc w:val="center"/>
        </w:trPr>
        <w:tc>
          <w:tcPr>
            <w:tcW w:w="4673" w:type="dxa"/>
            <w:vAlign w:val="bottom"/>
          </w:tcPr>
          <w:p w14:paraId="7E481BA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DIN:MW</w:t>
            </w:r>
          </w:p>
        </w:tc>
        <w:tc>
          <w:tcPr>
            <w:tcW w:w="1276" w:type="dxa"/>
            <w:vAlign w:val="bottom"/>
          </w:tcPr>
          <w:p w14:paraId="2F5A3ED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9.39E-04</w:t>
            </w:r>
          </w:p>
        </w:tc>
        <w:tc>
          <w:tcPr>
            <w:tcW w:w="1276" w:type="dxa"/>
            <w:vAlign w:val="bottom"/>
          </w:tcPr>
          <w:p w14:paraId="3429C88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4.78E-03</w:t>
            </w:r>
          </w:p>
        </w:tc>
        <w:tc>
          <w:tcPr>
            <w:tcW w:w="1134" w:type="dxa"/>
            <w:vAlign w:val="bottom"/>
          </w:tcPr>
          <w:p w14:paraId="41FD9CC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0.197</w:t>
            </w:r>
          </w:p>
        </w:tc>
        <w:tc>
          <w:tcPr>
            <w:tcW w:w="1313" w:type="dxa"/>
            <w:vAlign w:val="bottom"/>
          </w:tcPr>
          <w:p w14:paraId="39748D08" w14:textId="0E39ED9C"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0.84426</w:t>
            </w:r>
            <w:r w:rsidR="00564F44">
              <w:rPr>
                <w:rFonts w:cs="Arial"/>
                <w:color w:val="000000"/>
                <w:sz w:val="20"/>
                <w:szCs w:val="20"/>
              </w:rPr>
              <w:t>0</w:t>
            </w:r>
          </w:p>
        </w:tc>
      </w:tr>
      <w:tr w:rsidR="003A4E60" w:rsidRPr="001F0E92" w14:paraId="7BE8C9E7" w14:textId="77777777" w:rsidTr="004A409C">
        <w:trPr>
          <w:jc w:val="center"/>
        </w:trPr>
        <w:tc>
          <w:tcPr>
            <w:tcW w:w="4673" w:type="dxa"/>
            <w:vAlign w:val="bottom"/>
          </w:tcPr>
          <w:p w14:paraId="60CCE06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DIN:NWT</w:t>
            </w:r>
          </w:p>
        </w:tc>
        <w:tc>
          <w:tcPr>
            <w:tcW w:w="1276" w:type="dxa"/>
            <w:vAlign w:val="bottom"/>
          </w:tcPr>
          <w:p w14:paraId="2EC8B36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1.90E-02</w:t>
            </w:r>
          </w:p>
        </w:tc>
        <w:tc>
          <w:tcPr>
            <w:tcW w:w="1276" w:type="dxa"/>
            <w:vAlign w:val="bottom"/>
          </w:tcPr>
          <w:p w14:paraId="6497E2F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5.53E-03</w:t>
            </w:r>
          </w:p>
        </w:tc>
        <w:tc>
          <w:tcPr>
            <w:tcW w:w="1134" w:type="dxa"/>
            <w:vAlign w:val="bottom"/>
          </w:tcPr>
          <w:p w14:paraId="31EB086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3.443</w:t>
            </w:r>
          </w:p>
        </w:tc>
        <w:tc>
          <w:tcPr>
            <w:tcW w:w="1313" w:type="dxa"/>
            <w:vAlign w:val="bottom"/>
          </w:tcPr>
          <w:p w14:paraId="20AF309D"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0.000628</w:t>
            </w:r>
          </w:p>
        </w:tc>
      </w:tr>
      <w:tr w:rsidR="003A4E60" w:rsidRPr="001F0E92" w14:paraId="43BC7720" w14:textId="77777777" w:rsidTr="004A409C">
        <w:trPr>
          <w:jc w:val="center"/>
        </w:trPr>
        <w:tc>
          <w:tcPr>
            <w:tcW w:w="4673" w:type="dxa"/>
            <w:vAlign w:val="bottom"/>
          </w:tcPr>
          <w:p w14:paraId="2C969F1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DIN:SWT</w:t>
            </w:r>
          </w:p>
        </w:tc>
        <w:tc>
          <w:tcPr>
            <w:tcW w:w="1276" w:type="dxa"/>
            <w:vAlign w:val="bottom"/>
          </w:tcPr>
          <w:p w14:paraId="296174F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4.24E-05</w:t>
            </w:r>
          </w:p>
        </w:tc>
        <w:tc>
          <w:tcPr>
            <w:tcW w:w="1276" w:type="dxa"/>
            <w:vAlign w:val="bottom"/>
          </w:tcPr>
          <w:p w14:paraId="1AD20CF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5.83E-03</w:t>
            </w:r>
          </w:p>
        </w:tc>
        <w:tc>
          <w:tcPr>
            <w:tcW w:w="1134" w:type="dxa"/>
            <w:vAlign w:val="bottom"/>
          </w:tcPr>
          <w:p w14:paraId="0749222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0.007</w:t>
            </w:r>
          </w:p>
        </w:tc>
        <w:tc>
          <w:tcPr>
            <w:tcW w:w="1313" w:type="dxa"/>
            <w:vAlign w:val="bottom"/>
          </w:tcPr>
          <w:p w14:paraId="1BAFD64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0.994202</w:t>
            </w:r>
          </w:p>
        </w:tc>
      </w:tr>
      <w:tr w:rsidR="003A4E60" w:rsidRPr="001F0E92" w14:paraId="0B2E75B5" w14:textId="77777777" w:rsidTr="004A409C">
        <w:trPr>
          <w:jc w:val="center"/>
        </w:trPr>
        <w:tc>
          <w:tcPr>
            <w:tcW w:w="4673" w:type="dxa"/>
            <w:vAlign w:val="bottom"/>
          </w:tcPr>
          <w:p w14:paraId="3032E0D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f_DL2:RI</w:t>
            </w:r>
          </w:p>
        </w:tc>
        <w:tc>
          <w:tcPr>
            <w:tcW w:w="1276" w:type="dxa"/>
            <w:vAlign w:val="bottom"/>
          </w:tcPr>
          <w:p w14:paraId="2AE8664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2.30E-02</w:t>
            </w:r>
          </w:p>
        </w:tc>
        <w:tc>
          <w:tcPr>
            <w:tcW w:w="1276" w:type="dxa"/>
            <w:vAlign w:val="bottom"/>
          </w:tcPr>
          <w:p w14:paraId="30A7B6C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6.55E-02</w:t>
            </w:r>
          </w:p>
        </w:tc>
        <w:tc>
          <w:tcPr>
            <w:tcW w:w="1134" w:type="dxa"/>
            <w:vAlign w:val="bottom"/>
          </w:tcPr>
          <w:p w14:paraId="2D1B26F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0.351</w:t>
            </w:r>
          </w:p>
        </w:tc>
        <w:tc>
          <w:tcPr>
            <w:tcW w:w="1313" w:type="dxa"/>
            <w:vAlign w:val="bottom"/>
          </w:tcPr>
          <w:p w14:paraId="05B1A5B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0.725965</w:t>
            </w:r>
          </w:p>
        </w:tc>
      </w:tr>
      <w:tr w:rsidR="003A4E60" w:rsidRPr="001F0E92" w14:paraId="5C888023" w14:textId="77777777" w:rsidTr="004A409C">
        <w:trPr>
          <w:jc w:val="center"/>
        </w:trPr>
        <w:tc>
          <w:tcPr>
            <w:tcW w:w="4673" w:type="dxa"/>
            <w:vAlign w:val="bottom"/>
          </w:tcPr>
          <w:p w14:paraId="106664A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f_DL2:RS</w:t>
            </w:r>
          </w:p>
        </w:tc>
        <w:tc>
          <w:tcPr>
            <w:tcW w:w="1276" w:type="dxa"/>
            <w:vAlign w:val="bottom"/>
          </w:tcPr>
          <w:p w14:paraId="432FB0C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1.73E-01</w:t>
            </w:r>
          </w:p>
        </w:tc>
        <w:tc>
          <w:tcPr>
            <w:tcW w:w="1276" w:type="dxa"/>
            <w:vAlign w:val="bottom"/>
          </w:tcPr>
          <w:p w14:paraId="179DD44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9.38E-02</w:t>
            </w:r>
          </w:p>
        </w:tc>
        <w:tc>
          <w:tcPr>
            <w:tcW w:w="1134" w:type="dxa"/>
            <w:vAlign w:val="bottom"/>
          </w:tcPr>
          <w:p w14:paraId="1CE4952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1.846</w:t>
            </w:r>
          </w:p>
        </w:tc>
        <w:tc>
          <w:tcPr>
            <w:tcW w:w="1313" w:type="dxa"/>
            <w:vAlign w:val="bottom"/>
          </w:tcPr>
          <w:p w14:paraId="083B0DA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0.065602</w:t>
            </w:r>
          </w:p>
        </w:tc>
      </w:tr>
      <w:tr w:rsidR="003A4E60" w:rsidRPr="001F0E92" w14:paraId="191F5191" w14:textId="77777777" w:rsidTr="004A409C">
        <w:trPr>
          <w:jc w:val="center"/>
        </w:trPr>
        <w:tc>
          <w:tcPr>
            <w:tcW w:w="4673" w:type="dxa"/>
            <w:vAlign w:val="bottom"/>
          </w:tcPr>
          <w:p w14:paraId="7BA893D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RI:MW</w:t>
            </w:r>
          </w:p>
        </w:tc>
        <w:tc>
          <w:tcPr>
            <w:tcW w:w="1276" w:type="dxa"/>
            <w:vAlign w:val="bottom"/>
          </w:tcPr>
          <w:p w14:paraId="0D3C396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-5.32E-01</w:t>
            </w:r>
          </w:p>
        </w:tc>
        <w:tc>
          <w:tcPr>
            <w:tcW w:w="1276" w:type="dxa"/>
            <w:vAlign w:val="bottom"/>
          </w:tcPr>
          <w:p w14:paraId="5A731B5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7.31E-02</w:t>
            </w:r>
          </w:p>
        </w:tc>
        <w:tc>
          <w:tcPr>
            <w:tcW w:w="1134" w:type="dxa"/>
            <w:vAlign w:val="bottom"/>
          </w:tcPr>
          <w:p w14:paraId="0CEC4979" w14:textId="3B1AC5C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-7.27</w:t>
            </w:r>
            <w:r w:rsidR="00564F44">
              <w:rPr>
                <w:rFonts w:cs="Arial"/>
                <w:color w:val="000000"/>
                <w:sz w:val="20"/>
                <w:szCs w:val="20"/>
              </w:rPr>
              <w:t>0</w:t>
            </w:r>
          </w:p>
        </w:tc>
        <w:tc>
          <w:tcPr>
            <w:tcW w:w="1313" w:type="dxa"/>
            <w:vAlign w:val="bottom"/>
          </w:tcPr>
          <w:p w14:paraId="5FCB6645"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1.56E-12</w:t>
            </w:r>
          </w:p>
        </w:tc>
      </w:tr>
      <w:tr w:rsidR="003A4E60" w:rsidRPr="001F0E92" w14:paraId="48B3935D" w14:textId="77777777" w:rsidTr="004A409C">
        <w:trPr>
          <w:jc w:val="center"/>
        </w:trPr>
        <w:tc>
          <w:tcPr>
            <w:tcW w:w="4673" w:type="dxa"/>
            <w:vAlign w:val="bottom"/>
          </w:tcPr>
          <w:p w14:paraId="6188DBC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RI:NWT</w:t>
            </w:r>
          </w:p>
        </w:tc>
        <w:tc>
          <w:tcPr>
            <w:tcW w:w="1276" w:type="dxa"/>
            <w:vAlign w:val="bottom"/>
          </w:tcPr>
          <w:p w14:paraId="5A6337C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1.76E-01</w:t>
            </w:r>
          </w:p>
        </w:tc>
        <w:tc>
          <w:tcPr>
            <w:tcW w:w="1276" w:type="dxa"/>
            <w:vAlign w:val="bottom"/>
          </w:tcPr>
          <w:p w14:paraId="2B60B89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1.44E-01</w:t>
            </w:r>
          </w:p>
        </w:tc>
        <w:tc>
          <w:tcPr>
            <w:tcW w:w="1134" w:type="dxa"/>
            <w:vAlign w:val="bottom"/>
          </w:tcPr>
          <w:p w14:paraId="38977CFC" w14:textId="0D222BFA"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1.22</w:t>
            </w:r>
            <w:r w:rsidR="00564F44">
              <w:rPr>
                <w:rFonts w:cs="Arial"/>
                <w:color w:val="000000"/>
                <w:sz w:val="20"/>
                <w:szCs w:val="20"/>
              </w:rPr>
              <w:t>0</w:t>
            </w:r>
          </w:p>
        </w:tc>
        <w:tc>
          <w:tcPr>
            <w:tcW w:w="1313" w:type="dxa"/>
            <w:vAlign w:val="bottom"/>
          </w:tcPr>
          <w:p w14:paraId="26A2A57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0.222983</w:t>
            </w:r>
          </w:p>
        </w:tc>
      </w:tr>
      <w:tr w:rsidR="003A4E60" w:rsidRPr="001F0E92" w14:paraId="04DE7F88" w14:textId="77777777" w:rsidTr="004A409C">
        <w:trPr>
          <w:jc w:val="center"/>
        </w:trPr>
        <w:tc>
          <w:tcPr>
            <w:tcW w:w="4673" w:type="dxa"/>
            <w:vAlign w:val="bottom"/>
          </w:tcPr>
          <w:p w14:paraId="2C29204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RS:NWT</w:t>
            </w:r>
          </w:p>
        </w:tc>
        <w:tc>
          <w:tcPr>
            <w:tcW w:w="1276" w:type="dxa"/>
            <w:vAlign w:val="bottom"/>
          </w:tcPr>
          <w:p w14:paraId="40C897F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1.81E-01</w:t>
            </w:r>
          </w:p>
        </w:tc>
        <w:tc>
          <w:tcPr>
            <w:tcW w:w="1276" w:type="dxa"/>
            <w:vAlign w:val="bottom"/>
          </w:tcPr>
          <w:p w14:paraId="6A7BAE5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1.56E-01</w:t>
            </w:r>
          </w:p>
        </w:tc>
        <w:tc>
          <w:tcPr>
            <w:tcW w:w="1134" w:type="dxa"/>
            <w:vAlign w:val="bottom"/>
          </w:tcPr>
          <w:p w14:paraId="25DBE28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1.158</w:t>
            </w:r>
          </w:p>
        </w:tc>
        <w:tc>
          <w:tcPr>
            <w:tcW w:w="1313" w:type="dxa"/>
            <w:vAlign w:val="bottom"/>
          </w:tcPr>
          <w:p w14:paraId="7F8DFAE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0.247463</w:t>
            </w:r>
          </w:p>
        </w:tc>
      </w:tr>
      <w:tr w:rsidR="003A4E60" w:rsidRPr="001F0E92" w14:paraId="5792FB4F" w14:textId="77777777" w:rsidTr="004A409C">
        <w:trPr>
          <w:jc w:val="center"/>
        </w:trPr>
        <w:tc>
          <w:tcPr>
            <w:tcW w:w="4673" w:type="dxa"/>
            <w:vAlign w:val="bottom"/>
          </w:tcPr>
          <w:p w14:paraId="66CF263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RI:SWT</w:t>
            </w:r>
          </w:p>
        </w:tc>
        <w:tc>
          <w:tcPr>
            <w:tcW w:w="1276" w:type="dxa"/>
            <w:vAlign w:val="bottom"/>
          </w:tcPr>
          <w:p w14:paraId="33F9494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-6.37E-02</w:t>
            </w:r>
          </w:p>
        </w:tc>
        <w:tc>
          <w:tcPr>
            <w:tcW w:w="1276" w:type="dxa"/>
            <w:vAlign w:val="bottom"/>
          </w:tcPr>
          <w:p w14:paraId="7D7DA91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1.53E-01</w:t>
            </w:r>
          </w:p>
        </w:tc>
        <w:tc>
          <w:tcPr>
            <w:tcW w:w="1134" w:type="dxa"/>
            <w:vAlign w:val="bottom"/>
          </w:tcPr>
          <w:p w14:paraId="58CDF32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-0.416</w:t>
            </w:r>
          </w:p>
        </w:tc>
        <w:tc>
          <w:tcPr>
            <w:tcW w:w="1313" w:type="dxa"/>
            <w:vAlign w:val="bottom"/>
          </w:tcPr>
          <w:p w14:paraId="6FF6511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0.677439</w:t>
            </w:r>
          </w:p>
        </w:tc>
      </w:tr>
      <w:tr w:rsidR="003A4E60" w:rsidRPr="001F0E92" w14:paraId="24C41BF4" w14:textId="77777777" w:rsidTr="004A409C">
        <w:trPr>
          <w:jc w:val="center"/>
        </w:trPr>
        <w:tc>
          <w:tcPr>
            <w:tcW w:w="4673" w:type="dxa"/>
            <w:vAlign w:val="bottom"/>
          </w:tcPr>
          <w:p w14:paraId="3CBFF90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DIN:f_DL2:RI</w:t>
            </w:r>
          </w:p>
        </w:tc>
        <w:tc>
          <w:tcPr>
            <w:tcW w:w="1276" w:type="dxa"/>
            <w:vAlign w:val="bottom"/>
          </w:tcPr>
          <w:p w14:paraId="2BC0D6D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-7.97E-03</w:t>
            </w:r>
          </w:p>
        </w:tc>
        <w:tc>
          <w:tcPr>
            <w:tcW w:w="1276" w:type="dxa"/>
            <w:vAlign w:val="bottom"/>
          </w:tcPr>
          <w:p w14:paraId="1FFE950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3.69E-03</w:t>
            </w:r>
          </w:p>
        </w:tc>
        <w:tc>
          <w:tcPr>
            <w:tcW w:w="1134" w:type="dxa"/>
            <w:vAlign w:val="bottom"/>
          </w:tcPr>
          <w:p w14:paraId="04A8EE3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-2.158</w:t>
            </w:r>
          </w:p>
        </w:tc>
        <w:tc>
          <w:tcPr>
            <w:tcW w:w="1313" w:type="dxa"/>
            <w:vAlign w:val="bottom"/>
          </w:tcPr>
          <w:p w14:paraId="5FC85DD2"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0.031408</w:t>
            </w:r>
          </w:p>
        </w:tc>
      </w:tr>
      <w:tr w:rsidR="003A4E60" w:rsidRPr="001F0E92" w14:paraId="470DC02B" w14:textId="77777777" w:rsidTr="004A409C">
        <w:trPr>
          <w:jc w:val="center"/>
        </w:trPr>
        <w:tc>
          <w:tcPr>
            <w:tcW w:w="4673" w:type="dxa"/>
            <w:vAlign w:val="bottom"/>
          </w:tcPr>
          <w:p w14:paraId="1271313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DIN:f_DL2:RS</w:t>
            </w:r>
          </w:p>
        </w:tc>
        <w:tc>
          <w:tcPr>
            <w:tcW w:w="1276" w:type="dxa"/>
            <w:vAlign w:val="bottom"/>
          </w:tcPr>
          <w:p w14:paraId="1B7AC39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-1.53E-02</w:t>
            </w:r>
          </w:p>
        </w:tc>
        <w:tc>
          <w:tcPr>
            <w:tcW w:w="1276" w:type="dxa"/>
            <w:vAlign w:val="bottom"/>
          </w:tcPr>
          <w:p w14:paraId="4FADFD7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4.69E-03</w:t>
            </w:r>
          </w:p>
        </w:tc>
        <w:tc>
          <w:tcPr>
            <w:tcW w:w="1134" w:type="dxa"/>
            <w:vAlign w:val="bottom"/>
          </w:tcPr>
          <w:p w14:paraId="60E1FCB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-3.256</w:t>
            </w:r>
          </w:p>
        </w:tc>
        <w:tc>
          <w:tcPr>
            <w:tcW w:w="1313" w:type="dxa"/>
            <w:vAlign w:val="bottom"/>
          </w:tcPr>
          <w:p w14:paraId="58A82E86"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0.001215</w:t>
            </w:r>
          </w:p>
        </w:tc>
      </w:tr>
      <w:tr w:rsidR="003A4E60" w:rsidRPr="001F0E92" w14:paraId="04B80C79" w14:textId="77777777" w:rsidTr="004A409C">
        <w:trPr>
          <w:jc w:val="center"/>
        </w:trPr>
        <w:tc>
          <w:tcPr>
            <w:tcW w:w="4673" w:type="dxa"/>
            <w:vAlign w:val="bottom"/>
          </w:tcPr>
          <w:p w14:paraId="7592044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DIN:RI:MW</w:t>
            </w:r>
          </w:p>
        </w:tc>
        <w:tc>
          <w:tcPr>
            <w:tcW w:w="1276" w:type="dxa"/>
            <w:vAlign w:val="bottom"/>
          </w:tcPr>
          <w:p w14:paraId="7DBA8BF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5.75E-03</w:t>
            </w:r>
          </w:p>
        </w:tc>
        <w:tc>
          <w:tcPr>
            <w:tcW w:w="1276" w:type="dxa"/>
            <w:vAlign w:val="bottom"/>
          </w:tcPr>
          <w:p w14:paraId="7897F52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6.23E-03</w:t>
            </w:r>
          </w:p>
        </w:tc>
        <w:tc>
          <w:tcPr>
            <w:tcW w:w="1134" w:type="dxa"/>
            <w:vAlign w:val="bottom"/>
          </w:tcPr>
          <w:p w14:paraId="78A5514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0.923</w:t>
            </w:r>
          </w:p>
        </w:tc>
        <w:tc>
          <w:tcPr>
            <w:tcW w:w="1313" w:type="dxa"/>
            <w:vAlign w:val="bottom"/>
          </w:tcPr>
          <w:p w14:paraId="792B145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0.356258</w:t>
            </w:r>
          </w:p>
        </w:tc>
      </w:tr>
      <w:tr w:rsidR="003A4E60" w:rsidRPr="001F0E92" w14:paraId="4B4D8DAE" w14:textId="77777777" w:rsidTr="004A409C">
        <w:trPr>
          <w:jc w:val="center"/>
        </w:trPr>
        <w:tc>
          <w:tcPr>
            <w:tcW w:w="4673" w:type="dxa"/>
            <w:vAlign w:val="bottom"/>
          </w:tcPr>
          <w:p w14:paraId="23C340B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DIN:RI:NWT</w:t>
            </w:r>
          </w:p>
        </w:tc>
        <w:tc>
          <w:tcPr>
            <w:tcW w:w="1276" w:type="dxa"/>
            <w:vAlign w:val="bottom"/>
          </w:tcPr>
          <w:p w14:paraId="1496A69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-7.79E-03</w:t>
            </w:r>
          </w:p>
        </w:tc>
        <w:tc>
          <w:tcPr>
            <w:tcW w:w="1276" w:type="dxa"/>
            <w:vAlign w:val="bottom"/>
          </w:tcPr>
          <w:p w14:paraId="7282B1B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7.05E-03</w:t>
            </w:r>
          </w:p>
        </w:tc>
        <w:tc>
          <w:tcPr>
            <w:tcW w:w="1134" w:type="dxa"/>
            <w:vAlign w:val="bottom"/>
          </w:tcPr>
          <w:p w14:paraId="1AE8D42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-1.105</w:t>
            </w:r>
          </w:p>
        </w:tc>
        <w:tc>
          <w:tcPr>
            <w:tcW w:w="1313" w:type="dxa"/>
            <w:vAlign w:val="bottom"/>
          </w:tcPr>
          <w:p w14:paraId="711EF29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0.269671</w:t>
            </w:r>
          </w:p>
        </w:tc>
      </w:tr>
      <w:tr w:rsidR="003A4E60" w:rsidRPr="001F0E92" w14:paraId="25683856" w14:textId="77777777" w:rsidTr="007B18F7">
        <w:trPr>
          <w:jc w:val="center"/>
        </w:trPr>
        <w:tc>
          <w:tcPr>
            <w:tcW w:w="4673" w:type="dxa"/>
            <w:vAlign w:val="bottom"/>
          </w:tcPr>
          <w:p w14:paraId="79412BB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DIN:RS:NWT</w:t>
            </w:r>
          </w:p>
        </w:tc>
        <w:tc>
          <w:tcPr>
            <w:tcW w:w="1276" w:type="dxa"/>
            <w:vAlign w:val="bottom"/>
          </w:tcPr>
          <w:p w14:paraId="5438089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-3.66E-03</w:t>
            </w:r>
          </w:p>
        </w:tc>
        <w:tc>
          <w:tcPr>
            <w:tcW w:w="1276" w:type="dxa"/>
            <w:vAlign w:val="bottom"/>
          </w:tcPr>
          <w:p w14:paraId="04AD75E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7.37E-03</w:t>
            </w:r>
          </w:p>
        </w:tc>
        <w:tc>
          <w:tcPr>
            <w:tcW w:w="1134" w:type="dxa"/>
            <w:vAlign w:val="bottom"/>
          </w:tcPr>
          <w:p w14:paraId="0D91B10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-0.496</w:t>
            </w:r>
          </w:p>
        </w:tc>
        <w:tc>
          <w:tcPr>
            <w:tcW w:w="1313" w:type="dxa"/>
            <w:vAlign w:val="bottom"/>
          </w:tcPr>
          <w:p w14:paraId="29405E2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0.620017</w:t>
            </w:r>
          </w:p>
        </w:tc>
      </w:tr>
      <w:tr w:rsidR="003A4E60" w:rsidRPr="001F0E92" w14:paraId="45E0374B" w14:textId="77777777" w:rsidTr="007B18F7">
        <w:trPr>
          <w:jc w:val="center"/>
        </w:trPr>
        <w:tc>
          <w:tcPr>
            <w:tcW w:w="4673" w:type="dxa"/>
            <w:tcBorders>
              <w:bottom w:val="single" w:sz="4" w:space="0" w:color="auto"/>
            </w:tcBorders>
            <w:vAlign w:val="bottom"/>
          </w:tcPr>
          <w:p w14:paraId="2A4609F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DIN:RI:SWT</w:t>
            </w:r>
          </w:p>
        </w:tc>
        <w:tc>
          <w:tcPr>
            <w:tcW w:w="1276" w:type="dxa"/>
            <w:tcBorders>
              <w:bottom w:val="single" w:sz="4" w:space="0" w:color="auto"/>
            </w:tcBorders>
            <w:vAlign w:val="bottom"/>
          </w:tcPr>
          <w:p w14:paraId="5BFA2B7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2.27E-03</w:t>
            </w:r>
          </w:p>
        </w:tc>
        <w:tc>
          <w:tcPr>
            <w:tcW w:w="1276" w:type="dxa"/>
            <w:tcBorders>
              <w:bottom w:val="single" w:sz="4" w:space="0" w:color="auto"/>
            </w:tcBorders>
            <w:vAlign w:val="bottom"/>
          </w:tcPr>
          <w:p w14:paraId="2761638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7.33E-03</w:t>
            </w:r>
          </w:p>
        </w:tc>
        <w:tc>
          <w:tcPr>
            <w:tcW w:w="1134" w:type="dxa"/>
            <w:tcBorders>
              <w:bottom w:val="single" w:sz="4" w:space="0" w:color="auto"/>
            </w:tcBorders>
            <w:vAlign w:val="bottom"/>
          </w:tcPr>
          <w:p w14:paraId="5E34AF0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0.309</w:t>
            </w:r>
          </w:p>
        </w:tc>
        <w:tc>
          <w:tcPr>
            <w:tcW w:w="1313" w:type="dxa"/>
            <w:tcBorders>
              <w:bottom w:val="single" w:sz="4" w:space="0" w:color="auto"/>
            </w:tcBorders>
            <w:vAlign w:val="bottom"/>
          </w:tcPr>
          <w:p w14:paraId="262A753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0.757181</w:t>
            </w:r>
          </w:p>
        </w:tc>
      </w:tr>
    </w:tbl>
    <w:p w14:paraId="45B61070" w14:textId="77777777" w:rsidR="003A4E60" w:rsidRPr="001F0E92" w:rsidRDefault="003A4E60" w:rsidP="003A4E60">
      <w:pPr>
        <w:rPr>
          <w:rFonts w:cs="Arial"/>
          <w:szCs w:val="22"/>
          <w:lang w:eastAsia="x-none"/>
        </w:rPr>
      </w:pPr>
    </w:p>
    <w:p w14:paraId="74A16A82" w14:textId="77777777" w:rsidR="003A4E60" w:rsidRPr="001F0E92" w:rsidRDefault="003A4E60" w:rsidP="003A4E60">
      <w:pPr>
        <w:rPr>
          <w:rFonts w:cs="Arial"/>
          <w:szCs w:val="22"/>
          <w:lang w:eastAsia="x-none"/>
        </w:rPr>
      </w:pPr>
    </w:p>
    <w:p w14:paraId="6F7FE48D" w14:textId="77777777" w:rsidR="003A4E60" w:rsidRPr="001F0E92" w:rsidRDefault="003A4E60" w:rsidP="003A4E60">
      <w:pPr>
        <w:rPr>
          <w:rFonts w:cs="Arial"/>
          <w:szCs w:val="22"/>
          <w:lang w:eastAsia="x-none"/>
        </w:rPr>
      </w:pPr>
      <w:r w:rsidRPr="001F0E92">
        <w:rPr>
          <w:rFonts w:cs="Arial"/>
          <w:szCs w:val="22"/>
          <w:lang w:eastAsia="x-none"/>
        </w:rPr>
        <w:t xml:space="preserve">Table A4. </w:t>
      </w:r>
      <w:r w:rsidRPr="007B18F7">
        <w:rPr>
          <w:rFonts w:cs="Arial"/>
          <w:i/>
          <w:szCs w:val="22"/>
          <w:lang w:eastAsia="x-none"/>
        </w:rPr>
        <w:t>Model 1 (M_Hu) – ANOVA of the effects of DIN loading, mean daily light, region, and habitat on the C:N ratio of H. uninervis.</w:t>
      </w:r>
      <w:r w:rsidRPr="001F0E92">
        <w:rPr>
          <w:rFonts w:cs="Arial"/>
          <w:szCs w:val="22"/>
          <w:lang w:eastAsia="x-none"/>
        </w:rPr>
        <w:t xml:space="preserve"> </w:t>
      </w:r>
    </w:p>
    <w:tbl>
      <w:tblPr>
        <w:tblW w:w="0" w:type="auto"/>
        <w:jc w:val="center"/>
        <w:tblLook w:val="04A0" w:firstRow="1" w:lastRow="0" w:firstColumn="1" w:lastColumn="0" w:noHBand="0" w:noVBand="1"/>
      </w:tblPr>
      <w:tblGrid>
        <w:gridCol w:w="2751"/>
        <w:gridCol w:w="428"/>
        <w:gridCol w:w="961"/>
        <w:gridCol w:w="1039"/>
        <w:gridCol w:w="939"/>
        <w:gridCol w:w="1145"/>
      </w:tblGrid>
      <w:tr w:rsidR="003A4E60" w:rsidRPr="007B18F7" w14:paraId="3ECBAA05" w14:textId="77777777" w:rsidTr="007B18F7">
        <w:trPr>
          <w:jc w:val="center"/>
        </w:trPr>
        <w:tc>
          <w:tcPr>
            <w:tcW w:w="0" w:type="auto"/>
            <w:tcBorders>
              <w:top w:val="single" w:sz="4" w:space="0" w:color="auto"/>
              <w:bottom w:val="single" w:sz="4" w:space="0" w:color="auto"/>
            </w:tcBorders>
            <w:vAlign w:val="bottom"/>
          </w:tcPr>
          <w:p w14:paraId="186FE1A6" w14:textId="77777777" w:rsidR="003A4E60" w:rsidRPr="007B18F7" w:rsidRDefault="003A4E60" w:rsidP="007B18F7">
            <w:pPr>
              <w:spacing w:before="0" w:after="0"/>
              <w:jc w:val="center"/>
              <w:rPr>
                <w:rFonts w:cs="Arial"/>
                <w:b/>
                <w:sz w:val="20"/>
                <w:szCs w:val="20"/>
                <w:lang w:eastAsia="x-none"/>
              </w:rPr>
            </w:pPr>
          </w:p>
        </w:tc>
        <w:tc>
          <w:tcPr>
            <w:tcW w:w="0" w:type="auto"/>
            <w:tcBorders>
              <w:top w:val="single" w:sz="4" w:space="0" w:color="auto"/>
              <w:bottom w:val="single" w:sz="4" w:space="0" w:color="auto"/>
            </w:tcBorders>
            <w:vAlign w:val="bottom"/>
          </w:tcPr>
          <w:p w14:paraId="17304A7D"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Df</w:t>
            </w:r>
          </w:p>
        </w:tc>
        <w:tc>
          <w:tcPr>
            <w:tcW w:w="0" w:type="auto"/>
            <w:tcBorders>
              <w:top w:val="single" w:sz="4" w:space="0" w:color="auto"/>
              <w:bottom w:val="single" w:sz="4" w:space="0" w:color="auto"/>
            </w:tcBorders>
            <w:vAlign w:val="bottom"/>
          </w:tcPr>
          <w:p w14:paraId="32A66531"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Sum Sq</w:t>
            </w:r>
          </w:p>
        </w:tc>
        <w:tc>
          <w:tcPr>
            <w:tcW w:w="0" w:type="auto"/>
            <w:tcBorders>
              <w:top w:val="single" w:sz="4" w:space="0" w:color="auto"/>
              <w:bottom w:val="single" w:sz="4" w:space="0" w:color="auto"/>
            </w:tcBorders>
            <w:vAlign w:val="bottom"/>
          </w:tcPr>
          <w:p w14:paraId="3484E317"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Mean Sq</w:t>
            </w:r>
          </w:p>
        </w:tc>
        <w:tc>
          <w:tcPr>
            <w:tcW w:w="0" w:type="auto"/>
            <w:tcBorders>
              <w:top w:val="single" w:sz="4" w:space="0" w:color="auto"/>
              <w:bottom w:val="single" w:sz="4" w:space="0" w:color="auto"/>
            </w:tcBorders>
            <w:vAlign w:val="bottom"/>
          </w:tcPr>
          <w:p w14:paraId="6908BE79"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F value</w:t>
            </w:r>
          </w:p>
        </w:tc>
        <w:tc>
          <w:tcPr>
            <w:tcW w:w="0" w:type="auto"/>
            <w:tcBorders>
              <w:top w:val="single" w:sz="4" w:space="0" w:color="auto"/>
              <w:bottom w:val="single" w:sz="4" w:space="0" w:color="auto"/>
            </w:tcBorders>
            <w:vAlign w:val="bottom"/>
          </w:tcPr>
          <w:p w14:paraId="0F800EFD"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P-value</w:t>
            </w:r>
          </w:p>
        </w:tc>
      </w:tr>
      <w:tr w:rsidR="003A4E60" w:rsidRPr="001F0E92" w14:paraId="46266958" w14:textId="77777777" w:rsidTr="007B18F7">
        <w:trPr>
          <w:jc w:val="center"/>
        </w:trPr>
        <w:tc>
          <w:tcPr>
            <w:tcW w:w="0" w:type="auto"/>
            <w:tcBorders>
              <w:top w:val="single" w:sz="4" w:space="0" w:color="auto"/>
            </w:tcBorders>
            <w:vAlign w:val="bottom"/>
          </w:tcPr>
          <w:p w14:paraId="26465EC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0" w:type="auto"/>
            <w:tcBorders>
              <w:top w:val="single" w:sz="4" w:space="0" w:color="auto"/>
            </w:tcBorders>
            <w:vAlign w:val="bottom"/>
          </w:tcPr>
          <w:p w14:paraId="74AFC84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tcBorders>
              <w:top w:val="single" w:sz="4" w:space="0" w:color="auto"/>
            </w:tcBorders>
            <w:vAlign w:val="bottom"/>
          </w:tcPr>
          <w:p w14:paraId="16A2EB3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20.9</w:t>
            </w:r>
          </w:p>
        </w:tc>
        <w:tc>
          <w:tcPr>
            <w:tcW w:w="0" w:type="auto"/>
            <w:tcBorders>
              <w:top w:val="single" w:sz="4" w:space="0" w:color="auto"/>
            </w:tcBorders>
            <w:vAlign w:val="bottom"/>
          </w:tcPr>
          <w:p w14:paraId="03256E7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20.9</w:t>
            </w:r>
          </w:p>
        </w:tc>
        <w:tc>
          <w:tcPr>
            <w:tcW w:w="0" w:type="auto"/>
            <w:tcBorders>
              <w:top w:val="single" w:sz="4" w:space="0" w:color="auto"/>
            </w:tcBorders>
            <w:vAlign w:val="bottom"/>
          </w:tcPr>
          <w:p w14:paraId="4E0BF03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3.217</w:t>
            </w:r>
          </w:p>
        </w:tc>
        <w:tc>
          <w:tcPr>
            <w:tcW w:w="0" w:type="auto"/>
            <w:tcBorders>
              <w:top w:val="single" w:sz="4" w:space="0" w:color="auto"/>
            </w:tcBorders>
            <w:vAlign w:val="bottom"/>
          </w:tcPr>
          <w:p w14:paraId="3B0B938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0.07354</w:t>
            </w:r>
          </w:p>
        </w:tc>
      </w:tr>
      <w:tr w:rsidR="003A4E60" w:rsidRPr="001F0E92" w14:paraId="1D0D1EB2" w14:textId="77777777" w:rsidTr="004A409C">
        <w:trPr>
          <w:jc w:val="center"/>
        </w:trPr>
        <w:tc>
          <w:tcPr>
            <w:tcW w:w="0" w:type="auto"/>
            <w:vAlign w:val="bottom"/>
          </w:tcPr>
          <w:p w14:paraId="4AA438A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w:t>
            </w:r>
          </w:p>
        </w:tc>
        <w:tc>
          <w:tcPr>
            <w:tcW w:w="0" w:type="auto"/>
            <w:vAlign w:val="bottom"/>
          </w:tcPr>
          <w:p w14:paraId="191D1BE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0CC5501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334.5</w:t>
            </w:r>
          </w:p>
        </w:tc>
        <w:tc>
          <w:tcPr>
            <w:tcW w:w="0" w:type="auto"/>
            <w:vAlign w:val="bottom"/>
          </w:tcPr>
          <w:p w14:paraId="089DE83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334.5</w:t>
            </w:r>
          </w:p>
        </w:tc>
        <w:tc>
          <w:tcPr>
            <w:tcW w:w="0" w:type="auto"/>
            <w:vAlign w:val="bottom"/>
          </w:tcPr>
          <w:p w14:paraId="2CE2040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51.602</w:t>
            </w:r>
          </w:p>
        </w:tc>
        <w:tc>
          <w:tcPr>
            <w:tcW w:w="0" w:type="auto"/>
            <w:vAlign w:val="bottom"/>
          </w:tcPr>
          <w:p w14:paraId="75C18B62"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2.76E-12</w:t>
            </w:r>
          </w:p>
        </w:tc>
      </w:tr>
      <w:tr w:rsidR="003A4E60" w:rsidRPr="001F0E92" w14:paraId="284C5BD7" w14:textId="77777777" w:rsidTr="004A409C">
        <w:trPr>
          <w:jc w:val="center"/>
        </w:trPr>
        <w:tc>
          <w:tcPr>
            <w:tcW w:w="0" w:type="auto"/>
            <w:vAlign w:val="bottom"/>
          </w:tcPr>
          <w:p w14:paraId="1B5F625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w:t>
            </w:r>
          </w:p>
        </w:tc>
        <w:tc>
          <w:tcPr>
            <w:tcW w:w="0" w:type="auto"/>
            <w:vAlign w:val="bottom"/>
          </w:tcPr>
          <w:p w14:paraId="354B742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2AB2BA0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2468</w:t>
            </w:r>
          </w:p>
        </w:tc>
        <w:tc>
          <w:tcPr>
            <w:tcW w:w="0" w:type="auto"/>
            <w:vAlign w:val="bottom"/>
          </w:tcPr>
          <w:p w14:paraId="2597868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1234</w:t>
            </w:r>
          </w:p>
        </w:tc>
        <w:tc>
          <w:tcPr>
            <w:tcW w:w="0" w:type="auto"/>
            <w:vAlign w:val="bottom"/>
          </w:tcPr>
          <w:p w14:paraId="411160D5" w14:textId="6654F501"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190.37</w:t>
            </w:r>
            <w:r w:rsidR="00564F44">
              <w:rPr>
                <w:rFonts w:cs="Arial"/>
                <w:color w:val="000000"/>
                <w:sz w:val="20"/>
                <w:szCs w:val="20"/>
              </w:rPr>
              <w:t>0</w:t>
            </w:r>
          </w:p>
        </w:tc>
        <w:tc>
          <w:tcPr>
            <w:tcW w:w="0" w:type="auto"/>
            <w:vAlign w:val="bottom"/>
          </w:tcPr>
          <w:p w14:paraId="52BC992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08216732" w14:textId="77777777" w:rsidTr="004A409C">
        <w:trPr>
          <w:jc w:val="center"/>
        </w:trPr>
        <w:tc>
          <w:tcPr>
            <w:tcW w:w="0" w:type="auto"/>
            <w:vAlign w:val="bottom"/>
          </w:tcPr>
          <w:p w14:paraId="146C057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w:t>
            </w:r>
          </w:p>
        </w:tc>
        <w:tc>
          <w:tcPr>
            <w:tcW w:w="0" w:type="auto"/>
            <w:vAlign w:val="bottom"/>
          </w:tcPr>
          <w:p w14:paraId="0F19C50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6AA9470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1108.8</w:t>
            </w:r>
          </w:p>
        </w:tc>
        <w:tc>
          <w:tcPr>
            <w:tcW w:w="0" w:type="auto"/>
            <w:vAlign w:val="bottom"/>
          </w:tcPr>
          <w:p w14:paraId="7B15F5E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369.6</w:t>
            </w:r>
          </w:p>
        </w:tc>
        <w:tc>
          <w:tcPr>
            <w:tcW w:w="0" w:type="auto"/>
            <w:vAlign w:val="bottom"/>
          </w:tcPr>
          <w:p w14:paraId="1487D1DA" w14:textId="464BD5C6"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57.02</w:t>
            </w:r>
            <w:r w:rsidR="00564F44">
              <w:rPr>
                <w:rFonts w:cs="Arial"/>
                <w:color w:val="000000"/>
                <w:sz w:val="20"/>
                <w:szCs w:val="20"/>
              </w:rPr>
              <w:t>0</w:t>
            </w:r>
          </w:p>
        </w:tc>
        <w:tc>
          <w:tcPr>
            <w:tcW w:w="0" w:type="auto"/>
            <w:vAlign w:val="bottom"/>
          </w:tcPr>
          <w:p w14:paraId="398A426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00370073" w14:textId="77777777" w:rsidTr="004A409C">
        <w:trPr>
          <w:jc w:val="center"/>
        </w:trPr>
        <w:tc>
          <w:tcPr>
            <w:tcW w:w="0" w:type="auto"/>
            <w:vAlign w:val="bottom"/>
          </w:tcPr>
          <w:p w14:paraId="0480A87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w:t>
            </w:r>
          </w:p>
        </w:tc>
        <w:tc>
          <w:tcPr>
            <w:tcW w:w="0" w:type="auto"/>
            <w:vAlign w:val="bottom"/>
          </w:tcPr>
          <w:p w14:paraId="56CC3CD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7445F85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68.6</w:t>
            </w:r>
          </w:p>
        </w:tc>
        <w:tc>
          <w:tcPr>
            <w:tcW w:w="0" w:type="auto"/>
            <w:vAlign w:val="bottom"/>
          </w:tcPr>
          <w:p w14:paraId="3B55EAD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68.6</w:t>
            </w:r>
          </w:p>
        </w:tc>
        <w:tc>
          <w:tcPr>
            <w:tcW w:w="0" w:type="auto"/>
            <w:vAlign w:val="bottom"/>
          </w:tcPr>
          <w:p w14:paraId="6A1F190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10.587</w:t>
            </w:r>
          </w:p>
        </w:tc>
        <w:tc>
          <w:tcPr>
            <w:tcW w:w="0" w:type="auto"/>
            <w:vAlign w:val="bottom"/>
          </w:tcPr>
          <w:p w14:paraId="461073CB"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0.00122</w:t>
            </w:r>
          </w:p>
        </w:tc>
      </w:tr>
      <w:tr w:rsidR="003A4E60" w:rsidRPr="001F0E92" w14:paraId="250C9904" w14:textId="77777777" w:rsidTr="004A409C">
        <w:trPr>
          <w:jc w:val="center"/>
        </w:trPr>
        <w:tc>
          <w:tcPr>
            <w:tcW w:w="0" w:type="auto"/>
            <w:vAlign w:val="bottom"/>
          </w:tcPr>
          <w:p w14:paraId="5918FD1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w:t>
            </w:r>
          </w:p>
        </w:tc>
        <w:tc>
          <w:tcPr>
            <w:tcW w:w="0" w:type="auto"/>
            <w:vAlign w:val="bottom"/>
          </w:tcPr>
          <w:p w14:paraId="2EB32A5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2A6CF81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180.5</w:t>
            </w:r>
          </w:p>
        </w:tc>
        <w:tc>
          <w:tcPr>
            <w:tcW w:w="0" w:type="auto"/>
            <w:vAlign w:val="bottom"/>
          </w:tcPr>
          <w:p w14:paraId="31758C8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90.2</w:t>
            </w:r>
          </w:p>
        </w:tc>
        <w:tc>
          <w:tcPr>
            <w:tcW w:w="0" w:type="auto"/>
            <w:vAlign w:val="bottom"/>
          </w:tcPr>
          <w:p w14:paraId="059DD80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13.921</w:t>
            </w:r>
          </w:p>
        </w:tc>
        <w:tc>
          <w:tcPr>
            <w:tcW w:w="0" w:type="auto"/>
            <w:vAlign w:val="bottom"/>
          </w:tcPr>
          <w:p w14:paraId="1375B0CE"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1.35E-06</w:t>
            </w:r>
          </w:p>
        </w:tc>
      </w:tr>
      <w:tr w:rsidR="003A4E60" w:rsidRPr="001F0E92" w14:paraId="130789F3" w14:textId="77777777" w:rsidTr="004A409C">
        <w:trPr>
          <w:jc w:val="center"/>
        </w:trPr>
        <w:tc>
          <w:tcPr>
            <w:tcW w:w="0" w:type="auto"/>
            <w:vAlign w:val="bottom"/>
          </w:tcPr>
          <w:p w14:paraId="6F57018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DIN:NRM_subregion</w:t>
            </w:r>
          </w:p>
        </w:tc>
        <w:tc>
          <w:tcPr>
            <w:tcW w:w="0" w:type="auto"/>
            <w:vAlign w:val="bottom"/>
          </w:tcPr>
          <w:p w14:paraId="77E3428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647D349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151.4</w:t>
            </w:r>
          </w:p>
        </w:tc>
        <w:tc>
          <w:tcPr>
            <w:tcW w:w="0" w:type="auto"/>
            <w:vAlign w:val="bottom"/>
          </w:tcPr>
          <w:p w14:paraId="3257CAE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50.5</w:t>
            </w:r>
          </w:p>
        </w:tc>
        <w:tc>
          <w:tcPr>
            <w:tcW w:w="0" w:type="auto"/>
            <w:vAlign w:val="bottom"/>
          </w:tcPr>
          <w:p w14:paraId="6D0F699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7.784</w:t>
            </w:r>
          </w:p>
        </w:tc>
        <w:tc>
          <w:tcPr>
            <w:tcW w:w="0" w:type="auto"/>
            <w:vAlign w:val="bottom"/>
          </w:tcPr>
          <w:p w14:paraId="03529AC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4.44E-05</w:t>
            </w:r>
          </w:p>
        </w:tc>
      </w:tr>
      <w:tr w:rsidR="003A4E60" w:rsidRPr="001F0E92" w14:paraId="27AC5E31" w14:textId="77777777" w:rsidTr="004A409C">
        <w:trPr>
          <w:jc w:val="center"/>
        </w:trPr>
        <w:tc>
          <w:tcPr>
            <w:tcW w:w="0" w:type="auto"/>
            <w:vAlign w:val="bottom"/>
          </w:tcPr>
          <w:p w14:paraId="2343ECB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f_DL:Habitat</w:t>
            </w:r>
          </w:p>
        </w:tc>
        <w:tc>
          <w:tcPr>
            <w:tcW w:w="0" w:type="auto"/>
            <w:vAlign w:val="bottom"/>
          </w:tcPr>
          <w:p w14:paraId="7FDD3D9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65908F2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25.5</w:t>
            </w:r>
          </w:p>
        </w:tc>
        <w:tc>
          <w:tcPr>
            <w:tcW w:w="0" w:type="auto"/>
            <w:vAlign w:val="bottom"/>
          </w:tcPr>
          <w:p w14:paraId="75D118D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12.7</w:t>
            </w:r>
          </w:p>
        </w:tc>
        <w:tc>
          <w:tcPr>
            <w:tcW w:w="0" w:type="auto"/>
            <w:vAlign w:val="bottom"/>
          </w:tcPr>
          <w:p w14:paraId="71B3077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1.965</w:t>
            </w:r>
          </w:p>
        </w:tc>
        <w:tc>
          <w:tcPr>
            <w:tcW w:w="0" w:type="auto"/>
            <w:vAlign w:val="bottom"/>
          </w:tcPr>
          <w:p w14:paraId="7C32106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0.14129</w:t>
            </w:r>
          </w:p>
        </w:tc>
      </w:tr>
      <w:tr w:rsidR="003A4E60" w:rsidRPr="001F0E92" w14:paraId="28901F6F" w14:textId="77777777" w:rsidTr="004A409C">
        <w:trPr>
          <w:jc w:val="center"/>
        </w:trPr>
        <w:tc>
          <w:tcPr>
            <w:tcW w:w="0" w:type="auto"/>
            <w:vAlign w:val="bottom"/>
          </w:tcPr>
          <w:p w14:paraId="1AA653B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Habitat:NRM_subregion</w:t>
            </w:r>
          </w:p>
        </w:tc>
        <w:tc>
          <w:tcPr>
            <w:tcW w:w="0" w:type="auto"/>
            <w:vAlign w:val="bottom"/>
          </w:tcPr>
          <w:p w14:paraId="79E786F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4</w:t>
            </w:r>
          </w:p>
        </w:tc>
        <w:tc>
          <w:tcPr>
            <w:tcW w:w="0" w:type="auto"/>
            <w:vAlign w:val="bottom"/>
          </w:tcPr>
          <w:p w14:paraId="4231EE5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599.1</w:t>
            </w:r>
          </w:p>
        </w:tc>
        <w:tc>
          <w:tcPr>
            <w:tcW w:w="0" w:type="auto"/>
            <w:vAlign w:val="bottom"/>
          </w:tcPr>
          <w:p w14:paraId="1090C75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149.8</w:t>
            </w:r>
          </w:p>
        </w:tc>
        <w:tc>
          <w:tcPr>
            <w:tcW w:w="0" w:type="auto"/>
            <w:vAlign w:val="bottom"/>
          </w:tcPr>
          <w:p w14:paraId="1D3BF84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23.107</w:t>
            </w:r>
          </w:p>
        </w:tc>
        <w:tc>
          <w:tcPr>
            <w:tcW w:w="0" w:type="auto"/>
            <w:vAlign w:val="bottom"/>
          </w:tcPr>
          <w:p w14:paraId="20B05A9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20B8369F" w14:textId="77777777" w:rsidTr="007B18F7">
        <w:trPr>
          <w:jc w:val="center"/>
        </w:trPr>
        <w:tc>
          <w:tcPr>
            <w:tcW w:w="0" w:type="auto"/>
            <w:vAlign w:val="bottom"/>
          </w:tcPr>
          <w:p w14:paraId="3C12B13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DIN:f_DL:Habitat</w:t>
            </w:r>
          </w:p>
        </w:tc>
        <w:tc>
          <w:tcPr>
            <w:tcW w:w="0" w:type="auto"/>
            <w:vAlign w:val="bottom"/>
          </w:tcPr>
          <w:p w14:paraId="3425D7F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2ADBB730" w14:textId="19DEDF82"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61</w:t>
            </w:r>
            <w:r w:rsidR="00564F44">
              <w:rPr>
                <w:rFonts w:cs="Arial"/>
                <w:color w:val="000000"/>
                <w:sz w:val="20"/>
                <w:szCs w:val="20"/>
              </w:rPr>
              <w:t>.0</w:t>
            </w:r>
          </w:p>
        </w:tc>
        <w:tc>
          <w:tcPr>
            <w:tcW w:w="0" w:type="auto"/>
            <w:vAlign w:val="bottom"/>
          </w:tcPr>
          <w:p w14:paraId="4A0F81B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30.5</w:t>
            </w:r>
          </w:p>
        </w:tc>
        <w:tc>
          <w:tcPr>
            <w:tcW w:w="0" w:type="auto"/>
            <w:vAlign w:val="bottom"/>
          </w:tcPr>
          <w:p w14:paraId="4FEFCB5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4.702</w:t>
            </w:r>
          </w:p>
        </w:tc>
        <w:tc>
          <w:tcPr>
            <w:tcW w:w="0" w:type="auto"/>
            <w:vAlign w:val="bottom"/>
          </w:tcPr>
          <w:p w14:paraId="3D592A4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0.00952</w:t>
            </w:r>
          </w:p>
        </w:tc>
      </w:tr>
      <w:tr w:rsidR="003A4E60" w:rsidRPr="001F0E92" w14:paraId="1D628D96" w14:textId="77777777" w:rsidTr="007B18F7">
        <w:trPr>
          <w:jc w:val="center"/>
        </w:trPr>
        <w:tc>
          <w:tcPr>
            <w:tcW w:w="0" w:type="auto"/>
            <w:tcBorders>
              <w:bottom w:val="single" w:sz="4" w:space="0" w:color="auto"/>
            </w:tcBorders>
            <w:vAlign w:val="bottom"/>
          </w:tcPr>
          <w:p w14:paraId="56142E2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DIN:Habitat:NRM_subregion</w:t>
            </w:r>
          </w:p>
        </w:tc>
        <w:tc>
          <w:tcPr>
            <w:tcW w:w="0" w:type="auto"/>
            <w:tcBorders>
              <w:bottom w:val="single" w:sz="4" w:space="0" w:color="auto"/>
            </w:tcBorders>
            <w:vAlign w:val="bottom"/>
          </w:tcPr>
          <w:p w14:paraId="5F3B777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4</w:t>
            </w:r>
          </w:p>
        </w:tc>
        <w:tc>
          <w:tcPr>
            <w:tcW w:w="0" w:type="auto"/>
            <w:tcBorders>
              <w:bottom w:val="single" w:sz="4" w:space="0" w:color="auto"/>
            </w:tcBorders>
            <w:vAlign w:val="bottom"/>
          </w:tcPr>
          <w:p w14:paraId="07620BC3" w14:textId="7A29C29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w:t>
            </w:r>
            <w:r w:rsidR="00564F44">
              <w:rPr>
                <w:rFonts w:cs="Arial"/>
                <w:color w:val="000000"/>
                <w:sz w:val="20"/>
                <w:szCs w:val="20"/>
              </w:rPr>
              <w:t>.0</w:t>
            </w:r>
          </w:p>
        </w:tc>
        <w:tc>
          <w:tcPr>
            <w:tcW w:w="0" w:type="auto"/>
            <w:tcBorders>
              <w:bottom w:val="single" w:sz="4" w:space="0" w:color="auto"/>
            </w:tcBorders>
            <w:vAlign w:val="bottom"/>
          </w:tcPr>
          <w:p w14:paraId="5769E5EB" w14:textId="3ECFD5DA"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w:t>
            </w:r>
            <w:r w:rsidR="00564F44">
              <w:rPr>
                <w:rFonts w:cs="Arial"/>
                <w:color w:val="000000"/>
                <w:sz w:val="20"/>
                <w:szCs w:val="20"/>
              </w:rPr>
              <w:t>.0</w:t>
            </w:r>
          </w:p>
        </w:tc>
        <w:tc>
          <w:tcPr>
            <w:tcW w:w="0" w:type="auto"/>
            <w:tcBorders>
              <w:bottom w:val="single" w:sz="4" w:space="0" w:color="auto"/>
            </w:tcBorders>
            <w:vAlign w:val="bottom"/>
          </w:tcPr>
          <w:p w14:paraId="14A65D6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0.462</w:t>
            </w:r>
          </w:p>
        </w:tc>
        <w:tc>
          <w:tcPr>
            <w:tcW w:w="0" w:type="auto"/>
            <w:tcBorders>
              <w:bottom w:val="single" w:sz="4" w:space="0" w:color="auto"/>
            </w:tcBorders>
            <w:vAlign w:val="bottom"/>
          </w:tcPr>
          <w:p w14:paraId="4D5A545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0.76335</w:t>
            </w:r>
          </w:p>
        </w:tc>
      </w:tr>
    </w:tbl>
    <w:p w14:paraId="68DE7042" w14:textId="77777777" w:rsidR="003A4E60" w:rsidRPr="001F0E92" w:rsidRDefault="003A4E60" w:rsidP="003A4E60">
      <w:pPr>
        <w:rPr>
          <w:rFonts w:cs="Arial"/>
          <w:szCs w:val="22"/>
          <w:lang w:eastAsia="x-none"/>
        </w:rPr>
      </w:pPr>
    </w:p>
    <w:p w14:paraId="388579BB" w14:textId="77777777" w:rsidR="003A4E60" w:rsidRPr="001F0E92" w:rsidRDefault="003A4E60" w:rsidP="003A4E60">
      <w:pPr>
        <w:rPr>
          <w:rFonts w:cs="Arial"/>
          <w:b/>
          <w:i/>
          <w:szCs w:val="22"/>
        </w:rPr>
      </w:pPr>
      <w:r w:rsidRPr="001F0E92">
        <w:rPr>
          <w:rFonts w:cs="Arial"/>
        </w:rPr>
        <w:br w:type="column"/>
      </w:r>
      <w:r w:rsidRPr="001F0E92">
        <w:rPr>
          <w:rFonts w:cs="Arial"/>
          <w:b/>
          <w:i/>
          <w:szCs w:val="22"/>
        </w:rPr>
        <w:lastRenderedPageBreak/>
        <w:t>Zostera muelleri</w:t>
      </w:r>
    </w:p>
    <w:p w14:paraId="739BC808" w14:textId="77777777" w:rsidR="003A4E60" w:rsidRPr="001F0E92" w:rsidRDefault="003A4E60" w:rsidP="003A4E60">
      <w:pPr>
        <w:rPr>
          <w:rFonts w:cs="Arial"/>
          <w:szCs w:val="22"/>
          <w:lang w:eastAsia="x-none"/>
        </w:rPr>
      </w:pPr>
      <w:r w:rsidRPr="001F0E92">
        <w:rPr>
          <w:rFonts w:cs="Arial"/>
          <w:szCs w:val="22"/>
          <w:lang w:eastAsia="x-none"/>
        </w:rPr>
        <w:t xml:space="preserve">Table A5. </w:t>
      </w:r>
      <w:r w:rsidRPr="007B18F7">
        <w:rPr>
          <w:rFonts w:cs="Arial"/>
          <w:i/>
          <w:szCs w:val="22"/>
          <w:lang w:eastAsia="x-none"/>
        </w:rPr>
        <w:t>Model 1 (M_Zm) – summary of the GLM used to test for the effects of DIN loading, mean daily light, region, and habitat on the C:N ratio of Z. muelleri. Estimates are on the log scale.</w:t>
      </w:r>
    </w:p>
    <w:tbl>
      <w:tblPr>
        <w:tblW w:w="9351" w:type="dxa"/>
        <w:jc w:val="center"/>
        <w:tblLayout w:type="fixed"/>
        <w:tblLook w:val="04A0" w:firstRow="1" w:lastRow="0" w:firstColumn="1" w:lastColumn="0" w:noHBand="0" w:noVBand="1"/>
      </w:tblPr>
      <w:tblGrid>
        <w:gridCol w:w="4390"/>
        <w:gridCol w:w="1275"/>
        <w:gridCol w:w="1276"/>
        <w:gridCol w:w="1064"/>
        <w:gridCol w:w="1346"/>
      </w:tblGrid>
      <w:tr w:rsidR="003A4E60" w:rsidRPr="007B18F7" w14:paraId="2A021553" w14:textId="77777777" w:rsidTr="007B18F7">
        <w:trPr>
          <w:jc w:val="center"/>
        </w:trPr>
        <w:tc>
          <w:tcPr>
            <w:tcW w:w="4390" w:type="dxa"/>
            <w:tcBorders>
              <w:top w:val="single" w:sz="4" w:space="0" w:color="auto"/>
              <w:bottom w:val="single" w:sz="4" w:space="0" w:color="auto"/>
            </w:tcBorders>
            <w:vAlign w:val="bottom"/>
          </w:tcPr>
          <w:p w14:paraId="3A55D796" w14:textId="36F2BDB5"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Parameters</w:t>
            </w:r>
          </w:p>
        </w:tc>
        <w:tc>
          <w:tcPr>
            <w:tcW w:w="1275" w:type="dxa"/>
            <w:tcBorders>
              <w:top w:val="single" w:sz="4" w:space="0" w:color="auto"/>
              <w:bottom w:val="single" w:sz="4" w:space="0" w:color="auto"/>
            </w:tcBorders>
            <w:vAlign w:val="bottom"/>
          </w:tcPr>
          <w:p w14:paraId="0A3C78ED"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Estimate</w:t>
            </w:r>
          </w:p>
        </w:tc>
        <w:tc>
          <w:tcPr>
            <w:tcW w:w="1276" w:type="dxa"/>
            <w:tcBorders>
              <w:top w:val="single" w:sz="4" w:space="0" w:color="auto"/>
              <w:bottom w:val="single" w:sz="4" w:space="0" w:color="auto"/>
            </w:tcBorders>
            <w:vAlign w:val="bottom"/>
          </w:tcPr>
          <w:p w14:paraId="4CF7D0FF"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Std.Error</w:t>
            </w:r>
          </w:p>
        </w:tc>
        <w:tc>
          <w:tcPr>
            <w:tcW w:w="1064" w:type="dxa"/>
            <w:tcBorders>
              <w:top w:val="single" w:sz="4" w:space="0" w:color="auto"/>
              <w:bottom w:val="single" w:sz="4" w:space="0" w:color="auto"/>
            </w:tcBorders>
            <w:vAlign w:val="bottom"/>
          </w:tcPr>
          <w:p w14:paraId="5A19A99E"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t value</w:t>
            </w:r>
          </w:p>
        </w:tc>
        <w:tc>
          <w:tcPr>
            <w:tcW w:w="1346" w:type="dxa"/>
            <w:tcBorders>
              <w:top w:val="single" w:sz="4" w:space="0" w:color="auto"/>
              <w:bottom w:val="single" w:sz="4" w:space="0" w:color="auto"/>
            </w:tcBorders>
            <w:vAlign w:val="bottom"/>
          </w:tcPr>
          <w:p w14:paraId="258CEA37" w14:textId="77777777" w:rsidR="003A4E60" w:rsidRPr="007B18F7" w:rsidRDefault="003A4E60" w:rsidP="007B18F7">
            <w:pPr>
              <w:spacing w:before="0" w:after="0"/>
              <w:jc w:val="center"/>
              <w:rPr>
                <w:rFonts w:cs="Arial"/>
                <w:b/>
                <w:sz w:val="20"/>
                <w:szCs w:val="20"/>
                <w:lang w:eastAsia="x-none"/>
              </w:rPr>
            </w:pPr>
            <w:r w:rsidRPr="007B18F7">
              <w:rPr>
                <w:rFonts w:cs="Arial"/>
                <w:b/>
                <w:color w:val="000000"/>
                <w:sz w:val="20"/>
                <w:szCs w:val="20"/>
              </w:rPr>
              <w:t>Pr(&gt;|t|)</w:t>
            </w:r>
          </w:p>
        </w:tc>
      </w:tr>
      <w:tr w:rsidR="003A4E60" w:rsidRPr="001F0E92" w14:paraId="643F247C" w14:textId="77777777" w:rsidTr="007B18F7">
        <w:trPr>
          <w:jc w:val="center"/>
        </w:trPr>
        <w:tc>
          <w:tcPr>
            <w:tcW w:w="4390" w:type="dxa"/>
            <w:tcBorders>
              <w:top w:val="single" w:sz="4" w:space="0" w:color="auto"/>
            </w:tcBorders>
            <w:vAlign w:val="bottom"/>
          </w:tcPr>
          <w:p w14:paraId="2CF8E6B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Intercept (Burdekin and Coastal intertidal and f_DL1)</w:t>
            </w:r>
          </w:p>
        </w:tc>
        <w:tc>
          <w:tcPr>
            <w:tcW w:w="1275" w:type="dxa"/>
            <w:tcBorders>
              <w:top w:val="single" w:sz="4" w:space="0" w:color="auto"/>
            </w:tcBorders>
            <w:vAlign w:val="bottom"/>
          </w:tcPr>
          <w:p w14:paraId="63B80B5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3.247998</w:t>
            </w:r>
          </w:p>
        </w:tc>
        <w:tc>
          <w:tcPr>
            <w:tcW w:w="1276" w:type="dxa"/>
            <w:tcBorders>
              <w:top w:val="single" w:sz="4" w:space="0" w:color="auto"/>
            </w:tcBorders>
            <w:vAlign w:val="bottom"/>
          </w:tcPr>
          <w:p w14:paraId="2697008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0.180446</w:t>
            </w:r>
          </w:p>
        </w:tc>
        <w:tc>
          <w:tcPr>
            <w:tcW w:w="1064" w:type="dxa"/>
            <w:tcBorders>
              <w:top w:val="single" w:sz="4" w:space="0" w:color="auto"/>
            </w:tcBorders>
            <w:vAlign w:val="bottom"/>
          </w:tcPr>
          <w:p w14:paraId="09FC6702" w14:textId="1B0E820E"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w:t>
            </w:r>
            <w:r w:rsidR="00564F44">
              <w:rPr>
                <w:rFonts w:cs="Arial"/>
                <w:color w:val="000000"/>
                <w:sz w:val="20"/>
                <w:szCs w:val="20"/>
              </w:rPr>
              <w:t>.000</w:t>
            </w:r>
          </w:p>
        </w:tc>
        <w:tc>
          <w:tcPr>
            <w:tcW w:w="1346" w:type="dxa"/>
            <w:tcBorders>
              <w:top w:val="single" w:sz="4" w:space="0" w:color="auto"/>
            </w:tcBorders>
            <w:vAlign w:val="bottom"/>
          </w:tcPr>
          <w:p w14:paraId="33086609"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&lt;2.00E-16</w:t>
            </w:r>
          </w:p>
        </w:tc>
      </w:tr>
      <w:tr w:rsidR="003A4E60" w:rsidRPr="001F0E92" w14:paraId="557C68FA" w14:textId="77777777" w:rsidTr="004A409C">
        <w:trPr>
          <w:jc w:val="center"/>
        </w:trPr>
        <w:tc>
          <w:tcPr>
            <w:tcW w:w="4390" w:type="dxa"/>
            <w:vAlign w:val="bottom"/>
          </w:tcPr>
          <w:p w14:paraId="6567923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1275" w:type="dxa"/>
            <w:vAlign w:val="bottom"/>
          </w:tcPr>
          <w:p w14:paraId="516255A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-0.013697</w:t>
            </w:r>
          </w:p>
        </w:tc>
        <w:tc>
          <w:tcPr>
            <w:tcW w:w="1276" w:type="dxa"/>
            <w:vAlign w:val="bottom"/>
          </w:tcPr>
          <w:p w14:paraId="447BB3B1" w14:textId="6A301BE3"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0.01292</w:t>
            </w:r>
            <w:r w:rsidR="00564F44">
              <w:rPr>
                <w:rFonts w:cs="Arial"/>
                <w:color w:val="000000"/>
                <w:sz w:val="20"/>
                <w:szCs w:val="20"/>
              </w:rPr>
              <w:t>0</w:t>
            </w:r>
          </w:p>
        </w:tc>
        <w:tc>
          <w:tcPr>
            <w:tcW w:w="1064" w:type="dxa"/>
            <w:vAlign w:val="bottom"/>
          </w:tcPr>
          <w:p w14:paraId="58A95B9A" w14:textId="16A001FE"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-1.06</w:t>
            </w:r>
            <w:r w:rsidR="00564F44">
              <w:rPr>
                <w:rFonts w:cs="Arial"/>
                <w:color w:val="000000"/>
                <w:sz w:val="20"/>
                <w:szCs w:val="20"/>
              </w:rPr>
              <w:t>0</w:t>
            </w:r>
          </w:p>
        </w:tc>
        <w:tc>
          <w:tcPr>
            <w:tcW w:w="1346" w:type="dxa"/>
            <w:vAlign w:val="bottom"/>
          </w:tcPr>
          <w:p w14:paraId="742BF5A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0.289919</w:t>
            </w:r>
          </w:p>
        </w:tc>
      </w:tr>
      <w:tr w:rsidR="003A4E60" w:rsidRPr="001F0E92" w14:paraId="77A3081A" w14:textId="77777777" w:rsidTr="004A409C">
        <w:trPr>
          <w:jc w:val="center"/>
        </w:trPr>
        <w:tc>
          <w:tcPr>
            <w:tcW w:w="4390" w:type="dxa"/>
            <w:vAlign w:val="bottom"/>
          </w:tcPr>
          <w:p w14:paraId="20D4202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w:t>
            </w:r>
          </w:p>
        </w:tc>
        <w:tc>
          <w:tcPr>
            <w:tcW w:w="1275" w:type="dxa"/>
            <w:vAlign w:val="bottom"/>
          </w:tcPr>
          <w:p w14:paraId="04E2502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-0.364545</w:t>
            </w:r>
          </w:p>
        </w:tc>
        <w:tc>
          <w:tcPr>
            <w:tcW w:w="1276" w:type="dxa"/>
            <w:vAlign w:val="bottom"/>
          </w:tcPr>
          <w:p w14:paraId="79290BA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0.215927</w:t>
            </w:r>
          </w:p>
        </w:tc>
        <w:tc>
          <w:tcPr>
            <w:tcW w:w="1064" w:type="dxa"/>
            <w:vAlign w:val="bottom"/>
          </w:tcPr>
          <w:p w14:paraId="36B0132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-1.688</w:t>
            </w:r>
          </w:p>
        </w:tc>
        <w:tc>
          <w:tcPr>
            <w:tcW w:w="1346" w:type="dxa"/>
            <w:vAlign w:val="bottom"/>
          </w:tcPr>
          <w:p w14:paraId="1BDC909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0.092361</w:t>
            </w:r>
          </w:p>
        </w:tc>
      </w:tr>
      <w:tr w:rsidR="003A4E60" w:rsidRPr="001F0E92" w14:paraId="031BF9E0" w14:textId="77777777" w:rsidTr="004A409C">
        <w:trPr>
          <w:jc w:val="center"/>
        </w:trPr>
        <w:tc>
          <w:tcPr>
            <w:tcW w:w="4390" w:type="dxa"/>
            <w:vAlign w:val="bottom"/>
          </w:tcPr>
          <w:p w14:paraId="447AD03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Estuarine intertidal (EI)</w:t>
            </w:r>
          </w:p>
        </w:tc>
        <w:tc>
          <w:tcPr>
            <w:tcW w:w="1275" w:type="dxa"/>
            <w:vAlign w:val="bottom"/>
          </w:tcPr>
          <w:p w14:paraId="3691E6A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0.180338</w:t>
            </w:r>
          </w:p>
        </w:tc>
        <w:tc>
          <w:tcPr>
            <w:tcW w:w="1276" w:type="dxa"/>
            <w:vAlign w:val="bottom"/>
          </w:tcPr>
          <w:p w14:paraId="164A825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0.079781</w:t>
            </w:r>
          </w:p>
        </w:tc>
        <w:tc>
          <w:tcPr>
            <w:tcW w:w="1064" w:type="dxa"/>
            <w:vAlign w:val="bottom"/>
          </w:tcPr>
          <w:p w14:paraId="437800A1" w14:textId="13793BE0"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2.26</w:t>
            </w:r>
            <w:r w:rsidR="00564F44">
              <w:rPr>
                <w:rFonts w:cs="Arial"/>
                <w:color w:val="000000"/>
                <w:sz w:val="20"/>
                <w:szCs w:val="20"/>
              </w:rPr>
              <w:t>0</w:t>
            </w:r>
          </w:p>
        </w:tc>
        <w:tc>
          <w:tcPr>
            <w:tcW w:w="1346" w:type="dxa"/>
            <w:vAlign w:val="bottom"/>
          </w:tcPr>
          <w:p w14:paraId="6DBCE7F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0.024488</w:t>
            </w:r>
          </w:p>
        </w:tc>
      </w:tr>
      <w:tr w:rsidR="003A4E60" w:rsidRPr="001F0E92" w14:paraId="309A954B" w14:textId="77777777" w:rsidTr="004A409C">
        <w:trPr>
          <w:jc w:val="center"/>
        </w:trPr>
        <w:tc>
          <w:tcPr>
            <w:tcW w:w="4390" w:type="dxa"/>
            <w:vAlign w:val="bottom"/>
          </w:tcPr>
          <w:p w14:paraId="634DC5B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 – Reef intertidal (RI)</w:t>
            </w:r>
          </w:p>
        </w:tc>
        <w:tc>
          <w:tcPr>
            <w:tcW w:w="1275" w:type="dxa"/>
            <w:vAlign w:val="bottom"/>
          </w:tcPr>
          <w:p w14:paraId="39A5DD7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-0.044212</w:t>
            </w:r>
          </w:p>
        </w:tc>
        <w:tc>
          <w:tcPr>
            <w:tcW w:w="1276" w:type="dxa"/>
            <w:vAlign w:val="bottom"/>
          </w:tcPr>
          <w:p w14:paraId="2B2CDCC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0.071794</w:t>
            </w:r>
          </w:p>
        </w:tc>
        <w:tc>
          <w:tcPr>
            <w:tcW w:w="1064" w:type="dxa"/>
            <w:vAlign w:val="bottom"/>
          </w:tcPr>
          <w:p w14:paraId="731E253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-0.616</w:t>
            </w:r>
          </w:p>
        </w:tc>
        <w:tc>
          <w:tcPr>
            <w:tcW w:w="1346" w:type="dxa"/>
            <w:vAlign w:val="bottom"/>
          </w:tcPr>
          <w:p w14:paraId="6685A86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0.538465</w:t>
            </w:r>
          </w:p>
        </w:tc>
      </w:tr>
      <w:tr w:rsidR="003A4E60" w:rsidRPr="001F0E92" w14:paraId="29CE23F1" w14:textId="77777777" w:rsidTr="004A409C">
        <w:trPr>
          <w:jc w:val="center"/>
        </w:trPr>
        <w:tc>
          <w:tcPr>
            <w:tcW w:w="4390" w:type="dxa"/>
            <w:vAlign w:val="bottom"/>
          </w:tcPr>
          <w:p w14:paraId="355E2D39" w14:textId="01A7656B" w:rsidR="003A4E60" w:rsidRPr="001F0E92" w:rsidRDefault="003A4E60" w:rsidP="007B18F7">
            <w:pPr>
              <w:spacing w:before="0" w:after="0"/>
              <w:rPr>
                <w:rFonts w:cs="Arial"/>
                <w:sz w:val="20"/>
                <w:szCs w:val="20"/>
                <w:lang w:eastAsia="x-none"/>
              </w:rPr>
            </w:pPr>
            <w:r w:rsidRPr="001F0E92">
              <w:rPr>
                <w:rFonts w:cs="Arial"/>
                <w:color w:val="000000"/>
                <w:sz w:val="20"/>
                <w:szCs w:val="20"/>
              </w:rPr>
              <w:t xml:space="preserve">NRM_subregion – </w:t>
            </w:r>
            <w:r w:rsidR="00B72AC4">
              <w:rPr>
                <w:rFonts w:cs="Arial"/>
                <w:color w:val="000000"/>
                <w:sz w:val="20"/>
                <w:szCs w:val="20"/>
              </w:rPr>
              <w:t>Burnett–Mary</w:t>
            </w:r>
            <w:r w:rsidRPr="001F0E92">
              <w:rPr>
                <w:rFonts w:cs="Arial"/>
                <w:color w:val="000000"/>
                <w:sz w:val="20"/>
                <w:szCs w:val="20"/>
              </w:rPr>
              <w:t xml:space="preserve"> (BM)</w:t>
            </w:r>
          </w:p>
        </w:tc>
        <w:tc>
          <w:tcPr>
            <w:tcW w:w="1275" w:type="dxa"/>
            <w:vAlign w:val="bottom"/>
          </w:tcPr>
          <w:p w14:paraId="78F9A86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-0.655728</w:t>
            </w:r>
          </w:p>
        </w:tc>
        <w:tc>
          <w:tcPr>
            <w:tcW w:w="1276" w:type="dxa"/>
            <w:vAlign w:val="bottom"/>
          </w:tcPr>
          <w:p w14:paraId="1CBEDA0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0.209507</w:t>
            </w:r>
          </w:p>
        </w:tc>
        <w:tc>
          <w:tcPr>
            <w:tcW w:w="1064" w:type="dxa"/>
            <w:vAlign w:val="bottom"/>
          </w:tcPr>
          <w:p w14:paraId="60BE16A1" w14:textId="2CFAC89B"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-3.13</w:t>
            </w:r>
            <w:r w:rsidR="00564F44">
              <w:rPr>
                <w:rFonts w:cs="Arial"/>
                <w:color w:val="000000"/>
                <w:sz w:val="20"/>
                <w:szCs w:val="20"/>
              </w:rPr>
              <w:t>0</w:t>
            </w:r>
          </w:p>
        </w:tc>
        <w:tc>
          <w:tcPr>
            <w:tcW w:w="1346" w:type="dxa"/>
            <w:vAlign w:val="bottom"/>
          </w:tcPr>
          <w:p w14:paraId="7776F62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0.001915</w:t>
            </w:r>
          </w:p>
        </w:tc>
      </w:tr>
      <w:tr w:rsidR="003A4E60" w:rsidRPr="001F0E92" w14:paraId="42F4246F" w14:textId="77777777" w:rsidTr="004A409C">
        <w:trPr>
          <w:jc w:val="center"/>
        </w:trPr>
        <w:tc>
          <w:tcPr>
            <w:tcW w:w="4390" w:type="dxa"/>
            <w:vAlign w:val="bottom"/>
          </w:tcPr>
          <w:p w14:paraId="64458C1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 – Fitzroy (F)</w:t>
            </w:r>
          </w:p>
        </w:tc>
        <w:tc>
          <w:tcPr>
            <w:tcW w:w="1275" w:type="dxa"/>
            <w:vAlign w:val="bottom"/>
          </w:tcPr>
          <w:p w14:paraId="5B1B7F3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-0.861091</w:t>
            </w:r>
          </w:p>
        </w:tc>
        <w:tc>
          <w:tcPr>
            <w:tcW w:w="1276" w:type="dxa"/>
            <w:vAlign w:val="bottom"/>
          </w:tcPr>
          <w:p w14:paraId="48ECDB7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0.267786</w:t>
            </w:r>
          </w:p>
        </w:tc>
        <w:tc>
          <w:tcPr>
            <w:tcW w:w="1064" w:type="dxa"/>
            <w:vAlign w:val="bottom"/>
          </w:tcPr>
          <w:p w14:paraId="41AC46B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-3.216</w:t>
            </w:r>
          </w:p>
        </w:tc>
        <w:tc>
          <w:tcPr>
            <w:tcW w:w="1346" w:type="dxa"/>
            <w:vAlign w:val="bottom"/>
          </w:tcPr>
          <w:p w14:paraId="09209B5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0.001439</w:t>
            </w:r>
          </w:p>
        </w:tc>
      </w:tr>
      <w:tr w:rsidR="003A4E60" w:rsidRPr="001F0E92" w14:paraId="4574E494" w14:textId="77777777" w:rsidTr="004A409C">
        <w:trPr>
          <w:jc w:val="center"/>
        </w:trPr>
        <w:tc>
          <w:tcPr>
            <w:tcW w:w="4390" w:type="dxa"/>
            <w:vAlign w:val="bottom"/>
          </w:tcPr>
          <w:p w14:paraId="2B268945" w14:textId="61FF2BD5" w:rsidR="003A4E60" w:rsidRPr="001F0E92" w:rsidRDefault="003A4E60" w:rsidP="007B18F7">
            <w:pPr>
              <w:spacing w:before="0" w:after="0"/>
              <w:rPr>
                <w:rFonts w:cs="Arial"/>
                <w:sz w:val="20"/>
                <w:szCs w:val="20"/>
                <w:lang w:eastAsia="x-none"/>
              </w:rPr>
            </w:pPr>
            <w:r w:rsidRPr="001F0E92">
              <w:rPr>
                <w:rFonts w:cs="Arial"/>
                <w:color w:val="000000"/>
                <w:sz w:val="20"/>
                <w:szCs w:val="20"/>
              </w:rPr>
              <w:t xml:space="preserve">NRM_subregion – </w:t>
            </w:r>
            <w:r w:rsidR="00B72AC4">
              <w:rPr>
                <w:rFonts w:cs="Arial"/>
                <w:color w:val="000000"/>
                <w:sz w:val="20"/>
                <w:szCs w:val="20"/>
              </w:rPr>
              <w:t>Mackay–Whitsunday</w:t>
            </w:r>
            <w:r w:rsidRPr="001F0E92">
              <w:rPr>
                <w:rFonts w:cs="Arial"/>
                <w:color w:val="000000"/>
                <w:sz w:val="20"/>
                <w:szCs w:val="20"/>
              </w:rPr>
              <w:t xml:space="preserve"> (MW)</w:t>
            </w:r>
          </w:p>
        </w:tc>
        <w:tc>
          <w:tcPr>
            <w:tcW w:w="1275" w:type="dxa"/>
            <w:vAlign w:val="bottom"/>
          </w:tcPr>
          <w:p w14:paraId="006CF8D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-0.478684</w:t>
            </w:r>
          </w:p>
        </w:tc>
        <w:tc>
          <w:tcPr>
            <w:tcW w:w="1276" w:type="dxa"/>
            <w:vAlign w:val="bottom"/>
          </w:tcPr>
          <w:p w14:paraId="6F92B1E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0.185727</w:t>
            </w:r>
          </w:p>
        </w:tc>
        <w:tc>
          <w:tcPr>
            <w:tcW w:w="1064" w:type="dxa"/>
            <w:vAlign w:val="bottom"/>
          </w:tcPr>
          <w:p w14:paraId="69C009C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-2.577</w:t>
            </w:r>
          </w:p>
        </w:tc>
        <w:tc>
          <w:tcPr>
            <w:tcW w:w="1346" w:type="dxa"/>
            <w:vAlign w:val="bottom"/>
          </w:tcPr>
          <w:p w14:paraId="07438C95"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0.010416</w:t>
            </w:r>
          </w:p>
        </w:tc>
      </w:tr>
      <w:tr w:rsidR="003A4E60" w:rsidRPr="001F0E92" w14:paraId="70BFF476" w14:textId="77777777" w:rsidTr="004A409C">
        <w:trPr>
          <w:jc w:val="center"/>
        </w:trPr>
        <w:tc>
          <w:tcPr>
            <w:tcW w:w="4390" w:type="dxa"/>
            <w:vAlign w:val="bottom"/>
          </w:tcPr>
          <w:p w14:paraId="3071E14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w:t>
            </w:r>
          </w:p>
        </w:tc>
        <w:tc>
          <w:tcPr>
            <w:tcW w:w="1275" w:type="dxa"/>
            <w:vAlign w:val="bottom"/>
          </w:tcPr>
          <w:p w14:paraId="1BDD112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0.042922</w:t>
            </w:r>
          </w:p>
        </w:tc>
        <w:tc>
          <w:tcPr>
            <w:tcW w:w="1276" w:type="dxa"/>
            <w:vAlign w:val="bottom"/>
          </w:tcPr>
          <w:p w14:paraId="0AE7D84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0.038632</w:t>
            </w:r>
          </w:p>
        </w:tc>
        <w:tc>
          <w:tcPr>
            <w:tcW w:w="1064" w:type="dxa"/>
            <w:vAlign w:val="bottom"/>
          </w:tcPr>
          <w:p w14:paraId="7B606D0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1.111</w:t>
            </w:r>
          </w:p>
        </w:tc>
        <w:tc>
          <w:tcPr>
            <w:tcW w:w="1346" w:type="dxa"/>
            <w:vAlign w:val="bottom"/>
          </w:tcPr>
          <w:p w14:paraId="3D43E54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0.267403</w:t>
            </w:r>
          </w:p>
        </w:tc>
      </w:tr>
      <w:tr w:rsidR="003A4E60" w:rsidRPr="001F0E92" w14:paraId="6365F4C2" w14:textId="77777777" w:rsidTr="004A409C">
        <w:trPr>
          <w:jc w:val="center"/>
        </w:trPr>
        <w:tc>
          <w:tcPr>
            <w:tcW w:w="4390" w:type="dxa"/>
            <w:vAlign w:val="bottom"/>
          </w:tcPr>
          <w:p w14:paraId="0F1255F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DIN:EI</w:t>
            </w:r>
          </w:p>
        </w:tc>
        <w:tc>
          <w:tcPr>
            <w:tcW w:w="1275" w:type="dxa"/>
            <w:vAlign w:val="bottom"/>
          </w:tcPr>
          <w:p w14:paraId="4D79C65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-0.01885</w:t>
            </w:r>
          </w:p>
        </w:tc>
        <w:tc>
          <w:tcPr>
            <w:tcW w:w="1276" w:type="dxa"/>
            <w:vAlign w:val="bottom"/>
          </w:tcPr>
          <w:p w14:paraId="53B9F17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0.006537</w:t>
            </w:r>
          </w:p>
        </w:tc>
        <w:tc>
          <w:tcPr>
            <w:tcW w:w="1064" w:type="dxa"/>
            <w:vAlign w:val="bottom"/>
          </w:tcPr>
          <w:p w14:paraId="1F71F6A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-2.884</w:t>
            </w:r>
          </w:p>
        </w:tc>
        <w:tc>
          <w:tcPr>
            <w:tcW w:w="1346" w:type="dxa"/>
            <w:vAlign w:val="bottom"/>
          </w:tcPr>
          <w:p w14:paraId="720FCE30"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0.004204</w:t>
            </w:r>
          </w:p>
        </w:tc>
      </w:tr>
      <w:tr w:rsidR="003A4E60" w:rsidRPr="001F0E92" w14:paraId="0F2C2353" w14:textId="77777777" w:rsidTr="004A409C">
        <w:trPr>
          <w:jc w:val="center"/>
        </w:trPr>
        <w:tc>
          <w:tcPr>
            <w:tcW w:w="4390" w:type="dxa"/>
            <w:vAlign w:val="bottom"/>
          </w:tcPr>
          <w:p w14:paraId="596B90E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w:t>
            </w:r>
          </w:p>
        </w:tc>
        <w:tc>
          <w:tcPr>
            <w:tcW w:w="1275" w:type="dxa"/>
            <w:vAlign w:val="bottom"/>
          </w:tcPr>
          <w:p w14:paraId="0EA3441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0.001711</w:t>
            </w:r>
          </w:p>
        </w:tc>
        <w:tc>
          <w:tcPr>
            <w:tcW w:w="1276" w:type="dxa"/>
            <w:vAlign w:val="bottom"/>
          </w:tcPr>
          <w:p w14:paraId="2876F89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0.005387</w:t>
            </w:r>
          </w:p>
        </w:tc>
        <w:tc>
          <w:tcPr>
            <w:tcW w:w="1064" w:type="dxa"/>
            <w:vAlign w:val="bottom"/>
          </w:tcPr>
          <w:p w14:paraId="772BD6C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0.318</w:t>
            </w:r>
          </w:p>
        </w:tc>
        <w:tc>
          <w:tcPr>
            <w:tcW w:w="1346" w:type="dxa"/>
            <w:vAlign w:val="bottom"/>
          </w:tcPr>
          <w:p w14:paraId="67DC72C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0.751016</w:t>
            </w:r>
          </w:p>
        </w:tc>
      </w:tr>
      <w:tr w:rsidR="003A4E60" w:rsidRPr="001F0E92" w14:paraId="2F0AECC0" w14:textId="77777777" w:rsidTr="004A409C">
        <w:trPr>
          <w:jc w:val="center"/>
        </w:trPr>
        <w:tc>
          <w:tcPr>
            <w:tcW w:w="4390" w:type="dxa"/>
            <w:vAlign w:val="bottom"/>
          </w:tcPr>
          <w:p w14:paraId="2B53D14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DIN:BM</w:t>
            </w:r>
          </w:p>
        </w:tc>
        <w:tc>
          <w:tcPr>
            <w:tcW w:w="1275" w:type="dxa"/>
            <w:vAlign w:val="bottom"/>
          </w:tcPr>
          <w:p w14:paraId="498FD45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0.093021</w:t>
            </w:r>
          </w:p>
        </w:tc>
        <w:tc>
          <w:tcPr>
            <w:tcW w:w="1276" w:type="dxa"/>
            <w:vAlign w:val="bottom"/>
          </w:tcPr>
          <w:p w14:paraId="2DD15DF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0.021728</w:t>
            </w:r>
          </w:p>
        </w:tc>
        <w:tc>
          <w:tcPr>
            <w:tcW w:w="1064" w:type="dxa"/>
            <w:vAlign w:val="bottom"/>
          </w:tcPr>
          <w:p w14:paraId="540E1F6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4.281</w:t>
            </w:r>
          </w:p>
        </w:tc>
        <w:tc>
          <w:tcPr>
            <w:tcW w:w="1346" w:type="dxa"/>
            <w:vAlign w:val="bottom"/>
          </w:tcPr>
          <w:p w14:paraId="3CD76A04"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2.48E-05</w:t>
            </w:r>
          </w:p>
        </w:tc>
      </w:tr>
      <w:tr w:rsidR="003A4E60" w:rsidRPr="001F0E92" w14:paraId="0FEB5AF7" w14:textId="77777777" w:rsidTr="004A409C">
        <w:trPr>
          <w:jc w:val="center"/>
        </w:trPr>
        <w:tc>
          <w:tcPr>
            <w:tcW w:w="4390" w:type="dxa"/>
            <w:vAlign w:val="bottom"/>
          </w:tcPr>
          <w:p w14:paraId="51295EA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w:t>
            </w:r>
          </w:p>
        </w:tc>
        <w:tc>
          <w:tcPr>
            <w:tcW w:w="1275" w:type="dxa"/>
            <w:vAlign w:val="bottom"/>
          </w:tcPr>
          <w:p w14:paraId="3B215C3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0.260597</w:t>
            </w:r>
          </w:p>
        </w:tc>
        <w:tc>
          <w:tcPr>
            <w:tcW w:w="1276" w:type="dxa"/>
            <w:vAlign w:val="bottom"/>
          </w:tcPr>
          <w:p w14:paraId="09DBE6F4" w14:textId="1A0C6FF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0.08138</w:t>
            </w:r>
            <w:r w:rsidR="00564F44">
              <w:rPr>
                <w:rFonts w:cs="Arial"/>
                <w:color w:val="000000"/>
                <w:sz w:val="20"/>
                <w:szCs w:val="20"/>
              </w:rPr>
              <w:t>0</w:t>
            </w:r>
          </w:p>
        </w:tc>
        <w:tc>
          <w:tcPr>
            <w:tcW w:w="1064" w:type="dxa"/>
            <w:vAlign w:val="bottom"/>
          </w:tcPr>
          <w:p w14:paraId="5437D5D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3.202</w:t>
            </w:r>
          </w:p>
        </w:tc>
        <w:tc>
          <w:tcPr>
            <w:tcW w:w="1346" w:type="dxa"/>
            <w:vAlign w:val="bottom"/>
          </w:tcPr>
          <w:p w14:paraId="7D14541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0.001505</w:t>
            </w:r>
          </w:p>
        </w:tc>
      </w:tr>
      <w:tr w:rsidR="003A4E60" w:rsidRPr="001F0E92" w14:paraId="37685E17" w14:textId="77777777" w:rsidTr="004A409C">
        <w:trPr>
          <w:jc w:val="center"/>
        </w:trPr>
        <w:tc>
          <w:tcPr>
            <w:tcW w:w="4390" w:type="dxa"/>
            <w:vAlign w:val="bottom"/>
          </w:tcPr>
          <w:p w14:paraId="530D706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DIN:MW</w:t>
            </w:r>
          </w:p>
        </w:tc>
        <w:tc>
          <w:tcPr>
            <w:tcW w:w="1275" w:type="dxa"/>
            <w:vAlign w:val="bottom"/>
          </w:tcPr>
          <w:p w14:paraId="459DDB8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0.010012</w:t>
            </w:r>
          </w:p>
        </w:tc>
        <w:tc>
          <w:tcPr>
            <w:tcW w:w="1276" w:type="dxa"/>
            <w:vAlign w:val="bottom"/>
          </w:tcPr>
          <w:p w14:paraId="53FAFDF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0.013486</w:t>
            </w:r>
          </w:p>
        </w:tc>
        <w:tc>
          <w:tcPr>
            <w:tcW w:w="1064" w:type="dxa"/>
            <w:vAlign w:val="bottom"/>
          </w:tcPr>
          <w:p w14:paraId="5EEEC51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0.742</w:t>
            </w:r>
          </w:p>
        </w:tc>
        <w:tc>
          <w:tcPr>
            <w:tcW w:w="1346" w:type="dxa"/>
            <w:vAlign w:val="bottom"/>
          </w:tcPr>
          <w:p w14:paraId="090C496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0.458404</w:t>
            </w:r>
          </w:p>
        </w:tc>
      </w:tr>
      <w:tr w:rsidR="003A4E60" w:rsidRPr="001F0E92" w14:paraId="40972578" w14:textId="77777777" w:rsidTr="004A409C">
        <w:trPr>
          <w:jc w:val="center"/>
        </w:trPr>
        <w:tc>
          <w:tcPr>
            <w:tcW w:w="4390" w:type="dxa"/>
            <w:vAlign w:val="bottom"/>
          </w:tcPr>
          <w:p w14:paraId="39EE6D4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f_DL2:EI</w:t>
            </w:r>
          </w:p>
        </w:tc>
        <w:tc>
          <w:tcPr>
            <w:tcW w:w="1275" w:type="dxa"/>
            <w:vAlign w:val="bottom"/>
          </w:tcPr>
          <w:p w14:paraId="0AE2026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-0.421424</w:t>
            </w:r>
          </w:p>
        </w:tc>
        <w:tc>
          <w:tcPr>
            <w:tcW w:w="1276" w:type="dxa"/>
            <w:vAlign w:val="bottom"/>
          </w:tcPr>
          <w:p w14:paraId="1B81D35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0.107156</w:t>
            </w:r>
          </w:p>
        </w:tc>
        <w:tc>
          <w:tcPr>
            <w:tcW w:w="1064" w:type="dxa"/>
            <w:vAlign w:val="bottom"/>
          </w:tcPr>
          <w:p w14:paraId="5E95D93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-3.933</w:t>
            </w:r>
          </w:p>
        </w:tc>
        <w:tc>
          <w:tcPr>
            <w:tcW w:w="1346" w:type="dxa"/>
            <w:vAlign w:val="bottom"/>
          </w:tcPr>
          <w:p w14:paraId="35BA212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0.000104</w:t>
            </w:r>
          </w:p>
        </w:tc>
      </w:tr>
      <w:tr w:rsidR="003A4E60" w:rsidRPr="001F0E92" w14:paraId="508E90D7" w14:textId="77777777" w:rsidTr="004A409C">
        <w:trPr>
          <w:jc w:val="center"/>
        </w:trPr>
        <w:tc>
          <w:tcPr>
            <w:tcW w:w="4390" w:type="dxa"/>
            <w:vAlign w:val="bottom"/>
          </w:tcPr>
          <w:p w14:paraId="018544F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f_DL2:RI</w:t>
            </w:r>
          </w:p>
        </w:tc>
        <w:tc>
          <w:tcPr>
            <w:tcW w:w="1275" w:type="dxa"/>
            <w:vAlign w:val="bottom"/>
          </w:tcPr>
          <w:p w14:paraId="70B26494" w14:textId="3A74288B"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0.11234</w:t>
            </w:r>
            <w:r w:rsidR="00564F44">
              <w:rPr>
                <w:rFonts w:cs="Arial"/>
                <w:color w:val="000000"/>
                <w:sz w:val="20"/>
                <w:szCs w:val="20"/>
              </w:rPr>
              <w:t>0</w:t>
            </w:r>
          </w:p>
        </w:tc>
        <w:tc>
          <w:tcPr>
            <w:tcW w:w="1276" w:type="dxa"/>
            <w:vAlign w:val="bottom"/>
          </w:tcPr>
          <w:p w14:paraId="06C9873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0.132489</w:t>
            </w:r>
          </w:p>
        </w:tc>
        <w:tc>
          <w:tcPr>
            <w:tcW w:w="1064" w:type="dxa"/>
            <w:vAlign w:val="bottom"/>
          </w:tcPr>
          <w:p w14:paraId="7C551B5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0.848</w:t>
            </w:r>
          </w:p>
        </w:tc>
        <w:tc>
          <w:tcPr>
            <w:tcW w:w="1346" w:type="dxa"/>
            <w:vAlign w:val="bottom"/>
          </w:tcPr>
          <w:p w14:paraId="680630E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0.397133</w:t>
            </w:r>
          </w:p>
        </w:tc>
      </w:tr>
      <w:tr w:rsidR="003A4E60" w:rsidRPr="001F0E92" w14:paraId="6FD89705" w14:textId="77777777" w:rsidTr="004A409C">
        <w:trPr>
          <w:jc w:val="center"/>
        </w:trPr>
        <w:tc>
          <w:tcPr>
            <w:tcW w:w="4390" w:type="dxa"/>
            <w:vAlign w:val="bottom"/>
          </w:tcPr>
          <w:p w14:paraId="0857652C"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f_DL2:BM</w:t>
            </w:r>
          </w:p>
        </w:tc>
        <w:tc>
          <w:tcPr>
            <w:tcW w:w="1275" w:type="dxa"/>
            <w:vAlign w:val="bottom"/>
          </w:tcPr>
          <w:p w14:paraId="1BD0ED0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0.754068</w:t>
            </w:r>
          </w:p>
        </w:tc>
        <w:tc>
          <w:tcPr>
            <w:tcW w:w="1276" w:type="dxa"/>
            <w:vAlign w:val="bottom"/>
          </w:tcPr>
          <w:p w14:paraId="3921E72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0.253329</w:t>
            </w:r>
          </w:p>
        </w:tc>
        <w:tc>
          <w:tcPr>
            <w:tcW w:w="1064" w:type="dxa"/>
            <w:vAlign w:val="bottom"/>
          </w:tcPr>
          <w:p w14:paraId="64AEAE0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2.977</w:t>
            </w:r>
          </w:p>
        </w:tc>
        <w:tc>
          <w:tcPr>
            <w:tcW w:w="1346" w:type="dxa"/>
            <w:vAlign w:val="bottom"/>
          </w:tcPr>
          <w:p w14:paraId="1C57D023"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0.003143</w:t>
            </w:r>
          </w:p>
        </w:tc>
      </w:tr>
      <w:tr w:rsidR="003A4E60" w:rsidRPr="001F0E92" w14:paraId="59BD39F8" w14:textId="77777777" w:rsidTr="004A409C">
        <w:trPr>
          <w:jc w:val="center"/>
        </w:trPr>
        <w:tc>
          <w:tcPr>
            <w:tcW w:w="4390" w:type="dxa"/>
            <w:vAlign w:val="bottom"/>
          </w:tcPr>
          <w:p w14:paraId="63267F8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f_DL2:F</w:t>
            </w:r>
          </w:p>
        </w:tc>
        <w:tc>
          <w:tcPr>
            <w:tcW w:w="1275" w:type="dxa"/>
            <w:vAlign w:val="bottom"/>
          </w:tcPr>
          <w:p w14:paraId="56F6EFF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0.876388</w:t>
            </w:r>
          </w:p>
        </w:tc>
        <w:tc>
          <w:tcPr>
            <w:tcW w:w="1276" w:type="dxa"/>
            <w:vAlign w:val="bottom"/>
          </w:tcPr>
          <w:p w14:paraId="5A6026E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0.298419</w:t>
            </w:r>
          </w:p>
        </w:tc>
        <w:tc>
          <w:tcPr>
            <w:tcW w:w="1064" w:type="dxa"/>
            <w:vAlign w:val="bottom"/>
          </w:tcPr>
          <w:p w14:paraId="35C2304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2.937</w:t>
            </w:r>
          </w:p>
        </w:tc>
        <w:tc>
          <w:tcPr>
            <w:tcW w:w="1346" w:type="dxa"/>
            <w:vAlign w:val="bottom"/>
          </w:tcPr>
          <w:p w14:paraId="75C3205B"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0.003564</w:t>
            </w:r>
          </w:p>
        </w:tc>
      </w:tr>
      <w:tr w:rsidR="003A4E60" w:rsidRPr="001F0E92" w14:paraId="361D398B" w14:textId="77777777" w:rsidTr="004A409C">
        <w:trPr>
          <w:jc w:val="center"/>
        </w:trPr>
        <w:tc>
          <w:tcPr>
            <w:tcW w:w="4390" w:type="dxa"/>
            <w:vAlign w:val="bottom"/>
          </w:tcPr>
          <w:p w14:paraId="4B65C31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f_DL2:MW</w:t>
            </w:r>
          </w:p>
        </w:tc>
        <w:tc>
          <w:tcPr>
            <w:tcW w:w="1275" w:type="dxa"/>
            <w:vAlign w:val="bottom"/>
          </w:tcPr>
          <w:p w14:paraId="19FB68E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0.631384</w:t>
            </w:r>
          </w:p>
        </w:tc>
        <w:tc>
          <w:tcPr>
            <w:tcW w:w="1276" w:type="dxa"/>
            <w:vAlign w:val="bottom"/>
          </w:tcPr>
          <w:p w14:paraId="5CF474A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0.223604</w:t>
            </w:r>
          </w:p>
        </w:tc>
        <w:tc>
          <w:tcPr>
            <w:tcW w:w="1064" w:type="dxa"/>
            <w:vAlign w:val="bottom"/>
          </w:tcPr>
          <w:p w14:paraId="292C2BD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2.824</w:t>
            </w:r>
          </w:p>
        </w:tc>
        <w:tc>
          <w:tcPr>
            <w:tcW w:w="1346" w:type="dxa"/>
            <w:vAlign w:val="bottom"/>
          </w:tcPr>
          <w:p w14:paraId="1E9ADD0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0.005054</w:t>
            </w:r>
          </w:p>
        </w:tc>
      </w:tr>
      <w:tr w:rsidR="003A4E60" w:rsidRPr="001F0E92" w14:paraId="3C3C8E0B" w14:textId="77777777" w:rsidTr="004A409C">
        <w:trPr>
          <w:jc w:val="center"/>
        </w:trPr>
        <w:tc>
          <w:tcPr>
            <w:tcW w:w="4390" w:type="dxa"/>
            <w:vAlign w:val="bottom"/>
          </w:tcPr>
          <w:p w14:paraId="1A355C9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EI:F</w:t>
            </w:r>
          </w:p>
        </w:tc>
        <w:tc>
          <w:tcPr>
            <w:tcW w:w="1275" w:type="dxa"/>
            <w:vAlign w:val="bottom"/>
          </w:tcPr>
          <w:p w14:paraId="0C2DF78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0.284178</w:t>
            </w:r>
          </w:p>
        </w:tc>
        <w:tc>
          <w:tcPr>
            <w:tcW w:w="1276" w:type="dxa"/>
            <w:vAlign w:val="bottom"/>
          </w:tcPr>
          <w:p w14:paraId="5A7ECF3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0.224101</w:t>
            </w:r>
          </w:p>
        </w:tc>
        <w:tc>
          <w:tcPr>
            <w:tcW w:w="1064" w:type="dxa"/>
            <w:vAlign w:val="bottom"/>
          </w:tcPr>
          <w:p w14:paraId="4DE12A0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1.268</w:t>
            </w:r>
          </w:p>
        </w:tc>
        <w:tc>
          <w:tcPr>
            <w:tcW w:w="1346" w:type="dxa"/>
            <w:vAlign w:val="bottom"/>
          </w:tcPr>
          <w:p w14:paraId="52164AB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0.205718</w:t>
            </w:r>
          </w:p>
        </w:tc>
      </w:tr>
      <w:tr w:rsidR="003A4E60" w:rsidRPr="001F0E92" w14:paraId="1FDBBAB5" w14:textId="77777777" w:rsidTr="004A409C">
        <w:trPr>
          <w:jc w:val="center"/>
        </w:trPr>
        <w:tc>
          <w:tcPr>
            <w:tcW w:w="4390" w:type="dxa"/>
            <w:vAlign w:val="bottom"/>
          </w:tcPr>
          <w:p w14:paraId="7A220DB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RI:F</w:t>
            </w:r>
          </w:p>
        </w:tc>
        <w:tc>
          <w:tcPr>
            <w:tcW w:w="1275" w:type="dxa"/>
            <w:vAlign w:val="bottom"/>
          </w:tcPr>
          <w:p w14:paraId="0776126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0.476852</w:t>
            </w:r>
          </w:p>
        </w:tc>
        <w:tc>
          <w:tcPr>
            <w:tcW w:w="1276" w:type="dxa"/>
            <w:vAlign w:val="bottom"/>
          </w:tcPr>
          <w:p w14:paraId="57AC03DB" w14:textId="6DCE2FCB"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0.25148</w:t>
            </w:r>
            <w:r w:rsidR="00564F44">
              <w:rPr>
                <w:rFonts w:cs="Arial"/>
                <w:color w:val="000000"/>
                <w:sz w:val="20"/>
                <w:szCs w:val="20"/>
              </w:rPr>
              <w:t>0</w:t>
            </w:r>
          </w:p>
        </w:tc>
        <w:tc>
          <w:tcPr>
            <w:tcW w:w="1064" w:type="dxa"/>
            <w:vAlign w:val="bottom"/>
          </w:tcPr>
          <w:p w14:paraId="7D1CC29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1.896</w:t>
            </w:r>
          </w:p>
        </w:tc>
        <w:tc>
          <w:tcPr>
            <w:tcW w:w="1346" w:type="dxa"/>
            <w:vAlign w:val="bottom"/>
          </w:tcPr>
          <w:p w14:paraId="5363345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0.058863</w:t>
            </w:r>
          </w:p>
        </w:tc>
      </w:tr>
      <w:tr w:rsidR="003A4E60" w:rsidRPr="001F0E92" w14:paraId="14C88820" w14:textId="77777777" w:rsidTr="004A409C">
        <w:trPr>
          <w:jc w:val="center"/>
        </w:trPr>
        <w:tc>
          <w:tcPr>
            <w:tcW w:w="4390" w:type="dxa"/>
            <w:vAlign w:val="bottom"/>
          </w:tcPr>
          <w:p w14:paraId="4B96881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EI:MW</w:t>
            </w:r>
          </w:p>
        </w:tc>
        <w:tc>
          <w:tcPr>
            <w:tcW w:w="1275" w:type="dxa"/>
            <w:vAlign w:val="bottom"/>
          </w:tcPr>
          <w:p w14:paraId="68EEFDF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276" w:type="dxa"/>
            <w:vAlign w:val="bottom"/>
          </w:tcPr>
          <w:p w14:paraId="3391EE5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064" w:type="dxa"/>
            <w:vAlign w:val="bottom"/>
          </w:tcPr>
          <w:p w14:paraId="0071FC0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346" w:type="dxa"/>
            <w:vAlign w:val="bottom"/>
          </w:tcPr>
          <w:p w14:paraId="2FDEE37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r>
      <w:tr w:rsidR="003A4E60" w:rsidRPr="001F0E92" w14:paraId="7125B0D9" w14:textId="77777777" w:rsidTr="004A409C">
        <w:trPr>
          <w:jc w:val="center"/>
        </w:trPr>
        <w:tc>
          <w:tcPr>
            <w:tcW w:w="4390" w:type="dxa"/>
            <w:vAlign w:val="bottom"/>
          </w:tcPr>
          <w:p w14:paraId="6C1AEE5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RI:MW</w:t>
            </w:r>
          </w:p>
        </w:tc>
        <w:tc>
          <w:tcPr>
            <w:tcW w:w="1275" w:type="dxa"/>
            <w:vAlign w:val="bottom"/>
          </w:tcPr>
          <w:p w14:paraId="603605A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276" w:type="dxa"/>
            <w:vAlign w:val="bottom"/>
          </w:tcPr>
          <w:p w14:paraId="13831CD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064" w:type="dxa"/>
            <w:vAlign w:val="bottom"/>
          </w:tcPr>
          <w:p w14:paraId="27F69A7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c>
          <w:tcPr>
            <w:tcW w:w="1346" w:type="dxa"/>
            <w:vAlign w:val="bottom"/>
          </w:tcPr>
          <w:p w14:paraId="3A913ED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NA</w:t>
            </w:r>
          </w:p>
        </w:tc>
      </w:tr>
      <w:tr w:rsidR="003A4E60" w:rsidRPr="001F0E92" w14:paraId="3A17594F" w14:textId="77777777" w:rsidTr="004A409C">
        <w:trPr>
          <w:jc w:val="center"/>
        </w:trPr>
        <w:tc>
          <w:tcPr>
            <w:tcW w:w="4390" w:type="dxa"/>
            <w:vAlign w:val="bottom"/>
          </w:tcPr>
          <w:p w14:paraId="4DFE6BB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DIN:f_DL2:EI</w:t>
            </w:r>
          </w:p>
        </w:tc>
        <w:tc>
          <w:tcPr>
            <w:tcW w:w="1275" w:type="dxa"/>
            <w:vAlign w:val="bottom"/>
          </w:tcPr>
          <w:p w14:paraId="34783C0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0.014667</w:t>
            </w:r>
          </w:p>
        </w:tc>
        <w:tc>
          <w:tcPr>
            <w:tcW w:w="1276" w:type="dxa"/>
            <w:vAlign w:val="bottom"/>
          </w:tcPr>
          <w:p w14:paraId="03A4AB5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0.007928</w:t>
            </w:r>
          </w:p>
        </w:tc>
        <w:tc>
          <w:tcPr>
            <w:tcW w:w="1064" w:type="dxa"/>
            <w:vAlign w:val="bottom"/>
          </w:tcPr>
          <w:p w14:paraId="5F4F1D86" w14:textId="2BEEC00C"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1.85</w:t>
            </w:r>
            <w:r w:rsidR="00564F44">
              <w:rPr>
                <w:rFonts w:cs="Arial"/>
                <w:color w:val="000000"/>
                <w:sz w:val="20"/>
                <w:szCs w:val="20"/>
              </w:rPr>
              <w:t>0</w:t>
            </w:r>
          </w:p>
        </w:tc>
        <w:tc>
          <w:tcPr>
            <w:tcW w:w="1346" w:type="dxa"/>
            <w:vAlign w:val="bottom"/>
          </w:tcPr>
          <w:p w14:paraId="792C787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0.065243</w:t>
            </w:r>
          </w:p>
        </w:tc>
      </w:tr>
      <w:tr w:rsidR="003A4E60" w:rsidRPr="001F0E92" w14:paraId="2B2A1139" w14:textId="77777777" w:rsidTr="004A409C">
        <w:trPr>
          <w:jc w:val="center"/>
        </w:trPr>
        <w:tc>
          <w:tcPr>
            <w:tcW w:w="4390" w:type="dxa"/>
            <w:vAlign w:val="bottom"/>
          </w:tcPr>
          <w:p w14:paraId="2CC9F5F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DIN:f_DL2:RI</w:t>
            </w:r>
          </w:p>
        </w:tc>
        <w:tc>
          <w:tcPr>
            <w:tcW w:w="1275" w:type="dxa"/>
            <w:vAlign w:val="bottom"/>
          </w:tcPr>
          <w:p w14:paraId="5AED6BB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-0.033107</w:t>
            </w:r>
          </w:p>
        </w:tc>
        <w:tc>
          <w:tcPr>
            <w:tcW w:w="1276" w:type="dxa"/>
            <w:vAlign w:val="bottom"/>
          </w:tcPr>
          <w:p w14:paraId="6149BEF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0.011805</w:t>
            </w:r>
          </w:p>
        </w:tc>
        <w:tc>
          <w:tcPr>
            <w:tcW w:w="1064" w:type="dxa"/>
            <w:vAlign w:val="bottom"/>
          </w:tcPr>
          <w:p w14:paraId="652FFD1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-2.804</w:t>
            </w:r>
          </w:p>
        </w:tc>
        <w:tc>
          <w:tcPr>
            <w:tcW w:w="1346" w:type="dxa"/>
            <w:vAlign w:val="bottom"/>
          </w:tcPr>
          <w:p w14:paraId="7D0E5D9B"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0.005357</w:t>
            </w:r>
          </w:p>
        </w:tc>
      </w:tr>
      <w:tr w:rsidR="003A4E60" w:rsidRPr="001F0E92" w14:paraId="4978B21F" w14:textId="77777777" w:rsidTr="004A409C">
        <w:trPr>
          <w:jc w:val="center"/>
        </w:trPr>
        <w:tc>
          <w:tcPr>
            <w:tcW w:w="4390" w:type="dxa"/>
            <w:vAlign w:val="bottom"/>
          </w:tcPr>
          <w:p w14:paraId="07E392C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DIN:f_DL2:BM</w:t>
            </w:r>
          </w:p>
        </w:tc>
        <w:tc>
          <w:tcPr>
            <w:tcW w:w="1275" w:type="dxa"/>
            <w:vAlign w:val="bottom"/>
          </w:tcPr>
          <w:p w14:paraId="4081777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-0.103669</w:t>
            </w:r>
          </w:p>
        </w:tc>
        <w:tc>
          <w:tcPr>
            <w:tcW w:w="1276" w:type="dxa"/>
            <w:vAlign w:val="bottom"/>
          </w:tcPr>
          <w:p w14:paraId="41D0CE0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0.043571</w:t>
            </w:r>
          </w:p>
        </w:tc>
        <w:tc>
          <w:tcPr>
            <w:tcW w:w="1064" w:type="dxa"/>
            <w:vAlign w:val="bottom"/>
          </w:tcPr>
          <w:p w14:paraId="027D769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-2.379</w:t>
            </w:r>
          </w:p>
        </w:tc>
        <w:tc>
          <w:tcPr>
            <w:tcW w:w="1346" w:type="dxa"/>
            <w:vAlign w:val="bottom"/>
          </w:tcPr>
          <w:p w14:paraId="223AEBE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0.017948</w:t>
            </w:r>
          </w:p>
        </w:tc>
      </w:tr>
      <w:tr w:rsidR="003A4E60" w:rsidRPr="001F0E92" w14:paraId="69E6D1F0" w14:textId="77777777" w:rsidTr="004A409C">
        <w:trPr>
          <w:jc w:val="center"/>
        </w:trPr>
        <w:tc>
          <w:tcPr>
            <w:tcW w:w="4390" w:type="dxa"/>
            <w:vAlign w:val="bottom"/>
          </w:tcPr>
          <w:p w14:paraId="3656186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DIN:f_DL2:F</w:t>
            </w:r>
          </w:p>
        </w:tc>
        <w:tc>
          <w:tcPr>
            <w:tcW w:w="1275" w:type="dxa"/>
            <w:vAlign w:val="bottom"/>
          </w:tcPr>
          <w:p w14:paraId="1FF298F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-0.283624</w:t>
            </w:r>
          </w:p>
        </w:tc>
        <w:tc>
          <w:tcPr>
            <w:tcW w:w="1276" w:type="dxa"/>
            <w:vAlign w:val="bottom"/>
          </w:tcPr>
          <w:p w14:paraId="38E2C6AC" w14:textId="727E2E96"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0.09088</w:t>
            </w:r>
            <w:r w:rsidR="00564F44">
              <w:rPr>
                <w:rFonts w:cs="Arial"/>
                <w:color w:val="000000"/>
                <w:sz w:val="20"/>
                <w:szCs w:val="20"/>
              </w:rPr>
              <w:t>0</w:t>
            </w:r>
          </w:p>
        </w:tc>
        <w:tc>
          <w:tcPr>
            <w:tcW w:w="1064" w:type="dxa"/>
            <w:vAlign w:val="bottom"/>
          </w:tcPr>
          <w:p w14:paraId="6EEC7BE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-3.121</w:t>
            </w:r>
          </w:p>
        </w:tc>
        <w:tc>
          <w:tcPr>
            <w:tcW w:w="1346" w:type="dxa"/>
            <w:vAlign w:val="bottom"/>
          </w:tcPr>
          <w:p w14:paraId="0159B7A4"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0.001972</w:t>
            </w:r>
          </w:p>
        </w:tc>
      </w:tr>
      <w:tr w:rsidR="003A4E60" w:rsidRPr="001F0E92" w14:paraId="5D9D33E3" w14:textId="77777777" w:rsidTr="004A409C">
        <w:trPr>
          <w:jc w:val="center"/>
        </w:trPr>
        <w:tc>
          <w:tcPr>
            <w:tcW w:w="4390" w:type="dxa"/>
            <w:vAlign w:val="bottom"/>
          </w:tcPr>
          <w:p w14:paraId="5710C95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DIN:f_DL2:MW</w:t>
            </w:r>
          </w:p>
        </w:tc>
        <w:tc>
          <w:tcPr>
            <w:tcW w:w="1275" w:type="dxa"/>
            <w:vAlign w:val="bottom"/>
          </w:tcPr>
          <w:p w14:paraId="3A08FC2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-0.036486</w:t>
            </w:r>
          </w:p>
        </w:tc>
        <w:tc>
          <w:tcPr>
            <w:tcW w:w="1276" w:type="dxa"/>
            <w:vAlign w:val="bottom"/>
          </w:tcPr>
          <w:p w14:paraId="05BE2D1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0.038869</w:t>
            </w:r>
          </w:p>
        </w:tc>
        <w:tc>
          <w:tcPr>
            <w:tcW w:w="1064" w:type="dxa"/>
            <w:vAlign w:val="bottom"/>
          </w:tcPr>
          <w:p w14:paraId="6BD401A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-0.939</w:t>
            </w:r>
          </w:p>
        </w:tc>
        <w:tc>
          <w:tcPr>
            <w:tcW w:w="1346" w:type="dxa"/>
            <w:vAlign w:val="bottom"/>
          </w:tcPr>
          <w:p w14:paraId="3F4F3B28" w14:textId="3BA6E2E3"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0.34863</w:t>
            </w:r>
            <w:r w:rsidR="00564F44">
              <w:rPr>
                <w:rFonts w:cs="Arial"/>
                <w:color w:val="000000"/>
                <w:sz w:val="20"/>
                <w:szCs w:val="20"/>
              </w:rPr>
              <w:t>0</w:t>
            </w:r>
          </w:p>
        </w:tc>
      </w:tr>
      <w:tr w:rsidR="003A4E60" w:rsidRPr="001F0E92" w14:paraId="64C05891" w14:textId="77777777" w:rsidTr="004A409C">
        <w:trPr>
          <w:jc w:val="center"/>
        </w:trPr>
        <w:tc>
          <w:tcPr>
            <w:tcW w:w="4390" w:type="dxa"/>
            <w:vAlign w:val="bottom"/>
          </w:tcPr>
          <w:p w14:paraId="72DC7ACE"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DIN:EI:F</w:t>
            </w:r>
          </w:p>
        </w:tc>
        <w:tc>
          <w:tcPr>
            <w:tcW w:w="1275" w:type="dxa"/>
            <w:vAlign w:val="bottom"/>
          </w:tcPr>
          <w:p w14:paraId="0F602DE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-0.213508</w:t>
            </w:r>
          </w:p>
        </w:tc>
        <w:tc>
          <w:tcPr>
            <w:tcW w:w="1276" w:type="dxa"/>
            <w:vAlign w:val="bottom"/>
          </w:tcPr>
          <w:p w14:paraId="77CD63C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0.080761</w:t>
            </w:r>
          </w:p>
        </w:tc>
        <w:tc>
          <w:tcPr>
            <w:tcW w:w="1064" w:type="dxa"/>
            <w:vAlign w:val="bottom"/>
          </w:tcPr>
          <w:p w14:paraId="1D7AF03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-2.644</w:t>
            </w:r>
          </w:p>
        </w:tc>
        <w:tc>
          <w:tcPr>
            <w:tcW w:w="1346" w:type="dxa"/>
            <w:vAlign w:val="bottom"/>
          </w:tcPr>
          <w:p w14:paraId="105D422C"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0.008616</w:t>
            </w:r>
          </w:p>
        </w:tc>
      </w:tr>
      <w:tr w:rsidR="003A4E60" w:rsidRPr="001F0E92" w14:paraId="73031827" w14:textId="77777777" w:rsidTr="004A409C">
        <w:trPr>
          <w:jc w:val="center"/>
        </w:trPr>
        <w:tc>
          <w:tcPr>
            <w:tcW w:w="4390" w:type="dxa"/>
            <w:vAlign w:val="bottom"/>
          </w:tcPr>
          <w:p w14:paraId="4212909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DIN:RI:F</w:t>
            </w:r>
          </w:p>
        </w:tc>
        <w:tc>
          <w:tcPr>
            <w:tcW w:w="1275" w:type="dxa"/>
            <w:vAlign w:val="bottom"/>
          </w:tcPr>
          <w:p w14:paraId="5D40AEA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-0.257602</w:t>
            </w:r>
          </w:p>
        </w:tc>
        <w:tc>
          <w:tcPr>
            <w:tcW w:w="1276" w:type="dxa"/>
            <w:vAlign w:val="bottom"/>
          </w:tcPr>
          <w:p w14:paraId="1578AA9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0.081934</w:t>
            </w:r>
          </w:p>
        </w:tc>
        <w:tc>
          <w:tcPr>
            <w:tcW w:w="1064" w:type="dxa"/>
            <w:vAlign w:val="bottom"/>
          </w:tcPr>
          <w:p w14:paraId="5136052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-3.144</w:t>
            </w:r>
          </w:p>
        </w:tc>
        <w:tc>
          <w:tcPr>
            <w:tcW w:w="1346" w:type="dxa"/>
            <w:vAlign w:val="bottom"/>
          </w:tcPr>
          <w:p w14:paraId="206F9064"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0.001827</w:t>
            </w:r>
          </w:p>
        </w:tc>
      </w:tr>
      <w:tr w:rsidR="003A4E60" w:rsidRPr="001F0E92" w14:paraId="2CF42CEF" w14:textId="77777777" w:rsidTr="004A409C">
        <w:trPr>
          <w:jc w:val="center"/>
        </w:trPr>
        <w:tc>
          <w:tcPr>
            <w:tcW w:w="4390" w:type="dxa"/>
            <w:vAlign w:val="bottom"/>
          </w:tcPr>
          <w:p w14:paraId="58C2897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f_DL2:EI:F</w:t>
            </w:r>
          </w:p>
        </w:tc>
        <w:tc>
          <w:tcPr>
            <w:tcW w:w="1275" w:type="dxa"/>
            <w:vAlign w:val="bottom"/>
          </w:tcPr>
          <w:p w14:paraId="3A20EA2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0.071625</w:t>
            </w:r>
          </w:p>
        </w:tc>
        <w:tc>
          <w:tcPr>
            <w:tcW w:w="1276" w:type="dxa"/>
            <w:vAlign w:val="bottom"/>
          </w:tcPr>
          <w:p w14:paraId="1BC3DC6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0.251743</w:t>
            </w:r>
          </w:p>
        </w:tc>
        <w:tc>
          <w:tcPr>
            <w:tcW w:w="1064" w:type="dxa"/>
            <w:vAlign w:val="bottom"/>
          </w:tcPr>
          <w:p w14:paraId="43EADCB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0.285</w:t>
            </w:r>
          </w:p>
        </w:tc>
        <w:tc>
          <w:tcPr>
            <w:tcW w:w="1346" w:type="dxa"/>
            <w:vAlign w:val="bottom"/>
          </w:tcPr>
          <w:p w14:paraId="24214F8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0.776203</w:t>
            </w:r>
          </w:p>
        </w:tc>
      </w:tr>
      <w:tr w:rsidR="003A4E60" w:rsidRPr="001F0E92" w14:paraId="1EEBEDE7" w14:textId="77777777" w:rsidTr="004A409C">
        <w:trPr>
          <w:jc w:val="center"/>
        </w:trPr>
        <w:tc>
          <w:tcPr>
            <w:tcW w:w="4390" w:type="dxa"/>
            <w:vAlign w:val="bottom"/>
          </w:tcPr>
          <w:p w14:paraId="2E6C863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f_DL2:RI:F</w:t>
            </w:r>
          </w:p>
        </w:tc>
        <w:tc>
          <w:tcPr>
            <w:tcW w:w="1275" w:type="dxa"/>
            <w:vAlign w:val="bottom"/>
          </w:tcPr>
          <w:p w14:paraId="1465F16E" w14:textId="1544264E"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-0.82297</w:t>
            </w:r>
            <w:r w:rsidR="00564F44">
              <w:rPr>
                <w:rFonts w:cs="Arial"/>
                <w:color w:val="000000"/>
                <w:sz w:val="20"/>
                <w:szCs w:val="20"/>
              </w:rPr>
              <w:t>0</w:t>
            </w:r>
          </w:p>
        </w:tc>
        <w:tc>
          <w:tcPr>
            <w:tcW w:w="1276" w:type="dxa"/>
            <w:vAlign w:val="bottom"/>
          </w:tcPr>
          <w:p w14:paraId="25EBCFB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0.294658</w:t>
            </w:r>
          </w:p>
        </w:tc>
        <w:tc>
          <w:tcPr>
            <w:tcW w:w="1064" w:type="dxa"/>
            <w:vAlign w:val="bottom"/>
          </w:tcPr>
          <w:p w14:paraId="628BA51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-2.793</w:t>
            </w:r>
          </w:p>
        </w:tc>
        <w:tc>
          <w:tcPr>
            <w:tcW w:w="1346" w:type="dxa"/>
            <w:vAlign w:val="bottom"/>
          </w:tcPr>
          <w:p w14:paraId="224A7EB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0.005546</w:t>
            </w:r>
          </w:p>
        </w:tc>
      </w:tr>
      <w:tr w:rsidR="003A4E60" w:rsidRPr="001F0E92" w14:paraId="06941D8C" w14:textId="77777777" w:rsidTr="007B18F7">
        <w:trPr>
          <w:jc w:val="center"/>
        </w:trPr>
        <w:tc>
          <w:tcPr>
            <w:tcW w:w="4390" w:type="dxa"/>
            <w:vAlign w:val="bottom"/>
          </w:tcPr>
          <w:p w14:paraId="5C126BF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DIN:f_DL2:EI:F</w:t>
            </w:r>
          </w:p>
        </w:tc>
        <w:tc>
          <w:tcPr>
            <w:tcW w:w="1275" w:type="dxa"/>
            <w:vAlign w:val="bottom"/>
          </w:tcPr>
          <w:p w14:paraId="49C4D3A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0.201547</w:t>
            </w:r>
          </w:p>
        </w:tc>
        <w:tc>
          <w:tcPr>
            <w:tcW w:w="1276" w:type="dxa"/>
            <w:vAlign w:val="bottom"/>
          </w:tcPr>
          <w:p w14:paraId="1EF856E2"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0.084951</w:t>
            </w:r>
          </w:p>
        </w:tc>
        <w:tc>
          <w:tcPr>
            <w:tcW w:w="1064" w:type="dxa"/>
            <w:vAlign w:val="bottom"/>
          </w:tcPr>
          <w:p w14:paraId="3829CBD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2.373</w:t>
            </w:r>
          </w:p>
        </w:tc>
        <w:tc>
          <w:tcPr>
            <w:tcW w:w="1346" w:type="dxa"/>
            <w:vAlign w:val="bottom"/>
          </w:tcPr>
          <w:p w14:paraId="367D78E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0.018276</w:t>
            </w:r>
          </w:p>
        </w:tc>
      </w:tr>
      <w:tr w:rsidR="003A4E60" w:rsidRPr="001F0E92" w14:paraId="5F169ED0" w14:textId="77777777" w:rsidTr="007B18F7">
        <w:trPr>
          <w:jc w:val="center"/>
        </w:trPr>
        <w:tc>
          <w:tcPr>
            <w:tcW w:w="4390" w:type="dxa"/>
            <w:tcBorders>
              <w:bottom w:val="single" w:sz="4" w:space="0" w:color="auto"/>
            </w:tcBorders>
            <w:vAlign w:val="bottom"/>
          </w:tcPr>
          <w:p w14:paraId="7B3E3F5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DIN:f_DL2:RI:F</w:t>
            </w:r>
          </w:p>
        </w:tc>
        <w:tc>
          <w:tcPr>
            <w:tcW w:w="1275" w:type="dxa"/>
            <w:tcBorders>
              <w:bottom w:val="single" w:sz="4" w:space="0" w:color="auto"/>
            </w:tcBorders>
            <w:vAlign w:val="bottom"/>
          </w:tcPr>
          <w:p w14:paraId="1E11421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0.299109</w:t>
            </w:r>
          </w:p>
        </w:tc>
        <w:tc>
          <w:tcPr>
            <w:tcW w:w="1276" w:type="dxa"/>
            <w:tcBorders>
              <w:bottom w:val="single" w:sz="4" w:space="0" w:color="auto"/>
            </w:tcBorders>
            <w:vAlign w:val="bottom"/>
          </w:tcPr>
          <w:p w14:paraId="1720BFC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0.085025</w:t>
            </w:r>
          </w:p>
        </w:tc>
        <w:tc>
          <w:tcPr>
            <w:tcW w:w="1064" w:type="dxa"/>
            <w:tcBorders>
              <w:bottom w:val="single" w:sz="4" w:space="0" w:color="auto"/>
            </w:tcBorders>
            <w:vAlign w:val="bottom"/>
          </w:tcPr>
          <w:p w14:paraId="5E69E5D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3.518</w:t>
            </w:r>
          </w:p>
        </w:tc>
        <w:tc>
          <w:tcPr>
            <w:tcW w:w="1346" w:type="dxa"/>
            <w:tcBorders>
              <w:bottom w:val="single" w:sz="4" w:space="0" w:color="auto"/>
            </w:tcBorders>
            <w:vAlign w:val="bottom"/>
          </w:tcPr>
          <w:p w14:paraId="1FA38449" w14:textId="19D5D70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0.0005</w:t>
            </w:r>
            <w:r w:rsidR="00564F44">
              <w:rPr>
                <w:rFonts w:cs="Arial"/>
                <w:b/>
                <w:bCs/>
                <w:color w:val="000000"/>
                <w:sz w:val="20"/>
                <w:szCs w:val="20"/>
              </w:rPr>
              <w:t>00</w:t>
            </w:r>
          </w:p>
        </w:tc>
      </w:tr>
    </w:tbl>
    <w:p w14:paraId="01D7778B" w14:textId="77777777" w:rsidR="003A4E60" w:rsidRPr="001F0E92" w:rsidRDefault="003A4E60" w:rsidP="003A4E60">
      <w:pPr>
        <w:rPr>
          <w:rFonts w:cs="Arial"/>
          <w:szCs w:val="22"/>
          <w:lang w:eastAsia="x-none"/>
        </w:rPr>
      </w:pPr>
    </w:p>
    <w:p w14:paraId="4211CB24" w14:textId="77777777" w:rsidR="003A4E60" w:rsidRPr="001F0E92" w:rsidRDefault="003A4E60" w:rsidP="003A4E60">
      <w:pPr>
        <w:rPr>
          <w:rFonts w:cs="Arial"/>
          <w:szCs w:val="22"/>
          <w:lang w:eastAsia="x-none"/>
        </w:rPr>
      </w:pPr>
      <w:r w:rsidRPr="001F0E92">
        <w:rPr>
          <w:rFonts w:cs="Arial"/>
          <w:szCs w:val="22"/>
          <w:lang w:eastAsia="x-none"/>
        </w:rPr>
        <w:br w:type="column"/>
      </w:r>
      <w:r w:rsidRPr="001F0E92">
        <w:rPr>
          <w:rFonts w:cs="Arial"/>
          <w:szCs w:val="22"/>
          <w:lang w:eastAsia="x-none"/>
        </w:rPr>
        <w:lastRenderedPageBreak/>
        <w:t xml:space="preserve">Table A6. </w:t>
      </w:r>
      <w:r w:rsidRPr="007B18F7">
        <w:rPr>
          <w:rFonts w:cs="Arial"/>
          <w:i/>
          <w:szCs w:val="22"/>
          <w:lang w:eastAsia="x-none"/>
        </w:rPr>
        <w:t>Model 1 (M_Zm) – ANOVA of the effects of DIN loading, mean daily light, region, and habitat on the C:N ratio of Z. muelleri.</w:t>
      </w:r>
      <w:r w:rsidRPr="001F0E92">
        <w:rPr>
          <w:rFonts w:cs="Arial"/>
          <w:szCs w:val="22"/>
          <w:lang w:eastAsia="x-none"/>
        </w:rPr>
        <w:t xml:space="preserve"> </w:t>
      </w:r>
    </w:p>
    <w:tbl>
      <w:tblPr>
        <w:tblW w:w="0" w:type="auto"/>
        <w:jc w:val="center"/>
        <w:tblLook w:val="04A0" w:firstRow="1" w:lastRow="0" w:firstColumn="1" w:lastColumn="0" w:noHBand="0" w:noVBand="1"/>
      </w:tblPr>
      <w:tblGrid>
        <w:gridCol w:w="3229"/>
        <w:gridCol w:w="428"/>
        <w:gridCol w:w="961"/>
        <w:gridCol w:w="1039"/>
        <w:gridCol w:w="906"/>
        <w:gridCol w:w="1051"/>
      </w:tblGrid>
      <w:tr w:rsidR="003A4E60" w:rsidRPr="001F0E92" w14:paraId="66649F77" w14:textId="77777777" w:rsidTr="007B18F7">
        <w:trPr>
          <w:jc w:val="center"/>
        </w:trPr>
        <w:tc>
          <w:tcPr>
            <w:tcW w:w="0" w:type="auto"/>
            <w:tcBorders>
              <w:top w:val="single" w:sz="4" w:space="0" w:color="auto"/>
              <w:bottom w:val="single" w:sz="4" w:space="0" w:color="auto"/>
            </w:tcBorders>
            <w:vAlign w:val="bottom"/>
          </w:tcPr>
          <w:p w14:paraId="3FAAEE09"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 </w:t>
            </w:r>
          </w:p>
        </w:tc>
        <w:tc>
          <w:tcPr>
            <w:tcW w:w="0" w:type="auto"/>
            <w:tcBorders>
              <w:top w:val="single" w:sz="4" w:space="0" w:color="auto"/>
              <w:bottom w:val="single" w:sz="4" w:space="0" w:color="auto"/>
            </w:tcBorders>
            <w:vAlign w:val="bottom"/>
          </w:tcPr>
          <w:p w14:paraId="1B7AA477"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Df</w:t>
            </w:r>
          </w:p>
        </w:tc>
        <w:tc>
          <w:tcPr>
            <w:tcW w:w="0" w:type="auto"/>
            <w:tcBorders>
              <w:top w:val="single" w:sz="4" w:space="0" w:color="auto"/>
              <w:bottom w:val="single" w:sz="4" w:space="0" w:color="auto"/>
            </w:tcBorders>
            <w:vAlign w:val="bottom"/>
          </w:tcPr>
          <w:p w14:paraId="4B0430DD"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Sum Sq</w:t>
            </w:r>
          </w:p>
        </w:tc>
        <w:tc>
          <w:tcPr>
            <w:tcW w:w="0" w:type="auto"/>
            <w:tcBorders>
              <w:top w:val="single" w:sz="4" w:space="0" w:color="auto"/>
              <w:bottom w:val="single" w:sz="4" w:space="0" w:color="auto"/>
            </w:tcBorders>
            <w:vAlign w:val="bottom"/>
          </w:tcPr>
          <w:p w14:paraId="7AD35AA2"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Mean Sq</w:t>
            </w:r>
          </w:p>
        </w:tc>
        <w:tc>
          <w:tcPr>
            <w:tcW w:w="0" w:type="auto"/>
            <w:tcBorders>
              <w:top w:val="single" w:sz="4" w:space="0" w:color="auto"/>
              <w:bottom w:val="single" w:sz="4" w:space="0" w:color="auto"/>
            </w:tcBorders>
            <w:vAlign w:val="bottom"/>
          </w:tcPr>
          <w:p w14:paraId="1948FC94"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F value</w:t>
            </w:r>
          </w:p>
        </w:tc>
        <w:tc>
          <w:tcPr>
            <w:tcW w:w="0" w:type="auto"/>
            <w:tcBorders>
              <w:top w:val="single" w:sz="4" w:space="0" w:color="auto"/>
              <w:bottom w:val="single" w:sz="4" w:space="0" w:color="auto"/>
            </w:tcBorders>
            <w:vAlign w:val="bottom"/>
          </w:tcPr>
          <w:p w14:paraId="200E79D5" w14:textId="77777777" w:rsidR="003A4E60" w:rsidRPr="001F0E92" w:rsidRDefault="003A4E60" w:rsidP="007B18F7">
            <w:pPr>
              <w:spacing w:before="0" w:after="0"/>
              <w:rPr>
                <w:rFonts w:cs="Arial"/>
                <w:b/>
                <w:sz w:val="20"/>
                <w:szCs w:val="20"/>
                <w:lang w:eastAsia="x-none"/>
              </w:rPr>
            </w:pPr>
            <w:r w:rsidRPr="001F0E92">
              <w:rPr>
                <w:rFonts w:cs="Arial"/>
                <w:b/>
                <w:color w:val="000000"/>
                <w:sz w:val="20"/>
                <w:szCs w:val="20"/>
              </w:rPr>
              <w:t>Pr(&gt;F)</w:t>
            </w:r>
          </w:p>
        </w:tc>
      </w:tr>
      <w:tr w:rsidR="003A4E60" w:rsidRPr="001F0E92" w14:paraId="3CCE9674" w14:textId="77777777" w:rsidTr="007B18F7">
        <w:trPr>
          <w:jc w:val="center"/>
        </w:trPr>
        <w:tc>
          <w:tcPr>
            <w:tcW w:w="0" w:type="auto"/>
            <w:tcBorders>
              <w:top w:val="single" w:sz="4" w:space="0" w:color="auto"/>
            </w:tcBorders>
            <w:vAlign w:val="bottom"/>
          </w:tcPr>
          <w:p w14:paraId="3D46962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w:t>
            </w:r>
          </w:p>
        </w:tc>
        <w:tc>
          <w:tcPr>
            <w:tcW w:w="0" w:type="auto"/>
            <w:tcBorders>
              <w:top w:val="single" w:sz="4" w:space="0" w:color="auto"/>
            </w:tcBorders>
            <w:vAlign w:val="bottom"/>
          </w:tcPr>
          <w:p w14:paraId="57FC6FE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tcBorders>
              <w:top w:val="single" w:sz="4" w:space="0" w:color="auto"/>
            </w:tcBorders>
            <w:vAlign w:val="bottom"/>
          </w:tcPr>
          <w:p w14:paraId="0A5CC64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13.9</w:t>
            </w:r>
          </w:p>
        </w:tc>
        <w:tc>
          <w:tcPr>
            <w:tcW w:w="0" w:type="auto"/>
            <w:tcBorders>
              <w:top w:val="single" w:sz="4" w:space="0" w:color="auto"/>
            </w:tcBorders>
            <w:vAlign w:val="bottom"/>
          </w:tcPr>
          <w:p w14:paraId="243087B0" w14:textId="505E9D93"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13.9</w:t>
            </w:r>
            <w:r w:rsidR="00564F44">
              <w:rPr>
                <w:rFonts w:cs="Arial"/>
                <w:color w:val="000000"/>
                <w:sz w:val="20"/>
                <w:szCs w:val="20"/>
              </w:rPr>
              <w:t>0</w:t>
            </w:r>
          </w:p>
        </w:tc>
        <w:tc>
          <w:tcPr>
            <w:tcW w:w="0" w:type="auto"/>
            <w:tcBorders>
              <w:top w:val="single" w:sz="4" w:space="0" w:color="auto"/>
            </w:tcBorders>
            <w:vAlign w:val="bottom"/>
          </w:tcPr>
          <w:p w14:paraId="74D22D3F"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1.789</w:t>
            </w:r>
          </w:p>
        </w:tc>
        <w:tc>
          <w:tcPr>
            <w:tcW w:w="0" w:type="auto"/>
            <w:tcBorders>
              <w:top w:val="single" w:sz="4" w:space="0" w:color="auto"/>
            </w:tcBorders>
            <w:vAlign w:val="bottom"/>
          </w:tcPr>
          <w:p w14:paraId="3E1EC09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0.182055</w:t>
            </w:r>
          </w:p>
        </w:tc>
      </w:tr>
      <w:tr w:rsidR="003A4E60" w:rsidRPr="001F0E92" w14:paraId="6ED44490" w14:textId="77777777" w:rsidTr="001F0E92">
        <w:trPr>
          <w:jc w:val="center"/>
        </w:trPr>
        <w:tc>
          <w:tcPr>
            <w:tcW w:w="0" w:type="auto"/>
            <w:vAlign w:val="bottom"/>
          </w:tcPr>
          <w:p w14:paraId="5C6EABD1"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w:t>
            </w:r>
          </w:p>
        </w:tc>
        <w:tc>
          <w:tcPr>
            <w:tcW w:w="0" w:type="auto"/>
            <w:vAlign w:val="bottom"/>
          </w:tcPr>
          <w:p w14:paraId="1CC25C4D"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675BB49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0.4</w:t>
            </w:r>
          </w:p>
        </w:tc>
        <w:tc>
          <w:tcPr>
            <w:tcW w:w="0" w:type="auto"/>
            <w:vAlign w:val="bottom"/>
          </w:tcPr>
          <w:p w14:paraId="442CBF2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0.39</w:t>
            </w:r>
          </w:p>
        </w:tc>
        <w:tc>
          <w:tcPr>
            <w:tcW w:w="0" w:type="auto"/>
            <w:vAlign w:val="bottom"/>
          </w:tcPr>
          <w:p w14:paraId="03AF20E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0.051</w:t>
            </w:r>
          </w:p>
        </w:tc>
        <w:tc>
          <w:tcPr>
            <w:tcW w:w="0" w:type="auto"/>
            <w:vAlign w:val="bottom"/>
          </w:tcPr>
          <w:p w14:paraId="708D110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0.822194</w:t>
            </w:r>
          </w:p>
        </w:tc>
      </w:tr>
      <w:tr w:rsidR="003A4E60" w:rsidRPr="001F0E92" w14:paraId="6A4EEB0A" w14:textId="77777777" w:rsidTr="001F0E92">
        <w:trPr>
          <w:jc w:val="center"/>
        </w:trPr>
        <w:tc>
          <w:tcPr>
            <w:tcW w:w="0" w:type="auto"/>
            <w:vAlign w:val="bottom"/>
          </w:tcPr>
          <w:p w14:paraId="6057398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w:t>
            </w:r>
          </w:p>
        </w:tc>
        <w:tc>
          <w:tcPr>
            <w:tcW w:w="0" w:type="auto"/>
            <w:vAlign w:val="bottom"/>
          </w:tcPr>
          <w:p w14:paraId="0D46DB9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7262164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436.2</w:t>
            </w:r>
          </w:p>
        </w:tc>
        <w:tc>
          <w:tcPr>
            <w:tcW w:w="0" w:type="auto"/>
            <w:vAlign w:val="bottom"/>
          </w:tcPr>
          <w:p w14:paraId="37FC878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218.09</w:t>
            </w:r>
          </w:p>
        </w:tc>
        <w:tc>
          <w:tcPr>
            <w:tcW w:w="0" w:type="auto"/>
            <w:vAlign w:val="bottom"/>
          </w:tcPr>
          <w:p w14:paraId="6DE7ACF1"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28.065</w:t>
            </w:r>
          </w:p>
        </w:tc>
        <w:tc>
          <w:tcPr>
            <w:tcW w:w="0" w:type="auto"/>
            <w:vAlign w:val="bottom"/>
          </w:tcPr>
          <w:p w14:paraId="6BE2792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6.23E-12</w:t>
            </w:r>
          </w:p>
        </w:tc>
      </w:tr>
      <w:tr w:rsidR="003A4E60" w:rsidRPr="001F0E92" w14:paraId="6EDD43A3" w14:textId="77777777" w:rsidTr="001F0E92">
        <w:trPr>
          <w:jc w:val="center"/>
        </w:trPr>
        <w:tc>
          <w:tcPr>
            <w:tcW w:w="0" w:type="auto"/>
            <w:vAlign w:val="bottom"/>
          </w:tcPr>
          <w:p w14:paraId="709BD40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NRM_subregion</w:t>
            </w:r>
          </w:p>
        </w:tc>
        <w:tc>
          <w:tcPr>
            <w:tcW w:w="0" w:type="auto"/>
            <w:vAlign w:val="bottom"/>
          </w:tcPr>
          <w:p w14:paraId="25229C0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3BC8F0C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340.1</w:t>
            </w:r>
          </w:p>
        </w:tc>
        <w:tc>
          <w:tcPr>
            <w:tcW w:w="0" w:type="auto"/>
            <w:vAlign w:val="bottom"/>
          </w:tcPr>
          <w:p w14:paraId="26CA685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113.37</w:t>
            </w:r>
          </w:p>
        </w:tc>
        <w:tc>
          <w:tcPr>
            <w:tcW w:w="0" w:type="auto"/>
            <w:vAlign w:val="bottom"/>
          </w:tcPr>
          <w:p w14:paraId="3E11040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14.589</w:t>
            </w:r>
          </w:p>
        </w:tc>
        <w:tc>
          <w:tcPr>
            <w:tcW w:w="0" w:type="auto"/>
            <w:vAlign w:val="bottom"/>
          </w:tcPr>
          <w:p w14:paraId="2DD56700"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6.50E-09</w:t>
            </w:r>
          </w:p>
        </w:tc>
      </w:tr>
      <w:tr w:rsidR="003A4E60" w:rsidRPr="001F0E92" w14:paraId="62ED4CFA" w14:textId="77777777" w:rsidTr="001F0E92">
        <w:trPr>
          <w:jc w:val="center"/>
        </w:trPr>
        <w:tc>
          <w:tcPr>
            <w:tcW w:w="0" w:type="auto"/>
            <w:vAlign w:val="bottom"/>
          </w:tcPr>
          <w:p w14:paraId="3978BFD9"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w:t>
            </w:r>
          </w:p>
        </w:tc>
        <w:tc>
          <w:tcPr>
            <w:tcW w:w="0" w:type="auto"/>
            <w:vAlign w:val="bottom"/>
          </w:tcPr>
          <w:p w14:paraId="6864B69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1</w:t>
            </w:r>
          </w:p>
        </w:tc>
        <w:tc>
          <w:tcPr>
            <w:tcW w:w="0" w:type="auto"/>
            <w:vAlign w:val="bottom"/>
          </w:tcPr>
          <w:p w14:paraId="7ABD484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145.5</w:t>
            </w:r>
          </w:p>
        </w:tc>
        <w:tc>
          <w:tcPr>
            <w:tcW w:w="0" w:type="auto"/>
            <w:vAlign w:val="bottom"/>
          </w:tcPr>
          <w:p w14:paraId="4A8B611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145.53</w:t>
            </w:r>
          </w:p>
        </w:tc>
        <w:tc>
          <w:tcPr>
            <w:tcW w:w="0" w:type="auto"/>
            <w:vAlign w:val="bottom"/>
          </w:tcPr>
          <w:p w14:paraId="6019060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18.728</w:t>
            </w:r>
          </w:p>
        </w:tc>
        <w:tc>
          <w:tcPr>
            <w:tcW w:w="0" w:type="auto"/>
            <w:vAlign w:val="bottom"/>
          </w:tcPr>
          <w:p w14:paraId="3B08FD6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2.03E-05</w:t>
            </w:r>
          </w:p>
        </w:tc>
      </w:tr>
      <w:tr w:rsidR="003A4E60" w:rsidRPr="001F0E92" w14:paraId="62E41C03" w14:textId="77777777" w:rsidTr="001F0E92">
        <w:trPr>
          <w:jc w:val="center"/>
        </w:trPr>
        <w:tc>
          <w:tcPr>
            <w:tcW w:w="0" w:type="auto"/>
            <w:vAlign w:val="bottom"/>
          </w:tcPr>
          <w:p w14:paraId="44AEEB63"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w:t>
            </w:r>
          </w:p>
        </w:tc>
        <w:tc>
          <w:tcPr>
            <w:tcW w:w="0" w:type="auto"/>
            <w:vAlign w:val="bottom"/>
          </w:tcPr>
          <w:p w14:paraId="0589034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744F1A6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28.3</w:t>
            </w:r>
          </w:p>
        </w:tc>
        <w:tc>
          <w:tcPr>
            <w:tcW w:w="0" w:type="auto"/>
            <w:vAlign w:val="bottom"/>
          </w:tcPr>
          <w:p w14:paraId="19B58F75"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14.13</w:t>
            </w:r>
          </w:p>
        </w:tc>
        <w:tc>
          <w:tcPr>
            <w:tcW w:w="0" w:type="auto"/>
            <w:vAlign w:val="bottom"/>
          </w:tcPr>
          <w:p w14:paraId="654D367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1.819</w:t>
            </w:r>
          </w:p>
        </w:tc>
        <w:tc>
          <w:tcPr>
            <w:tcW w:w="0" w:type="auto"/>
            <w:vAlign w:val="bottom"/>
          </w:tcPr>
          <w:p w14:paraId="5E2F97EC"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0.163971</w:t>
            </w:r>
          </w:p>
        </w:tc>
      </w:tr>
      <w:tr w:rsidR="003A4E60" w:rsidRPr="001F0E92" w14:paraId="1E982CDA" w14:textId="77777777" w:rsidTr="001F0E92">
        <w:trPr>
          <w:jc w:val="center"/>
        </w:trPr>
        <w:tc>
          <w:tcPr>
            <w:tcW w:w="0" w:type="auto"/>
            <w:vAlign w:val="bottom"/>
          </w:tcPr>
          <w:p w14:paraId="641392C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DIN:NRM_subregion</w:t>
            </w:r>
          </w:p>
        </w:tc>
        <w:tc>
          <w:tcPr>
            <w:tcW w:w="0" w:type="auto"/>
            <w:vAlign w:val="bottom"/>
          </w:tcPr>
          <w:p w14:paraId="5DF2C784"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45DCEA05" w14:textId="64EDB936"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412</w:t>
            </w:r>
            <w:r w:rsidR="00564F44">
              <w:rPr>
                <w:rFonts w:cs="Arial"/>
                <w:color w:val="000000"/>
                <w:sz w:val="20"/>
                <w:szCs w:val="20"/>
              </w:rPr>
              <w:t>.0</w:t>
            </w:r>
          </w:p>
        </w:tc>
        <w:tc>
          <w:tcPr>
            <w:tcW w:w="0" w:type="auto"/>
            <w:vAlign w:val="bottom"/>
          </w:tcPr>
          <w:p w14:paraId="470A9E34"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137.32</w:t>
            </w:r>
          </w:p>
        </w:tc>
        <w:tc>
          <w:tcPr>
            <w:tcW w:w="0" w:type="auto"/>
            <w:vAlign w:val="bottom"/>
          </w:tcPr>
          <w:p w14:paraId="7D64094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17.671</w:t>
            </w:r>
          </w:p>
        </w:tc>
        <w:tc>
          <w:tcPr>
            <w:tcW w:w="0" w:type="auto"/>
            <w:vAlign w:val="bottom"/>
          </w:tcPr>
          <w:p w14:paraId="01C5DC11"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1.29E-10</w:t>
            </w:r>
          </w:p>
        </w:tc>
      </w:tr>
      <w:tr w:rsidR="003A4E60" w:rsidRPr="001F0E92" w14:paraId="6B53662B" w14:textId="77777777" w:rsidTr="001F0E92">
        <w:trPr>
          <w:jc w:val="center"/>
        </w:trPr>
        <w:tc>
          <w:tcPr>
            <w:tcW w:w="0" w:type="auto"/>
            <w:vAlign w:val="bottom"/>
          </w:tcPr>
          <w:p w14:paraId="4EFD754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f_DL:Habitat</w:t>
            </w:r>
          </w:p>
        </w:tc>
        <w:tc>
          <w:tcPr>
            <w:tcW w:w="0" w:type="auto"/>
            <w:vAlign w:val="bottom"/>
          </w:tcPr>
          <w:p w14:paraId="6C88D33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581D096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215.5</w:t>
            </w:r>
          </w:p>
        </w:tc>
        <w:tc>
          <w:tcPr>
            <w:tcW w:w="0" w:type="auto"/>
            <w:vAlign w:val="bottom"/>
          </w:tcPr>
          <w:p w14:paraId="6CFE9573"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107.73</w:t>
            </w:r>
          </w:p>
        </w:tc>
        <w:tc>
          <w:tcPr>
            <w:tcW w:w="0" w:type="auto"/>
            <w:vAlign w:val="bottom"/>
          </w:tcPr>
          <w:p w14:paraId="7DB83F3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13.864</w:t>
            </w:r>
          </w:p>
        </w:tc>
        <w:tc>
          <w:tcPr>
            <w:tcW w:w="0" w:type="auto"/>
            <w:vAlign w:val="bottom"/>
          </w:tcPr>
          <w:p w14:paraId="205EAE5A"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1.71E-06</w:t>
            </w:r>
          </w:p>
        </w:tc>
      </w:tr>
      <w:tr w:rsidR="003A4E60" w:rsidRPr="001F0E92" w14:paraId="1DBC8033" w14:textId="77777777" w:rsidTr="001F0E92">
        <w:trPr>
          <w:jc w:val="center"/>
        </w:trPr>
        <w:tc>
          <w:tcPr>
            <w:tcW w:w="0" w:type="auto"/>
            <w:vAlign w:val="bottom"/>
          </w:tcPr>
          <w:p w14:paraId="798377A7"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f_DL:NRM_subregion</w:t>
            </w:r>
          </w:p>
        </w:tc>
        <w:tc>
          <w:tcPr>
            <w:tcW w:w="0" w:type="auto"/>
            <w:vAlign w:val="bottom"/>
          </w:tcPr>
          <w:p w14:paraId="43924192"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5CEA5A4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358.6</w:t>
            </w:r>
          </w:p>
        </w:tc>
        <w:tc>
          <w:tcPr>
            <w:tcW w:w="0" w:type="auto"/>
            <w:vAlign w:val="bottom"/>
          </w:tcPr>
          <w:p w14:paraId="2596204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119.53</w:t>
            </w:r>
          </w:p>
        </w:tc>
        <w:tc>
          <w:tcPr>
            <w:tcW w:w="0" w:type="auto"/>
            <w:vAlign w:val="bottom"/>
          </w:tcPr>
          <w:p w14:paraId="0B60E60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15.382</w:t>
            </w:r>
          </w:p>
        </w:tc>
        <w:tc>
          <w:tcPr>
            <w:tcW w:w="0" w:type="auto"/>
            <w:vAlign w:val="bottom"/>
          </w:tcPr>
          <w:p w14:paraId="1F65C17C"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2.35E-09</w:t>
            </w:r>
          </w:p>
        </w:tc>
      </w:tr>
      <w:tr w:rsidR="003A4E60" w:rsidRPr="001F0E92" w14:paraId="088B13D8" w14:textId="77777777" w:rsidTr="001F0E92">
        <w:trPr>
          <w:jc w:val="center"/>
        </w:trPr>
        <w:tc>
          <w:tcPr>
            <w:tcW w:w="0" w:type="auto"/>
            <w:vAlign w:val="bottom"/>
          </w:tcPr>
          <w:p w14:paraId="638EE94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Habitat:NRM_subregion</w:t>
            </w:r>
          </w:p>
        </w:tc>
        <w:tc>
          <w:tcPr>
            <w:tcW w:w="0" w:type="auto"/>
            <w:vAlign w:val="bottom"/>
          </w:tcPr>
          <w:p w14:paraId="7C997228"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25BD6F6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182.4</w:t>
            </w:r>
          </w:p>
        </w:tc>
        <w:tc>
          <w:tcPr>
            <w:tcW w:w="0" w:type="auto"/>
            <w:vAlign w:val="bottom"/>
          </w:tcPr>
          <w:p w14:paraId="6F679A75" w14:textId="0EEB4990"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91.2</w:t>
            </w:r>
            <w:r w:rsidR="00564F44">
              <w:rPr>
                <w:rFonts w:cs="Arial"/>
                <w:color w:val="000000"/>
                <w:sz w:val="20"/>
                <w:szCs w:val="20"/>
              </w:rPr>
              <w:t>0</w:t>
            </w:r>
          </w:p>
        </w:tc>
        <w:tc>
          <w:tcPr>
            <w:tcW w:w="0" w:type="auto"/>
            <w:vAlign w:val="bottom"/>
          </w:tcPr>
          <w:p w14:paraId="749D64C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11.736</w:t>
            </w:r>
          </w:p>
        </w:tc>
        <w:tc>
          <w:tcPr>
            <w:tcW w:w="0" w:type="auto"/>
            <w:vAlign w:val="bottom"/>
          </w:tcPr>
          <w:p w14:paraId="552F0978"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1.22E-05</w:t>
            </w:r>
          </w:p>
        </w:tc>
      </w:tr>
      <w:tr w:rsidR="003A4E60" w:rsidRPr="001F0E92" w14:paraId="2B9E2848" w14:textId="77777777" w:rsidTr="001F0E92">
        <w:trPr>
          <w:jc w:val="center"/>
        </w:trPr>
        <w:tc>
          <w:tcPr>
            <w:tcW w:w="0" w:type="auto"/>
            <w:vAlign w:val="bottom"/>
          </w:tcPr>
          <w:p w14:paraId="5A84F16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DIN:f_DL:Habitat</w:t>
            </w:r>
          </w:p>
        </w:tc>
        <w:tc>
          <w:tcPr>
            <w:tcW w:w="0" w:type="auto"/>
            <w:vAlign w:val="bottom"/>
          </w:tcPr>
          <w:p w14:paraId="392CDAA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08CCE5E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63.5</w:t>
            </w:r>
          </w:p>
        </w:tc>
        <w:tc>
          <w:tcPr>
            <w:tcW w:w="0" w:type="auto"/>
            <w:vAlign w:val="bottom"/>
          </w:tcPr>
          <w:p w14:paraId="379D83D9"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31.75</w:t>
            </w:r>
          </w:p>
        </w:tc>
        <w:tc>
          <w:tcPr>
            <w:tcW w:w="0" w:type="auto"/>
            <w:vAlign w:val="bottom"/>
          </w:tcPr>
          <w:p w14:paraId="30D7F20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4.086</w:t>
            </w:r>
          </w:p>
        </w:tc>
        <w:tc>
          <w:tcPr>
            <w:tcW w:w="0" w:type="auto"/>
            <w:vAlign w:val="bottom"/>
          </w:tcPr>
          <w:p w14:paraId="676BBF7E"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0.017714</w:t>
            </w:r>
          </w:p>
        </w:tc>
      </w:tr>
      <w:tr w:rsidR="003A4E60" w:rsidRPr="001F0E92" w14:paraId="698FC8E2" w14:textId="77777777" w:rsidTr="001F0E92">
        <w:trPr>
          <w:jc w:val="center"/>
        </w:trPr>
        <w:tc>
          <w:tcPr>
            <w:tcW w:w="0" w:type="auto"/>
            <w:vAlign w:val="bottom"/>
          </w:tcPr>
          <w:p w14:paraId="6D7C0E06"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DIN:f_DL:NRM_subregion</w:t>
            </w:r>
          </w:p>
        </w:tc>
        <w:tc>
          <w:tcPr>
            <w:tcW w:w="0" w:type="auto"/>
            <w:vAlign w:val="bottom"/>
          </w:tcPr>
          <w:p w14:paraId="4B32DB0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3</w:t>
            </w:r>
          </w:p>
        </w:tc>
        <w:tc>
          <w:tcPr>
            <w:tcW w:w="0" w:type="auto"/>
            <w:vAlign w:val="bottom"/>
          </w:tcPr>
          <w:p w14:paraId="7909E6F8"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76.8</w:t>
            </w:r>
          </w:p>
        </w:tc>
        <w:tc>
          <w:tcPr>
            <w:tcW w:w="0" w:type="auto"/>
            <w:vAlign w:val="bottom"/>
          </w:tcPr>
          <w:p w14:paraId="0BEEBE38" w14:textId="7371DBD9"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25.6</w:t>
            </w:r>
            <w:r w:rsidR="00564F44">
              <w:rPr>
                <w:rFonts w:cs="Arial"/>
                <w:color w:val="000000"/>
                <w:sz w:val="20"/>
                <w:szCs w:val="20"/>
              </w:rPr>
              <w:t>0</w:t>
            </w:r>
          </w:p>
        </w:tc>
        <w:tc>
          <w:tcPr>
            <w:tcW w:w="0" w:type="auto"/>
            <w:vAlign w:val="bottom"/>
          </w:tcPr>
          <w:p w14:paraId="61042336"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3.294</w:t>
            </w:r>
          </w:p>
        </w:tc>
        <w:tc>
          <w:tcPr>
            <w:tcW w:w="0" w:type="auto"/>
            <w:vAlign w:val="bottom"/>
          </w:tcPr>
          <w:p w14:paraId="76C7C9A5"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0.020868</w:t>
            </w:r>
          </w:p>
        </w:tc>
      </w:tr>
      <w:tr w:rsidR="003A4E60" w:rsidRPr="001F0E92" w14:paraId="7744B677" w14:textId="77777777" w:rsidTr="001F0E92">
        <w:trPr>
          <w:jc w:val="center"/>
        </w:trPr>
        <w:tc>
          <w:tcPr>
            <w:tcW w:w="0" w:type="auto"/>
            <w:vAlign w:val="bottom"/>
          </w:tcPr>
          <w:p w14:paraId="4C1A6F60"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DIN:Habitat:NRM_subregion</w:t>
            </w:r>
          </w:p>
        </w:tc>
        <w:tc>
          <w:tcPr>
            <w:tcW w:w="0" w:type="auto"/>
            <w:vAlign w:val="bottom"/>
          </w:tcPr>
          <w:p w14:paraId="2D2F979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15D70393" w14:textId="57D4847B"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3</w:t>
            </w:r>
            <w:r w:rsidR="00564F44">
              <w:rPr>
                <w:rFonts w:cs="Arial"/>
                <w:color w:val="000000"/>
                <w:sz w:val="20"/>
                <w:szCs w:val="20"/>
              </w:rPr>
              <w:t>.0</w:t>
            </w:r>
          </w:p>
        </w:tc>
        <w:tc>
          <w:tcPr>
            <w:tcW w:w="0" w:type="auto"/>
            <w:vAlign w:val="bottom"/>
          </w:tcPr>
          <w:p w14:paraId="74B0ED13" w14:textId="720BF90F"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w:t>
            </w:r>
            <w:r w:rsidR="00564F44">
              <w:rPr>
                <w:rFonts w:cs="Arial"/>
                <w:color w:val="000000"/>
                <w:sz w:val="20"/>
                <w:szCs w:val="20"/>
              </w:rPr>
              <w:t>0</w:t>
            </w:r>
          </w:p>
        </w:tc>
        <w:tc>
          <w:tcPr>
            <w:tcW w:w="0" w:type="auto"/>
            <w:vAlign w:val="bottom"/>
          </w:tcPr>
          <w:p w14:paraId="4283E77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0.193</w:t>
            </w:r>
          </w:p>
        </w:tc>
        <w:tc>
          <w:tcPr>
            <w:tcW w:w="0" w:type="auto"/>
            <w:vAlign w:val="bottom"/>
          </w:tcPr>
          <w:p w14:paraId="595399EB"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0.824878</w:t>
            </w:r>
          </w:p>
        </w:tc>
      </w:tr>
      <w:tr w:rsidR="003A4E60" w:rsidRPr="001F0E92" w14:paraId="7B8C510D" w14:textId="77777777" w:rsidTr="007B18F7">
        <w:trPr>
          <w:jc w:val="center"/>
        </w:trPr>
        <w:tc>
          <w:tcPr>
            <w:tcW w:w="0" w:type="auto"/>
            <w:vAlign w:val="bottom"/>
          </w:tcPr>
          <w:p w14:paraId="2218FB3A"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f_DL:Habitat:NRM_subregion</w:t>
            </w:r>
          </w:p>
        </w:tc>
        <w:tc>
          <w:tcPr>
            <w:tcW w:w="0" w:type="auto"/>
            <w:vAlign w:val="bottom"/>
          </w:tcPr>
          <w:p w14:paraId="336AAD9F"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vAlign w:val="bottom"/>
          </w:tcPr>
          <w:p w14:paraId="1E938687"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120.5</w:t>
            </w:r>
          </w:p>
        </w:tc>
        <w:tc>
          <w:tcPr>
            <w:tcW w:w="0" w:type="auto"/>
            <w:vAlign w:val="bottom"/>
          </w:tcPr>
          <w:p w14:paraId="1C9CB3C0"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60.23</w:t>
            </w:r>
          </w:p>
        </w:tc>
        <w:tc>
          <w:tcPr>
            <w:tcW w:w="0" w:type="auto"/>
            <w:vAlign w:val="bottom"/>
          </w:tcPr>
          <w:p w14:paraId="42A883E6" w14:textId="58CFE43F"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7.75</w:t>
            </w:r>
            <w:r w:rsidR="00564F44">
              <w:rPr>
                <w:rFonts w:cs="Arial"/>
                <w:color w:val="000000"/>
                <w:sz w:val="20"/>
                <w:szCs w:val="20"/>
              </w:rPr>
              <w:t>0</w:t>
            </w:r>
          </w:p>
        </w:tc>
        <w:tc>
          <w:tcPr>
            <w:tcW w:w="0" w:type="auto"/>
            <w:vAlign w:val="bottom"/>
          </w:tcPr>
          <w:p w14:paraId="55D8DC67"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0.000519</w:t>
            </w:r>
          </w:p>
        </w:tc>
      </w:tr>
      <w:tr w:rsidR="003A4E60" w:rsidRPr="001F0E92" w14:paraId="03FDC734" w14:textId="77777777" w:rsidTr="007B18F7">
        <w:trPr>
          <w:jc w:val="center"/>
        </w:trPr>
        <w:tc>
          <w:tcPr>
            <w:tcW w:w="0" w:type="auto"/>
            <w:tcBorders>
              <w:bottom w:val="single" w:sz="4" w:space="0" w:color="auto"/>
            </w:tcBorders>
            <w:vAlign w:val="bottom"/>
          </w:tcPr>
          <w:p w14:paraId="510E66AB"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DIN:f_DL:Habitat:NRM_subregion</w:t>
            </w:r>
          </w:p>
        </w:tc>
        <w:tc>
          <w:tcPr>
            <w:tcW w:w="0" w:type="auto"/>
            <w:tcBorders>
              <w:bottom w:val="single" w:sz="4" w:space="0" w:color="auto"/>
            </w:tcBorders>
            <w:vAlign w:val="bottom"/>
          </w:tcPr>
          <w:p w14:paraId="30858D35" w14:textId="77777777" w:rsidR="003A4E60" w:rsidRPr="001F0E92" w:rsidRDefault="003A4E60" w:rsidP="007B18F7">
            <w:pPr>
              <w:spacing w:before="0" w:after="0"/>
              <w:rPr>
                <w:rFonts w:cs="Arial"/>
                <w:sz w:val="20"/>
                <w:szCs w:val="20"/>
                <w:lang w:eastAsia="x-none"/>
              </w:rPr>
            </w:pPr>
            <w:r w:rsidRPr="001F0E92">
              <w:rPr>
                <w:rFonts w:cs="Arial"/>
                <w:color w:val="000000"/>
                <w:sz w:val="20"/>
                <w:szCs w:val="20"/>
              </w:rPr>
              <w:t>2</w:t>
            </w:r>
          </w:p>
        </w:tc>
        <w:tc>
          <w:tcPr>
            <w:tcW w:w="0" w:type="auto"/>
            <w:tcBorders>
              <w:bottom w:val="single" w:sz="4" w:space="0" w:color="auto"/>
            </w:tcBorders>
            <w:vAlign w:val="bottom"/>
          </w:tcPr>
          <w:p w14:paraId="0E86F0FD"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151.8</w:t>
            </w:r>
          </w:p>
        </w:tc>
        <w:tc>
          <w:tcPr>
            <w:tcW w:w="0" w:type="auto"/>
            <w:tcBorders>
              <w:bottom w:val="single" w:sz="4" w:space="0" w:color="auto"/>
            </w:tcBorders>
            <w:vAlign w:val="bottom"/>
          </w:tcPr>
          <w:p w14:paraId="69D7DF5E"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75.89</w:t>
            </w:r>
          </w:p>
        </w:tc>
        <w:tc>
          <w:tcPr>
            <w:tcW w:w="0" w:type="auto"/>
            <w:tcBorders>
              <w:bottom w:val="single" w:sz="4" w:space="0" w:color="auto"/>
            </w:tcBorders>
            <w:vAlign w:val="bottom"/>
          </w:tcPr>
          <w:p w14:paraId="19A1019A" w14:textId="77777777" w:rsidR="003A4E60" w:rsidRPr="001F0E92" w:rsidRDefault="003A4E60" w:rsidP="007B18F7">
            <w:pPr>
              <w:spacing w:before="0" w:after="0"/>
              <w:jc w:val="right"/>
              <w:rPr>
                <w:rFonts w:cs="Arial"/>
                <w:sz w:val="20"/>
                <w:szCs w:val="20"/>
                <w:lang w:eastAsia="x-none"/>
              </w:rPr>
            </w:pPr>
            <w:r w:rsidRPr="001F0E92">
              <w:rPr>
                <w:rFonts w:cs="Arial"/>
                <w:color w:val="000000"/>
                <w:sz w:val="20"/>
                <w:szCs w:val="20"/>
              </w:rPr>
              <w:t>9.766</w:t>
            </w:r>
          </w:p>
        </w:tc>
        <w:tc>
          <w:tcPr>
            <w:tcW w:w="0" w:type="auto"/>
            <w:tcBorders>
              <w:bottom w:val="single" w:sz="4" w:space="0" w:color="auto"/>
            </w:tcBorders>
            <w:vAlign w:val="bottom"/>
          </w:tcPr>
          <w:p w14:paraId="50C72C5D" w14:textId="77777777" w:rsidR="003A4E60" w:rsidRPr="001F0E92" w:rsidRDefault="003A4E60" w:rsidP="007B18F7">
            <w:pPr>
              <w:spacing w:before="0" w:after="0"/>
              <w:jc w:val="right"/>
              <w:rPr>
                <w:rFonts w:cs="Arial"/>
                <w:b/>
                <w:bCs/>
                <w:sz w:val="20"/>
                <w:szCs w:val="20"/>
                <w:lang w:eastAsia="x-none"/>
              </w:rPr>
            </w:pPr>
            <w:r w:rsidRPr="001F0E92">
              <w:rPr>
                <w:rFonts w:cs="Arial"/>
                <w:b/>
                <w:bCs/>
                <w:color w:val="000000"/>
                <w:sz w:val="20"/>
                <w:szCs w:val="20"/>
              </w:rPr>
              <w:t>7.70E-05</w:t>
            </w:r>
          </w:p>
        </w:tc>
      </w:tr>
    </w:tbl>
    <w:p w14:paraId="39CFBA15" w14:textId="77777777" w:rsidR="003A4E60" w:rsidRPr="001F0E92" w:rsidRDefault="003A4E60" w:rsidP="003A4E60">
      <w:pPr>
        <w:rPr>
          <w:rFonts w:cs="Arial"/>
          <w:lang w:eastAsia="x-none"/>
        </w:rPr>
      </w:pPr>
    </w:p>
    <w:p w14:paraId="71228733" w14:textId="77777777" w:rsidR="003A4E60" w:rsidRPr="001F0E92" w:rsidRDefault="003A4E60" w:rsidP="003A4E60">
      <w:pPr>
        <w:rPr>
          <w:rFonts w:cs="Arial"/>
          <w:lang w:eastAsia="x-none"/>
        </w:rPr>
      </w:pPr>
    </w:p>
    <w:p w14:paraId="01F31633" w14:textId="77777777" w:rsidR="00F12624" w:rsidRPr="001F0E92" w:rsidRDefault="00F12624" w:rsidP="00F12624">
      <w:pPr>
        <w:rPr>
          <w:rFonts w:cs="Arial"/>
          <w:szCs w:val="22"/>
        </w:rPr>
      </w:pPr>
    </w:p>
    <w:p w14:paraId="65A751CE" w14:textId="77777777" w:rsidR="00F12624" w:rsidRPr="001F0E92" w:rsidRDefault="00F12624" w:rsidP="00F12624">
      <w:pPr>
        <w:rPr>
          <w:rFonts w:cs="Arial"/>
          <w:szCs w:val="22"/>
        </w:rPr>
      </w:pPr>
    </w:p>
    <w:p w14:paraId="5EFA3D47" w14:textId="77777777" w:rsidR="00F12624" w:rsidRPr="001F0E92" w:rsidRDefault="00F12624" w:rsidP="00F12624">
      <w:pPr>
        <w:rPr>
          <w:rFonts w:cs="Arial"/>
          <w:szCs w:val="22"/>
        </w:rPr>
      </w:pPr>
    </w:p>
    <w:p w14:paraId="410DBDC9" w14:textId="77777777" w:rsidR="00F12624" w:rsidRPr="001F0E92" w:rsidRDefault="00F12624" w:rsidP="00F12624">
      <w:pPr>
        <w:rPr>
          <w:rFonts w:cs="Arial"/>
          <w:szCs w:val="22"/>
        </w:rPr>
      </w:pPr>
    </w:p>
    <w:p w14:paraId="47369E90" w14:textId="77777777" w:rsidR="00F12624" w:rsidRPr="001F0E92" w:rsidRDefault="00F12624" w:rsidP="00F12624">
      <w:pPr>
        <w:rPr>
          <w:rFonts w:cs="Arial"/>
          <w:szCs w:val="22"/>
        </w:rPr>
      </w:pPr>
    </w:p>
    <w:p w14:paraId="4A23B2C5" w14:textId="77777777" w:rsidR="001A2360" w:rsidRDefault="001A2360" w:rsidP="00F12624">
      <w:pPr>
        <w:rPr>
          <w:rFonts w:cs="Arial"/>
          <w:szCs w:val="22"/>
        </w:rPr>
        <w:sectPr w:rsidR="001A2360" w:rsidSect="0085398A">
          <w:headerReference w:type="even" r:id="rId221"/>
          <w:headerReference w:type="default" r:id="rId222"/>
          <w:footerReference w:type="even" r:id="rId223"/>
          <w:footerReference w:type="default" r:id="rId224"/>
          <w:headerReference w:type="first" r:id="rId225"/>
          <w:footerReference w:type="first" r:id="rId226"/>
          <w:pgSz w:w="11906" w:h="16838"/>
          <w:pgMar w:top="1135" w:right="1418" w:bottom="1418" w:left="1418" w:header="709" w:footer="709" w:gutter="0"/>
          <w:cols w:space="708"/>
          <w:docGrid w:linePitch="360"/>
        </w:sectPr>
      </w:pPr>
    </w:p>
    <w:p w14:paraId="156DCC49" w14:textId="34FF887B" w:rsidR="00F12624" w:rsidRPr="001F0E92" w:rsidRDefault="00F12624" w:rsidP="00F12624">
      <w:pPr>
        <w:rPr>
          <w:rFonts w:cs="Arial"/>
          <w:szCs w:val="22"/>
        </w:rPr>
      </w:pPr>
    </w:p>
    <w:p w14:paraId="3042DB6C" w14:textId="742B9500" w:rsidR="00842050" w:rsidRPr="00CB093C" w:rsidRDefault="00824A7C" w:rsidP="00DD3376">
      <w:pPr>
        <w:pStyle w:val="Heading1"/>
        <w:numPr>
          <w:ilvl w:val="0"/>
          <w:numId w:val="6"/>
        </w:numPr>
      </w:pPr>
      <w:bookmarkStart w:id="862" w:name="_Ref511380752"/>
      <w:bookmarkStart w:id="863" w:name="_Toc37775134"/>
      <w:bookmarkStart w:id="864" w:name="_Toc43987117"/>
      <w:r w:rsidRPr="00CB093C">
        <w:t>Seagrass condition indicator guidelines</w:t>
      </w:r>
      <w:bookmarkEnd w:id="862"/>
      <w:bookmarkEnd w:id="863"/>
      <w:bookmarkEnd w:id="864"/>
    </w:p>
    <w:p w14:paraId="0FE87BFB" w14:textId="77777777" w:rsidR="00842050" w:rsidRPr="00CB093C" w:rsidRDefault="00842050" w:rsidP="00842050">
      <w:pPr>
        <w:rPr>
          <w:rFonts w:cs="Arial"/>
          <w:szCs w:val="22"/>
        </w:rPr>
      </w:pPr>
    </w:p>
    <w:p w14:paraId="64E8F312" w14:textId="77777777" w:rsidR="00842050" w:rsidRPr="00CB093C" w:rsidRDefault="00842050" w:rsidP="00842050">
      <w:pPr>
        <w:rPr>
          <w:rFonts w:cs="Arial"/>
          <w:szCs w:val="22"/>
        </w:rPr>
      </w:pPr>
    </w:p>
    <w:p w14:paraId="57C1DDCB" w14:textId="77777777" w:rsidR="00842050" w:rsidRPr="00CB093C" w:rsidRDefault="00842050" w:rsidP="00842050">
      <w:pPr>
        <w:rPr>
          <w:rFonts w:cs="Arial"/>
          <w:szCs w:val="22"/>
        </w:rPr>
      </w:pPr>
    </w:p>
    <w:p w14:paraId="43668FEF" w14:textId="77777777" w:rsidR="00842050" w:rsidRPr="00CB093C" w:rsidRDefault="00842050" w:rsidP="00842050">
      <w:pPr>
        <w:rPr>
          <w:rFonts w:cs="Arial"/>
          <w:szCs w:val="22"/>
        </w:rPr>
      </w:pPr>
    </w:p>
    <w:p w14:paraId="50AC9FD6" w14:textId="77777777" w:rsidR="00842050" w:rsidRPr="00CB093C" w:rsidRDefault="00842050" w:rsidP="00842050">
      <w:pPr>
        <w:rPr>
          <w:rFonts w:cs="Arial"/>
          <w:szCs w:val="22"/>
        </w:rPr>
      </w:pPr>
    </w:p>
    <w:p w14:paraId="097CB0AF" w14:textId="77777777" w:rsidR="000C731C" w:rsidRPr="00CB093C" w:rsidRDefault="00842050" w:rsidP="00842050">
      <w:pPr>
        <w:spacing w:before="60" w:after="60"/>
        <w:rPr>
          <w:rFonts w:cs="Arial"/>
          <w:szCs w:val="22"/>
        </w:rPr>
      </w:pPr>
      <w:r w:rsidRPr="00CB093C">
        <w:rPr>
          <w:rFonts w:cs="Arial"/>
          <w:color w:val="000000"/>
          <w:szCs w:val="22"/>
        </w:rPr>
        <w:br w:type="page"/>
      </w:r>
    </w:p>
    <w:p w14:paraId="7FB86A78" w14:textId="05F73E2A" w:rsidR="00FA17EB" w:rsidRPr="00CB093C" w:rsidRDefault="001A2360" w:rsidP="001A2360">
      <w:pPr>
        <w:pStyle w:val="Heading2"/>
        <w:numPr>
          <w:ilvl w:val="0"/>
          <w:numId w:val="0"/>
        </w:numPr>
      </w:pPr>
      <w:bookmarkStart w:id="865" w:name="_Ref511380813"/>
      <w:bookmarkStart w:id="866" w:name="_Toc37775135"/>
      <w:bookmarkStart w:id="867" w:name="_Toc43987118"/>
      <w:r>
        <w:lastRenderedPageBreak/>
        <w:t>A2.1</w:t>
      </w:r>
      <w:r>
        <w:tab/>
      </w:r>
      <w:r w:rsidR="00EC7975" w:rsidRPr="00CB093C">
        <w:t>Seagrass a</w:t>
      </w:r>
      <w:r w:rsidR="00FA17EB" w:rsidRPr="00CB093C">
        <w:t>bundance</w:t>
      </w:r>
      <w:bookmarkEnd w:id="865"/>
      <w:bookmarkEnd w:id="866"/>
      <w:bookmarkEnd w:id="867"/>
      <w:r w:rsidR="00EC7975" w:rsidRPr="00CB093C">
        <w:t xml:space="preserve"> </w:t>
      </w:r>
    </w:p>
    <w:p w14:paraId="0F96F112" w14:textId="5048BD1D" w:rsidR="00842050" w:rsidRPr="001F0E92" w:rsidRDefault="00842050" w:rsidP="009A7AB4">
      <w:pPr>
        <w:spacing w:before="240"/>
        <w:rPr>
          <w:rFonts w:cs="Arial"/>
          <w:color w:val="000000"/>
          <w:szCs w:val="22"/>
        </w:rPr>
      </w:pPr>
      <w:r w:rsidRPr="001F0E92">
        <w:rPr>
          <w:rFonts w:cs="Arial"/>
          <w:color w:val="000000"/>
          <w:szCs w:val="22"/>
        </w:rPr>
        <w:t>The status of seagrass abundance (</w:t>
      </w:r>
      <w:r w:rsidR="009A7AB4">
        <w:rPr>
          <w:rFonts w:cs="Arial"/>
          <w:color w:val="000000"/>
          <w:szCs w:val="22"/>
        </w:rPr>
        <w:t>per </w:t>
      </w:r>
      <w:r w:rsidR="007F7222">
        <w:rPr>
          <w:rFonts w:cs="Arial"/>
          <w:color w:val="000000"/>
          <w:szCs w:val="22"/>
        </w:rPr>
        <w:t>cent</w:t>
      </w:r>
      <w:r w:rsidRPr="001F0E92">
        <w:rPr>
          <w:rFonts w:cs="Arial"/>
          <w:color w:val="000000"/>
          <w:szCs w:val="22"/>
        </w:rPr>
        <w:t xml:space="preserve"> cover) was determined using the seagrass abundance guidelines developed by McKenzie (2009). The seagrass abundance measure in the MMP is the average </w:t>
      </w:r>
      <w:r w:rsidR="007F7222">
        <w:rPr>
          <w:rFonts w:cs="Arial"/>
          <w:color w:val="000000"/>
          <w:szCs w:val="22"/>
        </w:rPr>
        <w:t>per cent</w:t>
      </w:r>
      <w:r w:rsidRPr="001F0E92">
        <w:rPr>
          <w:rFonts w:cs="Arial"/>
          <w:color w:val="000000"/>
          <w:szCs w:val="22"/>
        </w:rPr>
        <w:t xml:space="preserve"> cover of seagrass per monitoring site. Individual site and subregional (habitat type within each NRM region) seagrass abundance guidelines were developed based on </w:t>
      </w:r>
      <w:r w:rsidR="007F7222">
        <w:rPr>
          <w:rFonts w:cs="Arial"/>
          <w:color w:val="000000"/>
          <w:szCs w:val="22"/>
        </w:rPr>
        <w:t>per cent</w:t>
      </w:r>
      <w:r w:rsidRPr="001F0E92">
        <w:rPr>
          <w:rFonts w:cs="Arial"/>
          <w:color w:val="000000"/>
          <w:szCs w:val="22"/>
        </w:rPr>
        <w:t xml:space="preserve"> cover data collected from individual sites and/or reference sites (</w:t>
      </w:r>
      <w:hyperlink w:anchor="_ENREF_99" w:tooltip="McKenzie, 2009 #9756" w:history="1">
        <w:r w:rsidR="009A7AB4" w:rsidRPr="001F0E92">
          <w:rPr>
            <w:rFonts w:cs="Arial"/>
            <w:color w:val="000000"/>
            <w:szCs w:val="22"/>
          </w:rPr>
          <w:fldChar w:fldCharType="begin"/>
        </w:r>
        <w:r w:rsidR="009A7AB4" w:rsidRPr="001F0E92">
          <w:rPr>
            <w:rFonts w:cs="Arial"/>
            <w:color w:val="000000"/>
            <w:szCs w:val="22"/>
          </w:rPr>
          <w:instrText xml:space="preserve"> ADDIN EN.CITE &lt;EndNote&gt;&lt;Cite&gt;&lt;Author&gt;McKenzie&lt;/Author&gt;&lt;Year&gt;2009&lt;/Year&gt;&lt;RecNum&gt;9756&lt;/RecNum&gt;&lt;DisplayText&gt;McKenzie 2009&lt;/DisplayText&gt;&lt;record&gt;&lt;rec-number&gt;9756&lt;/rec-number&gt;&lt;foreign-keys&gt;&lt;key app="EN" db-id="0eve55x9y5vfd6e9dacxtew4eatve2dzds9a" timestamp="1393312309"&gt;9756&lt;/key&gt;&lt;/foreign-keys&gt;&lt;ref-type name="Book Section"&gt;5&lt;/ref-type&gt;&lt;contributors&gt;&lt;authors&gt;&lt;author&gt;McKenzie, Len J&lt;/author&gt;&lt;/authors&gt;&lt;secondary-authors&gt;&lt;author&gt;McKenzie, Len J&lt;/author&gt;&lt;author&gt;Waycott, Michelle&lt;/author&gt;&lt;/secondary-authors&gt;&lt;/contributors&gt;&lt;titles&gt;&lt;title&gt;Observing change in seagrass habitats of the GBR– Seagrass-Watch monitoring: Deriving seagrass abundance indicators for regional habitat guidelines,&lt;/title&gt;&lt;secondary-title&gt;Marine and Tropical Sciences Research Facility Milestone and Progress Report #3, 2008-2009 (ARP 3) Project 1.1.3 Report 3, 11th June 2000.  http://rrrc.org.au/wp-content/uploads/2014/06/113-QDPIF-McKenzie-L-2009-June-Milestone-Report.pdf accessed 23 February 2017.&lt;/secondary-title&gt;&lt;/titles&gt;&lt;pages&gt;7-1&lt;/pages&gt;&lt;dates&gt;&lt;year&gt;2009&lt;/year&gt;&lt;/dates&gt;&lt;pub-location&gt;Cairns&lt;/pub-location&gt;&lt;publisher&gt;RRRC&lt;/publisher&gt;&lt;urls&gt;&lt;/urls&gt;&lt;/record&gt;&lt;/Cite&gt;&lt;/EndNote&gt;</w:instrText>
        </w:r>
        <w:r w:rsidR="009A7AB4" w:rsidRPr="001F0E92">
          <w:rPr>
            <w:rFonts w:cs="Arial"/>
            <w:color w:val="000000"/>
            <w:szCs w:val="22"/>
          </w:rPr>
          <w:fldChar w:fldCharType="separate"/>
        </w:r>
        <w:r w:rsidR="009A7AB4" w:rsidRPr="001F0E92">
          <w:rPr>
            <w:rFonts w:cs="Arial"/>
            <w:noProof/>
            <w:color w:val="000000"/>
            <w:szCs w:val="22"/>
          </w:rPr>
          <w:t>McKenzie 2009</w:t>
        </w:r>
        <w:r w:rsidR="009A7AB4" w:rsidRPr="001F0E92">
          <w:rPr>
            <w:rFonts w:cs="Arial"/>
            <w:color w:val="000000"/>
            <w:szCs w:val="22"/>
          </w:rPr>
          <w:fldChar w:fldCharType="end"/>
        </w:r>
      </w:hyperlink>
      <w:r w:rsidRPr="001F0E92">
        <w:rPr>
          <w:rFonts w:cs="Arial"/>
          <w:color w:val="000000"/>
          <w:szCs w:val="22"/>
        </w:rPr>
        <w:t>). Guidelines for individual sites were only applied if the conditions of the site aligned with reference site conditions.</w:t>
      </w:r>
    </w:p>
    <w:p w14:paraId="2CAAFC88" w14:textId="118BE57E" w:rsidR="00EC7975" w:rsidRPr="001F0E92" w:rsidRDefault="00EC7975" w:rsidP="00842050">
      <w:pPr>
        <w:rPr>
          <w:rFonts w:cs="Arial"/>
          <w:color w:val="000000"/>
          <w:szCs w:val="22"/>
        </w:rPr>
      </w:pPr>
      <w:r w:rsidRPr="001F0E92">
        <w:rPr>
          <w:rFonts w:cs="Arial"/>
          <w:color w:val="000000"/>
          <w:szCs w:val="22"/>
        </w:rPr>
        <w:t>A reference site is a site whose condition is considered to be a suitable baseline or benchmark for assessment and management of sites in similar habitats. Ideally, seagrass meadows in near pristine condition with a long-term abundance database would have priority as reference sites. However, as near-pristine meadows are not available, sites which have received less intense impacts can justifiably be used. In such situations, reference sites are those where the condition of the site has been subject to minimal/limited disturbance for 3-5 years. The duration of 3-5 years is based on recovery from impact times (</w:t>
      </w:r>
      <w:hyperlink w:anchor="_ENREF_19" w:tooltip="Campbell, 2004 #2838" w:history="1">
        <w:r w:rsidR="009A7AB4" w:rsidRPr="001F0E92">
          <w:rPr>
            <w:rFonts w:cs="Arial"/>
            <w:color w:val="000000"/>
            <w:szCs w:val="22"/>
          </w:rPr>
          <w:fldChar w:fldCharType="begin"/>
        </w:r>
        <w:r w:rsidR="009A7AB4" w:rsidRPr="001F0E92">
          <w:rPr>
            <w:rFonts w:cs="Arial"/>
            <w:color w:val="000000"/>
            <w:szCs w:val="22"/>
          </w:rPr>
          <w:instrText xml:space="preserve"> ADDIN EN.CITE &lt;EndNote&gt;&lt;Cite&gt;&lt;Author&gt;Campbell&lt;/Author&gt;&lt;Year&gt;2004&lt;/Year&gt;&lt;RecNum&gt;2838&lt;/RecNum&gt;&lt;DisplayText&gt;Campbell and McKenzie 2004&lt;/DisplayText&gt;&lt;record&gt;&lt;rec-number&gt;2838&lt;/rec-number&gt;&lt;foreign-keys&gt;&lt;key app="EN" db-id="0eve55x9y5vfd6e9dacxtew4eatve2dzds9a" timestamp="0"&gt;2838&lt;/key&gt;&lt;/foreign-keys&gt;&lt;ref-type name="Journal Article"&gt;17&lt;/ref-type&gt;&lt;contributors&gt;&lt;authors&gt;&lt;author&gt;Campbell, Stuart J.&lt;/author&gt;&lt;author&gt;McKenzie, Len J.&lt;/author&gt;&lt;/authors&gt;&lt;/contributors&gt;&lt;titles&gt;&lt;title&gt;Flood related loss and recovery of intertidal seagrass meadows in southern Queensland, Australia&lt;/title&gt;&lt;secondary-title&gt;Estuarine, Coastal and Shelf Science&lt;/secondary-title&gt;&lt;/titles&gt;&lt;periodical&gt;&lt;full-title&gt;Estuarine, Coastal and Shelf Science&lt;/full-title&gt;&lt;/periodical&gt;&lt;pages&gt;477-490&lt;/pages&gt;&lt;volume&gt;60&lt;/volume&gt;&lt;number&gt;3&lt;/number&gt;&lt;dates&gt;&lt;year&gt;2004&lt;/year&gt;&lt;pub-dates&gt;&lt;date&gt;2004/7&lt;/date&gt;&lt;/pub-dates&gt;&lt;/dates&gt;&lt;urls&gt;&lt;related-urls&gt;&lt;url&gt;http://www.sciencedirect.com/science/article/B6WDV-4C4BJR5-5/2/154810987202fc6d27ba6fa35c07f197&lt;/url&gt;&lt;/related-urls&gt;&lt;/urls&gt;&lt;/record&gt;&lt;/Cite&gt;&lt;/EndNote&gt;</w:instrText>
        </w:r>
        <w:r w:rsidR="009A7AB4" w:rsidRPr="001F0E92">
          <w:rPr>
            <w:rFonts w:cs="Arial"/>
            <w:color w:val="000000"/>
            <w:szCs w:val="22"/>
          </w:rPr>
          <w:fldChar w:fldCharType="separate"/>
        </w:r>
        <w:r w:rsidR="009A7AB4" w:rsidRPr="001F0E92">
          <w:rPr>
            <w:rFonts w:cs="Arial"/>
            <w:noProof/>
            <w:color w:val="000000"/>
            <w:szCs w:val="22"/>
          </w:rPr>
          <w:t>Campbell and McKenzie 2004</w:t>
        </w:r>
        <w:r w:rsidR="009A7AB4" w:rsidRPr="001F0E92">
          <w:rPr>
            <w:rFonts w:cs="Arial"/>
            <w:color w:val="000000"/>
            <w:szCs w:val="22"/>
          </w:rPr>
          <w:fldChar w:fldCharType="end"/>
        </w:r>
      </w:hyperlink>
      <w:r w:rsidRPr="001F0E92">
        <w:rPr>
          <w:rFonts w:cs="Arial"/>
          <w:color w:val="000000"/>
          <w:szCs w:val="22"/>
        </w:rPr>
        <w:t xml:space="preserve">). </w:t>
      </w:r>
    </w:p>
    <w:p w14:paraId="36A6C1B4" w14:textId="115B827E" w:rsidR="00EC7975" w:rsidRPr="001F0E92" w:rsidRDefault="00036CBF" w:rsidP="00EC7975">
      <w:pPr>
        <w:rPr>
          <w:rFonts w:cs="Arial"/>
          <w:color w:val="000000"/>
          <w:szCs w:val="22"/>
        </w:rPr>
      </w:pPr>
      <w:r w:rsidRPr="001F0E92">
        <w:rPr>
          <w:rFonts w:cs="Arial"/>
          <w:color w:val="000000"/>
          <w:szCs w:val="22"/>
        </w:rPr>
        <w:t>There is n</w:t>
      </w:r>
      <w:r w:rsidR="00EC7975" w:rsidRPr="001F0E92">
        <w:rPr>
          <w:rFonts w:cs="Arial"/>
          <w:color w:val="000000"/>
          <w:szCs w:val="22"/>
        </w:rPr>
        <w:t xml:space="preserve">o </w:t>
      </w:r>
      <w:r w:rsidRPr="001F0E92">
        <w:rPr>
          <w:rFonts w:cs="Arial"/>
          <w:color w:val="000000"/>
          <w:szCs w:val="22"/>
        </w:rPr>
        <w:t>set/established</w:t>
      </w:r>
      <w:r w:rsidR="00EC7975" w:rsidRPr="001F0E92">
        <w:rPr>
          <w:rFonts w:cs="Arial"/>
          <w:color w:val="000000"/>
          <w:szCs w:val="22"/>
        </w:rPr>
        <w:t xml:space="preserve"> protocol for the selection of reference sites and the process is ultimately iterative. The criteria for defining a minimally/least disturbed seagrass reference site is based on </w:t>
      </w:r>
      <w:hyperlink w:anchor="_ENREF_119" w:tooltip="Monitoring River Health Initiative, 1994 #9713" w:history="1">
        <w:r w:rsidR="009A7AB4" w:rsidRPr="001F0E92">
          <w:rPr>
            <w:rFonts w:cs="Arial"/>
            <w:color w:val="000000"/>
            <w:szCs w:val="22"/>
          </w:rPr>
          <w:fldChar w:fldCharType="begin"/>
        </w:r>
        <w:r w:rsidR="009A7AB4">
          <w:rPr>
            <w:rFonts w:cs="Arial"/>
            <w:color w:val="000000"/>
            <w:szCs w:val="22"/>
          </w:rPr>
          <w:instrText xml:space="preserve"> ADDIN EN.CITE &lt;EndNote&gt;&lt;Cite ExcludeYear="1"&gt;&lt;Author&gt;Monitoring River Health Initiative&lt;/Author&gt;&lt;Year&gt;1994&lt;/Year&gt;&lt;RecNum&gt;9713&lt;/RecNum&gt;&lt;DisplayText&gt;Monitoring River Health Initiative &lt;/DisplayText&gt;&lt;record&gt;&lt;rec-number&gt;9713&lt;/rec-number&gt;&lt;foreign-keys&gt;&lt;key app="EN" db-id="0eve55x9y5vfd6e9dacxtew4eatve2dzds9a" timestamp="1393200377"&gt;9713&lt;/key&gt;&lt;/foreign-keys&gt;&lt;ref-type name="Book"&gt;6&lt;/ref-type&gt;&lt;contributors&gt;&lt;authors&gt;&lt;author&gt;Monitoring River Health Initiative,&lt;/author&gt;&lt;/authors&gt;&lt;/contributors&gt;&lt;titles&gt;&lt;title&gt;River Bioassessment Manual, National River Processes and Management Program, Tasmania. http://www.environment.gov.au/water/publications/environmental/rivers/nrhp/bioassess.html, accessed 10 February 2014.&lt;/title&gt;&lt;/titles&gt;&lt;pages&gt;44&lt;/pages&gt;&lt;dates&gt;&lt;year&gt;1994&lt;/year&gt;&lt;/dates&gt;&lt;urls&gt;&lt;/urls&gt;&lt;/record&gt;&lt;/Cite&gt;&lt;/EndNote&gt;</w:instrText>
        </w:r>
        <w:r w:rsidR="009A7AB4" w:rsidRPr="001F0E92">
          <w:rPr>
            <w:rFonts w:cs="Arial"/>
            <w:color w:val="000000"/>
            <w:szCs w:val="22"/>
          </w:rPr>
          <w:fldChar w:fldCharType="separate"/>
        </w:r>
        <w:r w:rsidR="009A7AB4">
          <w:rPr>
            <w:rFonts w:cs="Arial"/>
            <w:noProof/>
            <w:color w:val="000000"/>
            <w:szCs w:val="22"/>
          </w:rPr>
          <w:t xml:space="preserve">Monitoring River Health Initiative </w:t>
        </w:r>
        <w:r w:rsidR="009A7AB4" w:rsidRPr="001F0E92">
          <w:rPr>
            <w:rFonts w:cs="Arial"/>
            <w:color w:val="000000"/>
            <w:szCs w:val="22"/>
          </w:rPr>
          <w:fldChar w:fldCharType="end"/>
        </w:r>
      </w:hyperlink>
      <w:r w:rsidR="00EC7975" w:rsidRPr="001F0E92">
        <w:rPr>
          <w:rFonts w:cs="Arial"/>
          <w:color w:val="000000"/>
          <w:szCs w:val="22"/>
        </w:rPr>
        <w:t xml:space="preserve"> </w:t>
      </w:r>
      <w:r w:rsidR="004D3B11">
        <w:rPr>
          <w:rFonts w:cs="Arial"/>
          <w:color w:val="000000"/>
          <w:szCs w:val="22"/>
        </w:rPr>
        <w:t>(</w:t>
      </w:r>
      <w:hyperlink w:anchor="_ENREF_119" w:tooltip="Monitoring River Health Initiative, 1994 #9713" w:history="1">
        <w:r w:rsidR="009A7AB4" w:rsidRPr="001F0E92">
          <w:rPr>
            <w:rFonts w:cs="Arial"/>
            <w:color w:val="000000"/>
            <w:szCs w:val="22"/>
          </w:rPr>
          <w:fldChar w:fldCharType="begin"/>
        </w:r>
        <w:r w:rsidR="009A7AB4">
          <w:rPr>
            <w:rFonts w:cs="Arial"/>
            <w:color w:val="000000"/>
            <w:szCs w:val="22"/>
          </w:rPr>
          <w:instrText xml:space="preserve"> ADDIN EN.CITE &lt;EndNote&gt;&lt;Cite ExcludeAuth="1"&gt;&lt;Author&gt;Monitoring River Health Initiative&lt;/Author&gt;&lt;Year&gt;1994&lt;/Year&gt;&lt;RecNum&gt;9713&lt;/RecNum&gt;&lt;DisplayText&gt;1994&lt;/DisplayText&gt;&lt;record&gt;&lt;rec-number&gt;9713&lt;/rec-number&gt;&lt;foreign-keys&gt;&lt;key app="EN" db-id="0eve55x9y5vfd6e9dacxtew4eatve2dzds9a" timestamp="1393200377"&gt;9713&lt;/key&gt;&lt;/foreign-keys&gt;&lt;ref-type name="Book"&gt;6&lt;/ref-type&gt;&lt;contributors&gt;&lt;authors&gt;&lt;author&gt;Monitoring River Health Initiative,&lt;/author&gt;&lt;/authors&gt;&lt;/contributors&gt;&lt;titles&gt;&lt;title&gt;River Bioassessment Manual, National River Processes and Management Program, Tasmania. http://www.environment.gov.au/water/publications/environmental/rivers/nrhp/bioassess.html, accessed 10 February 2014.&lt;/title&gt;&lt;/titles&gt;&lt;pages&gt;44&lt;/pages&gt;&lt;dates&gt;&lt;year&gt;1994&lt;/year&gt;&lt;/dates&gt;&lt;urls&gt;&lt;/urls&gt;&lt;/record&gt;&lt;/Cite&gt;&lt;/EndNote&gt;</w:instrText>
        </w:r>
        <w:r w:rsidR="009A7AB4" w:rsidRPr="001F0E92">
          <w:rPr>
            <w:rFonts w:cs="Arial"/>
            <w:color w:val="000000"/>
            <w:szCs w:val="22"/>
          </w:rPr>
          <w:fldChar w:fldCharType="separate"/>
        </w:r>
        <w:r w:rsidR="009A7AB4">
          <w:rPr>
            <w:rFonts w:cs="Arial"/>
            <w:noProof/>
            <w:color w:val="000000"/>
            <w:szCs w:val="22"/>
          </w:rPr>
          <w:t>1994</w:t>
        </w:r>
        <w:r w:rsidR="009A7AB4" w:rsidRPr="001F0E92">
          <w:rPr>
            <w:rFonts w:cs="Arial"/>
            <w:color w:val="000000"/>
            <w:szCs w:val="22"/>
          </w:rPr>
          <w:fldChar w:fldCharType="end"/>
        </w:r>
      </w:hyperlink>
      <w:r w:rsidR="004D3B11">
        <w:rPr>
          <w:rFonts w:cs="Arial"/>
          <w:color w:val="000000"/>
          <w:szCs w:val="22"/>
        </w:rPr>
        <w:t xml:space="preserve">) </w:t>
      </w:r>
      <w:r w:rsidR="00EC7975" w:rsidRPr="001F0E92">
        <w:rPr>
          <w:rFonts w:cs="Arial"/>
          <w:color w:val="000000"/>
          <w:szCs w:val="22"/>
        </w:rPr>
        <w:t>and includes some or all of the following:</w:t>
      </w:r>
    </w:p>
    <w:p w14:paraId="3661D721" w14:textId="65908936"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t>beyond 10</w:t>
      </w:r>
      <w:r w:rsidR="00C215FC" w:rsidRPr="001F0E92">
        <w:rPr>
          <w:rFonts w:cs="Arial"/>
          <w:color w:val="000000"/>
          <w:szCs w:val="22"/>
        </w:rPr>
        <w:t xml:space="preserve"> </w:t>
      </w:r>
      <w:r w:rsidRPr="001F0E92">
        <w:rPr>
          <w:rFonts w:cs="Arial"/>
          <w:color w:val="000000"/>
          <w:szCs w:val="22"/>
        </w:rPr>
        <w:t>km of a major river: as most suspended solids and particulate nutrients are deposited within a few kilometres of river mouths (</w:t>
      </w:r>
      <w:r w:rsidR="00644A84" w:rsidRPr="001F0E92">
        <w:rPr>
          <w:rFonts w:cs="Arial"/>
          <w:color w:val="000000"/>
          <w:szCs w:val="22"/>
        </w:rPr>
        <w:fldChar w:fldCharType="begin">
          <w:fldData xml:space="preserve">PEVuZE5vdGU+PENpdGU+PEF1dGhvcj5NY0N1bGxvY2g8L0F1dGhvcj48WWVhcj4yMDAzPC9ZZWFy
PjxSZWNOdW0+OTA0MzwvUmVjTnVtPjxEaXNwbGF5VGV4dD5NY0N1bGxvY2g8c3R5bGUgZmFjZT0i
aXRhbGljIj4gZXQgYWwuPC9zdHlsZT4gMjAwMzsgV2Vic3RlciBhbmQgRm9yZCAyMDEwOyBCYWlu
YnJpZGdlPHN0eWxlIGZhY2U9Iml0YWxpYyI+IGV0IGFsLjwvc3R5bGU+IDIwMTI7IEJyb2RpZTxz
dHlsZSBmYWNlPSJpdGFsaWMiPiBldCBhbC48L3N0eWxlPiAyMDEyPC9EaXNwbGF5VGV4dD48cmVj
b3JkPjxyZWMtbnVtYmVyPjkwNDM8L3JlYy1udW1iZXI+PGZvcmVpZ24ta2V5cz48a2V5IGFwcD0i
RU4iIGRiLWlkPSIwZXZlNTV4OXk1dmZkNmU5ZGFjeHRldzRlYXR2ZTJkemRzOWEiIHRpbWVzdGFt
cD0iMCI+OTA0Mzwva2V5PjwvZm9yZWlnbi1rZXlzPjxyZWYtdHlwZSBuYW1lPSJKb3VybmFsIEFy
dGljbGUiPjE3PC9yZWYtdHlwZT48Y29udHJpYnV0b3JzPjxhdXRob3JzPjxhdXRob3I+TWNDdWxs
b2NoLCBNYWxjb2xtPC9hdXRob3I+PGF1dGhvcj5QYWlsbGVzLCBDaHJpc3RpbmU8L2F1dGhvcj48
YXV0aG9yPk1vb2R5LCBQaGlsaXA8L2F1dGhvcj48YXV0aG9yPk1hcnRpbiwgQ2FuZGFjZSBFLjwv
YXV0aG9yPjwvYXV0aG9ycz48L2NvbnRyaWJ1dG9ycz48dGl0bGVzPjx0aXRsZT5UcmFjaW5nIHRo
ZSBzb3VyY2Ugb2Ygc2VkaW1lbnQgYW5kIHBob3NwaG9ydXMgaW50byB0aGUgR3JlYXQgQmFycmll
ciBSZWVmIGxhZ29vbjwvdGl0bGU+PHNlY29uZGFyeS10aXRsZT5FYXJ0aCBhbmQgUGxhbmV0YXJ5
IFNjaWVuY2UgTGV0dGVyczwvc2Vjb25kYXJ5LXRpdGxlPjwvdGl0bGVzPjxwZXJpb2RpY2FsPjxm
dWxsLXRpdGxlPkVhcnRoIGFuZCBQbGFuZXRhcnkgU2NpZW5jZSBMZXR0ZXJzPC9mdWxsLXRpdGxl
PjwvcGVyaW9kaWNhbD48cGFnZXM+MjQ5LTI1ODwvcGFnZXM+PHZvbHVtZT4yMTA8L3ZvbHVtZT48
ZGF0ZXM+PHllYXI+MjAwMzwveWVhcj48L2RhdGVzPjx1cmxzPjwvdXJscz48L3JlY29yZD48L0Np
dGU+PENpdGU+PEF1dGhvcj5Ccm9kaWU8L0F1dGhvcj48WWVhcj4yMDEyPC9ZZWFyPjxSZWNOdW0+
OTMxOTwvUmVjTnVtPjxyZWNvcmQ+PHJlYy1udW1iZXI+OTMxOTwvcmVjLW51bWJlcj48Zm9yZWln
bi1rZXlzPjxrZXkgYXBwPSJFTiIgZGItaWQ9IjBldmU1NXg5eTV2ZmQ2ZTlkYWN4dGV3NGVhdHZl
MmR6ZHM5YSIgdGltZXN0YW1wPSIxMzc1MDA1MDg3Ij45MzE5PC9rZXk+PC9mb3JlaWduLWtleXM+
PHJlZi10eXBlIG5hbWU9IkpvdXJuYWwgQXJ0aWNsZSI+MTc8L3JlZi10eXBlPjxjb250cmlidXRv
cnM+PGF1dGhvcnM+PGF1dGhvcj5Ccm9kaWUsIEouIEUuPC9hdXRob3I+PGF1dGhvcj5Lcm9vbiwg
Ri4gSi48L2F1dGhvcj48YXV0aG9yPlNjaGFmZmVsa2UsIEIuPC9hdXRob3I+PGF1dGhvcj5Xb2xh
bnNraSwgRS4gQy48L2F1dGhvcj48YXV0aG9yPkxld2lzLCBTLiBFLjwvYXV0aG9yPjxhdXRob3I+
RGV2bGluLCBNLiBKLjwvYXV0aG9yPjxhdXRob3I+Qm9obmV0LCBJLiBDLjwvYXV0aG9yPjxhdXRo
b3I+QmFpbmJyaWRnZSwgWi4gVC48L2F1dGhvcj48YXV0aG9yPldhdGVyaG91c2UsIEouPC9hdXRo
b3I+PGF1dGhvcj5EYXZpcywgQS4gTS48L2F1dGhvcj48L2F1dGhvcnM+PC9jb250cmlidXRvcnM+
PHRpdGxlcz48dGl0bGU+VGVycmVzdHJpYWwgcG9sbHV0YW50IHJ1bm9mZiB0byB0aGUgR3JlYXQg
QmFycmllciBSZWVmOiBBbiB1cGRhdGUgb2YgaXNzdWVzLCBwcmlvcml0aWVzIGFuZCBtYW5hZ2Vt
ZW50IHJlc3BvbnNlczwvdGl0bGU+PHNlY29uZGFyeS10aXRsZT5NYXJpbmUgUG9sbHV0aW9uIEJ1
bGxldGluPC9zZWNvbmRhcnktdGl0bGU+PC90aXRsZXM+PHBlcmlvZGljYWw+PGZ1bGwtdGl0bGU+
TWFyaW5lIFBvbGx1dGlvbiBCdWxsZXRpbjwvZnVsbC10aXRsZT48L3BlcmlvZGljYWw+PHBhZ2Vz
PjgxLTEwMDwvcGFnZXM+PHZvbHVtZT42NTwvdm9sdW1lPjxudW1iZXI+NOKAkzk8L251bWJlcj48
a2V5d29yZHM+PGtleXdvcmQ+Q2F0Y2htZW50IG1hbmFnZW1lbnQ8L2tleXdvcmQ+PGtleXdvcmQ+
V2F0ZXIgcXVhbGl0eTwva2V5d29yZD48a2V5d29yZD5MYW5kLWRlcml2ZWQgcG9sbHV0aW9uPC9r
ZXl3b3JkPjxrZXl3b3JkPlNlZGltZW50czwva2V5d29yZD48a2V5d29yZD5OdXRyaWVudHM8L2tl
eXdvcmQ+PGtleXdvcmQ+UGVzdGljaWRlczwva2V5d29yZD48L2tleXdvcmRzPjxkYXRlcz48eWVh
cj4yMDEyPC95ZWFyPjwvZGF0ZXM+PGlzYm4+MDAyNS0zMjZYPC9pc2JuPjx1cmxzPjxyZWxhdGVk
LXVybHM+PHVybD5odHRwOi8vd3d3LnNjaWVuY2VkaXJlY3QuY29tL3NjaWVuY2UvYXJ0aWNsZS9w
aWkvUzAwMjUzMjZYMTEwMDY1MDM8L3VybD48L3JlbGF0ZWQtdXJscz48L3VybHM+PC9yZWNvcmQ+
PC9DaXRlPjxDaXRlPjxBdXRob3I+V2Vic3RlcjwvQXV0aG9yPjxZZWFyPjIwMTA8L1llYXI+PFJl
Y051bT45Nzc1PC9SZWNOdW0+PHJlY29yZD48cmVjLW51bWJlcj45Nzc1PC9yZWMtbnVtYmVyPjxm
b3JlaWduLWtleXM+PGtleSBhcHA9IkVOIiBkYi1pZD0iMGV2ZTU1eDl5NXZmZDZlOWRhY3h0ZXc0
ZWF0dmUyZHpkczlhIiB0aW1lc3RhbXA9IjEzOTQzMTIzNjMiPjk3NzU8L2tleT48L2ZvcmVpZ24t
a2V5cz48cmVmLXR5cGUgbmFtZT0iSm91cm5hbCBBcnRpY2xlIj4xNzwvcmVmLXR5cGU+PGNvbnRy
aWJ1dG9ycz48YXV0aG9ycz48YXV0aG9yPldlYnN0ZXIsIElUPC9hdXRob3I+PGF1dGhvcj5Gb3Jk
LCBQVzwvYXV0aG9yPjwvYXV0aG9ycz48L2NvbnRyaWJ1dG9ycz48dGl0bGVzPjx0aXRsZT5EZWxp
dmVyeSwgZGVwb3NpdGlvbiBhbmQgcmVkaXN0cmlidXRpb24gb2YgZmluZSBzZWRpbWVudHMgd2l0
aGluIG1hY3JvdGlkYWwgRml0enJveSBFc3R1YXJ5L0tlcHBlbCBCYXk6IHNvdXRoZXJuIEdyZWF0
IEJhcnJpZXIgUmVlZiwgQXVzdHJhbGlhPC90aXRsZT48c2Vjb25kYXJ5LXRpdGxlPkNvbnRpbmVu
dGFsIFNoZWxmIFJlc2VhcmNoPC9zZWNvbmRhcnktdGl0bGU+PC90aXRsZXM+PHBlcmlvZGljYWw+
PGZ1bGwtdGl0bGU+Q29udGluZW50YWwgU2hlbGYgUmVzZWFyY2g8L2Z1bGwtdGl0bGU+PC9wZXJp
b2RpY2FsPjxwYWdlcz43OTPigJM4MDU8L3BhZ2VzPjx2b2x1bWU+MzA8L3ZvbHVtZT48ZGF0ZXM+
PHllYXI+MjAxMDwveWVhcj48L2RhdGVzPjx1cmxzPjwvdXJscz48L3JlY29yZD48L0NpdGU+PENp
dGU+PEF1dGhvcj5CYWluYnJpZGdlPC9BdXRob3I+PFllYXI+MjAxMjwvWWVhcj48UmVjTnVtPjk3
NzY8L1JlY051bT48cmVjb3JkPjxyZWMtbnVtYmVyPjk3NzY8L3JlYy1udW1iZXI+PGZvcmVpZ24t
a2V5cz48a2V5IGFwcD0iRU4iIGRiLWlkPSIwZXZlNTV4OXk1dmZkNmU5ZGFjeHRldzRlYXR2ZTJk
emRzOWEiIHRpbWVzdGFtcD0iMTM5NDMxMjY3NCI+OTc3Njwva2V5PjwvZm9yZWlnbi1rZXlzPjxy
ZWYtdHlwZSBuYW1lPSJKb3VybmFsIEFydGljbGUiPjE3PC9yZWYtdHlwZT48Y29udHJpYnV0b3Jz
PjxhdXRob3JzPjxhdXRob3I+QmFpbmJyaWRnZSwgWjwvYXV0aG9yPjxhdXRob3I+V29sYW5za2ks
IEU8L2F1dGhvcj48YXV0aG9yPkxld2lzLCBTPC9hdXRob3I+PGF1dGhvcj5Ccm9kaWUsIEo8L2F1
dGhvcj48L2F1dGhvcnM+PC9jb250cmlidXRvcnM+PHRpdGxlcz48dGl0bGU+RmluZSBzZWRpbWVu
dCBhbmQgbnV0cmllbnQgZHluYW1pY3MgcmVsYXRlZCB0byBwYXJ0aWNsZSBzaXplIGFuZCBmbG9j
IGZvcm1hdGlvbiBpbiBhIEJ1cmRla2luIFJpdmVyIGZsb29kIHBsdW1lLCBBdXN0cmFsaWE8L3Rp
dGxlPjxzZWNvbmRhcnktdGl0bGU+TWFyaW5lIFBvbGx1dGlvbiBCdWxsZXRpbjwvc2Vjb25kYXJ5
LXRpdGxlPjwvdGl0bGVzPjxwZXJpb2RpY2FsPjxmdWxsLXRpdGxlPk1hcmluZSBQb2xsdXRpb24g
QnVsbGV0aW48L2Z1bGwtdGl0bGU+PC9wZXJpb2RpY2FsPjxwYWdlcz4yMzYtMjQ4PC9wYWdlcz48
dm9sdW1lPjY1PC92b2x1bWU+PGRhdGVzPjx5ZWFyPjIwMTI8L3llYXI+PC9kYXRlcz48dXJscz48
L3VybHM+PC9yZWNvcmQ+PC9DaXRlPjwvRW5kTm90ZT5=
</w:fldData>
        </w:fldChar>
      </w:r>
      <w:r w:rsidR="005B0C7C" w:rsidRPr="001F0E92">
        <w:rPr>
          <w:rFonts w:cs="Arial"/>
          <w:color w:val="000000"/>
          <w:szCs w:val="22"/>
        </w:rPr>
        <w:instrText xml:space="preserve"> ADDIN EN.CITE </w:instrText>
      </w:r>
      <w:r w:rsidR="005B0C7C" w:rsidRPr="001F0E92">
        <w:rPr>
          <w:rFonts w:cs="Arial"/>
          <w:color w:val="000000"/>
          <w:szCs w:val="22"/>
        </w:rPr>
        <w:fldChar w:fldCharType="begin">
          <w:fldData xml:space="preserve">PEVuZE5vdGU+PENpdGU+PEF1dGhvcj5NY0N1bGxvY2g8L0F1dGhvcj48WWVhcj4yMDAzPC9ZZWFy
PjxSZWNOdW0+OTA0MzwvUmVjTnVtPjxEaXNwbGF5VGV4dD5NY0N1bGxvY2g8c3R5bGUgZmFjZT0i
aXRhbGljIj4gZXQgYWwuPC9zdHlsZT4gMjAwMzsgV2Vic3RlciBhbmQgRm9yZCAyMDEwOyBCYWlu
YnJpZGdlPHN0eWxlIGZhY2U9Iml0YWxpYyI+IGV0IGFsLjwvc3R5bGU+IDIwMTI7IEJyb2RpZTxz
dHlsZSBmYWNlPSJpdGFsaWMiPiBldCBhbC48L3N0eWxlPiAyMDEyPC9EaXNwbGF5VGV4dD48cmVj
b3JkPjxyZWMtbnVtYmVyPjkwNDM8L3JlYy1udW1iZXI+PGZvcmVpZ24ta2V5cz48a2V5IGFwcD0i
RU4iIGRiLWlkPSIwZXZlNTV4OXk1dmZkNmU5ZGFjeHRldzRlYXR2ZTJkemRzOWEiIHRpbWVzdGFt
cD0iMCI+OTA0Mzwva2V5PjwvZm9yZWlnbi1rZXlzPjxyZWYtdHlwZSBuYW1lPSJKb3VybmFsIEFy
dGljbGUiPjE3PC9yZWYtdHlwZT48Y29udHJpYnV0b3JzPjxhdXRob3JzPjxhdXRob3I+TWNDdWxs
b2NoLCBNYWxjb2xtPC9hdXRob3I+PGF1dGhvcj5QYWlsbGVzLCBDaHJpc3RpbmU8L2F1dGhvcj48
YXV0aG9yPk1vb2R5LCBQaGlsaXA8L2F1dGhvcj48YXV0aG9yPk1hcnRpbiwgQ2FuZGFjZSBFLjwv
YXV0aG9yPjwvYXV0aG9ycz48L2NvbnRyaWJ1dG9ycz48dGl0bGVzPjx0aXRsZT5UcmFjaW5nIHRo
ZSBzb3VyY2Ugb2Ygc2VkaW1lbnQgYW5kIHBob3NwaG9ydXMgaW50byB0aGUgR3JlYXQgQmFycmll
ciBSZWVmIGxhZ29vbjwvdGl0bGU+PHNlY29uZGFyeS10aXRsZT5FYXJ0aCBhbmQgUGxhbmV0YXJ5
IFNjaWVuY2UgTGV0dGVyczwvc2Vjb25kYXJ5LXRpdGxlPjwvdGl0bGVzPjxwZXJpb2RpY2FsPjxm
dWxsLXRpdGxlPkVhcnRoIGFuZCBQbGFuZXRhcnkgU2NpZW5jZSBMZXR0ZXJzPC9mdWxsLXRpdGxl
PjwvcGVyaW9kaWNhbD48cGFnZXM+MjQ5LTI1ODwvcGFnZXM+PHZvbHVtZT4yMTA8L3ZvbHVtZT48
ZGF0ZXM+PHllYXI+MjAwMzwveWVhcj48L2RhdGVzPjx1cmxzPjwvdXJscz48L3JlY29yZD48L0Np
dGU+PENpdGU+PEF1dGhvcj5Ccm9kaWU8L0F1dGhvcj48WWVhcj4yMDEyPC9ZZWFyPjxSZWNOdW0+
OTMxOTwvUmVjTnVtPjxyZWNvcmQ+PHJlYy1udW1iZXI+OTMxOTwvcmVjLW51bWJlcj48Zm9yZWln
bi1rZXlzPjxrZXkgYXBwPSJFTiIgZGItaWQ9IjBldmU1NXg5eTV2ZmQ2ZTlkYWN4dGV3NGVhdHZl
MmR6ZHM5YSIgdGltZXN0YW1wPSIxMzc1MDA1MDg3Ij45MzE5PC9rZXk+PC9mb3JlaWduLWtleXM+
PHJlZi10eXBlIG5hbWU9IkpvdXJuYWwgQXJ0aWNsZSI+MTc8L3JlZi10eXBlPjxjb250cmlidXRv
cnM+PGF1dGhvcnM+PGF1dGhvcj5Ccm9kaWUsIEouIEUuPC9hdXRob3I+PGF1dGhvcj5Lcm9vbiwg
Ri4gSi48L2F1dGhvcj48YXV0aG9yPlNjaGFmZmVsa2UsIEIuPC9hdXRob3I+PGF1dGhvcj5Xb2xh
bnNraSwgRS4gQy48L2F1dGhvcj48YXV0aG9yPkxld2lzLCBTLiBFLjwvYXV0aG9yPjxhdXRob3I+
RGV2bGluLCBNLiBKLjwvYXV0aG9yPjxhdXRob3I+Qm9obmV0LCBJLiBDLjwvYXV0aG9yPjxhdXRo
b3I+QmFpbmJyaWRnZSwgWi4gVC48L2F1dGhvcj48YXV0aG9yPldhdGVyaG91c2UsIEouPC9hdXRo
b3I+PGF1dGhvcj5EYXZpcywgQS4gTS48L2F1dGhvcj48L2F1dGhvcnM+PC9jb250cmlidXRvcnM+
PHRpdGxlcz48dGl0bGU+VGVycmVzdHJpYWwgcG9sbHV0YW50IHJ1bm9mZiB0byB0aGUgR3JlYXQg
QmFycmllciBSZWVmOiBBbiB1cGRhdGUgb2YgaXNzdWVzLCBwcmlvcml0aWVzIGFuZCBtYW5hZ2Vt
ZW50IHJlc3BvbnNlczwvdGl0bGU+PHNlY29uZGFyeS10aXRsZT5NYXJpbmUgUG9sbHV0aW9uIEJ1
bGxldGluPC9zZWNvbmRhcnktdGl0bGU+PC90aXRsZXM+PHBlcmlvZGljYWw+PGZ1bGwtdGl0bGU+
TWFyaW5lIFBvbGx1dGlvbiBCdWxsZXRpbjwvZnVsbC10aXRsZT48L3BlcmlvZGljYWw+PHBhZ2Vz
PjgxLTEwMDwvcGFnZXM+PHZvbHVtZT42NTwvdm9sdW1lPjxudW1iZXI+NOKAkzk8L251bWJlcj48
a2V5d29yZHM+PGtleXdvcmQ+Q2F0Y2htZW50IG1hbmFnZW1lbnQ8L2tleXdvcmQ+PGtleXdvcmQ+
V2F0ZXIgcXVhbGl0eTwva2V5d29yZD48a2V5d29yZD5MYW5kLWRlcml2ZWQgcG9sbHV0aW9uPC9r
ZXl3b3JkPjxrZXl3b3JkPlNlZGltZW50czwva2V5d29yZD48a2V5d29yZD5OdXRyaWVudHM8L2tl
eXdvcmQ+PGtleXdvcmQ+UGVzdGljaWRlczwva2V5d29yZD48L2tleXdvcmRzPjxkYXRlcz48eWVh
cj4yMDEyPC95ZWFyPjwvZGF0ZXM+PGlzYm4+MDAyNS0zMjZYPC9pc2JuPjx1cmxzPjxyZWxhdGVk
LXVybHM+PHVybD5odHRwOi8vd3d3LnNjaWVuY2VkaXJlY3QuY29tL3NjaWVuY2UvYXJ0aWNsZS9w
aWkvUzAwMjUzMjZYMTEwMDY1MDM8L3VybD48L3JlbGF0ZWQtdXJscz48L3VybHM+PC9yZWNvcmQ+
PC9DaXRlPjxDaXRlPjxBdXRob3I+V2Vic3RlcjwvQXV0aG9yPjxZZWFyPjIwMTA8L1llYXI+PFJl
Y051bT45Nzc1PC9SZWNOdW0+PHJlY29yZD48cmVjLW51bWJlcj45Nzc1PC9yZWMtbnVtYmVyPjxm
b3JlaWduLWtleXM+PGtleSBhcHA9IkVOIiBkYi1pZD0iMGV2ZTU1eDl5NXZmZDZlOWRhY3h0ZXc0
ZWF0dmUyZHpkczlhIiB0aW1lc3RhbXA9IjEzOTQzMTIzNjMiPjk3NzU8L2tleT48L2ZvcmVpZ24t
a2V5cz48cmVmLXR5cGUgbmFtZT0iSm91cm5hbCBBcnRpY2xlIj4xNzwvcmVmLXR5cGU+PGNvbnRy
aWJ1dG9ycz48YXV0aG9ycz48YXV0aG9yPldlYnN0ZXIsIElUPC9hdXRob3I+PGF1dGhvcj5Gb3Jk
LCBQVzwvYXV0aG9yPjwvYXV0aG9ycz48L2NvbnRyaWJ1dG9ycz48dGl0bGVzPjx0aXRsZT5EZWxp
dmVyeSwgZGVwb3NpdGlvbiBhbmQgcmVkaXN0cmlidXRpb24gb2YgZmluZSBzZWRpbWVudHMgd2l0
aGluIG1hY3JvdGlkYWwgRml0enJveSBFc3R1YXJ5L0tlcHBlbCBCYXk6IHNvdXRoZXJuIEdyZWF0
IEJhcnJpZXIgUmVlZiwgQXVzdHJhbGlhPC90aXRsZT48c2Vjb25kYXJ5LXRpdGxlPkNvbnRpbmVu
dGFsIFNoZWxmIFJlc2VhcmNoPC9zZWNvbmRhcnktdGl0bGU+PC90aXRsZXM+PHBlcmlvZGljYWw+
PGZ1bGwtdGl0bGU+Q29udGluZW50YWwgU2hlbGYgUmVzZWFyY2g8L2Z1bGwtdGl0bGU+PC9wZXJp
b2RpY2FsPjxwYWdlcz43OTPigJM4MDU8L3BhZ2VzPjx2b2x1bWU+MzA8L3ZvbHVtZT48ZGF0ZXM+
PHllYXI+MjAxMDwveWVhcj48L2RhdGVzPjx1cmxzPjwvdXJscz48L3JlY29yZD48L0NpdGU+PENp
dGU+PEF1dGhvcj5CYWluYnJpZGdlPC9BdXRob3I+PFllYXI+MjAxMjwvWWVhcj48UmVjTnVtPjk3
NzY8L1JlY051bT48cmVjb3JkPjxyZWMtbnVtYmVyPjk3NzY8L3JlYy1udW1iZXI+PGZvcmVpZ24t
a2V5cz48a2V5IGFwcD0iRU4iIGRiLWlkPSIwZXZlNTV4OXk1dmZkNmU5ZGFjeHRldzRlYXR2ZTJk
emRzOWEiIHRpbWVzdGFtcD0iMTM5NDMxMjY3NCI+OTc3Njwva2V5PjwvZm9yZWlnbi1rZXlzPjxy
ZWYtdHlwZSBuYW1lPSJKb3VybmFsIEFydGljbGUiPjE3PC9yZWYtdHlwZT48Y29udHJpYnV0b3Jz
PjxhdXRob3JzPjxhdXRob3I+QmFpbmJyaWRnZSwgWjwvYXV0aG9yPjxhdXRob3I+V29sYW5za2ks
IEU8L2F1dGhvcj48YXV0aG9yPkxld2lzLCBTPC9hdXRob3I+PGF1dGhvcj5Ccm9kaWUsIEo8L2F1
dGhvcj48L2F1dGhvcnM+PC9jb250cmlidXRvcnM+PHRpdGxlcz48dGl0bGU+RmluZSBzZWRpbWVu
dCBhbmQgbnV0cmllbnQgZHluYW1pY3MgcmVsYXRlZCB0byBwYXJ0aWNsZSBzaXplIGFuZCBmbG9j
IGZvcm1hdGlvbiBpbiBhIEJ1cmRla2luIFJpdmVyIGZsb29kIHBsdW1lLCBBdXN0cmFsaWE8L3Rp
dGxlPjxzZWNvbmRhcnktdGl0bGU+TWFyaW5lIFBvbGx1dGlvbiBCdWxsZXRpbjwvc2Vjb25kYXJ5
LXRpdGxlPjwvdGl0bGVzPjxwZXJpb2RpY2FsPjxmdWxsLXRpdGxlPk1hcmluZSBQb2xsdXRpb24g
QnVsbGV0aW48L2Z1bGwtdGl0bGU+PC9wZXJpb2RpY2FsPjxwYWdlcz4yMzYtMjQ4PC9wYWdlcz48
dm9sdW1lPjY1PC92b2x1bWU+PGRhdGVzPjx5ZWFyPjIwMTI8L3llYXI+PC9kYXRlcz48dXJscz48
L3VybHM+PC9yZWNvcmQ+PC9DaXRlPjwvRW5kTm90ZT5=
</w:fldData>
        </w:fldChar>
      </w:r>
      <w:r w:rsidR="005B0C7C" w:rsidRPr="001F0E92">
        <w:rPr>
          <w:rFonts w:cs="Arial"/>
          <w:color w:val="000000"/>
          <w:szCs w:val="22"/>
        </w:rPr>
        <w:instrText xml:space="preserve"> ADDIN EN.CITE.DATA </w:instrText>
      </w:r>
      <w:r w:rsidR="005B0C7C" w:rsidRPr="001F0E92">
        <w:rPr>
          <w:rFonts w:cs="Arial"/>
          <w:color w:val="000000"/>
          <w:szCs w:val="22"/>
        </w:rPr>
      </w:r>
      <w:r w:rsidR="005B0C7C" w:rsidRPr="001F0E92">
        <w:rPr>
          <w:rFonts w:cs="Arial"/>
          <w:color w:val="000000"/>
          <w:szCs w:val="22"/>
        </w:rPr>
        <w:fldChar w:fldCharType="end"/>
      </w:r>
      <w:r w:rsidR="00644A84" w:rsidRPr="001F0E92">
        <w:rPr>
          <w:rFonts w:cs="Arial"/>
          <w:color w:val="000000"/>
          <w:szCs w:val="22"/>
        </w:rPr>
      </w:r>
      <w:r w:rsidR="00644A84" w:rsidRPr="001F0E92">
        <w:rPr>
          <w:rFonts w:cs="Arial"/>
          <w:color w:val="000000"/>
          <w:szCs w:val="22"/>
        </w:rPr>
        <w:fldChar w:fldCharType="separate"/>
      </w:r>
      <w:hyperlink w:anchor="_ENREF_97" w:tooltip="McCulloch, 2003 #9043" w:history="1">
        <w:r w:rsidR="009A7AB4" w:rsidRPr="001F0E92">
          <w:rPr>
            <w:rFonts w:cs="Arial"/>
            <w:noProof/>
            <w:color w:val="000000"/>
            <w:szCs w:val="22"/>
          </w:rPr>
          <w:t>McCulloch</w:t>
        </w:r>
        <w:r w:rsidR="009A7AB4" w:rsidRPr="001F0E92">
          <w:rPr>
            <w:rFonts w:cs="Arial"/>
            <w:i/>
            <w:noProof/>
            <w:color w:val="000000"/>
            <w:szCs w:val="22"/>
          </w:rPr>
          <w:t xml:space="preserve"> et al.</w:t>
        </w:r>
        <w:r w:rsidR="009A7AB4" w:rsidRPr="001F0E92">
          <w:rPr>
            <w:rFonts w:cs="Arial"/>
            <w:noProof/>
            <w:color w:val="000000"/>
            <w:szCs w:val="22"/>
          </w:rPr>
          <w:t xml:space="preserve"> 2003</w:t>
        </w:r>
      </w:hyperlink>
      <w:r w:rsidR="00644A84" w:rsidRPr="001F0E92">
        <w:rPr>
          <w:rFonts w:cs="Arial"/>
          <w:noProof/>
          <w:color w:val="000000"/>
          <w:szCs w:val="22"/>
        </w:rPr>
        <w:t xml:space="preserve">; </w:t>
      </w:r>
      <w:hyperlink w:anchor="_ENREF_156" w:tooltip="Webster, 2010 #9775" w:history="1">
        <w:r w:rsidR="009A7AB4" w:rsidRPr="001F0E92">
          <w:rPr>
            <w:rFonts w:cs="Arial"/>
            <w:noProof/>
            <w:color w:val="000000"/>
            <w:szCs w:val="22"/>
          </w:rPr>
          <w:t>Webster and Ford 2010</w:t>
        </w:r>
      </w:hyperlink>
      <w:r w:rsidR="00644A84" w:rsidRPr="001F0E92">
        <w:rPr>
          <w:rFonts w:cs="Arial"/>
          <w:noProof/>
          <w:color w:val="000000"/>
          <w:szCs w:val="22"/>
        </w:rPr>
        <w:t xml:space="preserve">; </w:t>
      </w:r>
      <w:hyperlink w:anchor="_ENREF_10" w:tooltip="Bainbridge, 2012 #9776" w:history="1">
        <w:r w:rsidR="009A7AB4" w:rsidRPr="001F0E92">
          <w:rPr>
            <w:rFonts w:cs="Arial"/>
            <w:noProof/>
            <w:color w:val="000000"/>
            <w:szCs w:val="22"/>
          </w:rPr>
          <w:t>Bainbridge</w:t>
        </w:r>
        <w:r w:rsidR="009A7AB4" w:rsidRPr="001F0E92">
          <w:rPr>
            <w:rFonts w:cs="Arial"/>
            <w:i/>
            <w:noProof/>
            <w:color w:val="000000"/>
            <w:szCs w:val="22"/>
          </w:rPr>
          <w:t xml:space="preserve"> et al.</w:t>
        </w:r>
        <w:r w:rsidR="009A7AB4" w:rsidRPr="001F0E92">
          <w:rPr>
            <w:rFonts w:cs="Arial"/>
            <w:noProof/>
            <w:color w:val="000000"/>
            <w:szCs w:val="22"/>
          </w:rPr>
          <w:t xml:space="preserve"> 2012</w:t>
        </w:r>
      </w:hyperlink>
      <w:r w:rsidR="00644A84" w:rsidRPr="001F0E92">
        <w:rPr>
          <w:rFonts w:cs="Arial"/>
          <w:noProof/>
          <w:color w:val="000000"/>
          <w:szCs w:val="22"/>
        </w:rPr>
        <w:t xml:space="preserve">; </w:t>
      </w:r>
      <w:hyperlink w:anchor="_ENREF_14" w:tooltip="Brodie, 2012 #9319" w:history="1">
        <w:r w:rsidR="009A7AB4" w:rsidRPr="001F0E92">
          <w:rPr>
            <w:rFonts w:cs="Arial"/>
            <w:noProof/>
            <w:color w:val="000000"/>
            <w:szCs w:val="22"/>
          </w:rPr>
          <w:t>Brodie</w:t>
        </w:r>
        <w:r w:rsidR="009A7AB4" w:rsidRPr="001F0E92">
          <w:rPr>
            <w:rFonts w:cs="Arial"/>
            <w:i/>
            <w:noProof/>
            <w:color w:val="000000"/>
            <w:szCs w:val="22"/>
          </w:rPr>
          <w:t xml:space="preserve"> et al.</w:t>
        </w:r>
        <w:r w:rsidR="009A7AB4" w:rsidRPr="001F0E92">
          <w:rPr>
            <w:rFonts w:cs="Arial"/>
            <w:noProof/>
            <w:color w:val="000000"/>
            <w:szCs w:val="22"/>
          </w:rPr>
          <w:t xml:space="preserve"> 2012</w:t>
        </w:r>
      </w:hyperlink>
      <w:r w:rsidR="00644A84" w:rsidRPr="001F0E92">
        <w:rPr>
          <w:rFonts w:cs="Arial"/>
          <w:color w:val="000000"/>
          <w:szCs w:val="22"/>
        </w:rPr>
        <w:fldChar w:fldCharType="end"/>
      </w:r>
      <w:r w:rsidRPr="001F0E92">
        <w:rPr>
          <w:rFonts w:cs="Arial"/>
          <w:color w:val="000000"/>
          <w:szCs w:val="22"/>
        </w:rPr>
        <w:t>)</w:t>
      </w:r>
    </w:p>
    <w:p w14:paraId="6286E46E" w14:textId="35C27438"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t>no major urban area/development (&gt;5000 population) within 10</w:t>
      </w:r>
      <w:r w:rsidR="00C215FC" w:rsidRPr="001F0E92">
        <w:rPr>
          <w:rFonts w:cs="Arial"/>
          <w:color w:val="000000"/>
          <w:szCs w:val="22"/>
        </w:rPr>
        <w:t xml:space="preserve"> </w:t>
      </w:r>
      <w:r w:rsidRPr="001F0E92">
        <w:rPr>
          <w:rFonts w:cs="Arial"/>
          <w:color w:val="000000"/>
          <w:szCs w:val="22"/>
        </w:rPr>
        <w:t>km upstream (prevailing current)</w:t>
      </w:r>
    </w:p>
    <w:p w14:paraId="6BF628D3" w14:textId="77777777"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t>no significant point source wastewater discharge within the estuary</w:t>
      </w:r>
    </w:p>
    <w:p w14:paraId="5D8910D3" w14:textId="77777777"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t xml:space="preserve">has not been impacted by an event (anthropogenic or extreme climate) in the last 3-5 years </w:t>
      </w:r>
    </w:p>
    <w:p w14:paraId="6E575753" w14:textId="74ECD0D4"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lastRenderedPageBreak/>
        <w:t>where the species composition is dominated by the foundation species expected for the habitats (</w:t>
      </w:r>
      <w:hyperlink w:anchor="_ENREF_22" w:tooltip="Carruthers, 2002 #8021" w:history="1">
        <w:r w:rsidR="009A7AB4" w:rsidRPr="001F0E92">
          <w:rPr>
            <w:rFonts w:cs="Arial"/>
            <w:color w:val="000000"/>
            <w:szCs w:val="22"/>
          </w:rPr>
          <w:fldChar w:fldCharType="begin"/>
        </w:r>
        <w:r w:rsidR="009A7AB4" w:rsidRPr="001F0E92">
          <w:rPr>
            <w:rFonts w:cs="Arial"/>
            <w:color w:val="000000"/>
            <w:szCs w:val="22"/>
          </w:rPr>
          <w:instrText xml:space="preserve"> ADDIN EN.CITE &lt;EndNote&gt;&lt;Cite&gt;&lt;Author&gt;Carruthers&lt;/Author&gt;&lt;Year&gt;2002&lt;/Year&gt;&lt;RecNum&gt;8021&lt;/RecNum&gt;&lt;DisplayText&gt;Carruthers&lt;style face="italic"&gt; et al.&lt;/style&gt; 2002&lt;/DisplayText&gt;&lt;record&gt;&lt;rec-number&gt;8021&lt;/rec-number&gt;&lt;foreign-keys&gt;&lt;key app="EN" db-id="0eve55x9y5vfd6e9dacxtew4eatve2dzds9a" timestamp="0"&gt;8021&lt;/key&gt;&lt;/foreign-keys&gt;&lt;ref-type name="Journal Article"&gt;17&lt;/ref-type&gt;&lt;contributors&gt;&lt;authors&gt;&lt;author&gt;Carruthers, TJB.&lt;/author&gt;&lt;author&gt;Dennison, WC&lt;/author&gt;&lt;author&gt;Longstaff, BJ&lt;/author&gt;&lt;author&gt;Waycott, Michelle&lt;/author&gt;&lt;author&gt;Abal, E. G.&lt;/author&gt;&lt;author&gt;McKenzie, Len J&lt;/author&gt;&lt;author&gt;Lee Long, WJ&lt;/author&gt;&lt;/authors&gt;&lt;/contributors&gt;&lt;titles&gt;&lt;title&gt;Seagrass habitats of north east Australia: models of key processes and controls&lt;/title&gt;&lt;secondary-title&gt;Bulletin of Marine Science&lt;/secondary-title&gt;&lt;/titles&gt;&lt;periodical&gt;&lt;full-title&gt;Bulletin of Marine Science&lt;/full-title&gt;&lt;/periodical&gt;&lt;pages&gt;1153-1169&lt;/pages&gt;&lt;volume&gt;71&lt;/volume&gt;&lt;number&gt;3&lt;/number&gt;&lt;dates&gt;&lt;year&gt;2002&lt;/year&gt;&lt;/dates&gt;&lt;label&gt;Habitats&lt;/label&gt;&lt;urls&gt;&lt;/urls&gt;&lt;/record&gt;&lt;/Cite&gt;&lt;/EndNote&gt;</w:instrText>
        </w:r>
        <w:r w:rsidR="009A7AB4" w:rsidRPr="001F0E92">
          <w:rPr>
            <w:rFonts w:cs="Arial"/>
            <w:color w:val="000000"/>
            <w:szCs w:val="22"/>
          </w:rPr>
          <w:fldChar w:fldCharType="separate"/>
        </w:r>
        <w:r w:rsidR="009A7AB4" w:rsidRPr="001F0E92">
          <w:rPr>
            <w:rFonts w:cs="Arial"/>
            <w:noProof/>
            <w:color w:val="000000"/>
            <w:szCs w:val="22"/>
          </w:rPr>
          <w:t>Carruthers</w:t>
        </w:r>
        <w:r w:rsidR="009A7AB4" w:rsidRPr="001F0E92">
          <w:rPr>
            <w:rFonts w:cs="Arial"/>
            <w:i/>
            <w:noProof/>
            <w:color w:val="000000"/>
            <w:szCs w:val="22"/>
          </w:rPr>
          <w:t xml:space="preserve"> et al.</w:t>
        </w:r>
        <w:r w:rsidR="009A7AB4" w:rsidRPr="001F0E92">
          <w:rPr>
            <w:rFonts w:cs="Arial"/>
            <w:noProof/>
            <w:color w:val="000000"/>
            <w:szCs w:val="22"/>
          </w:rPr>
          <w:t xml:space="preserve"> 2002</w:t>
        </w:r>
        <w:r w:rsidR="009A7AB4" w:rsidRPr="001F0E92">
          <w:rPr>
            <w:rFonts w:cs="Arial"/>
            <w:color w:val="000000"/>
            <w:szCs w:val="22"/>
          </w:rPr>
          <w:fldChar w:fldCharType="end"/>
        </w:r>
      </w:hyperlink>
      <w:r w:rsidRPr="001F0E92">
        <w:rPr>
          <w:rFonts w:cs="Arial"/>
          <w:color w:val="000000"/>
          <w:szCs w:val="22"/>
        </w:rPr>
        <w:t>)</w:t>
      </w:r>
    </w:p>
    <w:p w14:paraId="27BE01D7" w14:textId="77777777" w:rsidR="00EC7975" w:rsidRPr="001F0E92" w:rsidRDefault="00EC7975" w:rsidP="00AD06D4">
      <w:pPr>
        <w:numPr>
          <w:ilvl w:val="0"/>
          <w:numId w:val="1"/>
        </w:numPr>
        <w:tabs>
          <w:tab w:val="clear" w:pos="360"/>
          <w:tab w:val="num" w:pos="709"/>
        </w:tabs>
        <w:ind w:left="709" w:hanging="349"/>
        <w:rPr>
          <w:rFonts w:cs="Arial"/>
          <w:color w:val="000000"/>
          <w:szCs w:val="22"/>
        </w:rPr>
      </w:pPr>
      <w:r w:rsidRPr="001F0E92">
        <w:rPr>
          <w:rFonts w:cs="Arial"/>
          <w:color w:val="000000"/>
          <w:szCs w:val="22"/>
        </w:rPr>
        <w:t>does not suggest the meadow is in recovery (i.e. dominated by early colonising).</w:t>
      </w:r>
    </w:p>
    <w:p w14:paraId="3F596428" w14:textId="738DA0BD" w:rsidR="00EC7975" w:rsidRPr="001F0E92" w:rsidRDefault="00EC7975" w:rsidP="009A7AB4">
      <w:pPr>
        <w:spacing w:before="240"/>
        <w:rPr>
          <w:rFonts w:cs="Arial"/>
          <w:color w:val="000000"/>
          <w:szCs w:val="22"/>
        </w:rPr>
      </w:pPr>
      <w:r w:rsidRPr="001F0E92">
        <w:rPr>
          <w:rFonts w:cs="Arial"/>
          <w:color w:val="000000"/>
          <w:szCs w:val="22"/>
        </w:rPr>
        <w:t>The 80</w:t>
      </w:r>
      <w:r w:rsidRPr="001F0E92">
        <w:rPr>
          <w:rFonts w:cs="Arial"/>
          <w:color w:val="000000"/>
          <w:szCs w:val="22"/>
          <w:vertAlign w:val="superscript"/>
        </w:rPr>
        <w:t>th</w:t>
      </w:r>
      <w:r w:rsidRPr="001F0E92">
        <w:rPr>
          <w:rFonts w:cs="Arial"/>
          <w:color w:val="000000"/>
          <w:szCs w:val="22"/>
        </w:rPr>
        <w:t>, 50</w:t>
      </w:r>
      <w:r w:rsidRPr="001F0E92">
        <w:rPr>
          <w:rFonts w:cs="Arial"/>
          <w:color w:val="000000"/>
          <w:szCs w:val="22"/>
          <w:vertAlign w:val="superscript"/>
        </w:rPr>
        <w:t>th</w:t>
      </w:r>
      <w:r w:rsidRPr="001F0E92">
        <w:rPr>
          <w:rFonts w:cs="Arial"/>
          <w:color w:val="000000"/>
          <w:szCs w:val="22"/>
        </w:rPr>
        <w:t xml:space="preserve"> and 20</w:t>
      </w:r>
      <w:r w:rsidRPr="001F0E92">
        <w:rPr>
          <w:rFonts w:cs="Arial"/>
          <w:color w:val="000000"/>
          <w:szCs w:val="22"/>
          <w:vertAlign w:val="superscript"/>
        </w:rPr>
        <w:t>th</w:t>
      </w:r>
      <w:r w:rsidRPr="001F0E92">
        <w:rPr>
          <w:rFonts w:cs="Arial"/>
          <w:color w:val="000000"/>
          <w:szCs w:val="22"/>
        </w:rPr>
        <w:t xml:space="preserve"> percentiles were used to define the guideline values as these are recommended for water quality guidelines (</w:t>
      </w:r>
      <w:hyperlink w:anchor="_ENREF_48" w:tooltip="Department of Environment and Resource Management, 2009 #9777" w:history="1">
        <w:r w:rsidR="009A7AB4" w:rsidRPr="001F0E92">
          <w:rPr>
            <w:rFonts w:cs="Arial"/>
            <w:color w:val="000000"/>
            <w:szCs w:val="22"/>
          </w:rPr>
          <w:fldChar w:fldCharType="begin"/>
        </w:r>
        <w:r w:rsidR="009A7AB4" w:rsidRPr="001F0E92">
          <w:rPr>
            <w:rFonts w:cs="Arial"/>
            <w:color w:val="000000"/>
            <w:szCs w:val="22"/>
          </w:rPr>
          <w:instrText xml:space="preserve"> ADDIN EN.CITE &lt;EndNote&gt;&lt;Cite&gt;&lt;Author&gt;Department of Environment and Resource Management&lt;/Author&gt;&lt;Year&gt;2009&lt;/Year&gt;&lt;RecNum&gt;9777&lt;/RecNum&gt;&lt;DisplayText&gt;Department of Environment and Resource Management 2009&lt;/DisplayText&gt;&lt;record&gt;&lt;rec-number&gt;9777&lt;/rec-number&gt;&lt;foreign-keys&gt;&lt;key app="EN" db-id="0eve55x9y5vfd6e9dacxtew4eatve2dzds9a" timestamp="1394312817"&gt;9777&lt;/key&gt;&lt;/foreign-keys&gt;&lt;ref-type name="Book"&gt;6&lt;/ref-type&gt;&lt;contributors&gt;&lt;authors&gt;&lt;author&gt;Department of Environment and Resource Management,&lt;/author&gt;&lt;/authors&gt;&lt;/contributors&gt;&lt;titles&gt;&lt;title&gt;Queensland Water Quality Guidelines, Version 3. ISBN 978-0-9806986-0-2&lt;/title&gt;&lt;/titles&gt;&lt;pages&gt;121&lt;/pages&gt;&lt;dates&gt;&lt;year&gt;2009&lt;/year&gt;&lt;/dates&gt;&lt;pub-location&gt;Brisbane&lt;/pub-location&gt;&lt;publisher&gt;State of Queensland (Department of Environment and Resource Management)&lt;/publisher&gt;&lt;urls&gt;&lt;/urls&gt;&lt;/record&gt;&lt;/Cite&gt;&lt;/EndNote&gt;</w:instrText>
        </w:r>
        <w:r w:rsidR="009A7AB4" w:rsidRPr="001F0E92">
          <w:rPr>
            <w:rFonts w:cs="Arial"/>
            <w:color w:val="000000"/>
            <w:szCs w:val="22"/>
          </w:rPr>
          <w:fldChar w:fldCharType="separate"/>
        </w:r>
        <w:r w:rsidR="009A7AB4" w:rsidRPr="001F0E92">
          <w:rPr>
            <w:rFonts w:cs="Arial"/>
            <w:noProof/>
            <w:color w:val="000000"/>
            <w:szCs w:val="22"/>
          </w:rPr>
          <w:t>Department of Environment and Resource Management 2009</w:t>
        </w:r>
        <w:r w:rsidR="009A7AB4" w:rsidRPr="001F0E92">
          <w:rPr>
            <w:rFonts w:cs="Arial"/>
            <w:color w:val="000000"/>
            <w:szCs w:val="22"/>
          </w:rPr>
          <w:fldChar w:fldCharType="end"/>
        </w:r>
      </w:hyperlink>
      <w:r w:rsidRPr="001F0E92">
        <w:rPr>
          <w:rFonts w:cs="Arial"/>
          <w:color w:val="000000"/>
          <w:szCs w:val="22"/>
        </w:rPr>
        <w:t xml:space="preserve">), and there is no evidence that this approach would not be appropriate for seagrass meadows in the </w:t>
      </w:r>
      <w:r w:rsidR="003158FC" w:rsidRPr="001F0E92">
        <w:rPr>
          <w:rFonts w:cs="Arial"/>
          <w:color w:val="000000"/>
          <w:szCs w:val="22"/>
        </w:rPr>
        <w:t>Reef</w:t>
      </w:r>
      <w:r w:rsidRPr="001F0E92">
        <w:rPr>
          <w:rFonts w:cs="Arial"/>
          <w:color w:val="000000"/>
          <w:szCs w:val="22"/>
        </w:rPr>
        <w:t xml:space="preserve">. </w:t>
      </w:r>
      <w:r w:rsidR="006845E9" w:rsidRPr="001F0E92">
        <w:rPr>
          <w:rFonts w:cs="Arial"/>
          <w:color w:val="000000"/>
          <w:szCs w:val="22"/>
        </w:rPr>
        <w:t xml:space="preserve">At the request of the </w:t>
      </w:r>
      <w:r w:rsidR="006845E9" w:rsidRPr="001F0E92">
        <w:rPr>
          <w:rFonts w:cs="Arial"/>
          <w:color w:val="000000"/>
          <w:szCs w:val="22"/>
          <w:lang w:val="en-US"/>
        </w:rPr>
        <w:t>Paddock to Reef Integration Team, the 80</w:t>
      </w:r>
      <w:r w:rsidR="006845E9" w:rsidRPr="001F0E92">
        <w:rPr>
          <w:rFonts w:cs="Arial"/>
          <w:color w:val="000000"/>
          <w:szCs w:val="22"/>
          <w:vertAlign w:val="superscript"/>
          <w:lang w:val="en-US"/>
        </w:rPr>
        <w:t>th</w:t>
      </w:r>
      <w:r w:rsidR="006845E9" w:rsidRPr="001F0E92">
        <w:rPr>
          <w:rFonts w:cs="Arial"/>
          <w:color w:val="000000"/>
          <w:szCs w:val="22"/>
          <w:lang w:val="en-US"/>
        </w:rPr>
        <w:t xml:space="preserve"> percentile was changed to 75</w:t>
      </w:r>
      <w:r w:rsidR="006845E9" w:rsidRPr="001F0E92">
        <w:rPr>
          <w:rFonts w:cs="Arial"/>
          <w:color w:val="000000"/>
          <w:szCs w:val="22"/>
          <w:vertAlign w:val="superscript"/>
          <w:lang w:val="en-US"/>
        </w:rPr>
        <w:t>th</w:t>
      </w:r>
      <w:r w:rsidR="006845E9" w:rsidRPr="001F0E92">
        <w:rPr>
          <w:rFonts w:cs="Arial"/>
          <w:color w:val="000000"/>
          <w:szCs w:val="22"/>
          <w:lang w:val="en-US"/>
        </w:rPr>
        <w:t xml:space="preserve"> to align with other Paddock to Reef report card components.</w:t>
      </w:r>
      <w:r w:rsidR="006845E9" w:rsidRPr="001F0E92">
        <w:rPr>
          <w:rFonts w:cs="Arial"/>
          <w:color w:val="000000"/>
          <w:szCs w:val="22"/>
        </w:rPr>
        <w:t xml:space="preserve"> </w:t>
      </w:r>
      <w:r w:rsidRPr="001F0E92">
        <w:rPr>
          <w:rFonts w:cs="Arial"/>
          <w:color w:val="000000"/>
          <w:szCs w:val="22"/>
        </w:rPr>
        <w:t>By plotting the percentile estimates with increasing sample size, the reduction in error becomes apparent as it moves towards the true value (e.g.</w:t>
      </w:r>
      <w:r w:rsidR="006624EF" w:rsidRPr="001F0E92">
        <w:rPr>
          <w:rFonts w:cs="Arial"/>
          <w:color w:val="000000"/>
          <w:szCs w:val="22"/>
        </w:rPr>
        <w:t xml:space="preserve"> </w:t>
      </w:r>
      <w:r w:rsidR="006624EF" w:rsidRPr="001F0E92">
        <w:rPr>
          <w:rFonts w:cs="Arial"/>
          <w:color w:val="000000"/>
          <w:szCs w:val="22"/>
        </w:rPr>
        <w:fldChar w:fldCharType="begin"/>
      </w:r>
      <w:r w:rsidR="006624EF" w:rsidRPr="001F0E92">
        <w:rPr>
          <w:rFonts w:cs="Arial"/>
          <w:color w:val="000000"/>
          <w:szCs w:val="22"/>
        </w:rPr>
        <w:instrText xml:space="preserve"> REF _Ref410560182 \h </w:instrText>
      </w:r>
      <w:r w:rsidR="00DA741D" w:rsidRPr="001F0E92">
        <w:rPr>
          <w:rFonts w:cs="Arial"/>
          <w:color w:val="000000"/>
          <w:szCs w:val="22"/>
        </w:rPr>
        <w:instrText xml:space="preserve"> \* MERGEFORMAT </w:instrText>
      </w:r>
      <w:r w:rsidR="006624EF" w:rsidRPr="001F0E92">
        <w:rPr>
          <w:rFonts w:cs="Arial"/>
          <w:color w:val="000000"/>
          <w:szCs w:val="22"/>
        </w:rPr>
      </w:r>
      <w:r w:rsidR="006624EF" w:rsidRPr="001F0E92">
        <w:rPr>
          <w:rFonts w:cs="Arial"/>
          <w:color w:val="000000"/>
          <w:szCs w:val="22"/>
        </w:rPr>
        <w:fldChar w:fldCharType="separate"/>
      </w:r>
      <w:r w:rsidR="0067675D" w:rsidRPr="001F0E92">
        <w:rPr>
          <w:rFonts w:cs="Arial"/>
          <w:color w:val="000000"/>
          <w:szCs w:val="22"/>
        </w:rPr>
        <w:t xml:space="preserve">Figure </w:t>
      </w:r>
      <w:r w:rsidR="0067675D">
        <w:rPr>
          <w:rFonts w:cs="Arial"/>
          <w:noProof/>
          <w:color w:val="000000"/>
          <w:szCs w:val="22"/>
        </w:rPr>
        <w:t>89</w:t>
      </w:r>
      <w:r w:rsidR="006624EF" w:rsidRPr="001F0E92">
        <w:rPr>
          <w:rFonts w:cs="Arial"/>
          <w:color w:val="000000"/>
          <w:szCs w:val="22"/>
        </w:rPr>
        <w:fldChar w:fldCharType="end"/>
      </w:r>
      <w:r w:rsidR="004D3B11">
        <w:rPr>
          <w:rFonts w:cs="Arial"/>
          <w:color w:val="000000"/>
          <w:szCs w:val="22"/>
        </w:rPr>
        <w:t>).</w:t>
      </w:r>
    </w:p>
    <w:p w14:paraId="63641E35" w14:textId="7E2F84D6" w:rsidR="00EC7975" w:rsidRDefault="00EC7975" w:rsidP="004D3B11">
      <w:pPr>
        <w:rPr>
          <w:rFonts w:cs="Arial"/>
          <w:color w:val="000000"/>
          <w:szCs w:val="22"/>
        </w:rPr>
      </w:pPr>
      <w:r w:rsidRPr="001F0E92">
        <w:rPr>
          <w:rFonts w:cs="Arial"/>
          <w:color w:val="000000"/>
          <w:szCs w:val="22"/>
        </w:rPr>
        <w:t>Across the majority of reference sites, variance for the 50</w:t>
      </w:r>
      <w:r w:rsidRPr="001F0E92">
        <w:rPr>
          <w:rFonts w:cs="Arial"/>
          <w:color w:val="000000"/>
          <w:szCs w:val="22"/>
          <w:vertAlign w:val="superscript"/>
        </w:rPr>
        <w:t>th</w:t>
      </w:r>
      <w:r w:rsidRPr="001F0E92">
        <w:rPr>
          <w:rFonts w:cs="Arial"/>
          <w:color w:val="000000"/>
          <w:szCs w:val="22"/>
        </w:rPr>
        <w:t xml:space="preserve"> and 20</w:t>
      </w:r>
      <w:r w:rsidRPr="001F0E92">
        <w:rPr>
          <w:rFonts w:cs="Arial"/>
          <w:color w:val="000000"/>
          <w:szCs w:val="22"/>
          <w:vertAlign w:val="superscript"/>
        </w:rPr>
        <w:t>th</w:t>
      </w:r>
      <w:r w:rsidRPr="001F0E92">
        <w:rPr>
          <w:rFonts w:cs="Arial"/>
          <w:color w:val="000000"/>
          <w:szCs w:val="22"/>
        </w:rPr>
        <w:t xml:space="preserve"> percentiles </w:t>
      </w:r>
      <w:r w:rsidR="003A03FE" w:rsidRPr="001F0E92">
        <w:rPr>
          <w:rFonts w:cs="Arial"/>
          <w:color w:val="000000"/>
          <w:szCs w:val="22"/>
        </w:rPr>
        <w:t>level</w:t>
      </w:r>
      <w:r w:rsidR="003A03FE">
        <w:rPr>
          <w:rFonts w:cs="Arial"/>
          <w:color w:val="000000"/>
          <w:szCs w:val="22"/>
        </w:rPr>
        <w:t>led</w:t>
      </w:r>
      <w:r w:rsidRPr="001F0E92">
        <w:rPr>
          <w:rFonts w:cs="Arial"/>
          <w:color w:val="000000"/>
          <w:szCs w:val="22"/>
        </w:rPr>
        <w:t xml:space="preserve"> off at around 15–20 samples (i.e. sampling events), suggesting this number of samples was sufficient to provide a reasonable estimate of the true percentile value.  This sample size is reasonably close to the </w:t>
      </w:r>
      <w:hyperlink w:anchor="_ENREF_4" w:tooltip="ANZECC, 2000 #7891" w:history="1">
        <w:r w:rsidR="009A7AB4" w:rsidRPr="001F0E92">
          <w:rPr>
            <w:rFonts w:cs="Arial"/>
            <w:color w:val="000000"/>
            <w:szCs w:val="22"/>
          </w:rPr>
          <w:fldChar w:fldCharType="begin"/>
        </w:r>
        <w:r w:rsidR="009A7AB4">
          <w:rPr>
            <w:rFonts w:cs="Arial"/>
            <w:color w:val="000000"/>
            <w:szCs w:val="22"/>
          </w:rPr>
          <w:instrText xml:space="preserve"> ADDIN EN.CITE &lt;EndNote&gt;&lt;Cite ExcludeYear="1"&gt;&lt;Author&gt;ANZECC&lt;/Author&gt;&lt;Year&gt;2000&lt;/Year&gt;&lt;RecNum&gt;7891&lt;/RecNum&gt;&lt;DisplayText&gt;ANZECC &lt;/DisplayText&gt;&lt;record&gt;&lt;rec-number&gt;7891&lt;/rec-number&gt;&lt;foreign-keys&gt;&lt;key app="EN" db-id="0eve55x9y5vfd6e9dacxtew4eatve2dzds9a" timestamp="0"&gt;7891&lt;/key&gt;&lt;/foreign-keys&gt;&lt;ref-type name="Book"&gt;6&lt;/ref-type&gt;&lt;contributors&gt;&lt;authors&gt;&lt;author&gt;ANZECC,&lt;/author&gt;&lt;/authors&gt;&lt;/contributors&gt;&lt;titles&gt;&lt;title&gt;Australian and New Zealand guidelines for fresh and marine water quality&lt;/title&gt;&lt;/titles&gt;&lt;dates&gt;&lt;year&gt;2000&lt;/year&gt;&lt;/dates&gt;&lt;pub-location&gt;Canberra&lt;/pub-location&gt;&lt;publisher&gt;Australian and New Zealand Environment and Conservation Council and Agriculture and Resource Management Council of Australia and New Zealand&lt;/publisher&gt;&lt;urls&gt;&lt;/urls&gt;&lt;/record&gt;&lt;/Cite&gt;&lt;/EndNote&gt;</w:instrText>
        </w:r>
        <w:r w:rsidR="009A7AB4" w:rsidRPr="001F0E92">
          <w:rPr>
            <w:rFonts w:cs="Arial"/>
            <w:color w:val="000000"/>
            <w:szCs w:val="22"/>
          </w:rPr>
          <w:fldChar w:fldCharType="separate"/>
        </w:r>
        <w:r w:rsidR="009A7AB4">
          <w:rPr>
            <w:rFonts w:cs="Arial"/>
            <w:noProof/>
            <w:color w:val="000000"/>
            <w:szCs w:val="22"/>
          </w:rPr>
          <w:t xml:space="preserve">ANZECC </w:t>
        </w:r>
        <w:r w:rsidR="009A7AB4" w:rsidRPr="001F0E92">
          <w:rPr>
            <w:rFonts w:cs="Arial"/>
            <w:color w:val="000000"/>
            <w:szCs w:val="22"/>
          </w:rPr>
          <w:fldChar w:fldCharType="end"/>
        </w:r>
      </w:hyperlink>
      <w:r w:rsidRPr="001F0E92">
        <w:rPr>
          <w:rFonts w:cs="Arial"/>
          <w:color w:val="000000"/>
          <w:szCs w:val="22"/>
        </w:rPr>
        <w:t xml:space="preserve"> </w:t>
      </w:r>
      <w:r w:rsidR="004D3B11">
        <w:rPr>
          <w:rFonts w:cs="Arial"/>
          <w:color w:val="000000"/>
          <w:szCs w:val="22"/>
        </w:rPr>
        <w:t>(</w:t>
      </w:r>
      <w:hyperlink w:anchor="_ENREF_4" w:tooltip="ANZECC, 2000 #7891" w:history="1">
        <w:r w:rsidR="009A7AB4" w:rsidRPr="001F0E92">
          <w:rPr>
            <w:rFonts w:cs="Arial"/>
            <w:color w:val="000000"/>
            <w:szCs w:val="22"/>
          </w:rPr>
          <w:fldChar w:fldCharType="begin"/>
        </w:r>
        <w:r w:rsidR="009A7AB4">
          <w:rPr>
            <w:rFonts w:cs="Arial"/>
            <w:color w:val="000000"/>
            <w:szCs w:val="22"/>
          </w:rPr>
          <w:instrText xml:space="preserve"> ADDIN EN.CITE &lt;EndNote&gt;&lt;Cite ExcludeAuth="1"&gt;&lt;Author&gt;ANZECC&lt;/Author&gt;&lt;Year&gt;2000&lt;/Year&gt;&lt;RecNum&gt;7891&lt;/RecNum&gt;&lt;DisplayText&gt;2000&lt;/DisplayText&gt;&lt;record&gt;&lt;rec-number&gt;7891&lt;/rec-number&gt;&lt;foreign-keys&gt;&lt;key app="EN" db-id="0eve55x9y5vfd6e9dacxtew4eatve2dzds9a" timestamp="0"&gt;7891&lt;/key&gt;&lt;/foreign-keys&gt;&lt;ref-type name="Book"&gt;6&lt;/ref-type&gt;&lt;contributors&gt;&lt;authors&gt;&lt;author&gt;ANZECC,&lt;/author&gt;&lt;/authors&gt;&lt;/contributors&gt;&lt;titles&gt;&lt;title&gt;Australian and New Zealand guidelines for fresh and marine water quality&lt;/title&gt;&lt;/titles&gt;&lt;dates&gt;&lt;year&gt;2000&lt;/year&gt;&lt;/dates&gt;&lt;pub-location&gt;Canberra&lt;/pub-location&gt;&lt;publisher&gt;Australian and New Zealand Environment and Conservation Council and Agriculture and Resource Management Council of Australia and New Zealand&lt;/publisher&gt;&lt;urls&gt;&lt;/urls&gt;&lt;/record&gt;&lt;/Cite&gt;&lt;/EndNote&gt;</w:instrText>
        </w:r>
        <w:r w:rsidR="009A7AB4" w:rsidRPr="001F0E92">
          <w:rPr>
            <w:rFonts w:cs="Arial"/>
            <w:color w:val="000000"/>
            <w:szCs w:val="22"/>
          </w:rPr>
          <w:fldChar w:fldCharType="separate"/>
        </w:r>
        <w:r w:rsidR="009A7AB4">
          <w:rPr>
            <w:rFonts w:cs="Arial"/>
            <w:noProof/>
            <w:color w:val="000000"/>
            <w:szCs w:val="22"/>
          </w:rPr>
          <w:t>2000</w:t>
        </w:r>
        <w:r w:rsidR="009A7AB4" w:rsidRPr="001F0E92">
          <w:rPr>
            <w:rFonts w:cs="Arial"/>
            <w:color w:val="000000"/>
            <w:szCs w:val="22"/>
          </w:rPr>
          <w:fldChar w:fldCharType="end"/>
        </w:r>
      </w:hyperlink>
      <w:r w:rsidR="004D3B11">
        <w:rPr>
          <w:rFonts w:cs="Arial"/>
          <w:color w:val="000000"/>
          <w:szCs w:val="22"/>
        </w:rPr>
        <w:t xml:space="preserve">) </w:t>
      </w:r>
      <w:r w:rsidRPr="001F0E92">
        <w:rPr>
          <w:rFonts w:cs="Arial"/>
          <w:color w:val="000000"/>
          <w:szCs w:val="22"/>
        </w:rPr>
        <w:t>Guidelines re</w:t>
      </w:r>
      <w:r w:rsidR="004D3B11">
        <w:rPr>
          <w:rFonts w:cs="Arial"/>
          <w:color w:val="000000"/>
          <w:szCs w:val="22"/>
        </w:rPr>
        <w:t xml:space="preserve">commendation of 24 data values. </w:t>
      </w:r>
      <w:r w:rsidR="004D3B11" w:rsidRPr="004D3B11">
        <w:rPr>
          <w:rFonts w:cs="Arial"/>
          <w:color w:val="000000"/>
          <w:szCs w:val="22"/>
        </w:rPr>
        <w:t xml:space="preserve">If the variance had not plateud, the percentile values at 24 sampling </w:t>
      </w:r>
      <w:r w:rsidR="009A7AB4">
        <w:rPr>
          <w:rFonts w:cs="Arial"/>
          <w:color w:val="000000"/>
          <w:szCs w:val="22"/>
        </w:rPr>
        <w:t>events</w:t>
      </w:r>
      <w:r w:rsidR="004D3B11" w:rsidRPr="004D3B11">
        <w:rPr>
          <w:rFonts w:cs="Arial"/>
          <w:color w:val="000000"/>
          <w:szCs w:val="22"/>
        </w:rPr>
        <w:t xml:space="preserve"> was selected to best represent the variance as being captured. This conforms with Kiliminster </w:t>
      </w:r>
      <w:r w:rsidR="004D3B11" w:rsidRPr="009A7AB4">
        <w:rPr>
          <w:rFonts w:cs="Arial"/>
          <w:i/>
          <w:color w:val="000000"/>
          <w:szCs w:val="22"/>
        </w:rPr>
        <w:t>et al</w:t>
      </w:r>
      <w:r w:rsidR="009A7AB4" w:rsidRPr="009A7AB4">
        <w:rPr>
          <w:rFonts w:cs="Arial"/>
          <w:i/>
          <w:color w:val="000000"/>
          <w:szCs w:val="22"/>
        </w:rPr>
        <w:t>.</w:t>
      </w:r>
      <w:r w:rsidR="009A7AB4">
        <w:rPr>
          <w:rFonts w:cs="Arial"/>
          <w:color w:val="000000"/>
          <w:szCs w:val="22"/>
        </w:rPr>
        <w:t xml:space="preserve"> (</w:t>
      </w:r>
      <w:hyperlink w:anchor="_ENREF_80" w:tooltip="Kilminster, 2015 #10294" w:history="1">
        <w:r w:rsidR="009A7AB4">
          <w:rPr>
            <w:rFonts w:cs="Arial"/>
            <w:color w:val="000000"/>
            <w:szCs w:val="22"/>
          </w:rPr>
          <w:fldChar w:fldCharType="begin"/>
        </w:r>
        <w:r w:rsidR="009A7AB4">
          <w:rPr>
            <w:rFonts w:cs="Arial"/>
            <w:color w:val="000000"/>
            <w:szCs w:val="22"/>
          </w:rPr>
          <w:instrText xml:space="preserve"> ADDIN EN.CITE &lt;EndNote&gt;&lt;Cite ExcludeAuth="1"&gt;&lt;Author&gt;Kilminster&lt;/Author&gt;&lt;Year&gt;2015&lt;/Year&gt;&lt;RecNum&gt;10294&lt;/RecNum&gt;&lt;DisplayText&gt;2015&lt;/DisplayText&gt;&lt;record&gt;&lt;rec-number&gt;10294&lt;/rec-number&gt;&lt;foreign-keys&gt;&lt;key app="EN" db-id="0eve55x9y5vfd6e9dacxtew4eatve2dzds9a" timestamp="1441078749"&gt;10294&lt;/key&gt;&lt;/foreign-keys&gt;&lt;ref-type name="Journal Article"&gt;17&lt;/ref-type&gt;&lt;contributors&gt;&lt;authors&gt;&lt;author&gt;Kilminster, Kieryn&lt;/author&gt;&lt;author&gt;McMahon, Kathryn&lt;/author&gt;&lt;author&gt;Waycott, Michelle&lt;/author&gt;&lt;author&gt;Kendrick, Gary A.&lt;/author&gt;&lt;author&gt;Scanes, Peter&lt;/author&gt;&lt;author&gt;McKenzie, Len&lt;/author&gt;&lt;author&gt;O&amp;apos;Brien, Katherine R.&lt;/author&gt;&lt;author&gt;Lyons, Mitchell&lt;/author&gt;&lt;author&gt;Ferguson, Angus&lt;/author&gt;&lt;author&gt;Maxwell, Paul&lt;/author&gt;&lt;author&gt;Glasby, Tim&lt;/author&gt;&lt;author&gt;Udy, James&lt;/author&gt;&lt;/authors&gt;&lt;/contributors&gt;&lt;titles&gt;&lt;title&gt;Unravelling complexity in seagrass systems for management: Australia as a microcosm&lt;/title&gt;&lt;secondary-title&gt;Science of The Total Environment&lt;/secondary-title&gt;&lt;/titles&gt;&lt;periodical&gt;&lt;full-title&gt;Science of The Total Environment&lt;/full-title&gt;&lt;/periodical&gt;&lt;pages&gt;97-109&lt;/pages&gt;&lt;volume&gt;534&lt;/volume&gt;&lt;keywords&gt;&lt;keyword&gt;Life-history&lt;/keyword&gt;&lt;keyword&gt;Transitory&lt;/keyword&gt;&lt;keyword&gt;Monitoring&lt;/keyword&gt;&lt;keyword&gt;Decision-making&lt;/keyword&gt;&lt;keyword&gt;Environmental management&lt;/keyword&gt;&lt;keyword&gt;Policy&lt;/keyword&gt;&lt;keyword&gt;Seagrasses&lt;/keyword&gt;&lt;/keywords&gt;&lt;dates&gt;&lt;year&gt;2015&lt;/year&gt;&lt;/dates&gt;&lt;isbn&gt;0048-9697&lt;/isbn&gt;&lt;urls&gt;&lt;related-urls&gt;&lt;url&gt;http://www.sciencedirect.com/science/article/pii/S0048969715005124&lt;/url&gt;&lt;/related-urls&gt;&lt;/urls&gt;&lt;electronic-resource-num&gt;http://dx.doi.org/10.1016/j.scitotenv.2015.04.061&lt;/electronic-resource-num&gt;&lt;/record&gt;&lt;/Cite&gt;&lt;/EndNote&gt;</w:instrText>
        </w:r>
        <w:r w:rsidR="009A7AB4">
          <w:rPr>
            <w:rFonts w:cs="Arial"/>
            <w:color w:val="000000"/>
            <w:szCs w:val="22"/>
          </w:rPr>
          <w:fldChar w:fldCharType="separate"/>
        </w:r>
        <w:r w:rsidR="009A7AB4">
          <w:rPr>
            <w:rFonts w:cs="Arial"/>
            <w:noProof/>
            <w:color w:val="000000"/>
            <w:szCs w:val="22"/>
          </w:rPr>
          <w:t>2015</w:t>
        </w:r>
        <w:r w:rsidR="009A7AB4">
          <w:rPr>
            <w:rFonts w:cs="Arial"/>
            <w:color w:val="000000"/>
            <w:szCs w:val="22"/>
          </w:rPr>
          <w:fldChar w:fldCharType="end"/>
        </w:r>
      </w:hyperlink>
      <w:r w:rsidR="009A7AB4">
        <w:rPr>
          <w:rFonts w:cs="Arial"/>
          <w:color w:val="000000"/>
          <w:szCs w:val="22"/>
        </w:rPr>
        <w:t>)</w:t>
      </w:r>
      <w:r w:rsidR="004D3B11" w:rsidRPr="004D3B11">
        <w:rPr>
          <w:rFonts w:cs="Arial"/>
          <w:color w:val="000000"/>
          <w:szCs w:val="22"/>
        </w:rPr>
        <w:t xml:space="preserve"> </w:t>
      </w:r>
      <w:r w:rsidR="009A7AB4">
        <w:rPr>
          <w:rFonts w:cs="Arial"/>
          <w:color w:val="000000"/>
          <w:szCs w:val="22"/>
        </w:rPr>
        <w:t xml:space="preserve">definition </w:t>
      </w:r>
      <w:r w:rsidR="004D3B11" w:rsidRPr="004D3B11">
        <w:rPr>
          <w:rFonts w:cs="Arial"/>
          <w:color w:val="000000"/>
          <w:szCs w:val="22"/>
        </w:rPr>
        <w:t>where a enduring meadow is present for 5 years</w:t>
      </w:r>
      <w:r w:rsidR="009A7AB4">
        <w:rPr>
          <w:rFonts w:cs="Arial"/>
          <w:color w:val="000000"/>
          <w:szCs w:val="22"/>
        </w:rPr>
        <w:t>.</w:t>
      </w:r>
    </w:p>
    <w:p w14:paraId="5BEFA19E" w14:textId="77777777" w:rsidR="009A7AB4" w:rsidRPr="004D3B11" w:rsidRDefault="009A7AB4" w:rsidP="004D3B11">
      <w:pPr>
        <w:rPr>
          <w:rFonts w:cs="Arial"/>
          <w:color w:val="000000"/>
          <w:szCs w:val="22"/>
        </w:rPr>
      </w:pPr>
    </w:p>
    <w:p w14:paraId="12E7C2A1" w14:textId="3D43C543" w:rsidR="00EC7975" w:rsidRPr="001F0E92" w:rsidRDefault="00EC7975" w:rsidP="00EC7975">
      <w:pPr>
        <w:rPr>
          <w:rFonts w:cs="Arial"/>
          <w:color w:val="000000"/>
          <w:szCs w:val="22"/>
        </w:rPr>
      </w:pPr>
      <w:r w:rsidRPr="001F0E92">
        <w:rPr>
          <w:rFonts w:cs="Arial"/>
          <w:color w:val="000000"/>
          <w:szCs w:val="22"/>
        </w:rPr>
        <w:t xml:space="preserve">Nonlinear regressions (exponential rise to maximum, two parameter) were then fitted to </w:t>
      </w:r>
      <w:r w:rsidR="00887319">
        <w:rPr>
          <w:rFonts w:cs="Arial"/>
          <w:color w:val="000000"/>
          <w:szCs w:val="22"/>
        </w:rPr>
        <w:t>per</w:t>
      </w:r>
      <w:r w:rsidR="004D3B11">
        <w:rPr>
          <w:rFonts w:cs="Arial"/>
          <w:color w:val="000000"/>
          <w:szCs w:val="22"/>
        </w:rPr>
        <w:t> </w:t>
      </w:r>
      <w:r w:rsidR="00887319">
        <w:rPr>
          <w:rFonts w:cs="Arial"/>
          <w:color w:val="000000"/>
          <w:szCs w:val="22"/>
        </w:rPr>
        <w:t xml:space="preserve">cent </w:t>
      </w:r>
      <w:r w:rsidRPr="001F0E92">
        <w:rPr>
          <w:rFonts w:cs="Arial"/>
          <w:color w:val="000000"/>
          <w:szCs w:val="22"/>
        </w:rPr>
        <w:t>cover percentile values at each number of sampling ev</w:t>
      </w:r>
      <w:r w:rsidR="004D3B11">
        <w:rPr>
          <w:rFonts w:cs="Arial"/>
          <w:color w:val="000000"/>
          <w:szCs w:val="22"/>
        </w:rPr>
        <w:t>ents using the following model:</w:t>
      </w:r>
    </w:p>
    <w:p w14:paraId="60225920" w14:textId="77777777" w:rsidR="00EC7975" w:rsidRPr="001F0E92" w:rsidRDefault="001F4593" w:rsidP="00EC7975">
      <w:pPr>
        <w:jc w:val="center"/>
        <w:rPr>
          <w:rFonts w:cs="Arial"/>
          <w:color w:val="000000"/>
          <w:szCs w:val="22"/>
        </w:rPr>
      </w:pPr>
      <w:r w:rsidRPr="001F0E92">
        <w:rPr>
          <w:rFonts w:cs="Arial"/>
          <w:noProof/>
          <w:color w:val="000000"/>
          <w:position w:val="-10"/>
          <w:szCs w:val="22"/>
          <w:lang w:eastAsia="en-AU"/>
        </w:rPr>
        <w:drawing>
          <wp:inline distT="0" distB="0" distL="0" distR="0" wp14:anchorId="25D57AE7" wp14:editId="09D8B2E8">
            <wp:extent cx="850900" cy="220980"/>
            <wp:effectExtent l="0" t="0" r="6350" b="7620"/>
            <wp:docPr id="130" name="Picture 130" descr="Model of nonlinear regressions (exponential rise to maximum, two parameter) fitted to percent cover percentile val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850900" cy="220980"/>
                    </a:xfrm>
                    <a:prstGeom prst="rect">
                      <a:avLst/>
                    </a:prstGeom>
                    <a:noFill/>
                    <a:ln>
                      <a:noFill/>
                    </a:ln>
                  </pic:spPr>
                </pic:pic>
              </a:graphicData>
            </a:graphic>
          </wp:inline>
        </w:drawing>
      </w:r>
    </w:p>
    <w:p w14:paraId="20C21B23" w14:textId="059DF80C" w:rsidR="00EC7975" w:rsidRDefault="00EC7975" w:rsidP="00EC7975">
      <w:pPr>
        <w:rPr>
          <w:rFonts w:cs="Arial"/>
          <w:color w:val="000000"/>
          <w:szCs w:val="22"/>
        </w:rPr>
      </w:pPr>
      <w:r w:rsidRPr="001F0E92">
        <w:rPr>
          <w:rFonts w:cs="Arial"/>
          <w:color w:val="000000"/>
          <w:szCs w:val="22"/>
        </w:rPr>
        <w:t xml:space="preserve">where </w:t>
      </w:r>
      <w:r w:rsidRPr="001F0E92">
        <w:rPr>
          <w:rFonts w:cs="Arial"/>
          <w:i/>
          <w:color w:val="000000"/>
          <w:szCs w:val="22"/>
        </w:rPr>
        <w:t>y</w:t>
      </w:r>
      <w:r w:rsidRPr="001F0E92">
        <w:rPr>
          <w:rFonts w:cs="Arial"/>
          <w:color w:val="000000"/>
          <w:szCs w:val="22"/>
        </w:rPr>
        <w:t xml:space="preserve"> is the seagrass cover percentile at each number of sampling events (</w:t>
      </w:r>
      <w:r w:rsidRPr="001F0E92">
        <w:rPr>
          <w:rFonts w:cs="Arial"/>
          <w:i/>
          <w:color w:val="000000"/>
          <w:szCs w:val="22"/>
        </w:rPr>
        <w:t>x</w:t>
      </w:r>
      <w:r w:rsidRPr="001F0E92">
        <w:rPr>
          <w:rFonts w:cs="Arial"/>
          <w:color w:val="000000"/>
          <w:szCs w:val="22"/>
        </w:rPr>
        <w:t xml:space="preserve">), </w:t>
      </w:r>
      <w:r w:rsidRPr="001F0E92">
        <w:rPr>
          <w:rFonts w:cs="Arial"/>
          <w:i/>
          <w:color w:val="000000"/>
          <w:szCs w:val="22"/>
        </w:rPr>
        <w:t>a</w:t>
      </w:r>
      <w:r w:rsidRPr="001F0E92">
        <w:rPr>
          <w:rFonts w:cs="Arial"/>
          <w:color w:val="000000"/>
          <w:szCs w:val="22"/>
        </w:rPr>
        <w:t xml:space="preserve"> is the asymptotic average of the seagrass cover percentile, and </w:t>
      </w:r>
      <w:r w:rsidRPr="001F0E92">
        <w:rPr>
          <w:rFonts w:cs="Arial"/>
          <w:i/>
          <w:color w:val="000000"/>
          <w:szCs w:val="22"/>
        </w:rPr>
        <w:t>b</w:t>
      </w:r>
      <w:r w:rsidRPr="001F0E92">
        <w:rPr>
          <w:rFonts w:cs="Arial"/>
          <w:color w:val="000000"/>
          <w:szCs w:val="22"/>
        </w:rPr>
        <w:t xml:space="preserve"> is the rate coefficient that determines how quickly (or slowly</w:t>
      </w:r>
      <w:r w:rsidR="008D142C" w:rsidRPr="001F0E92">
        <w:rPr>
          <w:rFonts w:cs="Arial"/>
          <w:color w:val="000000"/>
          <w:szCs w:val="22"/>
        </w:rPr>
        <w:t>) the maximum is attained (i.e.</w:t>
      </w:r>
      <w:r w:rsidRPr="001F0E92">
        <w:rPr>
          <w:rFonts w:cs="Arial"/>
          <w:color w:val="000000"/>
          <w:szCs w:val="22"/>
        </w:rPr>
        <w:t xml:space="preserve"> the slope). The asymptotic average was then used as the guideline value for each percentile (</w:t>
      </w:r>
      <w:r w:rsidRPr="001F0E92">
        <w:rPr>
          <w:rFonts w:cs="Arial"/>
          <w:color w:val="000000"/>
          <w:szCs w:val="22"/>
        </w:rPr>
        <w:fldChar w:fldCharType="begin"/>
      </w:r>
      <w:r w:rsidRPr="001F0E92">
        <w:rPr>
          <w:rFonts w:cs="Arial"/>
          <w:color w:val="000000"/>
          <w:szCs w:val="22"/>
        </w:rPr>
        <w:instrText xml:space="preserve"> REF _Ref340344284 \h </w:instrText>
      </w:r>
      <w:r w:rsidR="00DA741D" w:rsidRPr="001F0E92">
        <w:rPr>
          <w:rFonts w:cs="Arial"/>
          <w:color w:val="000000"/>
          <w:szCs w:val="22"/>
        </w:rPr>
        <w:instrText xml:space="preserve"> \* MERGEFORMAT </w:instrText>
      </w:r>
      <w:r w:rsidRPr="001F0E92">
        <w:rPr>
          <w:rFonts w:cs="Arial"/>
          <w:color w:val="000000"/>
          <w:szCs w:val="22"/>
        </w:rPr>
      </w:r>
      <w:r w:rsidRPr="001F0E92">
        <w:rPr>
          <w:rFonts w:cs="Arial"/>
          <w:color w:val="000000"/>
          <w:szCs w:val="22"/>
        </w:rPr>
        <w:fldChar w:fldCharType="separate"/>
      </w:r>
      <w:r w:rsidR="0067675D" w:rsidRPr="001F0E92">
        <w:rPr>
          <w:rFonts w:cs="Arial"/>
          <w:color w:val="000000"/>
          <w:szCs w:val="22"/>
        </w:rPr>
        <w:t xml:space="preserve">Table </w:t>
      </w:r>
      <w:r w:rsidR="0067675D">
        <w:rPr>
          <w:rFonts w:cs="Arial"/>
          <w:noProof/>
          <w:color w:val="000000"/>
          <w:szCs w:val="22"/>
        </w:rPr>
        <w:t>17</w:t>
      </w:r>
      <w:r w:rsidRPr="001F0E92">
        <w:rPr>
          <w:rFonts w:cs="Arial"/>
          <w:color w:val="000000"/>
          <w:szCs w:val="22"/>
        </w:rPr>
        <w:fldChar w:fldCharType="end"/>
      </w:r>
      <w:r w:rsidRPr="001F0E92">
        <w:rPr>
          <w:rFonts w:cs="Arial"/>
          <w:color w:val="000000"/>
          <w:szCs w:val="22"/>
        </w:rPr>
        <w:t>).</w:t>
      </w:r>
    </w:p>
    <w:p w14:paraId="5DC9904F" w14:textId="77777777" w:rsidR="009A7AB4" w:rsidRPr="001F0E92" w:rsidRDefault="009A7AB4" w:rsidP="00EC7975">
      <w:pPr>
        <w:rPr>
          <w:rFonts w:cs="Arial"/>
          <w:color w:val="000000"/>
          <w:szCs w:val="22"/>
        </w:rPr>
      </w:pPr>
    </w:p>
    <w:p w14:paraId="5197C084" w14:textId="77777777" w:rsidR="00EC7975" w:rsidRPr="001F0E92" w:rsidRDefault="001F4593" w:rsidP="00824A7C">
      <w:pPr>
        <w:keepNext/>
        <w:jc w:val="center"/>
        <w:rPr>
          <w:rFonts w:cs="Arial"/>
          <w:color w:val="000000"/>
          <w:szCs w:val="22"/>
        </w:rPr>
      </w:pPr>
      <w:bookmarkStart w:id="868" w:name="_Ref316226853"/>
      <w:r w:rsidRPr="001F0E92">
        <w:rPr>
          <w:rFonts w:cs="Arial"/>
          <w:noProof/>
          <w:color w:val="000000"/>
          <w:szCs w:val="22"/>
          <w:lang w:eastAsia="en-AU"/>
        </w:rPr>
        <w:drawing>
          <wp:inline distT="0" distB="0" distL="0" distR="0" wp14:anchorId="59543097" wp14:editId="0DD9078C">
            <wp:extent cx="2773045" cy="2096770"/>
            <wp:effectExtent l="0" t="0" r="0" b="0"/>
            <wp:docPr id="131" name="Picture 131" descr="Figure showing relationship between sample size and the error in estimation of percentile values for seagrass abundance (% cover) in coastal seagrass habitats in the Wet Tropics N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Figure showing relationship between sample size and the error in estimation of percentile values for seagrass abundance (% cover) in coastal seagrass habitats in the Wet Tropics NRM."/>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2773045" cy="2096770"/>
                    </a:xfrm>
                    <a:prstGeom prst="rect">
                      <a:avLst/>
                    </a:prstGeom>
                    <a:noFill/>
                    <a:ln>
                      <a:noFill/>
                    </a:ln>
                  </pic:spPr>
                </pic:pic>
              </a:graphicData>
            </a:graphic>
          </wp:inline>
        </w:drawing>
      </w:r>
      <w:r w:rsidR="00EC7975" w:rsidRPr="001F0E92">
        <w:rPr>
          <w:rFonts w:cs="Arial"/>
          <w:color w:val="000000"/>
          <w:szCs w:val="22"/>
        </w:rPr>
        <w:t xml:space="preserve"> </w:t>
      </w:r>
      <w:r w:rsidRPr="001F0E92">
        <w:rPr>
          <w:rFonts w:cs="Arial"/>
          <w:noProof/>
          <w:color w:val="000000"/>
          <w:szCs w:val="22"/>
          <w:lang w:eastAsia="en-AU"/>
        </w:rPr>
        <w:drawing>
          <wp:inline distT="0" distB="0" distL="0" distR="0" wp14:anchorId="5A032E8B" wp14:editId="471D7C89">
            <wp:extent cx="2768600" cy="2092325"/>
            <wp:effectExtent l="0" t="0" r="0" b="0"/>
            <wp:docPr id="132" name="Picture 132" descr="Figure showing relationship between sample size and the error in estimation of percentile values for seagrass abundance (% cover) in reef seagrass habitats in the Wet Tropics N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Figure showing relationship between sample size and the error in estimation of percentile values for seagrass abundance (% cover) in reef seagrass habitats in the Wet Tropics NRM."/>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2768600" cy="2092325"/>
                    </a:xfrm>
                    <a:prstGeom prst="rect">
                      <a:avLst/>
                    </a:prstGeom>
                    <a:noFill/>
                    <a:ln>
                      <a:noFill/>
                    </a:ln>
                  </pic:spPr>
                </pic:pic>
              </a:graphicData>
            </a:graphic>
          </wp:inline>
        </w:drawing>
      </w:r>
    </w:p>
    <w:p w14:paraId="45C167A3" w14:textId="304A8E51" w:rsidR="00EC7975" w:rsidRPr="001F0E92" w:rsidRDefault="00EC7975" w:rsidP="00EC7975">
      <w:pPr>
        <w:rPr>
          <w:rFonts w:cs="Arial"/>
          <w:i/>
          <w:vanish/>
          <w:color w:val="000000"/>
          <w:szCs w:val="22"/>
          <w:specVanish/>
        </w:rPr>
      </w:pPr>
      <w:bookmarkStart w:id="869" w:name="_Ref410560182"/>
      <w:bookmarkStart w:id="870" w:name="_Toc431493916"/>
      <w:bookmarkStart w:id="871" w:name="_Toc38634193"/>
      <w:r w:rsidRPr="001F0E92">
        <w:rPr>
          <w:rFonts w:cs="Arial"/>
          <w:color w:val="000000"/>
          <w:szCs w:val="22"/>
        </w:rPr>
        <w:t xml:space="preserve">Figure </w:t>
      </w:r>
      <w:r w:rsidR="0073595B" w:rsidRPr="001F0E92">
        <w:rPr>
          <w:rFonts w:cs="Arial"/>
          <w:color w:val="000000"/>
          <w:szCs w:val="22"/>
        </w:rPr>
        <w:fldChar w:fldCharType="begin"/>
      </w:r>
      <w:r w:rsidR="0073595B" w:rsidRPr="001F0E92">
        <w:rPr>
          <w:rFonts w:cs="Arial"/>
          <w:color w:val="000000"/>
          <w:szCs w:val="22"/>
        </w:rPr>
        <w:instrText xml:space="preserve"> SEQ Figure \* ARABIC </w:instrText>
      </w:r>
      <w:r w:rsidR="0073595B" w:rsidRPr="001F0E92">
        <w:rPr>
          <w:rFonts w:cs="Arial"/>
          <w:color w:val="000000"/>
          <w:szCs w:val="22"/>
        </w:rPr>
        <w:fldChar w:fldCharType="separate"/>
      </w:r>
      <w:r w:rsidR="0067675D">
        <w:rPr>
          <w:rFonts w:cs="Arial"/>
          <w:noProof/>
          <w:color w:val="000000"/>
          <w:szCs w:val="22"/>
        </w:rPr>
        <w:t>89</w:t>
      </w:r>
      <w:r w:rsidR="0073595B" w:rsidRPr="001F0E92">
        <w:rPr>
          <w:rFonts w:cs="Arial"/>
          <w:color w:val="000000"/>
          <w:szCs w:val="22"/>
        </w:rPr>
        <w:fldChar w:fldCharType="end"/>
      </w:r>
      <w:bookmarkEnd w:id="868"/>
      <w:bookmarkEnd w:id="869"/>
      <w:r w:rsidRPr="001F0E92">
        <w:rPr>
          <w:rFonts w:cs="Arial"/>
          <w:color w:val="000000"/>
          <w:szCs w:val="22"/>
        </w:rPr>
        <w:t xml:space="preserve">. </w:t>
      </w:r>
      <w:r w:rsidRPr="001F0E92">
        <w:rPr>
          <w:rFonts w:cs="Arial"/>
          <w:i/>
          <w:color w:val="000000"/>
          <w:szCs w:val="22"/>
        </w:rPr>
        <w:t>Relationship between sample size and the error in estimation of percentile values for seagrass abundance (</w:t>
      </w:r>
      <w:r w:rsidR="007F7222">
        <w:rPr>
          <w:rFonts w:cs="Arial"/>
          <w:i/>
          <w:color w:val="000000"/>
          <w:szCs w:val="22"/>
        </w:rPr>
        <w:t>per cent</w:t>
      </w:r>
      <w:r w:rsidRPr="001F0E92">
        <w:rPr>
          <w:rFonts w:cs="Arial"/>
          <w:i/>
          <w:color w:val="000000"/>
          <w:szCs w:val="22"/>
        </w:rPr>
        <w:t xml:space="preserve"> cover) in coastal and reef seagrass habitats in the Wet Tropics NRM.</w:t>
      </w:r>
      <w:bookmarkEnd w:id="870"/>
      <w:bookmarkEnd w:id="871"/>
      <w:r w:rsidRPr="001F0E92">
        <w:rPr>
          <w:rFonts w:cs="Arial"/>
          <w:i/>
          <w:color w:val="000000"/>
          <w:szCs w:val="22"/>
        </w:rPr>
        <w:t xml:space="preserve"> </w:t>
      </w:r>
    </w:p>
    <w:p w14:paraId="27B1B055" w14:textId="66E640AA" w:rsidR="00EC7975" w:rsidRPr="001F0E92" w:rsidRDefault="00EC7975" w:rsidP="00EC7975">
      <w:pPr>
        <w:rPr>
          <w:rFonts w:cs="Arial"/>
          <w:color w:val="000000"/>
          <w:szCs w:val="22"/>
        </w:rPr>
      </w:pPr>
      <w:r w:rsidRPr="001F0E92">
        <w:rPr>
          <w:rFonts w:cs="Arial"/>
          <w:i/>
          <w:color w:val="000000"/>
          <w:szCs w:val="22"/>
        </w:rPr>
        <w:sym w:font="Wingdings 3" w:char="F071"/>
      </w:r>
      <w:r w:rsidRPr="001F0E92">
        <w:rPr>
          <w:rFonts w:cs="Arial"/>
          <w:i/>
          <w:color w:val="000000"/>
          <w:szCs w:val="22"/>
        </w:rPr>
        <w:t xml:space="preserve"> = 75</w:t>
      </w:r>
      <w:r w:rsidRPr="001F0E92">
        <w:rPr>
          <w:rFonts w:cs="Arial"/>
          <w:i/>
          <w:color w:val="000000"/>
          <w:szCs w:val="22"/>
          <w:vertAlign w:val="superscript"/>
        </w:rPr>
        <w:t>th</w:t>
      </w:r>
      <w:r w:rsidRPr="001F0E92">
        <w:rPr>
          <w:rFonts w:cs="Arial"/>
          <w:i/>
          <w:color w:val="000000"/>
          <w:szCs w:val="22"/>
        </w:rPr>
        <w:t xml:space="preserve"> percentile, ○ = 50</w:t>
      </w:r>
      <w:r w:rsidRPr="001F0E92">
        <w:rPr>
          <w:rFonts w:cs="Arial"/>
          <w:i/>
          <w:color w:val="000000"/>
          <w:szCs w:val="22"/>
          <w:vertAlign w:val="superscript"/>
        </w:rPr>
        <w:t>th</w:t>
      </w:r>
      <w:r w:rsidRPr="001F0E92">
        <w:rPr>
          <w:rFonts w:cs="Arial"/>
          <w:i/>
          <w:color w:val="000000"/>
          <w:szCs w:val="22"/>
        </w:rPr>
        <w:t xml:space="preserve"> percentile,● = 20</w:t>
      </w:r>
      <w:r w:rsidRPr="001F0E92">
        <w:rPr>
          <w:rFonts w:cs="Arial"/>
          <w:i/>
          <w:color w:val="000000"/>
          <w:szCs w:val="22"/>
          <w:vertAlign w:val="superscript"/>
        </w:rPr>
        <w:t>th</w:t>
      </w:r>
      <w:r w:rsidRPr="001F0E92">
        <w:rPr>
          <w:rFonts w:cs="Arial"/>
          <w:i/>
          <w:color w:val="000000"/>
          <w:szCs w:val="22"/>
        </w:rPr>
        <w:t xml:space="preserve"> percentile. </w:t>
      </w:r>
      <w:r w:rsidR="009C00A1" w:rsidRPr="001F0E92">
        <w:rPr>
          <w:rFonts w:cs="Arial"/>
          <w:i/>
          <w:color w:val="000000"/>
          <w:szCs w:val="22"/>
        </w:rPr>
        <w:t>Horizontal</w:t>
      </w:r>
      <w:r w:rsidRPr="001F0E92">
        <w:rPr>
          <w:rFonts w:cs="Arial"/>
          <w:i/>
          <w:color w:val="000000"/>
          <w:szCs w:val="22"/>
        </w:rPr>
        <w:t xml:space="preserve"> lines are asymptotic averages for each percentile plot. </w:t>
      </w:r>
    </w:p>
    <w:p w14:paraId="66C677BB" w14:textId="23D501EB" w:rsidR="00EC7975" w:rsidRPr="001F0E92" w:rsidRDefault="00EC7975" w:rsidP="00EC7975">
      <w:pPr>
        <w:rPr>
          <w:rFonts w:cs="Arial"/>
          <w:color w:val="000000"/>
          <w:szCs w:val="22"/>
        </w:rPr>
      </w:pPr>
      <w:r w:rsidRPr="001F0E92">
        <w:rPr>
          <w:rFonts w:cs="Arial"/>
          <w:color w:val="000000"/>
          <w:szCs w:val="22"/>
        </w:rPr>
        <w:t>As sampling events occur every 3-6 months depending on the site, this is equivalent to 3</w:t>
      </w:r>
      <w:r w:rsidR="0043389D" w:rsidRPr="001F0E92">
        <w:rPr>
          <w:rFonts w:cs="Arial"/>
          <w:color w:val="000000"/>
          <w:szCs w:val="22"/>
        </w:rPr>
        <w:t>–</w:t>
      </w:r>
      <w:r w:rsidRPr="001F0E92">
        <w:rPr>
          <w:rFonts w:cs="Arial"/>
          <w:color w:val="000000"/>
          <w:szCs w:val="22"/>
        </w:rPr>
        <w:t>10 years of monitoring to establish percentile values. Based on the analyses, it was recommended that estimates of the 20</w:t>
      </w:r>
      <w:r w:rsidRPr="001F0E92">
        <w:rPr>
          <w:rFonts w:cs="Arial"/>
          <w:color w:val="000000"/>
          <w:szCs w:val="22"/>
          <w:vertAlign w:val="superscript"/>
        </w:rPr>
        <w:t>th</w:t>
      </w:r>
      <w:r w:rsidRPr="001F0E92">
        <w:rPr>
          <w:rFonts w:cs="Arial"/>
          <w:color w:val="000000"/>
          <w:szCs w:val="22"/>
        </w:rPr>
        <w:t xml:space="preserve"> percentile at a reference site should be based on a minimum of 18 samples collected over at least three years. For the 50</w:t>
      </w:r>
      <w:r w:rsidRPr="001F0E92">
        <w:rPr>
          <w:rFonts w:cs="Arial"/>
          <w:color w:val="000000"/>
          <w:szCs w:val="22"/>
          <w:vertAlign w:val="superscript"/>
        </w:rPr>
        <w:t>th</w:t>
      </w:r>
      <w:r w:rsidRPr="001F0E92">
        <w:rPr>
          <w:rFonts w:cs="Arial"/>
          <w:color w:val="000000"/>
          <w:szCs w:val="22"/>
        </w:rPr>
        <w:t xml:space="preserve"> percentile a smaller minimum number of samples (approximately 10–12) would be adequate but in most situations it would be necessary to collect sufficient data for the 20</w:t>
      </w:r>
      <w:r w:rsidRPr="001F0E92">
        <w:rPr>
          <w:rFonts w:cs="Arial"/>
          <w:color w:val="000000"/>
          <w:szCs w:val="22"/>
          <w:vertAlign w:val="superscript"/>
        </w:rPr>
        <w:t>th</w:t>
      </w:r>
      <w:r w:rsidRPr="001F0E92">
        <w:rPr>
          <w:rFonts w:cs="Arial"/>
          <w:color w:val="000000"/>
          <w:szCs w:val="22"/>
        </w:rPr>
        <w:t xml:space="preserve"> percentile anyway. For seagrass habitats with low variability, a more appropriate guideline was the 10</w:t>
      </w:r>
      <w:r w:rsidRPr="001F0E92">
        <w:rPr>
          <w:rFonts w:cs="Arial"/>
          <w:color w:val="000000"/>
          <w:szCs w:val="22"/>
          <w:vertAlign w:val="superscript"/>
        </w:rPr>
        <w:t>th</w:t>
      </w:r>
      <w:r w:rsidRPr="001F0E92">
        <w:rPr>
          <w:rFonts w:cs="Arial"/>
          <w:color w:val="000000"/>
          <w:szCs w:val="22"/>
        </w:rPr>
        <w:t xml:space="preserve"> percentile primarily the result of seasonal fluctuations (as nearly every seasonal low would fall below the 20</w:t>
      </w:r>
      <w:r w:rsidRPr="001F0E92">
        <w:rPr>
          <w:rFonts w:cs="Arial"/>
          <w:color w:val="000000"/>
          <w:szCs w:val="22"/>
          <w:vertAlign w:val="superscript"/>
        </w:rPr>
        <w:t>th</w:t>
      </w:r>
      <w:r w:rsidRPr="001F0E92">
        <w:rPr>
          <w:rFonts w:cs="Arial"/>
          <w:color w:val="000000"/>
          <w:szCs w:val="22"/>
        </w:rPr>
        <w:t xml:space="preserve"> percentile). Percentile variability was further reduced within a habitat type of each region by pooling at least two (preferably more) reference sites to derive guidelines. The subregional guideline is calculated from the mean of all reference sites within a habitat type within a region.</w:t>
      </w:r>
    </w:p>
    <w:p w14:paraId="3A5561C0" w14:textId="77777777" w:rsidR="003730A6" w:rsidRDefault="00EC7975" w:rsidP="00EC7975">
      <w:pPr>
        <w:rPr>
          <w:rFonts w:cs="Arial"/>
          <w:color w:val="000000"/>
          <w:szCs w:val="22"/>
        </w:rPr>
      </w:pPr>
      <w:r w:rsidRPr="001F0E92">
        <w:rPr>
          <w:rFonts w:cs="Arial"/>
          <w:color w:val="000000"/>
          <w:szCs w:val="22"/>
        </w:rPr>
        <w:t>Using the seagrass guidelines, seagrass state can be determined for each monitoring event at each site and allocated as</w:t>
      </w:r>
      <w:r w:rsidR="003730A6">
        <w:rPr>
          <w:rFonts w:cs="Arial"/>
          <w:color w:val="000000"/>
          <w:szCs w:val="22"/>
        </w:rPr>
        <w:t>:</w:t>
      </w:r>
      <w:r w:rsidRPr="001F0E92">
        <w:rPr>
          <w:rFonts w:cs="Arial"/>
          <w:color w:val="000000"/>
          <w:szCs w:val="22"/>
        </w:rPr>
        <w:t xml:space="preserve"> </w:t>
      </w:r>
    </w:p>
    <w:p w14:paraId="64B4E01D" w14:textId="36DE0883" w:rsidR="003730A6" w:rsidRPr="00257466" w:rsidRDefault="00EC7975" w:rsidP="002D1BBC">
      <w:pPr>
        <w:numPr>
          <w:ilvl w:val="0"/>
          <w:numId w:val="29"/>
        </w:numPr>
        <w:rPr>
          <w:rFonts w:cs="Arial"/>
          <w:color w:val="000000"/>
          <w:szCs w:val="22"/>
        </w:rPr>
      </w:pPr>
      <w:r w:rsidRPr="00257466">
        <w:rPr>
          <w:rFonts w:cs="Arial"/>
          <w:color w:val="000000"/>
          <w:szCs w:val="22"/>
        </w:rPr>
        <w:lastRenderedPageBreak/>
        <w:t>good (median abundance at or above 50</w:t>
      </w:r>
      <w:r w:rsidRPr="00257466">
        <w:rPr>
          <w:rFonts w:cs="Arial"/>
          <w:color w:val="000000"/>
          <w:szCs w:val="22"/>
          <w:vertAlign w:val="superscript"/>
        </w:rPr>
        <w:t>th</w:t>
      </w:r>
      <w:r w:rsidRPr="00257466">
        <w:rPr>
          <w:rFonts w:cs="Arial"/>
          <w:color w:val="000000"/>
          <w:szCs w:val="22"/>
        </w:rPr>
        <w:t xml:space="preserve"> percentile) </w:t>
      </w:r>
    </w:p>
    <w:p w14:paraId="7CA4F3A4" w14:textId="7EF96752" w:rsidR="003730A6" w:rsidRPr="00257466" w:rsidRDefault="00EC7975" w:rsidP="002D1BBC">
      <w:pPr>
        <w:numPr>
          <w:ilvl w:val="0"/>
          <w:numId w:val="29"/>
        </w:numPr>
        <w:rPr>
          <w:rFonts w:cs="Arial"/>
          <w:color w:val="000000"/>
          <w:szCs w:val="22"/>
        </w:rPr>
      </w:pPr>
      <w:r w:rsidRPr="00257466">
        <w:rPr>
          <w:rFonts w:cs="Arial"/>
          <w:color w:val="000000"/>
          <w:szCs w:val="22"/>
        </w:rPr>
        <w:t>moderate (median abundance below 50</w:t>
      </w:r>
      <w:r w:rsidRPr="00257466">
        <w:rPr>
          <w:rFonts w:cs="Arial"/>
          <w:color w:val="000000"/>
          <w:szCs w:val="22"/>
          <w:vertAlign w:val="superscript"/>
        </w:rPr>
        <w:t>th</w:t>
      </w:r>
      <w:r w:rsidRPr="00257466">
        <w:rPr>
          <w:rFonts w:cs="Arial"/>
          <w:color w:val="000000"/>
          <w:szCs w:val="22"/>
        </w:rPr>
        <w:t xml:space="preserve"> percentile and at or above 20</w:t>
      </w:r>
      <w:r w:rsidRPr="00257466">
        <w:rPr>
          <w:rFonts w:cs="Arial"/>
          <w:color w:val="000000"/>
          <w:szCs w:val="22"/>
          <w:vertAlign w:val="superscript"/>
        </w:rPr>
        <w:t>th</w:t>
      </w:r>
      <w:r w:rsidRPr="00257466">
        <w:rPr>
          <w:rFonts w:cs="Arial"/>
          <w:color w:val="000000"/>
          <w:szCs w:val="22"/>
        </w:rPr>
        <w:t xml:space="preserve"> percentile) </w:t>
      </w:r>
    </w:p>
    <w:p w14:paraId="436CB30D" w14:textId="77777777" w:rsidR="003730A6" w:rsidRPr="00257466" w:rsidRDefault="00EC7975" w:rsidP="002D1BBC">
      <w:pPr>
        <w:numPr>
          <w:ilvl w:val="0"/>
          <w:numId w:val="29"/>
        </w:numPr>
        <w:rPr>
          <w:rFonts w:cs="Arial"/>
          <w:color w:val="000000"/>
          <w:szCs w:val="22"/>
        </w:rPr>
      </w:pPr>
      <w:r w:rsidRPr="00257466">
        <w:rPr>
          <w:rFonts w:cs="Arial"/>
          <w:color w:val="000000"/>
          <w:szCs w:val="22"/>
        </w:rPr>
        <w:t>poor (median abundance below 20</w:t>
      </w:r>
      <w:r w:rsidRPr="00257466">
        <w:rPr>
          <w:rFonts w:cs="Arial"/>
          <w:color w:val="000000"/>
          <w:szCs w:val="22"/>
          <w:vertAlign w:val="superscript"/>
        </w:rPr>
        <w:t>th</w:t>
      </w:r>
      <w:r w:rsidRPr="00257466">
        <w:rPr>
          <w:rFonts w:cs="Arial"/>
          <w:color w:val="000000"/>
          <w:szCs w:val="22"/>
        </w:rPr>
        <w:t xml:space="preserve"> or 10</w:t>
      </w:r>
      <w:r w:rsidRPr="00257466">
        <w:rPr>
          <w:rFonts w:cs="Arial"/>
          <w:color w:val="000000"/>
          <w:szCs w:val="22"/>
          <w:vertAlign w:val="superscript"/>
        </w:rPr>
        <w:t>th</w:t>
      </w:r>
      <w:r w:rsidRPr="00257466">
        <w:rPr>
          <w:rFonts w:cs="Arial"/>
          <w:color w:val="000000"/>
          <w:szCs w:val="22"/>
        </w:rPr>
        <w:t xml:space="preserve"> percentile).  </w:t>
      </w:r>
    </w:p>
    <w:p w14:paraId="66EC2C61" w14:textId="1041E30D" w:rsidR="00EC7975" w:rsidRPr="001F0E92" w:rsidRDefault="00EC7975" w:rsidP="00EC7975">
      <w:pPr>
        <w:rPr>
          <w:rFonts w:cs="Arial"/>
          <w:color w:val="000000"/>
          <w:szCs w:val="22"/>
        </w:rPr>
      </w:pPr>
      <w:r w:rsidRPr="001F0E92">
        <w:rPr>
          <w:rFonts w:cs="Arial"/>
          <w:color w:val="000000"/>
          <w:szCs w:val="22"/>
        </w:rPr>
        <w:t>For example, when the median seagrass abundance for Yule Point is plotted against the 20</w:t>
      </w:r>
      <w:r w:rsidRPr="001F0E92">
        <w:rPr>
          <w:rFonts w:cs="Arial"/>
          <w:color w:val="000000"/>
          <w:szCs w:val="22"/>
          <w:vertAlign w:val="superscript"/>
        </w:rPr>
        <w:t>th</w:t>
      </w:r>
      <w:r w:rsidRPr="001F0E92">
        <w:rPr>
          <w:rFonts w:cs="Arial"/>
          <w:color w:val="000000"/>
          <w:szCs w:val="22"/>
        </w:rPr>
        <w:t xml:space="preserve"> and 50</w:t>
      </w:r>
      <w:r w:rsidRPr="001F0E92">
        <w:rPr>
          <w:rFonts w:cs="Arial"/>
          <w:color w:val="000000"/>
          <w:szCs w:val="22"/>
          <w:vertAlign w:val="superscript"/>
        </w:rPr>
        <w:t>th</w:t>
      </w:r>
      <w:r w:rsidRPr="001F0E92">
        <w:rPr>
          <w:rFonts w:cs="Arial"/>
          <w:color w:val="000000"/>
          <w:szCs w:val="22"/>
        </w:rPr>
        <w:t xml:space="preserve"> percentiles for coastal habitats in the Wet Tropics (</w:t>
      </w:r>
      <w:r w:rsidR="00144953" w:rsidRPr="001F0E92">
        <w:rPr>
          <w:rFonts w:cs="Arial"/>
          <w:color w:val="000000"/>
          <w:szCs w:val="22"/>
        </w:rPr>
        <w:fldChar w:fldCharType="begin"/>
      </w:r>
      <w:r w:rsidR="00144953" w:rsidRPr="001F0E92">
        <w:rPr>
          <w:rFonts w:cs="Arial"/>
          <w:color w:val="000000"/>
          <w:szCs w:val="22"/>
        </w:rPr>
        <w:instrText xml:space="preserve"> REF _Ref410146982 \h </w:instrText>
      </w:r>
      <w:r w:rsidR="00DA741D" w:rsidRPr="001F0E92">
        <w:rPr>
          <w:rFonts w:cs="Arial"/>
          <w:color w:val="000000"/>
          <w:szCs w:val="22"/>
        </w:rPr>
        <w:instrText xml:space="preserve"> \* MERGEFORMAT </w:instrText>
      </w:r>
      <w:r w:rsidR="00144953" w:rsidRPr="001F0E92">
        <w:rPr>
          <w:rFonts w:cs="Arial"/>
          <w:color w:val="000000"/>
          <w:szCs w:val="22"/>
        </w:rPr>
      </w:r>
      <w:r w:rsidR="00144953" w:rsidRPr="001F0E92">
        <w:rPr>
          <w:rFonts w:cs="Arial"/>
          <w:color w:val="000000"/>
          <w:szCs w:val="22"/>
        </w:rPr>
        <w:fldChar w:fldCharType="separate"/>
      </w:r>
      <w:r w:rsidR="0067675D" w:rsidRPr="001F0E92">
        <w:rPr>
          <w:rFonts w:cs="Arial"/>
          <w:color w:val="000000"/>
          <w:szCs w:val="22"/>
        </w:rPr>
        <w:t xml:space="preserve">Figure </w:t>
      </w:r>
      <w:r w:rsidR="0067675D">
        <w:rPr>
          <w:rFonts w:cs="Arial"/>
          <w:noProof/>
          <w:color w:val="000000"/>
          <w:szCs w:val="22"/>
        </w:rPr>
        <w:t>90</w:t>
      </w:r>
      <w:r w:rsidR="00144953" w:rsidRPr="001F0E92">
        <w:rPr>
          <w:rFonts w:cs="Arial"/>
          <w:color w:val="000000"/>
          <w:szCs w:val="22"/>
        </w:rPr>
        <w:fldChar w:fldCharType="end"/>
      </w:r>
      <w:r w:rsidRPr="001F0E92">
        <w:rPr>
          <w:rFonts w:cs="Arial"/>
          <w:color w:val="000000"/>
          <w:szCs w:val="22"/>
        </w:rPr>
        <w:t xml:space="preserve">), it indicates that the meadows were in a poor condition in </w:t>
      </w:r>
      <w:r w:rsidR="007A70FE" w:rsidRPr="001F0E92">
        <w:rPr>
          <w:rFonts w:cs="Arial"/>
          <w:color w:val="000000"/>
          <w:szCs w:val="22"/>
        </w:rPr>
        <w:t>mid-2000</w:t>
      </w:r>
      <w:r w:rsidRPr="001F0E92">
        <w:rPr>
          <w:rFonts w:cs="Arial"/>
          <w:color w:val="000000"/>
          <w:szCs w:val="22"/>
        </w:rPr>
        <w:t xml:space="preserve">, </w:t>
      </w:r>
      <w:r w:rsidR="003730A6" w:rsidRPr="001F0E92">
        <w:rPr>
          <w:rFonts w:cs="Arial"/>
          <w:color w:val="000000"/>
          <w:szCs w:val="22"/>
        </w:rPr>
        <w:t>mid</w:t>
      </w:r>
      <w:r w:rsidR="003730A6">
        <w:rPr>
          <w:rFonts w:cs="Arial"/>
          <w:color w:val="000000"/>
          <w:szCs w:val="22"/>
        </w:rPr>
        <w:t>-</w:t>
      </w:r>
      <w:r w:rsidRPr="001F0E92">
        <w:rPr>
          <w:rFonts w:cs="Arial"/>
          <w:color w:val="000000"/>
          <w:szCs w:val="22"/>
        </w:rPr>
        <w:t xml:space="preserve">2001 and </w:t>
      </w:r>
      <w:r w:rsidR="003730A6" w:rsidRPr="001F0E92">
        <w:rPr>
          <w:rFonts w:cs="Arial"/>
          <w:color w:val="000000"/>
          <w:szCs w:val="22"/>
        </w:rPr>
        <w:t>mid</w:t>
      </w:r>
      <w:r w:rsidR="003730A6">
        <w:rPr>
          <w:rFonts w:cs="Arial"/>
          <w:color w:val="000000"/>
          <w:szCs w:val="22"/>
        </w:rPr>
        <w:t>-</w:t>
      </w:r>
      <w:r w:rsidRPr="001F0E92">
        <w:rPr>
          <w:rFonts w:cs="Arial"/>
          <w:color w:val="000000"/>
          <w:szCs w:val="22"/>
        </w:rPr>
        <w:t>2006 (based on abundance).</w:t>
      </w:r>
    </w:p>
    <w:p w14:paraId="0D6F7137" w14:textId="77777777" w:rsidR="00EC7975" w:rsidRPr="001F0E92" w:rsidRDefault="001F4593" w:rsidP="00824A7C">
      <w:pPr>
        <w:keepNext/>
        <w:jc w:val="center"/>
        <w:rPr>
          <w:rFonts w:cs="Arial"/>
          <w:color w:val="000000"/>
          <w:szCs w:val="22"/>
        </w:rPr>
      </w:pPr>
      <w:bookmarkStart w:id="872" w:name="_Ref316226955"/>
      <w:r w:rsidRPr="001F0E92">
        <w:rPr>
          <w:rFonts w:cs="Arial"/>
          <w:noProof/>
          <w:color w:val="000000"/>
          <w:szCs w:val="22"/>
          <w:lang w:eastAsia="en-AU"/>
        </w:rPr>
        <w:drawing>
          <wp:inline distT="0" distB="0" distL="0" distR="0" wp14:anchorId="513F7F24" wp14:editId="0BFD6D16">
            <wp:extent cx="2700000" cy="1641600"/>
            <wp:effectExtent l="0" t="0" r="5715" b="0"/>
            <wp:docPr id="133" name="Picture 133" descr="Figure showing median seagrass abundance (% cover) at Yule Point plotted against the 50th and 20th percentiles for coastal seagrass habitat in the Wet Tr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gure showing median seagrass abundance (% cover) at Yule Point plotted against the 50th and 20th percentiles for coastal seagrass habitat in the Wet Tropics"/>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2700000" cy="1641600"/>
                    </a:xfrm>
                    <a:prstGeom prst="rect">
                      <a:avLst/>
                    </a:prstGeom>
                    <a:noFill/>
                    <a:ln>
                      <a:noFill/>
                    </a:ln>
                  </pic:spPr>
                </pic:pic>
              </a:graphicData>
            </a:graphic>
          </wp:inline>
        </w:drawing>
      </w:r>
      <w:r w:rsidR="005F7F6E" w:rsidRPr="001F0E92">
        <w:rPr>
          <w:rFonts w:cs="Arial"/>
          <w:color w:val="000000"/>
          <w:szCs w:val="22"/>
        </w:rPr>
        <w:t xml:space="preserve"> </w:t>
      </w:r>
      <w:r w:rsidR="005F7F6E" w:rsidRPr="001F0E92">
        <w:rPr>
          <w:rFonts w:cs="Arial"/>
          <w:noProof/>
          <w:color w:val="000000"/>
          <w:szCs w:val="22"/>
          <w:lang w:eastAsia="en-AU"/>
        </w:rPr>
        <w:drawing>
          <wp:inline distT="0" distB="0" distL="0" distR="0" wp14:anchorId="144E92C7" wp14:editId="25618F19">
            <wp:extent cx="2700000" cy="1641600"/>
            <wp:effectExtent l="0" t="0" r="5715" b="0"/>
            <wp:docPr id="134" name="Picture 134" descr="Figure showing median seagrass abundance (% cover) at Green Island plotted against the 50th and 10th percentiles for intertidal reef seagrass habitat in the Wet Tr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gure showing median seagrass abundance (% cover) at Green Island plotted against the 50th and 10th percentiles for intertidal reef seagrass habitat in the Wet Tropics."/>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2700000" cy="1641600"/>
                    </a:xfrm>
                    <a:prstGeom prst="rect">
                      <a:avLst/>
                    </a:prstGeom>
                    <a:noFill/>
                    <a:ln>
                      <a:noFill/>
                    </a:ln>
                  </pic:spPr>
                </pic:pic>
              </a:graphicData>
            </a:graphic>
          </wp:inline>
        </w:drawing>
      </w:r>
    </w:p>
    <w:p w14:paraId="0756F4A5" w14:textId="629525F7" w:rsidR="00EC7975" w:rsidRPr="001F0E92" w:rsidRDefault="00EC7975" w:rsidP="00EC7975">
      <w:pPr>
        <w:rPr>
          <w:rFonts w:cs="Arial"/>
          <w:i/>
          <w:color w:val="000000"/>
          <w:szCs w:val="22"/>
        </w:rPr>
      </w:pPr>
      <w:bookmarkStart w:id="873" w:name="_Ref410146982"/>
      <w:bookmarkStart w:id="874" w:name="_Toc431493917"/>
      <w:bookmarkStart w:id="875" w:name="_Toc38634194"/>
      <w:r w:rsidRPr="001F0E92">
        <w:rPr>
          <w:rFonts w:cs="Arial"/>
          <w:color w:val="000000"/>
          <w:szCs w:val="22"/>
        </w:rPr>
        <w:t xml:space="preserve">Figure </w:t>
      </w:r>
      <w:r w:rsidR="0073595B" w:rsidRPr="001F0E92">
        <w:rPr>
          <w:rFonts w:cs="Arial"/>
          <w:color w:val="000000"/>
          <w:szCs w:val="22"/>
        </w:rPr>
        <w:fldChar w:fldCharType="begin"/>
      </w:r>
      <w:r w:rsidR="0073595B" w:rsidRPr="001F0E92">
        <w:rPr>
          <w:rFonts w:cs="Arial"/>
          <w:color w:val="000000"/>
          <w:szCs w:val="22"/>
        </w:rPr>
        <w:instrText xml:space="preserve"> SEQ Figure \* ARABIC </w:instrText>
      </w:r>
      <w:r w:rsidR="0073595B" w:rsidRPr="001F0E92">
        <w:rPr>
          <w:rFonts w:cs="Arial"/>
          <w:color w:val="000000"/>
          <w:szCs w:val="22"/>
        </w:rPr>
        <w:fldChar w:fldCharType="separate"/>
      </w:r>
      <w:r w:rsidR="0067675D">
        <w:rPr>
          <w:rFonts w:cs="Arial"/>
          <w:noProof/>
          <w:color w:val="000000"/>
          <w:szCs w:val="22"/>
        </w:rPr>
        <w:t>90</w:t>
      </w:r>
      <w:r w:rsidR="0073595B" w:rsidRPr="001F0E92">
        <w:rPr>
          <w:rFonts w:cs="Arial"/>
          <w:color w:val="000000"/>
          <w:szCs w:val="22"/>
        </w:rPr>
        <w:fldChar w:fldCharType="end"/>
      </w:r>
      <w:bookmarkEnd w:id="872"/>
      <w:bookmarkEnd w:id="873"/>
      <w:r w:rsidRPr="001F0E92">
        <w:rPr>
          <w:rFonts w:cs="Arial"/>
          <w:color w:val="000000"/>
          <w:szCs w:val="22"/>
        </w:rPr>
        <w:t>.</w:t>
      </w:r>
      <w:r w:rsidRPr="001F0E92">
        <w:rPr>
          <w:rFonts w:cs="Arial"/>
          <w:i/>
          <w:color w:val="000000"/>
          <w:szCs w:val="22"/>
        </w:rPr>
        <w:t xml:space="preserve"> Median seagrass abundance (</w:t>
      </w:r>
      <w:r w:rsidR="007F7222">
        <w:rPr>
          <w:rFonts w:cs="Arial"/>
          <w:i/>
          <w:color w:val="000000"/>
          <w:szCs w:val="22"/>
        </w:rPr>
        <w:t xml:space="preserve">per cent </w:t>
      </w:r>
      <w:r w:rsidRPr="001F0E92">
        <w:rPr>
          <w:rFonts w:cs="Arial"/>
          <w:i/>
          <w:color w:val="000000"/>
          <w:szCs w:val="22"/>
        </w:rPr>
        <w:t xml:space="preserve">cover) at Yule Point </w:t>
      </w:r>
      <w:r w:rsidR="005F7F6E" w:rsidRPr="001F0E92">
        <w:rPr>
          <w:rFonts w:cs="Arial"/>
          <w:i/>
          <w:color w:val="000000"/>
          <w:szCs w:val="22"/>
        </w:rPr>
        <w:t xml:space="preserve">(left) and Green Island (right) </w:t>
      </w:r>
      <w:r w:rsidRPr="001F0E92">
        <w:rPr>
          <w:rFonts w:cs="Arial"/>
          <w:i/>
          <w:color w:val="000000"/>
          <w:szCs w:val="22"/>
        </w:rPr>
        <w:t>plotted against the 50</w:t>
      </w:r>
      <w:r w:rsidRPr="001F0E92">
        <w:rPr>
          <w:rFonts w:cs="Arial"/>
          <w:i/>
          <w:color w:val="000000"/>
          <w:szCs w:val="22"/>
          <w:vertAlign w:val="superscript"/>
        </w:rPr>
        <w:t>th</w:t>
      </w:r>
      <w:r w:rsidRPr="001F0E92">
        <w:rPr>
          <w:rFonts w:cs="Arial"/>
          <w:i/>
          <w:color w:val="000000"/>
          <w:szCs w:val="22"/>
        </w:rPr>
        <w:t xml:space="preserve"> and 20</w:t>
      </w:r>
      <w:r w:rsidRPr="001F0E92">
        <w:rPr>
          <w:rFonts w:cs="Arial"/>
          <w:i/>
          <w:color w:val="000000"/>
          <w:szCs w:val="22"/>
          <w:vertAlign w:val="superscript"/>
        </w:rPr>
        <w:t>th</w:t>
      </w:r>
      <w:r w:rsidRPr="001F0E92">
        <w:rPr>
          <w:rFonts w:cs="Arial"/>
          <w:i/>
          <w:color w:val="000000"/>
          <w:szCs w:val="22"/>
        </w:rPr>
        <w:t xml:space="preserve"> percentiles for coastal </w:t>
      </w:r>
      <w:r w:rsidR="005F7F6E" w:rsidRPr="001F0E92">
        <w:rPr>
          <w:rFonts w:cs="Arial"/>
          <w:i/>
          <w:color w:val="000000"/>
          <w:szCs w:val="22"/>
        </w:rPr>
        <w:t xml:space="preserve">and intertidal reef </w:t>
      </w:r>
      <w:r w:rsidRPr="001F0E92">
        <w:rPr>
          <w:rFonts w:cs="Arial"/>
          <w:i/>
          <w:color w:val="000000"/>
          <w:szCs w:val="22"/>
        </w:rPr>
        <w:t>seagrass habitat in the Wet Tropics.</w:t>
      </w:r>
      <w:bookmarkEnd w:id="874"/>
      <w:bookmarkEnd w:id="875"/>
    </w:p>
    <w:p w14:paraId="2DF4111E" w14:textId="77777777" w:rsidR="00EC7975" w:rsidRPr="001F0E92" w:rsidRDefault="00EC7975" w:rsidP="00EC7975">
      <w:pPr>
        <w:rPr>
          <w:rFonts w:cs="Arial"/>
          <w:color w:val="000000"/>
          <w:szCs w:val="22"/>
        </w:rPr>
      </w:pPr>
      <w:r w:rsidRPr="001F0E92">
        <w:rPr>
          <w:rFonts w:cs="Arial"/>
          <w:color w:val="000000"/>
          <w:szCs w:val="22"/>
        </w:rPr>
        <w:t>Similarly, when the median seagrass abundance for Green Island is plotted against the 20</w:t>
      </w:r>
      <w:r w:rsidRPr="001F0E92">
        <w:rPr>
          <w:rFonts w:cs="Arial"/>
          <w:color w:val="000000"/>
          <w:szCs w:val="22"/>
          <w:vertAlign w:val="superscript"/>
        </w:rPr>
        <w:t>th</w:t>
      </w:r>
      <w:r w:rsidRPr="001F0E92">
        <w:rPr>
          <w:rFonts w:cs="Arial"/>
          <w:color w:val="000000"/>
          <w:szCs w:val="22"/>
        </w:rPr>
        <w:t xml:space="preserve"> and 50</w:t>
      </w:r>
      <w:r w:rsidRPr="001F0E92">
        <w:rPr>
          <w:rFonts w:cs="Arial"/>
          <w:color w:val="000000"/>
          <w:szCs w:val="22"/>
          <w:vertAlign w:val="superscript"/>
        </w:rPr>
        <w:t>th</w:t>
      </w:r>
      <w:r w:rsidRPr="001F0E92">
        <w:rPr>
          <w:rFonts w:cs="Arial"/>
          <w:color w:val="000000"/>
          <w:szCs w:val="22"/>
        </w:rPr>
        <w:t xml:space="preserve"> percentiles for intertidal reef habitats in the Wet Tropics, it indicates that the meadows were in a poor condition in the middle of most years (based on abundance). However, the poor rating is most likely a consequence of seasonal lows in abundance. Therefore, in this instance, it was more appropriate to set the guideline at the 10</w:t>
      </w:r>
      <w:r w:rsidRPr="001F0E92">
        <w:rPr>
          <w:rFonts w:cs="Arial"/>
          <w:color w:val="000000"/>
          <w:szCs w:val="22"/>
          <w:vertAlign w:val="superscript"/>
        </w:rPr>
        <w:t>th</w:t>
      </w:r>
      <w:r w:rsidRPr="001F0E92">
        <w:rPr>
          <w:rFonts w:cs="Arial"/>
          <w:color w:val="000000"/>
          <w:szCs w:val="22"/>
        </w:rPr>
        <w:t xml:space="preserve"> rather than the 20</w:t>
      </w:r>
      <w:r w:rsidRPr="001F0E92">
        <w:rPr>
          <w:rFonts w:cs="Arial"/>
          <w:color w:val="000000"/>
          <w:szCs w:val="22"/>
          <w:vertAlign w:val="superscript"/>
        </w:rPr>
        <w:t>th</w:t>
      </w:r>
      <w:r w:rsidRPr="001F0E92">
        <w:rPr>
          <w:rFonts w:cs="Arial"/>
          <w:color w:val="000000"/>
          <w:szCs w:val="22"/>
        </w:rPr>
        <w:t xml:space="preserve"> percentile.</w:t>
      </w:r>
    </w:p>
    <w:p w14:paraId="07418810" w14:textId="2FD6ADF7" w:rsidR="00EC7975" w:rsidRPr="001F0E92" w:rsidRDefault="00EC7975" w:rsidP="00EC7975">
      <w:pPr>
        <w:rPr>
          <w:rFonts w:cs="Arial"/>
          <w:color w:val="000000"/>
          <w:szCs w:val="22"/>
        </w:rPr>
      </w:pPr>
      <w:r w:rsidRPr="001F0E92">
        <w:rPr>
          <w:rFonts w:cs="Arial"/>
          <w:color w:val="000000"/>
          <w:szCs w:val="22"/>
        </w:rPr>
        <w:t>Using this approach, subregional seagrass abundance guidelines (hereafter known as “the seagrass guidelines”) were developed for each seagrass habitat type where possible (</w:t>
      </w:r>
      <w:r w:rsidRPr="001F0E92">
        <w:rPr>
          <w:rFonts w:cs="Arial"/>
          <w:color w:val="000000"/>
          <w:szCs w:val="22"/>
        </w:rPr>
        <w:fldChar w:fldCharType="begin"/>
      </w:r>
      <w:r w:rsidRPr="001F0E92">
        <w:rPr>
          <w:rFonts w:cs="Arial"/>
          <w:color w:val="000000"/>
          <w:szCs w:val="22"/>
        </w:rPr>
        <w:instrText xml:space="preserve"> REF _Ref340344284 \h  \* MERGEFORMAT </w:instrText>
      </w:r>
      <w:r w:rsidRPr="001F0E92">
        <w:rPr>
          <w:rFonts w:cs="Arial"/>
          <w:color w:val="000000"/>
          <w:szCs w:val="22"/>
        </w:rPr>
      </w:r>
      <w:r w:rsidRPr="001F0E92">
        <w:rPr>
          <w:rFonts w:cs="Arial"/>
          <w:color w:val="000000"/>
          <w:szCs w:val="22"/>
        </w:rPr>
        <w:fldChar w:fldCharType="separate"/>
      </w:r>
      <w:r w:rsidR="0067675D" w:rsidRPr="001F0E92">
        <w:rPr>
          <w:rFonts w:cs="Arial"/>
          <w:color w:val="000000"/>
          <w:szCs w:val="22"/>
        </w:rPr>
        <w:t xml:space="preserve">Table </w:t>
      </w:r>
      <w:r w:rsidR="0067675D">
        <w:rPr>
          <w:rFonts w:cs="Arial"/>
          <w:noProof/>
          <w:color w:val="000000"/>
          <w:szCs w:val="22"/>
        </w:rPr>
        <w:t>17</w:t>
      </w:r>
      <w:r w:rsidRPr="001F0E92">
        <w:rPr>
          <w:rFonts w:cs="Arial"/>
          <w:color w:val="000000"/>
          <w:szCs w:val="22"/>
        </w:rPr>
        <w:fldChar w:fldCharType="end"/>
      </w:r>
      <w:r w:rsidRPr="001F0E92">
        <w:rPr>
          <w:rFonts w:cs="Arial"/>
          <w:color w:val="000000"/>
          <w:szCs w:val="22"/>
        </w:rPr>
        <w:t xml:space="preserve">). If an individual site had 18 or more sampling events </w:t>
      </w:r>
      <w:r w:rsidR="008D142C" w:rsidRPr="001F0E92">
        <w:rPr>
          <w:rFonts w:cs="Arial"/>
          <w:color w:val="000000"/>
          <w:szCs w:val="22"/>
        </w:rPr>
        <w:t>and no identified impacts (e.g.</w:t>
      </w:r>
      <w:r w:rsidRPr="001F0E92">
        <w:rPr>
          <w:rFonts w:cs="Arial"/>
          <w:color w:val="000000"/>
          <w:szCs w:val="22"/>
        </w:rPr>
        <w:t xml:space="preserve"> major loss from cyclone), an abundance guideline was determined at the site or location level rather than using </w:t>
      </w:r>
      <w:r w:rsidRPr="001F0E92">
        <w:rPr>
          <w:rFonts w:cs="Arial"/>
          <w:color w:val="000000"/>
          <w:szCs w:val="22"/>
        </w:rPr>
        <w:lastRenderedPageBreak/>
        <w:t>the subregional guideline from the reference sites (i.e. as more guidelines are developed at the site level, they contribute to the subregional guideline).</w:t>
      </w:r>
    </w:p>
    <w:p w14:paraId="3DB08EC2" w14:textId="77777777" w:rsidR="003730A6" w:rsidRDefault="00842050" w:rsidP="00C93311">
      <w:pPr>
        <w:rPr>
          <w:rFonts w:cs="Arial"/>
          <w:color w:val="000000"/>
          <w:szCs w:val="22"/>
        </w:rPr>
      </w:pPr>
      <w:r w:rsidRPr="001F0E92">
        <w:rPr>
          <w:rFonts w:cs="Arial"/>
          <w:color w:val="000000"/>
          <w:szCs w:val="22"/>
        </w:rPr>
        <w:t>After discussions with GBRMPA scientists and the Paddock to Reef integration team, the seagrass guidelines were further refined by allocating the additional categories of</w:t>
      </w:r>
      <w:r w:rsidR="003730A6">
        <w:rPr>
          <w:rFonts w:cs="Arial"/>
          <w:color w:val="000000"/>
          <w:szCs w:val="22"/>
        </w:rPr>
        <w:t>:</w:t>
      </w:r>
      <w:r w:rsidRPr="001F0E92">
        <w:rPr>
          <w:rFonts w:cs="Arial"/>
          <w:color w:val="000000"/>
          <w:szCs w:val="22"/>
        </w:rPr>
        <w:t xml:space="preserve"> </w:t>
      </w:r>
    </w:p>
    <w:p w14:paraId="14CFEEC4" w14:textId="2D755059" w:rsidR="003730A6" w:rsidRPr="005D3108" w:rsidRDefault="00842050" w:rsidP="002D1BBC">
      <w:pPr>
        <w:numPr>
          <w:ilvl w:val="0"/>
          <w:numId w:val="30"/>
        </w:numPr>
        <w:rPr>
          <w:rFonts w:cs="Arial"/>
          <w:color w:val="000000"/>
          <w:szCs w:val="22"/>
        </w:rPr>
      </w:pPr>
      <w:r w:rsidRPr="005D3108">
        <w:rPr>
          <w:rFonts w:cs="Arial"/>
          <w:color w:val="000000"/>
          <w:szCs w:val="22"/>
        </w:rPr>
        <w:t>very good (median abundance at or above 75</w:t>
      </w:r>
      <w:r w:rsidRPr="005D3108">
        <w:rPr>
          <w:rFonts w:cs="Arial"/>
          <w:color w:val="000000"/>
          <w:szCs w:val="22"/>
          <w:vertAlign w:val="superscript"/>
        </w:rPr>
        <w:t>th</w:t>
      </w:r>
      <w:r w:rsidRPr="005D3108">
        <w:rPr>
          <w:rFonts w:cs="Arial"/>
          <w:color w:val="000000"/>
          <w:szCs w:val="22"/>
        </w:rPr>
        <w:t xml:space="preserve"> percentile)</w:t>
      </w:r>
    </w:p>
    <w:p w14:paraId="0558E410" w14:textId="3F4EE950" w:rsidR="003730A6" w:rsidRPr="005D3108" w:rsidRDefault="00842050" w:rsidP="002D1BBC">
      <w:pPr>
        <w:numPr>
          <w:ilvl w:val="0"/>
          <w:numId w:val="30"/>
        </w:numPr>
        <w:rPr>
          <w:rFonts w:cs="Arial"/>
          <w:color w:val="000000"/>
          <w:szCs w:val="22"/>
        </w:rPr>
      </w:pPr>
      <w:r w:rsidRPr="005D3108">
        <w:rPr>
          <w:rFonts w:cs="Arial"/>
          <w:color w:val="000000"/>
          <w:szCs w:val="22"/>
        </w:rPr>
        <w:t>very poor (median abundance below 20</w:t>
      </w:r>
      <w:r w:rsidRPr="005D3108">
        <w:rPr>
          <w:rFonts w:cs="Arial"/>
          <w:color w:val="000000"/>
          <w:szCs w:val="22"/>
          <w:vertAlign w:val="superscript"/>
        </w:rPr>
        <w:t>th</w:t>
      </w:r>
      <w:r w:rsidRPr="005D3108">
        <w:rPr>
          <w:rFonts w:cs="Arial"/>
          <w:color w:val="000000"/>
          <w:szCs w:val="22"/>
        </w:rPr>
        <w:t xml:space="preserve"> or 10</w:t>
      </w:r>
      <w:r w:rsidRPr="005D3108">
        <w:rPr>
          <w:rFonts w:cs="Arial"/>
          <w:color w:val="000000"/>
          <w:szCs w:val="22"/>
          <w:vertAlign w:val="superscript"/>
        </w:rPr>
        <w:t>th</w:t>
      </w:r>
      <w:r w:rsidRPr="005D3108">
        <w:rPr>
          <w:rFonts w:cs="Arial"/>
          <w:color w:val="000000"/>
          <w:szCs w:val="22"/>
        </w:rPr>
        <w:t xml:space="preserve"> percentile and declined by &gt;20</w:t>
      </w:r>
      <w:r w:rsidR="003C311A">
        <w:rPr>
          <w:rFonts w:cs="Arial"/>
          <w:color w:val="000000"/>
          <w:szCs w:val="22"/>
        </w:rPr>
        <w:t xml:space="preserve">% </w:t>
      </w:r>
      <w:r w:rsidRPr="005D3108">
        <w:rPr>
          <w:rFonts w:cs="Arial"/>
          <w:color w:val="000000"/>
          <w:szCs w:val="22"/>
        </w:rPr>
        <w:t xml:space="preserve">since previous sampling event). </w:t>
      </w:r>
    </w:p>
    <w:p w14:paraId="7CDA4D42" w14:textId="0C72A099" w:rsidR="00C93311" w:rsidRDefault="00842050" w:rsidP="00C93311">
      <w:pPr>
        <w:rPr>
          <w:rFonts w:cs="Arial"/>
          <w:color w:val="000000"/>
          <w:szCs w:val="22"/>
        </w:rPr>
      </w:pPr>
      <w:r w:rsidRPr="001F0E92">
        <w:rPr>
          <w:rFonts w:cs="Arial"/>
          <w:color w:val="000000"/>
          <w:szCs w:val="22"/>
        </w:rPr>
        <w:t>Seagrass state was then rescaled to a five point scale from 0 to 100 to allow integration with other components of the Paddock to Reef report card (</w:t>
      </w:r>
      <w:hyperlink w:anchor="_ENREF_49" w:tooltip="Department of the Premier and Cabinet, 2014 #10062" w:history="1">
        <w:r w:rsidR="009A7AB4" w:rsidRPr="001F0E92">
          <w:rPr>
            <w:rFonts w:cs="Arial"/>
            <w:szCs w:val="22"/>
          </w:rPr>
          <w:fldChar w:fldCharType="begin"/>
        </w:r>
        <w:r w:rsidR="009A7AB4" w:rsidRPr="001F0E92">
          <w:rPr>
            <w:rFonts w:cs="Arial"/>
            <w:szCs w:val="22"/>
          </w:rPr>
          <w:instrText xml:space="preserve"> ADDIN EN.CITE &lt;EndNote&gt;&lt;Cite&gt;&lt;Author&gt;Department of the Premier and Cabinet&lt;/Author&gt;&lt;Year&gt;2014&lt;/Year&gt;&lt;RecNum&gt;10062&lt;/RecNum&gt;&lt;DisplayText&gt;Department of the Premier and Cabinet 2014&lt;/DisplayText&gt;&lt;record&gt;&lt;rec-number&gt;10062&lt;/rec-number&gt;&lt;foreign-keys&gt;&lt;key app="EN" db-id="0eve55x9y5vfd6e9dacxtew4eatve2dzds9a" timestamp="1421123388"&gt;10062&lt;/key&gt;&lt;/foreign-keys&gt;&lt;ref-type name="Web Page"&gt;12&lt;/ref-type&gt;&lt;contributors&gt;&lt;authors&gt;&lt;author&gt;Department of the Premier and Cabinet,&lt;/author&gt;&lt;/authors&gt;&lt;/contributors&gt;&lt;titles&gt;&lt;title&gt;Great Barrier Reef report card 2012 and 2013, Reef Water Quality Protection Plan, Scoring system.&lt;/title&gt;&lt;/titles&gt;&lt;number&gt;14/11/2014&lt;/number&gt;&lt;dates&gt;&lt;year&gt;2014&lt;/year&gt;&lt;/dates&gt;&lt;pub-location&gt;Brisbane&lt;/pub-location&gt;&lt;publisher&gt;Australian Government and Queensland Government&lt;/publisher&gt;&lt;urls&gt;&lt;related-urls&gt;&lt;url&gt;http://www.reefplan.qld.gov.au/measuring-success/methods/scoring-system.aspx&lt;/url&gt;&lt;/related-urls&gt;&lt;/urls&gt;&lt;/record&gt;&lt;/Cite&gt;&lt;/EndNote&gt;</w:instrText>
        </w:r>
        <w:r w:rsidR="009A7AB4" w:rsidRPr="001F0E92">
          <w:rPr>
            <w:rFonts w:cs="Arial"/>
            <w:szCs w:val="22"/>
          </w:rPr>
          <w:fldChar w:fldCharType="separate"/>
        </w:r>
        <w:r w:rsidR="009A7AB4" w:rsidRPr="001F0E92">
          <w:rPr>
            <w:rFonts w:cs="Arial"/>
            <w:noProof/>
            <w:szCs w:val="22"/>
          </w:rPr>
          <w:t>Department of the Premier and Cabinet 2014</w:t>
        </w:r>
        <w:r w:rsidR="009A7AB4" w:rsidRPr="001F0E92">
          <w:rPr>
            <w:rFonts w:cs="Arial"/>
            <w:szCs w:val="22"/>
          </w:rPr>
          <w:fldChar w:fldCharType="end"/>
        </w:r>
      </w:hyperlink>
      <w:r w:rsidRPr="001F0E92">
        <w:rPr>
          <w:rFonts w:cs="Arial"/>
          <w:color w:val="000000"/>
          <w:szCs w:val="22"/>
        </w:rPr>
        <w:t>). Please note that the scale from 0 to 100 is unitless and should not be interpreted as a proportion or ratio.</w:t>
      </w:r>
    </w:p>
    <w:p w14:paraId="27F53694" w14:textId="51455336" w:rsidR="00842050" w:rsidRPr="001F0E92" w:rsidRDefault="00842050" w:rsidP="00BA2BCE">
      <w:pPr>
        <w:keepNext/>
        <w:ind w:left="142"/>
        <w:jc w:val="center"/>
        <w:rPr>
          <w:rFonts w:cs="Arial"/>
          <w:i/>
          <w:vanish/>
          <w:color w:val="000000"/>
          <w:szCs w:val="22"/>
          <w:specVanish/>
        </w:rPr>
      </w:pPr>
      <w:bookmarkStart w:id="876" w:name="_Ref340344284"/>
      <w:bookmarkStart w:id="877" w:name="_Toc431494020"/>
      <w:bookmarkStart w:id="878" w:name="_Toc37787069"/>
      <w:bookmarkStart w:id="879" w:name="_Toc47600691"/>
      <w:bookmarkStart w:id="880" w:name="_Toc431494021"/>
      <w:r w:rsidRPr="001F0E92">
        <w:rPr>
          <w:rFonts w:cs="Arial"/>
          <w:color w:val="000000"/>
          <w:szCs w:val="22"/>
        </w:rPr>
        <w:t xml:space="preserve">Table </w:t>
      </w:r>
      <w:r w:rsidRPr="001F0E92">
        <w:rPr>
          <w:rFonts w:cs="Arial"/>
          <w:szCs w:val="22"/>
        </w:rPr>
        <w:fldChar w:fldCharType="begin"/>
      </w:r>
      <w:r w:rsidRPr="001F0E92">
        <w:rPr>
          <w:rFonts w:cs="Arial"/>
          <w:color w:val="000000"/>
          <w:szCs w:val="22"/>
        </w:rPr>
        <w:instrText xml:space="preserve"> SEQ Table \* ARABIC </w:instrText>
      </w:r>
      <w:r w:rsidRPr="001F0E92">
        <w:rPr>
          <w:rFonts w:cs="Arial"/>
          <w:szCs w:val="22"/>
        </w:rPr>
        <w:fldChar w:fldCharType="separate"/>
      </w:r>
      <w:r w:rsidR="0067675D">
        <w:rPr>
          <w:rFonts w:cs="Arial"/>
          <w:noProof/>
          <w:color w:val="000000"/>
          <w:szCs w:val="22"/>
        </w:rPr>
        <w:t>17</w:t>
      </w:r>
      <w:r w:rsidRPr="001F0E92">
        <w:rPr>
          <w:rFonts w:cs="Arial"/>
          <w:szCs w:val="22"/>
        </w:rPr>
        <w:fldChar w:fldCharType="end"/>
      </w:r>
      <w:bookmarkEnd w:id="876"/>
      <w:r w:rsidRPr="001F0E92">
        <w:rPr>
          <w:rFonts w:cs="Arial"/>
          <w:color w:val="000000"/>
          <w:szCs w:val="22"/>
        </w:rPr>
        <w:t xml:space="preserve">. </w:t>
      </w:r>
      <w:r w:rsidRPr="001F0E92">
        <w:rPr>
          <w:rFonts w:cs="Arial"/>
          <w:i/>
          <w:color w:val="000000"/>
          <w:szCs w:val="22"/>
        </w:rPr>
        <w:t>Seagrass percentage cover guidelines (“the seagrass guidelines”) for each site/location and the subregional guidelines (bold) for each NRM habitat.</w:t>
      </w:r>
      <w:bookmarkEnd w:id="877"/>
      <w:bookmarkEnd w:id="878"/>
      <w:bookmarkEnd w:id="879"/>
      <w:r w:rsidRPr="001F0E92">
        <w:rPr>
          <w:rFonts w:cs="Arial"/>
          <w:i/>
          <w:color w:val="000000"/>
          <w:szCs w:val="22"/>
        </w:rPr>
        <w:t xml:space="preserve"> </w:t>
      </w:r>
    </w:p>
    <w:p w14:paraId="053B9D71" w14:textId="77777777" w:rsidR="00842050" w:rsidRPr="001F0E92" w:rsidRDefault="00842050" w:rsidP="00BA2BCE">
      <w:pPr>
        <w:ind w:left="142"/>
        <w:rPr>
          <w:rFonts w:cs="Arial"/>
          <w:color w:val="000000"/>
          <w:szCs w:val="22"/>
        </w:rPr>
      </w:pPr>
      <w:r w:rsidRPr="001F0E92">
        <w:rPr>
          <w:rFonts w:cs="Arial"/>
          <w:i/>
          <w:color w:val="000000"/>
          <w:szCs w:val="22"/>
        </w:rPr>
        <w:t>Values in light grey not used. ^ denotes regional reference site, * from nearest adjacent region</w:t>
      </w:r>
      <w:r w:rsidR="00036CBF" w:rsidRPr="001F0E92">
        <w:rPr>
          <w:rFonts w:cs="Arial"/>
          <w:i/>
          <w:color w:val="000000"/>
          <w:szCs w:val="22"/>
        </w:rPr>
        <w:t>. For site details, see Tables 3</w:t>
      </w:r>
      <w:r w:rsidR="00BA2BCE" w:rsidRPr="001F0E92">
        <w:rPr>
          <w:rFonts w:cs="Arial"/>
          <w:i/>
          <w:color w:val="000000"/>
          <w:szCs w:val="22"/>
        </w:rPr>
        <w:t xml:space="preserve"> &amp; </w:t>
      </w:r>
      <w:r w:rsidR="00036CBF" w:rsidRPr="001F0E92">
        <w:rPr>
          <w:rFonts w:cs="Arial"/>
          <w:i/>
          <w:color w:val="000000"/>
          <w:szCs w:val="22"/>
        </w:rPr>
        <w:t>4.</w:t>
      </w:r>
    </w:p>
    <w:tbl>
      <w:tblPr>
        <w:tblpPr w:leftFromText="180" w:rightFromText="180" w:vertAnchor="text" w:horzAnchor="margin" w:tblpXSpec="center" w:tblpY="56"/>
        <w:tblW w:w="8942" w:type="dxa"/>
        <w:tblLook w:val="04A0" w:firstRow="1" w:lastRow="0" w:firstColumn="1" w:lastColumn="0" w:noHBand="0" w:noVBand="1"/>
      </w:tblPr>
      <w:tblGrid>
        <w:gridCol w:w="2071"/>
        <w:gridCol w:w="1060"/>
        <w:gridCol w:w="2117"/>
        <w:gridCol w:w="923"/>
        <w:gridCol w:w="924"/>
        <w:gridCol w:w="923"/>
        <w:gridCol w:w="924"/>
      </w:tblGrid>
      <w:tr w:rsidR="006F4537" w:rsidRPr="004D3B11" w14:paraId="33169F34" w14:textId="77777777" w:rsidTr="005D3108">
        <w:trPr>
          <w:trHeight w:val="260"/>
          <w:tblHeader/>
        </w:trPr>
        <w:tc>
          <w:tcPr>
            <w:tcW w:w="2071" w:type="dxa"/>
            <w:vMerge w:val="restart"/>
            <w:shd w:val="clear" w:color="auto" w:fill="BBE0E3"/>
            <w:noWrap/>
            <w:vAlign w:val="center"/>
            <w:hideMark/>
          </w:tcPr>
          <w:p w14:paraId="0B9AB34D"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NRM region</w:t>
            </w:r>
          </w:p>
        </w:tc>
        <w:tc>
          <w:tcPr>
            <w:tcW w:w="1060" w:type="dxa"/>
            <w:vMerge w:val="restart"/>
            <w:shd w:val="clear" w:color="auto" w:fill="BBE0E3"/>
            <w:noWrap/>
            <w:vAlign w:val="center"/>
            <w:hideMark/>
          </w:tcPr>
          <w:p w14:paraId="48DD5741"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site/</w:t>
            </w:r>
          </w:p>
          <w:p w14:paraId="6E6940FC"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location</w:t>
            </w:r>
          </w:p>
        </w:tc>
        <w:tc>
          <w:tcPr>
            <w:tcW w:w="2117" w:type="dxa"/>
            <w:vMerge w:val="restart"/>
            <w:shd w:val="clear" w:color="auto" w:fill="BBE0E3"/>
            <w:noWrap/>
            <w:vAlign w:val="center"/>
            <w:hideMark/>
          </w:tcPr>
          <w:p w14:paraId="56EF04B9"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Habitat</w:t>
            </w:r>
          </w:p>
        </w:tc>
        <w:tc>
          <w:tcPr>
            <w:tcW w:w="3694" w:type="dxa"/>
            <w:gridSpan w:val="4"/>
            <w:shd w:val="clear" w:color="auto" w:fill="BBE0E3"/>
            <w:noWrap/>
            <w:vAlign w:val="center"/>
            <w:hideMark/>
          </w:tcPr>
          <w:p w14:paraId="2A950CBE"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percentile guideline</w:t>
            </w:r>
          </w:p>
        </w:tc>
      </w:tr>
      <w:tr w:rsidR="006F4537" w:rsidRPr="004D3B11" w14:paraId="63777109" w14:textId="77777777" w:rsidTr="005D3108">
        <w:trPr>
          <w:trHeight w:val="153"/>
          <w:tblHeader/>
        </w:trPr>
        <w:tc>
          <w:tcPr>
            <w:tcW w:w="0" w:type="auto"/>
            <w:vMerge/>
            <w:vAlign w:val="center"/>
            <w:hideMark/>
          </w:tcPr>
          <w:p w14:paraId="05E660FD" w14:textId="77777777" w:rsidR="006F4537" w:rsidRPr="004D3B11" w:rsidRDefault="006F4537" w:rsidP="005D3108">
            <w:pPr>
              <w:spacing w:before="0" w:after="0"/>
              <w:contextualSpacing/>
              <w:rPr>
                <w:rFonts w:cs="Arial"/>
                <w:b/>
                <w:bCs/>
                <w:color w:val="000000"/>
                <w:sz w:val="20"/>
                <w:szCs w:val="20"/>
              </w:rPr>
            </w:pPr>
          </w:p>
        </w:tc>
        <w:tc>
          <w:tcPr>
            <w:tcW w:w="0" w:type="auto"/>
            <w:vMerge/>
            <w:vAlign w:val="center"/>
            <w:hideMark/>
          </w:tcPr>
          <w:p w14:paraId="72238E3E" w14:textId="77777777" w:rsidR="006F4537" w:rsidRPr="004D3B11" w:rsidRDefault="006F4537" w:rsidP="005D3108">
            <w:pPr>
              <w:spacing w:before="0" w:after="0"/>
              <w:contextualSpacing/>
              <w:rPr>
                <w:rFonts w:cs="Arial"/>
                <w:b/>
                <w:bCs/>
                <w:color w:val="000000"/>
                <w:sz w:val="20"/>
                <w:szCs w:val="20"/>
              </w:rPr>
            </w:pPr>
          </w:p>
        </w:tc>
        <w:tc>
          <w:tcPr>
            <w:tcW w:w="0" w:type="auto"/>
            <w:vMerge/>
            <w:vAlign w:val="center"/>
            <w:hideMark/>
          </w:tcPr>
          <w:p w14:paraId="5914D38A" w14:textId="77777777" w:rsidR="006F4537" w:rsidRPr="004D3B11" w:rsidRDefault="006F4537" w:rsidP="005D3108">
            <w:pPr>
              <w:spacing w:before="0" w:after="0"/>
              <w:contextualSpacing/>
              <w:rPr>
                <w:rFonts w:cs="Arial"/>
                <w:b/>
                <w:bCs/>
                <w:color w:val="000000"/>
                <w:sz w:val="20"/>
                <w:szCs w:val="20"/>
              </w:rPr>
            </w:pPr>
          </w:p>
        </w:tc>
        <w:tc>
          <w:tcPr>
            <w:tcW w:w="923" w:type="dxa"/>
            <w:shd w:val="clear" w:color="auto" w:fill="BBE0E3"/>
            <w:noWrap/>
            <w:vAlign w:val="center"/>
            <w:hideMark/>
          </w:tcPr>
          <w:p w14:paraId="0F042815"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10</w:t>
            </w:r>
            <w:r w:rsidRPr="004D3B11">
              <w:rPr>
                <w:rFonts w:cs="Arial"/>
                <w:b/>
                <w:bCs/>
                <w:color w:val="000000"/>
                <w:sz w:val="20"/>
                <w:szCs w:val="20"/>
                <w:vertAlign w:val="superscript"/>
              </w:rPr>
              <w:t>th</w:t>
            </w:r>
          </w:p>
        </w:tc>
        <w:tc>
          <w:tcPr>
            <w:tcW w:w="924" w:type="dxa"/>
            <w:shd w:val="clear" w:color="auto" w:fill="BBE0E3"/>
            <w:noWrap/>
            <w:vAlign w:val="center"/>
            <w:hideMark/>
          </w:tcPr>
          <w:p w14:paraId="2D826407"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20</w:t>
            </w:r>
            <w:r w:rsidRPr="004D3B11">
              <w:rPr>
                <w:rFonts w:cs="Arial"/>
                <w:b/>
                <w:bCs/>
                <w:color w:val="000000"/>
                <w:sz w:val="20"/>
                <w:szCs w:val="20"/>
                <w:vertAlign w:val="superscript"/>
              </w:rPr>
              <w:t>th</w:t>
            </w:r>
          </w:p>
        </w:tc>
        <w:tc>
          <w:tcPr>
            <w:tcW w:w="923" w:type="dxa"/>
            <w:shd w:val="clear" w:color="auto" w:fill="BBE0E3"/>
            <w:noWrap/>
            <w:vAlign w:val="center"/>
            <w:hideMark/>
          </w:tcPr>
          <w:p w14:paraId="7E44356F"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50</w:t>
            </w:r>
            <w:r w:rsidRPr="004D3B11">
              <w:rPr>
                <w:rFonts w:cs="Arial"/>
                <w:b/>
                <w:bCs/>
                <w:color w:val="000000"/>
                <w:sz w:val="20"/>
                <w:szCs w:val="20"/>
                <w:vertAlign w:val="superscript"/>
              </w:rPr>
              <w:t>th</w:t>
            </w:r>
          </w:p>
        </w:tc>
        <w:tc>
          <w:tcPr>
            <w:tcW w:w="924" w:type="dxa"/>
            <w:shd w:val="clear" w:color="auto" w:fill="BBE0E3"/>
            <w:noWrap/>
            <w:vAlign w:val="center"/>
            <w:hideMark/>
          </w:tcPr>
          <w:p w14:paraId="19C2DBD0" w14:textId="77777777" w:rsidR="006F4537" w:rsidRPr="004D3B11" w:rsidRDefault="006F4537" w:rsidP="005D3108">
            <w:pPr>
              <w:spacing w:before="0" w:after="0"/>
              <w:contextualSpacing/>
              <w:jc w:val="center"/>
              <w:rPr>
                <w:rFonts w:cs="Arial"/>
                <w:b/>
                <w:bCs/>
                <w:color w:val="000000"/>
                <w:sz w:val="20"/>
                <w:szCs w:val="20"/>
              </w:rPr>
            </w:pPr>
            <w:r w:rsidRPr="004D3B11">
              <w:rPr>
                <w:rFonts w:cs="Arial"/>
                <w:b/>
                <w:bCs/>
                <w:color w:val="000000"/>
                <w:sz w:val="20"/>
                <w:szCs w:val="20"/>
              </w:rPr>
              <w:t>75</w:t>
            </w:r>
            <w:r w:rsidRPr="004D3B11">
              <w:rPr>
                <w:rFonts w:cs="Arial"/>
                <w:b/>
                <w:bCs/>
                <w:color w:val="000000"/>
                <w:sz w:val="20"/>
                <w:szCs w:val="20"/>
                <w:vertAlign w:val="superscript"/>
              </w:rPr>
              <w:t>th</w:t>
            </w:r>
          </w:p>
        </w:tc>
      </w:tr>
      <w:tr w:rsidR="006F4537" w:rsidRPr="004D3B11" w14:paraId="4F639388" w14:textId="77777777" w:rsidTr="005D3108">
        <w:trPr>
          <w:trHeight w:val="170"/>
        </w:trPr>
        <w:tc>
          <w:tcPr>
            <w:tcW w:w="2071" w:type="dxa"/>
            <w:shd w:val="clear" w:color="auto" w:fill="F3F9FA"/>
            <w:noWrap/>
            <w:vAlign w:val="bottom"/>
            <w:hideMark/>
          </w:tcPr>
          <w:p w14:paraId="78384221" w14:textId="77777777" w:rsidR="006F4537" w:rsidRPr="004D3B11" w:rsidRDefault="006F4537" w:rsidP="005D3108">
            <w:pPr>
              <w:spacing w:before="0" w:after="0"/>
              <w:rPr>
                <w:rFonts w:cs="Arial"/>
                <w:color w:val="000000"/>
                <w:sz w:val="20"/>
                <w:szCs w:val="20"/>
              </w:rPr>
            </w:pPr>
            <w:r w:rsidRPr="004D3B11">
              <w:rPr>
                <w:rFonts w:cs="Arial"/>
                <w:color w:val="000000"/>
                <w:sz w:val="20"/>
                <w:szCs w:val="20"/>
              </w:rPr>
              <w:t>Cape York</w:t>
            </w:r>
          </w:p>
        </w:tc>
        <w:tc>
          <w:tcPr>
            <w:tcW w:w="1060" w:type="dxa"/>
            <w:shd w:val="clear" w:color="auto" w:fill="F3F9FA"/>
            <w:noWrap/>
            <w:vAlign w:val="bottom"/>
          </w:tcPr>
          <w:p w14:paraId="214DE05B" w14:textId="5509460E" w:rsidR="006F4537" w:rsidRPr="004D3B11" w:rsidRDefault="006F4537" w:rsidP="005D3108">
            <w:pPr>
              <w:spacing w:before="0" w:after="0"/>
              <w:jc w:val="right"/>
              <w:rPr>
                <w:rFonts w:cs="Arial"/>
                <w:color w:val="000000"/>
                <w:sz w:val="20"/>
                <w:szCs w:val="20"/>
              </w:rPr>
            </w:pPr>
          </w:p>
        </w:tc>
        <w:tc>
          <w:tcPr>
            <w:tcW w:w="2117" w:type="dxa"/>
            <w:shd w:val="clear" w:color="auto" w:fill="F3F9FA"/>
            <w:noWrap/>
            <w:vAlign w:val="bottom"/>
          </w:tcPr>
          <w:p w14:paraId="43A4B9FB" w14:textId="6CDC2877" w:rsidR="006F4537" w:rsidRPr="004D3B11" w:rsidRDefault="006F4537" w:rsidP="005D3108">
            <w:pPr>
              <w:spacing w:before="0" w:after="0"/>
              <w:rPr>
                <w:rFonts w:cs="Arial"/>
                <w:color w:val="000000"/>
                <w:sz w:val="20"/>
                <w:szCs w:val="20"/>
              </w:rPr>
            </w:pPr>
          </w:p>
        </w:tc>
        <w:tc>
          <w:tcPr>
            <w:tcW w:w="923" w:type="dxa"/>
            <w:shd w:val="clear" w:color="auto" w:fill="F3F9FA"/>
            <w:noWrap/>
            <w:vAlign w:val="center"/>
          </w:tcPr>
          <w:p w14:paraId="217FB17F" w14:textId="2E862F95" w:rsidR="006F4537" w:rsidRPr="004D3B11" w:rsidRDefault="006F4537" w:rsidP="005D3108">
            <w:pPr>
              <w:spacing w:before="0" w:after="0"/>
              <w:jc w:val="center"/>
              <w:rPr>
                <w:rFonts w:cs="Arial"/>
                <w:color w:val="000000"/>
                <w:sz w:val="20"/>
                <w:szCs w:val="20"/>
              </w:rPr>
            </w:pPr>
          </w:p>
        </w:tc>
        <w:tc>
          <w:tcPr>
            <w:tcW w:w="924" w:type="dxa"/>
            <w:shd w:val="clear" w:color="auto" w:fill="F3F9FA"/>
            <w:noWrap/>
            <w:vAlign w:val="center"/>
          </w:tcPr>
          <w:p w14:paraId="3AC90A69" w14:textId="666AE954" w:rsidR="006F4537" w:rsidRPr="004D3B11" w:rsidRDefault="006F4537" w:rsidP="005D3108">
            <w:pPr>
              <w:spacing w:before="0" w:after="0"/>
              <w:jc w:val="center"/>
              <w:rPr>
                <w:rFonts w:cs="Arial"/>
                <w:color w:val="808080"/>
                <w:sz w:val="20"/>
                <w:szCs w:val="20"/>
              </w:rPr>
            </w:pPr>
          </w:p>
        </w:tc>
        <w:tc>
          <w:tcPr>
            <w:tcW w:w="923" w:type="dxa"/>
            <w:shd w:val="clear" w:color="auto" w:fill="F3F9FA"/>
            <w:noWrap/>
            <w:vAlign w:val="center"/>
          </w:tcPr>
          <w:p w14:paraId="4DA13D9A" w14:textId="0473B81D" w:rsidR="006F4537" w:rsidRPr="004D3B11" w:rsidRDefault="006F4537" w:rsidP="005D3108">
            <w:pPr>
              <w:spacing w:before="0" w:after="0"/>
              <w:jc w:val="center"/>
              <w:rPr>
                <w:rFonts w:cs="Arial"/>
                <w:color w:val="000000"/>
                <w:sz w:val="20"/>
                <w:szCs w:val="20"/>
              </w:rPr>
            </w:pPr>
          </w:p>
        </w:tc>
        <w:tc>
          <w:tcPr>
            <w:tcW w:w="924" w:type="dxa"/>
            <w:shd w:val="clear" w:color="auto" w:fill="F3F9FA"/>
            <w:noWrap/>
            <w:vAlign w:val="center"/>
          </w:tcPr>
          <w:p w14:paraId="3DC52685" w14:textId="2076B112" w:rsidR="006F4537" w:rsidRPr="004D3B11" w:rsidRDefault="006F4537" w:rsidP="005D3108">
            <w:pPr>
              <w:spacing w:before="0" w:after="0"/>
              <w:jc w:val="center"/>
              <w:rPr>
                <w:rFonts w:cs="Arial"/>
                <w:color w:val="000000"/>
                <w:sz w:val="20"/>
                <w:szCs w:val="20"/>
              </w:rPr>
            </w:pPr>
          </w:p>
        </w:tc>
      </w:tr>
      <w:tr w:rsidR="001F0E92" w:rsidRPr="004D3B11" w14:paraId="61C7FC36" w14:textId="77777777" w:rsidTr="005D3108">
        <w:trPr>
          <w:trHeight w:val="170"/>
        </w:trPr>
        <w:tc>
          <w:tcPr>
            <w:tcW w:w="2071" w:type="dxa"/>
            <w:shd w:val="clear" w:color="auto" w:fill="F3F9FA"/>
            <w:noWrap/>
            <w:vAlign w:val="bottom"/>
          </w:tcPr>
          <w:p w14:paraId="0C56C6DD"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7817CCF2" w14:textId="72192545"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AP1^</w:t>
            </w:r>
          </w:p>
        </w:tc>
        <w:tc>
          <w:tcPr>
            <w:tcW w:w="2117" w:type="dxa"/>
            <w:shd w:val="clear" w:color="auto" w:fill="F3F9FA"/>
            <w:noWrap/>
            <w:vAlign w:val="bottom"/>
          </w:tcPr>
          <w:p w14:paraId="441E56C0" w14:textId="49B7B490"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5AF2E0E2" w14:textId="2796D2C1"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11</w:t>
            </w:r>
          </w:p>
        </w:tc>
        <w:tc>
          <w:tcPr>
            <w:tcW w:w="924" w:type="dxa"/>
            <w:shd w:val="clear" w:color="auto" w:fill="F3F9FA"/>
            <w:noWrap/>
            <w:vAlign w:val="center"/>
          </w:tcPr>
          <w:p w14:paraId="32AA35D7" w14:textId="601FF2CE"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16.8</w:t>
            </w:r>
          </w:p>
        </w:tc>
        <w:tc>
          <w:tcPr>
            <w:tcW w:w="923" w:type="dxa"/>
            <w:shd w:val="clear" w:color="auto" w:fill="F3F9FA"/>
            <w:noWrap/>
            <w:vAlign w:val="center"/>
          </w:tcPr>
          <w:p w14:paraId="46E0369F" w14:textId="44B2A79F"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4" w:type="dxa"/>
            <w:shd w:val="clear" w:color="auto" w:fill="F3F9FA"/>
            <w:noWrap/>
            <w:vAlign w:val="center"/>
          </w:tcPr>
          <w:p w14:paraId="229C5079" w14:textId="14D54FFD"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23.7</w:t>
            </w:r>
          </w:p>
        </w:tc>
      </w:tr>
      <w:tr w:rsidR="001F0E92" w:rsidRPr="004D3B11" w14:paraId="20336007" w14:textId="77777777" w:rsidTr="005D3108">
        <w:trPr>
          <w:trHeight w:val="170"/>
        </w:trPr>
        <w:tc>
          <w:tcPr>
            <w:tcW w:w="2071" w:type="dxa"/>
            <w:shd w:val="clear" w:color="auto" w:fill="F3F9FA"/>
            <w:noWrap/>
            <w:vAlign w:val="bottom"/>
          </w:tcPr>
          <w:p w14:paraId="3A1FB2BB"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6D18801B"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AP2</w:t>
            </w:r>
          </w:p>
        </w:tc>
        <w:tc>
          <w:tcPr>
            <w:tcW w:w="2117" w:type="dxa"/>
            <w:shd w:val="clear" w:color="auto" w:fill="F3F9FA"/>
            <w:noWrap/>
            <w:vAlign w:val="bottom"/>
            <w:hideMark/>
          </w:tcPr>
          <w:p w14:paraId="5FF7734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330E8B8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11</w:t>
            </w:r>
          </w:p>
        </w:tc>
        <w:tc>
          <w:tcPr>
            <w:tcW w:w="924" w:type="dxa"/>
            <w:shd w:val="clear" w:color="auto" w:fill="F3F9FA"/>
            <w:noWrap/>
            <w:vAlign w:val="center"/>
          </w:tcPr>
          <w:p w14:paraId="500B122E" w14:textId="77777777"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hideMark/>
          </w:tcPr>
          <w:p w14:paraId="53C556A3"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4" w:type="dxa"/>
            <w:shd w:val="clear" w:color="auto" w:fill="F3F9FA"/>
            <w:noWrap/>
            <w:vAlign w:val="center"/>
            <w:hideMark/>
          </w:tcPr>
          <w:p w14:paraId="5499829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23.7</w:t>
            </w:r>
          </w:p>
        </w:tc>
      </w:tr>
      <w:tr w:rsidR="001F0E92" w:rsidRPr="004D3B11" w14:paraId="6D3F83BA" w14:textId="77777777" w:rsidTr="005D3108">
        <w:trPr>
          <w:trHeight w:val="170"/>
        </w:trPr>
        <w:tc>
          <w:tcPr>
            <w:tcW w:w="2071" w:type="dxa"/>
            <w:shd w:val="clear" w:color="auto" w:fill="F3F9FA"/>
            <w:noWrap/>
            <w:vAlign w:val="bottom"/>
          </w:tcPr>
          <w:p w14:paraId="6DF7B479"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52D36E2E"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FR</w:t>
            </w:r>
          </w:p>
        </w:tc>
        <w:tc>
          <w:tcPr>
            <w:tcW w:w="2117" w:type="dxa"/>
            <w:shd w:val="clear" w:color="auto" w:fill="F3F9FA"/>
            <w:noWrap/>
            <w:vAlign w:val="bottom"/>
            <w:hideMark/>
          </w:tcPr>
          <w:p w14:paraId="1436CE07" w14:textId="77777777" w:rsidR="001F0E92" w:rsidRPr="004D3B11" w:rsidRDefault="001F0E92" w:rsidP="005D3108">
            <w:pPr>
              <w:spacing w:before="0" w:after="0"/>
              <w:rPr>
                <w:rFonts w:cs="Arial"/>
                <w:bCs/>
                <w:i/>
                <w:iCs/>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158AAAED"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03CC0B6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16.8</w:t>
            </w:r>
          </w:p>
        </w:tc>
        <w:tc>
          <w:tcPr>
            <w:tcW w:w="923" w:type="dxa"/>
            <w:shd w:val="clear" w:color="auto" w:fill="F3F9FA"/>
            <w:noWrap/>
            <w:vAlign w:val="center"/>
            <w:hideMark/>
          </w:tcPr>
          <w:p w14:paraId="45DE6F4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4" w:type="dxa"/>
            <w:shd w:val="clear" w:color="auto" w:fill="F3F9FA"/>
            <w:noWrap/>
            <w:vAlign w:val="center"/>
            <w:hideMark/>
          </w:tcPr>
          <w:p w14:paraId="01607A4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23.7</w:t>
            </w:r>
          </w:p>
        </w:tc>
      </w:tr>
      <w:tr w:rsidR="001F0E92" w:rsidRPr="004D3B11" w14:paraId="2DED8C2C" w14:textId="77777777" w:rsidTr="005D3108">
        <w:trPr>
          <w:trHeight w:val="170"/>
        </w:trPr>
        <w:tc>
          <w:tcPr>
            <w:tcW w:w="2071" w:type="dxa"/>
            <w:shd w:val="clear" w:color="auto" w:fill="F3F9FA"/>
            <w:noWrap/>
            <w:vAlign w:val="bottom"/>
          </w:tcPr>
          <w:p w14:paraId="38AD6E88"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7076354A"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ST</w:t>
            </w:r>
          </w:p>
        </w:tc>
        <w:tc>
          <w:tcPr>
            <w:tcW w:w="2117" w:type="dxa"/>
            <w:shd w:val="clear" w:color="auto" w:fill="F3F9FA"/>
            <w:noWrap/>
            <w:vAlign w:val="bottom"/>
            <w:hideMark/>
          </w:tcPr>
          <w:p w14:paraId="01E74894" w14:textId="77777777" w:rsidR="001F0E92" w:rsidRPr="004D3B11" w:rsidRDefault="001F0E92" w:rsidP="005D3108">
            <w:pPr>
              <w:spacing w:before="0" w:after="0"/>
              <w:rPr>
                <w:rFonts w:cs="Arial"/>
                <w:bCs/>
                <w:i/>
                <w:iCs/>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20D81070"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1BFB54C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16.8</w:t>
            </w:r>
          </w:p>
        </w:tc>
        <w:tc>
          <w:tcPr>
            <w:tcW w:w="923" w:type="dxa"/>
            <w:shd w:val="clear" w:color="auto" w:fill="F3F9FA"/>
            <w:noWrap/>
            <w:vAlign w:val="center"/>
            <w:hideMark/>
          </w:tcPr>
          <w:p w14:paraId="13F0611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4" w:type="dxa"/>
            <w:shd w:val="clear" w:color="auto" w:fill="F3F9FA"/>
            <w:noWrap/>
            <w:vAlign w:val="center"/>
            <w:hideMark/>
          </w:tcPr>
          <w:p w14:paraId="07C8659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23.7</w:t>
            </w:r>
          </w:p>
        </w:tc>
      </w:tr>
      <w:tr w:rsidR="001F0E92" w:rsidRPr="004D3B11" w14:paraId="680157CA" w14:textId="77777777" w:rsidTr="005D3108">
        <w:trPr>
          <w:trHeight w:val="170"/>
        </w:trPr>
        <w:tc>
          <w:tcPr>
            <w:tcW w:w="2071" w:type="dxa"/>
            <w:shd w:val="clear" w:color="auto" w:fill="F3F9FA"/>
            <w:noWrap/>
            <w:vAlign w:val="bottom"/>
          </w:tcPr>
          <w:p w14:paraId="0D2750AD"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84EA469"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YY</w:t>
            </w:r>
          </w:p>
        </w:tc>
        <w:tc>
          <w:tcPr>
            <w:tcW w:w="2117" w:type="dxa"/>
            <w:shd w:val="clear" w:color="auto" w:fill="F3F9FA"/>
            <w:noWrap/>
            <w:vAlign w:val="bottom"/>
            <w:hideMark/>
          </w:tcPr>
          <w:p w14:paraId="3C062663"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52FB806D"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157AB4FC"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16.8</w:t>
            </w:r>
          </w:p>
        </w:tc>
        <w:tc>
          <w:tcPr>
            <w:tcW w:w="923" w:type="dxa"/>
            <w:shd w:val="clear" w:color="auto" w:fill="F3F9FA"/>
            <w:noWrap/>
            <w:vAlign w:val="center"/>
            <w:hideMark/>
          </w:tcPr>
          <w:p w14:paraId="1F7DE3C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4" w:type="dxa"/>
            <w:shd w:val="clear" w:color="auto" w:fill="F3F9FA"/>
            <w:noWrap/>
            <w:vAlign w:val="center"/>
            <w:hideMark/>
          </w:tcPr>
          <w:p w14:paraId="3B9897B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23.7</w:t>
            </w:r>
          </w:p>
        </w:tc>
      </w:tr>
      <w:tr w:rsidR="001F0E92" w:rsidRPr="004D3B11" w14:paraId="081DA797" w14:textId="77777777" w:rsidTr="005D3108">
        <w:trPr>
          <w:trHeight w:val="170"/>
        </w:trPr>
        <w:tc>
          <w:tcPr>
            <w:tcW w:w="2071" w:type="dxa"/>
            <w:shd w:val="clear" w:color="auto" w:fill="E7F3F4"/>
            <w:noWrap/>
            <w:vAlign w:val="bottom"/>
          </w:tcPr>
          <w:p w14:paraId="1691DA72"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7475F6C4"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6C88B59C"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intertidal</w:t>
            </w:r>
          </w:p>
        </w:tc>
        <w:tc>
          <w:tcPr>
            <w:tcW w:w="923" w:type="dxa"/>
            <w:shd w:val="clear" w:color="auto" w:fill="E7F3F4"/>
            <w:noWrap/>
            <w:vAlign w:val="center"/>
            <w:hideMark/>
          </w:tcPr>
          <w:p w14:paraId="53AC1DFA"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11</w:t>
            </w:r>
          </w:p>
        </w:tc>
        <w:tc>
          <w:tcPr>
            <w:tcW w:w="924" w:type="dxa"/>
            <w:shd w:val="clear" w:color="auto" w:fill="E7F3F4"/>
            <w:noWrap/>
            <w:vAlign w:val="center"/>
            <w:hideMark/>
          </w:tcPr>
          <w:p w14:paraId="0D06E6DA"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16.8</w:t>
            </w:r>
          </w:p>
        </w:tc>
        <w:tc>
          <w:tcPr>
            <w:tcW w:w="923" w:type="dxa"/>
            <w:shd w:val="clear" w:color="auto" w:fill="E7F3F4"/>
            <w:noWrap/>
            <w:vAlign w:val="center"/>
            <w:hideMark/>
          </w:tcPr>
          <w:p w14:paraId="5CD2E34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18.9</w:t>
            </w:r>
          </w:p>
        </w:tc>
        <w:tc>
          <w:tcPr>
            <w:tcW w:w="924" w:type="dxa"/>
            <w:shd w:val="clear" w:color="auto" w:fill="E7F3F4"/>
            <w:noWrap/>
            <w:vAlign w:val="center"/>
            <w:hideMark/>
          </w:tcPr>
          <w:p w14:paraId="21670453"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23.7</w:t>
            </w:r>
          </w:p>
        </w:tc>
      </w:tr>
      <w:tr w:rsidR="001F0E92" w:rsidRPr="004D3B11" w14:paraId="7BDB2BB0" w14:textId="77777777" w:rsidTr="005D3108">
        <w:trPr>
          <w:trHeight w:val="170"/>
        </w:trPr>
        <w:tc>
          <w:tcPr>
            <w:tcW w:w="2071" w:type="dxa"/>
            <w:shd w:val="clear" w:color="auto" w:fill="F3F9FA"/>
            <w:noWrap/>
            <w:vAlign w:val="bottom"/>
          </w:tcPr>
          <w:p w14:paraId="74B3119C"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14B79200"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SR*</w:t>
            </w:r>
          </w:p>
        </w:tc>
        <w:tc>
          <w:tcPr>
            <w:tcW w:w="2117" w:type="dxa"/>
            <w:shd w:val="clear" w:color="auto" w:fill="F3F9FA"/>
            <w:noWrap/>
            <w:vAlign w:val="bottom"/>
            <w:hideMark/>
          </w:tcPr>
          <w:p w14:paraId="6168B4EF" w14:textId="77777777" w:rsidR="001F0E92" w:rsidRPr="004D3B11" w:rsidRDefault="001F0E92" w:rsidP="005D3108">
            <w:pPr>
              <w:spacing w:before="0" w:after="0"/>
              <w:rPr>
                <w:rFonts w:cs="Arial"/>
                <w:bCs/>
                <w:i/>
                <w:iCs/>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08F211BD"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499F3C21"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6.6</w:t>
            </w:r>
          </w:p>
        </w:tc>
        <w:tc>
          <w:tcPr>
            <w:tcW w:w="923" w:type="dxa"/>
            <w:shd w:val="clear" w:color="auto" w:fill="F3F9FA"/>
            <w:noWrap/>
            <w:vAlign w:val="center"/>
            <w:hideMark/>
          </w:tcPr>
          <w:p w14:paraId="7CD287D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12.9</w:t>
            </w:r>
          </w:p>
        </w:tc>
        <w:tc>
          <w:tcPr>
            <w:tcW w:w="924" w:type="dxa"/>
            <w:shd w:val="clear" w:color="auto" w:fill="F3F9FA"/>
            <w:noWrap/>
            <w:vAlign w:val="center"/>
            <w:hideMark/>
          </w:tcPr>
          <w:p w14:paraId="33B32D3C"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14.8</w:t>
            </w:r>
          </w:p>
        </w:tc>
      </w:tr>
      <w:tr w:rsidR="001F0E92" w:rsidRPr="004D3B11" w14:paraId="21A5A448" w14:textId="77777777" w:rsidTr="005D3108">
        <w:trPr>
          <w:trHeight w:val="170"/>
        </w:trPr>
        <w:tc>
          <w:tcPr>
            <w:tcW w:w="2071" w:type="dxa"/>
            <w:shd w:val="clear" w:color="auto" w:fill="F3F9FA"/>
            <w:noWrap/>
            <w:vAlign w:val="bottom"/>
          </w:tcPr>
          <w:p w14:paraId="2227F76D"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724BC711"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BY*</w:t>
            </w:r>
          </w:p>
        </w:tc>
        <w:tc>
          <w:tcPr>
            <w:tcW w:w="2117" w:type="dxa"/>
            <w:shd w:val="clear" w:color="auto" w:fill="F3F9FA"/>
            <w:noWrap/>
            <w:vAlign w:val="bottom"/>
            <w:hideMark/>
          </w:tcPr>
          <w:p w14:paraId="6020D966" w14:textId="77777777" w:rsidR="001F0E92" w:rsidRPr="004D3B11" w:rsidRDefault="001F0E92" w:rsidP="005D3108">
            <w:pPr>
              <w:spacing w:before="0" w:after="0"/>
              <w:rPr>
                <w:rFonts w:cs="Arial"/>
                <w:bCs/>
                <w:i/>
                <w:iCs/>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6741126B"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466C701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6.6</w:t>
            </w:r>
          </w:p>
        </w:tc>
        <w:tc>
          <w:tcPr>
            <w:tcW w:w="923" w:type="dxa"/>
            <w:shd w:val="clear" w:color="auto" w:fill="F3F9FA"/>
            <w:noWrap/>
            <w:vAlign w:val="center"/>
            <w:hideMark/>
          </w:tcPr>
          <w:p w14:paraId="4914ADF8"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12.9</w:t>
            </w:r>
          </w:p>
        </w:tc>
        <w:tc>
          <w:tcPr>
            <w:tcW w:w="924" w:type="dxa"/>
            <w:shd w:val="clear" w:color="auto" w:fill="F3F9FA"/>
            <w:noWrap/>
            <w:vAlign w:val="center"/>
            <w:hideMark/>
          </w:tcPr>
          <w:p w14:paraId="3962E2D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14.8</w:t>
            </w:r>
          </w:p>
        </w:tc>
      </w:tr>
      <w:tr w:rsidR="001F0E92" w:rsidRPr="004D3B11" w14:paraId="546F6541" w14:textId="77777777" w:rsidTr="005D3108">
        <w:trPr>
          <w:trHeight w:val="170"/>
        </w:trPr>
        <w:tc>
          <w:tcPr>
            <w:tcW w:w="2071" w:type="dxa"/>
            <w:shd w:val="clear" w:color="auto" w:fill="E7F3F4"/>
            <w:noWrap/>
            <w:vAlign w:val="bottom"/>
            <w:hideMark/>
          </w:tcPr>
          <w:p w14:paraId="6A9C24E3"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0340044A"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49F14CF8"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r w:rsidRPr="004D3B11">
              <w:rPr>
                <w:rFonts w:cs="Arial"/>
                <w:color w:val="000000"/>
                <w:sz w:val="20"/>
                <w:szCs w:val="20"/>
              </w:rPr>
              <w:t>*</w:t>
            </w:r>
          </w:p>
        </w:tc>
        <w:tc>
          <w:tcPr>
            <w:tcW w:w="923" w:type="dxa"/>
            <w:shd w:val="clear" w:color="auto" w:fill="E7F3F4"/>
            <w:noWrap/>
            <w:vAlign w:val="center"/>
            <w:hideMark/>
          </w:tcPr>
          <w:p w14:paraId="4922A7E1"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5</w:t>
            </w:r>
          </w:p>
        </w:tc>
        <w:tc>
          <w:tcPr>
            <w:tcW w:w="924" w:type="dxa"/>
            <w:shd w:val="clear" w:color="auto" w:fill="E7F3F4"/>
            <w:noWrap/>
            <w:vAlign w:val="center"/>
            <w:hideMark/>
          </w:tcPr>
          <w:p w14:paraId="518F2ECA"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6.6</w:t>
            </w:r>
          </w:p>
        </w:tc>
        <w:tc>
          <w:tcPr>
            <w:tcW w:w="923" w:type="dxa"/>
            <w:shd w:val="clear" w:color="auto" w:fill="E7F3F4"/>
            <w:noWrap/>
            <w:vAlign w:val="center"/>
            <w:hideMark/>
          </w:tcPr>
          <w:p w14:paraId="7D02E33B"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12.9</w:t>
            </w:r>
          </w:p>
        </w:tc>
        <w:tc>
          <w:tcPr>
            <w:tcW w:w="924" w:type="dxa"/>
            <w:shd w:val="clear" w:color="auto" w:fill="E7F3F4"/>
            <w:noWrap/>
            <w:vAlign w:val="center"/>
            <w:hideMark/>
          </w:tcPr>
          <w:p w14:paraId="72D44531"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14.8</w:t>
            </w:r>
          </w:p>
        </w:tc>
      </w:tr>
      <w:tr w:rsidR="001F0E92" w:rsidRPr="004D3B11" w14:paraId="31F87116" w14:textId="77777777" w:rsidTr="005D3108">
        <w:trPr>
          <w:trHeight w:val="170"/>
        </w:trPr>
        <w:tc>
          <w:tcPr>
            <w:tcW w:w="2071" w:type="dxa"/>
            <w:shd w:val="clear" w:color="auto" w:fill="F3F9FA"/>
            <w:noWrap/>
            <w:vAlign w:val="bottom"/>
          </w:tcPr>
          <w:p w14:paraId="508C6393"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34D4ECFF"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LR</w:t>
            </w:r>
          </w:p>
        </w:tc>
        <w:tc>
          <w:tcPr>
            <w:tcW w:w="2117" w:type="dxa"/>
            <w:shd w:val="clear" w:color="auto" w:fill="F3F9FA"/>
            <w:noWrap/>
            <w:vAlign w:val="bottom"/>
          </w:tcPr>
          <w:p w14:paraId="6794D05F" w14:textId="77777777" w:rsidR="001F0E92" w:rsidRPr="004D3B11" w:rsidRDefault="001F0E92" w:rsidP="005D3108">
            <w:pPr>
              <w:spacing w:before="0" w:after="0"/>
              <w:rPr>
                <w:rFonts w:cs="Arial"/>
                <w:bCs/>
                <w:iCs/>
                <w:color w:val="000000"/>
                <w:sz w:val="20"/>
                <w:szCs w:val="20"/>
              </w:rPr>
            </w:pPr>
            <w:r w:rsidRPr="004D3B11">
              <w:rPr>
                <w:rFonts w:cs="Arial"/>
                <w:color w:val="000000"/>
                <w:sz w:val="20"/>
                <w:szCs w:val="20"/>
              </w:rPr>
              <w:t>coastal subtidal</w:t>
            </w:r>
          </w:p>
        </w:tc>
        <w:tc>
          <w:tcPr>
            <w:tcW w:w="923" w:type="dxa"/>
            <w:shd w:val="clear" w:color="auto" w:fill="F3F9FA"/>
            <w:noWrap/>
            <w:vAlign w:val="center"/>
          </w:tcPr>
          <w:p w14:paraId="530AAF44" w14:textId="77777777" w:rsidR="001F0E92" w:rsidRPr="004D3B11" w:rsidRDefault="001F0E92" w:rsidP="005D3108">
            <w:pPr>
              <w:spacing w:before="0" w:after="0"/>
              <w:jc w:val="center"/>
              <w:rPr>
                <w:rFonts w:cs="Arial"/>
                <w:bCs/>
                <w:iCs/>
                <w:color w:val="000000"/>
                <w:sz w:val="20"/>
                <w:szCs w:val="20"/>
              </w:rPr>
            </w:pPr>
          </w:p>
        </w:tc>
        <w:tc>
          <w:tcPr>
            <w:tcW w:w="924" w:type="dxa"/>
            <w:shd w:val="clear" w:color="auto" w:fill="F3F9FA"/>
            <w:noWrap/>
            <w:vAlign w:val="center"/>
          </w:tcPr>
          <w:p w14:paraId="5BF2ACFA"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6.6</w:t>
            </w:r>
          </w:p>
        </w:tc>
        <w:tc>
          <w:tcPr>
            <w:tcW w:w="923" w:type="dxa"/>
            <w:shd w:val="clear" w:color="auto" w:fill="F3F9FA"/>
            <w:noWrap/>
            <w:vAlign w:val="center"/>
          </w:tcPr>
          <w:p w14:paraId="07E2D488"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12.9</w:t>
            </w:r>
          </w:p>
        </w:tc>
        <w:tc>
          <w:tcPr>
            <w:tcW w:w="924" w:type="dxa"/>
            <w:shd w:val="clear" w:color="auto" w:fill="F3F9FA"/>
            <w:noWrap/>
            <w:vAlign w:val="center"/>
          </w:tcPr>
          <w:p w14:paraId="2400137D"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14.8</w:t>
            </w:r>
          </w:p>
        </w:tc>
      </w:tr>
      <w:tr w:rsidR="001F0E92" w:rsidRPr="004D3B11" w14:paraId="485528CC" w14:textId="77777777" w:rsidTr="005D3108">
        <w:trPr>
          <w:trHeight w:val="170"/>
        </w:trPr>
        <w:tc>
          <w:tcPr>
            <w:tcW w:w="2071" w:type="dxa"/>
            <w:shd w:val="clear" w:color="auto" w:fill="E7F3F4"/>
            <w:noWrap/>
            <w:vAlign w:val="bottom"/>
          </w:tcPr>
          <w:p w14:paraId="23172832"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tcPr>
          <w:p w14:paraId="4A6DB96A"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tcPr>
          <w:p w14:paraId="6E6EFAA3"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subtidal</w:t>
            </w:r>
          </w:p>
        </w:tc>
        <w:tc>
          <w:tcPr>
            <w:tcW w:w="923" w:type="dxa"/>
            <w:shd w:val="clear" w:color="auto" w:fill="E7F3F4"/>
            <w:noWrap/>
            <w:vAlign w:val="center"/>
          </w:tcPr>
          <w:p w14:paraId="329224F8" w14:textId="77777777" w:rsidR="001F0E92" w:rsidRPr="004D3B11" w:rsidRDefault="001F0E92" w:rsidP="005D3108">
            <w:pPr>
              <w:spacing w:before="0" w:after="0"/>
              <w:jc w:val="center"/>
              <w:rPr>
                <w:rFonts w:cs="Arial"/>
                <w:b/>
                <w:bCs/>
                <w:i/>
                <w:iCs/>
                <w:color w:val="000000"/>
                <w:sz w:val="20"/>
                <w:szCs w:val="20"/>
              </w:rPr>
            </w:pPr>
          </w:p>
        </w:tc>
        <w:tc>
          <w:tcPr>
            <w:tcW w:w="924" w:type="dxa"/>
            <w:shd w:val="clear" w:color="auto" w:fill="E7F3F4"/>
            <w:noWrap/>
            <w:vAlign w:val="center"/>
          </w:tcPr>
          <w:p w14:paraId="2BA10B3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6.6</w:t>
            </w:r>
          </w:p>
        </w:tc>
        <w:tc>
          <w:tcPr>
            <w:tcW w:w="923" w:type="dxa"/>
            <w:shd w:val="clear" w:color="auto" w:fill="E7F3F4"/>
            <w:noWrap/>
            <w:vAlign w:val="center"/>
          </w:tcPr>
          <w:p w14:paraId="5C37537B"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12.9</w:t>
            </w:r>
          </w:p>
        </w:tc>
        <w:tc>
          <w:tcPr>
            <w:tcW w:w="924" w:type="dxa"/>
            <w:shd w:val="clear" w:color="auto" w:fill="E7F3F4"/>
            <w:noWrap/>
            <w:vAlign w:val="center"/>
          </w:tcPr>
          <w:p w14:paraId="518A791D"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14.8</w:t>
            </w:r>
          </w:p>
        </w:tc>
      </w:tr>
      <w:tr w:rsidR="001F0E92" w:rsidRPr="004D3B11" w14:paraId="6E03BD9A" w14:textId="77777777" w:rsidTr="005D3108">
        <w:trPr>
          <w:trHeight w:val="170"/>
        </w:trPr>
        <w:tc>
          <w:tcPr>
            <w:tcW w:w="2071" w:type="dxa"/>
            <w:shd w:val="clear" w:color="auto" w:fill="F3F9FA"/>
            <w:noWrap/>
            <w:vAlign w:val="bottom"/>
            <w:hideMark/>
          </w:tcPr>
          <w:p w14:paraId="060AFD1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Wet Tropics</w:t>
            </w:r>
          </w:p>
        </w:tc>
        <w:tc>
          <w:tcPr>
            <w:tcW w:w="1060" w:type="dxa"/>
            <w:shd w:val="clear" w:color="auto" w:fill="F3F9FA"/>
            <w:noWrap/>
            <w:vAlign w:val="bottom"/>
          </w:tcPr>
          <w:p w14:paraId="6E9C332B" w14:textId="7E17F111" w:rsidR="001F0E92" w:rsidRPr="004D3B11" w:rsidRDefault="001F0E92" w:rsidP="005D3108">
            <w:pPr>
              <w:spacing w:before="0" w:after="0"/>
              <w:jc w:val="right"/>
              <w:rPr>
                <w:rFonts w:cs="Arial"/>
                <w:color w:val="000000"/>
                <w:sz w:val="20"/>
                <w:szCs w:val="20"/>
              </w:rPr>
            </w:pPr>
          </w:p>
        </w:tc>
        <w:tc>
          <w:tcPr>
            <w:tcW w:w="2117" w:type="dxa"/>
            <w:shd w:val="clear" w:color="auto" w:fill="F3F9FA"/>
            <w:noWrap/>
            <w:vAlign w:val="bottom"/>
          </w:tcPr>
          <w:p w14:paraId="7963F453" w14:textId="372AC017" w:rsidR="001F0E92" w:rsidRPr="004D3B11" w:rsidRDefault="001F0E92" w:rsidP="005D3108">
            <w:pPr>
              <w:spacing w:before="0" w:after="0"/>
              <w:rPr>
                <w:rFonts w:cs="Arial"/>
                <w:color w:val="000000"/>
                <w:sz w:val="20"/>
                <w:szCs w:val="20"/>
              </w:rPr>
            </w:pPr>
          </w:p>
        </w:tc>
        <w:tc>
          <w:tcPr>
            <w:tcW w:w="923" w:type="dxa"/>
            <w:shd w:val="clear" w:color="auto" w:fill="F3F9FA"/>
            <w:noWrap/>
            <w:vAlign w:val="center"/>
          </w:tcPr>
          <w:p w14:paraId="0AA1102A"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5FF5C00C" w14:textId="73058E23"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tcPr>
          <w:p w14:paraId="71D56D50" w14:textId="797E07FE"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23CF97EA" w14:textId="2603C3DF" w:rsidR="001F0E92" w:rsidRPr="004D3B11" w:rsidRDefault="001F0E92" w:rsidP="005D3108">
            <w:pPr>
              <w:spacing w:before="0" w:after="0"/>
              <w:jc w:val="center"/>
              <w:rPr>
                <w:rFonts w:cs="Arial"/>
                <w:color w:val="000000"/>
                <w:sz w:val="20"/>
                <w:szCs w:val="20"/>
              </w:rPr>
            </w:pPr>
          </w:p>
        </w:tc>
      </w:tr>
      <w:tr w:rsidR="001F0E92" w:rsidRPr="004D3B11" w14:paraId="1F7021D5" w14:textId="77777777" w:rsidTr="005D3108">
        <w:trPr>
          <w:trHeight w:val="170"/>
        </w:trPr>
        <w:tc>
          <w:tcPr>
            <w:tcW w:w="2071" w:type="dxa"/>
            <w:shd w:val="clear" w:color="auto" w:fill="F3F9FA"/>
            <w:noWrap/>
            <w:vAlign w:val="bottom"/>
          </w:tcPr>
          <w:p w14:paraId="50F493A2"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51D08777" w14:textId="4C3BC50D"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LB</w:t>
            </w:r>
          </w:p>
        </w:tc>
        <w:tc>
          <w:tcPr>
            <w:tcW w:w="2117" w:type="dxa"/>
            <w:shd w:val="clear" w:color="auto" w:fill="F3F9FA"/>
            <w:noWrap/>
            <w:vAlign w:val="bottom"/>
          </w:tcPr>
          <w:p w14:paraId="47E9C35C" w14:textId="2C03716B"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6DF8862C"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72403972" w14:textId="1B22ECB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6.6</w:t>
            </w:r>
          </w:p>
        </w:tc>
        <w:tc>
          <w:tcPr>
            <w:tcW w:w="923" w:type="dxa"/>
            <w:shd w:val="clear" w:color="auto" w:fill="F3F9FA"/>
            <w:noWrap/>
            <w:vAlign w:val="center"/>
          </w:tcPr>
          <w:p w14:paraId="24E8C72C" w14:textId="25DFEFF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12.9</w:t>
            </w:r>
          </w:p>
        </w:tc>
        <w:tc>
          <w:tcPr>
            <w:tcW w:w="924" w:type="dxa"/>
            <w:shd w:val="clear" w:color="auto" w:fill="F3F9FA"/>
            <w:noWrap/>
            <w:vAlign w:val="center"/>
          </w:tcPr>
          <w:p w14:paraId="112DA719" w14:textId="1B059526"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14.8</w:t>
            </w:r>
          </w:p>
        </w:tc>
      </w:tr>
      <w:tr w:rsidR="001F0E92" w:rsidRPr="004D3B11" w14:paraId="64E26C01" w14:textId="77777777" w:rsidTr="005D3108">
        <w:trPr>
          <w:trHeight w:val="170"/>
        </w:trPr>
        <w:tc>
          <w:tcPr>
            <w:tcW w:w="2071" w:type="dxa"/>
            <w:shd w:val="clear" w:color="auto" w:fill="F3F9FA"/>
            <w:noWrap/>
            <w:vAlign w:val="bottom"/>
          </w:tcPr>
          <w:p w14:paraId="208DB5BB"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77819947"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YP1^</w:t>
            </w:r>
          </w:p>
        </w:tc>
        <w:tc>
          <w:tcPr>
            <w:tcW w:w="2117" w:type="dxa"/>
            <w:shd w:val="clear" w:color="auto" w:fill="F3F9FA"/>
            <w:noWrap/>
            <w:vAlign w:val="bottom"/>
            <w:hideMark/>
          </w:tcPr>
          <w:p w14:paraId="41E22A89"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1C869945"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4.3</w:t>
            </w:r>
          </w:p>
        </w:tc>
        <w:tc>
          <w:tcPr>
            <w:tcW w:w="924" w:type="dxa"/>
            <w:shd w:val="clear" w:color="auto" w:fill="F3F9FA"/>
            <w:noWrap/>
            <w:vAlign w:val="center"/>
            <w:hideMark/>
          </w:tcPr>
          <w:p w14:paraId="72B2BB3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7</w:t>
            </w:r>
          </w:p>
        </w:tc>
        <w:tc>
          <w:tcPr>
            <w:tcW w:w="923" w:type="dxa"/>
            <w:shd w:val="clear" w:color="auto" w:fill="F3F9FA"/>
            <w:noWrap/>
            <w:vAlign w:val="center"/>
            <w:hideMark/>
          </w:tcPr>
          <w:p w14:paraId="4DC4197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w:t>
            </w:r>
          </w:p>
        </w:tc>
        <w:tc>
          <w:tcPr>
            <w:tcW w:w="924" w:type="dxa"/>
            <w:shd w:val="clear" w:color="auto" w:fill="F3F9FA"/>
            <w:noWrap/>
            <w:vAlign w:val="center"/>
            <w:hideMark/>
          </w:tcPr>
          <w:p w14:paraId="771111B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15.4</w:t>
            </w:r>
          </w:p>
        </w:tc>
      </w:tr>
      <w:tr w:rsidR="001F0E92" w:rsidRPr="004D3B11" w14:paraId="7B0AC5FC" w14:textId="77777777" w:rsidTr="005D3108">
        <w:trPr>
          <w:trHeight w:val="170"/>
        </w:trPr>
        <w:tc>
          <w:tcPr>
            <w:tcW w:w="2071" w:type="dxa"/>
            <w:shd w:val="clear" w:color="auto" w:fill="F3F9FA"/>
            <w:noWrap/>
            <w:vAlign w:val="bottom"/>
          </w:tcPr>
          <w:p w14:paraId="5D56553A"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54107D5E"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YP2^</w:t>
            </w:r>
          </w:p>
        </w:tc>
        <w:tc>
          <w:tcPr>
            <w:tcW w:w="2117" w:type="dxa"/>
            <w:shd w:val="clear" w:color="auto" w:fill="F3F9FA"/>
            <w:noWrap/>
            <w:vAlign w:val="bottom"/>
            <w:hideMark/>
          </w:tcPr>
          <w:p w14:paraId="17A65D3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6451AC56"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5.7</w:t>
            </w:r>
          </w:p>
        </w:tc>
        <w:tc>
          <w:tcPr>
            <w:tcW w:w="924" w:type="dxa"/>
            <w:shd w:val="clear" w:color="auto" w:fill="F3F9FA"/>
            <w:noWrap/>
            <w:vAlign w:val="center"/>
            <w:hideMark/>
          </w:tcPr>
          <w:p w14:paraId="2C4D5E6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6.2</w:t>
            </w:r>
          </w:p>
        </w:tc>
        <w:tc>
          <w:tcPr>
            <w:tcW w:w="923" w:type="dxa"/>
            <w:shd w:val="clear" w:color="auto" w:fill="F3F9FA"/>
            <w:noWrap/>
            <w:vAlign w:val="center"/>
            <w:hideMark/>
          </w:tcPr>
          <w:p w14:paraId="2F2B2BE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11.8</w:t>
            </w:r>
          </w:p>
        </w:tc>
        <w:tc>
          <w:tcPr>
            <w:tcW w:w="924" w:type="dxa"/>
            <w:shd w:val="clear" w:color="auto" w:fill="F3F9FA"/>
            <w:noWrap/>
            <w:vAlign w:val="center"/>
            <w:hideMark/>
          </w:tcPr>
          <w:p w14:paraId="263FDCE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14.2</w:t>
            </w:r>
          </w:p>
        </w:tc>
      </w:tr>
      <w:tr w:rsidR="001F0E92" w:rsidRPr="004D3B11" w14:paraId="7F02C289" w14:textId="77777777" w:rsidTr="005D3108">
        <w:trPr>
          <w:trHeight w:val="170"/>
        </w:trPr>
        <w:tc>
          <w:tcPr>
            <w:tcW w:w="2071" w:type="dxa"/>
            <w:shd w:val="clear" w:color="auto" w:fill="E7F3F4"/>
            <w:noWrap/>
            <w:vAlign w:val="bottom"/>
          </w:tcPr>
          <w:p w14:paraId="675A519A"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0EF960EF"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10085817"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p>
        </w:tc>
        <w:tc>
          <w:tcPr>
            <w:tcW w:w="923" w:type="dxa"/>
            <w:shd w:val="clear" w:color="auto" w:fill="E7F3F4"/>
            <w:noWrap/>
            <w:vAlign w:val="center"/>
            <w:hideMark/>
          </w:tcPr>
          <w:p w14:paraId="2B2824BA"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5</w:t>
            </w:r>
          </w:p>
        </w:tc>
        <w:tc>
          <w:tcPr>
            <w:tcW w:w="924" w:type="dxa"/>
            <w:shd w:val="clear" w:color="auto" w:fill="E7F3F4"/>
            <w:noWrap/>
            <w:vAlign w:val="center"/>
            <w:hideMark/>
          </w:tcPr>
          <w:p w14:paraId="3E15BA27"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6.6</w:t>
            </w:r>
          </w:p>
        </w:tc>
        <w:tc>
          <w:tcPr>
            <w:tcW w:w="923" w:type="dxa"/>
            <w:shd w:val="clear" w:color="auto" w:fill="E7F3F4"/>
            <w:noWrap/>
            <w:vAlign w:val="center"/>
            <w:hideMark/>
          </w:tcPr>
          <w:p w14:paraId="6293480D"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12.9</w:t>
            </w:r>
          </w:p>
        </w:tc>
        <w:tc>
          <w:tcPr>
            <w:tcW w:w="924" w:type="dxa"/>
            <w:shd w:val="clear" w:color="auto" w:fill="E7F3F4"/>
            <w:noWrap/>
            <w:vAlign w:val="center"/>
            <w:hideMark/>
          </w:tcPr>
          <w:p w14:paraId="47400B6A"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14.8</w:t>
            </w:r>
          </w:p>
        </w:tc>
      </w:tr>
      <w:tr w:rsidR="001F0E92" w:rsidRPr="004D3B11" w14:paraId="289CDBFE" w14:textId="77777777" w:rsidTr="005D3108">
        <w:trPr>
          <w:trHeight w:val="170"/>
        </w:trPr>
        <w:tc>
          <w:tcPr>
            <w:tcW w:w="2071" w:type="dxa"/>
            <w:shd w:val="clear" w:color="auto" w:fill="F3F9FA"/>
            <w:noWrap/>
            <w:vAlign w:val="bottom"/>
          </w:tcPr>
          <w:p w14:paraId="27EE0A97"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72191041"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MS</w:t>
            </w:r>
          </w:p>
        </w:tc>
        <w:tc>
          <w:tcPr>
            <w:tcW w:w="2117" w:type="dxa"/>
            <w:shd w:val="clear" w:color="auto" w:fill="F3F9FA"/>
            <w:noWrap/>
            <w:vAlign w:val="bottom"/>
          </w:tcPr>
          <w:p w14:paraId="46917FCE" w14:textId="77777777" w:rsidR="001F0E92" w:rsidRPr="004D3B11" w:rsidRDefault="001F0E92" w:rsidP="005D3108">
            <w:pPr>
              <w:spacing w:before="0" w:after="0"/>
              <w:rPr>
                <w:rFonts w:cs="Arial"/>
                <w:bCs/>
                <w:iCs/>
                <w:color w:val="000000"/>
                <w:sz w:val="20"/>
                <w:szCs w:val="20"/>
              </w:rPr>
            </w:pPr>
            <w:r w:rsidRPr="004D3B11">
              <w:rPr>
                <w:rFonts w:cs="Arial"/>
                <w:color w:val="000000"/>
                <w:sz w:val="20"/>
                <w:szCs w:val="20"/>
              </w:rPr>
              <w:t>coastal subtidal</w:t>
            </w:r>
          </w:p>
        </w:tc>
        <w:tc>
          <w:tcPr>
            <w:tcW w:w="923" w:type="dxa"/>
            <w:shd w:val="clear" w:color="auto" w:fill="F3F9FA"/>
            <w:noWrap/>
            <w:vAlign w:val="center"/>
          </w:tcPr>
          <w:p w14:paraId="56E0D4C8" w14:textId="77777777" w:rsidR="001F0E92" w:rsidRPr="004D3B11" w:rsidRDefault="001F0E92" w:rsidP="005D3108">
            <w:pPr>
              <w:spacing w:before="0" w:after="0"/>
              <w:jc w:val="center"/>
              <w:rPr>
                <w:rFonts w:cs="Arial"/>
                <w:bCs/>
                <w:iCs/>
                <w:color w:val="000000"/>
                <w:sz w:val="20"/>
                <w:szCs w:val="20"/>
              </w:rPr>
            </w:pPr>
          </w:p>
        </w:tc>
        <w:tc>
          <w:tcPr>
            <w:tcW w:w="924" w:type="dxa"/>
            <w:shd w:val="clear" w:color="auto" w:fill="F3F9FA"/>
            <w:noWrap/>
            <w:vAlign w:val="center"/>
          </w:tcPr>
          <w:p w14:paraId="0A4FD96C"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6.6</w:t>
            </w:r>
          </w:p>
        </w:tc>
        <w:tc>
          <w:tcPr>
            <w:tcW w:w="923" w:type="dxa"/>
            <w:shd w:val="clear" w:color="auto" w:fill="F3F9FA"/>
            <w:noWrap/>
            <w:vAlign w:val="center"/>
          </w:tcPr>
          <w:p w14:paraId="3454B2C4"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12.9</w:t>
            </w:r>
          </w:p>
        </w:tc>
        <w:tc>
          <w:tcPr>
            <w:tcW w:w="924" w:type="dxa"/>
            <w:shd w:val="clear" w:color="auto" w:fill="F3F9FA"/>
            <w:noWrap/>
            <w:vAlign w:val="center"/>
          </w:tcPr>
          <w:p w14:paraId="305ADB53" w14:textId="77777777" w:rsidR="001F0E92" w:rsidRPr="004D3B11" w:rsidRDefault="001F0E92" w:rsidP="005D3108">
            <w:pPr>
              <w:spacing w:before="0" w:after="0"/>
              <w:jc w:val="center"/>
              <w:rPr>
                <w:rFonts w:cs="Arial"/>
                <w:bCs/>
                <w:iCs/>
                <w:color w:val="000000"/>
                <w:sz w:val="20"/>
                <w:szCs w:val="20"/>
              </w:rPr>
            </w:pPr>
            <w:r w:rsidRPr="004D3B11">
              <w:rPr>
                <w:rFonts w:cs="Arial"/>
                <w:bCs/>
                <w:iCs/>
                <w:color w:val="000000"/>
                <w:sz w:val="20"/>
                <w:szCs w:val="20"/>
              </w:rPr>
              <w:t>14.8</w:t>
            </w:r>
          </w:p>
        </w:tc>
      </w:tr>
      <w:tr w:rsidR="001F0E92" w:rsidRPr="004D3B11" w14:paraId="53E3C45B" w14:textId="77777777" w:rsidTr="005D3108">
        <w:trPr>
          <w:trHeight w:val="170"/>
        </w:trPr>
        <w:tc>
          <w:tcPr>
            <w:tcW w:w="2071" w:type="dxa"/>
            <w:shd w:val="clear" w:color="auto" w:fill="E7F3F4"/>
            <w:noWrap/>
            <w:vAlign w:val="bottom"/>
          </w:tcPr>
          <w:p w14:paraId="24B054C6"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tcPr>
          <w:p w14:paraId="1BB0FDEF"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tcPr>
          <w:p w14:paraId="700A70AB"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subtidal</w:t>
            </w:r>
          </w:p>
        </w:tc>
        <w:tc>
          <w:tcPr>
            <w:tcW w:w="923" w:type="dxa"/>
            <w:shd w:val="clear" w:color="auto" w:fill="E7F3F4"/>
            <w:noWrap/>
            <w:vAlign w:val="center"/>
          </w:tcPr>
          <w:p w14:paraId="5B914ED3" w14:textId="77777777" w:rsidR="001F0E92" w:rsidRPr="004D3B11" w:rsidRDefault="001F0E92" w:rsidP="005D3108">
            <w:pPr>
              <w:spacing w:before="0" w:after="0"/>
              <w:jc w:val="center"/>
              <w:rPr>
                <w:rFonts w:cs="Arial"/>
                <w:b/>
                <w:bCs/>
                <w:i/>
                <w:iCs/>
                <w:color w:val="000000"/>
                <w:sz w:val="20"/>
                <w:szCs w:val="20"/>
              </w:rPr>
            </w:pPr>
          </w:p>
        </w:tc>
        <w:tc>
          <w:tcPr>
            <w:tcW w:w="924" w:type="dxa"/>
            <w:shd w:val="clear" w:color="auto" w:fill="E7F3F4"/>
            <w:noWrap/>
            <w:vAlign w:val="center"/>
          </w:tcPr>
          <w:p w14:paraId="7089D47C"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6.6</w:t>
            </w:r>
          </w:p>
        </w:tc>
        <w:tc>
          <w:tcPr>
            <w:tcW w:w="923" w:type="dxa"/>
            <w:shd w:val="clear" w:color="auto" w:fill="E7F3F4"/>
            <w:noWrap/>
            <w:vAlign w:val="center"/>
          </w:tcPr>
          <w:p w14:paraId="72A97F1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12.9</w:t>
            </w:r>
          </w:p>
        </w:tc>
        <w:tc>
          <w:tcPr>
            <w:tcW w:w="924" w:type="dxa"/>
            <w:shd w:val="clear" w:color="auto" w:fill="E7F3F4"/>
            <w:noWrap/>
            <w:vAlign w:val="center"/>
          </w:tcPr>
          <w:p w14:paraId="6B7DCB0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14.8</w:t>
            </w:r>
          </w:p>
        </w:tc>
      </w:tr>
      <w:tr w:rsidR="001F0E92" w:rsidRPr="004D3B11" w14:paraId="111721AB" w14:textId="77777777" w:rsidTr="005D3108">
        <w:trPr>
          <w:trHeight w:val="170"/>
        </w:trPr>
        <w:tc>
          <w:tcPr>
            <w:tcW w:w="2071" w:type="dxa"/>
            <w:shd w:val="clear" w:color="auto" w:fill="F3F9FA"/>
            <w:noWrap/>
            <w:vAlign w:val="bottom"/>
          </w:tcPr>
          <w:p w14:paraId="63F0C307"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676D9EE"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DI</w:t>
            </w:r>
          </w:p>
        </w:tc>
        <w:tc>
          <w:tcPr>
            <w:tcW w:w="2117" w:type="dxa"/>
            <w:shd w:val="clear" w:color="auto" w:fill="F3F9FA"/>
            <w:noWrap/>
            <w:vAlign w:val="bottom"/>
            <w:hideMark/>
          </w:tcPr>
          <w:p w14:paraId="3893590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07CA312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27.5</w:t>
            </w:r>
          </w:p>
        </w:tc>
        <w:tc>
          <w:tcPr>
            <w:tcW w:w="924" w:type="dxa"/>
            <w:shd w:val="clear" w:color="auto" w:fill="F3F9FA"/>
            <w:noWrap/>
            <w:vAlign w:val="center"/>
          </w:tcPr>
          <w:p w14:paraId="72CCDBC4" w14:textId="77777777"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hideMark/>
          </w:tcPr>
          <w:p w14:paraId="3817E14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37.7</w:t>
            </w:r>
          </w:p>
        </w:tc>
        <w:tc>
          <w:tcPr>
            <w:tcW w:w="924" w:type="dxa"/>
            <w:shd w:val="clear" w:color="auto" w:fill="F3F9FA"/>
            <w:noWrap/>
            <w:vAlign w:val="center"/>
            <w:hideMark/>
          </w:tcPr>
          <w:p w14:paraId="072AD417"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41</w:t>
            </w:r>
          </w:p>
        </w:tc>
      </w:tr>
      <w:tr w:rsidR="001F0E92" w:rsidRPr="004D3B11" w14:paraId="2F66F36B" w14:textId="77777777" w:rsidTr="005D3108">
        <w:trPr>
          <w:trHeight w:val="170"/>
        </w:trPr>
        <w:tc>
          <w:tcPr>
            <w:tcW w:w="2071" w:type="dxa"/>
            <w:shd w:val="clear" w:color="auto" w:fill="F3F9FA"/>
            <w:noWrap/>
            <w:vAlign w:val="bottom"/>
          </w:tcPr>
          <w:p w14:paraId="3F735026"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45D69008"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GI1^</w:t>
            </w:r>
          </w:p>
        </w:tc>
        <w:tc>
          <w:tcPr>
            <w:tcW w:w="2117" w:type="dxa"/>
            <w:shd w:val="clear" w:color="auto" w:fill="F3F9FA"/>
            <w:noWrap/>
            <w:vAlign w:val="bottom"/>
            <w:hideMark/>
          </w:tcPr>
          <w:p w14:paraId="53604EA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30B6756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32.5</w:t>
            </w:r>
          </w:p>
        </w:tc>
        <w:tc>
          <w:tcPr>
            <w:tcW w:w="924" w:type="dxa"/>
            <w:shd w:val="clear" w:color="auto" w:fill="F3F9FA"/>
            <w:noWrap/>
            <w:vAlign w:val="center"/>
            <w:hideMark/>
          </w:tcPr>
          <w:p w14:paraId="62C19E64"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38.2</w:t>
            </w:r>
          </w:p>
        </w:tc>
        <w:tc>
          <w:tcPr>
            <w:tcW w:w="923" w:type="dxa"/>
            <w:shd w:val="clear" w:color="auto" w:fill="F3F9FA"/>
            <w:noWrap/>
            <w:vAlign w:val="center"/>
            <w:hideMark/>
          </w:tcPr>
          <w:p w14:paraId="38E65D3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42.7</w:t>
            </w:r>
          </w:p>
        </w:tc>
        <w:tc>
          <w:tcPr>
            <w:tcW w:w="924" w:type="dxa"/>
            <w:shd w:val="clear" w:color="auto" w:fill="F3F9FA"/>
            <w:noWrap/>
            <w:vAlign w:val="center"/>
            <w:hideMark/>
          </w:tcPr>
          <w:p w14:paraId="7892B64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45.5</w:t>
            </w:r>
          </w:p>
        </w:tc>
      </w:tr>
      <w:tr w:rsidR="001F0E92" w:rsidRPr="004D3B11" w14:paraId="3C2B1D2F" w14:textId="77777777" w:rsidTr="005D3108">
        <w:trPr>
          <w:trHeight w:val="170"/>
        </w:trPr>
        <w:tc>
          <w:tcPr>
            <w:tcW w:w="2071" w:type="dxa"/>
            <w:shd w:val="clear" w:color="auto" w:fill="F3F9FA"/>
            <w:noWrap/>
            <w:vAlign w:val="bottom"/>
          </w:tcPr>
          <w:p w14:paraId="1B9529DD"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4473BC88"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GI2^</w:t>
            </w:r>
          </w:p>
        </w:tc>
        <w:tc>
          <w:tcPr>
            <w:tcW w:w="2117" w:type="dxa"/>
            <w:shd w:val="clear" w:color="auto" w:fill="F3F9FA"/>
            <w:noWrap/>
            <w:vAlign w:val="bottom"/>
            <w:hideMark/>
          </w:tcPr>
          <w:p w14:paraId="27147E8E"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5847DC8F"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22.5</w:t>
            </w:r>
          </w:p>
        </w:tc>
        <w:tc>
          <w:tcPr>
            <w:tcW w:w="924" w:type="dxa"/>
            <w:shd w:val="clear" w:color="auto" w:fill="F3F9FA"/>
            <w:noWrap/>
            <w:vAlign w:val="center"/>
            <w:hideMark/>
          </w:tcPr>
          <w:p w14:paraId="57E54505"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25.6</w:t>
            </w:r>
          </w:p>
        </w:tc>
        <w:tc>
          <w:tcPr>
            <w:tcW w:w="923" w:type="dxa"/>
            <w:shd w:val="clear" w:color="auto" w:fill="F3F9FA"/>
            <w:noWrap/>
            <w:vAlign w:val="center"/>
            <w:hideMark/>
          </w:tcPr>
          <w:p w14:paraId="1195C05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32.7</w:t>
            </w:r>
          </w:p>
        </w:tc>
        <w:tc>
          <w:tcPr>
            <w:tcW w:w="924" w:type="dxa"/>
            <w:shd w:val="clear" w:color="auto" w:fill="F3F9FA"/>
            <w:noWrap/>
            <w:vAlign w:val="center"/>
            <w:hideMark/>
          </w:tcPr>
          <w:p w14:paraId="38FF7B5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36.7</w:t>
            </w:r>
          </w:p>
        </w:tc>
      </w:tr>
      <w:tr w:rsidR="001F0E92" w:rsidRPr="004D3B11" w14:paraId="3F04865B" w14:textId="77777777" w:rsidTr="005D3108">
        <w:trPr>
          <w:trHeight w:val="170"/>
        </w:trPr>
        <w:tc>
          <w:tcPr>
            <w:tcW w:w="2071" w:type="dxa"/>
            <w:shd w:val="clear" w:color="auto" w:fill="F3F9FA"/>
            <w:noWrap/>
            <w:vAlign w:val="bottom"/>
          </w:tcPr>
          <w:p w14:paraId="5D0B5B7B"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17C15B7F"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LI1</w:t>
            </w:r>
          </w:p>
        </w:tc>
        <w:tc>
          <w:tcPr>
            <w:tcW w:w="2117" w:type="dxa"/>
            <w:shd w:val="clear" w:color="auto" w:fill="F3F9FA"/>
            <w:noWrap/>
            <w:vAlign w:val="bottom"/>
            <w:hideMark/>
          </w:tcPr>
          <w:p w14:paraId="6FDFDA7F"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79CE1F4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27.5</w:t>
            </w:r>
          </w:p>
        </w:tc>
        <w:tc>
          <w:tcPr>
            <w:tcW w:w="924" w:type="dxa"/>
            <w:shd w:val="clear" w:color="auto" w:fill="F3F9FA"/>
            <w:noWrap/>
            <w:vAlign w:val="center"/>
          </w:tcPr>
          <w:p w14:paraId="73933BF6" w14:textId="77777777"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hideMark/>
          </w:tcPr>
          <w:p w14:paraId="727043B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37.7</w:t>
            </w:r>
          </w:p>
        </w:tc>
        <w:tc>
          <w:tcPr>
            <w:tcW w:w="924" w:type="dxa"/>
            <w:shd w:val="clear" w:color="auto" w:fill="F3F9FA"/>
            <w:noWrap/>
            <w:vAlign w:val="center"/>
            <w:hideMark/>
          </w:tcPr>
          <w:p w14:paraId="57E31E0C"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41</w:t>
            </w:r>
          </w:p>
        </w:tc>
      </w:tr>
      <w:tr w:rsidR="001F0E92" w:rsidRPr="004D3B11" w14:paraId="649EF444" w14:textId="77777777" w:rsidTr="005D3108">
        <w:trPr>
          <w:trHeight w:val="170"/>
        </w:trPr>
        <w:tc>
          <w:tcPr>
            <w:tcW w:w="2071" w:type="dxa"/>
            <w:shd w:val="clear" w:color="auto" w:fill="F3F9FA"/>
            <w:noWrap/>
            <w:vAlign w:val="bottom"/>
          </w:tcPr>
          <w:p w14:paraId="2BA31C4A"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2B810472"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GO1</w:t>
            </w:r>
          </w:p>
        </w:tc>
        <w:tc>
          <w:tcPr>
            <w:tcW w:w="2117" w:type="dxa"/>
            <w:shd w:val="clear" w:color="auto" w:fill="F3F9FA"/>
            <w:noWrap/>
            <w:vAlign w:val="bottom"/>
          </w:tcPr>
          <w:p w14:paraId="0F9460C9"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4A51AA8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27.5</w:t>
            </w:r>
          </w:p>
        </w:tc>
        <w:tc>
          <w:tcPr>
            <w:tcW w:w="924" w:type="dxa"/>
            <w:shd w:val="clear" w:color="auto" w:fill="F3F9FA"/>
            <w:noWrap/>
            <w:vAlign w:val="center"/>
          </w:tcPr>
          <w:p w14:paraId="3A08D185" w14:textId="77777777"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tcPr>
          <w:p w14:paraId="7F5A9D2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37.7</w:t>
            </w:r>
          </w:p>
        </w:tc>
        <w:tc>
          <w:tcPr>
            <w:tcW w:w="924" w:type="dxa"/>
            <w:shd w:val="clear" w:color="auto" w:fill="F3F9FA"/>
            <w:noWrap/>
            <w:vAlign w:val="center"/>
          </w:tcPr>
          <w:p w14:paraId="524CBA9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41</w:t>
            </w:r>
          </w:p>
        </w:tc>
      </w:tr>
      <w:tr w:rsidR="001F0E92" w:rsidRPr="004D3B11" w14:paraId="5A602E39" w14:textId="77777777" w:rsidTr="005D3108">
        <w:trPr>
          <w:trHeight w:val="170"/>
        </w:trPr>
        <w:tc>
          <w:tcPr>
            <w:tcW w:w="2071" w:type="dxa"/>
            <w:shd w:val="clear" w:color="auto" w:fill="E7F3F4"/>
            <w:noWrap/>
            <w:vAlign w:val="bottom"/>
            <w:hideMark/>
          </w:tcPr>
          <w:p w14:paraId="410DC47F"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48381646"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2ABB68FA"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intertidal</w:t>
            </w:r>
          </w:p>
        </w:tc>
        <w:tc>
          <w:tcPr>
            <w:tcW w:w="923" w:type="dxa"/>
            <w:shd w:val="clear" w:color="auto" w:fill="E7F3F4"/>
            <w:noWrap/>
            <w:vAlign w:val="center"/>
            <w:hideMark/>
          </w:tcPr>
          <w:p w14:paraId="72B707B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27.5</w:t>
            </w:r>
          </w:p>
        </w:tc>
        <w:tc>
          <w:tcPr>
            <w:tcW w:w="924" w:type="dxa"/>
            <w:shd w:val="clear" w:color="auto" w:fill="E7F3F4"/>
            <w:noWrap/>
            <w:vAlign w:val="center"/>
            <w:hideMark/>
          </w:tcPr>
          <w:p w14:paraId="72B03A4B"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31.9</w:t>
            </w:r>
          </w:p>
        </w:tc>
        <w:tc>
          <w:tcPr>
            <w:tcW w:w="923" w:type="dxa"/>
            <w:shd w:val="clear" w:color="auto" w:fill="E7F3F4"/>
            <w:noWrap/>
            <w:vAlign w:val="center"/>
            <w:hideMark/>
          </w:tcPr>
          <w:p w14:paraId="6DB93346"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37.7</w:t>
            </w:r>
          </w:p>
        </w:tc>
        <w:tc>
          <w:tcPr>
            <w:tcW w:w="924" w:type="dxa"/>
            <w:shd w:val="clear" w:color="auto" w:fill="E7F3F4"/>
            <w:noWrap/>
            <w:vAlign w:val="center"/>
            <w:hideMark/>
          </w:tcPr>
          <w:p w14:paraId="74F0F126"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41</w:t>
            </w:r>
          </w:p>
        </w:tc>
      </w:tr>
      <w:tr w:rsidR="001F0E92" w:rsidRPr="004D3B11" w14:paraId="1934AEE5" w14:textId="77777777" w:rsidTr="005D3108">
        <w:trPr>
          <w:trHeight w:val="170"/>
        </w:trPr>
        <w:tc>
          <w:tcPr>
            <w:tcW w:w="2071" w:type="dxa"/>
            <w:shd w:val="clear" w:color="auto" w:fill="F3F9FA"/>
            <w:noWrap/>
            <w:vAlign w:val="bottom"/>
          </w:tcPr>
          <w:p w14:paraId="36DA1E71"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68CEB7CE"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DI3</w:t>
            </w:r>
          </w:p>
        </w:tc>
        <w:tc>
          <w:tcPr>
            <w:tcW w:w="2117" w:type="dxa"/>
            <w:shd w:val="clear" w:color="auto" w:fill="F3F9FA"/>
            <w:noWrap/>
            <w:vAlign w:val="bottom"/>
            <w:hideMark/>
          </w:tcPr>
          <w:p w14:paraId="5D6E431C"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subtidal</w:t>
            </w:r>
          </w:p>
        </w:tc>
        <w:tc>
          <w:tcPr>
            <w:tcW w:w="923" w:type="dxa"/>
            <w:shd w:val="clear" w:color="auto" w:fill="F3F9FA"/>
            <w:noWrap/>
            <w:vAlign w:val="center"/>
            <w:hideMark/>
          </w:tcPr>
          <w:p w14:paraId="6A116AE0"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22</w:t>
            </w:r>
          </w:p>
        </w:tc>
        <w:tc>
          <w:tcPr>
            <w:tcW w:w="924" w:type="dxa"/>
            <w:shd w:val="clear" w:color="auto" w:fill="F3F9FA"/>
            <w:noWrap/>
            <w:vAlign w:val="center"/>
            <w:hideMark/>
          </w:tcPr>
          <w:p w14:paraId="393E0E2F"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26</w:t>
            </w:r>
          </w:p>
        </w:tc>
        <w:tc>
          <w:tcPr>
            <w:tcW w:w="923" w:type="dxa"/>
            <w:shd w:val="clear" w:color="auto" w:fill="F3F9FA"/>
            <w:noWrap/>
            <w:vAlign w:val="center"/>
            <w:hideMark/>
          </w:tcPr>
          <w:p w14:paraId="1CB2EFC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33</w:t>
            </w:r>
          </w:p>
        </w:tc>
        <w:tc>
          <w:tcPr>
            <w:tcW w:w="924" w:type="dxa"/>
            <w:shd w:val="clear" w:color="auto" w:fill="F3F9FA"/>
            <w:noWrap/>
            <w:vAlign w:val="center"/>
            <w:hideMark/>
          </w:tcPr>
          <w:p w14:paraId="17A467F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39.2</w:t>
            </w:r>
          </w:p>
        </w:tc>
      </w:tr>
      <w:tr w:rsidR="001F0E92" w:rsidRPr="004D3B11" w14:paraId="7CE65C43" w14:textId="77777777" w:rsidTr="005D3108">
        <w:trPr>
          <w:trHeight w:val="170"/>
        </w:trPr>
        <w:tc>
          <w:tcPr>
            <w:tcW w:w="2071" w:type="dxa"/>
            <w:shd w:val="clear" w:color="auto" w:fill="F3F9FA"/>
            <w:noWrap/>
            <w:vAlign w:val="bottom"/>
          </w:tcPr>
          <w:p w14:paraId="152643F6"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7809F3C1"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GI3^</w:t>
            </w:r>
          </w:p>
        </w:tc>
        <w:tc>
          <w:tcPr>
            <w:tcW w:w="2117" w:type="dxa"/>
            <w:shd w:val="clear" w:color="auto" w:fill="F3F9FA"/>
            <w:noWrap/>
            <w:vAlign w:val="bottom"/>
            <w:hideMark/>
          </w:tcPr>
          <w:p w14:paraId="30D92694"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subtidal</w:t>
            </w:r>
          </w:p>
        </w:tc>
        <w:tc>
          <w:tcPr>
            <w:tcW w:w="923" w:type="dxa"/>
            <w:shd w:val="clear" w:color="auto" w:fill="F3F9FA"/>
            <w:noWrap/>
            <w:vAlign w:val="center"/>
            <w:hideMark/>
          </w:tcPr>
          <w:p w14:paraId="15A9D229"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22</w:t>
            </w:r>
          </w:p>
        </w:tc>
        <w:tc>
          <w:tcPr>
            <w:tcW w:w="924" w:type="dxa"/>
            <w:shd w:val="clear" w:color="auto" w:fill="F3F9FA"/>
            <w:noWrap/>
            <w:vAlign w:val="center"/>
            <w:hideMark/>
          </w:tcPr>
          <w:p w14:paraId="2EF032E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26</w:t>
            </w:r>
          </w:p>
        </w:tc>
        <w:tc>
          <w:tcPr>
            <w:tcW w:w="923" w:type="dxa"/>
            <w:shd w:val="clear" w:color="auto" w:fill="F3F9FA"/>
            <w:noWrap/>
            <w:vAlign w:val="center"/>
            <w:hideMark/>
          </w:tcPr>
          <w:p w14:paraId="4FDEAB9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33</w:t>
            </w:r>
          </w:p>
        </w:tc>
        <w:tc>
          <w:tcPr>
            <w:tcW w:w="924" w:type="dxa"/>
            <w:shd w:val="clear" w:color="auto" w:fill="F3F9FA"/>
            <w:noWrap/>
            <w:vAlign w:val="center"/>
            <w:hideMark/>
          </w:tcPr>
          <w:p w14:paraId="2C6A164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39.2</w:t>
            </w:r>
          </w:p>
        </w:tc>
      </w:tr>
      <w:tr w:rsidR="001F0E92" w:rsidRPr="004D3B11" w14:paraId="05A4975A" w14:textId="77777777" w:rsidTr="005D3108">
        <w:trPr>
          <w:trHeight w:val="170"/>
        </w:trPr>
        <w:tc>
          <w:tcPr>
            <w:tcW w:w="2071" w:type="dxa"/>
            <w:shd w:val="clear" w:color="auto" w:fill="F3F9FA"/>
            <w:noWrap/>
            <w:vAlign w:val="bottom"/>
          </w:tcPr>
          <w:p w14:paraId="2C6E83CE"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6C34D47"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LI2</w:t>
            </w:r>
          </w:p>
        </w:tc>
        <w:tc>
          <w:tcPr>
            <w:tcW w:w="2117" w:type="dxa"/>
            <w:shd w:val="clear" w:color="auto" w:fill="F3F9FA"/>
            <w:noWrap/>
            <w:vAlign w:val="bottom"/>
            <w:hideMark/>
          </w:tcPr>
          <w:p w14:paraId="2D7875A9"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subtidal</w:t>
            </w:r>
          </w:p>
        </w:tc>
        <w:tc>
          <w:tcPr>
            <w:tcW w:w="923" w:type="dxa"/>
            <w:shd w:val="clear" w:color="auto" w:fill="F3F9FA"/>
            <w:noWrap/>
            <w:vAlign w:val="center"/>
            <w:hideMark/>
          </w:tcPr>
          <w:p w14:paraId="01469835"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22</w:t>
            </w:r>
          </w:p>
        </w:tc>
        <w:tc>
          <w:tcPr>
            <w:tcW w:w="924" w:type="dxa"/>
            <w:shd w:val="clear" w:color="auto" w:fill="F3F9FA"/>
            <w:noWrap/>
            <w:vAlign w:val="center"/>
            <w:hideMark/>
          </w:tcPr>
          <w:p w14:paraId="0C49EB7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26</w:t>
            </w:r>
          </w:p>
        </w:tc>
        <w:tc>
          <w:tcPr>
            <w:tcW w:w="923" w:type="dxa"/>
            <w:shd w:val="clear" w:color="auto" w:fill="F3F9FA"/>
            <w:noWrap/>
            <w:vAlign w:val="center"/>
            <w:hideMark/>
          </w:tcPr>
          <w:p w14:paraId="0ADC0A2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33</w:t>
            </w:r>
          </w:p>
        </w:tc>
        <w:tc>
          <w:tcPr>
            <w:tcW w:w="924" w:type="dxa"/>
            <w:shd w:val="clear" w:color="auto" w:fill="F3F9FA"/>
            <w:noWrap/>
            <w:vAlign w:val="center"/>
            <w:hideMark/>
          </w:tcPr>
          <w:p w14:paraId="367D72A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39.2</w:t>
            </w:r>
          </w:p>
        </w:tc>
      </w:tr>
      <w:tr w:rsidR="001F0E92" w:rsidRPr="004D3B11" w14:paraId="3F640085" w14:textId="77777777" w:rsidTr="005D3108">
        <w:trPr>
          <w:trHeight w:val="170"/>
        </w:trPr>
        <w:tc>
          <w:tcPr>
            <w:tcW w:w="2071" w:type="dxa"/>
            <w:shd w:val="clear" w:color="auto" w:fill="E7F3F4"/>
            <w:noWrap/>
            <w:vAlign w:val="bottom"/>
            <w:hideMark/>
          </w:tcPr>
          <w:p w14:paraId="164EFA5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6EE5A5C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7B14BD05"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subtidal</w:t>
            </w:r>
          </w:p>
        </w:tc>
        <w:tc>
          <w:tcPr>
            <w:tcW w:w="923" w:type="dxa"/>
            <w:shd w:val="clear" w:color="auto" w:fill="E7F3F4"/>
            <w:noWrap/>
            <w:vAlign w:val="center"/>
            <w:hideMark/>
          </w:tcPr>
          <w:p w14:paraId="65A455D6"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22</w:t>
            </w:r>
          </w:p>
        </w:tc>
        <w:tc>
          <w:tcPr>
            <w:tcW w:w="924" w:type="dxa"/>
            <w:shd w:val="clear" w:color="auto" w:fill="E7F3F4"/>
            <w:noWrap/>
            <w:vAlign w:val="center"/>
            <w:hideMark/>
          </w:tcPr>
          <w:p w14:paraId="6C7DD7AB"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26</w:t>
            </w:r>
          </w:p>
        </w:tc>
        <w:tc>
          <w:tcPr>
            <w:tcW w:w="923" w:type="dxa"/>
            <w:shd w:val="clear" w:color="auto" w:fill="E7F3F4"/>
            <w:noWrap/>
            <w:vAlign w:val="center"/>
            <w:hideMark/>
          </w:tcPr>
          <w:p w14:paraId="32C7AEA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33</w:t>
            </w:r>
          </w:p>
        </w:tc>
        <w:tc>
          <w:tcPr>
            <w:tcW w:w="924" w:type="dxa"/>
            <w:shd w:val="clear" w:color="auto" w:fill="E7F3F4"/>
            <w:noWrap/>
            <w:vAlign w:val="center"/>
            <w:hideMark/>
          </w:tcPr>
          <w:p w14:paraId="318466A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39.2</w:t>
            </w:r>
          </w:p>
        </w:tc>
      </w:tr>
      <w:tr w:rsidR="001F0E92" w:rsidRPr="004D3B11" w14:paraId="7B61FE35" w14:textId="77777777" w:rsidTr="005D3108">
        <w:trPr>
          <w:trHeight w:val="170"/>
        </w:trPr>
        <w:tc>
          <w:tcPr>
            <w:tcW w:w="2071" w:type="dxa"/>
            <w:shd w:val="clear" w:color="auto" w:fill="F3F9FA"/>
            <w:noWrap/>
            <w:vAlign w:val="bottom"/>
            <w:hideMark/>
          </w:tcPr>
          <w:p w14:paraId="7A74C9F3"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Burdekin</w:t>
            </w:r>
          </w:p>
        </w:tc>
        <w:tc>
          <w:tcPr>
            <w:tcW w:w="1060" w:type="dxa"/>
            <w:shd w:val="clear" w:color="auto" w:fill="F3F9FA"/>
            <w:noWrap/>
            <w:vAlign w:val="bottom"/>
            <w:hideMark/>
          </w:tcPr>
          <w:p w14:paraId="6D747519"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BB1^</w:t>
            </w:r>
          </w:p>
        </w:tc>
        <w:tc>
          <w:tcPr>
            <w:tcW w:w="2117" w:type="dxa"/>
            <w:shd w:val="clear" w:color="auto" w:fill="F3F9FA"/>
            <w:noWrap/>
            <w:vAlign w:val="bottom"/>
            <w:hideMark/>
          </w:tcPr>
          <w:p w14:paraId="27BD29A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1EF3E953"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16.3</w:t>
            </w:r>
          </w:p>
        </w:tc>
        <w:tc>
          <w:tcPr>
            <w:tcW w:w="924" w:type="dxa"/>
            <w:shd w:val="clear" w:color="auto" w:fill="F3F9FA"/>
            <w:noWrap/>
            <w:vAlign w:val="center"/>
            <w:hideMark/>
          </w:tcPr>
          <w:p w14:paraId="0E4AE01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21.4</w:t>
            </w:r>
          </w:p>
        </w:tc>
        <w:tc>
          <w:tcPr>
            <w:tcW w:w="923" w:type="dxa"/>
            <w:shd w:val="clear" w:color="auto" w:fill="F3F9FA"/>
            <w:noWrap/>
            <w:vAlign w:val="center"/>
            <w:hideMark/>
          </w:tcPr>
          <w:p w14:paraId="698351A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25.4</w:t>
            </w:r>
          </w:p>
        </w:tc>
        <w:tc>
          <w:tcPr>
            <w:tcW w:w="924" w:type="dxa"/>
            <w:shd w:val="clear" w:color="auto" w:fill="F3F9FA"/>
            <w:noWrap/>
            <w:vAlign w:val="center"/>
            <w:hideMark/>
          </w:tcPr>
          <w:p w14:paraId="6DE1680F"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35.2</w:t>
            </w:r>
          </w:p>
        </w:tc>
      </w:tr>
      <w:tr w:rsidR="001F0E92" w:rsidRPr="004D3B11" w14:paraId="02D682D7" w14:textId="77777777" w:rsidTr="005D3108">
        <w:trPr>
          <w:trHeight w:val="170"/>
        </w:trPr>
        <w:tc>
          <w:tcPr>
            <w:tcW w:w="2071" w:type="dxa"/>
            <w:shd w:val="clear" w:color="auto" w:fill="F3F9FA"/>
            <w:noWrap/>
            <w:vAlign w:val="bottom"/>
          </w:tcPr>
          <w:p w14:paraId="2987C455"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5883C240" w14:textId="77777777" w:rsidR="001F0E92" w:rsidRPr="004D3B11" w:rsidRDefault="001F0E92" w:rsidP="005D3108">
            <w:pPr>
              <w:spacing w:before="0" w:after="0"/>
              <w:jc w:val="right"/>
              <w:rPr>
                <w:rFonts w:cs="Arial"/>
                <w:color w:val="000000"/>
                <w:sz w:val="20"/>
                <w:szCs w:val="20"/>
              </w:rPr>
            </w:pPr>
          </w:p>
        </w:tc>
        <w:tc>
          <w:tcPr>
            <w:tcW w:w="2117" w:type="dxa"/>
            <w:shd w:val="clear" w:color="auto" w:fill="F3F9FA"/>
            <w:noWrap/>
            <w:vAlign w:val="bottom"/>
          </w:tcPr>
          <w:p w14:paraId="51BFF521" w14:textId="77777777" w:rsidR="001F0E92" w:rsidRPr="004D3B11" w:rsidRDefault="001F0E92" w:rsidP="005D3108">
            <w:pPr>
              <w:spacing w:before="0" w:after="0"/>
              <w:rPr>
                <w:rFonts w:cs="Arial"/>
                <w:color w:val="000000"/>
                <w:sz w:val="20"/>
                <w:szCs w:val="20"/>
              </w:rPr>
            </w:pPr>
          </w:p>
        </w:tc>
        <w:tc>
          <w:tcPr>
            <w:tcW w:w="923" w:type="dxa"/>
            <w:shd w:val="clear" w:color="auto" w:fill="F3F9FA"/>
            <w:noWrap/>
            <w:vAlign w:val="center"/>
          </w:tcPr>
          <w:p w14:paraId="4C2BD1B2" w14:textId="77777777" w:rsidR="001F0E92" w:rsidRPr="004D3B11" w:rsidRDefault="001F0E92" w:rsidP="005D3108">
            <w:pPr>
              <w:spacing w:before="0" w:after="0"/>
              <w:jc w:val="center"/>
              <w:rPr>
                <w:rFonts w:cs="Arial"/>
                <w:color w:val="808080"/>
                <w:sz w:val="20"/>
                <w:szCs w:val="20"/>
              </w:rPr>
            </w:pPr>
          </w:p>
        </w:tc>
        <w:tc>
          <w:tcPr>
            <w:tcW w:w="924" w:type="dxa"/>
            <w:shd w:val="clear" w:color="auto" w:fill="F3F9FA"/>
            <w:noWrap/>
            <w:vAlign w:val="center"/>
          </w:tcPr>
          <w:p w14:paraId="48188A48" w14:textId="77777777"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tcPr>
          <w:p w14:paraId="707DC638"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242A38EC" w14:textId="77777777" w:rsidR="001F0E92" w:rsidRPr="004D3B11" w:rsidRDefault="001F0E92" w:rsidP="005D3108">
            <w:pPr>
              <w:spacing w:before="0" w:after="0"/>
              <w:jc w:val="center"/>
              <w:rPr>
                <w:rFonts w:cs="Arial"/>
                <w:color w:val="000000"/>
                <w:sz w:val="20"/>
                <w:szCs w:val="20"/>
              </w:rPr>
            </w:pPr>
          </w:p>
        </w:tc>
      </w:tr>
      <w:tr w:rsidR="001F0E92" w:rsidRPr="004D3B11" w14:paraId="1E4D7BCD" w14:textId="77777777" w:rsidTr="005D3108">
        <w:trPr>
          <w:trHeight w:val="170"/>
        </w:trPr>
        <w:tc>
          <w:tcPr>
            <w:tcW w:w="2071" w:type="dxa"/>
            <w:shd w:val="clear" w:color="auto" w:fill="F3F9FA"/>
            <w:noWrap/>
            <w:vAlign w:val="bottom"/>
          </w:tcPr>
          <w:p w14:paraId="796233B5"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47669BB8"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SB1^</w:t>
            </w:r>
          </w:p>
        </w:tc>
        <w:tc>
          <w:tcPr>
            <w:tcW w:w="2117" w:type="dxa"/>
            <w:shd w:val="clear" w:color="auto" w:fill="F3F9FA"/>
            <w:noWrap/>
            <w:vAlign w:val="bottom"/>
            <w:hideMark/>
          </w:tcPr>
          <w:p w14:paraId="4670AA26"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6B3C5882"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7.5</w:t>
            </w:r>
          </w:p>
        </w:tc>
        <w:tc>
          <w:tcPr>
            <w:tcW w:w="924" w:type="dxa"/>
            <w:shd w:val="clear" w:color="auto" w:fill="F3F9FA"/>
            <w:noWrap/>
            <w:vAlign w:val="center"/>
            <w:hideMark/>
          </w:tcPr>
          <w:p w14:paraId="051C51D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10</w:t>
            </w:r>
          </w:p>
        </w:tc>
        <w:tc>
          <w:tcPr>
            <w:tcW w:w="923" w:type="dxa"/>
            <w:shd w:val="clear" w:color="auto" w:fill="F3F9FA"/>
            <w:noWrap/>
            <w:vAlign w:val="center"/>
            <w:hideMark/>
          </w:tcPr>
          <w:p w14:paraId="2A7D4EA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16.8</w:t>
            </w:r>
          </w:p>
        </w:tc>
        <w:tc>
          <w:tcPr>
            <w:tcW w:w="924" w:type="dxa"/>
            <w:shd w:val="clear" w:color="auto" w:fill="F3F9FA"/>
            <w:noWrap/>
            <w:vAlign w:val="center"/>
            <w:hideMark/>
          </w:tcPr>
          <w:p w14:paraId="243EF51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w:t>
            </w:r>
          </w:p>
        </w:tc>
      </w:tr>
      <w:tr w:rsidR="001F0E92" w:rsidRPr="004D3B11" w14:paraId="4D9AA368" w14:textId="77777777" w:rsidTr="005D3108">
        <w:trPr>
          <w:trHeight w:val="170"/>
        </w:trPr>
        <w:tc>
          <w:tcPr>
            <w:tcW w:w="2071" w:type="dxa"/>
            <w:shd w:val="clear" w:color="auto" w:fill="F3F9FA"/>
            <w:noWrap/>
            <w:vAlign w:val="bottom"/>
          </w:tcPr>
          <w:p w14:paraId="1D933866"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3E75B20"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SB2</w:t>
            </w:r>
          </w:p>
        </w:tc>
        <w:tc>
          <w:tcPr>
            <w:tcW w:w="2117" w:type="dxa"/>
            <w:shd w:val="clear" w:color="auto" w:fill="F3F9FA"/>
            <w:noWrap/>
            <w:vAlign w:val="bottom"/>
            <w:hideMark/>
          </w:tcPr>
          <w:p w14:paraId="4D9FABB2"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018ABA0A"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420FB41A" w14:textId="77777777" w:rsidR="001F0E92" w:rsidRPr="004D3B11" w:rsidRDefault="001F0E92" w:rsidP="005D3108">
            <w:pPr>
              <w:spacing w:before="0" w:after="0"/>
              <w:jc w:val="center"/>
              <w:rPr>
                <w:rFonts w:cs="Arial"/>
                <w:bCs/>
                <w:i/>
                <w:iCs/>
                <w:color w:val="000000"/>
                <w:sz w:val="20"/>
                <w:szCs w:val="20"/>
              </w:rPr>
            </w:pPr>
            <w:r w:rsidRPr="004D3B11">
              <w:rPr>
                <w:rFonts w:cs="Arial"/>
                <w:color w:val="000000"/>
                <w:sz w:val="20"/>
                <w:szCs w:val="20"/>
              </w:rPr>
              <w:t>10</w:t>
            </w:r>
          </w:p>
        </w:tc>
        <w:tc>
          <w:tcPr>
            <w:tcW w:w="923" w:type="dxa"/>
            <w:shd w:val="clear" w:color="auto" w:fill="F3F9FA"/>
            <w:noWrap/>
            <w:vAlign w:val="center"/>
            <w:hideMark/>
          </w:tcPr>
          <w:p w14:paraId="6F7D1233" w14:textId="77777777" w:rsidR="001F0E92" w:rsidRPr="004D3B11" w:rsidRDefault="001F0E92" w:rsidP="005D3108">
            <w:pPr>
              <w:spacing w:before="0" w:after="0"/>
              <w:jc w:val="center"/>
              <w:rPr>
                <w:rFonts w:cs="Arial"/>
                <w:bCs/>
                <w:i/>
                <w:iCs/>
                <w:color w:val="000000"/>
                <w:sz w:val="20"/>
                <w:szCs w:val="20"/>
              </w:rPr>
            </w:pPr>
            <w:r w:rsidRPr="004D3B11">
              <w:rPr>
                <w:rFonts w:cs="Arial"/>
                <w:color w:val="000000"/>
                <w:sz w:val="20"/>
                <w:szCs w:val="20"/>
              </w:rPr>
              <w:t>16.8</w:t>
            </w:r>
          </w:p>
        </w:tc>
        <w:tc>
          <w:tcPr>
            <w:tcW w:w="924" w:type="dxa"/>
            <w:shd w:val="clear" w:color="auto" w:fill="F3F9FA"/>
            <w:noWrap/>
            <w:vAlign w:val="center"/>
            <w:hideMark/>
          </w:tcPr>
          <w:p w14:paraId="2C302225" w14:textId="77777777" w:rsidR="001F0E92" w:rsidRPr="004D3B11" w:rsidRDefault="001F0E92" w:rsidP="005D3108">
            <w:pPr>
              <w:spacing w:before="0" w:after="0"/>
              <w:jc w:val="center"/>
              <w:rPr>
                <w:rFonts w:cs="Arial"/>
                <w:bCs/>
                <w:i/>
                <w:iCs/>
                <w:color w:val="000000"/>
                <w:sz w:val="20"/>
                <w:szCs w:val="20"/>
              </w:rPr>
            </w:pPr>
            <w:r w:rsidRPr="004D3B11">
              <w:rPr>
                <w:rFonts w:cs="Arial"/>
                <w:color w:val="000000"/>
                <w:sz w:val="20"/>
                <w:szCs w:val="20"/>
              </w:rPr>
              <w:t>22</w:t>
            </w:r>
          </w:p>
        </w:tc>
      </w:tr>
      <w:tr w:rsidR="001F0E92" w:rsidRPr="004D3B11" w14:paraId="2218341E" w14:textId="77777777" w:rsidTr="005D3108">
        <w:trPr>
          <w:trHeight w:val="170"/>
        </w:trPr>
        <w:tc>
          <w:tcPr>
            <w:tcW w:w="2071" w:type="dxa"/>
            <w:shd w:val="clear" w:color="auto" w:fill="F3F9FA"/>
            <w:noWrap/>
            <w:vAlign w:val="bottom"/>
          </w:tcPr>
          <w:p w14:paraId="407BAEF0"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63F30514"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JR</w:t>
            </w:r>
          </w:p>
        </w:tc>
        <w:tc>
          <w:tcPr>
            <w:tcW w:w="2117" w:type="dxa"/>
            <w:shd w:val="clear" w:color="auto" w:fill="F3F9FA"/>
            <w:noWrap/>
            <w:vAlign w:val="bottom"/>
            <w:hideMark/>
          </w:tcPr>
          <w:p w14:paraId="7D16AC93" w14:textId="77777777" w:rsidR="001F0E92" w:rsidRPr="004D3B11" w:rsidRDefault="001F0E92" w:rsidP="005D3108">
            <w:pPr>
              <w:spacing w:before="0" w:after="0"/>
              <w:rPr>
                <w:rFonts w:cs="Arial"/>
                <w:b/>
                <w:bCs/>
                <w:i/>
                <w:iCs/>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69E77B36" w14:textId="77777777" w:rsidR="001F0E92" w:rsidRPr="004D3B11" w:rsidRDefault="001F0E92" w:rsidP="005D3108">
            <w:pPr>
              <w:spacing w:before="0" w:after="0"/>
              <w:jc w:val="center"/>
              <w:rPr>
                <w:rFonts w:cs="Arial"/>
                <w:bCs/>
                <w:i/>
                <w:iCs/>
                <w:color w:val="000000"/>
                <w:sz w:val="20"/>
                <w:szCs w:val="20"/>
              </w:rPr>
            </w:pPr>
          </w:p>
        </w:tc>
        <w:tc>
          <w:tcPr>
            <w:tcW w:w="924" w:type="dxa"/>
            <w:shd w:val="clear" w:color="auto" w:fill="F3F9FA"/>
            <w:noWrap/>
            <w:vAlign w:val="center"/>
            <w:hideMark/>
          </w:tcPr>
          <w:p w14:paraId="706EB18A" w14:textId="77777777" w:rsidR="001F0E92" w:rsidRPr="004D3B11" w:rsidRDefault="001F0E92" w:rsidP="005D3108">
            <w:pPr>
              <w:spacing w:before="0" w:after="0"/>
              <w:jc w:val="center"/>
              <w:rPr>
                <w:rFonts w:cs="Arial"/>
                <w:bCs/>
                <w:i/>
                <w:iCs/>
                <w:color w:val="000000"/>
                <w:sz w:val="20"/>
                <w:szCs w:val="20"/>
              </w:rPr>
            </w:pPr>
            <w:r w:rsidRPr="004D3B11">
              <w:rPr>
                <w:rFonts w:cs="Arial"/>
                <w:bCs/>
                <w:i/>
                <w:iCs/>
                <w:color w:val="000000"/>
                <w:sz w:val="20"/>
                <w:szCs w:val="20"/>
              </w:rPr>
              <w:t>15.7</w:t>
            </w:r>
          </w:p>
        </w:tc>
        <w:tc>
          <w:tcPr>
            <w:tcW w:w="923" w:type="dxa"/>
            <w:shd w:val="clear" w:color="auto" w:fill="F3F9FA"/>
            <w:noWrap/>
            <w:vAlign w:val="center"/>
            <w:hideMark/>
          </w:tcPr>
          <w:p w14:paraId="619DDCB0" w14:textId="77777777" w:rsidR="001F0E92" w:rsidRPr="004D3B11" w:rsidRDefault="001F0E92" w:rsidP="005D3108">
            <w:pPr>
              <w:spacing w:before="0" w:after="0"/>
              <w:jc w:val="center"/>
              <w:rPr>
                <w:rFonts w:cs="Arial"/>
                <w:bCs/>
                <w:i/>
                <w:iCs/>
                <w:color w:val="000000"/>
                <w:sz w:val="20"/>
                <w:szCs w:val="20"/>
              </w:rPr>
            </w:pPr>
            <w:r w:rsidRPr="004D3B11">
              <w:rPr>
                <w:rFonts w:cs="Arial"/>
                <w:bCs/>
                <w:i/>
                <w:iCs/>
                <w:color w:val="000000"/>
                <w:sz w:val="20"/>
                <w:szCs w:val="20"/>
              </w:rPr>
              <w:t>21.1</w:t>
            </w:r>
          </w:p>
        </w:tc>
        <w:tc>
          <w:tcPr>
            <w:tcW w:w="924" w:type="dxa"/>
            <w:shd w:val="clear" w:color="auto" w:fill="F3F9FA"/>
            <w:noWrap/>
            <w:vAlign w:val="center"/>
            <w:hideMark/>
          </w:tcPr>
          <w:p w14:paraId="002838D0" w14:textId="77777777" w:rsidR="001F0E92" w:rsidRPr="004D3B11" w:rsidRDefault="001F0E92" w:rsidP="005D3108">
            <w:pPr>
              <w:spacing w:before="0" w:after="0"/>
              <w:jc w:val="center"/>
              <w:rPr>
                <w:rFonts w:cs="Arial"/>
                <w:bCs/>
                <w:i/>
                <w:iCs/>
                <w:color w:val="000000"/>
                <w:sz w:val="20"/>
                <w:szCs w:val="20"/>
              </w:rPr>
            </w:pPr>
            <w:r w:rsidRPr="004D3B11">
              <w:rPr>
                <w:rFonts w:cs="Arial"/>
                <w:bCs/>
                <w:i/>
                <w:iCs/>
                <w:color w:val="000000"/>
                <w:sz w:val="20"/>
                <w:szCs w:val="20"/>
              </w:rPr>
              <w:t>28.6</w:t>
            </w:r>
          </w:p>
        </w:tc>
      </w:tr>
      <w:tr w:rsidR="001F0E92" w:rsidRPr="004D3B11" w14:paraId="4639C49F" w14:textId="77777777" w:rsidTr="005D3108">
        <w:trPr>
          <w:trHeight w:val="170"/>
        </w:trPr>
        <w:tc>
          <w:tcPr>
            <w:tcW w:w="2071" w:type="dxa"/>
            <w:shd w:val="clear" w:color="auto" w:fill="E7F3F4"/>
            <w:noWrap/>
            <w:vAlign w:val="bottom"/>
          </w:tcPr>
          <w:p w14:paraId="1594315A"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7136126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426BCE0F"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p>
        </w:tc>
        <w:tc>
          <w:tcPr>
            <w:tcW w:w="923" w:type="dxa"/>
            <w:shd w:val="clear" w:color="auto" w:fill="E7F3F4"/>
            <w:noWrap/>
            <w:vAlign w:val="center"/>
            <w:hideMark/>
          </w:tcPr>
          <w:p w14:paraId="3CCCDF8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11.9</w:t>
            </w:r>
          </w:p>
        </w:tc>
        <w:tc>
          <w:tcPr>
            <w:tcW w:w="924" w:type="dxa"/>
            <w:shd w:val="clear" w:color="auto" w:fill="E7F3F4"/>
            <w:noWrap/>
            <w:vAlign w:val="center"/>
            <w:hideMark/>
          </w:tcPr>
          <w:p w14:paraId="1AA916B7"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15.7</w:t>
            </w:r>
          </w:p>
        </w:tc>
        <w:tc>
          <w:tcPr>
            <w:tcW w:w="923" w:type="dxa"/>
            <w:shd w:val="clear" w:color="auto" w:fill="E7F3F4"/>
            <w:noWrap/>
            <w:vAlign w:val="center"/>
            <w:hideMark/>
          </w:tcPr>
          <w:p w14:paraId="63D932EF"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21.1</w:t>
            </w:r>
          </w:p>
        </w:tc>
        <w:tc>
          <w:tcPr>
            <w:tcW w:w="924" w:type="dxa"/>
            <w:shd w:val="clear" w:color="auto" w:fill="E7F3F4"/>
            <w:noWrap/>
            <w:vAlign w:val="center"/>
            <w:hideMark/>
          </w:tcPr>
          <w:p w14:paraId="1E83ED78"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28.6</w:t>
            </w:r>
          </w:p>
        </w:tc>
      </w:tr>
      <w:tr w:rsidR="001F0E92" w:rsidRPr="004D3B11" w14:paraId="1CD6C652" w14:textId="77777777" w:rsidTr="005D3108">
        <w:trPr>
          <w:trHeight w:val="170"/>
        </w:trPr>
        <w:tc>
          <w:tcPr>
            <w:tcW w:w="2071" w:type="dxa"/>
            <w:shd w:val="clear" w:color="auto" w:fill="F3F9FA"/>
            <w:noWrap/>
            <w:vAlign w:val="bottom"/>
          </w:tcPr>
          <w:p w14:paraId="3138F229"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70AEE609"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MI1^</w:t>
            </w:r>
          </w:p>
        </w:tc>
        <w:tc>
          <w:tcPr>
            <w:tcW w:w="2117" w:type="dxa"/>
            <w:shd w:val="clear" w:color="auto" w:fill="F3F9FA"/>
            <w:noWrap/>
            <w:vAlign w:val="bottom"/>
            <w:hideMark/>
          </w:tcPr>
          <w:p w14:paraId="00BBCAA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3F59306B"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23</w:t>
            </w:r>
          </w:p>
        </w:tc>
        <w:tc>
          <w:tcPr>
            <w:tcW w:w="924" w:type="dxa"/>
            <w:shd w:val="clear" w:color="auto" w:fill="F3F9FA"/>
            <w:noWrap/>
            <w:vAlign w:val="center"/>
            <w:hideMark/>
          </w:tcPr>
          <w:p w14:paraId="5BA35FF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26</w:t>
            </w:r>
          </w:p>
        </w:tc>
        <w:tc>
          <w:tcPr>
            <w:tcW w:w="923" w:type="dxa"/>
            <w:shd w:val="clear" w:color="auto" w:fill="F3F9FA"/>
            <w:noWrap/>
            <w:vAlign w:val="center"/>
            <w:hideMark/>
          </w:tcPr>
          <w:p w14:paraId="25A5B65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33.4</w:t>
            </w:r>
          </w:p>
        </w:tc>
        <w:tc>
          <w:tcPr>
            <w:tcW w:w="924" w:type="dxa"/>
            <w:shd w:val="clear" w:color="auto" w:fill="F3F9FA"/>
            <w:noWrap/>
            <w:vAlign w:val="center"/>
            <w:hideMark/>
          </w:tcPr>
          <w:p w14:paraId="6151DEA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37</w:t>
            </w:r>
          </w:p>
        </w:tc>
      </w:tr>
      <w:tr w:rsidR="001F0E92" w:rsidRPr="004D3B11" w14:paraId="517B94C0" w14:textId="77777777" w:rsidTr="005D3108">
        <w:trPr>
          <w:trHeight w:val="170"/>
        </w:trPr>
        <w:tc>
          <w:tcPr>
            <w:tcW w:w="2071" w:type="dxa"/>
            <w:shd w:val="clear" w:color="auto" w:fill="F3F9FA"/>
            <w:noWrap/>
            <w:vAlign w:val="bottom"/>
          </w:tcPr>
          <w:p w14:paraId="7682E69E"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16D62965"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MI2^</w:t>
            </w:r>
          </w:p>
        </w:tc>
        <w:tc>
          <w:tcPr>
            <w:tcW w:w="2117" w:type="dxa"/>
            <w:shd w:val="clear" w:color="auto" w:fill="F3F9FA"/>
            <w:noWrap/>
            <w:vAlign w:val="bottom"/>
            <w:hideMark/>
          </w:tcPr>
          <w:p w14:paraId="30FED40B"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3B19875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21.3</w:t>
            </w:r>
          </w:p>
        </w:tc>
        <w:tc>
          <w:tcPr>
            <w:tcW w:w="924" w:type="dxa"/>
            <w:shd w:val="clear" w:color="auto" w:fill="F3F9FA"/>
            <w:noWrap/>
            <w:vAlign w:val="center"/>
            <w:hideMark/>
          </w:tcPr>
          <w:p w14:paraId="5D6A9456"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26.5</w:t>
            </w:r>
          </w:p>
        </w:tc>
        <w:tc>
          <w:tcPr>
            <w:tcW w:w="923" w:type="dxa"/>
            <w:shd w:val="clear" w:color="auto" w:fill="F3F9FA"/>
            <w:noWrap/>
            <w:vAlign w:val="center"/>
            <w:hideMark/>
          </w:tcPr>
          <w:p w14:paraId="5CC97EC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35.6</w:t>
            </w:r>
          </w:p>
        </w:tc>
        <w:tc>
          <w:tcPr>
            <w:tcW w:w="924" w:type="dxa"/>
            <w:shd w:val="clear" w:color="auto" w:fill="F3F9FA"/>
            <w:noWrap/>
            <w:vAlign w:val="center"/>
            <w:hideMark/>
          </w:tcPr>
          <w:p w14:paraId="3910B85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41</w:t>
            </w:r>
          </w:p>
        </w:tc>
      </w:tr>
      <w:tr w:rsidR="001F0E92" w:rsidRPr="004D3B11" w14:paraId="19106443" w14:textId="77777777" w:rsidTr="005D3108">
        <w:trPr>
          <w:trHeight w:val="170"/>
        </w:trPr>
        <w:tc>
          <w:tcPr>
            <w:tcW w:w="2071" w:type="dxa"/>
            <w:shd w:val="clear" w:color="auto" w:fill="E7F3F4"/>
            <w:noWrap/>
            <w:vAlign w:val="bottom"/>
            <w:hideMark/>
          </w:tcPr>
          <w:p w14:paraId="0D0672BA"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4B6C0F67"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0B97C75A"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intertidal</w:t>
            </w:r>
          </w:p>
        </w:tc>
        <w:tc>
          <w:tcPr>
            <w:tcW w:w="923" w:type="dxa"/>
            <w:shd w:val="clear" w:color="auto" w:fill="E7F3F4"/>
            <w:noWrap/>
            <w:vAlign w:val="center"/>
            <w:hideMark/>
          </w:tcPr>
          <w:p w14:paraId="58C76E8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22.2</w:t>
            </w:r>
          </w:p>
        </w:tc>
        <w:tc>
          <w:tcPr>
            <w:tcW w:w="924" w:type="dxa"/>
            <w:shd w:val="clear" w:color="auto" w:fill="E7F3F4"/>
            <w:noWrap/>
            <w:vAlign w:val="center"/>
            <w:hideMark/>
          </w:tcPr>
          <w:p w14:paraId="75E74E8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26.3</w:t>
            </w:r>
          </w:p>
        </w:tc>
        <w:tc>
          <w:tcPr>
            <w:tcW w:w="923" w:type="dxa"/>
            <w:shd w:val="clear" w:color="auto" w:fill="E7F3F4"/>
            <w:noWrap/>
            <w:vAlign w:val="center"/>
            <w:hideMark/>
          </w:tcPr>
          <w:p w14:paraId="45BBD6E6"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34.5</w:t>
            </w:r>
          </w:p>
        </w:tc>
        <w:tc>
          <w:tcPr>
            <w:tcW w:w="924" w:type="dxa"/>
            <w:shd w:val="clear" w:color="auto" w:fill="E7F3F4"/>
            <w:noWrap/>
            <w:vAlign w:val="center"/>
            <w:hideMark/>
          </w:tcPr>
          <w:p w14:paraId="52301131"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39</w:t>
            </w:r>
          </w:p>
        </w:tc>
      </w:tr>
      <w:tr w:rsidR="001F0E92" w:rsidRPr="004D3B11" w14:paraId="676BFC66" w14:textId="77777777" w:rsidTr="005D3108">
        <w:trPr>
          <w:trHeight w:val="170"/>
        </w:trPr>
        <w:tc>
          <w:tcPr>
            <w:tcW w:w="2071" w:type="dxa"/>
            <w:shd w:val="clear" w:color="auto" w:fill="F3F9FA"/>
            <w:noWrap/>
            <w:vAlign w:val="bottom"/>
          </w:tcPr>
          <w:p w14:paraId="24E3218D"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88AF571"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MI3^</w:t>
            </w:r>
          </w:p>
        </w:tc>
        <w:tc>
          <w:tcPr>
            <w:tcW w:w="2117" w:type="dxa"/>
            <w:shd w:val="clear" w:color="auto" w:fill="F3F9FA"/>
            <w:noWrap/>
            <w:vAlign w:val="bottom"/>
            <w:hideMark/>
          </w:tcPr>
          <w:p w14:paraId="45F6B403" w14:textId="77777777" w:rsidR="001F0E92" w:rsidRPr="004D3B11" w:rsidRDefault="001F0E92" w:rsidP="005D3108">
            <w:pPr>
              <w:spacing w:before="0" w:after="0"/>
              <w:rPr>
                <w:rFonts w:cs="Arial"/>
                <w:b/>
                <w:bCs/>
                <w:i/>
                <w:iCs/>
                <w:color w:val="000000"/>
                <w:sz w:val="20"/>
                <w:szCs w:val="20"/>
              </w:rPr>
            </w:pPr>
            <w:r w:rsidRPr="004D3B11">
              <w:rPr>
                <w:rFonts w:cs="Arial"/>
                <w:color w:val="000000"/>
                <w:sz w:val="20"/>
                <w:szCs w:val="20"/>
              </w:rPr>
              <w:t>reef subtidal</w:t>
            </w:r>
          </w:p>
        </w:tc>
        <w:tc>
          <w:tcPr>
            <w:tcW w:w="923" w:type="dxa"/>
            <w:shd w:val="clear" w:color="auto" w:fill="F3F9FA"/>
            <w:noWrap/>
            <w:vAlign w:val="center"/>
            <w:hideMark/>
          </w:tcPr>
          <w:p w14:paraId="2464A744"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18</w:t>
            </w:r>
          </w:p>
        </w:tc>
        <w:tc>
          <w:tcPr>
            <w:tcW w:w="924" w:type="dxa"/>
            <w:shd w:val="clear" w:color="auto" w:fill="F3F9FA"/>
            <w:noWrap/>
            <w:vAlign w:val="center"/>
            <w:hideMark/>
          </w:tcPr>
          <w:p w14:paraId="44719CD1"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22.5</w:t>
            </w:r>
          </w:p>
        </w:tc>
        <w:tc>
          <w:tcPr>
            <w:tcW w:w="923" w:type="dxa"/>
            <w:shd w:val="clear" w:color="auto" w:fill="F3F9FA"/>
            <w:noWrap/>
            <w:vAlign w:val="center"/>
            <w:hideMark/>
          </w:tcPr>
          <w:p w14:paraId="5599D1D8"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32.7</w:t>
            </w:r>
          </w:p>
        </w:tc>
        <w:tc>
          <w:tcPr>
            <w:tcW w:w="924" w:type="dxa"/>
            <w:shd w:val="clear" w:color="auto" w:fill="F3F9FA"/>
            <w:noWrap/>
            <w:vAlign w:val="center"/>
            <w:hideMark/>
          </w:tcPr>
          <w:p w14:paraId="09143618"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36.7</w:t>
            </w:r>
          </w:p>
        </w:tc>
      </w:tr>
      <w:tr w:rsidR="001F0E92" w:rsidRPr="004D3B11" w14:paraId="20135EBF" w14:textId="77777777" w:rsidTr="005D3108">
        <w:trPr>
          <w:trHeight w:val="170"/>
        </w:trPr>
        <w:tc>
          <w:tcPr>
            <w:tcW w:w="2071" w:type="dxa"/>
            <w:shd w:val="clear" w:color="auto" w:fill="E7F3F4"/>
            <w:noWrap/>
            <w:vAlign w:val="bottom"/>
          </w:tcPr>
          <w:p w14:paraId="34BED269"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179ADB9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2AE5FFDA"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subtidal</w:t>
            </w:r>
          </w:p>
        </w:tc>
        <w:tc>
          <w:tcPr>
            <w:tcW w:w="923" w:type="dxa"/>
            <w:shd w:val="clear" w:color="auto" w:fill="E7F3F4"/>
            <w:noWrap/>
            <w:vAlign w:val="center"/>
            <w:hideMark/>
          </w:tcPr>
          <w:p w14:paraId="54950E2F"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18</w:t>
            </w:r>
          </w:p>
        </w:tc>
        <w:tc>
          <w:tcPr>
            <w:tcW w:w="924" w:type="dxa"/>
            <w:shd w:val="clear" w:color="auto" w:fill="E7F3F4"/>
            <w:noWrap/>
            <w:vAlign w:val="center"/>
            <w:hideMark/>
          </w:tcPr>
          <w:p w14:paraId="754DFF8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22.5</w:t>
            </w:r>
          </w:p>
        </w:tc>
        <w:tc>
          <w:tcPr>
            <w:tcW w:w="923" w:type="dxa"/>
            <w:shd w:val="clear" w:color="auto" w:fill="E7F3F4"/>
            <w:noWrap/>
            <w:vAlign w:val="center"/>
            <w:hideMark/>
          </w:tcPr>
          <w:p w14:paraId="4C51ECA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32.7</w:t>
            </w:r>
          </w:p>
        </w:tc>
        <w:tc>
          <w:tcPr>
            <w:tcW w:w="924" w:type="dxa"/>
            <w:shd w:val="clear" w:color="auto" w:fill="E7F3F4"/>
            <w:noWrap/>
            <w:vAlign w:val="center"/>
            <w:hideMark/>
          </w:tcPr>
          <w:p w14:paraId="7DF0F5D1"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36.7</w:t>
            </w:r>
          </w:p>
        </w:tc>
      </w:tr>
      <w:tr w:rsidR="001F0E92" w:rsidRPr="004D3B11" w14:paraId="0E0E06D9" w14:textId="77777777" w:rsidTr="005D3108">
        <w:trPr>
          <w:trHeight w:val="170"/>
        </w:trPr>
        <w:tc>
          <w:tcPr>
            <w:tcW w:w="8942" w:type="dxa"/>
            <w:gridSpan w:val="7"/>
            <w:shd w:val="clear" w:color="auto" w:fill="F3F9FA"/>
            <w:noWrap/>
            <w:vAlign w:val="center"/>
            <w:hideMark/>
          </w:tcPr>
          <w:p w14:paraId="3E2AE132" w14:textId="154179F3" w:rsidR="001F0E92" w:rsidRPr="004D3B11" w:rsidRDefault="00B72AC4" w:rsidP="005D3108">
            <w:pPr>
              <w:spacing w:before="0" w:after="0"/>
              <w:rPr>
                <w:rFonts w:cs="Arial"/>
                <w:color w:val="000000"/>
                <w:sz w:val="20"/>
                <w:szCs w:val="20"/>
              </w:rPr>
            </w:pPr>
            <w:r>
              <w:rPr>
                <w:rFonts w:cs="Arial"/>
                <w:color w:val="000000"/>
                <w:sz w:val="20"/>
                <w:szCs w:val="20"/>
              </w:rPr>
              <w:t>Mackay–Whitsunday</w:t>
            </w:r>
          </w:p>
        </w:tc>
      </w:tr>
      <w:tr w:rsidR="001F0E92" w:rsidRPr="004D3B11" w14:paraId="54267B25" w14:textId="77777777" w:rsidTr="005D3108">
        <w:trPr>
          <w:trHeight w:val="170"/>
        </w:trPr>
        <w:tc>
          <w:tcPr>
            <w:tcW w:w="2071" w:type="dxa"/>
            <w:shd w:val="clear" w:color="auto" w:fill="F3F9FA"/>
            <w:noWrap/>
            <w:vAlign w:val="bottom"/>
          </w:tcPr>
          <w:p w14:paraId="2FAC795C"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06B886BB" w14:textId="02557902"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SI</w:t>
            </w:r>
          </w:p>
        </w:tc>
        <w:tc>
          <w:tcPr>
            <w:tcW w:w="2117" w:type="dxa"/>
            <w:shd w:val="clear" w:color="auto" w:fill="F3F9FA"/>
            <w:noWrap/>
            <w:vAlign w:val="bottom"/>
          </w:tcPr>
          <w:p w14:paraId="70157245" w14:textId="240FF5CE" w:rsidR="001F0E92" w:rsidRPr="004D3B11" w:rsidRDefault="001F0E92" w:rsidP="005D3108">
            <w:pPr>
              <w:spacing w:before="0" w:after="0"/>
              <w:rPr>
                <w:rFonts w:cs="Arial"/>
                <w:color w:val="000000"/>
                <w:sz w:val="20"/>
                <w:szCs w:val="20"/>
              </w:rPr>
            </w:pPr>
            <w:r w:rsidRPr="004D3B11">
              <w:rPr>
                <w:rFonts w:cs="Arial"/>
                <w:color w:val="000000"/>
                <w:sz w:val="20"/>
                <w:szCs w:val="20"/>
              </w:rPr>
              <w:t>estuarine intertidal</w:t>
            </w:r>
          </w:p>
        </w:tc>
        <w:tc>
          <w:tcPr>
            <w:tcW w:w="923" w:type="dxa"/>
            <w:shd w:val="clear" w:color="auto" w:fill="F3F9FA"/>
            <w:noWrap/>
            <w:vAlign w:val="center"/>
          </w:tcPr>
          <w:p w14:paraId="01CDC611"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4E343D89" w14:textId="13559C89"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w:t>
            </w:r>
          </w:p>
        </w:tc>
        <w:tc>
          <w:tcPr>
            <w:tcW w:w="923" w:type="dxa"/>
            <w:shd w:val="clear" w:color="auto" w:fill="F3F9FA"/>
            <w:noWrap/>
            <w:vAlign w:val="center"/>
          </w:tcPr>
          <w:p w14:paraId="452995ED" w14:textId="5662DCD4"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34.1</w:t>
            </w:r>
          </w:p>
        </w:tc>
        <w:tc>
          <w:tcPr>
            <w:tcW w:w="924" w:type="dxa"/>
            <w:shd w:val="clear" w:color="auto" w:fill="F3F9FA"/>
            <w:noWrap/>
            <w:vAlign w:val="center"/>
          </w:tcPr>
          <w:p w14:paraId="676977D1" w14:textId="29BE9F89"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54</w:t>
            </w:r>
          </w:p>
        </w:tc>
      </w:tr>
      <w:tr w:rsidR="001F0E92" w:rsidRPr="004D3B11" w14:paraId="1A2E89A9" w14:textId="77777777" w:rsidTr="005D3108">
        <w:trPr>
          <w:trHeight w:val="170"/>
        </w:trPr>
        <w:tc>
          <w:tcPr>
            <w:tcW w:w="2071" w:type="dxa"/>
            <w:shd w:val="clear" w:color="auto" w:fill="E7F3F4"/>
            <w:noWrap/>
            <w:vAlign w:val="bottom"/>
          </w:tcPr>
          <w:p w14:paraId="4B29687B"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0E9A12A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47C932BB"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estuarine intertidal</w:t>
            </w:r>
          </w:p>
        </w:tc>
        <w:tc>
          <w:tcPr>
            <w:tcW w:w="923" w:type="dxa"/>
            <w:shd w:val="clear" w:color="auto" w:fill="E7F3F4"/>
            <w:noWrap/>
            <w:vAlign w:val="center"/>
            <w:hideMark/>
          </w:tcPr>
          <w:p w14:paraId="0CAC0907"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10.8*</w:t>
            </w:r>
          </w:p>
        </w:tc>
        <w:tc>
          <w:tcPr>
            <w:tcW w:w="924" w:type="dxa"/>
            <w:shd w:val="clear" w:color="auto" w:fill="E7F3F4"/>
            <w:noWrap/>
            <w:vAlign w:val="center"/>
            <w:hideMark/>
          </w:tcPr>
          <w:p w14:paraId="3EE303E5"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18*</w:t>
            </w:r>
          </w:p>
        </w:tc>
        <w:tc>
          <w:tcPr>
            <w:tcW w:w="923" w:type="dxa"/>
            <w:shd w:val="clear" w:color="auto" w:fill="E7F3F4"/>
            <w:noWrap/>
            <w:vAlign w:val="center"/>
            <w:hideMark/>
          </w:tcPr>
          <w:p w14:paraId="2619446E"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34.1*</w:t>
            </w:r>
          </w:p>
        </w:tc>
        <w:tc>
          <w:tcPr>
            <w:tcW w:w="924" w:type="dxa"/>
            <w:shd w:val="clear" w:color="auto" w:fill="E7F3F4"/>
            <w:noWrap/>
            <w:vAlign w:val="center"/>
            <w:hideMark/>
          </w:tcPr>
          <w:p w14:paraId="3262FA71"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54*</w:t>
            </w:r>
          </w:p>
        </w:tc>
      </w:tr>
      <w:tr w:rsidR="001F0E92" w:rsidRPr="004D3B11" w14:paraId="49DAF82F" w14:textId="77777777" w:rsidTr="005D3108">
        <w:trPr>
          <w:trHeight w:val="170"/>
        </w:trPr>
        <w:tc>
          <w:tcPr>
            <w:tcW w:w="2071" w:type="dxa"/>
            <w:shd w:val="clear" w:color="auto" w:fill="F3F9FA"/>
            <w:noWrap/>
            <w:vAlign w:val="bottom"/>
          </w:tcPr>
          <w:p w14:paraId="0663CC40"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D9F5B0A"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PI2^</w:t>
            </w:r>
          </w:p>
        </w:tc>
        <w:tc>
          <w:tcPr>
            <w:tcW w:w="2117" w:type="dxa"/>
            <w:shd w:val="clear" w:color="auto" w:fill="F3F9FA"/>
            <w:noWrap/>
            <w:vAlign w:val="bottom"/>
            <w:hideMark/>
          </w:tcPr>
          <w:p w14:paraId="2574536B"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7AB0FFF7"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18.1</w:t>
            </w:r>
          </w:p>
        </w:tc>
        <w:tc>
          <w:tcPr>
            <w:tcW w:w="924" w:type="dxa"/>
            <w:shd w:val="clear" w:color="auto" w:fill="F3F9FA"/>
            <w:noWrap/>
            <w:vAlign w:val="center"/>
            <w:hideMark/>
          </w:tcPr>
          <w:p w14:paraId="7358AD9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18.7</w:t>
            </w:r>
          </w:p>
        </w:tc>
        <w:tc>
          <w:tcPr>
            <w:tcW w:w="923" w:type="dxa"/>
            <w:shd w:val="clear" w:color="auto" w:fill="F3F9FA"/>
            <w:noWrap/>
            <w:vAlign w:val="center"/>
            <w:hideMark/>
          </w:tcPr>
          <w:p w14:paraId="2C08C4F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25.1</w:t>
            </w:r>
          </w:p>
        </w:tc>
        <w:tc>
          <w:tcPr>
            <w:tcW w:w="924" w:type="dxa"/>
            <w:shd w:val="clear" w:color="auto" w:fill="F3F9FA"/>
            <w:noWrap/>
            <w:vAlign w:val="center"/>
            <w:hideMark/>
          </w:tcPr>
          <w:p w14:paraId="6779E1D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27.6</w:t>
            </w:r>
          </w:p>
        </w:tc>
      </w:tr>
      <w:tr w:rsidR="001F0E92" w:rsidRPr="004D3B11" w14:paraId="6E5112AE" w14:textId="77777777" w:rsidTr="005D3108">
        <w:trPr>
          <w:trHeight w:val="170"/>
        </w:trPr>
        <w:tc>
          <w:tcPr>
            <w:tcW w:w="2071" w:type="dxa"/>
            <w:shd w:val="clear" w:color="auto" w:fill="F3F9FA"/>
            <w:noWrap/>
            <w:vAlign w:val="bottom"/>
          </w:tcPr>
          <w:p w14:paraId="70700A8C"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15519725"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PI3^</w:t>
            </w:r>
          </w:p>
        </w:tc>
        <w:tc>
          <w:tcPr>
            <w:tcW w:w="2117" w:type="dxa"/>
            <w:shd w:val="clear" w:color="auto" w:fill="F3F9FA"/>
            <w:noWrap/>
            <w:vAlign w:val="bottom"/>
            <w:hideMark/>
          </w:tcPr>
          <w:p w14:paraId="76202AB3"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4B130113"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6.1</w:t>
            </w:r>
          </w:p>
        </w:tc>
        <w:tc>
          <w:tcPr>
            <w:tcW w:w="924" w:type="dxa"/>
            <w:shd w:val="clear" w:color="auto" w:fill="F3F9FA"/>
            <w:noWrap/>
            <w:vAlign w:val="center"/>
            <w:hideMark/>
          </w:tcPr>
          <w:p w14:paraId="331D0CE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7.6</w:t>
            </w:r>
          </w:p>
        </w:tc>
        <w:tc>
          <w:tcPr>
            <w:tcW w:w="923" w:type="dxa"/>
            <w:shd w:val="clear" w:color="auto" w:fill="F3F9FA"/>
            <w:noWrap/>
            <w:vAlign w:val="center"/>
            <w:hideMark/>
          </w:tcPr>
          <w:p w14:paraId="7C84829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13.1</w:t>
            </w:r>
          </w:p>
        </w:tc>
        <w:tc>
          <w:tcPr>
            <w:tcW w:w="924" w:type="dxa"/>
            <w:shd w:val="clear" w:color="auto" w:fill="F3F9FA"/>
            <w:noWrap/>
            <w:vAlign w:val="center"/>
            <w:hideMark/>
          </w:tcPr>
          <w:p w14:paraId="0293773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16.8</w:t>
            </w:r>
          </w:p>
        </w:tc>
      </w:tr>
      <w:tr w:rsidR="001F0E92" w:rsidRPr="004D3B11" w14:paraId="51B2CF1D" w14:textId="77777777" w:rsidTr="005D3108">
        <w:trPr>
          <w:trHeight w:val="170"/>
        </w:trPr>
        <w:tc>
          <w:tcPr>
            <w:tcW w:w="2071" w:type="dxa"/>
            <w:shd w:val="clear" w:color="auto" w:fill="F3F9FA"/>
            <w:noWrap/>
            <w:vAlign w:val="bottom"/>
          </w:tcPr>
          <w:p w14:paraId="374682AB"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70FA247"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MP2</w:t>
            </w:r>
          </w:p>
        </w:tc>
        <w:tc>
          <w:tcPr>
            <w:tcW w:w="2117" w:type="dxa"/>
            <w:shd w:val="clear" w:color="auto" w:fill="F3F9FA"/>
            <w:noWrap/>
            <w:vAlign w:val="bottom"/>
            <w:hideMark/>
          </w:tcPr>
          <w:p w14:paraId="1DD1549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02A5D8D4" w14:textId="77777777" w:rsidR="001F0E92" w:rsidRPr="004D3B11" w:rsidRDefault="001F0E92" w:rsidP="005D3108">
            <w:pPr>
              <w:spacing w:before="0" w:after="0"/>
              <w:jc w:val="center"/>
              <w:rPr>
                <w:rFonts w:cs="Arial"/>
                <w:color w:val="808080"/>
                <w:sz w:val="20"/>
                <w:szCs w:val="20"/>
              </w:rPr>
            </w:pPr>
          </w:p>
        </w:tc>
        <w:tc>
          <w:tcPr>
            <w:tcW w:w="924" w:type="dxa"/>
            <w:shd w:val="clear" w:color="auto" w:fill="F3F9FA"/>
            <w:noWrap/>
            <w:vAlign w:val="bottom"/>
            <w:hideMark/>
          </w:tcPr>
          <w:p w14:paraId="2F7BFF8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18.9</w:t>
            </w:r>
          </w:p>
        </w:tc>
        <w:tc>
          <w:tcPr>
            <w:tcW w:w="923" w:type="dxa"/>
            <w:shd w:val="clear" w:color="auto" w:fill="F3F9FA"/>
            <w:noWrap/>
            <w:vAlign w:val="bottom"/>
            <w:hideMark/>
          </w:tcPr>
          <w:p w14:paraId="4307A97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22.8</w:t>
            </w:r>
          </w:p>
        </w:tc>
        <w:tc>
          <w:tcPr>
            <w:tcW w:w="924" w:type="dxa"/>
            <w:shd w:val="clear" w:color="auto" w:fill="F3F9FA"/>
            <w:noWrap/>
            <w:vAlign w:val="bottom"/>
            <w:hideMark/>
          </w:tcPr>
          <w:p w14:paraId="17FCA0D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25.4</w:t>
            </w:r>
          </w:p>
        </w:tc>
      </w:tr>
      <w:tr w:rsidR="001F0E92" w:rsidRPr="004D3B11" w14:paraId="265F5E49" w14:textId="77777777" w:rsidTr="005D3108">
        <w:trPr>
          <w:trHeight w:val="170"/>
        </w:trPr>
        <w:tc>
          <w:tcPr>
            <w:tcW w:w="2071" w:type="dxa"/>
            <w:shd w:val="clear" w:color="auto" w:fill="F3F9FA"/>
            <w:noWrap/>
            <w:vAlign w:val="bottom"/>
          </w:tcPr>
          <w:p w14:paraId="53C06D2A"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1828D81A"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MP3</w:t>
            </w:r>
          </w:p>
        </w:tc>
        <w:tc>
          <w:tcPr>
            <w:tcW w:w="2117" w:type="dxa"/>
            <w:shd w:val="clear" w:color="auto" w:fill="F3F9FA"/>
            <w:noWrap/>
            <w:vAlign w:val="bottom"/>
            <w:hideMark/>
          </w:tcPr>
          <w:p w14:paraId="71F709E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2D42CB90" w14:textId="77777777" w:rsidR="001F0E92" w:rsidRPr="004D3B11" w:rsidRDefault="001F0E92" w:rsidP="005D3108">
            <w:pPr>
              <w:spacing w:before="0" w:after="0"/>
              <w:jc w:val="center"/>
              <w:rPr>
                <w:rFonts w:cs="Arial"/>
                <w:color w:val="808080"/>
                <w:sz w:val="20"/>
                <w:szCs w:val="20"/>
              </w:rPr>
            </w:pPr>
          </w:p>
        </w:tc>
        <w:tc>
          <w:tcPr>
            <w:tcW w:w="924" w:type="dxa"/>
            <w:shd w:val="clear" w:color="auto" w:fill="F3F9FA"/>
            <w:noWrap/>
            <w:vAlign w:val="bottom"/>
            <w:hideMark/>
          </w:tcPr>
          <w:p w14:paraId="7688307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17.9</w:t>
            </w:r>
          </w:p>
        </w:tc>
        <w:tc>
          <w:tcPr>
            <w:tcW w:w="923" w:type="dxa"/>
            <w:shd w:val="clear" w:color="auto" w:fill="F3F9FA"/>
            <w:noWrap/>
            <w:vAlign w:val="bottom"/>
            <w:hideMark/>
          </w:tcPr>
          <w:p w14:paraId="61B77D2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20</w:t>
            </w:r>
          </w:p>
        </w:tc>
        <w:tc>
          <w:tcPr>
            <w:tcW w:w="924" w:type="dxa"/>
            <w:shd w:val="clear" w:color="auto" w:fill="F3F9FA"/>
            <w:noWrap/>
            <w:vAlign w:val="bottom"/>
            <w:hideMark/>
          </w:tcPr>
          <w:p w14:paraId="5748FEAF"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22.3</w:t>
            </w:r>
          </w:p>
        </w:tc>
      </w:tr>
      <w:tr w:rsidR="001F0E92" w:rsidRPr="004D3B11" w14:paraId="1EE3C8F3" w14:textId="77777777" w:rsidTr="005D3108">
        <w:trPr>
          <w:trHeight w:val="170"/>
        </w:trPr>
        <w:tc>
          <w:tcPr>
            <w:tcW w:w="2071" w:type="dxa"/>
            <w:shd w:val="clear" w:color="auto" w:fill="E7F3F4"/>
            <w:noWrap/>
            <w:vAlign w:val="bottom"/>
          </w:tcPr>
          <w:p w14:paraId="33B0E0C6"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23ABE5FF"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14A327DA"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p>
        </w:tc>
        <w:tc>
          <w:tcPr>
            <w:tcW w:w="923" w:type="dxa"/>
            <w:shd w:val="clear" w:color="auto" w:fill="E7F3F4"/>
            <w:noWrap/>
            <w:vAlign w:val="center"/>
            <w:hideMark/>
          </w:tcPr>
          <w:p w14:paraId="523CA339"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12.1</w:t>
            </w:r>
          </w:p>
        </w:tc>
        <w:tc>
          <w:tcPr>
            <w:tcW w:w="924" w:type="dxa"/>
            <w:shd w:val="clear" w:color="auto" w:fill="E7F3F4"/>
            <w:noWrap/>
            <w:vAlign w:val="center"/>
            <w:hideMark/>
          </w:tcPr>
          <w:p w14:paraId="7B4E910E"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13.2</w:t>
            </w:r>
          </w:p>
        </w:tc>
        <w:tc>
          <w:tcPr>
            <w:tcW w:w="923" w:type="dxa"/>
            <w:shd w:val="clear" w:color="auto" w:fill="E7F3F4"/>
            <w:noWrap/>
            <w:vAlign w:val="center"/>
            <w:hideMark/>
          </w:tcPr>
          <w:p w14:paraId="101FADA4"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19.1</w:t>
            </w:r>
          </w:p>
        </w:tc>
        <w:tc>
          <w:tcPr>
            <w:tcW w:w="924" w:type="dxa"/>
            <w:shd w:val="clear" w:color="auto" w:fill="E7F3F4"/>
            <w:noWrap/>
            <w:vAlign w:val="center"/>
            <w:hideMark/>
          </w:tcPr>
          <w:p w14:paraId="2A55211B"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22.2</w:t>
            </w:r>
          </w:p>
        </w:tc>
      </w:tr>
      <w:tr w:rsidR="001F0E92" w:rsidRPr="004D3B11" w14:paraId="6A77688A" w14:textId="77777777" w:rsidTr="005D3108">
        <w:trPr>
          <w:trHeight w:val="170"/>
        </w:trPr>
        <w:tc>
          <w:tcPr>
            <w:tcW w:w="2071" w:type="dxa"/>
            <w:shd w:val="clear" w:color="auto" w:fill="F3F9FA"/>
            <w:noWrap/>
            <w:vAlign w:val="bottom"/>
          </w:tcPr>
          <w:p w14:paraId="23A0D856"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6C982EB6"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NB</w:t>
            </w:r>
          </w:p>
        </w:tc>
        <w:tc>
          <w:tcPr>
            <w:tcW w:w="2117" w:type="dxa"/>
            <w:shd w:val="clear" w:color="auto" w:fill="F3F9FA"/>
            <w:noWrap/>
            <w:vAlign w:val="bottom"/>
          </w:tcPr>
          <w:p w14:paraId="2544E34C" w14:textId="77777777" w:rsidR="001F0E92" w:rsidRPr="004D3B11" w:rsidRDefault="001F0E92" w:rsidP="005D3108">
            <w:pPr>
              <w:spacing w:before="0" w:after="0"/>
              <w:rPr>
                <w:rFonts w:cs="Arial"/>
                <w:bCs/>
                <w:iCs/>
                <w:color w:val="000000"/>
                <w:sz w:val="20"/>
                <w:szCs w:val="20"/>
              </w:rPr>
            </w:pPr>
            <w:r w:rsidRPr="004D3B11">
              <w:rPr>
                <w:rFonts w:cs="Arial"/>
                <w:bCs/>
                <w:iCs/>
                <w:color w:val="000000"/>
                <w:sz w:val="20"/>
                <w:szCs w:val="20"/>
              </w:rPr>
              <w:t>coastal subtidal</w:t>
            </w:r>
          </w:p>
        </w:tc>
        <w:tc>
          <w:tcPr>
            <w:tcW w:w="923" w:type="dxa"/>
            <w:shd w:val="clear" w:color="auto" w:fill="F3F9FA"/>
            <w:noWrap/>
            <w:vAlign w:val="center"/>
          </w:tcPr>
          <w:p w14:paraId="5ED092BB"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0299EBA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13.2</w:t>
            </w:r>
          </w:p>
        </w:tc>
        <w:tc>
          <w:tcPr>
            <w:tcW w:w="923" w:type="dxa"/>
            <w:shd w:val="clear" w:color="auto" w:fill="F3F9FA"/>
            <w:noWrap/>
            <w:vAlign w:val="center"/>
          </w:tcPr>
          <w:p w14:paraId="65F1FF5E"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19.1</w:t>
            </w:r>
          </w:p>
        </w:tc>
        <w:tc>
          <w:tcPr>
            <w:tcW w:w="924" w:type="dxa"/>
            <w:shd w:val="clear" w:color="auto" w:fill="F3F9FA"/>
            <w:noWrap/>
            <w:vAlign w:val="center"/>
          </w:tcPr>
          <w:p w14:paraId="0FDE9E9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22.2</w:t>
            </w:r>
          </w:p>
        </w:tc>
      </w:tr>
      <w:tr w:rsidR="001F0E92" w:rsidRPr="004D3B11" w14:paraId="590FFA1D" w14:textId="77777777" w:rsidTr="005D3108">
        <w:trPr>
          <w:trHeight w:val="170"/>
        </w:trPr>
        <w:tc>
          <w:tcPr>
            <w:tcW w:w="2071" w:type="dxa"/>
            <w:shd w:val="clear" w:color="auto" w:fill="E7F3F4"/>
            <w:noWrap/>
            <w:vAlign w:val="bottom"/>
          </w:tcPr>
          <w:p w14:paraId="01F253DF"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tcPr>
          <w:p w14:paraId="48884E67"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tcPr>
          <w:p w14:paraId="3034AEB2"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subtidal</w:t>
            </w:r>
          </w:p>
        </w:tc>
        <w:tc>
          <w:tcPr>
            <w:tcW w:w="923" w:type="dxa"/>
            <w:shd w:val="clear" w:color="auto" w:fill="E7F3F4"/>
            <w:noWrap/>
            <w:vAlign w:val="center"/>
          </w:tcPr>
          <w:p w14:paraId="701EB502"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12.1</w:t>
            </w:r>
          </w:p>
        </w:tc>
        <w:tc>
          <w:tcPr>
            <w:tcW w:w="924" w:type="dxa"/>
            <w:shd w:val="clear" w:color="auto" w:fill="E7F3F4"/>
            <w:noWrap/>
            <w:vAlign w:val="center"/>
          </w:tcPr>
          <w:p w14:paraId="6512FF77"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13.2</w:t>
            </w:r>
          </w:p>
        </w:tc>
        <w:tc>
          <w:tcPr>
            <w:tcW w:w="923" w:type="dxa"/>
            <w:shd w:val="clear" w:color="auto" w:fill="E7F3F4"/>
            <w:noWrap/>
            <w:vAlign w:val="center"/>
          </w:tcPr>
          <w:p w14:paraId="24DF6E18"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19.1</w:t>
            </w:r>
          </w:p>
        </w:tc>
        <w:tc>
          <w:tcPr>
            <w:tcW w:w="924" w:type="dxa"/>
            <w:shd w:val="clear" w:color="auto" w:fill="E7F3F4"/>
            <w:noWrap/>
            <w:vAlign w:val="center"/>
          </w:tcPr>
          <w:p w14:paraId="2A8F5DD8"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22.2</w:t>
            </w:r>
          </w:p>
        </w:tc>
      </w:tr>
      <w:tr w:rsidR="001F0E92" w:rsidRPr="004D3B11" w14:paraId="54D71284" w14:textId="77777777" w:rsidTr="005D3108">
        <w:trPr>
          <w:trHeight w:val="170"/>
        </w:trPr>
        <w:tc>
          <w:tcPr>
            <w:tcW w:w="2071" w:type="dxa"/>
            <w:shd w:val="clear" w:color="auto" w:fill="F3F9FA"/>
            <w:noWrap/>
            <w:vAlign w:val="bottom"/>
          </w:tcPr>
          <w:p w14:paraId="54FB11C9"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EE63166"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HB1^</w:t>
            </w:r>
          </w:p>
        </w:tc>
        <w:tc>
          <w:tcPr>
            <w:tcW w:w="2117" w:type="dxa"/>
            <w:shd w:val="clear" w:color="auto" w:fill="F3F9FA"/>
            <w:noWrap/>
            <w:vAlign w:val="bottom"/>
            <w:hideMark/>
          </w:tcPr>
          <w:p w14:paraId="2001E6AE"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03FB65C6"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bottom"/>
            <w:hideMark/>
          </w:tcPr>
          <w:p w14:paraId="5E7C181F"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10.53</w:t>
            </w:r>
          </w:p>
        </w:tc>
        <w:tc>
          <w:tcPr>
            <w:tcW w:w="923" w:type="dxa"/>
            <w:shd w:val="clear" w:color="auto" w:fill="F3F9FA"/>
            <w:noWrap/>
            <w:vAlign w:val="bottom"/>
            <w:hideMark/>
          </w:tcPr>
          <w:p w14:paraId="59B64A22"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12.9</w:t>
            </w:r>
          </w:p>
        </w:tc>
        <w:tc>
          <w:tcPr>
            <w:tcW w:w="924" w:type="dxa"/>
            <w:shd w:val="clear" w:color="auto" w:fill="F3F9FA"/>
            <w:noWrap/>
            <w:vAlign w:val="bottom"/>
            <w:hideMark/>
          </w:tcPr>
          <w:p w14:paraId="4146D145"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14.2</w:t>
            </w:r>
          </w:p>
        </w:tc>
      </w:tr>
      <w:tr w:rsidR="001F0E92" w:rsidRPr="004D3B11" w14:paraId="510FE20F" w14:textId="77777777" w:rsidTr="005D3108">
        <w:trPr>
          <w:trHeight w:val="170"/>
        </w:trPr>
        <w:tc>
          <w:tcPr>
            <w:tcW w:w="2071" w:type="dxa"/>
            <w:shd w:val="clear" w:color="auto" w:fill="F3F9FA"/>
            <w:noWrap/>
            <w:vAlign w:val="bottom"/>
          </w:tcPr>
          <w:p w14:paraId="59EE329C"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21870A7"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HB2^</w:t>
            </w:r>
          </w:p>
        </w:tc>
        <w:tc>
          <w:tcPr>
            <w:tcW w:w="2117" w:type="dxa"/>
            <w:shd w:val="clear" w:color="auto" w:fill="F3F9FA"/>
            <w:noWrap/>
            <w:vAlign w:val="bottom"/>
            <w:hideMark/>
          </w:tcPr>
          <w:p w14:paraId="1EA6725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tcPr>
          <w:p w14:paraId="727C3104"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bottom"/>
            <w:hideMark/>
          </w:tcPr>
          <w:p w14:paraId="21714B02"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7.95</w:t>
            </w:r>
          </w:p>
        </w:tc>
        <w:tc>
          <w:tcPr>
            <w:tcW w:w="923" w:type="dxa"/>
            <w:shd w:val="clear" w:color="auto" w:fill="F3F9FA"/>
            <w:noWrap/>
            <w:vAlign w:val="bottom"/>
            <w:hideMark/>
          </w:tcPr>
          <w:p w14:paraId="12575C6D"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11.59</w:t>
            </w:r>
          </w:p>
        </w:tc>
        <w:tc>
          <w:tcPr>
            <w:tcW w:w="924" w:type="dxa"/>
            <w:shd w:val="clear" w:color="auto" w:fill="F3F9FA"/>
            <w:noWrap/>
            <w:vAlign w:val="bottom"/>
            <w:hideMark/>
          </w:tcPr>
          <w:p w14:paraId="3C818D20" w14:textId="77777777" w:rsidR="001F0E92" w:rsidRPr="004D3B11" w:rsidRDefault="001F0E92" w:rsidP="005D3108">
            <w:pPr>
              <w:spacing w:before="0" w:after="0"/>
              <w:jc w:val="center"/>
              <w:rPr>
                <w:rFonts w:cs="Arial"/>
                <w:color w:val="000000"/>
                <w:sz w:val="20"/>
                <w:szCs w:val="20"/>
              </w:rPr>
            </w:pPr>
            <w:r w:rsidRPr="004D3B11">
              <w:rPr>
                <w:rFonts w:cs="Arial"/>
                <w:sz w:val="20"/>
                <w:szCs w:val="20"/>
              </w:rPr>
              <w:t>13.4</w:t>
            </w:r>
          </w:p>
        </w:tc>
      </w:tr>
      <w:tr w:rsidR="001F0E92" w:rsidRPr="004D3B11" w14:paraId="1E842B90" w14:textId="77777777" w:rsidTr="005D3108">
        <w:trPr>
          <w:trHeight w:val="170"/>
        </w:trPr>
        <w:tc>
          <w:tcPr>
            <w:tcW w:w="2071" w:type="dxa"/>
            <w:shd w:val="clear" w:color="auto" w:fill="F3F9FA"/>
            <w:noWrap/>
            <w:vAlign w:val="bottom"/>
          </w:tcPr>
          <w:p w14:paraId="696046B1"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D84EE10"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HM</w:t>
            </w:r>
          </w:p>
        </w:tc>
        <w:tc>
          <w:tcPr>
            <w:tcW w:w="2117" w:type="dxa"/>
            <w:shd w:val="clear" w:color="auto" w:fill="F3F9FA"/>
            <w:noWrap/>
            <w:vAlign w:val="bottom"/>
            <w:hideMark/>
          </w:tcPr>
          <w:p w14:paraId="5FAD95A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21533090"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hideMark/>
          </w:tcPr>
          <w:p w14:paraId="0F7AD8AF" w14:textId="77777777" w:rsidR="001F0E92" w:rsidRPr="004D3B11" w:rsidRDefault="001F0E92" w:rsidP="005D3108">
            <w:pPr>
              <w:spacing w:before="0" w:after="0"/>
              <w:jc w:val="center"/>
              <w:rPr>
                <w:rFonts w:cs="Arial"/>
                <w:sz w:val="20"/>
                <w:szCs w:val="20"/>
              </w:rPr>
            </w:pPr>
            <w:r w:rsidRPr="004D3B11">
              <w:rPr>
                <w:rFonts w:cs="Arial"/>
                <w:sz w:val="20"/>
                <w:szCs w:val="20"/>
              </w:rPr>
              <w:t>9.2</w:t>
            </w:r>
          </w:p>
        </w:tc>
        <w:tc>
          <w:tcPr>
            <w:tcW w:w="923" w:type="dxa"/>
            <w:shd w:val="clear" w:color="auto" w:fill="F3F9FA"/>
            <w:noWrap/>
            <w:vAlign w:val="center"/>
            <w:hideMark/>
          </w:tcPr>
          <w:p w14:paraId="76D77947" w14:textId="77777777" w:rsidR="001F0E92" w:rsidRPr="004D3B11" w:rsidRDefault="001F0E92" w:rsidP="005D3108">
            <w:pPr>
              <w:spacing w:before="0" w:after="0"/>
              <w:jc w:val="center"/>
              <w:rPr>
                <w:rFonts w:cs="Arial"/>
                <w:sz w:val="20"/>
                <w:szCs w:val="20"/>
              </w:rPr>
            </w:pPr>
            <w:r w:rsidRPr="004D3B11">
              <w:rPr>
                <w:rFonts w:cs="Arial"/>
                <w:sz w:val="20"/>
                <w:szCs w:val="20"/>
              </w:rPr>
              <w:t>12.2</w:t>
            </w:r>
          </w:p>
        </w:tc>
        <w:tc>
          <w:tcPr>
            <w:tcW w:w="924" w:type="dxa"/>
            <w:shd w:val="clear" w:color="auto" w:fill="F3F9FA"/>
            <w:noWrap/>
            <w:vAlign w:val="center"/>
            <w:hideMark/>
          </w:tcPr>
          <w:p w14:paraId="4354927A" w14:textId="77777777" w:rsidR="001F0E92" w:rsidRPr="004D3B11" w:rsidRDefault="001F0E92" w:rsidP="005D3108">
            <w:pPr>
              <w:spacing w:before="0" w:after="0"/>
              <w:jc w:val="center"/>
              <w:rPr>
                <w:rFonts w:cs="Arial"/>
                <w:sz w:val="20"/>
                <w:szCs w:val="20"/>
              </w:rPr>
            </w:pPr>
            <w:r w:rsidRPr="004D3B11">
              <w:rPr>
                <w:rFonts w:cs="Arial"/>
                <w:sz w:val="20"/>
                <w:szCs w:val="20"/>
              </w:rPr>
              <w:t>13.8</w:t>
            </w:r>
          </w:p>
        </w:tc>
      </w:tr>
      <w:tr w:rsidR="001F0E92" w:rsidRPr="004D3B11" w14:paraId="32C6F3D4" w14:textId="77777777" w:rsidTr="005D3108">
        <w:trPr>
          <w:trHeight w:val="170"/>
        </w:trPr>
        <w:tc>
          <w:tcPr>
            <w:tcW w:w="2071" w:type="dxa"/>
            <w:shd w:val="clear" w:color="auto" w:fill="E7F3F4"/>
            <w:noWrap/>
            <w:vAlign w:val="bottom"/>
            <w:hideMark/>
          </w:tcPr>
          <w:p w14:paraId="4F87F39A"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2D992EF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68AA9EC7"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intertidal</w:t>
            </w:r>
          </w:p>
        </w:tc>
        <w:tc>
          <w:tcPr>
            <w:tcW w:w="923" w:type="dxa"/>
            <w:shd w:val="clear" w:color="auto" w:fill="E7F3F4"/>
            <w:noWrap/>
            <w:vAlign w:val="center"/>
            <w:hideMark/>
          </w:tcPr>
          <w:p w14:paraId="749A2037" w14:textId="77777777" w:rsidR="001F0E92" w:rsidRPr="004D3B11" w:rsidRDefault="001F0E92" w:rsidP="005D3108">
            <w:pPr>
              <w:spacing w:before="0" w:after="0"/>
              <w:jc w:val="center"/>
              <w:rPr>
                <w:rFonts w:cs="Arial"/>
                <w:b/>
                <w:bCs/>
                <w:i/>
                <w:iCs/>
                <w:color w:val="000000"/>
                <w:sz w:val="20"/>
                <w:szCs w:val="20"/>
              </w:rPr>
            </w:pPr>
          </w:p>
        </w:tc>
        <w:tc>
          <w:tcPr>
            <w:tcW w:w="924" w:type="dxa"/>
            <w:shd w:val="clear" w:color="auto" w:fill="E7F3F4"/>
            <w:noWrap/>
            <w:vAlign w:val="center"/>
            <w:hideMark/>
          </w:tcPr>
          <w:p w14:paraId="57D2DBB6"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9.2</w:t>
            </w:r>
          </w:p>
        </w:tc>
        <w:tc>
          <w:tcPr>
            <w:tcW w:w="923" w:type="dxa"/>
            <w:shd w:val="clear" w:color="auto" w:fill="E7F3F4"/>
            <w:noWrap/>
            <w:vAlign w:val="center"/>
            <w:hideMark/>
          </w:tcPr>
          <w:p w14:paraId="4F43A703"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12.2</w:t>
            </w:r>
          </w:p>
        </w:tc>
        <w:tc>
          <w:tcPr>
            <w:tcW w:w="924" w:type="dxa"/>
            <w:shd w:val="clear" w:color="auto" w:fill="E7F3F4"/>
            <w:noWrap/>
            <w:vAlign w:val="center"/>
            <w:hideMark/>
          </w:tcPr>
          <w:p w14:paraId="716B0C6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13.8</w:t>
            </w:r>
          </w:p>
        </w:tc>
      </w:tr>
      <w:tr w:rsidR="001F0E92" w:rsidRPr="004D3B11" w14:paraId="32BD6E99" w14:textId="77777777" w:rsidTr="005D3108">
        <w:trPr>
          <w:trHeight w:val="170"/>
        </w:trPr>
        <w:tc>
          <w:tcPr>
            <w:tcW w:w="2071" w:type="dxa"/>
            <w:shd w:val="clear" w:color="auto" w:fill="F3F9FA"/>
            <w:noWrap/>
            <w:vAlign w:val="bottom"/>
          </w:tcPr>
          <w:p w14:paraId="1584D8F8"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24846A7A"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TO</w:t>
            </w:r>
          </w:p>
        </w:tc>
        <w:tc>
          <w:tcPr>
            <w:tcW w:w="2117" w:type="dxa"/>
            <w:shd w:val="clear" w:color="auto" w:fill="F3F9FA"/>
            <w:noWrap/>
            <w:vAlign w:val="bottom"/>
          </w:tcPr>
          <w:p w14:paraId="06F58FA2" w14:textId="77777777" w:rsidR="001F0E92" w:rsidRPr="004D3B11" w:rsidRDefault="001F0E92" w:rsidP="005D3108">
            <w:pPr>
              <w:spacing w:before="0" w:after="0"/>
              <w:rPr>
                <w:rFonts w:cs="Arial"/>
                <w:bCs/>
                <w:iCs/>
                <w:color w:val="000000"/>
                <w:sz w:val="20"/>
                <w:szCs w:val="20"/>
              </w:rPr>
            </w:pPr>
            <w:r w:rsidRPr="004D3B11">
              <w:rPr>
                <w:rFonts w:cs="Arial"/>
                <w:bCs/>
                <w:iCs/>
                <w:color w:val="000000"/>
                <w:sz w:val="20"/>
                <w:szCs w:val="20"/>
              </w:rPr>
              <w:t>reef subtidal</w:t>
            </w:r>
          </w:p>
        </w:tc>
        <w:tc>
          <w:tcPr>
            <w:tcW w:w="923" w:type="dxa"/>
            <w:shd w:val="clear" w:color="auto" w:fill="F3F9FA"/>
            <w:noWrap/>
            <w:vAlign w:val="center"/>
          </w:tcPr>
          <w:p w14:paraId="1593EE01" w14:textId="77777777" w:rsidR="001F0E92" w:rsidRPr="004D3B11" w:rsidRDefault="001F0E92" w:rsidP="005D3108">
            <w:pPr>
              <w:spacing w:before="0" w:after="0"/>
              <w:jc w:val="center"/>
              <w:rPr>
                <w:rFonts w:cs="Arial"/>
                <w:bCs/>
                <w:iCs/>
                <w:color w:val="000000"/>
                <w:sz w:val="20"/>
                <w:szCs w:val="20"/>
              </w:rPr>
            </w:pPr>
          </w:p>
        </w:tc>
        <w:tc>
          <w:tcPr>
            <w:tcW w:w="924" w:type="dxa"/>
            <w:shd w:val="clear" w:color="auto" w:fill="F3F9FA"/>
            <w:noWrap/>
            <w:vAlign w:val="center"/>
          </w:tcPr>
          <w:p w14:paraId="671E600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22.5</w:t>
            </w:r>
          </w:p>
        </w:tc>
        <w:tc>
          <w:tcPr>
            <w:tcW w:w="923" w:type="dxa"/>
            <w:shd w:val="clear" w:color="auto" w:fill="F3F9FA"/>
            <w:noWrap/>
            <w:vAlign w:val="center"/>
          </w:tcPr>
          <w:p w14:paraId="1356A0D9"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32.7</w:t>
            </w:r>
          </w:p>
        </w:tc>
        <w:tc>
          <w:tcPr>
            <w:tcW w:w="924" w:type="dxa"/>
            <w:shd w:val="clear" w:color="auto" w:fill="F3F9FA"/>
            <w:noWrap/>
            <w:vAlign w:val="center"/>
          </w:tcPr>
          <w:p w14:paraId="7D655010"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36.7</w:t>
            </w:r>
          </w:p>
        </w:tc>
      </w:tr>
      <w:tr w:rsidR="001F0E92" w:rsidRPr="004D3B11" w14:paraId="4A3C7F08" w14:textId="77777777" w:rsidTr="005D3108">
        <w:trPr>
          <w:trHeight w:val="170"/>
        </w:trPr>
        <w:tc>
          <w:tcPr>
            <w:tcW w:w="2071" w:type="dxa"/>
            <w:shd w:val="clear" w:color="auto" w:fill="E7F3F4"/>
            <w:noWrap/>
            <w:vAlign w:val="bottom"/>
          </w:tcPr>
          <w:p w14:paraId="2848B5EE"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tcPr>
          <w:p w14:paraId="087836D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tcPr>
          <w:p w14:paraId="06DCA59C"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subtidal*</w:t>
            </w:r>
          </w:p>
        </w:tc>
        <w:tc>
          <w:tcPr>
            <w:tcW w:w="923" w:type="dxa"/>
            <w:shd w:val="clear" w:color="auto" w:fill="E7F3F4"/>
            <w:noWrap/>
            <w:vAlign w:val="center"/>
          </w:tcPr>
          <w:p w14:paraId="59C9FA6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18*</w:t>
            </w:r>
          </w:p>
        </w:tc>
        <w:tc>
          <w:tcPr>
            <w:tcW w:w="924" w:type="dxa"/>
            <w:shd w:val="clear" w:color="auto" w:fill="E7F3F4"/>
            <w:noWrap/>
            <w:vAlign w:val="center"/>
          </w:tcPr>
          <w:p w14:paraId="349946F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22.5*</w:t>
            </w:r>
          </w:p>
        </w:tc>
        <w:tc>
          <w:tcPr>
            <w:tcW w:w="923" w:type="dxa"/>
            <w:shd w:val="clear" w:color="auto" w:fill="E7F3F4"/>
            <w:noWrap/>
            <w:vAlign w:val="center"/>
          </w:tcPr>
          <w:p w14:paraId="77447F58"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32.7*</w:t>
            </w:r>
          </w:p>
        </w:tc>
        <w:tc>
          <w:tcPr>
            <w:tcW w:w="924" w:type="dxa"/>
            <w:shd w:val="clear" w:color="auto" w:fill="E7F3F4"/>
            <w:noWrap/>
            <w:vAlign w:val="center"/>
          </w:tcPr>
          <w:p w14:paraId="19D63859"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36.7*</w:t>
            </w:r>
          </w:p>
        </w:tc>
      </w:tr>
      <w:tr w:rsidR="001F0E92" w:rsidRPr="004D3B11" w14:paraId="400804C3" w14:textId="77777777" w:rsidTr="005D3108">
        <w:trPr>
          <w:trHeight w:val="170"/>
        </w:trPr>
        <w:tc>
          <w:tcPr>
            <w:tcW w:w="2071" w:type="dxa"/>
            <w:shd w:val="clear" w:color="auto" w:fill="F3F9FA"/>
            <w:noWrap/>
            <w:vAlign w:val="bottom"/>
            <w:hideMark/>
          </w:tcPr>
          <w:p w14:paraId="0DE2217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Fitzroy</w:t>
            </w:r>
          </w:p>
        </w:tc>
        <w:tc>
          <w:tcPr>
            <w:tcW w:w="1060" w:type="dxa"/>
            <w:shd w:val="clear" w:color="auto" w:fill="F3F9FA"/>
            <w:noWrap/>
            <w:vAlign w:val="bottom"/>
          </w:tcPr>
          <w:p w14:paraId="37297CC3" w14:textId="474B5F20" w:rsidR="001F0E92" w:rsidRPr="004D3B11" w:rsidRDefault="001F0E92" w:rsidP="005D3108">
            <w:pPr>
              <w:spacing w:before="0" w:after="0"/>
              <w:jc w:val="right"/>
              <w:rPr>
                <w:rFonts w:cs="Arial"/>
                <w:color w:val="000000"/>
                <w:sz w:val="20"/>
                <w:szCs w:val="20"/>
              </w:rPr>
            </w:pPr>
          </w:p>
        </w:tc>
        <w:tc>
          <w:tcPr>
            <w:tcW w:w="2117" w:type="dxa"/>
            <w:shd w:val="clear" w:color="auto" w:fill="F3F9FA"/>
            <w:noWrap/>
            <w:vAlign w:val="bottom"/>
          </w:tcPr>
          <w:p w14:paraId="4DA40BB9" w14:textId="40102AEB" w:rsidR="001F0E92" w:rsidRPr="004D3B11" w:rsidRDefault="001F0E92" w:rsidP="005D3108">
            <w:pPr>
              <w:spacing w:before="0" w:after="0"/>
              <w:rPr>
                <w:rFonts w:cs="Arial"/>
                <w:color w:val="000000"/>
                <w:sz w:val="20"/>
                <w:szCs w:val="20"/>
              </w:rPr>
            </w:pPr>
          </w:p>
        </w:tc>
        <w:tc>
          <w:tcPr>
            <w:tcW w:w="923" w:type="dxa"/>
            <w:shd w:val="clear" w:color="auto" w:fill="F3F9FA"/>
            <w:noWrap/>
            <w:vAlign w:val="center"/>
          </w:tcPr>
          <w:p w14:paraId="29628B9B"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44927327" w14:textId="57A71652"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tcPr>
          <w:p w14:paraId="415881B3" w14:textId="30195A39"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7B748465" w14:textId="1B4B3ABE" w:rsidR="001F0E92" w:rsidRPr="004D3B11" w:rsidRDefault="001F0E92" w:rsidP="005D3108">
            <w:pPr>
              <w:spacing w:before="0" w:after="0"/>
              <w:jc w:val="center"/>
              <w:rPr>
                <w:rFonts w:cs="Arial"/>
                <w:color w:val="000000"/>
                <w:sz w:val="20"/>
                <w:szCs w:val="20"/>
              </w:rPr>
            </w:pPr>
          </w:p>
        </w:tc>
      </w:tr>
      <w:tr w:rsidR="001F0E92" w:rsidRPr="004D3B11" w14:paraId="667A8253" w14:textId="77777777" w:rsidTr="005D3108">
        <w:trPr>
          <w:trHeight w:val="170"/>
        </w:trPr>
        <w:tc>
          <w:tcPr>
            <w:tcW w:w="2071" w:type="dxa"/>
            <w:shd w:val="clear" w:color="auto" w:fill="F3F9FA"/>
            <w:noWrap/>
            <w:vAlign w:val="bottom"/>
          </w:tcPr>
          <w:p w14:paraId="2A942873"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10E09899" w14:textId="6B6B341E"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GH</w:t>
            </w:r>
          </w:p>
        </w:tc>
        <w:tc>
          <w:tcPr>
            <w:tcW w:w="2117" w:type="dxa"/>
            <w:shd w:val="clear" w:color="auto" w:fill="F3F9FA"/>
            <w:noWrap/>
            <w:vAlign w:val="bottom"/>
          </w:tcPr>
          <w:p w14:paraId="134AF0BD" w14:textId="0ABB6115" w:rsidR="001F0E92" w:rsidRPr="004D3B11" w:rsidRDefault="001F0E92" w:rsidP="005D3108">
            <w:pPr>
              <w:spacing w:before="0" w:after="0"/>
              <w:rPr>
                <w:rFonts w:cs="Arial"/>
                <w:color w:val="000000"/>
                <w:sz w:val="20"/>
                <w:szCs w:val="20"/>
              </w:rPr>
            </w:pPr>
            <w:r w:rsidRPr="004D3B11">
              <w:rPr>
                <w:rFonts w:cs="Arial"/>
                <w:color w:val="000000"/>
                <w:sz w:val="20"/>
                <w:szCs w:val="20"/>
              </w:rPr>
              <w:t>estuarine intertidal</w:t>
            </w:r>
          </w:p>
        </w:tc>
        <w:tc>
          <w:tcPr>
            <w:tcW w:w="923" w:type="dxa"/>
            <w:shd w:val="clear" w:color="auto" w:fill="F3F9FA"/>
            <w:noWrap/>
            <w:vAlign w:val="center"/>
          </w:tcPr>
          <w:p w14:paraId="3D023D41"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19F4C21A" w14:textId="5188119C"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w:t>
            </w:r>
          </w:p>
        </w:tc>
        <w:tc>
          <w:tcPr>
            <w:tcW w:w="923" w:type="dxa"/>
            <w:shd w:val="clear" w:color="auto" w:fill="F3F9FA"/>
            <w:noWrap/>
            <w:vAlign w:val="center"/>
          </w:tcPr>
          <w:p w14:paraId="5DC730F7" w14:textId="6C18633D"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34.1</w:t>
            </w:r>
          </w:p>
        </w:tc>
        <w:tc>
          <w:tcPr>
            <w:tcW w:w="924" w:type="dxa"/>
            <w:shd w:val="clear" w:color="auto" w:fill="F3F9FA"/>
            <w:noWrap/>
            <w:vAlign w:val="center"/>
          </w:tcPr>
          <w:p w14:paraId="3DAE658C" w14:textId="7EA405A1"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54</w:t>
            </w:r>
          </w:p>
        </w:tc>
      </w:tr>
      <w:tr w:rsidR="001F0E92" w:rsidRPr="004D3B11" w14:paraId="7A4DD44A" w14:textId="77777777" w:rsidTr="005D3108">
        <w:trPr>
          <w:trHeight w:val="170"/>
        </w:trPr>
        <w:tc>
          <w:tcPr>
            <w:tcW w:w="2071" w:type="dxa"/>
            <w:shd w:val="clear" w:color="auto" w:fill="E7F3F4"/>
            <w:noWrap/>
            <w:vAlign w:val="bottom"/>
          </w:tcPr>
          <w:p w14:paraId="0EAB803D"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64635E0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531A2EE5"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estuarine intertidal</w:t>
            </w:r>
          </w:p>
        </w:tc>
        <w:tc>
          <w:tcPr>
            <w:tcW w:w="923" w:type="dxa"/>
            <w:shd w:val="clear" w:color="auto" w:fill="E7F3F4"/>
            <w:noWrap/>
            <w:vAlign w:val="center"/>
            <w:hideMark/>
          </w:tcPr>
          <w:p w14:paraId="2E85DB90"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10.8*</w:t>
            </w:r>
          </w:p>
        </w:tc>
        <w:tc>
          <w:tcPr>
            <w:tcW w:w="924" w:type="dxa"/>
            <w:shd w:val="clear" w:color="auto" w:fill="E7F3F4"/>
            <w:noWrap/>
            <w:vAlign w:val="center"/>
            <w:hideMark/>
          </w:tcPr>
          <w:p w14:paraId="6044EB04"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18*</w:t>
            </w:r>
          </w:p>
        </w:tc>
        <w:tc>
          <w:tcPr>
            <w:tcW w:w="923" w:type="dxa"/>
            <w:shd w:val="clear" w:color="auto" w:fill="E7F3F4"/>
            <w:noWrap/>
            <w:vAlign w:val="center"/>
            <w:hideMark/>
          </w:tcPr>
          <w:p w14:paraId="4EF8F223"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34.1*</w:t>
            </w:r>
          </w:p>
        </w:tc>
        <w:tc>
          <w:tcPr>
            <w:tcW w:w="924" w:type="dxa"/>
            <w:shd w:val="clear" w:color="auto" w:fill="E7F3F4"/>
            <w:noWrap/>
            <w:vAlign w:val="center"/>
            <w:hideMark/>
          </w:tcPr>
          <w:p w14:paraId="3F6E01F4"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54*</w:t>
            </w:r>
          </w:p>
        </w:tc>
      </w:tr>
      <w:tr w:rsidR="001F0E92" w:rsidRPr="004D3B11" w14:paraId="792A405C" w14:textId="77777777" w:rsidTr="005D3108">
        <w:trPr>
          <w:trHeight w:val="170"/>
        </w:trPr>
        <w:tc>
          <w:tcPr>
            <w:tcW w:w="2071" w:type="dxa"/>
            <w:shd w:val="clear" w:color="auto" w:fill="F3F9FA"/>
            <w:noWrap/>
            <w:vAlign w:val="bottom"/>
          </w:tcPr>
          <w:p w14:paraId="16D6153E"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2DF9B6D4"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RC1^</w:t>
            </w:r>
          </w:p>
        </w:tc>
        <w:tc>
          <w:tcPr>
            <w:tcW w:w="2117" w:type="dxa"/>
            <w:shd w:val="clear" w:color="auto" w:fill="F3F9FA"/>
            <w:noWrap/>
            <w:vAlign w:val="bottom"/>
            <w:hideMark/>
          </w:tcPr>
          <w:p w14:paraId="5FE7AB8B"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55ACED1B"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18.6</w:t>
            </w:r>
          </w:p>
        </w:tc>
        <w:tc>
          <w:tcPr>
            <w:tcW w:w="924" w:type="dxa"/>
            <w:shd w:val="clear" w:color="auto" w:fill="F3F9FA"/>
            <w:noWrap/>
            <w:vAlign w:val="center"/>
            <w:hideMark/>
          </w:tcPr>
          <w:p w14:paraId="6610F714"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20.6</w:t>
            </w:r>
          </w:p>
        </w:tc>
        <w:tc>
          <w:tcPr>
            <w:tcW w:w="923" w:type="dxa"/>
            <w:shd w:val="clear" w:color="auto" w:fill="F3F9FA"/>
            <w:noWrap/>
            <w:vAlign w:val="center"/>
            <w:hideMark/>
          </w:tcPr>
          <w:p w14:paraId="33E3A50A"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24.4</w:t>
            </w:r>
          </w:p>
        </w:tc>
        <w:tc>
          <w:tcPr>
            <w:tcW w:w="924" w:type="dxa"/>
            <w:shd w:val="clear" w:color="auto" w:fill="F3F9FA"/>
            <w:noWrap/>
            <w:vAlign w:val="center"/>
            <w:hideMark/>
          </w:tcPr>
          <w:p w14:paraId="3F3F4441"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34.5</w:t>
            </w:r>
          </w:p>
        </w:tc>
      </w:tr>
      <w:tr w:rsidR="001F0E92" w:rsidRPr="004D3B11" w14:paraId="7B892D52" w14:textId="77777777" w:rsidTr="005D3108">
        <w:trPr>
          <w:trHeight w:val="170"/>
        </w:trPr>
        <w:tc>
          <w:tcPr>
            <w:tcW w:w="2071" w:type="dxa"/>
            <w:shd w:val="clear" w:color="auto" w:fill="F3F9FA"/>
            <w:noWrap/>
            <w:vAlign w:val="bottom"/>
          </w:tcPr>
          <w:p w14:paraId="64F405F3"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00953723"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WH1^</w:t>
            </w:r>
          </w:p>
        </w:tc>
        <w:tc>
          <w:tcPr>
            <w:tcW w:w="2117" w:type="dxa"/>
            <w:shd w:val="clear" w:color="auto" w:fill="F3F9FA"/>
            <w:noWrap/>
            <w:vAlign w:val="bottom"/>
            <w:hideMark/>
          </w:tcPr>
          <w:p w14:paraId="7770F6DA"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hideMark/>
          </w:tcPr>
          <w:p w14:paraId="43BB11CA"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13.1</w:t>
            </w:r>
          </w:p>
        </w:tc>
        <w:tc>
          <w:tcPr>
            <w:tcW w:w="924" w:type="dxa"/>
            <w:shd w:val="clear" w:color="auto" w:fill="F3F9FA"/>
            <w:noWrap/>
            <w:vAlign w:val="center"/>
            <w:hideMark/>
          </w:tcPr>
          <w:p w14:paraId="7AA65CB4"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14.4</w:t>
            </w:r>
          </w:p>
        </w:tc>
        <w:tc>
          <w:tcPr>
            <w:tcW w:w="923" w:type="dxa"/>
            <w:shd w:val="clear" w:color="auto" w:fill="F3F9FA"/>
            <w:noWrap/>
            <w:vAlign w:val="center"/>
            <w:hideMark/>
          </w:tcPr>
          <w:p w14:paraId="5B3F5BE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18.8</w:t>
            </w:r>
          </w:p>
        </w:tc>
        <w:tc>
          <w:tcPr>
            <w:tcW w:w="924" w:type="dxa"/>
            <w:shd w:val="clear" w:color="auto" w:fill="F3F9FA"/>
            <w:noWrap/>
            <w:vAlign w:val="center"/>
            <w:hideMark/>
          </w:tcPr>
          <w:p w14:paraId="28B67A93"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22.3</w:t>
            </w:r>
          </w:p>
        </w:tc>
      </w:tr>
      <w:tr w:rsidR="001F0E92" w:rsidRPr="004D3B11" w14:paraId="2B88248B" w14:textId="77777777" w:rsidTr="005D3108">
        <w:trPr>
          <w:trHeight w:val="170"/>
        </w:trPr>
        <w:tc>
          <w:tcPr>
            <w:tcW w:w="2071" w:type="dxa"/>
            <w:shd w:val="clear" w:color="auto" w:fill="E7F3F4"/>
            <w:noWrap/>
            <w:vAlign w:val="bottom"/>
          </w:tcPr>
          <w:p w14:paraId="589C8D69"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08E9E145"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0F73CBAB"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p>
        </w:tc>
        <w:tc>
          <w:tcPr>
            <w:tcW w:w="923" w:type="dxa"/>
            <w:shd w:val="clear" w:color="auto" w:fill="E7F3F4"/>
            <w:noWrap/>
            <w:vAlign w:val="center"/>
            <w:hideMark/>
          </w:tcPr>
          <w:p w14:paraId="68590A0E"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15.85</w:t>
            </w:r>
          </w:p>
        </w:tc>
        <w:tc>
          <w:tcPr>
            <w:tcW w:w="924" w:type="dxa"/>
            <w:shd w:val="clear" w:color="auto" w:fill="E7F3F4"/>
            <w:noWrap/>
            <w:vAlign w:val="center"/>
            <w:hideMark/>
          </w:tcPr>
          <w:p w14:paraId="3AE397FF"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17.5</w:t>
            </w:r>
          </w:p>
        </w:tc>
        <w:tc>
          <w:tcPr>
            <w:tcW w:w="923" w:type="dxa"/>
            <w:shd w:val="clear" w:color="auto" w:fill="E7F3F4"/>
            <w:noWrap/>
            <w:vAlign w:val="center"/>
            <w:hideMark/>
          </w:tcPr>
          <w:p w14:paraId="484AF478"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21.6</w:t>
            </w:r>
          </w:p>
        </w:tc>
        <w:tc>
          <w:tcPr>
            <w:tcW w:w="924" w:type="dxa"/>
            <w:shd w:val="clear" w:color="auto" w:fill="E7F3F4"/>
            <w:noWrap/>
            <w:vAlign w:val="center"/>
            <w:hideMark/>
          </w:tcPr>
          <w:p w14:paraId="7E916978" w14:textId="77777777" w:rsidR="001F0E92" w:rsidRPr="004D3B11" w:rsidRDefault="001F0E92" w:rsidP="005D3108">
            <w:pPr>
              <w:spacing w:before="0" w:after="0"/>
              <w:jc w:val="center"/>
              <w:rPr>
                <w:rFonts w:cs="Arial"/>
                <w:b/>
                <w:i/>
                <w:color w:val="000000"/>
                <w:sz w:val="20"/>
                <w:szCs w:val="20"/>
              </w:rPr>
            </w:pPr>
            <w:r w:rsidRPr="004D3B11">
              <w:rPr>
                <w:rFonts w:cs="Arial"/>
                <w:b/>
                <w:i/>
                <w:color w:val="000000"/>
                <w:sz w:val="20"/>
                <w:szCs w:val="20"/>
              </w:rPr>
              <w:t>28.4</w:t>
            </w:r>
          </w:p>
        </w:tc>
      </w:tr>
      <w:tr w:rsidR="001F0E92" w:rsidRPr="004D3B11" w14:paraId="46F841C9" w14:textId="77777777" w:rsidTr="005D3108">
        <w:trPr>
          <w:trHeight w:val="170"/>
        </w:trPr>
        <w:tc>
          <w:tcPr>
            <w:tcW w:w="2071" w:type="dxa"/>
            <w:shd w:val="clear" w:color="auto" w:fill="F3F9FA"/>
            <w:noWrap/>
            <w:vAlign w:val="bottom"/>
          </w:tcPr>
          <w:p w14:paraId="20EEBD64"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01E47774"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GK</w:t>
            </w:r>
          </w:p>
        </w:tc>
        <w:tc>
          <w:tcPr>
            <w:tcW w:w="2117" w:type="dxa"/>
            <w:shd w:val="clear" w:color="auto" w:fill="F3F9FA"/>
            <w:noWrap/>
            <w:vAlign w:val="bottom"/>
            <w:hideMark/>
          </w:tcPr>
          <w:p w14:paraId="34C7539D"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reef intertidal</w:t>
            </w:r>
          </w:p>
        </w:tc>
        <w:tc>
          <w:tcPr>
            <w:tcW w:w="923" w:type="dxa"/>
            <w:shd w:val="clear" w:color="auto" w:fill="F3F9FA"/>
            <w:noWrap/>
            <w:vAlign w:val="center"/>
            <w:hideMark/>
          </w:tcPr>
          <w:p w14:paraId="5DDF89E6"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63BA218E" w14:textId="77777777" w:rsidR="001F0E92" w:rsidRPr="004D3B11" w:rsidRDefault="001F0E92" w:rsidP="005D3108">
            <w:pPr>
              <w:spacing w:before="0" w:after="0"/>
              <w:jc w:val="center"/>
              <w:rPr>
                <w:rFonts w:cs="Arial"/>
                <w:sz w:val="20"/>
                <w:szCs w:val="20"/>
              </w:rPr>
            </w:pPr>
            <w:r w:rsidRPr="004D3B11">
              <w:rPr>
                <w:rFonts w:cs="Arial"/>
                <w:sz w:val="20"/>
                <w:szCs w:val="20"/>
              </w:rPr>
              <w:t>9.2</w:t>
            </w:r>
          </w:p>
        </w:tc>
        <w:tc>
          <w:tcPr>
            <w:tcW w:w="923" w:type="dxa"/>
            <w:shd w:val="clear" w:color="auto" w:fill="F3F9FA"/>
            <w:noWrap/>
            <w:vAlign w:val="center"/>
            <w:hideMark/>
          </w:tcPr>
          <w:p w14:paraId="76A63F17" w14:textId="77777777" w:rsidR="001F0E92" w:rsidRPr="004D3B11" w:rsidRDefault="001F0E92" w:rsidP="005D3108">
            <w:pPr>
              <w:spacing w:before="0" w:after="0"/>
              <w:jc w:val="center"/>
              <w:rPr>
                <w:rFonts w:cs="Arial"/>
                <w:sz w:val="20"/>
                <w:szCs w:val="20"/>
              </w:rPr>
            </w:pPr>
            <w:r w:rsidRPr="004D3B11">
              <w:rPr>
                <w:rFonts w:cs="Arial"/>
                <w:sz w:val="20"/>
                <w:szCs w:val="20"/>
              </w:rPr>
              <w:t>12.2</w:t>
            </w:r>
          </w:p>
        </w:tc>
        <w:tc>
          <w:tcPr>
            <w:tcW w:w="924" w:type="dxa"/>
            <w:shd w:val="clear" w:color="auto" w:fill="F3F9FA"/>
            <w:noWrap/>
            <w:vAlign w:val="center"/>
            <w:hideMark/>
          </w:tcPr>
          <w:p w14:paraId="62CF54E2" w14:textId="77777777" w:rsidR="001F0E92" w:rsidRPr="004D3B11" w:rsidRDefault="001F0E92" w:rsidP="005D3108">
            <w:pPr>
              <w:spacing w:before="0" w:after="0"/>
              <w:jc w:val="center"/>
              <w:rPr>
                <w:rFonts w:cs="Arial"/>
                <w:sz w:val="20"/>
                <w:szCs w:val="20"/>
              </w:rPr>
            </w:pPr>
            <w:r w:rsidRPr="004D3B11">
              <w:rPr>
                <w:rFonts w:cs="Arial"/>
                <w:sz w:val="20"/>
                <w:szCs w:val="20"/>
              </w:rPr>
              <w:t>13.8</w:t>
            </w:r>
          </w:p>
        </w:tc>
      </w:tr>
      <w:tr w:rsidR="001F0E92" w:rsidRPr="004D3B11" w14:paraId="74D2D338" w14:textId="77777777" w:rsidTr="005D3108">
        <w:trPr>
          <w:trHeight w:val="170"/>
        </w:trPr>
        <w:tc>
          <w:tcPr>
            <w:tcW w:w="2071" w:type="dxa"/>
            <w:shd w:val="clear" w:color="auto" w:fill="E7F3F4"/>
            <w:noWrap/>
            <w:vAlign w:val="bottom"/>
            <w:hideMark/>
          </w:tcPr>
          <w:p w14:paraId="3D009423"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 </w:t>
            </w:r>
          </w:p>
        </w:tc>
        <w:tc>
          <w:tcPr>
            <w:tcW w:w="1060" w:type="dxa"/>
            <w:shd w:val="clear" w:color="auto" w:fill="E7F3F4"/>
            <w:noWrap/>
            <w:vAlign w:val="bottom"/>
            <w:hideMark/>
          </w:tcPr>
          <w:p w14:paraId="5A3FCD91"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5CBE1F1F"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reef intertidal</w:t>
            </w:r>
          </w:p>
        </w:tc>
        <w:tc>
          <w:tcPr>
            <w:tcW w:w="923" w:type="dxa"/>
            <w:shd w:val="clear" w:color="auto" w:fill="E7F3F4"/>
            <w:noWrap/>
            <w:vAlign w:val="center"/>
            <w:hideMark/>
          </w:tcPr>
          <w:p w14:paraId="04BCD43D" w14:textId="77777777" w:rsidR="001F0E92" w:rsidRPr="004D3B11" w:rsidRDefault="001F0E92" w:rsidP="005D3108">
            <w:pPr>
              <w:spacing w:before="0" w:after="0"/>
              <w:jc w:val="center"/>
              <w:rPr>
                <w:rFonts w:cs="Arial"/>
                <w:b/>
                <w:bCs/>
                <w:i/>
                <w:iCs/>
                <w:color w:val="000000"/>
                <w:sz w:val="20"/>
                <w:szCs w:val="20"/>
              </w:rPr>
            </w:pPr>
          </w:p>
        </w:tc>
        <w:tc>
          <w:tcPr>
            <w:tcW w:w="924" w:type="dxa"/>
            <w:shd w:val="clear" w:color="auto" w:fill="E7F3F4"/>
            <w:noWrap/>
            <w:vAlign w:val="center"/>
            <w:hideMark/>
          </w:tcPr>
          <w:p w14:paraId="5B26D1D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9.2*</w:t>
            </w:r>
          </w:p>
        </w:tc>
        <w:tc>
          <w:tcPr>
            <w:tcW w:w="923" w:type="dxa"/>
            <w:shd w:val="clear" w:color="auto" w:fill="E7F3F4"/>
            <w:noWrap/>
            <w:vAlign w:val="center"/>
            <w:hideMark/>
          </w:tcPr>
          <w:p w14:paraId="7B4C3ED3"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12.2*</w:t>
            </w:r>
          </w:p>
        </w:tc>
        <w:tc>
          <w:tcPr>
            <w:tcW w:w="924" w:type="dxa"/>
            <w:shd w:val="clear" w:color="auto" w:fill="E7F3F4"/>
            <w:noWrap/>
            <w:vAlign w:val="center"/>
            <w:hideMark/>
          </w:tcPr>
          <w:p w14:paraId="3713272E"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13.8*</w:t>
            </w:r>
          </w:p>
        </w:tc>
      </w:tr>
      <w:tr w:rsidR="001F0E92" w:rsidRPr="004D3B11" w14:paraId="44A01E59" w14:textId="77777777" w:rsidTr="005D3108">
        <w:trPr>
          <w:trHeight w:val="170"/>
        </w:trPr>
        <w:tc>
          <w:tcPr>
            <w:tcW w:w="2071" w:type="dxa"/>
            <w:shd w:val="clear" w:color="auto" w:fill="F3F9FA"/>
            <w:noWrap/>
            <w:vAlign w:val="bottom"/>
            <w:hideMark/>
          </w:tcPr>
          <w:p w14:paraId="56FDFE6F" w14:textId="76913412" w:rsidR="001F0E92" w:rsidRPr="004D3B11" w:rsidRDefault="00B72AC4" w:rsidP="005D3108">
            <w:pPr>
              <w:spacing w:before="0" w:after="0"/>
              <w:rPr>
                <w:rFonts w:cs="Arial"/>
                <w:color w:val="000000"/>
                <w:sz w:val="20"/>
                <w:szCs w:val="20"/>
              </w:rPr>
            </w:pPr>
            <w:r>
              <w:rPr>
                <w:rFonts w:cs="Arial"/>
                <w:color w:val="000000"/>
                <w:sz w:val="20"/>
                <w:szCs w:val="20"/>
              </w:rPr>
              <w:t>Burnett–Mary</w:t>
            </w:r>
          </w:p>
        </w:tc>
        <w:tc>
          <w:tcPr>
            <w:tcW w:w="1060" w:type="dxa"/>
            <w:shd w:val="clear" w:color="auto" w:fill="F3F9FA"/>
            <w:noWrap/>
            <w:vAlign w:val="bottom"/>
          </w:tcPr>
          <w:p w14:paraId="6916C229" w14:textId="6E947173" w:rsidR="001F0E92" w:rsidRPr="004D3B11" w:rsidRDefault="001F0E92" w:rsidP="005D3108">
            <w:pPr>
              <w:spacing w:before="0" w:after="0"/>
              <w:jc w:val="right"/>
              <w:rPr>
                <w:rFonts w:cs="Arial"/>
                <w:color w:val="000000"/>
                <w:sz w:val="20"/>
                <w:szCs w:val="20"/>
              </w:rPr>
            </w:pPr>
          </w:p>
        </w:tc>
        <w:tc>
          <w:tcPr>
            <w:tcW w:w="2117" w:type="dxa"/>
            <w:shd w:val="clear" w:color="auto" w:fill="F3F9FA"/>
            <w:noWrap/>
            <w:vAlign w:val="bottom"/>
          </w:tcPr>
          <w:p w14:paraId="292396EE" w14:textId="131D856D" w:rsidR="001F0E92" w:rsidRPr="004D3B11" w:rsidRDefault="001F0E92" w:rsidP="005D3108">
            <w:pPr>
              <w:spacing w:before="0" w:after="0"/>
              <w:rPr>
                <w:rFonts w:cs="Arial"/>
                <w:color w:val="000000"/>
                <w:sz w:val="20"/>
                <w:szCs w:val="20"/>
              </w:rPr>
            </w:pPr>
          </w:p>
        </w:tc>
        <w:tc>
          <w:tcPr>
            <w:tcW w:w="923" w:type="dxa"/>
            <w:shd w:val="clear" w:color="auto" w:fill="F3F9FA"/>
            <w:noWrap/>
            <w:vAlign w:val="center"/>
          </w:tcPr>
          <w:p w14:paraId="556201D9"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2BEDD66C" w14:textId="76AE2DBC" w:rsidR="001F0E92" w:rsidRPr="004D3B11" w:rsidRDefault="001F0E92" w:rsidP="005D3108">
            <w:pPr>
              <w:spacing w:before="0" w:after="0"/>
              <w:jc w:val="center"/>
              <w:rPr>
                <w:rFonts w:cs="Arial"/>
                <w:color w:val="000000"/>
                <w:sz w:val="20"/>
                <w:szCs w:val="20"/>
              </w:rPr>
            </w:pPr>
          </w:p>
        </w:tc>
        <w:tc>
          <w:tcPr>
            <w:tcW w:w="923" w:type="dxa"/>
            <w:shd w:val="clear" w:color="auto" w:fill="F3F9FA"/>
            <w:noWrap/>
            <w:vAlign w:val="center"/>
          </w:tcPr>
          <w:p w14:paraId="5E47B8FC" w14:textId="1BAA7DF0"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00908DE4" w14:textId="747DDD94" w:rsidR="001F0E92" w:rsidRPr="004D3B11" w:rsidRDefault="001F0E92" w:rsidP="005D3108">
            <w:pPr>
              <w:spacing w:before="0" w:after="0"/>
              <w:jc w:val="center"/>
              <w:rPr>
                <w:rFonts w:cs="Arial"/>
                <w:color w:val="000000"/>
                <w:sz w:val="20"/>
                <w:szCs w:val="20"/>
              </w:rPr>
            </w:pPr>
          </w:p>
        </w:tc>
      </w:tr>
      <w:tr w:rsidR="001F0E92" w:rsidRPr="004D3B11" w14:paraId="7F743BA0" w14:textId="77777777" w:rsidTr="005D3108">
        <w:trPr>
          <w:trHeight w:val="170"/>
        </w:trPr>
        <w:tc>
          <w:tcPr>
            <w:tcW w:w="2071" w:type="dxa"/>
            <w:shd w:val="clear" w:color="auto" w:fill="F3F9FA"/>
            <w:noWrap/>
            <w:vAlign w:val="bottom"/>
          </w:tcPr>
          <w:p w14:paraId="79174C8E"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0DE0E13E" w14:textId="7DFD77CE"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RD</w:t>
            </w:r>
          </w:p>
        </w:tc>
        <w:tc>
          <w:tcPr>
            <w:tcW w:w="2117" w:type="dxa"/>
            <w:shd w:val="clear" w:color="auto" w:fill="F3F9FA"/>
            <w:noWrap/>
            <w:vAlign w:val="bottom"/>
          </w:tcPr>
          <w:p w14:paraId="072DD288" w14:textId="7FEA2307" w:rsidR="001F0E92" w:rsidRPr="004D3B11" w:rsidRDefault="001F0E92" w:rsidP="005D3108">
            <w:pPr>
              <w:spacing w:before="0" w:after="0"/>
              <w:rPr>
                <w:rFonts w:cs="Arial"/>
                <w:color w:val="000000"/>
                <w:sz w:val="20"/>
                <w:szCs w:val="20"/>
              </w:rPr>
            </w:pPr>
            <w:r w:rsidRPr="004D3B11">
              <w:rPr>
                <w:rFonts w:cs="Arial"/>
                <w:color w:val="000000"/>
                <w:sz w:val="20"/>
                <w:szCs w:val="20"/>
              </w:rPr>
              <w:t>estuarine intertidal</w:t>
            </w:r>
          </w:p>
        </w:tc>
        <w:tc>
          <w:tcPr>
            <w:tcW w:w="923" w:type="dxa"/>
            <w:shd w:val="clear" w:color="auto" w:fill="F3F9FA"/>
            <w:noWrap/>
            <w:vAlign w:val="center"/>
          </w:tcPr>
          <w:p w14:paraId="03F25811"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tcPr>
          <w:p w14:paraId="0329418C" w14:textId="544EB3DC"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w:t>
            </w:r>
          </w:p>
        </w:tc>
        <w:tc>
          <w:tcPr>
            <w:tcW w:w="923" w:type="dxa"/>
            <w:shd w:val="clear" w:color="auto" w:fill="F3F9FA"/>
            <w:noWrap/>
            <w:vAlign w:val="center"/>
          </w:tcPr>
          <w:p w14:paraId="60C44244" w14:textId="6A56E38C"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34.1</w:t>
            </w:r>
          </w:p>
        </w:tc>
        <w:tc>
          <w:tcPr>
            <w:tcW w:w="924" w:type="dxa"/>
            <w:shd w:val="clear" w:color="auto" w:fill="F3F9FA"/>
            <w:noWrap/>
            <w:vAlign w:val="center"/>
          </w:tcPr>
          <w:p w14:paraId="642F2390" w14:textId="22646FE4"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54</w:t>
            </w:r>
          </w:p>
        </w:tc>
      </w:tr>
      <w:tr w:rsidR="001F0E92" w:rsidRPr="004D3B11" w14:paraId="3804751C" w14:textId="77777777" w:rsidTr="005D3108">
        <w:trPr>
          <w:trHeight w:val="170"/>
        </w:trPr>
        <w:tc>
          <w:tcPr>
            <w:tcW w:w="2071" w:type="dxa"/>
            <w:shd w:val="clear" w:color="auto" w:fill="F3F9FA"/>
            <w:noWrap/>
            <w:vAlign w:val="bottom"/>
          </w:tcPr>
          <w:p w14:paraId="4DB910DA"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4FC85C4D"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UG1^</w:t>
            </w:r>
          </w:p>
        </w:tc>
        <w:tc>
          <w:tcPr>
            <w:tcW w:w="2117" w:type="dxa"/>
            <w:shd w:val="clear" w:color="auto" w:fill="F3F9FA"/>
            <w:noWrap/>
            <w:vAlign w:val="bottom"/>
            <w:hideMark/>
          </w:tcPr>
          <w:p w14:paraId="5489DF65"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estuarine intertidal</w:t>
            </w:r>
          </w:p>
        </w:tc>
        <w:tc>
          <w:tcPr>
            <w:tcW w:w="923" w:type="dxa"/>
            <w:shd w:val="clear" w:color="auto" w:fill="F3F9FA"/>
            <w:noWrap/>
            <w:vAlign w:val="center"/>
            <w:hideMark/>
          </w:tcPr>
          <w:p w14:paraId="484C1556" w14:textId="77777777" w:rsidR="001F0E92" w:rsidRPr="004D3B11" w:rsidRDefault="001F0E92" w:rsidP="005D3108">
            <w:pPr>
              <w:spacing w:before="0" w:after="0"/>
              <w:jc w:val="center"/>
              <w:rPr>
                <w:rFonts w:cs="Arial"/>
                <w:color w:val="808080"/>
                <w:sz w:val="20"/>
                <w:szCs w:val="20"/>
              </w:rPr>
            </w:pPr>
            <w:r w:rsidRPr="004D3B11">
              <w:rPr>
                <w:rFonts w:cs="Arial"/>
                <w:color w:val="808080"/>
                <w:sz w:val="20"/>
                <w:szCs w:val="20"/>
              </w:rPr>
              <w:t>10.8</w:t>
            </w:r>
          </w:p>
        </w:tc>
        <w:tc>
          <w:tcPr>
            <w:tcW w:w="924" w:type="dxa"/>
            <w:shd w:val="clear" w:color="auto" w:fill="F3F9FA"/>
            <w:noWrap/>
            <w:vAlign w:val="center"/>
            <w:hideMark/>
          </w:tcPr>
          <w:p w14:paraId="29DB5072"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w:t>
            </w:r>
          </w:p>
        </w:tc>
        <w:tc>
          <w:tcPr>
            <w:tcW w:w="923" w:type="dxa"/>
            <w:shd w:val="clear" w:color="auto" w:fill="F3F9FA"/>
            <w:noWrap/>
            <w:vAlign w:val="center"/>
            <w:hideMark/>
          </w:tcPr>
          <w:p w14:paraId="5DA9F4D6"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34.1</w:t>
            </w:r>
          </w:p>
        </w:tc>
        <w:tc>
          <w:tcPr>
            <w:tcW w:w="924" w:type="dxa"/>
            <w:shd w:val="clear" w:color="auto" w:fill="F3F9FA"/>
            <w:noWrap/>
            <w:vAlign w:val="center"/>
            <w:hideMark/>
          </w:tcPr>
          <w:p w14:paraId="5C22A443"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54</w:t>
            </w:r>
          </w:p>
        </w:tc>
      </w:tr>
      <w:tr w:rsidR="001F0E92" w:rsidRPr="004D3B11" w14:paraId="615E5BA4" w14:textId="77777777" w:rsidTr="005D3108">
        <w:trPr>
          <w:trHeight w:val="170"/>
        </w:trPr>
        <w:tc>
          <w:tcPr>
            <w:tcW w:w="2071" w:type="dxa"/>
            <w:shd w:val="clear" w:color="auto" w:fill="F3F9FA"/>
            <w:noWrap/>
            <w:vAlign w:val="bottom"/>
          </w:tcPr>
          <w:p w14:paraId="1E0D73B0"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051BE97A"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UG2</w:t>
            </w:r>
          </w:p>
        </w:tc>
        <w:tc>
          <w:tcPr>
            <w:tcW w:w="2117" w:type="dxa"/>
            <w:shd w:val="clear" w:color="auto" w:fill="F3F9FA"/>
            <w:noWrap/>
            <w:vAlign w:val="bottom"/>
            <w:hideMark/>
          </w:tcPr>
          <w:p w14:paraId="1AD8AC3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estuarine intertidal</w:t>
            </w:r>
          </w:p>
        </w:tc>
        <w:tc>
          <w:tcPr>
            <w:tcW w:w="923" w:type="dxa"/>
            <w:shd w:val="clear" w:color="auto" w:fill="F3F9FA"/>
            <w:noWrap/>
            <w:vAlign w:val="center"/>
          </w:tcPr>
          <w:p w14:paraId="05527021" w14:textId="77777777" w:rsidR="001F0E92" w:rsidRPr="004D3B11" w:rsidRDefault="001F0E92" w:rsidP="005D3108">
            <w:pPr>
              <w:spacing w:before="0" w:after="0"/>
              <w:jc w:val="center"/>
              <w:rPr>
                <w:rFonts w:cs="Arial"/>
                <w:color w:val="000000"/>
                <w:sz w:val="20"/>
                <w:szCs w:val="20"/>
              </w:rPr>
            </w:pPr>
          </w:p>
        </w:tc>
        <w:tc>
          <w:tcPr>
            <w:tcW w:w="924" w:type="dxa"/>
            <w:shd w:val="clear" w:color="auto" w:fill="F3F9FA"/>
            <w:noWrap/>
            <w:vAlign w:val="center"/>
            <w:hideMark/>
          </w:tcPr>
          <w:p w14:paraId="46A4486D"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18</w:t>
            </w:r>
          </w:p>
        </w:tc>
        <w:tc>
          <w:tcPr>
            <w:tcW w:w="923" w:type="dxa"/>
            <w:shd w:val="clear" w:color="auto" w:fill="F3F9FA"/>
            <w:noWrap/>
            <w:vAlign w:val="center"/>
            <w:hideMark/>
          </w:tcPr>
          <w:p w14:paraId="277B5E68"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34.1</w:t>
            </w:r>
          </w:p>
        </w:tc>
        <w:tc>
          <w:tcPr>
            <w:tcW w:w="924" w:type="dxa"/>
            <w:shd w:val="clear" w:color="auto" w:fill="F3F9FA"/>
            <w:noWrap/>
            <w:vAlign w:val="center"/>
            <w:hideMark/>
          </w:tcPr>
          <w:p w14:paraId="42E18955" w14:textId="77777777" w:rsidR="001F0E92" w:rsidRPr="004D3B11" w:rsidRDefault="001F0E92" w:rsidP="005D3108">
            <w:pPr>
              <w:spacing w:before="0" w:after="0"/>
              <w:jc w:val="center"/>
              <w:rPr>
                <w:rFonts w:cs="Arial"/>
                <w:color w:val="000000"/>
                <w:sz w:val="20"/>
                <w:szCs w:val="20"/>
              </w:rPr>
            </w:pPr>
            <w:r w:rsidRPr="004D3B11">
              <w:rPr>
                <w:rFonts w:cs="Arial"/>
                <w:color w:val="000000"/>
                <w:sz w:val="20"/>
                <w:szCs w:val="20"/>
              </w:rPr>
              <w:t>54</w:t>
            </w:r>
          </w:p>
        </w:tc>
      </w:tr>
      <w:tr w:rsidR="001F0E92" w:rsidRPr="004D3B11" w14:paraId="5A60CD58" w14:textId="77777777" w:rsidTr="005D3108">
        <w:trPr>
          <w:trHeight w:val="170"/>
        </w:trPr>
        <w:tc>
          <w:tcPr>
            <w:tcW w:w="2071" w:type="dxa"/>
            <w:shd w:val="clear" w:color="auto" w:fill="E7F3F4"/>
            <w:noWrap/>
            <w:vAlign w:val="bottom"/>
          </w:tcPr>
          <w:p w14:paraId="7BEE93A4"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0AA2FE75"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2A0875FE"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estuarine intertidal</w:t>
            </w:r>
          </w:p>
        </w:tc>
        <w:tc>
          <w:tcPr>
            <w:tcW w:w="923" w:type="dxa"/>
            <w:shd w:val="clear" w:color="auto" w:fill="E7F3F4"/>
            <w:noWrap/>
            <w:vAlign w:val="center"/>
            <w:hideMark/>
          </w:tcPr>
          <w:p w14:paraId="21A3608D"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10.8</w:t>
            </w:r>
          </w:p>
        </w:tc>
        <w:tc>
          <w:tcPr>
            <w:tcW w:w="924" w:type="dxa"/>
            <w:shd w:val="clear" w:color="auto" w:fill="E7F3F4"/>
            <w:noWrap/>
            <w:vAlign w:val="center"/>
            <w:hideMark/>
          </w:tcPr>
          <w:p w14:paraId="13BBBB72"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18</w:t>
            </w:r>
          </w:p>
        </w:tc>
        <w:tc>
          <w:tcPr>
            <w:tcW w:w="923" w:type="dxa"/>
            <w:shd w:val="clear" w:color="auto" w:fill="E7F3F4"/>
            <w:noWrap/>
            <w:vAlign w:val="center"/>
            <w:hideMark/>
          </w:tcPr>
          <w:p w14:paraId="2412BD10"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34.1</w:t>
            </w:r>
          </w:p>
        </w:tc>
        <w:tc>
          <w:tcPr>
            <w:tcW w:w="924" w:type="dxa"/>
            <w:shd w:val="clear" w:color="auto" w:fill="E7F3F4"/>
            <w:noWrap/>
            <w:vAlign w:val="center"/>
            <w:hideMark/>
          </w:tcPr>
          <w:p w14:paraId="7DEBCE93"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54</w:t>
            </w:r>
          </w:p>
        </w:tc>
      </w:tr>
      <w:tr w:rsidR="001F0E92" w:rsidRPr="004D3B11" w14:paraId="291520C7" w14:textId="77777777" w:rsidTr="005D3108">
        <w:trPr>
          <w:trHeight w:val="170"/>
        </w:trPr>
        <w:tc>
          <w:tcPr>
            <w:tcW w:w="2071" w:type="dxa"/>
            <w:shd w:val="clear" w:color="auto" w:fill="F3F9FA"/>
            <w:noWrap/>
            <w:vAlign w:val="bottom"/>
          </w:tcPr>
          <w:p w14:paraId="4EB2910B"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hideMark/>
          </w:tcPr>
          <w:p w14:paraId="3373384D"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BH1^</w:t>
            </w:r>
          </w:p>
        </w:tc>
        <w:tc>
          <w:tcPr>
            <w:tcW w:w="2117" w:type="dxa"/>
            <w:shd w:val="clear" w:color="auto" w:fill="F3F9FA"/>
            <w:noWrap/>
            <w:vAlign w:val="bottom"/>
            <w:hideMark/>
          </w:tcPr>
          <w:p w14:paraId="6643ABA0"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4D1C082B" w14:textId="77777777" w:rsidR="001F0E92" w:rsidRPr="004D3B11" w:rsidRDefault="001F0E92" w:rsidP="005D3108">
            <w:pPr>
              <w:spacing w:before="0" w:after="0"/>
              <w:jc w:val="center"/>
              <w:rPr>
                <w:rFonts w:cs="Arial"/>
                <w:color w:val="808080"/>
                <w:sz w:val="20"/>
                <w:szCs w:val="20"/>
              </w:rPr>
            </w:pPr>
          </w:p>
        </w:tc>
        <w:tc>
          <w:tcPr>
            <w:tcW w:w="924" w:type="dxa"/>
            <w:shd w:val="clear" w:color="auto" w:fill="F3F9FA"/>
            <w:noWrap/>
            <w:vAlign w:val="bottom"/>
            <w:hideMark/>
          </w:tcPr>
          <w:p w14:paraId="47723ACE"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7.8</w:t>
            </w:r>
          </w:p>
        </w:tc>
        <w:tc>
          <w:tcPr>
            <w:tcW w:w="923" w:type="dxa"/>
            <w:shd w:val="clear" w:color="auto" w:fill="F3F9FA"/>
            <w:noWrap/>
            <w:vAlign w:val="bottom"/>
            <w:hideMark/>
          </w:tcPr>
          <w:p w14:paraId="0446BADE"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11.9</w:t>
            </w:r>
          </w:p>
        </w:tc>
        <w:tc>
          <w:tcPr>
            <w:tcW w:w="924" w:type="dxa"/>
            <w:shd w:val="clear" w:color="auto" w:fill="F3F9FA"/>
            <w:noWrap/>
            <w:vAlign w:val="bottom"/>
            <w:hideMark/>
          </w:tcPr>
          <w:p w14:paraId="287B9BCF"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21.6</w:t>
            </w:r>
          </w:p>
        </w:tc>
      </w:tr>
      <w:tr w:rsidR="001F0E92" w:rsidRPr="004D3B11" w14:paraId="02744680" w14:textId="77777777" w:rsidTr="005D3108">
        <w:trPr>
          <w:trHeight w:val="170"/>
        </w:trPr>
        <w:tc>
          <w:tcPr>
            <w:tcW w:w="2071" w:type="dxa"/>
            <w:shd w:val="clear" w:color="auto" w:fill="F3F9FA"/>
            <w:noWrap/>
            <w:vAlign w:val="bottom"/>
          </w:tcPr>
          <w:p w14:paraId="2A973E32" w14:textId="77777777" w:rsidR="001F0E92" w:rsidRPr="004D3B11" w:rsidRDefault="001F0E92" w:rsidP="005D3108">
            <w:pPr>
              <w:spacing w:before="0" w:after="0"/>
              <w:rPr>
                <w:rFonts w:cs="Arial"/>
                <w:color w:val="000000"/>
                <w:sz w:val="20"/>
                <w:szCs w:val="20"/>
              </w:rPr>
            </w:pPr>
          </w:p>
        </w:tc>
        <w:tc>
          <w:tcPr>
            <w:tcW w:w="1060" w:type="dxa"/>
            <w:shd w:val="clear" w:color="auto" w:fill="F3F9FA"/>
            <w:noWrap/>
            <w:vAlign w:val="bottom"/>
          </w:tcPr>
          <w:p w14:paraId="0739DE15" w14:textId="77777777" w:rsidR="001F0E92" w:rsidRPr="004D3B11" w:rsidRDefault="001F0E92" w:rsidP="005D3108">
            <w:pPr>
              <w:spacing w:before="0" w:after="0"/>
              <w:jc w:val="right"/>
              <w:rPr>
                <w:rFonts w:cs="Arial"/>
                <w:color w:val="000000"/>
                <w:sz w:val="20"/>
                <w:szCs w:val="20"/>
              </w:rPr>
            </w:pPr>
            <w:r w:rsidRPr="004D3B11">
              <w:rPr>
                <w:rFonts w:cs="Arial"/>
                <w:color w:val="000000"/>
                <w:sz w:val="20"/>
                <w:szCs w:val="20"/>
              </w:rPr>
              <w:t>BH3</w:t>
            </w:r>
          </w:p>
        </w:tc>
        <w:tc>
          <w:tcPr>
            <w:tcW w:w="2117" w:type="dxa"/>
            <w:shd w:val="clear" w:color="auto" w:fill="F3F9FA"/>
            <w:noWrap/>
            <w:vAlign w:val="bottom"/>
          </w:tcPr>
          <w:p w14:paraId="52097DE8"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coastal intertidal</w:t>
            </w:r>
          </w:p>
        </w:tc>
        <w:tc>
          <w:tcPr>
            <w:tcW w:w="923" w:type="dxa"/>
            <w:shd w:val="clear" w:color="auto" w:fill="F3F9FA"/>
            <w:noWrap/>
            <w:vAlign w:val="center"/>
          </w:tcPr>
          <w:p w14:paraId="5130028D" w14:textId="77777777" w:rsidR="001F0E92" w:rsidRPr="004D3B11" w:rsidRDefault="001F0E92" w:rsidP="005D3108">
            <w:pPr>
              <w:spacing w:before="0" w:after="0"/>
              <w:jc w:val="center"/>
              <w:rPr>
                <w:rFonts w:cs="Arial"/>
                <w:color w:val="808080"/>
                <w:sz w:val="20"/>
                <w:szCs w:val="20"/>
              </w:rPr>
            </w:pPr>
          </w:p>
        </w:tc>
        <w:tc>
          <w:tcPr>
            <w:tcW w:w="924" w:type="dxa"/>
            <w:shd w:val="clear" w:color="auto" w:fill="F3F9FA"/>
            <w:noWrap/>
            <w:vAlign w:val="bottom"/>
          </w:tcPr>
          <w:p w14:paraId="39DEA9D3"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7.8</w:t>
            </w:r>
          </w:p>
        </w:tc>
        <w:tc>
          <w:tcPr>
            <w:tcW w:w="923" w:type="dxa"/>
            <w:shd w:val="clear" w:color="auto" w:fill="F3F9FA"/>
            <w:noWrap/>
            <w:vAlign w:val="bottom"/>
          </w:tcPr>
          <w:p w14:paraId="2E25CBE2"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11.9</w:t>
            </w:r>
          </w:p>
        </w:tc>
        <w:tc>
          <w:tcPr>
            <w:tcW w:w="924" w:type="dxa"/>
            <w:shd w:val="clear" w:color="auto" w:fill="F3F9FA"/>
            <w:noWrap/>
            <w:vAlign w:val="bottom"/>
          </w:tcPr>
          <w:p w14:paraId="7B0B7AD5" w14:textId="77777777" w:rsidR="001F0E92" w:rsidRPr="004D3B11" w:rsidRDefault="001F0E92" w:rsidP="005D3108">
            <w:pPr>
              <w:spacing w:before="0" w:after="0"/>
              <w:jc w:val="center"/>
              <w:rPr>
                <w:rFonts w:cs="Arial"/>
                <w:color w:val="000000"/>
                <w:sz w:val="20"/>
                <w:szCs w:val="20"/>
              </w:rPr>
            </w:pPr>
            <w:r w:rsidRPr="004D3B11">
              <w:rPr>
                <w:rFonts w:cs="Arial"/>
                <w:iCs/>
                <w:sz w:val="20"/>
                <w:szCs w:val="20"/>
              </w:rPr>
              <w:t>21.6</w:t>
            </w:r>
          </w:p>
        </w:tc>
      </w:tr>
      <w:tr w:rsidR="001F0E92" w:rsidRPr="004D3B11" w14:paraId="184BFF72" w14:textId="77777777" w:rsidTr="005D3108">
        <w:trPr>
          <w:trHeight w:val="170"/>
        </w:trPr>
        <w:tc>
          <w:tcPr>
            <w:tcW w:w="2071" w:type="dxa"/>
            <w:shd w:val="clear" w:color="auto" w:fill="E7F3F4"/>
            <w:noWrap/>
            <w:vAlign w:val="bottom"/>
          </w:tcPr>
          <w:p w14:paraId="41C15F69" w14:textId="77777777" w:rsidR="001F0E92" w:rsidRPr="004D3B11" w:rsidRDefault="001F0E92" w:rsidP="005D3108">
            <w:pPr>
              <w:spacing w:before="0" w:after="0"/>
              <w:rPr>
                <w:rFonts w:cs="Arial"/>
                <w:color w:val="000000"/>
                <w:sz w:val="20"/>
                <w:szCs w:val="20"/>
              </w:rPr>
            </w:pPr>
          </w:p>
        </w:tc>
        <w:tc>
          <w:tcPr>
            <w:tcW w:w="1060" w:type="dxa"/>
            <w:shd w:val="clear" w:color="auto" w:fill="E7F3F4"/>
            <w:noWrap/>
            <w:vAlign w:val="bottom"/>
            <w:hideMark/>
          </w:tcPr>
          <w:p w14:paraId="327620DB" w14:textId="77777777" w:rsidR="001F0E92" w:rsidRPr="004D3B11" w:rsidRDefault="001F0E92" w:rsidP="005D3108">
            <w:pPr>
              <w:spacing w:before="0" w:after="0"/>
              <w:rPr>
                <w:rFonts w:cs="Arial"/>
                <w:color w:val="000000"/>
                <w:sz w:val="20"/>
                <w:szCs w:val="20"/>
              </w:rPr>
            </w:pPr>
            <w:r w:rsidRPr="004D3B11">
              <w:rPr>
                <w:rFonts w:cs="Arial"/>
                <w:color w:val="000000"/>
                <w:sz w:val="20"/>
                <w:szCs w:val="20"/>
              </w:rPr>
              <w:t>NRM</w:t>
            </w:r>
          </w:p>
        </w:tc>
        <w:tc>
          <w:tcPr>
            <w:tcW w:w="2117" w:type="dxa"/>
            <w:shd w:val="clear" w:color="auto" w:fill="E7F3F4"/>
            <w:noWrap/>
            <w:vAlign w:val="bottom"/>
            <w:hideMark/>
          </w:tcPr>
          <w:p w14:paraId="78D736A4" w14:textId="77777777" w:rsidR="001F0E92" w:rsidRPr="004D3B11" w:rsidRDefault="001F0E92" w:rsidP="005D3108">
            <w:pPr>
              <w:spacing w:before="0" w:after="0"/>
              <w:rPr>
                <w:rFonts w:cs="Arial"/>
                <w:b/>
                <w:bCs/>
                <w:i/>
                <w:iCs/>
                <w:color w:val="000000"/>
                <w:sz w:val="20"/>
                <w:szCs w:val="20"/>
              </w:rPr>
            </w:pPr>
            <w:r w:rsidRPr="004D3B11">
              <w:rPr>
                <w:rFonts w:cs="Arial"/>
                <w:b/>
                <w:bCs/>
                <w:i/>
                <w:iCs/>
                <w:color w:val="000000"/>
                <w:sz w:val="20"/>
                <w:szCs w:val="20"/>
              </w:rPr>
              <w:t>coastal intertidal</w:t>
            </w:r>
          </w:p>
        </w:tc>
        <w:tc>
          <w:tcPr>
            <w:tcW w:w="923" w:type="dxa"/>
            <w:shd w:val="clear" w:color="auto" w:fill="E7F3F4"/>
            <w:noWrap/>
            <w:vAlign w:val="center"/>
          </w:tcPr>
          <w:p w14:paraId="73581D8C" w14:textId="77777777" w:rsidR="001F0E92" w:rsidRPr="004D3B11" w:rsidRDefault="001F0E92" w:rsidP="005D3108">
            <w:pPr>
              <w:spacing w:before="0" w:after="0"/>
              <w:jc w:val="center"/>
              <w:rPr>
                <w:rFonts w:cs="Arial"/>
                <w:b/>
                <w:bCs/>
                <w:i/>
                <w:iCs/>
                <w:color w:val="000000"/>
                <w:sz w:val="20"/>
                <w:szCs w:val="20"/>
              </w:rPr>
            </w:pPr>
          </w:p>
        </w:tc>
        <w:tc>
          <w:tcPr>
            <w:tcW w:w="924" w:type="dxa"/>
            <w:shd w:val="clear" w:color="auto" w:fill="E7F3F4"/>
            <w:noWrap/>
            <w:vAlign w:val="center"/>
            <w:hideMark/>
          </w:tcPr>
          <w:p w14:paraId="16727A53"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7.8</w:t>
            </w:r>
          </w:p>
        </w:tc>
        <w:tc>
          <w:tcPr>
            <w:tcW w:w="923" w:type="dxa"/>
            <w:shd w:val="clear" w:color="auto" w:fill="E7F3F4"/>
            <w:noWrap/>
            <w:vAlign w:val="center"/>
            <w:hideMark/>
          </w:tcPr>
          <w:p w14:paraId="40CB7C5F"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11.9</w:t>
            </w:r>
          </w:p>
        </w:tc>
        <w:tc>
          <w:tcPr>
            <w:tcW w:w="924" w:type="dxa"/>
            <w:shd w:val="clear" w:color="auto" w:fill="E7F3F4"/>
            <w:noWrap/>
            <w:vAlign w:val="center"/>
            <w:hideMark/>
          </w:tcPr>
          <w:p w14:paraId="596F2785" w14:textId="77777777" w:rsidR="001F0E92" w:rsidRPr="004D3B11" w:rsidRDefault="001F0E92" w:rsidP="005D3108">
            <w:pPr>
              <w:spacing w:before="0" w:after="0"/>
              <w:jc w:val="center"/>
              <w:rPr>
                <w:rFonts w:cs="Arial"/>
                <w:b/>
                <w:bCs/>
                <w:i/>
                <w:iCs/>
                <w:color w:val="000000"/>
                <w:sz w:val="20"/>
                <w:szCs w:val="20"/>
              </w:rPr>
            </w:pPr>
            <w:r w:rsidRPr="004D3B11">
              <w:rPr>
                <w:rFonts w:cs="Arial"/>
                <w:b/>
                <w:bCs/>
                <w:i/>
                <w:iCs/>
                <w:color w:val="000000"/>
                <w:sz w:val="20"/>
                <w:szCs w:val="20"/>
              </w:rPr>
              <w:t>21.6</w:t>
            </w:r>
          </w:p>
        </w:tc>
      </w:tr>
    </w:tbl>
    <w:p w14:paraId="6C6A3FCE" w14:textId="6D4BC617" w:rsidR="00842050" w:rsidRPr="001F0E92" w:rsidRDefault="00842050" w:rsidP="00842050">
      <w:pPr>
        <w:rPr>
          <w:rFonts w:cs="Arial"/>
          <w:color w:val="000000"/>
          <w:szCs w:val="22"/>
        </w:rPr>
      </w:pPr>
      <w:bookmarkStart w:id="881" w:name="_Toc431493751"/>
      <w:bookmarkEnd w:id="880"/>
      <w:r w:rsidRPr="001F0E92">
        <w:rPr>
          <w:rFonts w:cs="Arial"/>
          <w:color w:val="000000"/>
          <w:szCs w:val="22"/>
        </w:rPr>
        <w:br w:type="page"/>
      </w:r>
    </w:p>
    <w:p w14:paraId="431EA5CA" w14:textId="4A40A075" w:rsidR="00842050" w:rsidRPr="001F0E92" w:rsidRDefault="001A2360" w:rsidP="001A2360">
      <w:pPr>
        <w:pStyle w:val="Heading2"/>
        <w:numPr>
          <w:ilvl w:val="0"/>
          <w:numId w:val="0"/>
        </w:numPr>
      </w:pPr>
      <w:bookmarkStart w:id="882" w:name="_Toc37775136"/>
      <w:bookmarkStart w:id="883" w:name="_Toc43987119"/>
      <w:r>
        <w:lastRenderedPageBreak/>
        <w:t>A2.2</w:t>
      </w:r>
      <w:r>
        <w:tab/>
      </w:r>
      <w:r w:rsidR="00842050" w:rsidRPr="001F0E92">
        <w:t>Seagrass reproductive effort</w:t>
      </w:r>
      <w:bookmarkEnd w:id="882"/>
      <w:bookmarkEnd w:id="883"/>
    </w:p>
    <w:bookmarkEnd w:id="881"/>
    <w:p w14:paraId="09CB1C37" w14:textId="06795476" w:rsidR="00842050" w:rsidRPr="001F0E92" w:rsidRDefault="00842050" w:rsidP="00842050">
      <w:pPr>
        <w:rPr>
          <w:rFonts w:cs="Arial"/>
          <w:color w:val="000000"/>
          <w:szCs w:val="22"/>
        </w:rPr>
      </w:pPr>
      <w:r w:rsidRPr="001F0E92">
        <w:rPr>
          <w:rFonts w:cs="Arial"/>
          <w:color w:val="000000"/>
          <w:szCs w:val="22"/>
        </w:rPr>
        <w:t xml:space="preserve">The reproductive effort </w:t>
      </w:r>
      <w:r w:rsidR="00030955" w:rsidRPr="001F0E92">
        <w:rPr>
          <w:rFonts w:cs="Arial"/>
          <w:color w:val="000000"/>
          <w:szCs w:val="22"/>
        </w:rPr>
        <w:t xml:space="preserve">is the number of reproductive structures </w:t>
      </w:r>
      <w:r w:rsidR="00FD59DB" w:rsidRPr="001F0E92">
        <w:rPr>
          <w:rFonts w:cs="Arial"/>
          <w:color w:val="000000"/>
          <w:szCs w:val="22"/>
        </w:rPr>
        <w:t xml:space="preserve">(inflorescence, fruit, spathe, seed) </w:t>
      </w:r>
      <w:r w:rsidR="00030955" w:rsidRPr="001F0E92">
        <w:rPr>
          <w:rFonts w:cs="Arial"/>
          <w:color w:val="000000"/>
          <w:szCs w:val="22"/>
        </w:rPr>
        <w:t>per core</w:t>
      </w:r>
      <w:r w:rsidRPr="001F0E92">
        <w:rPr>
          <w:rFonts w:cs="Arial"/>
          <w:color w:val="000000"/>
          <w:szCs w:val="22"/>
        </w:rPr>
        <w:t xml:space="preserve">. Given the high diversity of seagrass species that occur in the </w:t>
      </w:r>
      <w:r w:rsidR="003158FC" w:rsidRPr="001F0E92">
        <w:rPr>
          <w:rFonts w:cs="Arial"/>
          <w:color w:val="000000"/>
          <w:szCs w:val="22"/>
        </w:rPr>
        <w:t>Reef</w:t>
      </w:r>
      <w:r w:rsidRPr="001F0E92">
        <w:rPr>
          <w:rFonts w:cs="Arial"/>
          <w:color w:val="000000"/>
          <w:szCs w:val="22"/>
        </w:rPr>
        <w:t xml:space="preserve"> coastal zone </w:t>
      </w:r>
      <w:r w:rsidRPr="001F0E92">
        <w:rPr>
          <w:rFonts w:cs="Arial"/>
          <w:noProof/>
          <w:color w:val="000000"/>
          <w:szCs w:val="22"/>
        </w:rPr>
        <w:t>(</w:t>
      </w:r>
      <w:hyperlink w:anchor="_ENREF_153" w:tooltip="Waycott, 2007 #9133" w:history="1">
        <w:r w:rsidR="009A7AB4" w:rsidRPr="001F0E92">
          <w:rPr>
            <w:rFonts w:cs="Arial"/>
            <w:szCs w:val="22"/>
          </w:rPr>
          <w:fldChar w:fldCharType="begin"/>
        </w:r>
        <w:r w:rsidR="009A7AB4" w:rsidRPr="001F0E92">
          <w:rPr>
            <w:rFonts w:cs="Arial"/>
            <w:szCs w:val="22"/>
          </w:rPr>
          <w:instrText xml:space="preserve"> ADDIN EN.CITE &lt;EndNote&gt;&lt;Cite&gt;&lt;Author&gt;Waycott&lt;/Author&gt;&lt;Year&gt;2007&lt;/Year&gt;&lt;RecNum&gt;9133&lt;/RecNum&gt;&lt;DisplayText&gt;Waycott&lt;style face="italic"&gt; et al.&lt;/style&gt; 2007&lt;/DisplayText&gt;&lt;record&gt;&lt;rec-number&gt;9133&lt;/rec-number&gt;&lt;foreign-keys&gt;&lt;key app="EN" db-id="0eve55x9y5vfd6e9dacxtew4eatve2dzds9a" timestamp="1374984594"&gt;9133&lt;/key&gt;&lt;/foreign-keys&gt;&lt;ref-type name="Book Section"&gt;5&lt;/ref-type&gt;&lt;contributors&gt;&lt;authors&gt;&lt;author&gt;Waycott, M.&lt;/author&gt;&lt;author&gt;Collier, C.&lt;/author&gt;&lt;author&gt;McMahon, K.&lt;/author&gt;&lt;author&gt;Ralph, P.J.&lt;/author&gt;&lt;author&gt;McKenzie, Len J.&lt;/author&gt;&lt;author&gt;Udy, J.W.&lt;/author&gt;&lt;author&gt;Grech, A.&lt;/author&gt;&lt;/authors&gt;&lt;secondary-authors&gt;&lt;author&gt;Johnson, J.E. &lt;/author&gt;&lt;author&gt;Marshall, P.A.&lt;/author&gt;&lt;/secondary-authors&gt;&lt;/contributors&gt;&lt;titles&gt;&lt;title&gt;Vulnerability of seagrasses in the Great Barrier Reef to climate change - Chapter 8: &lt;/title&gt;&lt;secondary-title&gt;Climate Change and the Great Barrier Reef: A Vulnerability Assessment, Part II: Species and species groups&lt;/secondary-title&gt;&lt;/titles&gt;&lt;pages&gt;193-236&lt;/pages&gt;&lt;dates&gt;&lt;year&gt;2007&lt;/year&gt;&lt;/dates&gt;&lt;pub-location&gt;Townsville&lt;/pub-location&gt;&lt;publisher&gt;Great Barrier Reef Marine Park Authority     &lt;/publisher&gt;&lt;isbn&gt;978-1-87694-561-9&lt;/isbn&gt;&lt;urls&gt;&lt;/urls&gt;&lt;/record&gt;&lt;/Cite&gt;&lt;/EndNote&gt;</w:instrText>
        </w:r>
        <w:r w:rsidR="009A7AB4" w:rsidRPr="001F0E92">
          <w:rPr>
            <w:rFonts w:cs="Arial"/>
            <w:szCs w:val="22"/>
          </w:rPr>
          <w:fldChar w:fldCharType="separate"/>
        </w:r>
        <w:r w:rsidR="009A7AB4" w:rsidRPr="001F0E92">
          <w:rPr>
            <w:rFonts w:cs="Arial"/>
            <w:noProof/>
            <w:szCs w:val="22"/>
          </w:rPr>
          <w:t>Waycott</w:t>
        </w:r>
        <w:r w:rsidR="009A7AB4" w:rsidRPr="001F0E92">
          <w:rPr>
            <w:rFonts w:cs="Arial"/>
            <w:i/>
            <w:noProof/>
            <w:szCs w:val="22"/>
          </w:rPr>
          <w:t xml:space="preserve"> et al.</w:t>
        </w:r>
        <w:r w:rsidR="009A7AB4" w:rsidRPr="001F0E92">
          <w:rPr>
            <w:rFonts w:cs="Arial"/>
            <w:noProof/>
            <w:szCs w:val="22"/>
          </w:rPr>
          <w:t xml:space="preserve"> 2007</w:t>
        </w:r>
        <w:r w:rsidR="009A7AB4" w:rsidRPr="001F0E92">
          <w:rPr>
            <w:rFonts w:cs="Arial"/>
            <w:szCs w:val="22"/>
          </w:rPr>
          <w:fldChar w:fldCharType="end"/>
        </w:r>
      </w:hyperlink>
      <w:r w:rsidRPr="001F0E92">
        <w:rPr>
          <w:rFonts w:cs="Arial"/>
          <w:noProof/>
          <w:color w:val="000000"/>
          <w:szCs w:val="22"/>
        </w:rPr>
        <w:t>)</w:t>
      </w:r>
      <w:r w:rsidRPr="001F0E92">
        <w:rPr>
          <w:rFonts w:cs="Arial"/>
          <w:color w:val="000000"/>
          <w:szCs w:val="22"/>
        </w:rPr>
        <w:t xml:space="preserve">, </w:t>
      </w:r>
      <w:r w:rsidR="00824A7C" w:rsidRPr="001F0E92">
        <w:rPr>
          <w:rFonts w:cs="Arial"/>
          <w:color w:val="000000"/>
          <w:szCs w:val="22"/>
        </w:rPr>
        <w:t xml:space="preserve">and </w:t>
      </w:r>
      <w:r w:rsidRPr="001F0E92">
        <w:rPr>
          <w:rFonts w:cs="Arial"/>
          <w:color w:val="000000"/>
          <w:szCs w:val="22"/>
        </w:rPr>
        <w:t xml:space="preserve">their variability in production of reproductive structures </w:t>
      </w:r>
      <w:r w:rsidRPr="001F0E92">
        <w:rPr>
          <w:rFonts w:cs="Arial"/>
          <w:noProof/>
          <w:color w:val="000000"/>
          <w:szCs w:val="22"/>
        </w:rPr>
        <w:t xml:space="preserve">(e.g. </w:t>
      </w:r>
      <w:hyperlink w:anchor="_ENREF_123" w:tooltip="Orth, 2006 #7350" w:history="1">
        <w:r w:rsidR="009A7AB4" w:rsidRPr="001F0E92">
          <w:rPr>
            <w:rFonts w:cs="Arial"/>
            <w:szCs w:val="22"/>
          </w:rPr>
          <w:fldChar w:fldCharType="begin"/>
        </w:r>
        <w:r w:rsidR="009A7AB4" w:rsidRPr="001F0E92">
          <w:rPr>
            <w:rFonts w:cs="Arial"/>
            <w:szCs w:val="22"/>
          </w:rPr>
          <w:instrText xml:space="preserve"> ADDIN EN.CITE &lt;EndNote&gt;&lt;Cite&gt;&lt;Author&gt;Orth&lt;/Author&gt;&lt;Year&gt;2006&lt;/Year&gt;&lt;RecNum&gt;7350&lt;/RecNum&gt;&lt;DisplayText&gt;Orth&lt;style face="italic"&gt; et al.&lt;/style&gt; 2006&lt;/DisplayText&gt;&lt;record&gt;&lt;rec-number&gt;7350&lt;/rec-number&gt;&lt;foreign-keys&gt;&lt;key app="EN" db-id="0eve55x9y5vfd6e9dacxtew4eatve2dzds9a" timestamp="0"&gt;7350&lt;/key&gt;&lt;/foreign-keys&gt;&lt;ref-type name="Book Section"&gt;5&lt;/ref-type&gt;&lt;contributors&gt;&lt;authors&gt;&lt;author&gt;Orth, Robert J.&lt;/author&gt;&lt;author&gt;Harwell, Matthew C.&lt;/author&gt;&lt;author&gt;Inglis, Graeme J.&lt;/author&gt;&lt;/authors&gt;&lt;secondary-authors&gt;&lt;author&gt;Larkum, Anthony W. D.&lt;/author&gt;&lt;author&gt;Orth, Robert J.&lt;/author&gt;&lt;author&gt;Duarte, Carlos M.&lt;/author&gt;&lt;/secondary-authors&gt;&lt;/contributors&gt;&lt;titles&gt;&lt;title&gt;Ecology of seagrass seeds and dispersal strategies&lt;/title&gt;&lt;secondary-title&gt;Seagrasses: biology, ecology and conservation&lt;/secondary-title&gt;&lt;/titles&gt;&lt;periodical&gt;&lt;full-title&gt;Seagrasses: Biology, Ecology and Conservation&lt;/full-title&gt;&lt;/periodical&gt;&lt;pages&gt;113-133&lt;/pages&gt;&lt;section&gt;5&lt;/section&gt;&lt;dates&gt;&lt;year&gt;2006&lt;/year&gt;&lt;/dates&gt;&lt;pub-location&gt;Dordrecht&lt;/pub-location&gt;&lt;publisher&gt;Springer&lt;/publisher&gt;&lt;isbn&gt;10 1-4020-2942-X&lt;/isbn&gt;&lt;urls&gt;&lt;/urls&gt;&lt;/record&gt;&lt;/Cite&gt;&lt;/EndNote&gt;</w:instrText>
        </w:r>
        <w:r w:rsidR="009A7AB4" w:rsidRPr="001F0E92">
          <w:rPr>
            <w:rFonts w:cs="Arial"/>
            <w:szCs w:val="22"/>
          </w:rPr>
          <w:fldChar w:fldCharType="separate"/>
        </w:r>
        <w:r w:rsidR="009A7AB4" w:rsidRPr="001F0E92">
          <w:rPr>
            <w:rFonts w:cs="Arial"/>
            <w:noProof/>
            <w:szCs w:val="22"/>
          </w:rPr>
          <w:t>Orth</w:t>
        </w:r>
        <w:r w:rsidR="009A7AB4" w:rsidRPr="001F0E92">
          <w:rPr>
            <w:rFonts w:cs="Arial"/>
            <w:i/>
            <w:noProof/>
            <w:szCs w:val="22"/>
          </w:rPr>
          <w:t xml:space="preserve"> et al.</w:t>
        </w:r>
        <w:r w:rsidR="009A7AB4" w:rsidRPr="001F0E92">
          <w:rPr>
            <w:rFonts w:cs="Arial"/>
            <w:noProof/>
            <w:szCs w:val="22"/>
          </w:rPr>
          <w:t xml:space="preserve"> 2006</w:t>
        </w:r>
        <w:r w:rsidR="009A7AB4" w:rsidRPr="001F0E92">
          <w:rPr>
            <w:rFonts w:cs="Arial"/>
            <w:szCs w:val="22"/>
          </w:rPr>
          <w:fldChar w:fldCharType="end"/>
        </w:r>
      </w:hyperlink>
      <w:r w:rsidRPr="001F0E92">
        <w:rPr>
          <w:rFonts w:cs="Arial"/>
          <w:noProof/>
          <w:color w:val="000000"/>
          <w:szCs w:val="22"/>
        </w:rPr>
        <w:t>)</w:t>
      </w:r>
      <w:r w:rsidRPr="001F0E92">
        <w:rPr>
          <w:rFonts w:cs="Arial"/>
          <w:color w:val="000000"/>
          <w:szCs w:val="22"/>
        </w:rPr>
        <w:t xml:space="preserve">, a metric that incorporates all available information on the production of flowers and fruits per unit area </w:t>
      </w:r>
      <w:r w:rsidR="00824A7C" w:rsidRPr="001F0E92">
        <w:rPr>
          <w:rFonts w:cs="Arial"/>
          <w:color w:val="000000"/>
          <w:szCs w:val="22"/>
        </w:rPr>
        <w:t>is used</w:t>
      </w:r>
      <w:r w:rsidRPr="001F0E92">
        <w:rPr>
          <w:rFonts w:cs="Arial"/>
          <w:color w:val="000000"/>
          <w:szCs w:val="22"/>
        </w:rPr>
        <w:t xml:space="preserve">. </w:t>
      </w:r>
    </w:p>
    <w:p w14:paraId="500617B0" w14:textId="4D695EF5" w:rsidR="00842050" w:rsidRPr="001F0E92" w:rsidRDefault="00842050" w:rsidP="00842050">
      <w:pPr>
        <w:rPr>
          <w:rFonts w:cs="Arial"/>
          <w:color w:val="000000"/>
          <w:szCs w:val="22"/>
        </w:rPr>
      </w:pPr>
      <w:r w:rsidRPr="001F0E92">
        <w:rPr>
          <w:rFonts w:cs="Arial"/>
          <w:color w:val="000000"/>
          <w:szCs w:val="22"/>
        </w:rPr>
        <w:t xml:space="preserve">The production of seeds also reflects a simple measure of the capacity of a seagrass meadow to recover following large scale impacts </w:t>
      </w:r>
      <w:r w:rsidRPr="001F0E92">
        <w:rPr>
          <w:rFonts w:cs="Arial"/>
          <w:noProof/>
          <w:color w:val="000000"/>
          <w:szCs w:val="22"/>
        </w:rPr>
        <w:t>(</w:t>
      </w:r>
      <w:hyperlink w:anchor="_ENREF_32" w:tooltip="Collier, 2009 #9285" w:history="1">
        <w:r w:rsidR="009A7AB4" w:rsidRPr="001F0E92">
          <w:rPr>
            <w:rFonts w:cs="Arial"/>
            <w:szCs w:val="22"/>
          </w:rPr>
          <w:fldChar w:fldCharType="begin"/>
        </w:r>
        <w:r w:rsidR="009A7AB4" w:rsidRPr="001F0E92">
          <w:rPr>
            <w:rFonts w:cs="Arial"/>
            <w:szCs w:val="22"/>
          </w:rPr>
          <w:instrText xml:space="preserve"> ADDIN EN.CITE &lt;EndNote&gt;&lt;Cite&gt;&lt;Author&gt;Collier&lt;/Author&gt;&lt;Year&gt;2009&lt;/Year&gt;&lt;RecNum&gt;9285&lt;/RecNum&gt;&lt;DisplayText&gt;Collier and Waycott 2009&lt;/DisplayText&gt;&lt;record&gt;&lt;rec-number&gt;9285&lt;/rec-number&gt;&lt;foreign-keys&gt;&lt;key app="EN" db-id="0eve55x9y5vfd6e9dacxtew4eatve2dzds9a" timestamp="1375005081"&gt;9285&lt;/key&gt;&lt;/foreign-keys&gt;&lt;ref-type name="Report"&gt;27&lt;/ref-type&gt;&lt;contributors&gt;&lt;authors&gt;&lt;author&gt;Collier, C.&lt;/author&gt;&lt;author&gt;Waycott, M&lt;/author&gt;&lt;/authors&gt;&lt;/contributors&gt;&lt;titles&gt;&lt;title&gt;Drivers of change to seagrass distributions and communities on the Great Barrier Reef: Literature review and gaps analysis&lt;/title&gt;&lt;secondary-title&gt;Report to the Marine and Tropical Sciences Research Facility&lt;/secondary-title&gt;&lt;/titles&gt;&lt;dates&gt;&lt;year&gt;2009&lt;/year&gt;&lt;/dates&gt;&lt;pub-location&gt;Cairns&lt;/pub-location&gt;&lt;publisher&gt;Reef and Rainforest Research Centre Limited&lt;/publisher&gt;&lt;urls&gt;&lt;/urls&gt;&lt;/record&gt;&lt;/Cite&gt;&lt;/EndNote&gt;</w:instrText>
        </w:r>
        <w:r w:rsidR="009A7AB4" w:rsidRPr="001F0E92">
          <w:rPr>
            <w:rFonts w:cs="Arial"/>
            <w:szCs w:val="22"/>
          </w:rPr>
          <w:fldChar w:fldCharType="separate"/>
        </w:r>
        <w:r w:rsidR="009A7AB4" w:rsidRPr="001F0E92">
          <w:rPr>
            <w:rFonts w:cs="Arial"/>
            <w:noProof/>
            <w:szCs w:val="22"/>
          </w:rPr>
          <w:t>Collier and Waycott 2009</w:t>
        </w:r>
        <w:r w:rsidR="009A7AB4" w:rsidRPr="001F0E92">
          <w:rPr>
            <w:rFonts w:cs="Arial"/>
            <w:szCs w:val="22"/>
          </w:rPr>
          <w:fldChar w:fldCharType="end"/>
        </w:r>
      </w:hyperlink>
      <w:r w:rsidRPr="001F0E92">
        <w:rPr>
          <w:rFonts w:cs="Arial"/>
          <w:noProof/>
          <w:color w:val="000000"/>
          <w:szCs w:val="22"/>
        </w:rPr>
        <w:t>)</w:t>
      </w:r>
      <w:r w:rsidRPr="001F0E92">
        <w:rPr>
          <w:rFonts w:cs="Arial"/>
          <w:color w:val="000000"/>
          <w:szCs w:val="22"/>
        </w:rPr>
        <w:t xml:space="preserve">. As it is well recognized that coastal seagrasses are prone to small scale disturbances that cause local losses </w:t>
      </w:r>
      <w:r w:rsidRPr="001F0E92">
        <w:rPr>
          <w:rFonts w:cs="Arial"/>
          <w:noProof/>
          <w:color w:val="000000"/>
          <w:szCs w:val="22"/>
        </w:rPr>
        <w:t>(</w:t>
      </w:r>
      <w:hyperlink w:anchor="_ENREF_32" w:tooltip="Collier, 2009 #9285" w:history="1">
        <w:r w:rsidR="009A7AB4" w:rsidRPr="001F0E92">
          <w:rPr>
            <w:rFonts w:cs="Arial"/>
            <w:szCs w:val="22"/>
          </w:rPr>
          <w:fldChar w:fldCharType="begin"/>
        </w:r>
        <w:r w:rsidR="009A7AB4" w:rsidRPr="001F0E92">
          <w:rPr>
            <w:rFonts w:cs="Arial"/>
            <w:szCs w:val="22"/>
          </w:rPr>
          <w:instrText xml:space="preserve"> ADDIN EN.CITE &lt;EndNote&gt;&lt;Cite&gt;&lt;Author&gt;Collier&lt;/Author&gt;&lt;Year&gt;2009&lt;/Year&gt;&lt;RecNum&gt;9285&lt;/RecNum&gt;&lt;DisplayText&gt;Collier and Waycott 2009&lt;/DisplayText&gt;&lt;record&gt;&lt;rec-number&gt;9285&lt;/rec-number&gt;&lt;foreign-keys&gt;&lt;key app="EN" db-id="0eve55x9y5vfd6e9dacxtew4eatve2dzds9a" timestamp="1375005081"&gt;9285&lt;/key&gt;&lt;/foreign-keys&gt;&lt;ref-type name="Report"&gt;27&lt;/ref-type&gt;&lt;contributors&gt;&lt;authors&gt;&lt;author&gt;Collier, C.&lt;/author&gt;&lt;author&gt;Waycott, M&lt;/author&gt;&lt;/authors&gt;&lt;/contributors&gt;&lt;titles&gt;&lt;title&gt;Drivers of change to seagrass distributions and communities on the Great Barrier Reef: Literature review and gaps analysis&lt;/title&gt;&lt;secondary-title&gt;Report to the Marine and Tropical Sciences Research Facility&lt;/secondary-title&gt;&lt;/titles&gt;&lt;dates&gt;&lt;year&gt;2009&lt;/year&gt;&lt;/dates&gt;&lt;pub-location&gt;Cairns&lt;/pub-location&gt;&lt;publisher&gt;Reef and Rainforest Research Centre Limited&lt;/publisher&gt;&lt;urls&gt;&lt;/urls&gt;&lt;/record&gt;&lt;/Cite&gt;&lt;/EndNote&gt;</w:instrText>
        </w:r>
        <w:r w:rsidR="009A7AB4" w:rsidRPr="001F0E92">
          <w:rPr>
            <w:rFonts w:cs="Arial"/>
            <w:szCs w:val="22"/>
          </w:rPr>
          <w:fldChar w:fldCharType="separate"/>
        </w:r>
        <w:r w:rsidR="009A7AB4" w:rsidRPr="001F0E92">
          <w:rPr>
            <w:rFonts w:cs="Arial"/>
            <w:noProof/>
            <w:szCs w:val="22"/>
          </w:rPr>
          <w:t>Collier and Waycott 2009</w:t>
        </w:r>
        <w:r w:rsidR="009A7AB4" w:rsidRPr="001F0E92">
          <w:rPr>
            <w:rFonts w:cs="Arial"/>
            <w:szCs w:val="22"/>
          </w:rPr>
          <w:fldChar w:fldCharType="end"/>
        </w:r>
      </w:hyperlink>
      <w:r w:rsidRPr="001F0E92">
        <w:rPr>
          <w:rFonts w:cs="Arial"/>
          <w:noProof/>
          <w:color w:val="000000"/>
          <w:szCs w:val="22"/>
        </w:rPr>
        <w:t>)</w:t>
      </w:r>
      <w:r w:rsidRPr="001F0E92">
        <w:rPr>
          <w:rFonts w:cs="Arial"/>
          <w:color w:val="000000"/>
          <w:szCs w:val="22"/>
        </w:rPr>
        <w:t xml:space="preserve"> and then recover in relatively short periods of time, the need for a local seed source is considerable. In the </w:t>
      </w:r>
      <w:r w:rsidR="003158FC" w:rsidRPr="001F0E92">
        <w:rPr>
          <w:rFonts w:cs="Arial"/>
          <w:color w:val="000000"/>
          <w:szCs w:val="22"/>
        </w:rPr>
        <w:t>Reef</w:t>
      </w:r>
      <w:r w:rsidRPr="001F0E92">
        <w:rPr>
          <w:rFonts w:cs="Arial"/>
          <w:color w:val="000000"/>
          <w:szCs w:val="22"/>
        </w:rPr>
        <w:t>, the production of seeds comes in numerous forms and seed banks examined at MMP sites are limited to foundational seagrass species (seeds &gt;0.5mm diameter). At this time, seed banks have not been included in the metric for reproductive effort, but methods for future incorporation are being explored.</w:t>
      </w:r>
    </w:p>
    <w:p w14:paraId="14C78D23" w14:textId="45AD84C9" w:rsidR="00842050" w:rsidRPr="001F0E92" w:rsidRDefault="00842050" w:rsidP="00842050">
      <w:pPr>
        <w:rPr>
          <w:rFonts w:cs="Arial"/>
          <w:color w:val="000000"/>
          <w:szCs w:val="22"/>
        </w:rPr>
      </w:pPr>
      <w:r w:rsidRPr="001F0E92">
        <w:rPr>
          <w:rFonts w:cs="Arial"/>
          <w:color w:val="000000"/>
          <w:szCs w:val="22"/>
        </w:rPr>
        <w:t>Using the annual mean of all species pooled in the late dry and comparing with the long-term (2005</w:t>
      </w:r>
      <w:r w:rsidR="0043389D" w:rsidRPr="001F0E92">
        <w:rPr>
          <w:rFonts w:cs="Arial"/>
          <w:color w:val="000000"/>
          <w:szCs w:val="22"/>
        </w:rPr>
        <w:t>–</w:t>
      </w:r>
      <w:r w:rsidRPr="001F0E92">
        <w:rPr>
          <w:rFonts w:cs="Arial"/>
          <w:color w:val="000000"/>
          <w:szCs w:val="22"/>
        </w:rPr>
        <w:t xml:space="preserve">2010) average for </w:t>
      </w:r>
      <w:r w:rsidR="003158FC" w:rsidRPr="001F0E92">
        <w:rPr>
          <w:rFonts w:cs="Arial"/>
          <w:color w:val="000000"/>
          <w:szCs w:val="22"/>
        </w:rPr>
        <w:t>Reef</w:t>
      </w:r>
      <w:r w:rsidRPr="001F0E92">
        <w:rPr>
          <w:rFonts w:cs="Arial"/>
          <w:color w:val="000000"/>
          <w:szCs w:val="22"/>
        </w:rPr>
        <w:t xml:space="preserve"> habitat (coastal intertidal = 8.22±0.71, estuarine intertidal = 5.07±0.41, reef intertidal = 1.32±0.14), the reproductive effort </w:t>
      </w:r>
      <w:r w:rsidR="00824A7C" w:rsidRPr="001F0E92">
        <w:rPr>
          <w:rFonts w:cs="Arial"/>
          <w:color w:val="000000"/>
          <w:szCs w:val="22"/>
        </w:rPr>
        <w:t>is</w:t>
      </w:r>
      <w:r w:rsidRPr="001F0E92">
        <w:rPr>
          <w:rFonts w:cs="Arial"/>
          <w:color w:val="000000"/>
          <w:szCs w:val="22"/>
        </w:rPr>
        <w:t xml:space="preserve"> scored as the number of reproductive structures per core and the overall status determined as the ratio of the average number observed divided by the long term average.</w:t>
      </w:r>
    </w:p>
    <w:p w14:paraId="6CA9B74E" w14:textId="74E78DC5" w:rsidR="00034B88" w:rsidRPr="001F0E92" w:rsidRDefault="001A2360" w:rsidP="001A2360">
      <w:pPr>
        <w:pStyle w:val="Heading2"/>
        <w:numPr>
          <w:ilvl w:val="0"/>
          <w:numId w:val="0"/>
        </w:numPr>
      </w:pPr>
      <w:bookmarkStart w:id="884" w:name="_Toc37775137"/>
      <w:bookmarkStart w:id="885" w:name="_Toc43987120"/>
      <w:bookmarkStart w:id="886" w:name="_Toc431493752"/>
      <w:r>
        <w:t>A2.3</w:t>
      </w:r>
      <w:r>
        <w:tab/>
      </w:r>
      <w:r w:rsidR="00034B88" w:rsidRPr="001F0E92">
        <w:t>Seagrass nutrient status.</w:t>
      </w:r>
      <w:bookmarkEnd w:id="884"/>
      <w:bookmarkEnd w:id="885"/>
    </w:p>
    <w:bookmarkEnd w:id="886"/>
    <w:p w14:paraId="7167F589" w14:textId="2A8C1282" w:rsidR="00842050" w:rsidRPr="001F0E92" w:rsidRDefault="00842050" w:rsidP="00842050">
      <w:pPr>
        <w:rPr>
          <w:rFonts w:cs="Arial"/>
          <w:color w:val="000000"/>
          <w:szCs w:val="22"/>
        </w:rPr>
      </w:pPr>
      <w:r w:rsidRPr="001F0E92">
        <w:rPr>
          <w:rFonts w:cs="Arial"/>
          <w:color w:val="000000"/>
          <w:szCs w:val="22"/>
        </w:rPr>
        <w:t>The molar ratios of seagrass tissue carbon relative to nitrogen (C:N) were chosen as the indicator for seagrass nutrient status</w:t>
      </w:r>
      <w:r w:rsidR="00824A7C" w:rsidRPr="001F0E92">
        <w:rPr>
          <w:rFonts w:cs="Arial"/>
          <w:color w:val="000000"/>
          <w:szCs w:val="22"/>
        </w:rPr>
        <w:t>,</w:t>
      </w:r>
      <w:r w:rsidRPr="001F0E92">
        <w:rPr>
          <w:rFonts w:cs="Arial"/>
          <w:color w:val="000000"/>
          <w:szCs w:val="22"/>
        </w:rPr>
        <w:t xml:space="preserve"> as an atomic C:N ratio of </w:t>
      </w:r>
      <w:r w:rsidR="00824A7C" w:rsidRPr="001F0E92">
        <w:rPr>
          <w:rFonts w:cs="Arial"/>
          <w:color w:val="000000"/>
          <w:szCs w:val="22"/>
        </w:rPr>
        <w:t>&lt;</w:t>
      </w:r>
      <w:r w:rsidRPr="001F0E92">
        <w:rPr>
          <w:rFonts w:cs="Arial"/>
          <w:color w:val="000000"/>
          <w:szCs w:val="22"/>
        </w:rPr>
        <w:t xml:space="preserve">20 may suggest either reduced light availability or nitrogen enrichment. Both of these deviations may indicate reduced water quality. </w:t>
      </w:r>
    </w:p>
    <w:p w14:paraId="3C437EDB" w14:textId="652E3E9E" w:rsidR="00842050" w:rsidRPr="001F0E92" w:rsidRDefault="00842050" w:rsidP="00842050">
      <w:pPr>
        <w:rPr>
          <w:rFonts w:cs="Arial"/>
          <w:szCs w:val="22"/>
        </w:rPr>
      </w:pPr>
      <w:r w:rsidRPr="001F0E92">
        <w:rPr>
          <w:rFonts w:cs="Arial"/>
          <w:szCs w:val="22"/>
        </w:rPr>
        <w:t>As changing leaf C:N ratios have been found in a number of experiments and field surveys to be related to available nutrient and light levels (</w:t>
      </w:r>
      <w:r w:rsidR="00644A84" w:rsidRPr="001F0E92">
        <w:rPr>
          <w:rFonts w:cs="Arial"/>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eWxlPiAxOTk2OyBDYWJhw6dvIGFuZCBTYW50b3MgMjAwNzsgQ29sbGllcjxzdHlsZSBmYWNlPSJp
dGFsaWMiPiBldCBhbC48L3N0eWxlPiAyMDA5PC9EaXNwbGF5VGV4dD48cmVjb3JkPjxyZWMtbnVt
YmVyPjc0MDU8L3JlYy1udW1iZXI+PGZvcmVpZ24ta2V5cz48a2V5IGFwcD0iRU4iIGRiLWlkPSIw
ZXZlNTV4OXk1dmZkNmU5ZGFjeHRldzRlYXR2ZTJkemRzOWEiIHRpbWVzdGFtcD0iMCI+NzQwNTwv
a2V5PjwvZm9yZWlnbi1rZXlzPjxyZWYtdHlwZSBuYW1lPSJKb3VybmFsIEFydGljbGUiPjE3PC9y
ZWYtdHlwZT48Y29udHJpYnV0b3JzPjxhdXRob3JzPjxhdXRob3I+QWJhbCwgRS5HLjwvYXV0aG9y
PjxhdXRob3I+TG9uZXJhZ2FuLCBOLlIuPC9hdXRob3I+PGF1dGhvcj5Cb3dlbiwgUC48L2F1dGhv
cj48YXV0aG9yPlBlcnJ5LCBDLkouPC9hdXRob3I+PGF1dGhvcj5VZHksIEouVy48L2F1dGhvcj48
YXV0aG9yPkRlbm5pc29uLCBXLkMuPC9hdXRob3I+PC9hdXRob3JzPjwvY29udHJpYnV0b3JzPjx0
aXRsZXM+PHRpdGxlPjxzdHlsZSBmYWNlPSJub3JtYWwiIGZvbnQ9ImRlZmF1bHQiIHNpemU9IjEw
MCUiPlBoeXNpb2xvZ2ljYWwgYW5kIG1vcnBob2xvZ2ljYWwgcmVzcG9uc2VzIG9mIHRoZSBzZWFn
cmFzcyA8L3N0eWxlPjxzdHlsZSBmYWNlPSJpdGFsaWMiIGZvbnQ9ImRlZmF1bHQiIHNpemU9IjEw
MCUiPlpvc3RlcmEgY2Fwcmljb3JuaTwvc3R5bGU+PHN0eWxlIGZhY2U9Im5vcm1hbCIgZm9udD0i
ZGVmYXVsdCIgc2l6ZT0iMTAwJSI+IEFzY2hlcnMuIHRvIGxpZ2h0IGludGVuc2l0eTwvc3R5bGU+
PC90aXRsZT48c2Vjb25kYXJ5LXRpdGxlPkpvdXJuYWwgb2YgRXhwZXJpbWVudGFsIE1hcmluZSBC
aW9sb2d5IGFuZCBFY29sb2d5PC9zZWNvbmRhcnktdGl0bGU+PC90aXRsZXM+PHBlcmlvZGljYWw+
PGZ1bGwtdGl0bGU+Sm91cm5hbCBvZiBFeHBlcmltZW50YWwgTWFyaW5lIEJpb2xvZ3kgYW5kIEVj
b2xvZ3k8L2Z1bGwtdGl0bGU+PC9wZXJpb2RpY2FsPjxwYWdlcz4xMTMtMTI5PC9wYWdlcz48dm9s
dW1lPjE3ODwvdm9sdW1lPjxudW1iZXI+MTwvbnVtYmVyPjxkYXRlcz48eWVhcj4xOTk0PC95ZWFy
PjwvZGF0ZXM+PHVybHM+PC91cmxzPjwvcmVjb3JkPjwvQ2l0ZT48Q2l0ZT48QXV0aG9yPkdyaWNl
PC9BdXRob3I+PFllYXI+MTk5NjwvWWVhcj48UmVjTnVtPjEzNDY8L1JlY051bT48cmVjb3JkPjxy
ZWMtbnVtYmVyPjEzNDY8L3JlYy1udW1iZXI+PGZvcmVpZ24ta2V5cz48a2V5IGFwcD0iRU4iIGRi
LWlkPSIwZXZlNTV4OXk1dmZkNmU5ZGFjeHRldzRlYXR2ZTJkemRzOWEiIHRpbWVzdGFtcD0iMCI+
MTM0Njwva2V5PjwvZm9yZWlnbi1rZXlzPjxyZWYtdHlwZSBuYW1lPSJKb3VybmFsIEFydGljbGUi
PjE3PC9yZWYtdHlwZT48Y29udHJpYnV0b3JzPjxhdXRob3JzPjxhdXRob3I+R3JpY2UsIEFNPC9h
dXRob3I+PGF1dGhvcj5Mb25lcmFnYW4sIE5SPC9hdXRob3I+PGF1dGhvcj5EZW5uaXNvbiwgV0M8
L2F1dGhvcj48L2F1dGhvcnM+PC9jb250cmlidXRvcnM+PHRpdGxlcz48dGl0bGU+TGlnaHQgaW50
ZW5zaXR5IGFuZCB0aGUgaW50ZXJhY3Rpb25zIGJldHdlZW4gcGh5c2lvbG9neSwgbW9ycGhvbG9n
eSBhbmQgc3RhYmxlIGlzb3RvcGUgcmF0aW9zIGluIGZpdmUgc3BlY2llcyBvZiBzZWFncmFzczwv
dGl0bGU+PHNlY29uZGFyeS10aXRsZT5Kb3VybmFsIG9mIEV4cGVyaW1lbnRhbCBNYXJpbmUgQmlv
bG9neSBhbmQgRWNvbG9neTwvc2Vjb25kYXJ5LXRpdGxlPjxhbHQtdGl0bGU+Si4gRXhwLiBNYXIu
IEJpb2wuIEVjb2wuPC9hbHQtdGl0bGU+PC90aXRsZXM+PHBlcmlvZGljYWw+PGZ1bGwtdGl0bGU+
Sm91cm5hbCBvZiBFeHBlcmltZW50YWwgTWFyaW5lIEJpb2xvZ3kgYW5kIEVjb2xvZ3k8L2Z1bGwt
dGl0bGU+PC9wZXJpb2RpY2FsPjxwYWdlcz45MS0xMTA8L3BhZ2VzPjx2b2x1bWU+MTk1PC92b2x1
bWU+PGtleXdvcmRzPjxrZXl3b3JkPkNhcmJvbiwgTGlnaHQsIE5pdHJvZ2VuLCBTZWFncmFzcywg
U3RhYmxlIGlzb3RvcGUgcmF0aW88L2tleXdvcmQ+PC9rZXl3b3Jkcz48ZGF0ZXM+PHllYXI+MTk5
NjwveWVhcj48L2RhdGVzPjx1cmxzPjwvdXJscz48Y3VzdG9tMT5MZW4gTWNLZW56aWUgQ29sbGVj
dGlvbjwvY3VzdG9tMT48L3JlY29yZD48L0NpdGU+PENpdGU+PEF1dGhvcj5DYWJhw6dvPC9BdXRo
b3I+PFllYXI+MjAwNzwvWWVhcj48UmVjTnVtPjk0ODk8L1JlY051bT48cmVjb3JkPjxyZWMtbnVt
YmVyPjk0ODk8L3JlYy1udW1iZXI+PGZvcmVpZ24ta2V5cz48a2V5IGFwcD0iRU4iIGRiLWlkPSIw
ZXZlNTV4OXk1dmZkNmU5ZGFjeHRldzRlYXR2ZTJkemRzOWEiIHRpbWVzdGFtcD0iMTM3NTg0MjMw
NSI+OTQ4OTwva2V5PjwvZm9yZWlnbi1rZXlzPjxyZWYtdHlwZSBuYW1lPSJKb3VybmFsIEFydGlj
bGUiPjE3PC9yZWYtdHlwZT48Y29udHJpYnV0b3JzPjxhdXRob3JzPjxhdXRob3I+Q2FiYcOnbywg
UzwvYXV0aG9yPjxhdXRob3I+U2FudG9zLCBSPC9hdXRob3I+PC9hdXRob3JzPjwvY29udHJpYnV0
b3JzPjx0aXRsZXM+PHRpdGxlPkVmZmVjdHMgb2YgYnVyaWFsIGFuZCBlcm9zaW9uIG9uIHRoZSBz
ZWFncmFzcyBab3N0ZXJhIG5vbHRpaTwvdGl0bGU+PHNlY29uZGFyeS10aXRsZT5Kb3VybmFsIG9m
IEV4cGVyaW1lbnRhbCBNYXJpbmUgQmlvbG9neSBhbmQgRWNvbG9neTwvc2Vjb25kYXJ5LXRpdGxl
PjwvdGl0bGVzPjxwZXJpb2RpY2FsPjxmdWxsLXRpdGxlPkpvdXJuYWwgb2YgRXhwZXJpbWVudGFs
IE1hcmluZSBCaW9sb2d5IGFuZCBFY29sb2d5PC9mdWxsLXRpdGxlPjwvcGVyaW9kaWNhbD48cGFn
ZXM+MjA0LTIxMjwvcGFnZXM+PHZvbHVtZT4zNDA8L3ZvbHVtZT48ZGF0ZXM+PHllYXI+MjAwNzwv
eWVhcj48L2RhdGVzPjx1cmxzPjwvdXJscz48L3JlY29yZD48L0NpdGU+PENpdGU+PEF1dGhvcj5D
b2xsaWVyPC9BdXRob3I+PFllYXI+MjAwOTwvWWVhcj48UmVjTnVtPjk0OTA8L1JlY051bT48cmVj
b3JkPjxyZWMtbnVtYmVyPjk0OTA8L3JlYy1udW1iZXI+PGZvcmVpZ24ta2V5cz48a2V5IGFwcD0i
RU4iIGRiLWlkPSIwZXZlNTV4OXk1dmZkNmU5ZGFjeHRldzRlYXR2ZTJkemRzOWEiIHRpbWVzdGFt
cD0iMTM3NTg0MjU5NCI+OTQ5MDwva2V5PjwvZm9yZWlnbi1rZXlzPjxyZWYtdHlwZSBuYW1lPSJK
b3VybmFsIEFydGljbGUiPjE3PC9yZWYtdHlwZT48Y29udHJpYnV0b3JzPjxhdXRob3JzPjxhdXRo
b3I+Q29sbGllciwgQ2F0aGVyaW5lIEouPC9hdXRob3I+PGF1dGhvcj5MYXZlcnksIFBhdWwgUy48
L2F1dGhvcj48YXV0aG9yPlJhbHBoLCBQZXRlciBKLjwvYXV0aG9yPjxhdXRob3I+TWFzaW5pLCBS
YXltb25kIEouPC9hdXRob3I+PC9hdXRob3JzPjwvY29udHJpYnV0b3JzPjx0aXRsZXM+PHRpdGxl
PjxzdHlsZSBmYWNlPSJub3JtYWwiIGZvbnQ9ImRlZmF1bHQiIHNpemU9IjEwMCUiPlNoYWRlLWlu
ZHVjZWQgcmVzcG9uc2UgYW5kIHJlY292ZXJ5IG9mIHRoZSBzZWFncmFzcyA8L3N0eWxlPjxzdHls
ZSBmYWNlPSJpdGFsaWMiIGZvbnQ9ImRlZmF1bHQiIHNpemU9IjEwMCUiPlBvc2lkb25pYSBzaW51
b3NhPC9zdHlsZT48L3RpdGxlPjxzZWNvbmRhcnktdGl0bGU+Sm91cm5hbCBvZiBFeHBlcmltZW50
YWwgTWFyaW5lIEJpb2xvZ3kgYW5kIEVjb2xvZ3k8L3NlY29uZGFyeS10aXRsZT48L3RpdGxlcz48
cGVyaW9kaWNhbD48ZnVsbC10aXRsZT5Kb3VybmFsIG9mIEV4cGVyaW1lbnRhbCBNYXJpbmUgQmlv
bG9neSBhbmQgRWNvbG9neTwvZnVsbC10aXRsZT48L3BlcmlvZGljYWw+PHBhZ2VzPjg5LTEwMzwv
cGFnZXM+PHZvbHVtZT4zNzA8L3ZvbHVtZT48bnVtYmVyPjHigJMyPC9udW1iZXI+PGtleXdvcmRz
PjxrZXl3b3JkPkRlcHRoPC9rZXl3b3JkPjxrZXl3b3JkPk1vbml0b3Jpbmc8L2tleXdvcmQ+PGtl
eXdvcmQ+UmVjb3Zlcnk8L2tleXdvcmQ+PGtleXdvcmQ+U2VsZi1zaGFkaW5nPC9rZXl3b3JkPjxr
ZXl3b3JkPlNoYWRpbmc8L2tleXdvcmQ+PGtleXdvcmQ+V2VzdGVybiBBdXN0cmFsaWE8L2tleXdv
cmQ+PC9rZXl3b3Jkcz48ZGF0ZXM+PHllYXI+MjAwOTwveWVhcj48L2RhdGVzPjxpc2JuPjAwMjIt
MDk4MTwvaXNibj48dXJscz48cmVsYXRlZC11cmxzPjx1cmw+aHR0cDovL3d3dy5zY2llbmNlZGly
ZWN0LmNvbS9zY2llbmNlL2FydGljbGUvcGlpL1MwMDIyMDk4MTA4MDA1OTM1PC91cmw+PC9yZWxh
dGVkLXVybHM+PC91cmxzPjxlbGVjdHJvbmljLXJlc291cmNlLW51bT5odHRwOi8vZHguZG9pLm9y
Zy8xMC4xMDE2L2ouamVtYmUuMjAwOC4xMi4wMDM8L2VsZWN0cm9uaWMtcmVzb3VyY2UtbnVtPjwv
cmVjb3JkPjwvQ2l0ZT48L0VuZE5vdGU+
</w:fldData>
        </w:fldChar>
      </w:r>
      <w:r w:rsidR="004A409C">
        <w:rPr>
          <w:rFonts w:cs="Arial"/>
          <w:szCs w:val="22"/>
        </w:rPr>
        <w:instrText xml:space="preserve"> ADDIN EN.CITE </w:instrText>
      </w:r>
      <w:r w:rsidR="004A409C">
        <w:rPr>
          <w:rFonts w:cs="Arial"/>
          <w:szCs w:val="22"/>
        </w:rPr>
        <w:fldChar w:fldCharType="begin">
          <w:fldData xml:space="preserve">PEVuZE5vdGU+PENpdGU+PEF1dGhvcj5BYmFsPC9BdXRob3I+PFllYXI+MTk5NDwvWWVhcj48UmVj
TnVtPjc0MDU8L1JlY051bT48RGlzcGxheVRleHQ+QWJhbDxzdHlsZSBmYWNlPSJpdGFsaWMiPiBl
dCBhbC48L3N0eWxlPiAxOTk0OyBHcmljZTxzdHlsZSBmYWNlPSJpdGFsaWMiPiBldCBhbC48L3N0
eWxlPiAxOTk2OyBDYWJhw6dvIGFuZCBTYW50b3MgMjAwNzsgQ29sbGllcjxzdHlsZSBmYWNlPSJp
dGFsaWMiPiBldCBhbC48L3N0eWxlPiAyMDA5PC9EaXNwbGF5VGV4dD48cmVjb3JkPjxyZWMtbnVt
YmVyPjc0MDU8L3JlYy1udW1iZXI+PGZvcmVpZ24ta2V5cz48a2V5IGFwcD0iRU4iIGRiLWlkPSIw
ZXZlNTV4OXk1dmZkNmU5ZGFjeHRldzRlYXR2ZTJkemRzOWEiIHRpbWVzdGFtcD0iMCI+NzQwNTwv
a2V5PjwvZm9yZWlnbi1rZXlzPjxyZWYtdHlwZSBuYW1lPSJKb3VybmFsIEFydGljbGUiPjE3PC9y
ZWYtdHlwZT48Y29udHJpYnV0b3JzPjxhdXRob3JzPjxhdXRob3I+QWJhbCwgRS5HLjwvYXV0aG9y
PjxhdXRob3I+TG9uZXJhZ2FuLCBOLlIuPC9hdXRob3I+PGF1dGhvcj5Cb3dlbiwgUC48L2F1dGhv
cj48YXV0aG9yPlBlcnJ5LCBDLkouPC9hdXRob3I+PGF1dGhvcj5VZHksIEouVy48L2F1dGhvcj48
YXV0aG9yPkRlbm5pc29uLCBXLkMuPC9hdXRob3I+PC9hdXRob3JzPjwvY29udHJpYnV0b3JzPjx0
aXRsZXM+PHRpdGxlPjxzdHlsZSBmYWNlPSJub3JtYWwiIGZvbnQ9ImRlZmF1bHQiIHNpemU9IjEw
MCUiPlBoeXNpb2xvZ2ljYWwgYW5kIG1vcnBob2xvZ2ljYWwgcmVzcG9uc2VzIG9mIHRoZSBzZWFn
cmFzcyA8L3N0eWxlPjxzdHlsZSBmYWNlPSJpdGFsaWMiIGZvbnQ9ImRlZmF1bHQiIHNpemU9IjEw
MCUiPlpvc3RlcmEgY2Fwcmljb3JuaTwvc3R5bGU+PHN0eWxlIGZhY2U9Im5vcm1hbCIgZm9udD0i
ZGVmYXVsdCIgc2l6ZT0iMTAwJSI+IEFzY2hlcnMuIHRvIGxpZ2h0IGludGVuc2l0eTwvc3R5bGU+
PC90aXRsZT48c2Vjb25kYXJ5LXRpdGxlPkpvdXJuYWwgb2YgRXhwZXJpbWVudGFsIE1hcmluZSBC
aW9sb2d5IGFuZCBFY29sb2d5PC9zZWNvbmRhcnktdGl0bGU+PC90aXRsZXM+PHBlcmlvZGljYWw+
PGZ1bGwtdGl0bGU+Sm91cm5hbCBvZiBFeHBlcmltZW50YWwgTWFyaW5lIEJpb2xvZ3kgYW5kIEVj
b2xvZ3k8L2Z1bGwtdGl0bGU+PC9wZXJpb2RpY2FsPjxwYWdlcz4xMTMtMTI5PC9wYWdlcz48dm9s
dW1lPjE3ODwvdm9sdW1lPjxudW1iZXI+MTwvbnVtYmVyPjxkYXRlcz48eWVhcj4xOTk0PC95ZWFy
PjwvZGF0ZXM+PHVybHM+PC91cmxzPjwvcmVjb3JkPjwvQ2l0ZT48Q2l0ZT48QXV0aG9yPkdyaWNl
PC9BdXRob3I+PFllYXI+MTk5NjwvWWVhcj48UmVjTnVtPjEzNDY8L1JlY051bT48cmVjb3JkPjxy
ZWMtbnVtYmVyPjEzNDY8L3JlYy1udW1iZXI+PGZvcmVpZ24ta2V5cz48a2V5IGFwcD0iRU4iIGRi
LWlkPSIwZXZlNTV4OXk1dmZkNmU5ZGFjeHRldzRlYXR2ZTJkemRzOWEiIHRpbWVzdGFtcD0iMCI+
MTM0Njwva2V5PjwvZm9yZWlnbi1rZXlzPjxyZWYtdHlwZSBuYW1lPSJKb3VybmFsIEFydGljbGUi
PjE3PC9yZWYtdHlwZT48Y29udHJpYnV0b3JzPjxhdXRob3JzPjxhdXRob3I+R3JpY2UsIEFNPC9h
dXRob3I+PGF1dGhvcj5Mb25lcmFnYW4sIE5SPC9hdXRob3I+PGF1dGhvcj5EZW5uaXNvbiwgV0M8
L2F1dGhvcj48L2F1dGhvcnM+PC9jb250cmlidXRvcnM+PHRpdGxlcz48dGl0bGU+TGlnaHQgaW50
ZW5zaXR5IGFuZCB0aGUgaW50ZXJhY3Rpb25zIGJldHdlZW4gcGh5c2lvbG9neSwgbW9ycGhvbG9n
eSBhbmQgc3RhYmxlIGlzb3RvcGUgcmF0aW9zIGluIGZpdmUgc3BlY2llcyBvZiBzZWFncmFzczwv
dGl0bGU+PHNlY29uZGFyeS10aXRsZT5Kb3VybmFsIG9mIEV4cGVyaW1lbnRhbCBNYXJpbmUgQmlv
bG9neSBhbmQgRWNvbG9neTwvc2Vjb25kYXJ5LXRpdGxlPjxhbHQtdGl0bGU+Si4gRXhwLiBNYXIu
IEJpb2wuIEVjb2wuPC9hbHQtdGl0bGU+PC90aXRsZXM+PHBlcmlvZGljYWw+PGZ1bGwtdGl0bGU+
Sm91cm5hbCBvZiBFeHBlcmltZW50YWwgTWFyaW5lIEJpb2xvZ3kgYW5kIEVjb2xvZ3k8L2Z1bGwt
dGl0bGU+PC9wZXJpb2RpY2FsPjxwYWdlcz45MS0xMTA8L3BhZ2VzPjx2b2x1bWU+MTk1PC92b2x1
bWU+PGtleXdvcmRzPjxrZXl3b3JkPkNhcmJvbiwgTGlnaHQsIE5pdHJvZ2VuLCBTZWFncmFzcywg
U3RhYmxlIGlzb3RvcGUgcmF0aW88L2tleXdvcmQ+PC9rZXl3b3Jkcz48ZGF0ZXM+PHllYXI+MTk5
NjwveWVhcj48L2RhdGVzPjx1cmxzPjwvdXJscz48Y3VzdG9tMT5MZW4gTWNLZW56aWUgQ29sbGVj
dGlvbjwvY3VzdG9tMT48L3JlY29yZD48L0NpdGU+PENpdGU+PEF1dGhvcj5DYWJhw6dvPC9BdXRo
b3I+PFllYXI+MjAwNzwvWWVhcj48UmVjTnVtPjk0ODk8L1JlY051bT48cmVjb3JkPjxyZWMtbnVt
YmVyPjk0ODk8L3JlYy1udW1iZXI+PGZvcmVpZ24ta2V5cz48a2V5IGFwcD0iRU4iIGRiLWlkPSIw
ZXZlNTV4OXk1dmZkNmU5ZGFjeHRldzRlYXR2ZTJkemRzOWEiIHRpbWVzdGFtcD0iMTM3NTg0MjMw
NSI+OTQ4OTwva2V5PjwvZm9yZWlnbi1rZXlzPjxyZWYtdHlwZSBuYW1lPSJKb3VybmFsIEFydGlj
bGUiPjE3PC9yZWYtdHlwZT48Y29udHJpYnV0b3JzPjxhdXRob3JzPjxhdXRob3I+Q2FiYcOnbywg
UzwvYXV0aG9yPjxhdXRob3I+U2FudG9zLCBSPC9hdXRob3I+PC9hdXRob3JzPjwvY29udHJpYnV0
b3JzPjx0aXRsZXM+PHRpdGxlPkVmZmVjdHMgb2YgYnVyaWFsIGFuZCBlcm9zaW9uIG9uIHRoZSBz
ZWFncmFzcyBab3N0ZXJhIG5vbHRpaTwvdGl0bGU+PHNlY29uZGFyeS10aXRsZT5Kb3VybmFsIG9m
IEV4cGVyaW1lbnRhbCBNYXJpbmUgQmlvbG9neSBhbmQgRWNvbG9neTwvc2Vjb25kYXJ5LXRpdGxl
PjwvdGl0bGVzPjxwZXJpb2RpY2FsPjxmdWxsLXRpdGxlPkpvdXJuYWwgb2YgRXhwZXJpbWVudGFs
IE1hcmluZSBCaW9sb2d5IGFuZCBFY29sb2d5PC9mdWxsLXRpdGxlPjwvcGVyaW9kaWNhbD48cGFn
ZXM+MjA0LTIxMjwvcGFnZXM+PHZvbHVtZT4zNDA8L3ZvbHVtZT48ZGF0ZXM+PHllYXI+MjAwNzwv
eWVhcj48L2RhdGVzPjx1cmxzPjwvdXJscz48L3JlY29yZD48L0NpdGU+PENpdGU+PEF1dGhvcj5D
b2xsaWVyPC9BdXRob3I+PFllYXI+MjAwOTwvWWVhcj48UmVjTnVtPjk0OTA8L1JlY051bT48cmVj
b3JkPjxyZWMtbnVtYmVyPjk0OTA8L3JlYy1udW1iZXI+PGZvcmVpZ24ta2V5cz48a2V5IGFwcD0i
RU4iIGRiLWlkPSIwZXZlNTV4OXk1dmZkNmU5ZGFjeHRldzRlYXR2ZTJkemRzOWEiIHRpbWVzdGFt
cD0iMTM3NTg0MjU5NCI+OTQ5MDwva2V5PjwvZm9yZWlnbi1rZXlzPjxyZWYtdHlwZSBuYW1lPSJK
b3VybmFsIEFydGljbGUiPjE3PC9yZWYtdHlwZT48Y29udHJpYnV0b3JzPjxhdXRob3JzPjxhdXRo
b3I+Q29sbGllciwgQ2F0aGVyaW5lIEouPC9hdXRob3I+PGF1dGhvcj5MYXZlcnksIFBhdWwgUy48
L2F1dGhvcj48YXV0aG9yPlJhbHBoLCBQZXRlciBKLjwvYXV0aG9yPjxhdXRob3I+TWFzaW5pLCBS
YXltb25kIEouPC9hdXRob3I+PC9hdXRob3JzPjwvY29udHJpYnV0b3JzPjx0aXRsZXM+PHRpdGxl
PjxzdHlsZSBmYWNlPSJub3JtYWwiIGZvbnQ9ImRlZmF1bHQiIHNpemU9IjEwMCUiPlNoYWRlLWlu
ZHVjZWQgcmVzcG9uc2UgYW5kIHJlY292ZXJ5IG9mIHRoZSBzZWFncmFzcyA8L3N0eWxlPjxzdHls
ZSBmYWNlPSJpdGFsaWMiIGZvbnQ9ImRlZmF1bHQiIHNpemU9IjEwMCUiPlBvc2lkb25pYSBzaW51
b3NhPC9zdHlsZT48L3RpdGxlPjxzZWNvbmRhcnktdGl0bGU+Sm91cm5hbCBvZiBFeHBlcmltZW50
YWwgTWFyaW5lIEJpb2xvZ3kgYW5kIEVjb2xvZ3k8L3NlY29uZGFyeS10aXRsZT48L3RpdGxlcz48
cGVyaW9kaWNhbD48ZnVsbC10aXRsZT5Kb3VybmFsIG9mIEV4cGVyaW1lbnRhbCBNYXJpbmUgQmlv
bG9neSBhbmQgRWNvbG9neTwvZnVsbC10aXRsZT48L3BlcmlvZGljYWw+PHBhZ2VzPjg5LTEwMzwv
cGFnZXM+PHZvbHVtZT4zNzA8L3ZvbHVtZT48bnVtYmVyPjHigJMyPC9udW1iZXI+PGtleXdvcmRz
PjxrZXl3b3JkPkRlcHRoPC9rZXl3b3JkPjxrZXl3b3JkPk1vbml0b3Jpbmc8L2tleXdvcmQ+PGtl
eXdvcmQ+UmVjb3Zlcnk8L2tleXdvcmQ+PGtleXdvcmQ+U2VsZi1zaGFkaW5nPC9rZXl3b3JkPjxr
ZXl3b3JkPlNoYWRpbmc8L2tleXdvcmQ+PGtleXdvcmQ+V2VzdGVybiBBdXN0cmFsaWE8L2tleXdv
cmQ+PC9rZXl3b3Jkcz48ZGF0ZXM+PHllYXI+MjAwOTwveWVhcj48L2RhdGVzPjxpc2JuPjAwMjIt
MDk4MTwvaXNibj48dXJscz48cmVsYXRlZC11cmxzPjx1cmw+aHR0cDovL3d3dy5zY2llbmNlZGly
ZWN0LmNvbS9zY2llbmNlL2FydGljbGUvcGlpL1MwMDIyMDk4MTA4MDA1OTM1PC91cmw+PC9yZWxh
dGVkLXVybHM+PC91cmxzPjxlbGVjdHJvbmljLXJlc291cmNlLW51bT5odHRwOi8vZHguZG9pLm9y
Zy8xMC4xMDE2L2ouamVtYmUuMjAwOC4xMi4wMDM8L2VsZWN0cm9uaWMtcmVzb3VyY2UtbnVtPjwv
cmVjb3JkPjwvQ2l0ZT48L0VuZE5vdGU+
</w:fldData>
        </w:fldChar>
      </w:r>
      <w:r w:rsidR="004A409C">
        <w:rPr>
          <w:rFonts w:cs="Arial"/>
          <w:szCs w:val="22"/>
        </w:rPr>
        <w:instrText xml:space="preserve"> ADDIN EN.CITE.DATA </w:instrText>
      </w:r>
      <w:r w:rsidR="004A409C">
        <w:rPr>
          <w:rFonts w:cs="Arial"/>
          <w:szCs w:val="22"/>
        </w:rPr>
      </w:r>
      <w:r w:rsidR="004A409C">
        <w:rPr>
          <w:rFonts w:cs="Arial"/>
          <w:szCs w:val="22"/>
        </w:rPr>
        <w:fldChar w:fldCharType="end"/>
      </w:r>
      <w:r w:rsidR="00644A84" w:rsidRPr="001F0E92">
        <w:rPr>
          <w:rFonts w:cs="Arial"/>
          <w:szCs w:val="22"/>
        </w:rPr>
      </w:r>
      <w:r w:rsidR="00644A84" w:rsidRPr="001F0E92">
        <w:rPr>
          <w:rFonts w:cs="Arial"/>
          <w:szCs w:val="22"/>
        </w:rPr>
        <w:fldChar w:fldCharType="separate"/>
      </w:r>
      <w:hyperlink w:anchor="_ENREF_1" w:tooltip="Abal, 1994 #7405" w:history="1">
        <w:r w:rsidR="009A7AB4">
          <w:rPr>
            <w:rFonts w:cs="Arial"/>
            <w:noProof/>
            <w:szCs w:val="22"/>
          </w:rPr>
          <w:t>Abal</w:t>
        </w:r>
        <w:r w:rsidR="009A7AB4" w:rsidRPr="004A409C">
          <w:rPr>
            <w:rFonts w:cs="Arial"/>
            <w:i/>
            <w:noProof/>
            <w:szCs w:val="22"/>
          </w:rPr>
          <w:t xml:space="preserve"> et al.</w:t>
        </w:r>
        <w:r w:rsidR="009A7AB4">
          <w:rPr>
            <w:rFonts w:cs="Arial"/>
            <w:noProof/>
            <w:szCs w:val="22"/>
          </w:rPr>
          <w:t xml:space="preserve"> 1994</w:t>
        </w:r>
      </w:hyperlink>
      <w:r w:rsidR="004A409C">
        <w:rPr>
          <w:rFonts w:cs="Arial"/>
          <w:noProof/>
          <w:szCs w:val="22"/>
        </w:rPr>
        <w:t xml:space="preserve">; </w:t>
      </w:r>
      <w:hyperlink w:anchor="_ENREF_66" w:tooltip="Grice, 1996 #1346" w:history="1">
        <w:r w:rsidR="009A7AB4">
          <w:rPr>
            <w:rFonts w:cs="Arial"/>
            <w:noProof/>
            <w:szCs w:val="22"/>
          </w:rPr>
          <w:t>Grice</w:t>
        </w:r>
        <w:r w:rsidR="009A7AB4" w:rsidRPr="004A409C">
          <w:rPr>
            <w:rFonts w:cs="Arial"/>
            <w:i/>
            <w:noProof/>
            <w:szCs w:val="22"/>
          </w:rPr>
          <w:t xml:space="preserve"> et al.</w:t>
        </w:r>
        <w:r w:rsidR="009A7AB4">
          <w:rPr>
            <w:rFonts w:cs="Arial"/>
            <w:noProof/>
            <w:szCs w:val="22"/>
          </w:rPr>
          <w:t xml:space="preserve"> 1996</w:t>
        </w:r>
      </w:hyperlink>
      <w:r w:rsidR="004A409C">
        <w:rPr>
          <w:rFonts w:cs="Arial"/>
          <w:noProof/>
          <w:szCs w:val="22"/>
        </w:rPr>
        <w:t xml:space="preserve">; </w:t>
      </w:r>
      <w:hyperlink w:anchor="_ENREF_17" w:tooltip="Cabaço, 2007 #9489" w:history="1">
        <w:r w:rsidR="009A7AB4">
          <w:rPr>
            <w:rFonts w:cs="Arial"/>
            <w:noProof/>
            <w:szCs w:val="22"/>
          </w:rPr>
          <w:t>Cabaço and Santos 2007</w:t>
        </w:r>
      </w:hyperlink>
      <w:r w:rsidR="004A409C">
        <w:rPr>
          <w:rFonts w:cs="Arial"/>
          <w:noProof/>
          <w:szCs w:val="22"/>
        </w:rPr>
        <w:t xml:space="preserve">; </w:t>
      </w:r>
      <w:hyperlink w:anchor="_ENREF_35" w:tooltip="Collier, 2009 #9490" w:history="1">
        <w:r w:rsidR="009A7AB4">
          <w:rPr>
            <w:rFonts w:cs="Arial"/>
            <w:noProof/>
            <w:szCs w:val="22"/>
          </w:rPr>
          <w:t>Collier</w:t>
        </w:r>
        <w:r w:rsidR="009A7AB4" w:rsidRPr="004A409C">
          <w:rPr>
            <w:rFonts w:cs="Arial"/>
            <w:i/>
            <w:noProof/>
            <w:szCs w:val="22"/>
          </w:rPr>
          <w:t xml:space="preserve"> et al.</w:t>
        </w:r>
        <w:r w:rsidR="009A7AB4">
          <w:rPr>
            <w:rFonts w:cs="Arial"/>
            <w:noProof/>
            <w:szCs w:val="22"/>
          </w:rPr>
          <w:t xml:space="preserve"> 2009</w:t>
        </w:r>
      </w:hyperlink>
      <w:r w:rsidR="00644A84" w:rsidRPr="001F0E92">
        <w:rPr>
          <w:rFonts w:cs="Arial"/>
          <w:szCs w:val="22"/>
        </w:rPr>
        <w:fldChar w:fldCharType="end"/>
      </w:r>
      <w:r w:rsidRPr="001F0E92">
        <w:rPr>
          <w:rFonts w:cs="Arial"/>
          <w:szCs w:val="22"/>
        </w:rPr>
        <w:t xml:space="preserve">) they can </w:t>
      </w:r>
      <w:r w:rsidRPr="001F0E92">
        <w:rPr>
          <w:rFonts w:cs="Arial"/>
          <w:szCs w:val="22"/>
        </w:rPr>
        <w:lastRenderedPageBreak/>
        <w:t xml:space="preserve">be used as an indicator of the light that the plant is receiving relative to nitrogen availability or N surplus to light. With light limitation, seagrass plants are unable to build structure, hence the proportion of carbon in the leaves decreases relative to nitrogen. Experiments on seagrasses in Queensland have reported that at an atomic C:N ratio of </w:t>
      </w:r>
      <w:r w:rsidR="001D39B6" w:rsidRPr="001F0E92">
        <w:rPr>
          <w:rFonts w:cs="Arial"/>
          <w:szCs w:val="22"/>
        </w:rPr>
        <w:t>&lt;</w:t>
      </w:r>
      <w:r w:rsidRPr="001F0E92">
        <w:rPr>
          <w:rFonts w:cs="Arial"/>
          <w:szCs w:val="22"/>
        </w:rPr>
        <w:t>20, may suggest reduced light availability relative to nitrogen availability (</w:t>
      </w:r>
      <w:hyperlink w:anchor="_ENREF_1" w:tooltip="Abal, 1994 #7405" w:history="1">
        <w:r w:rsidR="009A7AB4" w:rsidRPr="001F0E92">
          <w:rPr>
            <w:rFonts w:cs="Arial"/>
            <w:szCs w:val="22"/>
          </w:rPr>
          <w:fldChar w:fldCharType="begin"/>
        </w:r>
        <w:r w:rsidR="009A7AB4" w:rsidRPr="001F0E92">
          <w:rPr>
            <w:rFonts w:cs="Arial"/>
            <w:szCs w:val="22"/>
          </w:rPr>
          <w:instrText xml:space="preserve"> ADDIN EN.CITE &lt;EndNote&gt;&lt;Cite&gt;&lt;Author&gt;Abal&lt;/Author&gt;&lt;Year&gt;1994&lt;/Year&gt;&lt;RecNum&gt;7405&lt;/RecNum&gt;&lt;DisplayText&gt;Abal&lt;style face="italic"&gt; et al.&lt;/style&gt; 1994&lt;/DisplayText&gt;&lt;record&gt;&lt;rec-number&gt;7405&lt;/rec-number&gt;&lt;foreign-keys&gt;&lt;key app="EN" db-id="0eve55x9y5vfd6e9dacxtew4eatve2dzds9a" timestamp="0"&gt;7405&lt;/key&gt;&lt;/foreign-keys&gt;&lt;ref-type name="Journal Article"&gt;17&lt;/ref-type&gt;&lt;contributors&gt;&lt;authors&gt;&lt;author&gt;Abal, E.G.&lt;/author&gt;&lt;author&gt;Loneragan, N.R.&lt;/author&gt;&lt;author&gt;Bowen, P.&lt;/author&gt;&lt;author&gt;Perry, C.J.&lt;/author&gt;&lt;author&gt;Udy, J.W.&lt;/author&gt;&lt;author&gt;Dennison, W.C.&lt;/author&gt;&lt;/authors&gt;&lt;/contributors&gt;&lt;titles&gt;&lt;title&gt;&lt;style face="normal" font="default" size="100%"&gt;Physiological and morphological responses of the seagrass &lt;/style&gt;&lt;style face="italic" font="default" size="100%"&gt;Zostera capricorni&lt;/style&gt;&lt;style face="normal" font="default" size="100%"&gt; Aschers. to light intensity&lt;/style&gt;&lt;/title&gt;&lt;secondary-title&gt;Journal of Experimental Marine Biology and Ecology&lt;/secondary-title&gt;&lt;/titles&gt;&lt;periodical&gt;&lt;full-title&gt;Journal of Experimental Marine Biology and Ecology&lt;/full-title&gt;&lt;/periodical&gt;&lt;pages&gt;113-129&lt;/pages&gt;&lt;volume&gt;178&lt;/volume&gt;&lt;number&gt;1&lt;/number&gt;&lt;dates&gt;&lt;year&gt;1994&lt;/year&gt;&lt;/dates&gt;&lt;urls&gt;&lt;/urls&gt;&lt;/record&gt;&lt;/Cite&gt;&lt;/EndNote&gt;</w:instrText>
        </w:r>
        <w:r w:rsidR="009A7AB4" w:rsidRPr="001F0E92">
          <w:rPr>
            <w:rFonts w:cs="Arial"/>
            <w:szCs w:val="22"/>
          </w:rPr>
          <w:fldChar w:fldCharType="separate"/>
        </w:r>
        <w:r w:rsidR="009A7AB4" w:rsidRPr="001F0E92">
          <w:rPr>
            <w:rFonts w:cs="Arial"/>
            <w:noProof/>
            <w:szCs w:val="22"/>
          </w:rPr>
          <w:t>Abal</w:t>
        </w:r>
        <w:r w:rsidR="009A7AB4" w:rsidRPr="001F0E92">
          <w:rPr>
            <w:rFonts w:cs="Arial"/>
            <w:i/>
            <w:noProof/>
            <w:szCs w:val="22"/>
          </w:rPr>
          <w:t xml:space="preserve"> et al.</w:t>
        </w:r>
        <w:r w:rsidR="009A7AB4" w:rsidRPr="001F0E92">
          <w:rPr>
            <w:rFonts w:cs="Arial"/>
            <w:noProof/>
            <w:szCs w:val="22"/>
          </w:rPr>
          <w:t xml:space="preserve"> 1994</w:t>
        </w:r>
        <w:r w:rsidR="009A7AB4" w:rsidRPr="001F0E92">
          <w:rPr>
            <w:rFonts w:cs="Arial"/>
            <w:szCs w:val="22"/>
          </w:rPr>
          <w:fldChar w:fldCharType="end"/>
        </w:r>
      </w:hyperlink>
      <w:r w:rsidRPr="001F0E92">
        <w:rPr>
          <w:rFonts w:cs="Arial"/>
          <w:szCs w:val="22"/>
        </w:rPr>
        <w:t xml:space="preserve">; </w:t>
      </w:r>
      <w:hyperlink r:id="rId232" w:anchor="_ENREF_101" w:tooltip="Grice, 1996 #1346" w:history="1">
        <w:r w:rsidRPr="001F0E92">
          <w:rPr>
            <w:rFonts w:cs="Arial"/>
            <w:noProof/>
            <w:szCs w:val="22"/>
          </w:rPr>
          <w:t>AM Grice</w:t>
        </w:r>
        <w:r w:rsidRPr="001F0E92">
          <w:rPr>
            <w:rFonts w:cs="Arial"/>
            <w:i/>
            <w:noProof/>
            <w:szCs w:val="22"/>
          </w:rPr>
          <w:t>, et al.</w:t>
        </w:r>
        <w:r w:rsidRPr="001F0E92">
          <w:rPr>
            <w:rFonts w:cs="Arial"/>
            <w:noProof/>
            <w:szCs w:val="22"/>
          </w:rPr>
          <w:t>, 1996</w:t>
        </w:r>
      </w:hyperlink>
      <w:r w:rsidRPr="001F0E92">
        <w:rPr>
          <w:rFonts w:cs="Arial"/>
          <w:noProof/>
          <w:szCs w:val="22"/>
        </w:rPr>
        <w:t>;</w:t>
      </w:r>
      <w:r w:rsidRPr="001F0E92">
        <w:rPr>
          <w:rFonts w:cs="Arial"/>
          <w:szCs w:val="22"/>
        </w:rPr>
        <w:t>). The light availability to seagrass is not necessarily an indicator of light in the water column, but an indicator of the light that the plant is receiving as available light can be highly impacted by epiphytic growth or sediment smothering photosynthetic leaf tissue. However, C:N must be interpreted with caution as the level of N can also influence the ratio in oligotrophic environments (</w:t>
      </w:r>
      <w:r w:rsidR="00644A84" w:rsidRPr="001F0E92">
        <w:rPr>
          <w:rFonts w:cs="Arial"/>
          <w:szCs w:val="22"/>
        </w:rPr>
        <w:fldChar w:fldCharType="begin"/>
      </w:r>
      <w:r w:rsidR="00B63A1C" w:rsidRPr="001F0E92">
        <w:rPr>
          <w:rFonts w:cs="Arial"/>
          <w:szCs w:val="22"/>
        </w:rPr>
        <w:instrText xml:space="preserve"> ADDIN EN.CITE &lt;EndNote&gt;&lt;Cite&gt;&lt;Author&gt;Fourqurean&lt;/Author&gt;&lt;Year&gt;1992&lt;/Year&gt;&lt;RecNum&gt;9493&lt;/RecNum&gt;&lt;DisplayText&gt;Atkinson and Smith 1983; Fourqurean&lt;style face="italic"&gt; et al.&lt;/style&gt; 1992&lt;/DisplayText&gt;&lt;record&gt;&lt;rec-number&gt;9493&lt;/rec-number&gt;&lt;foreign-keys&gt;&lt;key app="EN" db-id="0eve55x9y5vfd6e9dacxtew4eatve2dzds9a" timestamp="1375843048"&gt;9493&lt;/key&gt;&lt;/foreign-keys&gt;&lt;ref-type name="Journal Article"&gt;17&lt;/ref-type&gt;&lt;contributors&gt;&lt;authors&gt;&lt;author&gt;Fourqurean, J. W.&lt;/author&gt;&lt;author&gt;Zieman, J. C.&lt;/author&gt;&lt;author&gt;Powell, G. V. N.&lt;/author&gt;&lt;/authors&gt;&lt;/contributors&gt;&lt;titles&gt;&lt;title&gt;Relationships between porewater nutrients and seagrasses in a subtropical carbonate environment&lt;/title&gt;&lt;secondary-title&gt;Marine Biology&lt;/secondary-title&gt;&lt;alt-title&gt;Marine Biology&lt;/alt-title&gt;&lt;/titles&gt;&lt;periodical&gt;&lt;full-title&gt;Marine Biology&lt;/full-title&gt;&lt;/periodical&gt;&lt;alt-periodical&gt;&lt;full-title&gt;Marine Biology&lt;/full-title&gt;&lt;/alt-periodical&gt;&lt;pages&gt;57-65&lt;/pages&gt;&lt;volume&gt;114&lt;/volume&gt;&lt;number&gt;1&lt;/number&gt;&lt;dates&gt;&lt;year&gt;1992&lt;/year&gt;&lt;pub-dates&gt;&lt;date&gt;1992/09/01&lt;/date&gt;&lt;/pub-dates&gt;&lt;/dates&gt;&lt;publisher&gt;Springer-Verlag&lt;/publisher&gt;&lt;isbn&gt;0025-3162&lt;/isbn&gt;&lt;urls&gt;&lt;related-urls&gt;&lt;url&gt;http://dx.doi.org/10.1007/BF00350856&lt;/url&gt;&lt;/related-urls&gt;&lt;/urls&gt;&lt;electronic-resource-num&gt;10.1007/bf00350856&lt;/electronic-resource-num&gt;&lt;language&gt;English&lt;/language&gt;&lt;/record&gt;&lt;/Cite&gt;&lt;Cite&gt;&lt;Author&gt;Atkinson&lt;/Author&gt;&lt;Year&gt;1983&lt;/Year&gt;&lt;RecNum&gt;6292&lt;/RecNum&gt;&lt;record&gt;&lt;rec-number&gt;6292&lt;/rec-number&gt;&lt;foreign-keys&gt;&lt;key app="EN" db-id="0eve55x9y5vfd6e9dacxtew4eatve2dzds9a" timestamp="0"&gt;6292&lt;/key&gt;&lt;/foreign-keys&gt;&lt;ref-type name="Journal Article"&gt;17&lt;/ref-type&gt;&lt;contributors&gt;&lt;authors&gt;&lt;author&gt;Atkinson, M J&lt;/author&gt;&lt;author&gt;Smith, S V&lt;/author&gt;&lt;/authors&gt;&lt;/contributors&gt;&lt;titles&gt;&lt;title&gt;C:N:P ratios of benthic marine plants&lt;/title&gt;&lt;secondary-title&gt;Limnology and Oceanography&lt;/secondary-title&gt;&lt;/titles&gt;&lt;periodical&gt;&lt;full-title&gt;Limnology and Oceanography&lt;/full-title&gt;&lt;/periodical&gt;&lt;pages&gt;568-574&lt;/pages&gt;&lt;volume&gt;28&lt;/volume&gt;&lt;number&gt;3&lt;/number&gt;&lt;dates&gt;&lt;year&gt;1983&lt;/year&gt;&lt;/dates&gt;&lt;urls&gt;&lt;/urls&gt;&lt;/record&gt;&lt;/Cite&gt;&lt;/EndNote&gt;</w:instrText>
      </w:r>
      <w:r w:rsidR="00644A84" w:rsidRPr="001F0E92">
        <w:rPr>
          <w:rFonts w:cs="Arial"/>
          <w:szCs w:val="22"/>
        </w:rPr>
        <w:fldChar w:fldCharType="separate"/>
      </w:r>
      <w:hyperlink w:anchor="_ENREF_6" w:tooltip="Atkinson, 1983 #6292" w:history="1">
        <w:r w:rsidR="009A7AB4" w:rsidRPr="001F0E92">
          <w:rPr>
            <w:rFonts w:cs="Arial"/>
            <w:noProof/>
            <w:szCs w:val="22"/>
          </w:rPr>
          <w:t>Atkinson and Smith 1983</w:t>
        </w:r>
      </w:hyperlink>
      <w:r w:rsidR="00B63A1C" w:rsidRPr="001F0E92">
        <w:rPr>
          <w:rFonts w:cs="Arial"/>
          <w:noProof/>
          <w:szCs w:val="22"/>
        </w:rPr>
        <w:t xml:space="preserve">; </w:t>
      </w:r>
      <w:hyperlink w:anchor="_ENREF_60" w:tooltip="Fourqurean, 1992 #9493" w:history="1">
        <w:r w:rsidR="009A7AB4" w:rsidRPr="001F0E92">
          <w:rPr>
            <w:rFonts w:cs="Arial"/>
            <w:noProof/>
            <w:szCs w:val="22"/>
          </w:rPr>
          <w:t>Fourqurean</w:t>
        </w:r>
        <w:r w:rsidR="009A7AB4" w:rsidRPr="001F0E92">
          <w:rPr>
            <w:rFonts w:cs="Arial"/>
            <w:i/>
            <w:noProof/>
            <w:szCs w:val="22"/>
          </w:rPr>
          <w:t xml:space="preserve"> et al.</w:t>
        </w:r>
        <w:r w:rsidR="009A7AB4" w:rsidRPr="001F0E92">
          <w:rPr>
            <w:rFonts w:cs="Arial"/>
            <w:noProof/>
            <w:szCs w:val="22"/>
          </w:rPr>
          <w:t xml:space="preserve"> 1992</w:t>
        </w:r>
      </w:hyperlink>
      <w:r w:rsidR="00644A84" w:rsidRPr="001F0E92">
        <w:rPr>
          <w:rFonts w:cs="Arial"/>
          <w:szCs w:val="22"/>
        </w:rPr>
        <w:fldChar w:fldCharType="end"/>
      </w:r>
      <w:r w:rsidRPr="001F0E92">
        <w:rPr>
          <w:rFonts w:cs="Arial"/>
          <w:szCs w:val="22"/>
        </w:rPr>
        <w:t xml:space="preserve">). </w:t>
      </w:r>
      <w:r w:rsidRPr="001F0E92">
        <w:rPr>
          <w:rFonts w:cs="Arial"/>
          <w:szCs w:val="22"/>
          <w:lang w:val="en-US"/>
        </w:rPr>
        <w:t>Support for choosing the elemental C:N ratio as the indicator also comes from preliminary analysis of MMP data in 2009 which found that the C:N ratio was the only nutrient ratio that showed a significant relationship (positive) with seagrass cover at coastal and estuarine sites</w:t>
      </w:r>
      <w:r w:rsidR="001D39B6" w:rsidRPr="001F0E92">
        <w:rPr>
          <w:rFonts w:cs="Arial"/>
          <w:szCs w:val="22"/>
          <w:lang w:val="en-US"/>
        </w:rPr>
        <w:t>;</w:t>
      </w:r>
      <w:r w:rsidRPr="001F0E92">
        <w:rPr>
          <w:rFonts w:cs="Arial"/>
          <w:szCs w:val="22"/>
          <w:lang w:val="en-US"/>
        </w:rPr>
        <w:t xml:space="preserve"> </w:t>
      </w:r>
      <w:r w:rsidR="001D39B6" w:rsidRPr="001F0E92">
        <w:rPr>
          <w:rFonts w:cs="Arial"/>
          <w:szCs w:val="22"/>
          <w:lang w:val="en-US"/>
        </w:rPr>
        <w:t>s</w:t>
      </w:r>
      <w:r w:rsidRPr="001F0E92">
        <w:rPr>
          <w:rFonts w:cs="Arial"/>
          <w:szCs w:val="22"/>
          <w:lang w:val="en-US"/>
        </w:rPr>
        <w:t>eagrass tissue C:N ratios explained 58</w:t>
      </w:r>
      <w:r w:rsidR="003C311A">
        <w:rPr>
          <w:rFonts w:cs="Arial"/>
          <w:szCs w:val="22"/>
          <w:lang w:val="en-US"/>
        </w:rPr>
        <w:t xml:space="preserve">% </w:t>
      </w:r>
      <w:r w:rsidRPr="001F0E92">
        <w:rPr>
          <w:rFonts w:cs="Arial"/>
          <w:szCs w:val="22"/>
          <w:lang w:val="en-US"/>
        </w:rPr>
        <w:t>of the variance of the inter-site seagrass cover data (</w:t>
      </w:r>
      <w:hyperlink w:anchor="_ENREF_108" w:tooltip="McKenzie, 2009 #9494" w:history="1">
        <w:r w:rsidR="009A7AB4" w:rsidRPr="001F0E92">
          <w:rPr>
            <w:rFonts w:cs="Arial"/>
            <w:szCs w:val="22"/>
          </w:rPr>
          <w:fldChar w:fldCharType="begin"/>
        </w:r>
        <w:r w:rsidR="009A7AB4" w:rsidRPr="001F0E92">
          <w:rPr>
            <w:rFonts w:cs="Arial"/>
            <w:szCs w:val="22"/>
          </w:rPr>
          <w:instrText xml:space="preserve"> ADDIN EN.CITE &lt;EndNote&gt;&lt;Cite&gt;&lt;Author&gt;McKenzie&lt;/Author&gt;&lt;Year&gt;2009&lt;/Year&gt;&lt;RecNum&gt;9494&lt;/RecNum&gt;&lt;DisplayText&gt;McKenzie and Unsworth 2009&lt;/DisplayText&gt;&lt;record&gt;&lt;rec-number&gt;9494&lt;/rec-number&gt;&lt;foreign-keys&gt;&lt;key app="EN" db-id="0eve55x9y5vfd6e9dacxtew4eatve2dzds9a" timestamp="1375843153"&gt;9494&lt;/key&gt;&lt;/foreign-keys&gt;&lt;ref-type name="Personal Communication"&gt;26&lt;/ref-type&gt;&lt;contributors&gt;&lt;authors&gt;&lt;author&gt;McKenzie, Len J&lt;/author&gt;&lt;author&gt;Unsworth, R.K.F&lt;/author&gt;&lt;/authors&gt;&lt;/contributors&gt;&lt;titles&gt;&lt;title&gt;Reef Rescue Marine Monitoring Program: Intertidal Seagrass, Final Report 2008/2009&lt;/title&gt;&lt;/titles&gt;&lt;pages&gt;127&lt;/pages&gt;&lt;dates&gt;&lt;year&gt;2009&lt;/year&gt;&lt;/dates&gt;&lt;pub-location&gt;Cairns&lt;/pub-location&gt;&lt;publisher&gt;Fisheries Queensland&lt;/publisher&gt;&lt;urls&gt;&lt;/urls&gt;&lt;/record&gt;&lt;/Cite&gt;&lt;/EndNote&gt;</w:instrText>
        </w:r>
        <w:r w:rsidR="009A7AB4" w:rsidRPr="001F0E92">
          <w:rPr>
            <w:rFonts w:cs="Arial"/>
            <w:szCs w:val="22"/>
          </w:rPr>
          <w:fldChar w:fldCharType="separate"/>
        </w:r>
        <w:r w:rsidR="009A7AB4" w:rsidRPr="001F0E92">
          <w:rPr>
            <w:rFonts w:cs="Arial"/>
            <w:noProof/>
            <w:szCs w:val="22"/>
          </w:rPr>
          <w:t>McKenzie and Unsworth 2009</w:t>
        </w:r>
        <w:r w:rsidR="009A7AB4" w:rsidRPr="001F0E92">
          <w:rPr>
            <w:rFonts w:cs="Arial"/>
            <w:szCs w:val="22"/>
          </w:rPr>
          <w:fldChar w:fldCharType="end"/>
        </w:r>
      </w:hyperlink>
      <w:r w:rsidRPr="001F0E92">
        <w:rPr>
          <w:rFonts w:cs="Arial"/>
          <w:szCs w:val="22"/>
          <w:lang w:val="en-US"/>
        </w:rPr>
        <w:t xml:space="preserve">). </w:t>
      </w:r>
      <w:r w:rsidRPr="001F0E92">
        <w:rPr>
          <w:rFonts w:cs="Arial"/>
          <w:szCs w:val="22"/>
        </w:rPr>
        <w:t>Using the guideline ratio of 20:1 for the foundation seagrass species, C:N ratios were categorised on their departure from the guideline and transformed to a 0 to 100 score using:</w:t>
      </w:r>
    </w:p>
    <w:p w14:paraId="04667B98" w14:textId="135D80DC" w:rsidR="00842050" w:rsidRPr="001F0E92" w:rsidRDefault="00842050" w:rsidP="00842050">
      <w:pPr>
        <w:rPr>
          <w:rFonts w:cs="Arial"/>
          <w:color w:val="000000"/>
          <w:szCs w:val="22"/>
        </w:rPr>
      </w:pPr>
      <w:r w:rsidRPr="001F0E92">
        <w:rPr>
          <w:rFonts w:cs="Arial"/>
          <w:szCs w:val="22"/>
        </w:rPr>
        <w:tab/>
      </w:r>
      <w:bookmarkStart w:id="887" w:name="_Ref408853282"/>
      <w:r w:rsidRPr="001F0E92">
        <w:rPr>
          <w:rFonts w:cs="Arial"/>
          <w:szCs w:val="22"/>
        </w:rPr>
        <w:t xml:space="preserve">Equation </w:t>
      </w:r>
      <w:r w:rsidR="00C506C7" w:rsidRPr="001F0E92">
        <w:rPr>
          <w:rFonts w:cs="Arial"/>
          <w:noProof/>
          <w:szCs w:val="22"/>
        </w:rPr>
        <w:fldChar w:fldCharType="begin"/>
      </w:r>
      <w:r w:rsidR="00C506C7" w:rsidRPr="001F0E92">
        <w:rPr>
          <w:rFonts w:cs="Arial"/>
          <w:noProof/>
          <w:szCs w:val="22"/>
        </w:rPr>
        <w:instrText xml:space="preserve"> SEQ Equation \* ARABIC </w:instrText>
      </w:r>
      <w:r w:rsidR="00C506C7" w:rsidRPr="001F0E92">
        <w:rPr>
          <w:rFonts w:cs="Arial"/>
          <w:noProof/>
          <w:szCs w:val="22"/>
        </w:rPr>
        <w:fldChar w:fldCharType="separate"/>
      </w:r>
      <w:r w:rsidR="0067675D">
        <w:rPr>
          <w:rFonts w:cs="Arial"/>
          <w:noProof/>
          <w:szCs w:val="22"/>
        </w:rPr>
        <w:t>2</w:t>
      </w:r>
      <w:r w:rsidR="00C506C7" w:rsidRPr="001F0E92">
        <w:rPr>
          <w:rFonts w:cs="Arial"/>
          <w:noProof/>
          <w:szCs w:val="22"/>
        </w:rPr>
        <w:fldChar w:fldCharType="end"/>
      </w:r>
      <w:bookmarkEnd w:id="887"/>
      <w:r w:rsidRPr="001F0E92">
        <w:rPr>
          <w:rFonts w:cs="Arial"/>
          <w:color w:val="000000"/>
          <w:szCs w:val="22"/>
        </w:rPr>
        <w:tab/>
      </w:r>
      <w:r w:rsidR="00517CB7" w:rsidRPr="001F0E92">
        <w:rPr>
          <w:rFonts w:cs="Arial"/>
          <w:noProof/>
          <w:color w:val="000000"/>
          <w:position w:val="-10"/>
          <w:szCs w:val="22"/>
          <w:lang w:eastAsia="en-AU"/>
        </w:rPr>
        <w:drawing>
          <wp:inline distT="0" distB="0" distL="0" distR="0" wp14:anchorId="2ABB6B67" wp14:editId="41A5B705">
            <wp:extent cx="1067435" cy="234950"/>
            <wp:effectExtent l="0" t="0" r="0" b="0"/>
            <wp:docPr id="56" name="Picture 1" descr="Equation used to determine C:N ratio departure from the guideline and transformed to a 0 to 100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tion used to determine C:N ratio departure from the guideline and transformed to a 0 to 100 score"/>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067435" cy="234950"/>
                    </a:xfrm>
                    <a:prstGeom prst="rect">
                      <a:avLst/>
                    </a:prstGeom>
                    <a:noFill/>
                    <a:ln>
                      <a:noFill/>
                    </a:ln>
                  </pic:spPr>
                </pic:pic>
              </a:graphicData>
            </a:graphic>
          </wp:inline>
        </w:drawing>
      </w:r>
    </w:p>
    <w:p w14:paraId="6AA01623" w14:textId="77777777" w:rsidR="00842050" w:rsidRPr="001F0E92" w:rsidRDefault="00842050" w:rsidP="00842050">
      <w:pPr>
        <w:tabs>
          <w:tab w:val="left" w:pos="2835"/>
        </w:tabs>
        <w:rPr>
          <w:rFonts w:cs="Arial"/>
          <w:i/>
          <w:color w:val="000000"/>
          <w:szCs w:val="22"/>
        </w:rPr>
      </w:pPr>
      <w:r w:rsidRPr="001F0E92">
        <w:rPr>
          <w:rFonts w:cs="Arial"/>
          <w:i/>
          <w:color w:val="000000"/>
          <w:szCs w:val="22"/>
        </w:rPr>
        <w:tab/>
        <w:t>NB: C:N ratios &gt;35  scored as 100, C:N ratios &lt;10  scored as 0</w:t>
      </w:r>
    </w:p>
    <w:p w14:paraId="26B71A72" w14:textId="3BA6A13D" w:rsidR="004A36C2" w:rsidRPr="001F0E92" w:rsidRDefault="00842050" w:rsidP="001D39B6">
      <w:pPr>
        <w:rPr>
          <w:rFonts w:cs="Arial"/>
          <w:color w:val="000000"/>
          <w:szCs w:val="22"/>
        </w:rPr>
      </w:pPr>
      <w:r w:rsidRPr="001F0E92">
        <w:rPr>
          <w:rFonts w:cs="Arial"/>
          <w:color w:val="000000"/>
          <w:szCs w:val="22"/>
        </w:rPr>
        <w:t>The score was then used to represent the status to allow integration with other components of the report card.</w:t>
      </w:r>
    </w:p>
    <w:p w14:paraId="597E5291" w14:textId="77777777" w:rsidR="005132EF" w:rsidRPr="001F0E92" w:rsidRDefault="005132EF" w:rsidP="00034AD4">
      <w:pPr>
        <w:ind w:left="540" w:hanging="540"/>
        <w:rPr>
          <w:rFonts w:cs="Arial"/>
          <w:color w:val="000000"/>
          <w:szCs w:val="22"/>
        </w:rPr>
        <w:sectPr w:rsidR="005132EF" w:rsidRPr="001F0E92" w:rsidSect="0085398A">
          <w:headerReference w:type="even" r:id="rId234"/>
          <w:headerReference w:type="default" r:id="rId235"/>
          <w:footerReference w:type="even" r:id="rId236"/>
          <w:footerReference w:type="default" r:id="rId237"/>
          <w:headerReference w:type="first" r:id="rId238"/>
          <w:footerReference w:type="first" r:id="rId239"/>
          <w:pgSz w:w="11906" w:h="16838"/>
          <w:pgMar w:top="1135" w:right="1418" w:bottom="1418" w:left="1418" w:header="709" w:footer="709" w:gutter="0"/>
          <w:cols w:space="708"/>
          <w:docGrid w:linePitch="360"/>
        </w:sectPr>
      </w:pPr>
    </w:p>
    <w:p w14:paraId="5C36737C" w14:textId="77777777" w:rsidR="008A429D" w:rsidRPr="00CB093C" w:rsidRDefault="00842050" w:rsidP="00DD3376">
      <w:pPr>
        <w:pStyle w:val="Heading1"/>
        <w:numPr>
          <w:ilvl w:val="0"/>
          <w:numId w:val="6"/>
        </w:numPr>
      </w:pPr>
      <w:bookmarkStart w:id="888" w:name="_Ref534181942"/>
      <w:bookmarkStart w:id="889" w:name="_Ref534182043"/>
      <w:bookmarkStart w:id="890" w:name="_Ref534193900"/>
      <w:bookmarkStart w:id="891" w:name="_Toc37775138"/>
      <w:bookmarkStart w:id="892" w:name="_Toc43987121"/>
      <w:bookmarkStart w:id="893" w:name="_Toc379612624"/>
      <w:r w:rsidRPr="00CB093C">
        <w:lastRenderedPageBreak/>
        <w:t>Detailed data</w:t>
      </w:r>
      <w:bookmarkEnd w:id="888"/>
      <w:bookmarkEnd w:id="889"/>
      <w:bookmarkEnd w:id="890"/>
      <w:bookmarkEnd w:id="891"/>
      <w:bookmarkEnd w:id="892"/>
    </w:p>
    <w:bookmarkEnd w:id="893"/>
    <w:p w14:paraId="2FF95103" w14:textId="734CDD7E" w:rsidR="00E82D2E" w:rsidRPr="00CB093C" w:rsidRDefault="00E82D2E" w:rsidP="00E82D2E">
      <w:pPr>
        <w:rPr>
          <w:rFonts w:cs="Arial"/>
          <w:szCs w:val="22"/>
          <w:lang w:val="en-GB"/>
        </w:rPr>
      </w:pPr>
    </w:p>
    <w:p w14:paraId="66DA0D9A" w14:textId="2F2CD037" w:rsidR="003816AC" w:rsidRPr="00CB093C" w:rsidRDefault="003816AC" w:rsidP="00E82D2E">
      <w:pPr>
        <w:rPr>
          <w:rFonts w:cs="Arial"/>
          <w:szCs w:val="22"/>
          <w:lang w:val="en-GB"/>
        </w:rPr>
      </w:pPr>
    </w:p>
    <w:p w14:paraId="653C87D3" w14:textId="77777777" w:rsidR="003816AC" w:rsidRPr="00CB093C" w:rsidRDefault="003816AC" w:rsidP="00E82D2E">
      <w:pPr>
        <w:rPr>
          <w:rFonts w:cs="Arial"/>
          <w:szCs w:val="22"/>
          <w:lang w:val="en-GB"/>
        </w:rPr>
      </w:pPr>
    </w:p>
    <w:p w14:paraId="3ACEDACB" w14:textId="77777777" w:rsidR="003816AC" w:rsidRPr="00CB093C" w:rsidRDefault="003816AC" w:rsidP="00E82D2E">
      <w:pPr>
        <w:rPr>
          <w:rFonts w:cs="Arial"/>
          <w:szCs w:val="22"/>
          <w:lang w:val="en-GB"/>
        </w:rPr>
        <w:sectPr w:rsidR="003816AC" w:rsidRPr="00CB093C" w:rsidSect="0085398A">
          <w:headerReference w:type="even" r:id="rId240"/>
          <w:headerReference w:type="default" r:id="rId241"/>
          <w:footerReference w:type="even" r:id="rId242"/>
          <w:footerReference w:type="default" r:id="rId243"/>
          <w:headerReference w:type="first" r:id="rId244"/>
          <w:footerReference w:type="first" r:id="rId245"/>
          <w:pgSz w:w="11906" w:h="16838"/>
          <w:pgMar w:top="1440" w:right="1440" w:bottom="1440" w:left="1440" w:header="708" w:footer="708" w:gutter="0"/>
          <w:cols w:space="708"/>
          <w:docGrid w:linePitch="360"/>
        </w:sectPr>
      </w:pPr>
    </w:p>
    <w:p w14:paraId="4E871E87" w14:textId="2009DF19" w:rsidR="003816AC" w:rsidRPr="00687A15" w:rsidRDefault="003816AC" w:rsidP="003816AC">
      <w:pPr>
        <w:rPr>
          <w:rFonts w:cs="Arial"/>
          <w:i/>
          <w:vanish/>
          <w:szCs w:val="22"/>
          <w:specVanish/>
        </w:rPr>
      </w:pPr>
      <w:bookmarkStart w:id="894" w:name="_Ref511373432"/>
      <w:bookmarkStart w:id="895" w:name="_Toc516053460"/>
      <w:bookmarkStart w:id="896" w:name="_Toc37787070"/>
      <w:bookmarkStart w:id="897" w:name="_Toc47600692"/>
      <w:r w:rsidRPr="00687A15">
        <w:rPr>
          <w:rFonts w:cs="Arial"/>
          <w:color w:val="000000"/>
          <w:szCs w:val="22"/>
        </w:rPr>
        <w:lastRenderedPageBreak/>
        <w:t xml:space="preserve">Table </w:t>
      </w:r>
      <w:r w:rsidRPr="00687A15">
        <w:rPr>
          <w:rFonts w:cs="Arial"/>
          <w:szCs w:val="22"/>
        </w:rPr>
        <w:fldChar w:fldCharType="begin"/>
      </w:r>
      <w:r w:rsidRPr="00687A15">
        <w:rPr>
          <w:rFonts w:cs="Arial"/>
          <w:color w:val="000000"/>
          <w:szCs w:val="22"/>
        </w:rPr>
        <w:instrText xml:space="preserve"> SEQ Table \* ARABIC </w:instrText>
      </w:r>
      <w:r w:rsidRPr="00687A15">
        <w:rPr>
          <w:rFonts w:cs="Arial"/>
          <w:szCs w:val="22"/>
        </w:rPr>
        <w:fldChar w:fldCharType="separate"/>
      </w:r>
      <w:r w:rsidR="0067675D">
        <w:rPr>
          <w:rFonts w:cs="Arial"/>
          <w:noProof/>
          <w:color w:val="000000"/>
          <w:szCs w:val="22"/>
        </w:rPr>
        <w:t>18</w:t>
      </w:r>
      <w:r w:rsidRPr="00687A15">
        <w:rPr>
          <w:rFonts w:cs="Arial"/>
          <w:szCs w:val="22"/>
        </w:rPr>
        <w:fldChar w:fldCharType="end"/>
      </w:r>
      <w:bookmarkEnd w:id="894"/>
      <w:r w:rsidRPr="00687A15">
        <w:rPr>
          <w:rFonts w:cs="Arial"/>
          <w:color w:val="000000"/>
          <w:szCs w:val="22"/>
        </w:rPr>
        <w:t xml:space="preserve">. </w:t>
      </w:r>
      <w:r w:rsidRPr="00687A15">
        <w:rPr>
          <w:rFonts w:cs="Arial"/>
          <w:i/>
          <w:color w:val="000000"/>
          <w:szCs w:val="22"/>
        </w:rPr>
        <w:t>Samples collected at each MMP inshore monitoring site per parameter for each season</w:t>
      </w:r>
      <w:bookmarkEnd w:id="895"/>
      <w:bookmarkEnd w:id="896"/>
      <w:bookmarkEnd w:id="897"/>
    </w:p>
    <w:p w14:paraId="5F19FF2A" w14:textId="6A69F478" w:rsidR="00DB1ACE" w:rsidRPr="00687A15" w:rsidRDefault="003816AC" w:rsidP="003816AC">
      <w:pPr>
        <w:rPr>
          <w:rFonts w:cs="Arial"/>
          <w:i/>
          <w:color w:val="000000"/>
          <w:szCs w:val="22"/>
        </w:rPr>
      </w:pPr>
      <w:r w:rsidRPr="00687A15">
        <w:rPr>
          <w:rFonts w:cs="Arial"/>
          <w:i/>
          <w:color w:val="000000"/>
          <w:szCs w:val="22"/>
        </w:rPr>
        <w:t xml:space="preserve">. Activities include: SG = seagrass cover &amp; composition, SM=seed monitoring, TN=tissue nutrients, EM=edge mapping, RH=reproductive health, TL=temperature loggers, LL=light loggers, SH=sediment herbicides. ^=subtidal. </w:t>
      </w:r>
    </w:p>
    <w:tbl>
      <w:tblPr>
        <w:tblW w:w="13041" w:type="dxa"/>
        <w:jc w:val="center"/>
        <w:tblLayout w:type="fixed"/>
        <w:tblLook w:val="04A0" w:firstRow="1" w:lastRow="0" w:firstColumn="1" w:lastColumn="0" w:noHBand="0" w:noVBand="1"/>
      </w:tblPr>
      <w:tblGrid>
        <w:gridCol w:w="1148"/>
        <w:gridCol w:w="1294"/>
        <w:gridCol w:w="1299"/>
        <w:gridCol w:w="1307"/>
        <w:gridCol w:w="840"/>
        <w:gridCol w:w="555"/>
        <w:gridCol w:w="543"/>
        <w:gridCol w:w="540"/>
        <w:gridCol w:w="536"/>
        <w:gridCol w:w="540"/>
        <w:gridCol w:w="529"/>
        <w:gridCol w:w="559"/>
        <w:gridCol w:w="559"/>
        <w:gridCol w:w="559"/>
        <w:gridCol w:w="559"/>
        <w:gridCol w:w="559"/>
        <w:gridCol w:w="559"/>
        <w:gridCol w:w="546"/>
        <w:gridCol w:w="10"/>
      </w:tblGrid>
      <w:tr w:rsidR="009F33B9" w14:paraId="176FA7F7" w14:textId="77777777" w:rsidTr="00FC3D7F">
        <w:trPr>
          <w:cantSplit/>
          <w:trHeight w:val="251"/>
          <w:tblHeader/>
          <w:jc w:val="center"/>
        </w:trPr>
        <w:tc>
          <w:tcPr>
            <w:tcW w:w="1148" w:type="dxa"/>
            <w:vMerge w:val="restart"/>
            <w:tcBorders>
              <w:top w:val="single" w:sz="4" w:space="0" w:color="auto"/>
              <w:left w:val="nil"/>
              <w:bottom w:val="nil"/>
              <w:right w:val="nil"/>
            </w:tcBorders>
            <w:shd w:val="clear" w:color="auto" w:fill="BBE0E3"/>
            <w:noWrap/>
            <w:vAlign w:val="center"/>
            <w:hideMark/>
          </w:tcPr>
          <w:p w14:paraId="28826FB0" w14:textId="77777777" w:rsidR="009F33B9" w:rsidRDefault="009F33B9" w:rsidP="005D3108">
            <w:pPr>
              <w:spacing w:before="0" w:after="0"/>
              <w:jc w:val="center"/>
              <w:rPr>
                <w:b/>
                <w:bCs/>
                <w:color w:val="000000"/>
                <w:sz w:val="14"/>
                <w:szCs w:val="14"/>
              </w:rPr>
            </w:pPr>
            <w:r>
              <w:rPr>
                <w:b/>
                <w:bCs/>
                <w:color w:val="000000"/>
                <w:sz w:val="14"/>
                <w:szCs w:val="14"/>
              </w:rPr>
              <w:t>GBR region</w:t>
            </w:r>
          </w:p>
        </w:tc>
        <w:tc>
          <w:tcPr>
            <w:tcW w:w="1294" w:type="dxa"/>
            <w:vMerge w:val="restart"/>
            <w:tcBorders>
              <w:top w:val="single" w:sz="4" w:space="0" w:color="auto"/>
              <w:left w:val="nil"/>
              <w:bottom w:val="nil"/>
              <w:right w:val="nil"/>
            </w:tcBorders>
            <w:shd w:val="clear" w:color="auto" w:fill="BBE0E3"/>
            <w:noWrap/>
            <w:vAlign w:val="center"/>
            <w:hideMark/>
          </w:tcPr>
          <w:p w14:paraId="2F0379AC" w14:textId="77777777" w:rsidR="009F33B9" w:rsidRDefault="009F33B9" w:rsidP="005D3108">
            <w:pPr>
              <w:spacing w:before="0" w:after="0"/>
              <w:jc w:val="center"/>
              <w:rPr>
                <w:b/>
                <w:bCs/>
                <w:color w:val="000000"/>
                <w:sz w:val="14"/>
                <w:szCs w:val="14"/>
              </w:rPr>
            </w:pPr>
            <w:r>
              <w:rPr>
                <w:b/>
                <w:bCs/>
                <w:color w:val="000000"/>
                <w:sz w:val="14"/>
                <w:szCs w:val="14"/>
              </w:rPr>
              <w:t>NRM region</w:t>
            </w:r>
          </w:p>
        </w:tc>
        <w:tc>
          <w:tcPr>
            <w:tcW w:w="1299" w:type="dxa"/>
            <w:vMerge w:val="restart"/>
            <w:tcBorders>
              <w:top w:val="single" w:sz="4" w:space="0" w:color="auto"/>
              <w:left w:val="nil"/>
              <w:bottom w:val="nil"/>
              <w:right w:val="nil"/>
            </w:tcBorders>
            <w:shd w:val="clear" w:color="auto" w:fill="BBE0E3"/>
            <w:vAlign w:val="center"/>
            <w:hideMark/>
          </w:tcPr>
          <w:p w14:paraId="335F80F2" w14:textId="77777777" w:rsidR="009F33B9" w:rsidRDefault="009F33B9" w:rsidP="005D3108">
            <w:pPr>
              <w:spacing w:before="0" w:after="0"/>
              <w:jc w:val="center"/>
              <w:rPr>
                <w:b/>
                <w:bCs/>
                <w:color w:val="000000"/>
                <w:sz w:val="14"/>
                <w:szCs w:val="14"/>
              </w:rPr>
            </w:pPr>
            <w:r>
              <w:rPr>
                <w:b/>
                <w:bCs/>
                <w:color w:val="000000"/>
                <w:sz w:val="14"/>
                <w:szCs w:val="14"/>
              </w:rPr>
              <w:t>Basin</w:t>
            </w:r>
          </w:p>
        </w:tc>
        <w:tc>
          <w:tcPr>
            <w:tcW w:w="2147" w:type="dxa"/>
            <w:gridSpan w:val="2"/>
            <w:vMerge w:val="restart"/>
            <w:tcBorders>
              <w:top w:val="single" w:sz="4" w:space="0" w:color="auto"/>
              <w:left w:val="nil"/>
              <w:bottom w:val="nil"/>
              <w:right w:val="nil"/>
            </w:tcBorders>
            <w:shd w:val="clear" w:color="auto" w:fill="BBE0E3"/>
            <w:noWrap/>
            <w:vAlign w:val="center"/>
            <w:hideMark/>
          </w:tcPr>
          <w:p w14:paraId="71E28600" w14:textId="77777777" w:rsidR="009F33B9" w:rsidRDefault="009F33B9" w:rsidP="005D3108">
            <w:pPr>
              <w:spacing w:before="0" w:after="0"/>
              <w:jc w:val="center"/>
              <w:rPr>
                <w:b/>
                <w:bCs/>
                <w:color w:val="000000"/>
                <w:sz w:val="14"/>
                <w:szCs w:val="14"/>
              </w:rPr>
            </w:pPr>
            <w:r>
              <w:rPr>
                <w:b/>
                <w:bCs/>
                <w:color w:val="000000"/>
                <w:sz w:val="14"/>
                <w:szCs w:val="14"/>
              </w:rPr>
              <w:t>Monitoring location</w:t>
            </w:r>
          </w:p>
        </w:tc>
        <w:tc>
          <w:tcPr>
            <w:tcW w:w="3802" w:type="dxa"/>
            <w:gridSpan w:val="7"/>
            <w:tcBorders>
              <w:top w:val="single" w:sz="4" w:space="0" w:color="auto"/>
              <w:left w:val="nil"/>
              <w:bottom w:val="nil"/>
              <w:right w:val="single" w:sz="4" w:space="0" w:color="auto"/>
            </w:tcBorders>
            <w:shd w:val="clear" w:color="auto" w:fill="BBE0E3"/>
            <w:vAlign w:val="center"/>
            <w:hideMark/>
          </w:tcPr>
          <w:p w14:paraId="1A3B8FC9" w14:textId="77777777" w:rsidR="009F33B9" w:rsidRDefault="009F33B9" w:rsidP="005D3108">
            <w:pPr>
              <w:spacing w:before="0" w:after="0"/>
              <w:jc w:val="center"/>
              <w:rPr>
                <w:b/>
                <w:bCs/>
                <w:color w:val="000000"/>
                <w:sz w:val="14"/>
                <w:szCs w:val="14"/>
              </w:rPr>
            </w:pPr>
            <w:r>
              <w:rPr>
                <w:b/>
                <w:bCs/>
                <w:color w:val="000000"/>
                <w:sz w:val="14"/>
                <w:szCs w:val="14"/>
              </w:rPr>
              <w:t>late dry Season (2018)</w:t>
            </w:r>
          </w:p>
        </w:tc>
        <w:tc>
          <w:tcPr>
            <w:tcW w:w="3351" w:type="dxa"/>
            <w:gridSpan w:val="7"/>
            <w:tcBorders>
              <w:top w:val="single" w:sz="4" w:space="0" w:color="auto"/>
              <w:left w:val="single" w:sz="4" w:space="0" w:color="auto"/>
              <w:bottom w:val="nil"/>
              <w:right w:val="nil"/>
            </w:tcBorders>
            <w:shd w:val="clear" w:color="auto" w:fill="BBE0E3"/>
            <w:vAlign w:val="center"/>
            <w:hideMark/>
          </w:tcPr>
          <w:p w14:paraId="7A07C724" w14:textId="77777777" w:rsidR="009F33B9" w:rsidRDefault="009F33B9" w:rsidP="005D3108">
            <w:pPr>
              <w:spacing w:before="0" w:after="0"/>
              <w:jc w:val="center"/>
              <w:rPr>
                <w:b/>
                <w:bCs/>
                <w:color w:val="000000"/>
                <w:sz w:val="14"/>
                <w:szCs w:val="14"/>
              </w:rPr>
            </w:pPr>
            <w:r>
              <w:rPr>
                <w:b/>
                <w:bCs/>
                <w:color w:val="000000"/>
                <w:sz w:val="14"/>
                <w:szCs w:val="14"/>
              </w:rPr>
              <w:t>late wet Season (2019)</w:t>
            </w:r>
          </w:p>
        </w:tc>
      </w:tr>
      <w:tr w:rsidR="009F33B9" w14:paraId="11745458" w14:textId="77777777" w:rsidTr="00FC3D7F">
        <w:trPr>
          <w:gridAfter w:val="1"/>
          <w:wAfter w:w="10" w:type="dxa"/>
          <w:cantSplit/>
          <w:trHeight w:val="251"/>
          <w:tblHeader/>
          <w:jc w:val="center"/>
        </w:trPr>
        <w:tc>
          <w:tcPr>
            <w:tcW w:w="1148" w:type="dxa"/>
            <w:vMerge/>
            <w:tcBorders>
              <w:top w:val="single" w:sz="4" w:space="0" w:color="auto"/>
              <w:left w:val="nil"/>
              <w:bottom w:val="nil"/>
              <w:right w:val="nil"/>
            </w:tcBorders>
            <w:vAlign w:val="center"/>
            <w:hideMark/>
          </w:tcPr>
          <w:p w14:paraId="318B7A2F" w14:textId="77777777" w:rsidR="009F33B9" w:rsidRDefault="009F33B9" w:rsidP="005D3108">
            <w:pPr>
              <w:spacing w:before="0" w:after="0"/>
              <w:rPr>
                <w:b/>
                <w:bCs/>
                <w:color w:val="000000"/>
                <w:sz w:val="14"/>
                <w:szCs w:val="14"/>
              </w:rPr>
            </w:pPr>
          </w:p>
        </w:tc>
        <w:tc>
          <w:tcPr>
            <w:tcW w:w="1294" w:type="dxa"/>
            <w:vMerge/>
            <w:tcBorders>
              <w:top w:val="single" w:sz="4" w:space="0" w:color="auto"/>
              <w:left w:val="nil"/>
              <w:bottom w:val="nil"/>
              <w:right w:val="nil"/>
            </w:tcBorders>
            <w:vAlign w:val="center"/>
            <w:hideMark/>
          </w:tcPr>
          <w:p w14:paraId="4EDB338A" w14:textId="77777777" w:rsidR="009F33B9" w:rsidRDefault="009F33B9" w:rsidP="005D3108">
            <w:pPr>
              <w:spacing w:before="0" w:after="0"/>
              <w:rPr>
                <w:b/>
                <w:bCs/>
                <w:color w:val="000000"/>
                <w:sz w:val="14"/>
                <w:szCs w:val="14"/>
              </w:rPr>
            </w:pPr>
          </w:p>
        </w:tc>
        <w:tc>
          <w:tcPr>
            <w:tcW w:w="1299" w:type="dxa"/>
            <w:vMerge/>
            <w:tcBorders>
              <w:top w:val="single" w:sz="4" w:space="0" w:color="auto"/>
              <w:left w:val="nil"/>
              <w:bottom w:val="nil"/>
              <w:right w:val="nil"/>
            </w:tcBorders>
            <w:vAlign w:val="center"/>
            <w:hideMark/>
          </w:tcPr>
          <w:p w14:paraId="4A552680" w14:textId="77777777" w:rsidR="009F33B9" w:rsidRDefault="009F33B9" w:rsidP="005D3108">
            <w:pPr>
              <w:spacing w:before="0" w:after="0"/>
              <w:rPr>
                <w:b/>
                <w:bCs/>
                <w:color w:val="000000"/>
                <w:sz w:val="14"/>
                <w:szCs w:val="14"/>
              </w:rPr>
            </w:pPr>
          </w:p>
        </w:tc>
        <w:tc>
          <w:tcPr>
            <w:tcW w:w="2147" w:type="dxa"/>
            <w:gridSpan w:val="2"/>
            <w:vMerge/>
            <w:tcBorders>
              <w:top w:val="single" w:sz="4" w:space="0" w:color="auto"/>
              <w:left w:val="nil"/>
              <w:bottom w:val="nil"/>
              <w:right w:val="nil"/>
            </w:tcBorders>
            <w:vAlign w:val="center"/>
            <w:hideMark/>
          </w:tcPr>
          <w:p w14:paraId="3FB2CF85" w14:textId="77777777" w:rsidR="009F33B9" w:rsidRDefault="009F33B9" w:rsidP="005D3108">
            <w:pPr>
              <w:spacing w:before="0" w:after="0"/>
              <w:rPr>
                <w:b/>
                <w:bCs/>
                <w:color w:val="000000"/>
                <w:sz w:val="14"/>
                <w:szCs w:val="14"/>
              </w:rPr>
            </w:pPr>
          </w:p>
        </w:tc>
        <w:tc>
          <w:tcPr>
            <w:tcW w:w="555" w:type="dxa"/>
            <w:tcBorders>
              <w:top w:val="single" w:sz="4" w:space="0" w:color="auto"/>
              <w:left w:val="nil"/>
              <w:bottom w:val="nil"/>
              <w:right w:val="nil"/>
            </w:tcBorders>
            <w:shd w:val="clear" w:color="auto" w:fill="BBE0E3"/>
            <w:vAlign w:val="center"/>
            <w:hideMark/>
          </w:tcPr>
          <w:p w14:paraId="49D0050C" w14:textId="77777777" w:rsidR="009F33B9" w:rsidRDefault="009F33B9" w:rsidP="005D3108">
            <w:pPr>
              <w:spacing w:before="0" w:after="0"/>
              <w:jc w:val="center"/>
              <w:rPr>
                <w:b/>
                <w:bCs/>
                <w:color w:val="000000"/>
                <w:sz w:val="14"/>
                <w:szCs w:val="14"/>
              </w:rPr>
            </w:pPr>
            <w:r>
              <w:rPr>
                <w:b/>
                <w:color w:val="000000"/>
                <w:sz w:val="14"/>
                <w:szCs w:val="14"/>
              </w:rPr>
              <w:t>SG</w:t>
            </w:r>
          </w:p>
        </w:tc>
        <w:tc>
          <w:tcPr>
            <w:tcW w:w="543" w:type="dxa"/>
            <w:tcBorders>
              <w:top w:val="single" w:sz="4" w:space="0" w:color="auto"/>
              <w:left w:val="nil"/>
              <w:bottom w:val="nil"/>
              <w:right w:val="nil"/>
            </w:tcBorders>
            <w:shd w:val="clear" w:color="auto" w:fill="BBE0E3"/>
            <w:noWrap/>
            <w:vAlign w:val="center"/>
            <w:hideMark/>
          </w:tcPr>
          <w:p w14:paraId="4C5E6E22" w14:textId="77777777" w:rsidR="009F33B9" w:rsidRDefault="009F33B9" w:rsidP="005D3108">
            <w:pPr>
              <w:spacing w:before="0" w:after="0"/>
              <w:jc w:val="center"/>
              <w:rPr>
                <w:b/>
                <w:bCs/>
                <w:color w:val="000000"/>
                <w:sz w:val="14"/>
                <w:szCs w:val="14"/>
              </w:rPr>
            </w:pPr>
            <w:r>
              <w:rPr>
                <w:b/>
                <w:color w:val="000000"/>
                <w:sz w:val="14"/>
                <w:szCs w:val="14"/>
              </w:rPr>
              <w:t>SB</w:t>
            </w:r>
          </w:p>
        </w:tc>
        <w:tc>
          <w:tcPr>
            <w:tcW w:w="540" w:type="dxa"/>
            <w:tcBorders>
              <w:top w:val="single" w:sz="4" w:space="0" w:color="auto"/>
              <w:left w:val="nil"/>
              <w:bottom w:val="nil"/>
              <w:right w:val="nil"/>
            </w:tcBorders>
            <w:shd w:val="clear" w:color="auto" w:fill="BBE0E3"/>
            <w:noWrap/>
            <w:vAlign w:val="center"/>
            <w:hideMark/>
          </w:tcPr>
          <w:p w14:paraId="5DB3E0D9" w14:textId="77777777" w:rsidR="009F33B9" w:rsidRDefault="009F33B9" w:rsidP="005D3108">
            <w:pPr>
              <w:spacing w:before="0" w:after="0"/>
              <w:jc w:val="center"/>
              <w:rPr>
                <w:b/>
                <w:bCs/>
                <w:color w:val="000000"/>
                <w:sz w:val="14"/>
                <w:szCs w:val="14"/>
              </w:rPr>
            </w:pPr>
            <w:r>
              <w:rPr>
                <w:b/>
                <w:color w:val="000000"/>
                <w:sz w:val="14"/>
                <w:szCs w:val="14"/>
              </w:rPr>
              <w:t>TN</w:t>
            </w:r>
          </w:p>
        </w:tc>
        <w:tc>
          <w:tcPr>
            <w:tcW w:w="536" w:type="dxa"/>
            <w:tcBorders>
              <w:top w:val="single" w:sz="4" w:space="0" w:color="auto"/>
              <w:left w:val="nil"/>
              <w:bottom w:val="nil"/>
              <w:right w:val="nil"/>
            </w:tcBorders>
            <w:shd w:val="clear" w:color="auto" w:fill="BBE0E3"/>
            <w:vAlign w:val="center"/>
            <w:hideMark/>
          </w:tcPr>
          <w:p w14:paraId="58C5BE25" w14:textId="77777777" w:rsidR="009F33B9" w:rsidRDefault="009F33B9" w:rsidP="005D3108">
            <w:pPr>
              <w:spacing w:before="0" w:after="0"/>
              <w:jc w:val="center"/>
              <w:rPr>
                <w:b/>
                <w:bCs/>
                <w:color w:val="000000"/>
                <w:sz w:val="14"/>
                <w:szCs w:val="14"/>
              </w:rPr>
            </w:pPr>
            <w:r>
              <w:rPr>
                <w:b/>
                <w:color w:val="000000"/>
                <w:sz w:val="14"/>
                <w:szCs w:val="14"/>
              </w:rPr>
              <w:t>EM</w:t>
            </w:r>
          </w:p>
        </w:tc>
        <w:tc>
          <w:tcPr>
            <w:tcW w:w="540" w:type="dxa"/>
            <w:tcBorders>
              <w:top w:val="single" w:sz="4" w:space="0" w:color="auto"/>
              <w:left w:val="nil"/>
              <w:bottom w:val="nil"/>
              <w:right w:val="nil"/>
            </w:tcBorders>
            <w:shd w:val="clear" w:color="auto" w:fill="BBE0E3"/>
            <w:vAlign w:val="center"/>
            <w:hideMark/>
          </w:tcPr>
          <w:p w14:paraId="351C7F10" w14:textId="77777777" w:rsidR="009F33B9" w:rsidRDefault="009F33B9" w:rsidP="005D3108">
            <w:pPr>
              <w:spacing w:before="0" w:after="0"/>
              <w:jc w:val="center"/>
              <w:rPr>
                <w:b/>
                <w:bCs/>
                <w:color w:val="000000"/>
                <w:sz w:val="14"/>
                <w:szCs w:val="14"/>
              </w:rPr>
            </w:pPr>
            <w:r>
              <w:rPr>
                <w:b/>
                <w:color w:val="000000"/>
                <w:sz w:val="14"/>
                <w:szCs w:val="14"/>
              </w:rPr>
              <w:t>RH</w:t>
            </w:r>
          </w:p>
        </w:tc>
        <w:tc>
          <w:tcPr>
            <w:tcW w:w="529" w:type="dxa"/>
            <w:tcBorders>
              <w:top w:val="single" w:sz="4" w:space="0" w:color="auto"/>
              <w:left w:val="nil"/>
              <w:bottom w:val="nil"/>
              <w:right w:val="nil"/>
            </w:tcBorders>
            <w:shd w:val="clear" w:color="auto" w:fill="BBE0E3"/>
            <w:vAlign w:val="center"/>
            <w:hideMark/>
          </w:tcPr>
          <w:p w14:paraId="214358B0" w14:textId="77777777" w:rsidR="009F33B9" w:rsidRDefault="009F33B9" w:rsidP="005D3108">
            <w:pPr>
              <w:spacing w:before="0" w:after="0"/>
              <w:jc w:val="center"/>
              <w:rPr>
                <w:b/>
                <w:bCs/>
                <w:color w:val="000000"/>
                <w:sz w:val="14"/>
                <w:szCs w:val="14"/>
              </w:rPr>
            </w:pPr>
            <w:r>
              <w:rPr>
                <w:b/>
                <w:color w:val="000000"/>
                <w:sz w:val="14"/>
                <w:szCs w:val="14"/>
              </w:rPr>
              <w:t>TL</w:t>
            </w:r>
          </w:p>
        </w:tc>
        <w:tc>
          <w:tcPr>
            <w:tcW w:w="559" w:type="dxa"/>
            <w:tcBorders>
              <w:top w:val="single" w:sz="4" w:space="0" w:color="auto"/>
              <w:left w:val="nil"/>
              <w:bottom w:val="nil"/>
              <w:right w:val="single" w:sz="4" w:space="0" w:color="auto"/>
            </w:tcBorders>
            <w:shd w:val="clear" w:color="auto" w:fill="BBE0E3"/>
            <w:vAlign w:val="center"/>
            <w:hideMark/>
          </w:tcPr>
          <w:p w14:paraId="2FAE238B" w14:textId="77777777" w:rsidR="009F33B9" w:rsidRDefault="009F33B9" w:rsidP="005D3108">
            <w:pPr>
              <w:spacing w:before="0" w:after="0"/>
              <w:jc w:val="center"/>
              <w:rPr>
                <w:b/>
                <w:bCs/>
                <w:color w:val="000000"/>
                <w:sz w:val="14"/>
                <w:szCs w:val="14"/>
              </w:rPr>
            </w:pPr>
            <w:r>
              <w:rPr>
                <w:b/>
                <w:color w:val="000000"/>
                <w:sz w:val="14"/>
                <w:szCs w:val="14"/>
              </w:rPr>
              <w:t>LL</w:t>
            </w:r>
          </w:p>
        </w:tc>
        <w:tc>
          <w:tcPr>
            <w:tcW w:w="559" w:type="dxa"/>
            <w:tcBorders>
              <w:top w:val="single" w:sz="4" w:space="0" w:color="auto"/>
              <w:left w:val="single" w:sz="4" w:space="0" w:color="auto"/>
              <w:bottom w:val="nil"/>
              <w:right w:val="nil"/>
            </w:tcBorders>
            <w:shd w:val="clear" w:color="auto" w:fill="BBE0E3"/>
            <w:vAlign w:val="center"/>
            <w:hideMark/>
          </w:tcPr>
          <w:p w14:paraId="46964989" w14:textId="77777777" w:rsidR="009F33B9" w:rsidRDefault="009F33B9" w:rsidP="005D3108">
            <w:pPr>
              <w:spacing w:before="0" w:after="0"/>
              <w:jc w:val="center"/>
              <w:rPr>
                <w:b/>
                <w:bCs/>
                <w:color w:val="000000"/>
                <w:sz w:val="14"/>
                <w:szCs w:val="14"/>
              </w:rPr>
            </w:pPr>
            <w:r>
              <w:rPr>
                <w:b/>
                <w:color w:val="000000"/>
                <w:sz w:val="14"/>
                <w:szCs w:val="14"/>
              </w:rPr>
              <w:t>SG</w:t>
            </w:r>
          </w:p>
        </w:tc>
        <w:tc>
          <w:tcPr>
            <w:tcW w:w="559" w:type="dxa"/>
            <w:tcBorders>
              <w:top w:val="single" w:sz="4" w:space="0" w:color="auto"/>
              <w:left w:val="nil"/>
              <w:bottom w:val="nil"/>
              <w:right w:val="nil"/>
            </w:tcBorders>
            <w:shd w:val="clear" w:color="auto" w:fill="BBE0E3"/>
            <w:vAlign w:val="center"/>
            <w:hideMark/>
          </w:tcPr>
          <w:p w14:paraId="0E8FF5E6" w14:textId="77777777" w:rsidR="009F33B9" w:rsidRDefault="009F33B9" w:rsidP="005D3108">
            <w:pPr>
              <w:spacing w:before="0" w:after="0"/>
              <w:jc w:val="center"/>
              <w:rPr>
                <w:b/>
                <w:bCs/>
                <w:color w:val="000000"/>
                <w:sz w:val="14"/>
                <w:szCs w:val="14"/>
              </w:rPr>
            </w:pPr>
            <w:r>
              <w:rPr>
                <w:b/>
                <w:color w:val="000000"/>
                <w:sz w:val="14"/>
                <w:szCs w:val="14"/>
              </w:rPr>
              <w:t>SB</w:t>
            </w:r>
          </w:p>
        </w:tc>
        <w:tc>
          <w:tcPr>
            <w:tcW w:w="559" w:type="dxa"/>
            <w:tcBorders>
              <w:top w:val="single" w:sz="4" w:space="0" w:color="auto"/>
              <w:left w:val="nil"/>
              <w:bottom w:val="nil"/>
              <w:right w:val="nil"/>
            </w:tcBorders>
            <w:shd w:val="clear" w:color="auto" w:fill="BBE0E3"/>
            <w:vAlign w:val="center"/>
            <w:hideMark/>
          </w:tcPr>
          <w:p w14:paraId="43D925F6" w14:textId="77777777" w:rsidR="009F33B9" w:rsidRDefault="009F33B9" w:rsidP="005D3108">
            <w:pPr>
              <w:spacing w:before="0" w:after="0"/>
              <w:jc w:val="center"/>
              <w:rPr>
                <w:b/>
                <w:bCs/>
                <w:color w:val="000000"/>
                <w:sz w:val="14"/>
                <w:szCs w:val="14"/>
              </w:rPr>
            </w:pPr>
            <w:r>
              <w:rPr>
                <w:b/>
                <w:color w:val="000000"/>
                <w:sz w:val="14"/>
                <w:szCs w:val="14"/>
              </w:rPr>
              <w:t>EM</w:t>
            </w:r>
          </w:p>
        </w:tc>
        <w:tc>
          <w:tcPr>
            <w:tcW w:w="559" w:type="dxa"/>
            <w:tcBorders>
              <w:top w:val="single" w:sz="4" w:space="0" w:color="auto"/>
              <w:left w:val="nil"/>
              <w:bottom w:val="nil"/>
              <w:right w:val="nil"/>
            </w:tcBorders>
            <w:shd w:val="clear" w:color="auto" w:fill="BBE0E3"/>
            <w:vAlign w:val="center"/>
            <w:hideMark/>
          </w:tcPr>
          <w:p w14:paraId="7C922B0D" w14:textId="77777777" w:rsidR="009F33B9" w:rsidRDefault="009F33B9" w:rsidP="005D3108">
            <w:pPr>
              <w:spacing w:before="0" w:after="0"/>
              <w:jc w:val="center"/>
              <w:rPr>
                <w:b/>
                <w:bCs/>
                <w:color w:val="000000"/>
                <w:sz w:val="14"/>
                <w:szCs w:val="14"/>
              </w:rPr>
            </w:pPr>
            <w:r>
              <w:rPr>
                <w:b/>
                <w:color w:val="000000"/>
                <w:sz w:val="14"/>
                <w:szCs w:val="14"/>
              </w:rPr>
              <w:t>RH</w:t>
            </w:r>
          </w:p>
        </w:tc>
        <w:tc>
          <w:tcPr>
            <w:tcW w:w="559" w:type="dxa"/>
            <w:tcBorders>
              <w:top w:val="single" w:sz="4" w:space="0" w:color="auto"/>
              <w:left w:val="nil"/>
              <w:bottom w:val="nil"/>
              <w:right w:val="nil"/>
            </w:tcBorders>
            <w:shd w:val="clear" w:color="auto" w:fill="BBE0E3"/>
            <w:vAlign w:val="center"/>
            <w:hideMark/>
          </w:tcPr>
          <w:p w14:paraId="0E8A8604" w14:textId="77777777" w:rsidR="009F33B9" w:rsidRDefault="009F33B9" w:rsidP="005D3108">
            <w:pPr>
              <w:spacing w:before="0" w:after="0"/>
              <w:jc w:val="center"/>
              <w:rPr>
                <w:b/>
                <w:bCs/>
                <w:color w:val="000000"/>
                <w:sz w:val="14"/>
                <w:szCs w:val="14"/>
              </w:rPr>
            </w:pPr>
            <w:r>
              <w:rPr>
                <w:b/>
                <w:color w:val="000000"/>
                <w:sz w:val="14"/>
                <w:szCs w:val="14"/>
              </w:rPr>
              <w:t>TL</w:t>
            </w:r>
          </w:p>
        </w:tc>
        <w:tc>
          <w:tcPr>
            <w:tcW w:w="546" w:type="dxa"/>
            <w:tcBorders>
              <w:top w:val="single" w:sz="4" w:space="0" w:color="auto"/>
              <w:left w:val="nil"/>
              <w:bottom w:val="nil"/>
              <w:right w:val="nil"/>
            </w:tcBorders>
            <w:shd w:val="clear" w:color="auto" w:fill="BBE0E3"/>
            <w:vAlign w:val="center"/>
            <w:hideMark/>
          </w:tcPr>
          <w:p w14:paraId="7343F754" w14:textId="77777777" w:rsidR="009F33B9" w:rsidRDefault="009F33B9" w:rsidP="005D3108">
            <w:pPr>
              <w:spacing w:before="0" w:after="0"/>
              <w:jc w:val="center"/>
              <w:rPr>
                <w:b/>
                <w:bCs/>
                <w:color w:val="000000"/>
                <w:sz w:val="14"/>
                <w:szCs w:val="14"/>
              </w:rPr>
            </w:pPr>
            <w:r>
              <w:rPr>
                <w:b/>
                <w:color w:val="000000"/>
                <w:sz w:val="14"/>
                <w:szCs w:val="14"/>
              </w:rPr>
              <w:t>LL</w:t>
            </w:r>
          </w:p>
        </w:tc>
      </w:tr>
      <w:tr w:rsidR="009F33B9" w14:paraId="0A96442A" w14:textId="77777777" w:rsidTr="00FC3D7F">
        <w:trPr>
          <w:gridAfter w:val="1"/>
          <w:wAfter w:w="10" w:type="dxa"/>
          <w:cantSplit/>
          <w:trHeight w:val="170"/>
          <w:jc w:val="center"/>
        </w:trPr>
        <w:tc>
          <w:tcPr>
            <w:tcW w:w="1148" w:type="dxa"/>
            <w:vMerge w:val="restart"/>
            <w:tcBorders>
              <w:top w:val="single" w:sz="4" w:space="0" w:color="auto"/>
              <w:left w:val="nil"/>
              <w:bottom w:val="nil"/>
              <w:right w:val="nil"/>
            </w:tcBorders>
            <w:noWrap/>
            <w:vAlign w:val="center"/>
            <w:hideMark/>
          </w:tcPr>
          <w:p w14:paraId="36D46D24" w14:textId="77777777" w:rsidR="009F33B9" w:rsidRDefault="009F33B9" w:rsidP="005D3108">
            <w:pPr>
              <w:spacing w:before="0" w:after="0"/>
              <w:jc w:val="center"/>
              <w:rPr>
                <w:color w:val="000000"/>
                <w:sz w:val="14"/>
                <w:szCs w:val="14"/>
              </w:rPr>
            </w:pPr>
            <w:r>
              <w:rPr>
                <w:color w:val="000000"/>
                <w:sz w:val="14"/>
                <w:szCs w:val="14"/>
              </w:rPr>
              <w:t>Far Northern</w:t>
            </w:r>
          </w:p>
        </w:tc>
        <w:tc>
          <w:tcPr>
            <w:tcW w:w="1294" w:type="dxa"/>
            <w:vMerge w:val="restart"/>
            <w:tcBorders>
              <w:top w:val="single" w:sz="4" w:space="0" w:color="auto"/>
              <w:left w:val="nil"/>
              <w:bottom w:val="nil"/>
              <w:right w:val="nil"/>
            </w:tcBorders>
            <w:shd w:val="clear" w:color="auto" w:fill="E7F3F4"/>
            <w:noWrap/>
            <w:vAlign w:val="center"/>
            <w:hideMark/>
          </w:tcPr>
          <w:p w14:paraId="0E6BC843" w14:textId="77777777" w:rsidR="009F33B9" w:rsidRDefault="009F33B9" w:rsidP="005D3108">
            <w:pPr>
              <w:spacing w:before="0" w:after="0"/>
              <w:jc w:val="center"/>
              <w:rPr>
                <w:color w:val="000000"/>
                <w:sz w:val="14"/>
                <w:szCs w:val="14"/>
              </w:rPr>
            </w:pPr>
            <w:r>
              <w:rPr>
                <w:color w:val="000000"/>
                <w:sz w:val="14"/>
                <w:szCs w:val="14"/>
              </w:rPr>
              <w:t>Cape York</w:t>
            </w:r>
          </w:p>
        </w:tc>
        <w:tc>
          <w:tcPr>
            <w:tcW w:w="1299" w:type="dxa"/>
            <w:vMerge w:val="restart"/>
            <w:tcBorders>
              <w:top w:val="single" w:sz="4" w:space="0" w:color="auto"/>
              <w:left w:val="nil"/>
              <w:bottom w:val="nil"/>
              <w:right w:val="nil"/>
            </w:tcBorders>
            <w:shd w:val="clear" w:color="auto" w:fill="E7F3F4"/>
            <w:vAlign w:val="center"/>
          </w:tcPr>
          <w:p w14:paraId="57EE5F12" w14:textId="77777777" w:rsidR="009F33B9" w:rsidRDefault="009F33B9" w:rsidP="005D3108">
            <w:pPr>
              <w:spacing w:before="0" w:after="0"/>
              <w:jc w:val="center"/>
              <w:rPr>
                <w:color w:val="000000"/>
                <w:sz w:val="14"/>
                <w:szCs w:val="14"/>
              </w:rPr>
            </w:pPr>
            <w:r>
              <w:rPr>
                <w:color w:val="000000"/>
                <w:sz w:val="14"/>
                <w:szCs w:val="14"/>
              </w:rPr>
              <w:t>Jacky Jacky / Olive Pascoe</w:t>
            </w:r>
          </w:p>
        </w:tc>
        <w:tc>
          <w:tcPr>
            <w:tcW w:w="1307" w:type="dxa"/>
            <w:vMerge w:val="restart"/>
            <w:tcBorders>
              <w:top w:val="single" w:sz="4" w:space="0" w:color="auto"/>
              <w:left w:val="nil"/>
              <w:bottom w:val="nil"/>
              <w:right w:val="nil"/>
            </w:tcBorders>
            <w:shd w:val="clear" w:color="auto" w:fill="E7F3F4"/>
            <w:noWrap/>
            <w:vAlign w:val="center"/>
            <w:hideMark/>
          </w:tcPr>
          <w:p w14:paraId="6EC2203C" w14:textId="77777777" w:rsidR="009F33B9" w:rsidRDefault="009F33B9" w:rsidP="005D3108">
            <w:pPr>
              <w:spacing w:before="0" w:after="0"/>
              <w:jc w:val="center"/>
              <w:rPr>
                <w:color w:val="000000"/>
                <w:sz w:val="14"/>
                <w:szCs w:val="14"/>
              </w:rPr>
            </w:pPr>
            <w:r>
              <w:rPr>
                <w:color w:val="000000"/>
                <w:sz w:val="14"/>
                <w:szCs w:val="14"/>
              </w:rPr>
              <w:t>Shelburne Bay</w:t>
            </w:r>
          </w:p>
        </w:tc>
        <w:tc>
          <w:tcPr>
            <w:tcW w:w="840" w:type="dxa"/>
            <w:tcBorders>
              <w:top w:val="single" w:sz="4" w:space="0" w:color="auto"/>
              <w:left w:val="nil"/>
              <w:right w:val="nil"/>
            </w:tcBorders>
            <w:shd w:val="clear" w:color="auto" w:fill="E7F3F4"/>
            <w:noWrap/>
            <w:vAlign w:val="center"/>
            <w:hideMark/>
          </w:tcPr>
          <w:p w14:paraId="285B90D0" w14:textId="77777777" w:rsidR="009F33B9" w:rsidRDefault="009F33B9" w:rsidP="005D3108">
            <w:pPr>
              <w:spacing w:before="0" w:after="0"/>
              <w:jc w:val="center"/>
              <w:rPr>
                <w:b/>
                <w:color w:val="000000"/>
                <w:sz w:val="14"/>
                <w:szCs w:val="14"/>
              </w:rPr>
            </w:pPr>
            <w:r>
              <w:rPr>
                <w:b/>
                <w:color w:val="000000"/>
                <w:sz w:val="14"/>
                <w:szCs w:val="14"/>
              </w:rPr>
              <w:t>SR1</w:t>
            </w:r>
          </w:p>
        </w:tc>
        <w:tc>
          <w:tcPr>
            <w:tcW w:w="555" w:type="dxa"/>
            <w:tcBorders>
              <w:top w:val="single" w:sz="4" w:space="0" w:color="auto"/>
              <w:left w:val="nil"/>
              <w:right w:val="nil"/>
            </w:tcBorders>
            <w:shd w:val="clear" w:color="auto" w:fill="E7F3F4"/>
            <w:vAlign w:val="center"/>
          </w:tcPr>
          <w:p w14:paraId="5BCF4E82"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tcPr>
          <w:p w14:paraId="3B03ADFD"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tcPr>
          <w:p w14:paraId="173697CF"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tcPr>
          <w:p w14:paraId="246A8BF6"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tcPr>
          <w:p w14:paraId="268812D8"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tcPr>
          <w:p w14:paraId="4D479DF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tcPr>
          <w:p w14:paraId="4F840118"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tcPr>
          <w:p w14:paraId="162AD2EF"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03EACCCE"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61BFB43B"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2721A85"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3E70270D"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tcPr>
          <w:p w14:paraId="6F96E32E" w14:textId="77777777" w:rsidR="009F33B9" w:rsidRDefault="009F33B9" w:rsidP="005D3108">
            <w:pPr>
              <w:spacing w:before="0" w:after="0"/>
              <w:jc w:val="center"/>
              <w:rPr>
                <w:color w:val="000000"/>
                <w:sz w:val="14"/>
                <w:szCs w:val="14"/>
              </w:rPr>
            </w:pPr>
          </w:p>
        </w:tc>
      </w:tr>
      <w:tr w:rsidR="009F33B9" w14:paraId="57BA6EE7"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1C1BAD3"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40291A00"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03D75AAE"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77BE6F2B" w14:textId="77777777" w:rsidR="009F33B9" w:rsidRDefault="009F33B9" w:rsidP="005D3108">
            <w:pPr>
              <w:spacing w:before="0" w:after="0"/>
              <w:rPr>
                <w:color w:val="000000"/>
                <w:sz w:val="14"/>
                <w:szCs w:val="14"/>
              </w:rPr>
            </w:pPr>
          </w:p>
        </w:tc>
        <w:tc>
          <w:tcPr>
            <w:tcW w:w="840" w:type="dxa"/>
            <w:tcBorders>
              <w:left w:val="nil"/>
              <w:bottom w:val="nil"/>
            </w:tcBorders>
            <w:shd w:val="clear" w:color="auto" w:fill="E7F3F4"/>
            <w:noWrap/>
            <w:vAlign w:val="center"/>
            <w:hideMark/>
          </w:tcPr>
          <w:p w14:paraId="5FBBBA08" w14:textId="77777777" w:rsidR="009F33B9" w:rsidRDefault="009F33B9" w:rsidP="005D3108">
            <w:pPr>
              <w:spacing w:before="0" w:after="0"/>
              <w:jc w:val="center"/>
              <w:rPr>
                <w:b/>
                <w:color w:val="000000"/>
                <w:sz w:val="14"/>
                <w:szCs w:val="14"/>
              </w:rPr>
            </w:pPr>
            <w:r>
              <w:rPr>
                <w:b/>
                <w:color w:val="000000"/>
                <w:sz w:val="14"/>
                <w:szCs w:val="14"/>
              </w:rPr>
              <w:t>SR2</w:t>
            </w:r>
          </w:p>
        </w:tc>
        <w:tc>
          <w:tcPr>
            <w:tcW w:w="555" w:type="dxa"/>
            <w:tcBorders>
              <w:bottom w:val="nil"/>
            </w:tcBorders>
            <w:shd w:val="clear" w:color="auto" w:fill="E7F3F4"/>
            <w:vAlign w:val="center"/>
          </w:tcPr>
          <w:p w14:paraId="3FDCB706"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tcPr>
          <w:p w14:paraId="11662D29"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tcPr>
          <w:p w14:paraId="17DF386B"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E7F3F4"/>
            <w:vAlign w:val="center"/>
          </w:tcPr>
          <w:p w14:paraId="69840F06"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E7F3F4"/>
            <w:vAlign w:val="center"/>
          </w:tcPr>
          <w:p w14:paraId="0A415531"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E7F3F4"/>
            <w:vAlign w:val="center"/>
          </w:tcPr>
          <w:p w14:paraId="076DDD85"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tcPr>
          <w:p w14:paraId="1CD7EAF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E7F3F4"/>
            <w:vAlign w:val="center"/>
          </w:tcPr>
          <w:p w14:paraId="225CFF29"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64B5990A"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25BD09F9"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60345A2A"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5373ECC0" w14:textId="77777777" w:rsidR="009F33B9" w:rsidRDefault="009F33B9" w:rsidP="005D3108">
            <w:pPr>
              <w:spacing w:before="0" w:after="0"/>
              <w:jc w:val="center"/>
              <w:rPr>
                <w:color w:val="000000"/>
                <w:sz w:val="14"/>
                <w:szCs w:val="14"/>
              </w:rPr>
            </w:pPr>
          </w:p>
        </w:tc>
        <w:tc>
          <w:tcPr>
            <w:tcW w:w="546" w:type="dxa"/>
            <w:tcBorders>
              <w:bottom w:val="nil"/>
              <w:right w:val="nil"/>
            </w:tcBorders>
            <w:shd w:val="clear" w:color="auto" w:fill="E7F3F4"/>
          </w:tcPr>
          <w:p w14:paraId="214E6662" w14:textId="77777777" w:rsidR="009F33B9" w:rsidRDefault="009F33B9" w:rsidP="005D3108">
            <w:pPr>
              <w:spacing w:before="0" w:after="0"/>
              <w:jc w:val="center"/>
              <w:rPr>
                <w:color w:val="000000"/>
                <w:sz w:val="14"/>
                <w:szCs w:val="14"/>
              </w:rPr>
            </w:pPr>
          </w:p>
        </w:tc>
      </w:tr>
      <w:tr w:rsidR="009F33B9" w14:paraId="600D91C8"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263D81B1"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20A51AC0"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78FFFB1B"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bottom w:val="nil"/>
              <w:right w:val="nil"/>
            </w:tcBorders>
            <w:shd w:val="clear" w:color="auto" w:fill="E7F3F4"/>
            <w:noWrap/>
            <w:vAlign w:val="center"/>
            <w:hideMark/>
          </w:tcPr>
          <w:p w14:paraId="0F514654" w14:textId="77777777" w:rsidR="009F33B9" w:rsidRDefault="009F33B9" w:rsidP="005D3108">
            <w:pPr>
              <w:spacing w:before="0" w:after="0"/>
              <w:jc w:val="center"/>
              <w:rPr>
                <w:color w:val="000000"/>
                <w:sz w:val="14"/>
                <w:szCs w:val="14"/>
              </w:rPr>
            </w:pPr>
            <w:r>
              <w:rPr>
                <w:color w:val="000000"/>
                <w:sz w:val="14"/>
                <w:szCs w:val="14"/>
              </w:rPr>
              <w:t>Piper Reef</w:t>
            </w:r>
          </w:p>
        </w:tc>
        <w:tc>
          <w:tcPr>
            <w:tcW w:w="840" w:type="dxa"/>
            <w:tcBorders>
              <w:top w:val="single" w:sz="4" w:space="0" w:color="auto"/>
              <w:left w:val="nil"/>
              <w:right w:val="nil"/>
            </w:tcBorders>
            <w:shd w:val="clear" w:color="auto" w:fill="E7F3F4"/>
            <w:noWrap/>
            <w:vAlign w:val="center"/>
            <w:hideMark/>
          </w:tcPr>
          <w:p w14:paraId="3C03C062" w14:textId="77777777" w:rsidR="009F33B9" w:rsidRDefault="009F33B9" w:rsidP="005D3108">
            <w:pPr>
              <w:spacing w:before="0" w:after="0"/>
              <w:jc w:val="center"/>
              <w:rPr>
                <w:b/>
                <w:color w:val="000000"/>
                <w:sz w:val="14"/>
                <w:szCs w:val="14"/>
              </w:rPr>
            </w:pPr>
            <w:r>
              <w:rPr>
                <w:b/>
                <w:color w:val="000000"/>
                <w:sz w:val="14"/>
                <w:szCs w:val="14"/>
              </w:rPr>
              <w:t>FR1</w:t>
            </w:r>
          </w:p>
        </w:tc>
        <w:tc>
          <w:tcPr>
            <w:tcW w:w="555" w:type="dxa"/>
            <w:tcBorders>
              <w:top w:val="single" w:sz="4" w:space="0" w:color="auto"/>
              <w:left w:val="nil"/>
              <w:right w:val="nil"/>
            </w:tcBorders>
            <w:shd w:val="clear" w:color="auto" w:fill="E7F3F4"/>
            <w:vAlign w:val="center"/>
            <w:hideMark/>
          </w:tcPr>
          <w:p w14:paraId="76F84E75"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2EE6DD0F"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69BB5A58"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5385D04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4F938291"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6904C18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tcPr>
          <w:p w14:paraId="768225FF"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tcPr>
          <w:p w14:paraId="79F8976D"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50D63119"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442679B4"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317BE44"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0EB024F"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tcPr>
          <w:p w14:paraId="22C44EBE" w14:textId="77777777" w:rsidR="009F33B9" w:rsidRDefault="009F33B9" w:rsidP="005D3108">
            <w:pPr>
              <w:spacing w:before="0" w:after="0"/>
              <w:jc w:val="center"/>
              <w:rPr>
                <w:color w:val="000000"/>
                <w:sz w:val="14"/>
                <w:szCs w:val="14"/>
              </w:rPr>
            </w:pPr>
          </w:p>
        </w:tc>
      </w:tr>
      <w:tr w:rsidR="009F33B9" w14:paraId="3289C1AA"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039E9FCB"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7764E511"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74B4B176"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5308F879" w14:textId="77777777" w:rsidR="009F33B9" w:rsidRDefault="009F33B9" w:rsidP="005D3108">
            <w:pPr>
              <w:spacing w:before="0" w:after="0"/>
              <w:rPr>
                <w:color w:val="000000"/>
                <w:sz w:val="14"/>
                <w:szCs w:val="14"/>
              </w:rPr>
            </w:pPr>
          </w:p>
        </w:tc>
        <w:tc>
          <w:tcPr>
            <w:tcW w:w="840" w:type="dxa"/>
            <w:tcBorders>
              <w:left w:val="nil"/>
              <w:bottom w:val="nil"/>
            </w:tcBorders>
            <w:shd w:val="clear" w:color="auto" w:fill="E7F3F4"/>
            <w:noWrap/>
            <w:vAlign w:val="center"/>
            <w:hideMark/>
          </w:tcPr>
          <w:p w14:paraId="1A31167F" w14:textId="77777777" w:rsidR="009F33B9" w:rsidRDefault="009F33B9" w:rsidP="005D3108">
            <w:pPr>
              <w:spacing w:before="0" w:after="0"/>
              <w:jc w:val="center"/>
              <w:rPr>
                <w:b/>
                <w:color w:val="000000"/>
                <w:sz w:val="14"/>
                <w:szCs w:val="14"/>
              </w:rPr>
            </w:pPr>
            <w:r>
              <w:rPr>
                <w:b/>
                <w:color w:val="000000"/>
                <w:sz w:val="14"/>
                <w:szCs w:val="14"/>
              </w:rPr>
              <w:t>FR2</w:t>
            </w:r>
          </w:p>
        </w:tc>
        <w:tc>
          <w:tcPr>
            <w:tcW w:w="555" w:type="dxa"/>
            <w:tcBorders>
              <w:bottom w:val="nil"/>
            </w:tcBorders>
            <w:shd w:val="clear" w:color="auto" w:fill="E7F3F4"/>
            <w:vAlign w:val="center"/>
          </w:tcPr>
          <w:p w14:paraId="6838C620"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tcPr>
          <w:p w14:paraId="6515981C"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tcPr>
          <w:p w14:paraId="087945E3"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E7F3F4"/>
            <w:vAlign w:val="center"/>
          </w:tcPr>
          <w:p w14:paraId="2F7AD58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E7F3F4"/>
            <w:vAlign w:val="center"/>
          </w:tcPr>
          <w:p w14:paraId="165E8180"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E7F3F4"/>
            <w:vAlign w:val="center"/>
            <w:hideMark/>
          </w:tcPr>
          <w:p w14:paraId="429ABCB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hideMark/>
          </w:tcPr>
          <w:p w14:paraId="4547125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E7F3F4"/>
            <w:vAlign w:val="center"/>
          </w:tcPr>
          <w:p w14:paraId="5298A871"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4582E066"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48E791BB"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76CE8341"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6B8E4A06" w14:textId="77777777" w:rsidR="009F33B9" w:rsidRDefault="009F33B9" w:rsidP="005D3108">
            <w:pPr>
              <w:spacing w:before="0" w:after="0"/>
              <w:jc w:val="center"/>
              <w:rPr>
                <w:color w:val="000000"/>
                <w:sz w:val="14"/>
                <w:szCs w:val="14"/>
              </w:rPr>
            </w:pPr>
          </w:p>
        </w:tc>
        <w:tc>
          <w:tcPr>
            <w:tcW w:w="546" w:type="dxa"/>
            <w:tcBorders>
              <w:bottom w:val="nil"/>
              <w:right w:val="nil"/>
            </w:tcBorders>
            <w:shd w:val="clear" w:color="auto" w:fill="E7F3F4"/>
          </w:tcPr>
          <w:p w14:paraId="4CBABA4C" w14:textId="77777777" w:rsidR="009F33B9" w:rsidRDefault="009F33B9" w:rsidP="005D3108">
            <w:pPr>
              <w:spacing w:before="0" w:after="0"/>
              <w:jc w:val="center"/>
              <w:rPr>
                <w:color w:val="000000"/>
                <w:sz w:val="14"/>
                <w:szCs w:val="14"/>
              </w:rPr>
            </w:pPr>
          </w:p>
        </w:tc>
      </w:tr>
      <w:tr w:rsidR="009F33B9" w14:paraId="5954B235"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69D7583E"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0561394A" w14:textId="77777777" w:rsidR="009F33B9" w:rsidRDefault="009F33B9" w:rsidP="005D3108">
            <w:pPr>
              <w:spacing w:before="0" w:after="0"/>
              <w:rPr>
                <w:color w:val="000000"/>
                <w:sz w:val="14"/>
                <w:szCs w:val="14"/>
              </w:rPr>
            </w:pPr>
          </w:p>
        </w:tc>
        <w:tc>
          <w:tcPr>
            <w:tcW w:w="1299" w:type="dxa"/>
            <w:vMerge w:val="restart"/>
            <w:tcBorders>
              <w:top w:val="single" w:sz="4" w:space="0" w:color="auto"/>
              <w:left w:val="nil"/>
              <w:right w:val="nil"/>
            </w:tcBorders>
            <w:shd w:val="clear" w:color="auto" w:fill="E7F3F4"/>
            <w:vAlign w:val="center"/>
          </w:tcPr>
          <w:p w14:paraId="7DDF7B89" w14:textId="77777777" w:rsidR="009F33B9" w:rsidRDefault="009F33B9" w:rsidP="005D3108">
            <w:pPr>
              <w:spacing w:before="0" w:after="0"/>
              <w:jc w:val="center"/>
              <w:rPr>
                <w:color w:val="000000"/>
                <w:sz w:val="14"/>
                <w:szCs w:val="14"/>
              </w:rPr>
            </w:pPr>
            <w:r>
              <w:rPr>
                <w:color w:val="000000"/>
                <w:sz w:val="14"/>
                <w:szCs w:val="14"/>
              </w:rPr>
              <w:t>Lockhart</w:t>
            </w:r>
          </w:p>
        </w:tc>
        <w:tc>
          <w:tcPr>
            <w:tcW w:w="1307" w:type="dxa"/>
            <w:tcBorders>
              <w:top w:val="single" w:sz="4" w:space="0" w:color="auto"/>
              <w:left w:val="nil"/>
              <w:right w:val="nil"/>
            </w:tcBorders>
            <w:shd w:val="clear" w:color="auto" w:fill="E7F3F4"/>
            <w:noWrap/>
            <w:vAlign w:val="center"/>
          </w:tcPr>
          <w:p w14:paraId="019324B2" w14:textId="77777777" w:rsidR="009F33B9" w:rsidRDefault="009F33B9" w:rsidP="005D3108">
            <w:pPr>
              <w:spacing w:before="0" w:after="0"/>
              <w:jc w:val="center"/>
              <w:rPr>
                <w:color w:val="000000"/>
                <w:sz w:val="14"/>
                <w:szCs w:val="14"/>
              </w:rPr>
            </w:pPr>
            <w:r>
              <w:rPr>
                <w:color w:val="000000"/>
                <w:sz w:val="14"/>
                <w:szCs w:val="14"/>
              </w:rPr>
              <w:t>Weymouth Bay</w:t>
            </w:r>
          </w:p>
        </w:tc>
        <w:tc>
          <w:tcPr>
            <w:tcW w:w="840" w:type="dxa"/>
            <w:tcBorders>
              <w:top w:val="single" w:sz="4" w:space="0" w:color="auto"/>
              <w:left w:val="nil"/>
              <w:right w:val="nil"/>
            </w:tcBorders>
            <w:shd w:val="clear" w:color="auto" w:fill="E7F3F4"/>
            <w:noWrap/>
            <w:vAlign w:val="center"/>
          </w:tcPr>
          <w:p w14:paraId="04F35FC3" w14:textId="77777777" w:rsidR="009F33B9" w:rsidRDefault="009F33B9" w:rsidP="005D3108">
            <w:pPr>
              <w:spacing w:before="0" w:after="0"/>
              <w:jc w:val="center"/>
              <w:rPr>
                <w:b/>
                <w:color w:val="000000"/>
                <w:sz w:val="14"/>
                <w:szCs w:val="14"/>
              </w:rPr>
            </w:pPr>
            <w:r>
              <w:rPr>
                <w:b/>
                <w:color w:val="000000"/>
                <w:sz w:val="14"/>
                <w:szCs w:val="14"/>
              </w:rPr>
              <w:t>YY1</w:t>
            </w:r>
          </w:p>
        </w:tc>
        <w:tc>
          <w:tcPr>
            <w:tcW w:w="555" w:type="dxa"/>
            <w:tcBorders>
              <w:top w:val="single" w:sz="4" w:space="0" w:color="auto"/>
              <w:left w:val="nil"/>
              <w:right w:val="nil"/>
            </w:tcBorders>
            <w:shd w:val="clear" w:color="auto" w:fill="E7F3F4"/>
            <w:vAlign w:val="center"/>
          </w:tcPr>
          <w:p w14:paraId="07AD7DEE" w14:textId="77777777" w:rsidR="009F33B9" w:rsidRDefault="009F33B9" w:rsidP="005D3108">
            <w:pPr>
              <w:spacing w:before="0" w:after="0"/>
              <w:jc w:val="center"/>
              <w:rPr>
                <w:color w:val="000000"/>
                <w:sz w:val="14"/>
                <w:szCs w:val="14"/>
              </w:rPr>
            </w:pPr>
          </w:p>
        </w:tc>
        <w:tc>
          <w:tcPr>
            <w:tcW w:w="543" w:type="dxa"/>
            <w:tcBorders>
              <w:top w:val="single" w:sz="4" w:space="0" w:color="auto"/>
              <w:left w:val="nil"/>
              <w:right w:val="nil"/>
            </w:tcBorders>
            <w:shd w:val="clear" w:color="auto" w:fill="E7F3F4"/>
            <w:noWrap/>
            <w:vAlign w:val="center"/>
          </w:tcPr>
          <w:p w14:paraId="25C4DA61"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E7F3F4"/>
            <w:noWrap/>
            <w:vAlign w:val="center"/>
          </w:tcPr>
          <w:p w14:paraId="0BFA7751" w14:textId="77777777" w:rsidR="009F33B9" w:rsidRDefault="009F33B9" w:rsidP="005D3108">
            <w:pPr>
              <w:spacing w:before="0" w:after="0"/>
              <w:jc w:val="center"/>
              <w:rPr>
                <w:color w:val="000000"/>
                <w:sz w:val="14"/>
                <w:szCs w:val="14"/>
              </w:rPr>
            </w:pPr>
          </w:p>
        </w:tc>
        <w:tc>
          <w:tcPr>
            <w:tcW w:w="536" w:type="dxa"/>
            <w:tcBorders>
              <w:top w:val="single" w:sz="4" w:space="0" w:color="auto"/>
              <w:left w:val="nil"/>
              <w:right w:val="nil"/>
            </w:tcBorders>
            <w:shd w:val="clear" w:color="auto" w:fill="E7F3F4"/>
            <w:vAlign w:val="center"/>
          </w:tcPr>
          <w:p w14:paraId="22C00D55"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E7F3F4"/>
            <w:vAlign w:val="center"/>
          </w:tcPr>
          <w:p w14:paraId="3CCC447B" w14:textId="77777777" w:rsidR="009F33B9" w:rsidRDefault="009F33B9" w:rsidP="005D3108">
            <w:pPr>
              <w:spacing w:before="0" w:after="0"/>
              <w:jc w:val="center"/>
              <w:rPr>
                <w:color w:val="000000"/>
                <w:sz w:val="14"/>
                <w:szCs w:val="14"/>
              </w:rPr>
            </w:pPr>
          </w:p>
        </w:tc>
        <w:tc>
          <w:tcPr>
            <w:tcW w:w="529" w:type="dxa"/>
            <w:tcBorders>
              <w:top w:val="single" w:sz="4" w:space="0" w:color="auto"/>
              <w:left w:val="nil"/>
              <w:right w:val="nil"/>
            </w:tcBorders>
            <w:shd w:val="clear" w:color="auto" w:fill="E7F3F4"/>
            <w:vAlign w:val="center"/>
          </w:tcPr>
          <w:p w14:paraId="036BEAEB"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single" w:sz="4" w:space="0" w:color="auto"/>
            </w:tcBorders>
            <w:shd w:val="clear" w:color="auto" w:fill="E7F3F4"/>
          </w:tcPr>
          <w:p w14:paraId="5E1FF0BE"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tcPr>
          <w:p w14:paraId="0A638BC8"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27F63A92"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2C31AE62"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08FBBA0D"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3C1D2D09"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vAlign w:val="center"/>
          </w:tcPr>
          <w:p w14:paraId="46558178" w14:textId="77777777" w:rsidR="009F33B9" w:rsidRDefault="009F33B9" w:rsidP="005D3108">
            <w:pPr>
              <w:spacing w:before="0" w:after="0"/>
              <w:jc w:val="center"/>
              <w:rPr>
                <w:color w:val="000000"/>
                <w:sz w:val="14"/>
                <w:szCs w:val="14"/>
              </w:rPr>
            </w:pPr>
          </w:p>
        </w:tc>
      </w:tr>
      <w:tr w:rsidR="009F33B9" w14:paraId="4B6F4D4F"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21457E63"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020E5B5C" w14:textId="77777777" w:rsidR="009F33B9" w:rsidRDefault="009F33B9" w:rsidP="005D3108">
            <w:pPr>
              <w:spacing w:before="0" w:after="0"/>
              <w:rPr>
                <w:color w:val="000000"/>
                <w:sz w:val="14"/>
                <w:szCs w:val="14"/>
              </w:rPr>
            </w:pPr>
          </w:p>
        </w:tc>
        <w:tc>
          <w:tcPr>
            <w:tcW w:w="1299" w:type="dxa"/>
            <w:vMerge/>
            <w:tcBorders>
              <w:left w:val="nil"/>
              <w:right w:val="nil"/>
            </w:tcBorders>
            <w:shd w:val="clear" w:color="auto" w:fill="E7F3F4"/>
            <w:vAlign w:val="center"/>
          </w:tcPr>
          <w:p w14:paraId="7BD37F28" w14:textId="77777777" w:rsidR="009F33B9" w:rsidRDefault="009F33B9" w:rsidP="005D3108">
            <w:pPr>
              <w:spacing w:before="0" w:after="0"/>
              <w:jc w:val="center"/>
              <w:rPr>
                <w:color w:val="000000"/>
                <w:sz w:val="14"/>
                <w:szCs w:val="14"/>
              </w:rPr>
            </w:pPr>
          </w:p>
        </w:tc>
        <w:tc>
          <w:tcPr>
            <w:tcW w:w="1307" w:type="dxa"/>
            <w:vMerge w:val="restart"/>
            <w:tcBorders>
              <w:top w:val="single" w:sz="4" w:space="0" w:color="auto"/>
              <w:left w:val="nil"/>
              <w:right w:val="nil"/>
            </w:tcBorders>
            <w:shd w:val="clear" w:color="auto" w:fill="E7F3F4"/>
            <w:noWrap/>
            <w:vAlign w:val="center"/>
          </w:tcPr>
          <w:p w14:paraId="7BC21E36" w14:textId="77777777" w:rsidR="009F33B9" w:rsidRDefault="009F33B9" w:rsidP="005D3108">
            <w:pPr>
              <w:spacing w:before="0" w:after="0"/>
              <w:jc w:val="center"/>
              <w:rPr>
                <w:color w:val="000000"/>
                <w:sz w:val="14"/>
                <w:szCs w:val="14"/>
              </w:rPr>
            </w:pPr>
            <w:r>
              <w:rPr>
                <w:color w:val="000000"/>
                <w:sz w:val="14"/>
                <w:szCs w:val="14"/>
              </w:rPr>
              <w:t>Lloyd Bay</w:t>
            </w:r>
          </w:p>
        </w:tc>
        <w:tc>
          <w:tcPr>
            <w:tcW w:w="840" w:type="dxa"/>
            <w:tcBorders>
              <w:top w:val="single" w:sz="4" w:space="0" w:color="auto"/>
              <w:left w:val="nil"/>
              <w:right w:val="nil"/>
            </w:tcBorders>
            <w:shd w:val="clear" w:color="auto" w:fill="E7F3F4"/>
            <w:noWrap/>
            <w:vAlign w:val="center"/>
          </w:tcPr>
          <w:p w14:paraId="610DF820" w14:textId="77777777" w:rsidR="009F33B9" w:rsidRDefault="009F33B9" w:rsidP="005D3108">
            <w:pPr>
              <w:spacing w:before="0" w:after="0"/>
              <w:jc w:val="center"/>
              <w:rPr>
                <w:b/>
                <w:color w:val="000000"/>
                <w:sz w:val="14"/>
                <w:szCs w:val="14"/>
              </w:rPr>
            </w:pPr>
            <w:r>
              <w:rPr>
                <w:b/>
                <w:color w:val="000000"/>
                <w:sz w:val="14"/>
                <w:szCs w:val="14"/>
              </w:rPr>
              <w:t>LR1^</w:t>
            </w:r>
          </w:p>
        </w:tc>
        <w:tc>
          <w:tcPr>
            <w:tcW w:w="555" w:type="dxa"/>
            <w:tcBorders>
              <w:top w:val="single" w:sz="4" w:space="0" w:color="auto"/>
              <w:left w:val="nil"/>
              <w:right w:val="nil"/>
            </w:tcBorders>
            <w:shd w:val="clear" w:color="auto" w:fill="E7F3F4"/>
            <w:vAlign w:val="center"/>
          </w:tcPr>
          <w:p w14:paraId="6FF4BCDD" w14:textId="77777777" w:rsidR="009F33B9" w:rsidRPr="00A35694" w:rsidRDefault="009F33B9" w:rsidP="005D3108">
            <w:pPr>
              <w:spacing w:before="0" w:after="0"/>
              <w:jc w:val="center"/>
              <w:rPr>
                <w:color w:val="000000"/>
                <w:sz w:val="14"/>
                <w:szCs w:val="14"/>
                <w:highlight w:val="yellow"/>
              </w:rPr>
            </w:pPr>
          </w:p>
        </w:tc>
        <w:tc>
          <w:tcPr>
            <w:tcW w:w="543" w:type="dxa"/>
            <w:tcBorders>
              <w:top w:val="single" w:sz="4" w:space="0" w:color="auto"/>
              <w:left w:val="nil"/>
              <w:right w:val="nil"/>
            </w:tcBorders>
            <w:shd w:val="clear" w:color="auto" w:fill="E7F3F4"/>
            <w:noWrap/>
            <w:vAlign w:val="center"/>
          </w:tcPr>
          <w:p w14:paraId="1AFE50F1"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E7F3F4"/>
            <w:noWrap/>
            <w:vAlign w:val="center"/>
          </w:tcPr>
          <w:p w14:paraId="2973DB55" w14:textId="77777777" w:rsidR="009F33B9" w:rsidRDefault="009F33B9" w:rsidP="005D3108">
            <w:pPr>
              <w:spacing w:before="0" w:after="0"/>
              <w:jc w:val="center"/>
              <w:rPr>
                <w:color w:val="000000"/>
                <w:sz w:val="14"/>
                <w:szCs w:val="14"/>
              </w:rPr>
            </w:pPr>
          </w:p>
        </w:tc>
        <w:tc>
          <w:tcPr>
            <w:tcW w:w="536" w:type="dxa"/>
            <w:tcBorders>
              <w:top w:val="single" w:sz="4" w:space="0" w:color="auto"/>
              <w:left w:val="nil"/>
              <w:right w:val="nil"/>
            </w:tcBorders>
            <w:shd w:val="clear" w:color="auto" w:fill="E7F3F4"/>
            <w:vAlign w:val="center"/>
          </w:tcPr>
          <w:p w14:paraId="5CB2250B"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E7F3F4"/>
            <w:vAlign w:val="center"/>
          </w:tcPr>
          <w:p w14:paraId="3943F6AE" w14:textId="77777777" w:rsidR="009F33B9" w:rsidRDefault="009F33B9" w:rsidP="005D3108">
            <w:pPr>
              <w:spacing w:before="0" w:after="0"/>
              <w:jc w:val="center"/>
              <w:rPr>
                <w:color w:val="000000"/>
                <w:sz w:val="14"/>
                <w:szCs w:val="14"/>
              </w:rPr>
            </w:pPr>
          </w:p>
        </w:tc>
        <w:tc>
          <w:tcPr>
            <w:tcW w:w="529" w:type="dxa"/>
            <w:tcBorders>
              <w:top w:val="single" w:sz="4" w:space="0" w:color="auto"/>
              <w:left w:val="nil"/>
              <w:right w:val="nil"/>
            </w:tcBorders>
            <w:shd w:val="clear" w:color="auto" w:fill="E7F3F4"/>
            <w:vAlign w:val="center"/>
          </w:tcPr>
          <w:p w14:paraId="7F5B4953"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single" w:sz="4" w:space="0" w:color="auto"/>
            </w:tcBorders>
            <w:shd w:val="clear" w:color="auto" w:fill="E7F3F4"/>
          </w:tcPr>
          <w:p w14:paraId="6C18E65E"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tcPr>
          <w:p w14:paraId="124A8FAC"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51768623"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4B04BF96"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036B34A"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D88D089"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vAlign w:val="center"/>
          </w:tcPr>
          <w:p w14:paraId="24B4E985" w14:textId="77777777" w:rsidR="009F33B9" w:rsidRDefault="009F33B9" w:rsidP="005D3108">
            <w:pPr>
              <w:spacing w:before="0" w:after="0"/>
              <w:jc w:val="center"/>
              <w:rPr>
                <w:color w:val="000000"/>
                <w:sz w:val="14"/>
                <w:szCs w:val="14"/>
              </w:rPr>
            </w:pPr>
          </w:p>
        </w:tc>
      </w:tr>
      <w:tr w:rsidR="009F33B9" w14:paraId="6CCFD053"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07F5C02C"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79D9FDBF" w14:textId="77777777" w:rsidR="009F33B9" w:rsidRDefault="009F33B9" w:rsidP="005D3108">
            <w:pPr>
              <w:spacing w:before="0" w:after="0"/>
              <w:rPr>
                <w:color w:val="000000"/>
                <w:sz w:val="14"/>
                <w:szCs w:val="14"/>
              </w:rPr>
            </w:pPr>
          </w:p>
        </w:tc>
        <w:tc>
          <w:tcPr>
            <w:tcW w:w="1299" w:type="dxa"/>
            <w:vMerge/>
            <w:tcBorders>
              <w:left w:val="nil"/>
              <w:bottom w:val="nil"/>
              <w:right w:val="nil"/>
            </w:tcBorders>
            <w:shd w:val="clear" w:color="auto" w:fill="E7F3F4"/>
            <w:vAlign w:val="center"/>
          </w:tcPr>
          <w:p w14:paraId="3AE87735" w14:textId="77777777" w:rsidR="009F33B9" w:rsidRDefault="009F33B9" w:rsidP="005D3108">
            <w:pPr>
              <w:spacing w:before="0" w:after="0"/>
              <w:jc w:val="center"/>
              <w:rPr>
                <w:color w:val="000000"/>
                <w:sz w:val="14"/>
                <w:szCs w:val="14"/>
              </w:rPr>
            </w:pPr>
          </w:p>
        </w:tc>
        <w:tc>
          <w:tcPr>
            <w:tcW w:w="1307" w:type="dxa"/>
            <w:vMerge/>
            <w:tcBorders>
              <w:left w:val="nil"/>
              <w:bottom w:val="nil"/>
              <w:right w:val="nil"/>
            </w:tcBorders>
            <w:shd w:val="clear" w:color="auto" w:fill="E7F3F4"/>
            <w:noWrap/>
            <w:vAlign w:val="center"/>
          </w:tcPr>
          <w:p w14:paraId="0331F89C" w14:textId="77777777" w:rsidR="009F33B9" w:rsidRDefault="009F33B9" w:rsidP="005D3108">
            <w:pPr>
              <w:spacing w:before="0" w:after="0"/>
              <w:jc w:val="center"/>
              <w:rPr>
                <w:color w:val="000000"/>
                <w:sz w:val="14"/>
                <w:szCs w:val="14"/>
              </w:rPr>
            </w:pPr>
          </w:p>
        </w:tc>
        <w:tc>
          <w:tcPr>
            <w:tcW w:w="840" w:type="dxa"/>
            <w:tcBorders>
              <w:left w:val="nil"/>
              <w:bottom w:val="nil"/>
            </w:tcBorders>
            <w:shd w:val="clear" w:color="auto" w:fill="E7F3F4"/>
            <w:noWrap/>
            <w:vAlign w:val="center"/>
          </w:tcPr>
          <w:p w14:paraId="2F1B2FAC" w14:textId="77777777" w:rsidR="009F33B9" w:rsidRDefault="009F33B9" w:rsidP="005D3108">
            <w:pPr>
              <w:spacing w:before="0" w:after="0"/>
              <w:jc w:val="center"/>
              <w:rPr>
                <w:b/>
                <w:color w:val="000000"/>
                <w:sz w:val="14"/>
                <w:szCs w:val="14"/>
              </w:rPr>
            </w:pPr>
            <w:r>
              <w:rPr>
                <w:b/>
                <w:color w:val="000000"/>
                <w:sz w:val="14"/>
                <w:szCs w:val="14"/>
              </w:rPr>
              <w:t>LR2^</w:t>
            </w:r>
          </w:p>
        </w:tc>
        <w:tc>
          <w:tcPr>
            <w:tcW w:w="555" w:type="dxa"/>
            <w:tcBorders>
              <w:bottom w:val="nil"/>
            </w:tcBorders>
            <w:shd w:val="clear" w:color="auto" w:fill="E7F3F4"/>
            <w:vAlign w:val="center"/>
          </w:tcPr>
          <w:p w14:paraId="41009967" w14:textId="77777777" w:rsidR="009F33B9" w:rsidRPr="00A35694" w:rsidRDefault="009F33B9" w:rsidP="005D3108">
            <w:pPr>
              <w:spacing w:before="0" w:after="0"/>
              <w:jc w:val="center"/>
              <w:rPr>
                <w:color w:val="000000"/>
                <w:sz w:val="14"/>
                <w:szCs w:val="14"/>
                <w:highlight w:val="yellow"/>
              </w:rPr>
            </w:pPr>
          </w:p>
        </w:tc>
        <w:tc>
          <w:tcPr>
            <w:tcW w:w="543" w:type="dxa"/>
            <w:tcBorders>
              <w:bottom w:val="nil"/>
            </w:tcBorders>
            <w:shd w:val="clear" w:color="auto" w:fill="E7F3F4"/>
            <w:noWrap/>
            <w:vAlign w:val="center"/>
          </w:tcPr>
          <w:p w14:paraId="4F09CC93"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E7F3F4"/>
            <w:noWrap/>
            <w:vAlign w:val="center"/>
          </w:tcPr>
          <w:p w14:paraId="45F9FA2B" w14:textId="77777777" w:rsidR="009F33B9" w:rsidRDefault="009F33B9" w:rsidP="005D3108">
            <w:pPr>
              <w:spacing w:before="0" w:after="0"/>
              <w:jc w:val="center"/>
              <w:rPr>
                <w:color w:val="000000"/>
                <w:sz w:val="14"/>
                <w:szCs w:val="14"/>
              </w:rPr>
            </w:pPr>
          </w:p>
        </w:tc>
        <w:tc>
          <w:tcPr>
            <w:tcW w:w="536" w:type="dxa"/>
            <w:tcBorders>
              <w:bottom w:val="nil"/>
            </w:tcBorders>
            <w:shd w:val="clear" w:color="auto" w:fill="E7F3F4"/>
            <w:vAlign w:val="center"/>
          </w:tcPr>
          <w:p w14:paraId="21FF2A80"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E7F3F4"/>
            <w:vAlign w:val="center"/>
          </w:tcPr>
          <w:p w14:paraId="550E3309" w14:textId="77777777" w:rsidR="009F33B9" w:rsidRDefault="009F33B9" w:rsidP="005D3108">
            <w:pPr>
              <w:spacing w:before="0" w:after="0"/>
              <w:jc w:val="center"/>
              <w:rPr>
                <w:color w:val="000000"/>
                <w:sz w:val="14"/>
                <w:szCs w:val="14"/>
              </w:rPr>
            </w:pPr>
          </w:p>
        </w:tc>
        <w:tc>
          <w:tcPr>
            <w:tcW w:w="529" w:type="dxa"/>
            <w:tcBorders>
              <w:bottom w:val="nil"/>
            </w:tcBorders>
            <w:shd w:val="clear" w:color="auto" w:fill="E7F3F4"/>
            <w:vAlign w:val="center"/>
          </w:tcPr>
          <w:p w14:paraId="1CC8C580" w14:textId="77777777" w:rsidR="009F33B9" w:rsidRDefault="009F33B9" w:rsidP="005D3108">
            <w:pPr>
              <w:spacing w:before="0" w:after="0"/>
              <w:jc w:val="center"/>
              <w:rPr>
                <w:color w:val="000000"/>
                <w:sz w:val="14"/>
                <w:szCs w:val="14"/>
              </w:rPr>
            </w:pPr>
          </w:p>
        </w:tc>
        <w:tc>
          <w:tcPr>
            <w:tcW w:w="559" w:type="dxa"/>
            <w:tcBorders>
              <w:bottom w:val="nil"/>
              <w:right w:val="single" w:sz="4" w:space="0" w:color="auto"/>
            </w:tcBorders>
            <w:shd w:val="clear" w:color="auto" w:fill="E7F3F4"/>
          </w:tcPr>
          <w:p w14:paraId="5D4D822F"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E7F3F4"/>
            <w:vAlign w:val="center"/>
          </w:tcPr>
          <w:p w14:paraId="0188383E"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61E25CF7"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441563A5"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039C962C"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2939D8AC" w14:textId="77777777" w:rsidR="009F33B9" w:rsidRDefault="009F33B9" w:rsidP="005D3108">
            <w:pPr>
              <w:spacing w:before="0" w:after="0"/>
              <w:jc w:val="center"/>
              <w:rPr>
                <w:color w:val="000000"/>
                <w:sz w:val="14"/>
                <w:szCs w:val="14"/>
              </w:rPr>
            </w:pPr>
          </w:p>
        </w:tc>
        <w:tc>
          <w:tcPr>
            <w:tcW w:w="546" w:type="dxa"/>
            <w:tcBorders>
              <w:bottom w:val="nil"/>
              <w:right w:val="nil"/>
            </w:tcBorders>
            <w:shd w:val="clear" w:color="auto" w:fill="E7F3F4"/>
            <w:vAlign w:val="center"/>
          </w:tcPr>
          <w:p w14:paraId="2B3A0B4A" w14:textId="77777777" w:rsidR="009F33B9" w:rsidRDefault="009F33B9" w:rsidP="005D3108">
            <w:pPr>
              <w:spacing w:before="0" w:after="0"/>
              <w:jc w:val="center"/>
              <w:rPr>
                <w:color w:val="000000"/>
                <w:sz w:val="14"/>
                <w:szCs w:val="14"/>
              </w:rPr>
            </w:pPr>
          </w:p>
        </w:tc>
      </w:tr>
      <w:tr w:rsidR="009F33B9" w14:paraId="62B3FB1D"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7B77F410"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43DB0A04" w14:textId="77777777" w:rsidR="009F33B9" w:rsidRDefault="009F33B9" w:rsidP="005D3108">
            <w:pPr>
              <w:spacing w:before="0" w:after="0"/>
              <w:rPr>
                <w:color w:val="000000"/>
                <w:sz w:val="14"/>
                <w:szCs w:val="14"/>
              </w:rPr>
            </w:pPr>
          </w:p>
        </w:tc>
        <w:tc>
          <w:tcPr>
            <w:tcW w:w="1299" w:type="dxa"/>
            <w:vMerge w:val="restart"/>
            <w:tcBorders>
              <w:top w:val="single" w:sz="4" w:space="0" w:color="auto"/>
              <w:left w:val="nil"/>
              <w:right w:val="nil"/>
            </w:tcBorders>
            <w:shd w:val="clear" w:color="auto" w:fill="E7F3F4"/>
            <w:vAlign w:val="center"/>
            <w:hideMark/>
          </w:tcPr>
          <w:p w14:paraId="451C0D33" w14:textId="77777777" w:rsidR="009F33B9" w:rsidRDefault="009F33B9" w:rsidP="005D3108">
            <w:pPr>
              <w:spacing w:before="0" w:after="0"/>
              <w:jc w:val="center"/>
              <w:rPr>
                <w:color w:val="000000"/>
                <w:sz w:val="14"/>
                <w:szCs w:val="14"/>
              </w:rPr>
            </w:pPr>
            <w:r>
              <w:rPr>
                <w:color w:val="000000"/>
                <w:sz w:val="14"/>
                <w:szCs w:val="14"/>
              </w:rPr>
              <w:t>Normanby / Jeanie</w:t>
            </w:r>
          </w:p>
        </w:tc>
        <w:tc>
          <w:tcPr>
            <w:tcW w:w="1307" w:type="dxa"/>
            <w:vMerge w:val="restart"/>
            <w:tcBorders>
              <w:top w:val="single" w:sz="4" w:space="0" w:color="auto"/>
              <w:left w:val="nil"/>
              <w:right w:val="nil"/>
            </w:tcBorders>
            <w:shd w:val="clear" w:color="auto" w:fill="E7F3F4"/>
            <w:noWrap/>
            <w:vAlign w:val="center"/>
            <w:hideMark/>
          </w:tcPr>
          <w:p w14:paraId="60333DE2" w14:textId="77777777" w:rsidR="009F33B9" w:rsidRDefault="009F33B9" w:rsidP="005D3108">
            <w:pPr>
              <w:spacing w:before="0" w:after="0"/>
              <w:jc w:val="center"/>
              <w:rPr>
                <w:color w:val="000000"/>
                <w:sz w:val="14"/>
                <w:szCs w:val="14"/>
              </w:rPr>
            </w:pPr>
            <w:r>
              <w:rPr>
                <w:color w:val="000000"/>
                <w:sz w:val="14"/>
                <w:szCs w:val="14"/>
              </w:rPr>
              <w:t>Flinders Group</w:t>
            </w:r>
          </w:p>
        </w:tc>
        <w:tc>
          <w:tcPr>
            <w:tcW w:w="840" w:type="dxa"/>
            <w:tcBorders>
              <w:top w:val="single" w:sz="4" w:space="0" w:color="auto"/>
              <w:left w:val="nil"/>
              <w:right w:val="nil"/>
            </w:tcBorders>
            <w:shd w:val="clear" w:color="auto" w:fill="E7F3F4"/>
            <w:noWrap/>
            <w:vAlign w:val="center"/>
            <w:hideMark/>
          </w:tcPr>
          <w:p w14:paraId="28D9F792" w14:textId="77777777" w:rsidR="009F33B9" w:rsidRDefault="009F33B9" w:rsidP="005D3108">
            <w:pPr>
              <w:spacing w:before="0" w:after="0"/>
              <w:jc w:val="center"/>
              <w:rPr>
                <w:b/>
                <w:color w:val="000000"/>
                <w:sz w:val="14"/>
                <w:szCs w:val="14"/>
              </w:rPr>
            </w:pPr>
            <w:r>
              <w:rPr>
                <w:b/>
                <w:color w:val="000000"/>
                <w:sz w:val="14"/>
                <w:szCs w:val="14"/>
              </w:rPr>
              <w:t>ST1</w:t>
            </w:r>
          </w:p>
        </w:tc>
        <w:tc>
          <w:tcPr>
            <w:tcW w:w="555" w:type="dxa"/>
            <w:tcBorders>
              <w:top w:val="single" w:sz="4" w:space="0" w:color="auto"/>
              <w:left w:val="nil"/>
              <w:right w:val="nil"/>
            </w:tcBorders>
            <w:shd w:val="clear" w:color="auto" w:fill="E7F3F4"/>
            <w:vAlign w:val="center"/>
            <w:hideMark/>
          </w:tcPr>
          <w:p w14:paraId="4CFB682A"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63D80213"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70D4858A"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2413FBE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2DB31DF0"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4B905E4C"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hideMark/>
          </w:tcPr>
          <w:p w14:paraId="7C7E68D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E7F3F4"/>
            <w:vAlign w:val="center"/>
            <w:hideMark/>
          </w:tcPr>
          <w:p w14:paraId="1888FB24"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5A175171"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4B9C5330"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47302AEF"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1DEBEC24"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vAlign w:val="center"/>
          </w:tcPr>
          <w:p w14:paraId="7ECEE855" w14:textId="77777777" w:rsidR="009F33B9" w:rsidRDefault="009F33B9" w:rsidP="005D3108">
            <w:pPr>
              <w:spacing w:before="0" w:after="0"/>
              <w:jc w:val="center"/>
              <w:rPr>
                <w:color w:val="000000"/>
                <w:sz w:val="14"/>
                <w:szCs w:val="14"/>
              </w:rPr>
            </w:pPr>
          </w:p>
        </w:tc>
      </w:tr>
      <w:tr w:rsidR="009F33B9" w14:paraId="7E7E44C3"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2DB579A7"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2608C7A6"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39DFE5D3" w14:textId="77777777" w:rsidR="009F33B9" w:rsidRDefault="009F33B9" w:rsidP="005D3108">
            <w:pPr>
              <w:spacing w:before="0" w:after="0"/>
              <w:rPr>
                <w:color w:val="000000"/>
                <w:sz w:val="14"/>
                <w:szCs w:val="14"/>
              </w:rPr>
            </w:pPr>
          </w:p>
        </w:tc>
        <w:tc>
          <w:tcPr>
            <w:tcW w:w="1307" w:type="dxa"/>
            <w:vMerge/>
            <w:tcBorders>
              <w:left w:val="nil"/>
              <w:right w:val="nil"/>
            </w:tcBorders>
            <w:vAlign w:val="center"/>
            <w:hideMark/>
          </w:tcPr>
          <w:p w14:paraId="5D80A42C" w14:textId="77777777" w:rsidR="009F33B9" w:rsidRDefault="009F33B9" w:rsidP="005D3108">
            <w:pPr>
              <w:spacing w:before="0" w:after="0"/>
              <w:rPr>
                <w:color w:val="000000"/>
                <w:sz w:val="14"/>
                <w:szCs w:val="14"/>
              </w:rPr>
            </w:pPr>
          </w:p>
        </w:tc>
        <w:tc>
          <w:tcPr>
            <w:tcW w:w="840" w:type="dxa"/>
            <w:tcBorders>
              <w:left w:val="nil"/>
              <w:bottom w:val="single" w:sz="4" w:space="0" w:color="auto"/>
            </w:tcBorders>
            <w:shd w:val="clear" w:color="auto" w:fill="E7F3F4"/>
            <w:noWrap/>
            <w:vAlign w:val="center"/>
            <w:hideMark/>
          </w:tcPr>
          <w:p w14:paraId="2B2701A1" w14:textId="77777777" w:rsidR="009F33B9" w:rsidRDefault="009F33B9" w:rsidP="005D3108">
            <w:pPr>
              <w:spacing w:before="0" w:after="0"/>
              <w:jc w:val="center"/>
              <w:rPr>
                <w:b/>
                <w:color w:val="000000"/>
                <w:sz w:val="14"/>
                <w:szCs w:val="14"/>
              </w:rPr>
            </w:pPr>
            <w:r>
              <w:rPr>
                <w:b/>
                <w:color w:val="000000"/>
                <w:sz w:val="14"/>
                <w:szCs w:val="14"/>
              </w:rPr>
              <w:t>ST2</w:t>
            </w:r>
          </w:p>
        </w:tc>
        <w:tc>
          <w:tcPr>
            <w:tcW w:w="555" w:type="dxa"/>
            <w:tcBorders>
              <w:bottom w:val="single" w:sz="4" w:space="0" w:color="auto"/>
            </w:tcBorders>
            <w:shd w:val="clear" w:color="auto" w:fill="E7F3F4"/>
            <w:vAlign w:val="center"/>
            <w:hideMark/>
          </w:tcPr>
          <w:p w14:paraId="12764892"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single" w:sz="4" w:space="0" w:color="auto"/>
            </w:tcBorders>
            <w:shd w:val="clear" w:color="auto" w:fill="E7F3F4"/>
            <w:noWrap/>
            <w:vAlign w:val="center"/>
            <w:hideMark/>
          </w:tcPr>
          <w:p w14:paraId="5ECABCAA"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single" w:sz="4" w:space="0" w:color="auto"/>
            </w:tcBorders>
            <w:shd w:val="clear" w:color="auto" w:fill="E7F3F4"/>
            <w:noWrap/>
            <w:vAlign w:val="center"/>
            <w:hideMark/>
          </w:tcPr>
          <w:p w14:paraId="22B4A55E"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single" w:sz="4" w:space="0" w:color="auto"/>
            </w:tcBorders>
            <w:shd w:val="clear" w:color="auto" w:fill="E7F3F4"/>
            <w:vAlign w:val="center"/>
            <w:hideMark/>
          </w:tcPr>
          <w:p w14:paraId="0738D84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E7F3F4"/>
            <w:vAlign w:val="center"/>
            <w:hideMark/>
          </w:tcPr>
          <w:p w14:paraId="2ACEAA96"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E7F3F4"/>
            <w:vAlign w:val="center"/>
            <w:hideMark/>
          </w:tcPr>
          <w:p w14:paraId="5573013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E7F3F4"/>
          </w:tcPr>
          <w:p w14:paraId="3801F105" w14:textId="77777777" w:rsidR="009F33B9" w:rsidRDefault="009F33B9" w:rsidP="005D3108">
            <w:pPr>
              <w:spacing w:before="0" w:after="0"/>
              <w:jc w:val="center"/>
              <w:rPr>
                <w:color w:val="000000"/>
                <w:sz w:val="14"/>
                <w:szCs w:val="14"/>
              </w:rPr>
            </w:pPr>
          </w:p>
        </w:tc>
        <w:tc>
          <w:tcPr>
            <w:tcW w:w="559" w:type="dxa"/>
            <w:tcBorders>
              <w:left w:val="single" w:sz="4" w:space="0" w:color="auto"/>
              <w:bottom w:val="single" w:sz="4" w:space="0" w:color="auto"/>
            </w:tcBorders>
            <w:shd w:val="clear" w:color="auto" w:fill="E7F3F4"/>
            <w:vAlign w:val="center"/>
            <w:hideMark/>
          </w:tcPr>
          <w:p w14:paraId="3D883172"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2CDDBA15"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51387F09"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7F6E5A14"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tcPr>
          <w:p w14:paraId="47829AFD" w14:textId="77777777" w:rsidR="009F33B9" w:rsidRDefault="009F33B9" w:rsidP="005D3108">
            <w:pPr>
              <w:spacing w:before="0" w:after="0"/>
              <w:jc w:val="center"/>
              <w:rPr>
                <w:color w:val="000000"/>
                <w:sz w:val="14"/>
                <w:szCs w:val="14"/>
              </w:rPr>
            </w:pPr>
          </w:p>
        </w:tc>
        <w:tc>
          <w:tcPr>
            <w:tcW w:w="546" w:type="dxa"/>
            <w:tcBorders>
              <w:bottom w:val="single" w:sz="4" w:space="0" w:color="auto"/>
              <w:right w:val="nil"/>
            </w:tcBorders>
            <w:shd w:val="clear" w:color="auto" w:fill="E7F3F4"/>
            <w:vAlign w:val="center"/>
          </w:tcPr>
          <w:p w14:paraId="7880C123" w14:textId="77777777" w:rsidR="009F33B9" w:rsidRDefault="009F33B9" w:rsidP="005D3108">
            <w:pPr>
              <w:spacing w:before="0" w:after="0"/>
              <w:jc w:val="center"/>
              <w:rPr>
                <w:color w:val="000000"/>
                <w:sz w:val="14"/>
                <w:szCs w:val="14"/>
              </w:rPr>
            </w:pPr>
          </w:p>
        </w:tc>
      </w:tr>
      <w:tr w:rsidR="009F33B9" w14:paraId="42F192E3"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4D20E027"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014426FE"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2E988430" w14:textId="77777777" w:rsidR="009F33B9" w:rsidRDefault="009F33B9" w:rsidP="005D3108">
            <w:pPr>
              <w:spacing w:before="0" w:after="0"/>
              <w:rPr>
                <w:color w:val="000000"/>
                <w:sz w:val="14"/>
                <w:szCs w:val="14"/>
              </w:rPr>
            </w:pPr>
          </w:p>
        </w:tc>
        <w:tc>
          <w:tcPr>
            <w:tcW w:w="1307" w:type="dxa"/>
            <w:vMerge/>
            <w:tcBorders>
              <w:left w:val="nil"/>
              <w:right w:val="nil"/>
            </w:tcBorders>
            <w:shd w:val="clear" w:color="auto" w:fill="E7F3F4"/>
            <w:noWrap/>
            <w:vAlign w:val="center"/>
          </w:tcPr>
          <w:p w14:paraId="2C13FBD5" w14:textId="77777777" w:rsidR="009F33B9" w:rsidRDefault="009F33B9" w:rsidP="005D3108">
            <w:pPr>
              <w:spacing w:before="0" w:after="0"/>
              <w:jc w:val="center"/>
              <w:rPr>
                <w:color w:val="000000"/>
                <w:sz w:val="14"/>
                <w:szCs w:val="14"/>
              </w:rPr>
            </w:pPr>
          </w:p>
        </w:tc>
        <w:tc>
          <w:tcPr>
            <w:tcW w:w="840" w:type="dxa"/>
            <w:tcBorders>
              <w:top w:val="single" w:sz="4" w:space="0" w:color="auto"/>
              <w:left w:val="nil"/>
            </w:tcBorders>
            <w:shd w:val="clear" w:color="auto" w:fill="E7F3F4"/>
            <w:noWrap/>
            <w:vAlign w:val="center"/>
          </w:tcPr>
          <w:p w14:paraId="15B0E9EB" w14:textId="77777777" w:rsidR="009F33B9" w:rsidRDefault="009F33B9" w:rsidP="005D3108">
            <w:pPr>
              <w:spacing w:before="0" w:after="0"/>
              <w:jc w:val="center"/>
              <w:rPr>
                <w:b/>
                <w:color w:val="000000"/>
                <w:sz w:val="14"/>
                <w:szCs w:val="14"/>
              </w:rPr>
            </w:pPr>
            <w:r>
              <w:rPr>
                <w:b/>
                <w:color w:val="000000"/>
                <w:sz w:val="14"/>
                <w:szCs w:val="14"/>
              </w:rPr>
              <w:t>FG1^</w:t>
            </w:r>
          </w:p>
        </w:tc>
        <w:tc>
          <w:tcPr>
            <w:tcW w:w="555" w:type="dxa"/>
            <w:tcBorders>
              <w:top w:val="single" w:sz="4" w:space="0" w:color="auto"/>
            </w:tcBorders>
            <w:shd w:val="clear" w:color="auto" w:fill="E7F3F4"/>
            <w:vAlign w:val="center"/>
          </w:tcPr>
          <w:p w14:paraId="3F0A9BCC" w14:textId="77777777" w:rsidR="009F33B9" w:rsidRPr="00E12F61" w:rsidRDefault="009F33B9" w:rsidP="005D3108">
            <w:pPr>
              <w:spacing w:before="0" w:after="0"/>
              <w:jc w:val="center"/>
              <w:rPr>
                <w:color w:val="000000"/>
                <w:sz w:val="14"/>
                <w:szCs w:val="14"/>
              </w:rPr>
            </w:pPr>
            <w:r w:rsidRPr="00E12F61">
              <w:rPr>
                <w:color w:val="000000"/>
                <w:sz w:val="14"/>
                <w:szCs w:val="14"/>
              </w:rPr>
              <w:t>10</w:t>
            </w:r>
          </w:p>
        </w:tc>
        <w:tc>
          <w:tcPr>
            <w:tcW w:w="543" w:type="dxa"/>
            <w:tcBorders>
              <w:top w:val="single" w:sz="4" w:space="0" w:color="auto"/>
            </w:tcBorders>
            <w:shd w:val="clear" w:color="auto" w:fill="E7F3F4"/>
            <w:noWrap/>
            <w:vAlign w:val="center"/>
          </w:tcPr>
          <w:p w14:paraId="1507C4E1" w14:textId="77777777" w:rsidR="009F33B9" w:rsidRDefault="009F33B9" w:rsidP="005D3108">
            <w:pPr>
              <w:spacing w:before="0" w:after="0"/>
              <w:jc w:val="center"/>
              <w:rPr>
                <w:color w:val="000000"/>
                <w:sz w:val="14"/>
                <w:szCs w:val="14"/>
              </w:rPr>
            </w:pPr>
          </w:p>
        </w:tc>
        <w:tc>
          <w:tcPr>
            <w:tcW w:w="540" w:type="dxa"/>
            <w:tcBorders>
              <w:top w:val="single" w:sz="4" w:space="0" w:color="auto"/>
            </w:tcBorders>
            <w:shd w:val="clear" w:color="auto" w:fill="E7F3F4"/>
            <w:noWrap/>
            <w:vAlign w:val="center"/>
          </w:tcPr>
          <w:p w14:paraId="6618ACC6" w14:textId="77777777" w:rsidR="009F33B9" w:rsidRDefault="009F33B9" w:rsidP="005D3108">
            <w:pPr>
              <w:spacing w:before="0" w:after="0"/>
              <w:jc w:val="center"/>
              <w:rPr>
                <w:color w:val="000000"/>
                <w:sz w:val="14"/>
                <w:szCs w:val="14"/>
              </w:rPr>
            </w:pPr>
          </w:p>
        </w:tc>
        <w:tc>
          <w:tcPr>
            <w:tcW w:w="536" w:type="dxa"/>
            <w:tcBorders>
              <w:top w:val="single" w:sz="4" w:space="0" w:color="auto"/>
            </w:tcBorders>
            <w:shd w:val="clear" w:color="auto" w:fill="E7F3F4"/>
            <w:vAlign w:val="center"/>
          </w:tcPr>
          <w:p w14:paraId="5BA91B3E" w14:textId="77777777" w:rsidR="009F33B9" w:rsidRDefault="009F33B9" w:rsidP="005D3108">
            <w:pPr>
              <w:spacing w:before="0" w:after="0"/>
              <w:jc w:val="center"/>
              <w:rPr>
                <w:color w:val="000000"/>
                <w:sz w:val="14"/>
                <w:szCs w:val="14"/>
              </w:rPr>
            </w:pPr>
          </w:p>
        </w:tc>
        <w:tc>
          <w:tcPr>
            <w:tcW w:w="540" w:type="dxa"/>
            <w:tcBorders>
              <w:top w:val="single" w:sz="4" w:space="0" w:color="auto"/>
            </w:tcBorders>
            <w:shd w:val="clear" w:color="auto" w:fill="E7F3F4"/>
            <w:vAlign w:val="center"/>
          </w:tcPr>
          <w:p w14:paraId="01870846" w14:textId="77777777" w:rsidR="009F33B9" w:rsidRDefault="009F33B9" w:rsidP="005D3108">
            <w:pPr>
              <w:spacing w:before="0" w:after="0"/>
              <w:jc w:val="center"/>
              <w:rPr>
                <w:color w:val="000000"/>
                <w:sz w:val="14"/>
                <w:szCs w:val="14"/>
              </w:rPr>
            </w:pPr>
          </w:p>
        </w:tc>
        <w:tc>
          <w:tcPr>
            <w:tcW w:w="529" w:type="dxa"/>
            <w:tcBorders>
              <w:top w:val="single" w:sz="4" w:space="0" w:color="auto"/>
            </w:tcBorders>
            <w:shd w:val="clear" w:color="auto" w:fill="E7F3F4"/>
            <w:vAlign w:val="center"/>
          </w:tcPr>
          <w:p w14:paraId="34550460" w14:textId="77777777" w:rsidR="009F33B9" w:rsidRDefault="009F33B9" w:rsidP="005D3108">
            <w:pPr>
              <w:spacing w:before="0" w:after="0"/>
              <w:jc w:val="center"/>
              <w:rPr>
                <w:color w:val="000000"/>
                <w:sz w:val="14"/>
                <w:szCs w:val="14"/>
              </w:rPr>
            </w:pPr>
          </w:p>
        </w:tc>
        <w:tc>
          <w:tcPr>
            <w:tcW w:w="559" w:type="dxa"/>
            <w:tcBorders>
              <w:top w:val="single" w:sz="4" w:space="0" w:color="auto"/>
              <w:right w:val="single" w:sz="4" w:space="0" w:color="auto"/>
            </w:tcBorders>
            <w:shd w:val="clear" w:color="auto" w:fill="E7F3F4"/>
          </w:tcPr>
          <w:p w14:paraId="3C95B164"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tcBorders>
            <w:shd w:val="clear" w:color="auto" w:fill="E7F3F4"/>
            <w:vAlign w:val="center"/>
          </w:tcPr>
          <w:p w14:paraId="55C3187D" w14:textId="77777777" w:rsidR="009F33B9" w:rsidRDefault="009F33B9" w:rsidP="005D3108">
            <w:pPr>
              <w:spacing w:before="0" w:after="0"/>
              <w:jc w:val="center"/>
              <w:rPr>
                <w:color w:val="000000"/>
                <w:sz w:val="14"/>
                <w:szCs w:val="14"/>
              </w:rPr>
            </w:pPr>
          </w:p>
        </w:tc>
        <w:tc>
          <w:tcPr>
            <w:tcW w:w="559" w:type="dxa"/>
            <w:tcBorders>
              <w:top w:val="single" w:sz="4" w:space="0" w:color="auto"/>
            </w:tcBorders>
            <w:shd w:val="clear" w:color="auto" w:fill="E7F3F4"/>
            <w:vAlign w:val="center"/>
          </w:tcPr>
          <w:p w14:paraId="388F5CC3" w14:textId="77777777" w:rsidR="009F33B9" w:rsidRDefault="009F33B9" w:rsidP="005D3108">
            <w:pPr>
              <w:spacing w:before="0" w:after="0"/>
              <w:jc w:val="center"/>
              <w:rPr>
                <w:color w:val="000000"/>
                <w:sz w:val="14"/>
                <w:szCs w:val="14"/>
              </w:rPr>
            </w:pPr>
          </w:p>
        </w:tc>
        <w:tc>
          <w:tcPr>
            <w:tcW w:w="559" w:type="dxa"/>
            <w:tcBorders>
              <w:top w:val="single" w:sz="4" w:space="0" w:color="auto"/>
            </w:tcBorders>
            <w:shd w:val="clear" w:color="auto" w:fill="E7F3F4"/>
            <w:vAlign w:val="center"/>
          </w:tcPr>
          <w:p w14:paraId="6EE66726" w14:textId="77777777" w:rsidR="009F33B9" w:rsidRDefault="009F33B9" w:rsidP="005D3108">
            <w:pPr>
              <w:spacing w:before="0" w:after="0"/>
              <w:jc w:val="center"/>
              <w:rPr>
                <w:color w:val="000000"/>
                <w:sz w:val="14"/>
                <w:szCs w:val="14"/>
              </w:rPr>
            </w:pPr>
          </w:p>
        </w:tc>
        <w:tc>
          <w:tcPr>
            <w:tcW w:w="559" w:type="dxa"/>
            <w:tcBorders>
              <w:top w:val="single" w:sz="4" w:space="0" w:color="auto"/>
            </w:tcBorders>
            <w:shd w:val="clear" w:color="auto" w:fill="E7F3F4"/>
            <w:vAlign w:val="center"/>
          </w:tcPr>
          <w:p w14:paraId="1810137E" w14:textId="77777777" w:rsidR="009F33B9" w:rsidRDefault="009F33B9" w:rsidP="005D3108">
            <w:pPr>
              <w:spacing w:before="0" w:after="0"/>
              <w:jc w:val="center"/>
              <w:rPr>
                <w:color w:val="000000"/>
                <w:sz w:val="14"/>
                <w:szCs w:val="14"/>
              </w:rPr>
            </w:pPr>
          </w:p>
        </w:tc>
        <w:tc>
          <w:tcPr>
            <w:tcW w:w="559" w:type="dxa"/>
            <w:tcBorders>
              <w:top w:val="single" w:sz="4" w:space="0" w:color="auto"/>
            </w:tcBorders>
            <w:shd w:val="clear" w:color="auto" w:fill="E7F3F4"/>
            <w:vAlign w:val="center"/>
          </w:tcPr>
          <w:p w14:paraId="3BC897D3" w14:textId="77777777" w:rsidR="009F33B9" w:rsidRDefault="009F33B9" w:rsidP="005D3108">
            <w:pPr>
              <w:spacing w:before="0" w:after="0"/>
              <w:jc w:val="center"/>
              <w:rPr>
                <w:color w:val="000000"/>
                <w:sz w:val="14"/>
                <w:szCs w:val="14"/>
              </w:rPr>
            </w:pPr>
          </w:p>
        </w:tc>
        <w:tc>
          <w:tcPr>
            <w:tcW w:w="546" w:type="dxa"/>
            <w:tcBorders>
              <w:top w:val="single" w:sz="4" w:space="0" w:color="auto"/>
              <w:right w:val="nil"/>
            </w:tcBorders>
            <w:shd w:val="clear" w:color="auto" w:fill="E7F3F4"/>
            <w:vAlign w:val="center"/>
          </w:tcPr>
          <w:p w14:paraId="19754555" w14:textId="77777777" w:rsidR="009F33B9" w:rsidRDefault="009F33B9" w:rsidP="005D3108">
            <w:pPr>
              <w:spacing w:before="0" w:after="0"/>
              <w:jc w:val="center"/>
              <w:rPr>
                <w:color w:val="000000"/>
                <w:sz w:val="14"/>
                <w:szCs w:val="14"/>
              </w:rPr>
            </w:pPr>
          </w:p>
        </w:tc>
      </w:tr>
      <w:tr w:rsidR="009F33B9" w14:paraId="73B38BA6"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489CF378"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483516BD"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37B629D3" w14:textId="77777777" w:rsidR="009F33B9" w:rsidRDefault="009F33B9" w:rsidP="005D3108">
            <w:pPr>
              <w:spacing w:before="0" w:after="0"/>
              <w:rPr>
                <w:color w:val="000000"/>
                <w:sz w:val="14"/>
                <w:szCs w:val="14"/>
              </w:rPr>
            </w:pPr>
          </w:p>
        </w:tc>
        <w:tc>
          <w:tcPr>
            <w:tcW w:w="1307" w:type="dxa"/>
            <w:vMerge/>
            <w:tcBorders>
              <w:left w:val="nil"/>
              <w:bottom w:val="nil"/>
              <w:right w:val="nil"/>
            </w:tcBorders>
            <w:shd w:val="clear" w:color="auto" w:fill="E7F3F4"/>
            <w:noWrap/>
            <w:vAlign w:val="center"/>
          </w:tcPr>
          <w:p w14:paraId="626F6356" w14:textId="77777777" w:rsidR="009F33B9" w:rsidRDefault="009F33B9" w:rsidP="005D3108">
            <w:pPr>
              <w:spacing w:before="0" w:after="0"/>
              <w:jc w:val="center"/>
              <w:rPr>
                <w:color w:val="000000"/>
                <w:sz w:val="14"/>
                <w:szCs w:val="14"/>
              </w:rPr>
            </w:pPr>
          </w:p>
        </w:tc>
        <w:tc>
          <w:tcPr>
            <w:tcW w:w="840" w:type="dxa"/>
            <w:tcBorders>
              <w:left w:val="nil"/>
            </w:tcBorders>
            <w:shd w:val="clear" w:color="auto" w:fill="E7F3F4"/>
            <w:noWrap/>
            <w:vAlign w:val="center"/>
          </w:tcPr>
          <w:p w14:paraId="6642B25B" w14:textId="77777777" w:rsidR="009F33B9" w:rsidRDefault="009F33B9" w:rsidP="005D3108">
            <w:pPr>
              <w:spacing w:before="0" w:after="0"/>
              <w:jc w:val="center"/>
              <w:rPr>
                <w:b/>
                <w:color w:val="000000"/>
                <w:sz w:val="14"/>
                <w:szCs w:val="14"/>
              </w:rPr>
            </w:pPr>
            <w:r>
              <w:rPr>
                <w:b/>
                <w:color w:val="000000"/>
                <w:sz w:val="14"/>
                <w:szCs w:val="14"/>
              </w:rPr>
              <w:t>FG2^</w:t>
            </w:r>
          </w:p>
        </w:tc>
        <w:tc>
          <w:tcPr>
            <w:tcW w:w="555" w:type="dxa"/>
            <w:shd w:val="clear" w:color="auto" w:fill="E7F3F4"/>
            <w:vAlign w:val="center"/>
          </w:tcPr>
          <w:p w14:paraId="27C13E47" w14:textId="77777777" w:rsidR="009F33B9" w:rsidRPr="00E12F61" w:rsidRDefault="009F33B9" w:rsidP="005D3108">
            <w:pPr>
              <w:spacing w:before="0" w:after="0"/>
              <w:jc w:val="center"/>
              <w:rPr>
                <w:color w:val="000000"/>
                <w:sz w:val="14"/>
                <w:szCs w:val="14"/>
              </w:rPr>
            </w:pPr>
            <w:r w:rsidRPr="00E12F61">
              <w:rPr>
                <w:color w:val="000000"/>
                <w:sz w:val="14"/>
                <w:szCs w:val="14"/>
              </w:rPr>
              <w:t>10</w:t>
            </w:r>
          </w:p>
        </w:tc>
        <w:tc>
          <w:tcPr>
            <w:tcW w:w="543" w:type="dxa"/>
            <w:shd w:val="clear" w:color="auto" w:fill="E7F3F4"/>
            <w:noWrap/>
            <w:vAlign w:val="center"/>
          </w:tcPr>
          <w:p w14:paraId="3B7EEEE1" w14:textId="77777777" w:rsidR="009F33B9" w:rsidRDefault="009F33B9" w:rsidP="005D3108">
            <w:pPr>
              <w:spacing w:before="0" w:after="0"/>
              <w:jc w:val="center"/>
              <w:rPr>
                <w:color w:val="000000"/>
                <w:sz w:val="14"/>
                <w:szCs w:val="14"/>
              </w:rPr>
            </w:pPr>
          </w:p>
        </w:tc>
        <w:tc>
          <w:tcPr>
            <w:tcW w:w="540" w:type="dxa"/>
            <w:shd w:val="clear" w:color="auto" w:fill="E7F3F4"/>
            <w:noWrap/>
            <w:vAlign w:val="center"/>
          </w:tcPr>
          <w:p w14:paraId="0F9EF35A" w14:textId="77777777" w:rsidR="009F33B9" w:rsidRDefault="009F33B9" w:rsidP="005D3108">
            <w:pPr>
              <w:spacing w:before="0" w:after="0"/>
              <w:jc w:val="center"/>
              <w:rPr>
                <w:color w:val="000000"/>
                <w:sz w:val="14"/>
                <w:szCs w:val="14"/>
              </w:rPr>
            </w:pPr>
          </w:p>
        </w:tc>
        <w:tc>
          <w:tcPr>
            <w:tcW w:w="536" w:type="dxa"/>
            <w:shd w:val="clear" w:color="auto" w:fill="E7F3F4"/>
            <w:vAlign w:val="center"/>
          </w:tcPr>
          <w:p w14:paraId="5FEA6D5B" w14:textId="77777777" w:rsidR="009F33B9" w:rsidRDefault="009F33B9" w:rsidP="005D3108">
            <w:pPr>
              <w:spacing w:before="0" w:after="0"/>
              <w:jc w:val="center"/>
              <w:rPr>
                <w:color w:val="000000"/>
                <w:sz w:val="14"/>
                <w:szCs w:val="14"/>
              </w:rPr>
            </w:pPr>
          </w:p>
        </w:tc>
        <w:tc>
          <w:tcPr>
            <w:tcW w:w="540" w:type="dxa"/>
            <w:shd w:val="clear" w:color="auto" w:fill="E7F3F4"/>
            <w:vAlign w:val="center"/>
          </w:tcPr>
          <w:p w14:paraId="3F721599" w14:textId="77777777" w:rsidR="009F33B9" w:rsidRDefault="009F33B9" w:rsidP="005D3108">
            <w:pPr>
              <w:spacing w:before="0" w:after="0"/>
              <w:jc w:val="center"/>
              <w:rPr>
                <w:color w:val="000000"/>
                <w:sz w:val="14"/>
                <w:szCs w:val="14"/>
              </w:rPr>
            </w:pPr>
          </w:p>
        </w:tc>
        <w:tc>
          <w:tcPr>
            <w:tcW w:w="529" w:type="dxa"/>
            <w:shd w:val="clear" w:color="auto" w:fill="E7F3F4"/>
            <w:vAlign w:val="center"/>
          </w:tcPr>
          <w:p w14:paraId="16B36ABF" w14:textId="77777777" w:rsidR="009F33B9" w:rsidRDefault="009F33B9" w:rsidP="005D3108">
            <w:pPr>
              <w:spacing w:before="0" w:after="0"/>
              <w:jc w:val="center"/>
              <w:rPr>
                <w:color w:val="000000"/>
                <w:sz w:val="14"/>
                <w:szCs w:val="14"/>
              </w:rPr>
            </w:pPr>
          </w:p>
        </w:tc>
        <w:tc>
          <w:tcPr>
            <w:tcW w:w="559" w:type="dxa"/>
            <w:tcBorders>
              <w:right w:val="single" w:sz="4" w:space="0" w:color="auto"/>
            </w:tcBorders>
            <w:shd w:val="clear" w:color="auto" w:fill="E7F3F4"/>
          </w:tcPr>
          <w:p w14:paraId="7C12E4E5" w14:textId="77777777" w:rsidR="009F33B9" w:rsidRDefault="009F33B9" w:rsidP="005D3108">
            <w:pPr>
              <w:spacing w:before="0" w:after="0"/>
              <w:jc w:val="center"/>
              <w:rPr>
                <w:color w:val="000000"/>
                <w:sz w:val="14"/>
                <w:szCs w:val="14"/>
              </w:rPr>
            </w:pPr>
          </w:p>
        </w:tc>
        <w:tc>
          <w:tcPr>
            <w:tcW w:w="559" w:type="dxa"/>
            <w:tcBorders>
              <w:left w:val="single" w:sz="4" w:space="0" w:color="auto"/>
              <w:bottom w:val="single" w:sz="4" w:space="0" w:color="auto"/>
            </w:tcBorders>
            <w:shd w:val="clear" w:color="auto" w:fill="E7F3F4"/>
            <w:vAlign w:val="center"/>
          </w:tcPr>
          <w:p w14:paraId="7BE41847"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78845BFE"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08CA1763"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4BEFEB09"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4E188957" w14:textId="77777777" w:rsidR="009F33B9" w:rsidRDefault="009F33B9" w:rsidP="005D3108">
            <w:pPr>
              <w:spacing w:before="0" w:after="0"/>
              <w:jc w:val="center"/>
              <w:rPr>
                <w:color w:val="000000"/>
                <w:sz w:val="14"/>
                <w:szCs w:val="14"/>
              </w:rPr>
            </w:pPr>
          </w:p>
        </w:tc>
        <w:tc>
          <w:tcPr>
            <w:tcW w:w="546" w:type="dxa"/>
            <w:tcBorders>
              <w:right w:val="nil"/>
            </w:tcBorders>
            <w:shd w:val="clear" w:color="auto" w:fill="E7F3F4"/>
            <w:vAlign w:val="center"/>
          </w:tcPr>
          <w:p w14:paraId="1E59BCFA" w14:textId="77777777" w:rsidR="009F33B9" w:rsidRDefault="009F33B9" w:rsidP="005D3108">
            <w:pPr>
              <w:spacing w:before="0" w:after="0"/>
              <w:jc w:val="center"/>
              <w:rPr>
                <w:color w:val="000000"/>
                <w:sz w:val="14"/>
                <w:szCs w:val="14"/>
              </w:rPr>
            </w:pPr>
          </w:p>
        </w:tc>
      </w:tr>
      <w:tr w:rsidR="009F33B9" w14:paraId="0BB79B14"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A014E6C"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2F2A6D76"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09B614BF"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right w:val="nil"/>
            </w:tcBorders>
            <w:shd w:val="clear" w:color="auto" w:fill="E7F3F4"/>
            <w:noWrap/>
            <w:vAlign w:val="center"/>
            <w:hideMark/>
          </w:tcPr>
          <w:p w14:paraId="2946A4CD" w14:textId="77777777" w:rsidR="009F33B9" w:rsidRDefault="009F33B9" w:rsidP="005D3108">
            <w:pPr>
              <w:spacing w:before="0" w:after="0"/>
              <w:jc w:val="center"/>
              <w:rPr>
                <w:color w:val="000000"/>
                <w:sz w:val="14"/>
                <w:szCs w:val="14"/>
              </w:rPr>
            </w:pPr>
            <w:r>
              <w:rPr>
                <w:color w:val="000000"/>
                <w:sz w:val="14"/>
                <w:szCs w:val="14"/>
              </w:rPr>
              <w:t>Bathurst Bay</w:t>
            </w:r>
          </w:p>
        </w:tc>
        <w:tc>
          <w:tcPr>
            <w:tcW w:w="840" w:type="dxa"/>
            <w:tcBorders>
              <w:top w:val="single" w:sz="4" w:space="0" w:color="auto"/>
              <w:left w:val="nil"/>
              <w:right w:val="nil"/>
            </w:tcBorders>
            <w:shd w:val="clear" w:color="auto" w:fill="E7F3F4"/>
            <w:noWrap/>
            <w:vAlign w:val="center"/>
            <w:hideMark/>
          </w:tcPr>
          <w:p w14:paraId="162D15E8" w14:textId="77777777" w:rsidR="009F33B9" w:rsidRDefault="009F33B9" w:rsidP="005D3108">
            <w:pPr>
              <w:spacing w:before="0" w:after="0"/>
              <w:jc w:val="center"/>
              <w:rPr>
                <w:b/>
                <w:color w:val="000000"/>
                <w:sz w:val="14"/>
                <w:szCs w:val="14"/>
              </w:rPr>
            </w:pPr>
            <w:r>
              <w:rPr>
                <w:b/>
                <w:color w:val="000000"/>
                <w:sz w:val="14"/>
                <w:szCs w:val="14"/>
              </w:rPr>
              <w:t>BY1</w:t>
            </w:r>
          </w:p>
        </w:tc>
        <w:tc>
          <w:tcPr>
            <w:tcW w:w="555" w:type="dxa"/>
            <w:tcBorders>
              <w:top w:val="single" w:sz="4" w:space="0" w:color="auto"/>
              <w:left w:val="nil"/>
              <w:right w:val="nil"/>
            </w:tcBorders>
            <w:shd w:val="clear" w:color="auto" w:fill="E7F3F4"/>
            <w:vAlign w:val="center"/>
            <w:hideMark/>
          </w:tcPr>
          <w:p w14:paraId="5AAE190E"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64041BA1"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0CA4DEC3"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2C02883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782FF08E"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622C643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tcPr>
          <w:p w14:paraId="5C0E13F5"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hideMark/>
          </w:tcPr>
          <w:p w14:paraId="232086C1"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31DE7168"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3DB16DB6"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hideMark/>
          </w:tcPr>
          <w:p w14:paraId="5ACAAB2B"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2C157879"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vAlign w:val="center"/>
          </w:tcPr>
          <w:p w14:paraId="4EBB8A5B" w14:textId="77777777" w:rsidR="009F33B9" w:rsidRDefault="009F33B9" w:rsidP="005D3108">
            <w:pPr>
              <w:spacing w:before="0" w:after="0"/>
              <w:jc w:val="center"/>
              <w:rPr>
                <w:color w:val="000000"/>
                <w:sz w:val="14"/>
                <w:szCs w:val="14"/>
              </w:rPr>
            </w:pPr>
          </w:p>
        </w:tc>
      </w:tr>
      <w:tr w:rsidR="009F33B9" w14:paraId="23F29A3A"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1DC515D3"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2CE3050A"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1C450BC1" w14:textId="77777777" w:rsidR="009F33B9" w:rsidRDefault="009F33B9" w:rsidP="005D3108">
            <w:pPr>
              <w:spacing w:before="0" w:after="0"/>
              <w:rPr>
                <w:color w:val="000000"/>
                <w:sz w:val="14"/>
                <w:szCs w:val="14"/>
              </w:rPr>
            </w:pPr>
          </w:p>
        </w:tc>
        <w:tc>
          <w:tcPr>
            <w:tcW w:w="1307" w:type="dxa"/>
            <w:vMerge/>
            <w:tcBorders>
              <w:left w:val="nil"/>
              <w:right w:val="nil"/>
            </w:tcBorders>
            <w:vAlign w:val="center"/>
            <w:hideMark/>
          </w:tcPr>
          <w:p w14:paraId="1FE0AAA8" w14:textId="77777777" w:rsidR="009F33B9" w:rsidRDefault="009F33B9" w:rsidP="005D3108">
            <w:pPr>
              <w:spacing w:before="0" w:after="0"/>
              <w:rPr>
                <w:color w:val="000000"/>
                <w:sz w:val="14"/>
                <w:szCs w:val="14"/>
              </w:rPr>
            </w:pPr>
          </w:p>
        </w:tc>
        <w:tc>
          <w:tcPr>
            <w:tcW w:w="840" w:type="dxa"/>
            <w:tcBorders>
              <w:left w:val="nil"/>
              <w:bottom w:val="single" w:sz="4" w:space="0" w:color="auto"/>
            </w:tcBorders>
            <w:shd w:val="clear" w:color="auto" w:fill="E7F3F4"/>
            <w:noWrap/>
            <w:vAlign w:val="center"/>
            <w:hideMark/>
          </w:tcPr>
          <w:p w14:paraId="08FFA3B6" w14:textId="77777777" w:rsidR="009F33B9" w:rsidRDefault="009F33B9" w:rsidP="005D3108">
            <w:pPr>
              <w:spacing w:before="0" w:after="0"/>
              <w:jc w:val="center"/>
              <w:rPr>
                <w:b/>
                <w:color w:val="000000"/>
                <w:sz w:val="14"/>
                <w:szCs w:val="14"/>
              </w:rPr>
            </w:pPr>
            <w:r>
              <w:rPr>
                <w:b/>
                <w:color w:val="000000"/>
                <w:sz w:val="14"/>
                <w:szCs w:val="14"/>
              </w:rPr>
              <w:t>BY2</w:t>
            </w:r>
          </w:p>
        </w:tc>
        <w:tc>
          <w:tcPr>
            <w:tcW w:w="555" w:type="dxa"/>
            <w:tcBorders>
              <w:bottom w:val="single" w:sz="4" w:space="0" w:color="auto"/>
            </w:tcBorders>
            <w:shd w:val="clear" w:color="auto" w:fill="E7F3F4"/>
            <w:vAlign w:val="center"/>
            <w:hideMark/>
          </w:tcPr>
          <w:p w14:paraId="523824D4"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single" w:sz="4" w:space="0" w:color="auto"/>
            </w:tcBorders>
            <w:shd w:val="clear" w:color="auto" w:fill="E7F3F4"/>
            <w:noWrap/>
            <w:vAlign w:val="center"/>
            <w:hideMark/>
          </w:tcPr>
          <w:p w14:paraId="4EE9BD32"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single" w:sz="4" w:space="0" w:color="auto"/>
            </w:tcBorders>
            <w:shd w:val="clear" w:color="auto" w:fill="E7F3F4"/>
            <w:noWrap/>
            <w:vAlign w:val="center"/>
            <w:hideMark/>
          </w:tcPr>
          <w:p w14:paraId="780BFB61"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single" w:sz="4" w:space="0" w:color="auto"/>
            </w:tcBorders>
            <w:shd w:val="clear" w:color="auto" w:fill="E7F3F4"/>
            <w:vAlign w:val="center"/>
            <w:hideMark/>
          </w:tcPr>
          <w:p w14:paraId="7EB7BEB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E7F3F4"/>
            <w:vAlign w:val="center"/>
            <w:hideMark/>
          </w:tcPr>
          <w:p w14:paraId="6A1D0DEF"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E7F3F4"/>
            <w:vAlign w:val="center"/>
            <w:hideMark/>
          </w:tcPr>
          <w:p w14:paraId="77AC695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E7F3F4"/>
            <w:hideMark/>
          </w:tcPr>
          <w:p w14:paraId="2C52B89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single" w:sz="4" w:space="0" w:color="auto"/>
            </w:tcBorders>
            <w:shd w:val="clear" w:color="auto" w:fill="E7F3F4"/>
            <w:vAlign w:val="center"/>
            <w:hideMark/>
          </w:tcPr>
          <w:p w14:paraId="7C80BF30"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72338D12"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3EB7D676"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hideMark/>
          </w:tcPr>
          <w:p w14:paraId="2DAB4E80" w14:textId="77777777" w:rsidR="009F33B9" w:rsidRDefault="009F33B9" w:rsidP="005D3108">
            <w:pPr>
              <w:spacing w:before="0" w:after="0"/>
              <w:jc w:val="center"/>
              <w:rPr>
                <w:color w:val="000000"/>
                <w:sz w:val="14"/>
                <w:szCs w:val="14"/>
              </w:rPr>
            </w:pPr>
          </w:p>
        </w:tc>
        <w:tc>
          <w:tcPr>
            <w:tcW w:w="559" w:type="dxa"/>
            <w:tcBorders>
              <w:bottom w:val="single" w:sz="4" w:space="0" w:color="auto"/>
            </w:tcBorders>
            <w:shd w:val="clear" w:color="auto" w:fill="E7F3F4"/>
            <w:vAlign w:val="center"/>
          </w:tcPr>
          <w:p w14:paraId="1FEF51FA" w14:textId="77777777" w:rsidR="009F33B9" w:rsidRDefault="009F33B9" w:rsidP="005D3108">
            <w:pPr>
              <w:spacing w:before="0" w:after="0"/>
              <w:jc w:val="center"/>
              <w:rPr>
                <w:color w:val="000000"/>
                <w:sz w:val="14"/>
                <w:szCs w:val="14"/>
              </w:rPr>
            </w:pPr>
          </w:p>
        </w:tc>
        <w:tc>
          <w:tcPr>
            <w:tcW w:w="546" w:type="dxa"/>
            <w:tcBorders>
              <w:bottom w:val="single" w:sz="4" w:space="0" w:color="auto"/>
              <w:right w:val="nil"/>
            </w:tcBorders>
            <w:shd w:val="clear" w:color="auto" w:fill="E7F3F4"/>
            <w:vAlign w:val="center"/>
          </w:tcPr>
          <w:p w14:paraId="3B28B69E" w14:textId="77777777" w:rsidR="009F33B9" w:rsidRDefault="009F33B9" w:rsidP="005D3108">
            <w:pPr>
              <w:spacing w:before="0" w:after="0"/>
              <w:jc w:val="center"/>
              <w:rPr>
                <w:color w:val="000000"/>
                <w:sz w:val="14"/>
                <w:szCs w:val="14"/>
              </w:rPr>
            </w:pPr>
          </w:p>
        </w:tc>
      </w:tr>
      <w:tr w:rsidR="009F33B9" w14:paraId="528A0419"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2D1359D8"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5A6A84D7"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43770FFC" w14:textId="77777777" w:rsidR="009F33B9" w:rsidRDefault="009F33B9" w:rsidP="005D3108">
            <w:pPr>
              <w:spacing w:before="0" w:after="0"/>
              <w:rPr>
                <w:color w:val="000000"/>
                <w:sz w:val="14"/>
                <w:szCs w:val="14"/>
              </w:rPr>
            </w:pPr>
          </w:p>
        </w:tc>
        <w:tc>
          <w:tcPr>
            <w:tcW w:w="1307" w:type="dxa"/>
            <w:vMerge/>
            <w:tcBorders>
              <w:left w:val="nil"/>
              <w:right w:val="nil"/>
            </w:tcBorders>
            <w:vAlign w:val="center"/>
          </w:tcPr>
          <w:p w14:paraId="49AD1542" w14:textId="77777777" w:rsidR="009F33B9" w:rsidRDefault="009F33B9" w:rsidP="005D3108">
            <w:pPr>
              <w:spacing w:before="0" w:after="0"/>
              <w:rPr>
                <w:color w:val="000000"/>
                <w:sz w:val="14"/>
                <w:szCs w:val="14"/>
              </w:rPr>
            </w:pPr>
          </w:p>
        </w:tc>
        <w:tc>
          <w:tcPr>
            <w:tcW w:w="840" w:type="dxa"/>
            <w:tcBorders>
              <w:top w:val="single" w:sz="4" w:space="0" w:color="auto"/>
              <w:left w:val="nil"/>
              <w:bottom w:val="nil"/>
            </w:tcBorders>
            <w:shd w:val="clear" w:color="auto" w:fill="E7F3F4"/>
            <w:noWrap/>
            <w:vAlign w:val="center"/>
          </w:tcPr>
          <w:p w14:paraId="10154F3C" w14:textId="77777777" w:rsidR="009F33B9" w:rsidRDefault="009F33B9" w:rsidP="005D3108">
            <w:pPr>
              <w:spacing w:before="0" w:after="0"/>
              <w:jc w:val="center"/>
              <w:rPr>
                <w:b/>
                <w:color w:val="000000"/>
                <w:sz w:val="14"/>
                <w:szCs w:val="14"/>
              </w:rPr>
            </w:pPr>
            <w:r>
              <w:rPr>
                <w:b/>
                <w:color w:val="000000"/>
                <w:sz w:val="14"/>
                <w:szCs w:val="14"/>
              </w:rPr>
              <w:t>BY3^</w:t>
            </w:r>
          </w:p>
        </w:tc>
        <w:tc>
          <w:tcPr>
            <w:tcW w:w="555" w:type="dxa"/>
            <w:tcBorders>
              <w:top w:val="single" w:sz="4" w:space="0" w:color="auto"/>
              <w:bottom w:val="nil"/>
            </w:tcBorders>
            <w:shd w:val="clear" w:color="auto" w:fill="E7F3F4"/>
            <w:vAlign w:val="center"/>
          </w:tcPr>
          <w:p w14:paraId="1C8D6480" w14:textId="77777777" w:rsidR="009F33B9" w:rsidRPr="00A35694" w:rsidRDefault="009F33B9" w:rsidP="005D3108">
            <w:pPr>
              <w:spacing w:before="0" w:after="0"/>
              <w:jc w:val="center"/>
              <w:rPr>
                <w:color w:val="000000"/>
                <w:sz w:val="14"/>
                <w:szCs w:val="14"/>
                <w:highlight w:val="yellow"/>
              </w:rPr>
            </w:pPr>
          </w:p>
        </w:tc>
        <w:tc>
          <w:tcPr>
            <w:tcW w:w="543" w:type="dxa"/>
            <w:tcBorders>
              <w:top w:val="single" w:sz="4" w:space="0" w:color="auto"/>
              <w:bottom w:val="nil"/>
            </w:tcBorders>
            <w:shd w:val="clear" w:color="auto" w:fill="E7F3F4"/>
            <w:noWrap/>
            <w:vAlign w:val="center"/>
          </w:tcPr>
          <w:p w14:paraId="775542B6" w14:textId="77777777" w:rsidR="009F33B9" w:rsidRDefault="009F33B9" w:rsidP="005D3108">
            <w:pPr>
              <w:spacing w:before="0" w:after="0"/>
              <w:jc w:val="center"/>
              <w:rPr>
                <w:color w:val="000000"/>
                <w:sz w:val="14"/>
                <w:szCs w:val="14"/>
              </w:rPr>
            </w:pPr>
          </w:p>
        </w:tc>
        <w:tc>
          <w:tcPr>
            <w:tcW w:w="540" w:type="dxa"/>
            <w:tcBorders>
              <w:top w:val="single" w:sz="4" w:space="0" w:color="auto"/>
              <w:bottom w:val="nil"/>
            </w:tcBorders>
            <w:shd w:val="clear" w:color="auto" w:fill="E7F3F4"/>
            <w:noWrap/>
            <w:vAlign w:val="center"/>
          </w:tcPr>
          <w:p w14:paraId="1CED3382" w14:textId="77777777" w:rsidR="009F33B9" w:rsidRDefault="009F33B9" w:rsidP="005D3108">
            <w:pPr>
              <w:spacing w:before="0" w:after="0"/>
              <w:jc w:val="center"/>
              <w:rPr>
                <w:color w:val="000000"/>
                <w:sz w:val="14"/>
                <w:szCs w:val="14"/>
              </w:rPr>
            </w:pPr>
          </w:p>
        </w:tc>
        <w:tc>
          <w:tcPr>
            <w:tcW w:w="536" w:type="dxa"/>
            <w:tcBorders>
              <w:top w:val="single" w:sz="4" w:space="0" w:color="auto"/>
              <w:bottom w:val="nil"/>
            </w:tcBorders>
            <w:shd w:val="clear" w:color="auto" w:fill="E7F3F4"/>
            <w:vAlign w:val="center"/>
          </w:tcPr>
          <w:p w14:paraId="52DDD193" w14:textId="77777777" w:rsidR="009F33B9" w:rsidRDefault="009F33B9" w:rsidP="005D3108">
            <w:pPr>
              <w:spacing w:before="0" w:after="0"/>
              <w:jc w:val="center"/>
              <w:rPr>
                <w:color w:val="000000"/>
                <w:sz w:val="14"/>
                <w:szCs w:val="14"/>
              </w:rPr>
            </w:pPr>
          </w:p>
        </w:tc>
        <w:tc>
          <w:tcPr>
            <w:tcW w:w="540" w:type="dxa"/>
            <w:tcBorders>
              <w:top w:val="single" w:sz="4" w:space="0" w:color="auto"/>
              <w:bottom w:val="nil"/>
            </w:tcBorders>
            <w:shd w:val="clear" w:color="auto" w:fill="E7F3F4"/>
            <w:vAlign w:val="center"/>
          </w:tcPr>
          <w:p w14:paraId="22BDDBF5" w14:textId="77777777" w:rsidR="009F33B9" w:rsidRDefault="009F33B9" w:rsidP="005D3108">
            <w:pPr>
              <w:spacing w:before="0" w:after="0"/>
              <w:jc w:val="center"/>
              <w:rPr>
                <w:color w:val="000000"/>
                <w:sz w:val="14"/>
                <w:szCs w:val="14"/>
              </w:rPr>
            </w:pPr>
          </w:p>
        </w:tc>
        <w:tc>
          <w:tcPr>
            <w:tcW w:w="529" w:type="dxa"/>
            <w:tcBorders>
              <w:top w:val="single" w:sz="4" w:space="0" w:color="auto"/>
              <w:bottom w:val="nil"/>
            </w:tcBorders>
            <w:shd w:val="clear" w:color="auto" w:fill="E7F3F4"/>
            <w:vAlign w:val="center"/>
          </w:tcPr>
          <w:p w14:paraId="68ABFA87" w14:textId="77777777" w:rsidR="009F33B9" w:rsidRDefault="009F33B9" w:rsidP="005D3108">
            <w:pPr>
              <w:spacing w:before="0" w:after="0"/>
              <w:jc w:val="center"/>
              <w:rPr>
                <w:color w:val="000000"/>
                <w:sz w:val="14"/>
                <w:szCs w:val="14"/>
              </w:rPr>
            </w:pPr>
          </w:p>
        </w:tc>
        <w:tc>
          <w:tcPr>
            <w:tcW w:w="559" w:type="dxa"/>
            <w:tcBorders>
              <w:top w:val="single" w:sz="4" w:space="0" w:color="auto"/>
              <w:bottom w:val="nil"/>
              <w:right w:val="single" w:sz="4" w:space="0" w:color="auto"/>
            </w:tcBorders>
            <w:shd w:val="clear" w:color="auto" w:fill="E7F3F4"/>
          </w:tcPr>
          <w:p w14:paraId="28B6F38C"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bottom w:val="nil"/>
            </w:tcBorders>
            <w:shd w:val="clear" w:color="auto" w:fill="E7F3F4"/>
            <w:vAlign w:val="center"/>
          </w:tcPr>
          <w:p w14:paraId="0DAA07EC" w14:textId="77777777" w:rsidR="009F33B9" w:rsidRDefault="009F33B9" w:rsidP="005D3108">
            <w:pPr>
              <w:spacing w:before="0" w:after="0"/>
              <w:jc w:val="center"/>
              <w:rPr>
                <w:color w:val="000000"/>
                <w:sz w:val="14"/>
                <w:szCs w:val="14"/>
              </w:rPr>
            </w:pPr>
          </w:p>
        </w:tc>
        <w:tc>
          <w:tcPr>
            <w:tcW w:w="559" w:type="dxa"/>
            <w:tcBorders>
              <w:top w:val="single" w:sz="4" w:space="0" w:color="auto"/>
              <w:bottom w:val="nil"/>
            </w:tcBorders>
            <w:shd w:val="clear" w:color="auto" w:fill="E7F3F4"/>
            <w:vAlign w:val="center"/>
          </w:tcPr>
          <w:p w14:paraId="4EFE95D7" w14:textId="77777777" w:rsidR="009F33B9" w:rsidRDefault="009F33B9" w:rsidP="005D3108">
            <w:pPr>
              <w:spacing w:before="0" w:after="0"/>
              <w:jc w:val="center"/>
              <w:rPr>
                <w:color w:val="000000"/>
                <w:sz w:val="14"/>
                <w:szCs w:val="14"/>
              </w:rPr>
            </w:pPr>
          </w:p>
        </w:tc>
        <w:tc>
          <w:tcPr>
            <w:tcW w:w="559" w:type="dxa"/>
            <w:tcBorders>
              <w:top w:val="single" w:sz="4" w:space="0" w:color="auto"/>
              <w:bottom w:val="nil"/>
            </w:tcBorders>
            <w:shd w:val="clear" w:color="auto" w:fill="E7F3F4"/>
            <w:vAlign w:val="center"/>
          </w:tcPr>
          <w:p w14:paraId="17C74049" w14:textId="77777777" w:rsidR="009F33B9" w:rsidRDefault="009F33B9" w:rsidP="005D3108">
            <w:pPr>
              <w:spacing w:before="0" w:after="0"/>
              <w:jc w:val="center"/>
              <w:rPr>
                <w:color w:val="000000"/>
                <w:sz w:val="14"/>
                <w:szCs w:val="14"/>
              </w:rPr>
            </w:pPr>
          </w:p>
        </w:tc>
        <w:tc>
          <w:tcPr>
            <w:tcW w:w="559" w:type="dxa"/>
            <w:tcBorders>
              <w:top w:val="single" w:sz="4" w:space="0" w:color="auto"/>
              <w:bottom w:val="nil"/>
            </w:tcBorders>
            <w:shd w:val="clear" w:color="auto" w:fill="E7F3F4"/>
            <w:vAlign w:val="center"/>
          </w:tcPr>
          <w:p w14:paraId="51F9E891" w14:textId="77777777" w:rsidR="009F33B9" w:rsidRDefault="009F33B9" w:rsidP="005D3108">
            <w:pPr>
              <w:spacing w:before="0" w:after="0"/>
              <w:jc w:val="center"/>
              <w:rPr>
                <w:color w:val="000000"/>
                <w:sz w:val="14"/>
                <w:szCs w:val="14"/>
              </w:rPr>
            </w:pPr>
          </w:p>
        </w:tc>
        <w:tc>
          <w:tcPr>
            <w:tcW w:w="559" w:type="dxa"/>
            <w:tcBorders>
              <w:top w:val="single" w:sz="4" w:space="0" w:color="auto"/>
              <w:bottom w:val="nil"/>
            </w:tcBorders>
            <w:shd w:val="clear" w:color="auto" w:fill="E7F3F4"/>
            <w:vAlign w:val="center"/>
          </w:tcPr>
          <w:p w14:paraId="7B5BD76B" w14:textId="77777777" w:rsidR="009F33B9" w:rsidRDefault="009F33B9" w:rsidP="005D3108">
            <w:pPr>
              <w:spacing w:before="0" w:after="0"/>
              <w:jc w:val="center"/>
              <w:rPr>
                <w:color w:val="000000"/>
                <w:sz w:val="14"/>
                <w:szCs w:val="14"/>
              </w:rPr>
            </w:pPr>
          </w:p>
        </w:tc>
        <w:tc>
          <w:tcPr>
            <w:tcW w:w="546" w:type="dxa"/>
            <w:tcBorders>
              <w:top w:val="single" w:sz="4" w:space="0" w:color="auto"/>
              <w:bottom w:val="nil"/>
              <w:right w:val="nil"/>
            </w:tcBorders>
            <w:shd w:val="clear" w:color="auto" w:fill="E7F3F4"/>
            <w:vAlign w:val="center"/>
          </w:tcPr>
          <w:p w14:paraId="0D640E6C" w14:textId="77777777" w:rsidR="009F33B9" w:rsidRDefault="009F33B9" w:rsidP="005D3108">
            <w:pPr>
              <w:spacing w:before="0" w:after="0"/>
              <w:jc w:val="center"/>
              <w:rPr>
                <w:color w:val="000000"/>
                <w:sz w:val="14"/>
                <w:szCs w:val="14"/>
              </w:rPr>
            </w:pPr>
          </w:p>
        </w:tc>
      </w:tr>
      <w:tr w:rsidR="009F33B9" w14:paraId="297FC4E8"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13CC1C22"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tcPr>
          <w:p w14:paraId="18601128" w14:textId="77777777" w:rsidR="009F33B9" w:rsidRDefault="009F33B9" w:rsidP="005D3108">
            <w:pPr>
              <w:spacing w:before="0" w:after="0"/>
              <w:rPr>
                <w:color w:val="000000"/>
                <w:sz w:val="14"/>
                <w:szCs w:val="14"/>
              </w:rPr>
            </w:pPr>
          </w:p>
        </w:tc>
        <w:tc>
          <w:tcPr>
            <w:tcW w:w="1299" w:type="dxa"/>
            <w:vMerge/>
            <w:tcBorders>
              <w:left w:val="nil"/>
              <w:bottom w:val="nil"/>
              <w:right w:val="nil"/>
            </w:tcBorders>
            <w:vAlign w:val="center"/>
          </w:tcPr>
          <w:p w14:paraId="387EE5FA" w14:textId="77777777" w:rsidR="009F33B9" w:rsidRDefault="009F33B9" w:rsidP="005D3108">
            <w:pPr>
              <w:spacing w:before="0" w:after="0"/>
              <w:rPr>
                <w:color w:val="000000"/>
                <w:sz w:val="14"/>
                <w:szCs w:val="14"/>
              </w:rPr>
            </w:pPr>
          </w:p>
        </w:tc>
        <w:tc>
          <w:tcPr>
            <w:tcW w:w="1307" w:type="dxa"/>
            <w:vMerge/>
            <w:tcBorders>
              <w:left w:val="nil"/>
              <w:bottom w:val="nil"/>
              <w:right w:val="nil"/>
            </w:tcBorders>
            <w:vAlign w:val="center"/>
          </w:tcPr>
          <w:p w14:paraId="7749755E" w14:textId="77777777" w:rsidR="009F33B9" w:rsidRDefault="009F33B9" w:rsidP="005D3108">
            <w:pPr>
              <w:spacing w:before="0" w:after="0"/>
              <w:rPr>
                <w:color w:val="000000"/>
                <w:sz w:val="14"/>
                <w:szCs w:val="14"/>
              </w:rPr>
            </w:pPr>
          </w:p>
        </w:tc>
        <w:tc>
          <w:tcPr>
            <w:tcW w:w="840" w:type="dxa"/>
            <w:tcBorders>
              <w:left w:val="nil"/>
              <w:bottom w:val="nil"/>
            </w:tcBorders>
            <w:shd w:val="clear" w:color="auto" w:fill="E7F3F4"/>
            <w:noWrap/>
            <w:vAlign w:val="center"/>
          </w:tcPr>
          <w:p w14:paraId="58289746" w14:textId="77777777" w:rsidR="009F33B9" w:rsidRDefault="009F33B9" w:rsidP="005D3108">
            <w:pPr>
              <w:spacing w:before="0" w:after="0"/>
              <w:jc w:val="center"/>
              <w:rPr>
                <w:b/>
                <w:color w:val="000000"/>
                <w:sz w:val="14"/>
                <w:szCs w:val="14"/>
              </w:rPr>
            </w:pPr>
            <w:r>
              <w:rPr>
                <w:b/>
                <w:color w:val="000000"/>
                <w:sz w:val="14"/>
                <w:szCs w:val="14"/>
              </w:rPr>
              <w:t>BY4^</w:t>
            </w:r>
          </w:p>
        </w:tc>
        <w:tc>
          <w:tcPr>
            <w:tcW w:w="555" w:type="dxa"/>
            <w:tcBorders>
              <w:bottom w:val="nil"/>
            </w:tcBorders>
            <w:shd w:val="clear" w:color="auto" w:fill="E7F3F4"/>
            <w:vAlign w:val="center"/>
          </w:tcPr>
          <w:p w14:paraId="284049A6" w14:textId="77777777" w:rsidR="009F33B9" w:rsidRPr="00A35694" w:rsidRDefault="009F33B9" w:rsidP="005D3108">
            <w:pPr>
              <w:spacing w:before="0" w:after="0"/>
              <w:jc w:val="center"/>
              <w:rPr>
                <w:color w:val="000000"/>
                <w:sz w:val="14"/>
                <w:szCs w:val="14"/>
                <w:highlight w:val="yellow"/>
              </w:rPr>
            </w:pPr>
          </w:p>
        </w:tc>
        <w:tc>
          <w:tcPr>
            <w:tcW w:w="543" w:type="dxa"/>
            <w:tcBorders>
              <w:bottom w:val="nil"/>
            </w:tcBorders>
            <w:shd w:val="clear" w:color="auto" w:fill="E7F3F4"/>
            <w:noWrap/>
            <w:vAlign w:val="center"/>
          </w:tcPr>
          <w:p w14:paraId="45562A63"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E7F3F4"/>
            <w:noWrap/>
            <w:vAlign w:val="center"/>
          </w:tcPr>
          <w:p w14:paraId="15A503F0" w14:textId="77777777" w:rsidR="009F33B9" w:rsidRDefault="009F33B9" w:rsidP="005D3108">
            <w:pPr>
              <w:spacing w:before="0" w:after="0"/>
              <w:jc w:val="center"/>
              <w:rPr>
                <w:color w:val="000000"/>
                <w:sz w:val="14"/>
                <w:szCs w:val="14"/>
              </w:rPr>
            </w:pPr>
          </w:p>
        </w:tc>
        <w:tc>
          <w:tcPr>
            <w:tcW w:w="536" w:type="dxa"/>
            <w:tcBorders>
              <w:bottom w:val="nil"/>
            </w:tcBorders>
            <w:shd w:val="clear" w:color="auto" w:fill="E7F3F4"/>
            <w:vAlign w:val="center"/>
          </w:tcPr>
          <w:p w14:paraId="7694DE35"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E7F3F4"/>
            <w:vAlign w:val="center"/>
          </w:tcPr>
          <w:p w14:paraId="481D9728" w14:textId="77777777" w:rsidR="009F33B9" w:rsidRDefault="009F33B9" w:rsidP="005D3108">
            <w:pPr>
              <w:spacing w:before="0" w:after="0"/>
              <w:jc w:val="center"/>
              <w:rPr>
                <w:color w:val="000000"/>
                <w:sz w:val="14"/>
                <w:szCs w:val="14"/>
              </w:rPr>
            </w:pPr>
          </w:p>
        </w:tc>
        <w:tc>
          <w:tcPr>
            <w:tcW w:w="529" w:type="dxa"/>
            <w:tcBorders>
              <w:bottom w:val="nil"/>
            </w:tcBorders>
            <w:shd w:val="clear" w:color="auto" w:fill="E7F3F4"/>
            <w:vAlign w:val="center"/>
          </w:tcPr>
          <w:p w14:paraId="323CB5C5" w14:textId="77777777" w:rsidR="009F33B9" w:rsidRDefault="009F33B9" w:rsidP="005D3108">
            <w:pPr>
              <w:spacing w:before="0" w:after="0"/>
              <w:jc w:val="center"/>
              <w:rPr>
                <w:color w:val="000000"/>
                <w:sz w:val="14"/>
                <w:szCs w:val="14"/>
              </w:rPr>
            </w:pPr>
          </w:p>
        </w:tc>
        <w:tc>
          <w:tcPr>
            <w:tcW w:w="559" w:type="dxa"/>
            <w:tcBorders>
              <w:bottom w:val="nil"/>
              <w:right w:val="single" w:sz="4" w:space="0" w:color="auto"/>
            </w:tcBorders>
            <w:shd w:val="clear" w:color="auto" w:fill="E7F3F4"/>
          </w:tcPr>
          <w:p w14:paraId="5E16110B"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E7F3F4"/>
            <w:vAlign w:val="center"/>
          </w:tcPr>
          <w:p w14:paraId="0F98C1F8"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7255FAF1"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6788E410"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09A2250A"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2C73A156" w14:textId="77777777" w:rsidR="009F33B9" w:rsidRDefault="009F33B9" w:rsidP="005D3108">
            <w:pPr>
              <w:spacing w:before="0" w:after="0"/>
              <w:jc w:val="center"/>
              <w:rPr>
                <w:color w:val="000000"/>
                <w:sz w:val="14"/>
                <w:szCs w:val="14"/>
              </w:rPr>
            </w:pPr>
          </w:p>
        </w:tc>
        <w:tc>
          <w:tcPr>
            <w:tcW w:w="546" w:type="dxa"/>
            <w:tcBorders>
              <w:bottom w:val="nil"/>
              <w:right w:val="nil"/>
            </w:tcBorders>
            <w:shd w:val="clear" w:color="auto" w:fill="E7F3F4"/>
            <w:vAlign w:val="center"/>
          </w:tcPr>
          <w:p w14:paraId="6B013CA0" w14:textId="77777777" w:rsidR="009F33B9" w:rsidRDefault="009F33B9" w:rsidP="005D3108">
            <w:pPr>
              <w:spacing w:before="0" w:after="0"/>
              <w:jc w:val="center"/>
              <w:rPr>
                <w:color w:val="000000"/>
                <w:sz w:val="14"/>
                <w:szCs w:val="14"/>
              </w:rPr>
            </w:pPr>
          </w:p>
        </w:tc>
      </w:tr>
      <w:tr w:rsidR="009F33B9" w14:paraId="165D6D5D"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25B1B8A6"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2E056CE8" w14:textId="77777777" w:rsidR="009F33B9" w:rsidRDefault="009F33B9" w:rsidP="005D3108">
            <w:pPr>
              <w:spacing w:before="0" w:after="0"/>
              <w:rPr>
                <w:color w:val="000000"/>
                <w:sz w:val="14"/>
                <w:szCs w:val="14"/>
              </w:rPr>
            </w:pPr>
          </w:p>
        </w:tc>
        <w:tc>
          <w:tcPr>
            <w:tcW w:w="1299" w:type="dxa"/>
            <w:vMerge w:val="restart"/>
            <w:tcBorders>
              <w:top w:val="single" w:sz="4" w:space="0" w:color="auto"/>
              <w:left w:val="nil"/>
              <w:bottom w:val="nil"/>
              <w:right w:val="nil"/>
            </w:tcBorders>
            <w:shd w:val="clear" w:color="auto" w:fill="E7F3F4"/>
            <w:vAlign w:val="center"/>
            <w:hideMark/>
          </w:tcPr>
          <w:p w14:paraId="212FC764" w14:textId="77777777" w:rsidR="009F33B9" w:rsidRDefault="009F33B9" w:rsidP="005D3108">
            <w:pPr>
              <w:spacing w:before="0" w:after="0"/>
              <w:jc w:val="center"/>
              <w:rPr>
                <w:color w:val="000000"/>
                <w:sz w:val="14"/>
                <w:szCs w:val="14"/>
              </w:rPr>
            </w:pPr>
            <w:r>
              <w:rPr>
                <w:color w:val="000000"/>
                <w:sz w:val="14"/>
                <w:szCs w:val="14"/>
              </w:rPr>
              <w:t>Endeavour</w:t>
            </w:r>
          </w:p>
        </w:tc>
        <w:tc>
          <w:tcPr>
            <w:tcW w:w="1307" w:type="dxa"/>
            <w:vMerge w:val="restart"/>
            <w:tcBorders>
              <w:top w:val="single" w:sz="4" w:space="0" w:color="auto"/>
              <w:left w:val="nil"/>
              <w:bottom w:val="nil"/>
              <w:right w:val="nil"/>
            </w:tcBorders>
            <w:shd w:val="clear" w:color="auto" w:fill="E7F3F4"/>
            <w:noWrap/>
            <w:vAlign w:val="center"/>
            <w:hideMark/>
          </w:tcPr>
          <w:p w14:paraId="41010944" w14:textId="77777777" w:rsidR="009F33B9" w:rsidRDefault="009F33B9" w:rsidP="005D3108">
            <w:pPr>
              <w:spacing w:before="0" w:after="0"/>
              <w:jc w:val="center"/>
              <w:rPr>
                <w:color w:val="000000"/>
                <w:sz w:val="14"/>
                <w:szCs w:val="14"/>
              </w:rPr>
            </w:pPr>
            <w:r>
              <w:rPr>
                <w:color w:val="000000"/>
                <w:sz w:val="14"/>
                <w:szCs w:val="14"/>
              </w:rPr>
              <w:t>Archer Point</w:t>
            </w:r>
          </w:p>
        </w:tc>
        <w:tc>
          <w:tcPr>
            <w:tcW w:w="840" w:type="dxa"/>
            <w:tcBorders>
              <w:top w:val="single" w:sz="4" w:space="0" w:color="auto"/>
              <w:left w:val="nil"/>
              <w:right w:val="nil"/>
            </w:tcBorders>
            <w:shd w:val="clear" w:color="auto" w:fill="E7F3F4"/>
            <w:noWrap/>
            <w:vAlign w:val="center"/>
            <w:hideMark/>
          </w:tcPr>
          <w:p w14:paraId="5FCD498C" w14:textId="77777777" w:rsidR="009F33B9" w:rsidRDefault="009F33B9" w:rsidP="005D3108">
            <w:pPr>
              <w:spacing w:before="0" w:after="0"/>
              <w:jc w:val="center"/>
              <w:rPr>
                <w:b/>
                <w:color w:val="000000"/>
                <w:sz w:val="14"/>
                <w:szCs w:val="14"/>
              </w:rPr>
            </w:pPr>
            <w:r>
              <w:rPr>
                <w:b/>
                <w:color w:val="000000"/>
                <w:sz w:val="14"/>
                <w:szCs w:val="14"/>
              </w:rPr>
              <w:t>AP1</w:t>
            </w:r>
          </w:p>
        </w:tc>
        <w:tc>
          <w:tcPr>
            <w:tcW w:w="555" w:type="dxa"/>
            <w:tcBorders>
              <w:top w:val="single" w:sz="4" w:space="0" w:color="auto"/>
              <w:left w:val="nil"/>
              <w:right w:val="nil"/>
            </w:tcBorders>
            <w:shd w:val="clear" w:color="auto" w:fill="E7F3F4"/>
            <w:vAlign w:val="center"/>
          </w:tcPr>
          <w:p w14:paraId="618B6383" w14:textId="77777777" w:rsidR="009F33B9" w:rsidRPr="00A35694" w:rsidRDefault="009F33B9" w:rsidP="005D3108">
            <w:pPr>
              <w:spacing w:before="0" w:after="0"/>
              <w:jc w:val="center"/>
              <w:rPr>
                <w:color w:val="000000"/>
                <w:sz w:val="14"/>
                <w:szCs w:val="14"/>
                <w:highlight w:val="yellow"/>
              </w:rPr>
            </w:pPr>
          </w:p>
        </w:tc>
        <w:tc>
          <w:tcPr>
            <w:tcW w:w="543" w:type="dxa"/>
            <w:tcBorders>
              <w:top w:val="single" w:sz="4" w:space="0" w:color="auto"/>
              <w:left w:val="nil"/>
              <w:right w:val="nil"/>
            </w:tcBorders>
            <w:shd w:val="clear" w:color="auto" w:fill="E7F3F4"/>
            <w:noWrap/>
            <w:vAlign w:val="center"/>
          </w:tcPr>
          <w:p w14:paraId="3B7588C2" w14:textId="77777777" w:rsidR="009F33B9" w:rsidRPr="00A35694" w:rsidRDefault="009F33B9" w:rsidP="005D3108">
            <w:pPr>
              <w:spacing w:before="0" w:after="0"/>
              <w:jc w:val="center"/>
              <w:rPr>
                <w:color w:val="000000"/>
                <w:sz w:val="14"/>
                <w:szCs w:val="14"/>
                <w:highlight w:val="yellow"/>
              </w:rPr>
            </w:pPr>
          </w:p>
        </w:tc>
        <w:tc>
          <w:tcPr>
            <w:tcW w:w="540" w:type="dxa"/>
            <w:tcBorders>
              <w:top w:val="single" w:sz="4" w:space="0" w:color="auto"/>
              <w:left w:val="nil"/>
              <w:right w:val="nil"/>
            </w:tcBorders>
            <w:shd w:val="clear" w:color="auto" w:fill="E7F3F4"/>
            <w:noWrap/>
            <w:vAlign w:val="center"/>
          </w:tcPr>
          <w:p w14:paraId="270C5118" w14:textId="77777777" w:rsidR="009F33B9" w:rsidRPr="00A35694" w:rsidRDefault="009F33B9" w:rsidP="005D3108">
            <w:pPr>
              <w:spacing w:before="0" w:after="0"/>
              <w:jc w:val="center"/>
              <w:rPr>
                <w:color w:val="000000"/>
                <w:sz w:val="14"/>
                <w:szCs w:val="14"/>
                <w:highlight w:val="yellow"/>
              </w:rPr>
            </w:pPr>
          </w:p>
        </w:tc>
        <w:tc>
          <w:tcPr>
            <w:tcW w:w="536" w:type="dxa"/>
            <w:tcBorders>
              <w:top w:val="single" w:sz="4" w:space="0" w:color="auto"/>
              <w:left w:val="nil"/>
              <w:right w:val="nil"/>
            </w:tcBorders>
            <w:shd w:val="clear" w:color="auto" w:fill="E7F3F4"/>
            <w:vAlign w:val="center"/>
          </w:tcPr>
          <w:p w14:paraId="1E8FDEA9" w14:textId="77777777" w:rsidR="009F33B9" w:rsidRPr="00A35694" w:rsidRDefault="009F33B9" w:rsidP="005D3108">
            <w:pPr>
              <w:spacing w:before="0" w:after="0"/>
              <w:jc w:val="center"/>
              <w:rPr>
                <w:color w:val="000000"/>
                <w:sz w:val="14"/>
                <w:szCs w:val="14"/>
                <w:highlight w:val="yellow"/>
              </w:rPr>
            </w:pPr>
          </w:p>
        </w:tc>
        <w:tc>
          <w:tcPr>
            <w:tcW w:w="540" w:type="dxa"/>
            <w:tcBorders>
              <w:top w:val="single" w:sz="4" w:space="0" w:color="auto"/>
              <w:left w:val="nil"/>
              <w:right w:val="nil"/>
            </w:tcBorders>
            <w:shd w:val="clear" w:color="auto" w:fill="E7F3F4"/>
            <w:vAlign w:val="center"/>
          </w:tcPr>
          <w:p w14:paraId="105DC42D" w14:textId="77777777" w:rsidR="009F33B9" w:rsidRPr="00A35694" w:rsidRDefault="009F33B9" w:rsidP="005D3108">
            <w:pPr>
              <w:spacing w:before="0" w:after="0"/>
              <w:jc w:val="center"/>
              <w:rPr>
                <w:color w:val="000000"/>
                <w:sz w:val="14"/>
                <w:szCs w:val="14"/>
                <w:highlight w:val="yellow"/>
              </w:rPr>
            </w:pPr>
          </w:p>
        </w:tc>
        <w:tc>
          <w:tcPr>
            <w:tcW w:w="529" w:type="dxa"/>
            <w:tcBorders>
              <w:top w:val="single" w:sz="4" w:space="0" w:color="auto"/>
              <w:left w:val="nil"/>
              <w:right w:val="nil"/>
            </w:tcBorders>
            <w:shd w:val="clear" w:color="auto" w:fill="E7F3F4"/>
            <w:vAlign w:val="center"/>
          </w:tcPr>
          <w:p w14:paraId="783BB076"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nil"/>
              <w:right w:val="single" w:sz="4" w:space="0" w:color="auto"/>
            </w:tcBorders>
            <w:shd w:val="clear" w:color="auto" w:fill="E7F3F4"/>
          </w:tcPr>
          <w:p w14:paraId="24ED8EF6"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single" w:sz="4" w:space="0" w:color="auto"/>
              <w:right w:val="nil"/>
            </w:tcBorders>
            <w:shd w:val="clear" w:color="auto" w:fill="E7F3F4"/>
            <w:vAlign w:val="center"/>
          </w:tcPr>
          <w:p w14:paraId="48924304"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2E21CD84"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61D60B5B"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6B7E8A0F"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70833FC8"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E7F3F4"/>
            <w:vAlign w:val="center"/>
          </w:tcPr>
          <w:p w14:paraId="7632CFDE" w14:textId="77777777" w:rsidR="009F33B9" w:rsidRDefault="009F33B9" w:rsidP="005D3108">
            <w:pPr>
              <w:spacing w:before="0" w:after="0"/>
              <w:jc w:val="center"/>
              <w:rPr>
                <w:color w:val="000000"/>
                <w:sz w:val="14"/>
                <w:szCs w:val="14"/>
                <w:highlight w:val="yellow"/>
              </w:rPr>
            </w:pPr>
          </w:p>
        </w:tc>
      </w:tr>
      <w:tr w:rsidR="009F33B9" w14:paraId="46826DBB"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19394A0D"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nil"/>
              <w:right w:val="nil"/>
            </w:tcBorders>
            <w:vAlign w:val="center"/>
            <w:hideMark/>
          </w:tcPr>
          <w:p w14:paraId="45DA9037"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6CDB705C"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39726638" w14:textId="77777777" w:rsidR="009F33B9" w:rsidRDefault="009F33B9" w:rsidP="005D3108">
            <w:pPr>
              <w:spacing w:before="0" w:after="0"/>
              <w:rPr>
                <w:color w:val="000000"/>
                <w:sz w:val="14"/>
                <w:szCs w:val="14"/>
              </w:rPr>
            </w:pPr>
          </w:p>
        </w:tc>
        <w:tc>
          <w:tcPr>
            <w:tcW w:w="840" w:type="dxa"/>
            <w:shd w:val="clear" w:color="auto" w:fill="E7F3F4"/>
            <w:noWrap/>
            <w:vAlign w:val="center"/>
            <w:hideMark/>
          </w:tcPr>
          <w:p w14:paraId="74C8424A" w14:textId="77777777" w:rsidR="009F33B9" w:rsidRDefault="009F33B9" w:rsidP="005D3108">
            <w:pPr>
              <w:spacing w:before="0" w:after="0"/>
              <w:jc w:val="center"/>
              <w:rPr>
                <w:b/>
                <w:color w:val="000000"/>
                <w:sz w:val="14"/>
                <w:szCs w:val="14"/>
              </w:rPr>
            </w:pPr>
            <w:r>
              <w:rPr>
                <w:b/>
                <w:color w:val="000000"/>
                <w:sz w:val="14"/>
                <w:szCs w:val="14"/>
              </w:rPr>
              <w:t>AP2</w:t>
            </w:r>
          </w:p>
        </w:tc>
        <w:tc>
          <w:tcPr>
            <w:tcW w:w="555" w:type="dxa"/>
            <w:shd w:val="clear" w:color="auto" w:fill="E7F3F4"/>
            <w:vAlign w:val="center"/>
          </w:tcPr>
          <w:p w14:paraId="41A409D1" w14:textId="77777777" w:rsidR="009F33B9" w:rsidRPr="00A35694" w:rsidRDefault="009F33B9" w:rsidP="005D3108">
            <w:pPr>
              <w:spacing w:before="0" w:after="0"/>
              <w:jc w:val="center"/>
              <w:rPr>
                <w:color w:val="000000"/>
                <w:sz w:val="14"/>
                <w:szCs w:val="14"/>
                <w:highlight w:val="yellow"/>
              </w:rPr>
            </w:pPr>
          </w:p>
        </w:tc>
        <w:tc>
          <w:tcPr>
            <w:tcW w:w="543" w:type="dxa"/>
            <w:shd w:val="clear" w:color="auto" w:fill="E7F3F4"/>
            <w:vAlign w:val="center"/>
          </w:tcPr>
          <w:p w14:paraId="4D19775C" w14:textId="77777777" w:rsidR="009F33B9" w:rsidRPr="00A35694" w:rsidRDefault="009F33B9" w:rsidP="005D3108">
            <w:pPr>
              <w:spacing w:before="0" w:after="0"/>
              <w:jc w:val="center"/>
              <w:rPr>
                <w:color w:val="000000"/>
                <w:sz w:val="14"/>
                <w:szCs w:val="14"/>
                <w:highlight w:val="yellow"/>
              </w:rPr>
            </w:pPr>
          </w:p>
        </w:tc>
        <w:tc>
          <w:tcPr>
            <w:tcW w:w="540" w:type="dxa"/>
            <w:shd w:val="clear" w:color="auto" w:fill="E7F3F4"/>
            <w:vAlign w:val="center"/>
          </w:tcPr>
          <w:p w14:paraId="6504D57E" w14:textId="77777777" w:rsidR="009F33B9" w:rsidRPr="00A35694" w:rsidRDefault="009F33B9" w:rsidP="005D3108">
            <w:pPr>
              <w:spacing w:before="0" w:after="0"/>
              <w:jc w:val="center"/>
              <w:rPr>
                <w:color w:val="000000"/>
                <w:sz w:val="14"/>
                <w:szCs w:val="14"/>
                <w:highlight w:val="yellow"/>
              </w:rPr>
            </w:pPr>
          </w:p>
        </w:tc>
        <w:tc>
          <w:tcPr>
            <w:tcW w:w="536" w:type="dxa"/>
            <w:shd w:val="clear" w:color="auto" w:fill="E7F3F4"/>
            <w:vAlign w:val="center"/>
          </w:tcPr>
          <w:p w14:paraId="057F3126" w14:textId="77777777" w:rsidR="009F33B9" w:rsidRPr="00A35694" w:rsidRDefault="009F33B9" w:rsidP="005D3108">
            <w:pPr>
              <w:spacing w:before="0" w:after="0"/>
              <w:jc w:val="center"/>
              <w:rPr>
                <w:color w:val="000000"/>
                <w:sz w:val="14"/>
                <w:szCs w:val="14"/>
                <w:highlight w:val="yellow"/>
              </w:rPr>
            </w:pPr>
          </w:p>
        </w:tc>
        <w:tc>
          <w:tcPr>
            <w:tcW w:w="540" w:type="dxa"/>
            <w:shd w:val="clear" w:color="auto" w:fill="E7F3F4"/>
            <w:vAlign w:val="center"/>
          </w:tcPr>
          <w:p w14:paraId="7B8D2145" w14:textId="77777777" w:rsidR="009F33B9" w:rsidRPr="00A35694" w:rsidRDefault="009F33B9" w:rsidP="005D3108">
            <w:pPr>
              <w:spacing w:before="0" w:after="0"/>
              <w:jc w:val="center"/>
              <w:rPr>
                <w:color w:val="000000"/>
                <w:sz w:val="14"/>
                <w:szCs w:val="14"/>
                <w:highlight w:val="yellow"/>
              </w:rPr>
            </w:pPr>
          </w:p>
        </w:tc>
        <w:tc>
          <w:tcPr>
            <w:tcW w:w="529" w:type="dxa"/>
            <w:shd w:val="clear" w:color="auto" w:fill="E7F3F4"/>
            <w:vAlign w:val="center"/>
          </w:tcPr>
          <w:p w14:paraId="7042432F" w14:textId="77777777" w:rsidR="009F33B9" w:rsidRPr="00A35694" w:rsidRDefault="009F33B9" w:rsidP="005D3108">
            <w:pPr>
              <w:spacing w:before="0" w:after="0"/>
              <w:jc w:val="center"/>
              <w:rPr>
                <w:color w:val="000000"/>
                <w:sz w:val="14"/>
                <w:szCs w:val="14"/>
                <w:highlight w:val="yellow"/>
              </w:rPr>
            </w:pPr>
          </w:p>
        </w:tc>
        <w:tc>
          <w:tcPr>
            <w:tcW w:w="559" w:type="dxa"/>
            <w:tcBorders>
              <w:top w:val="nil"/>
              <w:bottom w:val="nil"/>
              <w:right w:val="single" w:sz="4" w:space="0" w:color="auto"/>
            </w:tcBorders>
            <w:shd w:val="clear" w:color="auto" w:fill="E7F3F4"/>
          </w:tcPr>
          <w:p w14:paraId="39184A4D" w14:textId="77777777" w:rsidR="009F33B9" w:rsidRPr="00A35694" w:rsidRDefault="009F33B9" w:rsidP="005D3108">
            <w:pPr>
              <w:spacing w:before="0" w:after="0"/>
              <w:jc w:val="center"/>
              <w:rPr>
                <w:color w:val="000000"/>
                <w:sz w:val="14"/>
                <w:szCs w:val="14"/>
                <w:highlight w:val="yellow"/>
              </w:rPr>
            </w:pPr>
          </w:p>
        </w:tc>
        <w:tc>
          <w:tcPr>
            <w:tcW w:w="559" w:type="dxa"/>
            <w:tcBorders>
              <w:top w:val="nil"/>
              <w:left w:val="single" w:sz="4" w:space="0" w:color="auto"/>
              <w:bottom w:val="nil"/>
            </w:tcBorders>
            <w:shd w:val="clear" w:color="auto" w:fill="E7F3F4"/>
            <w:vAlign w:val="center"/>
          </w:tcPr>
          <w:p w14:paraId="73E738EC"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087FA47B"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23D5C825"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5B6BF587" w14:textId="77777777" w:rsidR="009F33B9" w:rsidRDefault="009F33B9" w:rsidP="005D3108">
            <w:pPr>
              <w:spacing w:before="0" w:after="0"/>
              <w:jc w:val="center"/>
              <w:rPr>
                <w:color w:val="000000"/>
                <w:sz w:val="14"/>
                <w:szCs w:val="14"/>
              </w:rPr>
            </w:pPr>
          </w:p>
        </w:tc>
        <w:tc>
          <w:tcPr>
            <w:tcW w:w="559" w:type="dxa"/>
            <w:shd w:val="clear" w:color="auto" w:fill="E7F3F4"/>
            <w:vAlign w:val="center"/>
          </w:tcPr>
          <w:p w14:paraId="57B71DD3" w14:textId="77777777" w:rsidR="009F33B9" w:rsidRDefault="009F33B9" w:rsidP="005D3108">
            <w:pPr>
              <w:spacing w:before="0" w:after="0"/>
              <w:jc w:val="center"/>
              <w:rPr>
                <w:color w:val="000000"/>
                <w:sz w:val="14"/>
                <w:szCs w:val="14"/>
              </w:rPr>
            </w:pPr>
          </w:p>
        </w:tc>
        <w:tc>
          <w:tcPr>
            <w:tcW w:w="546" w:type="dxa"/>
            <w:shd w:val="clear" w:color="auto" w:fill="E7F3F4"/>
            <w:vAlign w:val="center"/>
          </w:tcPr>
          <w:p w14:paraId="27000311" w14:textId="77777777" w:rsidR="009F33B9" w:rsidRDefault="009F33B9" w:rsidP="005D3108">
            <w:pPr>
              <w:spacing w:before="0" w:after="0"/>
              <w:jc w:val="center"/>
              <w:rPr>
                <w:color w:val="000000"/>
                <w:sz w:val="14"/>
                <w:szCs w:val="14"/>
                <w:highlight w:val="yellow"/>
              </w:rPr>
            </w:pPr>
          </w:p>
        </w:tc>
      </w:tr>
      <w:tr w:rsidR="009F33B9" w14:paraId="7216617B" w14:textId="77777777" w:rsidTr="00FC3D7F">
        <w:trPr>
          <w:gridAfter w:val="1"/>
          <w:wAfter w:w="10" w:type="dxa"/>
          <w:cantSplit/>
          <w:trHeight w:val="170"/>
          <w:jc w:val="center"/>
        </w:trPr>
        <w:tc>
          <w:tcPr>
            <w:tcW w:w="1148" w:type="dxa"/>
            <w:vMerge w:val="restart"/>
            <w:tcBorders>
              <w:top w:val="single" w:sz="4" w:space="0" w:color="auto"/>
              <w:left w:val="nil"/>
              <w:right w:val="nil"/>
            </w:tcBorders>
            <w:noWrap/>
            <w:vAlign w:val="center"/>
            <w:hideMark/>
          </w:tcPr>
          <w:p w14:paraId="14B86E83" w14:textId="77777777" w:rsidR="009F33B9" w:rsidRDefault="009F33B9" w:rsidP="005D3108">
            <w:pPr>
              <w:spacing w:before="0" w:after="0"/>
              <w:jc w:val="center"/>
              <w:rPr>
                <w:color w:val="000000"/>
                <w:sz w:val="14"/>
                <w:szCs w:val="14"/>
              </w:rPr>
            </w:pPr>
            <w:r>
              <w:rPr>
                <w:color w:val="000000"/>
                <w:sz w:val="14"/>
                <w:szCs w:val="14"/>
              </w:rPr>
              <w:t>Northern</w:t>
            </w:r>
          </w:p>
        </w:tc>
        <w:tc>
          <w:tcPr>
            <w:tcW w:w="1294" w:type="dxa"/>
            <w:vMerge w:val="restart"/>
            <w:tcBorders>
              <w:top w:val="single" w:sz="4" w:space="0" w:color="auto"/>
              <w:left w:val="nil"/>
              <w:right w:val="nil"/>
            </w:tcBorders>
            <w:shd w:val="clear" w:color="auto" w:fill="F3F9FA"/>
            <w:noWrap/>
            <w:vAlign w:val="center"/>
            <w:hideMark/>
          </w:tcPr>
          <w:p w14:paraId="02744753" w14:textId="77777777" w:rsidR="009F33B9" w:rsidRDefault="009F33B9" w:rsidP="005D3108">
            <w:pPr>
              <w:spacing w:before="0" w:after="0"/>
              <w:jc w:val="center"/>
              <w:rPr>
                <w:color w:val="000000"/>
                <w:sz w:val="14"/>
                <w:szCs w:val="14"/>
              </w:rPr>
            </w:pPr>
            <w:r>
              <w:rPr>
                <w:color w:val="000000"/>
                <w:sz w:val="14"/>
                <w:szCs w:val="14"/>
              </w:rPr>
              <w:t>Wet Tropics</w:t>
            </w:r>
          </w:p>
        </w:tc>
        <w:tc>
          <w:tcPr>
            <w:tcW w:w="1299" w:type="dxa"/>
            <w:vMerge w:val="restart"/>
            <w:tcBorders>
              <w:top w:val="single" w:sz="4" w:space="0" w:color="auto"/>
              <w:left w:val="nil"/>
              <w:bottom w:val="nil"/>
              <w:right w:val="nil"/>
            </w:tcBorders>
            <w:shd w:val="clear" w:color="auto" w:fill="F3F9FA"/>
            <w:vAlign w:val="center"/>
            <w:hideMark/>
          </w:tcPr>
          <w:p w14:paraId="41E0E350" w14:textId="77777777" w:rsidR="009F33B9" w:rsidRDefault="009F33B9" w:rsidP="005D3108">
            <w:pPr>
              <w:spacing w:before="0" w:after="0"/>
              <w:jc w:val="center"/>
              <w:rPr>
                <w:color w:val="000000"/>
                <w:sz w:val="14"/>
                <w:szCs w:val="14"/>
              </w:rPr>
            </w:pPr>
            <w:r>
              <w:rPr>
                <w:color w:val="000000"/>
                <w:sz w:val="14"/>
                <w:szCs w:val="14"/>
              </w:rPr>
              <w:t>Daintree</w:t>
            </w:r>
          </w:p>
        </w:tc>
        <w:tc>
          <w:tcPr>
            <w:tcW w:w="1307" w:type="dxa"/>
            <w:vMerge w:val="restart"/>
            <w:tcBorders>
              <w:top w:val="single" w:sz="4" w:space="0" w:color="auto"/>
              <w:left w:val="nil"/>
              <w:bottom w:val="nil"/>
              <w:right w:val="nil"/>
            </w:tcBorders>
            <w:shd w:val="clear" w:color="auto" w:fill="F3F9FA"/>
            <w:noWrap/>
            <w:vAlign w:val="center"/>
            <w:hideMark/>
          </w:tcPr>
          <w:p w14:paraId="6B7D5BB0" w14:textId="77777777" w:rsidR="009F33B9" w:rsidRDefault="009F33B9" w:rsidP="005D3108">
            <w:pPr>
              <w:spacing w:before="0" w:after="0"/>
              <w:jc w:val="center"/>
              <w:rPr>
                <w:color w:val="000000"/>
                <w:sz w:val="14"/>
                <w:szCs w:val="14"/>
              </w:rPr>
            </w:pPr>
            <w:r>
              <w:rPr>
                <w:color w:val="000000"/>
                <w:sz w:val="14"/>
                <w:szCs w:val="14"/>
              </w:rPr>
              <w:t>Low Isles</w:t>
            </w:r>
          </w:p>
        </w:tc>
        <w:tc>
          <w:tcPr>
            <w:tcW w:w="840" w:type="dxa"/>
            <w:tcBorders>
              <w:top w:val="single" w:sz="4" w:space="0" w:color="auto"/>
              <w:left w:val="nil"/>
              <w:right w:val="nil"/>
            </w:tcBorders>
            <w:shd w:val="clear" w:color="auto" w:fill="F3F9FA"/>
            <w:noWrap/>
            <w:vAlign w:val="center"/>
            <w:hideMark/>
          </w:tcPr>
          <w:p w14:paraId="433367CC" w14:textId="77777777" w:rsidR="009F33B9" w:rsidRDefault="009F33B9" w:rsidP="005D3108">
            <w:pPr>
              <w:spacing w:before="0" w:after="0"/>
              <w:jc w:val="center"/>
              <w:rPr>
                <w:b/>
                <w:color w:val="000000"/>
                <w:sz w:val="14"/>
                <w:szCs w:val="14"/>
              </w:rPr>
            </w:pPr>
            <w:r>
              <w:rPr>
                <w:b/>
                <w:color w:val="000000"/>
                <w:sz w:val="14"/>
                <w:szCs w:val="14"/>
              </w:rPr>
              <w:t>LI1</w:t>
            </w:r>
          </w:p>
        </w:tc>
        <w:tc>
          <w:tcPr>
            <w:tcW w:w="555" w:type="dxa"/>
            <w:tcBorders>
              <w:top w:val="single" w:sz="4" w:space="0" w:color="auto"/>
              <w:left w:val="nil"/>
              <w:right w:val="nil"/>
            </w:tcBorders>
            <w:shd w:val="clear" w:color="auto" w:fill="F3F9FA"/>
            <w:vAlign w:val="center"/>
            <w:hideMark/>
          </w:tcPr>
          <w:p w14:paraId="2621D680"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hideMark/>
          </w:tcPr>
          <w:p w14:paraId="7B2EBAB9"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hideMark/>
          </w:tcPr>
          <w:p w14:paraId="4ABE3D53"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hideMark/>
          </w:tcPr>
          <w:p w14:paraId="7F43653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hideMark/>
          </w:tcPr>
          <w:p w14:paraId="578E63BD"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hideMark/>
          </w:tcPr>
          <w:p w14:paraId="0C95409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hideMark/>
          </w:tcPr>
          <w:p w14:paraId="54DB04F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F3F9FA"/>
            <w:vAlign w:val="center"/>
            <w:hideMark/>
          </w:tcPr>
          <w:p w14:paraId="715B69F3"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hideMark/>
          </w:tcPr>
          <w:p w14:paraId="5AFC7BC6"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hideMark/>
          </w:tcPr>
          <w:p w14:paraId="2325355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hideMark/>
          </w:tcPr>
          <w:p w14:paraId="657D3A34"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hideMark/>
          </w:tcPr>
          <w:p w14:paraId="102EBBA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hideMark/>
          </w:tcPr>
          <w:p w14:paraId="6BE2AD11"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31A5D6E6" w14:textId="77777777" w:rsidTr="00FC3D7F">
        <w:trPr>
          <w:gridAfter w:val="1"/>
          <w:wAfter w:w="10" w:type="dxa"/>
          <w:cantSplit/>
          <w:trHeight w:val="170"/>
          <w:jc w:val="center"/>
        </w:trPr>
        <w:tc>
          <w:tcPr>
            <w:tcW w:w="1148" w:type="dxa"/>
            <w:vMerge/>
            <w:tcBorders>
              <w:left w:val="nil"/>
              <w:right w:val="nil"/>
            </w:tcBorders>
            <w:vAlign w:val="center"/>
            <w:hideMark/>
          </w:tcPr>
          <w:p w14:paraId="5FA692B5"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145720AB"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6D8CFDB6"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54EE14CB" w14:textId="77777777" w:rsidR="009F33B9" w:rsidRDefault="009F33B9" w:rsidP="005D3108">
            <w:pPr>
              <w:spacing w:before="0" w:after="0"/>
              <w:rPr>
                <w:color w:val="000000"/>
                <w:sz w:val="14"/>
                <w:szCs w:val="14"/>
              </w:rPr>
            </w:pPr>
          </w:p>
        </w:tc>
        <w:tc>
          <w:tcPr>
            <w:tcW w:w="840" w:type="dxa"/>
            <w:tcBorders>
              <w:left w:val="nil"/>
              <w:bottom w:val="nil"/>
            </w:tcBorders>
            <w:shd w:val="clear" w:color="auto" w:fill="F3F9FA"/>
            <w:noWrap/>
            <w:vAlign w:val="center"/>
            <w:hideMark/>
          </w:tcPr>
          <w:p w14:paraId="4CA09C51" w14:textId="77777777" w:rsidR="009F33B9" w:rsidRDefault="009F33B9" w:rsidP="005D3108">
            <w:pPr>
              <w:spacing w:before="0" w:after="0"/>
              <w:jc w:val="center"/>
              <w:rPr>
                <w:b/>
                <w:color w:val="000000"/>
                <w:sz w:val="14"/>
                <w:szCs w:val="14"/>
              </w:rPr>
            </w:pPr>
            <w:r>
              <w:rPr>
                <w:b/>
                <w:color w:val="000000"/>
                <w:sz w:val="14"/>
                <w:szCs w:val="14"/>
              </w:rPr>
              <w:t>LI2^</w:t>
            </w:r>
          </w:p>
        </w:tc>
        <w:tc>
          <w:tcPr>
            <w:tcW w:w="555" w:type="dxa"/>
            <w:tcBorders>
              <w:bottom w:val="nil"/>
            </w:tcBorders>
            <w:shd w:val="clear" w:color="auto" w:fill="F3F9FA"/>
            <w:vAlign w:val="center"/>
            <w:hideMark/>
          </w:tcPr>
          <w:p w14:paraId="4899B0D5"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4B21BA50"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hideMark/>
          </w:tcPr>
          <w:p w14:paraId="67F56E38" w14:textId="77777777" w:rsidR="009F33B9" w:rsidRDefault="009F33B9" w:rsidP="005D3108">
            <w:pPr>
              <w:spacing w:before="0" w:after="0"/>
              <w:jc w:val="center"/>
              <w:rPr>
                <w:color w:val="000000"/>
                <w:sz w:val="14"/>
                <w:szCs w:val="14"/>
              </w:rPr>
            </w:pPr>
          </w:p>
        </w:tc>
        <w:tc>
          <w:tcPr>
            <w:tcW w:w="536" w:type="dxa"/>
            <w:tcBorders>
              <w:bottom w:val="nil"/>
            </w:tcBorders>
            <w:shd w:val="clear" w:color="auto" w:fill="F3F9FA"/>
            <w:vAlign w:val="center"/>
            <w:hideMark/>
          </w:tcPr>
          <w:p w14:paraId="4D924E68"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F3F9FA"/>
            <w:vAlign w:val="center"/>
          </w:tcPr>
          <w:p w14:paraId="00D6D37C"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hideMark/>
          </w:tcPr>
          <w:p w14:paraId="4C7BFE8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hideMark/>
          </w:tcPr>
          <w:p w14:paraId="4BDF9F7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F3F9FA"/>
            <w:vAlign w:val="center"/>
            <w:hideMark/>
          </w:tcPr>
          <w:p w14:paraId="5CF650AE"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F3F9FA"/>
            <w:vAlign w:val="center"/>
            <w:hideMark/>
          </w:tcPr>
          <w:p w14:paraId="70820DFB"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F3F9FA"/>
            <w:vAlign w:val="center"/>
            <w:hideMark/>
          </w:tcPr>
          <w:p w14:paraId="485F502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hideMark/>
          </w:tcPr>
          <w:p w14:paraId="0B935060"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hideMark/>
          </w:tcPr>
          <w:p w14:paraId="2D7F22A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hideMark/>
          </w:tcPr>
          <w:p w14:paraId="016242B5"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008364BA" w14:textId="77777777" w:rsidTr="00FC3D7F">
        <w:trPr>
          <w:gridAfter w:val="1"/>
          <w:wAfter w:w="10" w:type="dxa"/>
          <w:cantSplit/>
          <w:trHeight w:val="170"/>
          <w:jc w:val="center"/>
        </w:trPr>
        <w:tc>
          <w:tcPr>
            <w:tcW w:w="1148" w:type="dxa"/>
            <w:vMerge/>
            <w:tcBorders>
              <w:left w:val="nil"/>
              <w:right w:val="nil"/>
            </w:tcBorders>
            <w:vAlign w:val="center"/>
            <w:hideMark/>
          </w:tcPr>
          <w:p w14:paraId="4231F16C"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1107A699" w14:textId="77777777" w:rsidR="009F33B9" w:rsidRDefault="009F33B9" w:rsidP="005D3108">
            <w:pPr>
              <w:spacing w:before="0" w:after="0"/>
              <w:rPr>
                <w:color w:val="000000"/>
                <w:sz w:val="14"/>
                <w:szCs w:val="14"/>
              </w:rPr>
            </w:pPr>
          </w:p>
        </w:tc>
        <w:tc>
          <w:tcPr>
            <w:tcW w:w="1299" w:type="dxa"/>
            <w:vMerge w:val="restart"/>
            <w:tcBorders>
              <w:top w:val="single" w:sz="4" w:space="0" w:color="auto"/>
              <w:left w:val="nil"/>
              <w:right w:val="nil"/>
            </w:tcBorders>
            <w:shd w:val="clear" w:color="auto" w:fill="F3F9FA"/>
            <w:vAlign w:val="center"/>
            <w:hideMark/>
          </w:tcPr>
          <w:p w14:paraId="6D8EFC05" w14:textId="77777777" w:rsidR="009F33B9" w:rsidRDefault="009F33B9" w:rsidP="005D3108">
            <w:pPr>
              <w:spacing w:before="0" w:after="0"/>
              <w:jc w:val="center"/>
              <w:rPr>
                <w:color w:val="000000"/>
                <w:sz w:val="14"/>
                <w:szCs w:val="14"/>
              </w:rPr>
            </w:pPr>
            <w:r>
              <w:rPr>
                <w:color w:val="000000"/>
                <w:sz w:val="14"/>
                <w:szCs w:val="14"/>
              </w:rPr>
              <w:t>Mossman / Barron / Mulgrave - Russell / Johnstone</w:t>
            </w:r>
          </w:p>
        </w:tc>
        <w:tc>
          <w:tcPr>
            <w:tcW w:w="1307" w:type="dxa"/>
            <w:vMerge w:val="restart"/>
            <w:tcBorders>
              <w:top w:val="single" w:sz="4" w:space="0" w:color="auto"/>
              <w:left w:val="nil"/>
              <w:bottom w:val="nil"/>
              <w:right w:val="nil"/>
            </w:tcBorders>
            <w:shd w:val="clear" w:color="auto" w:fill="F3F9FA"/>
            <w:noWrap/>
            <w:vAlign w:val="center"/>
            <w:hideMark/>
          </w:tcPr>
          <w:p w14:paraId="21672DC0" w14:textId="77777777" w:rsidR="009F33B9" w:rsidRDefault="009F33B9" w:rsidP="005D3108">
            <w:pPr>
              <w:spacing w:before="0" w:after="0"/>
              <w:jc w:val="center"/>
              <w:rPr>
                <w:color w:val="000000"/>
                <w:sz w:val="14"/>
                <w:szCs w:val="14"/>
              </w:rPr>
            </w:pPr>
            <w:r>
              <w:rPr>
                <w:color w:val="000000"/>
                <w:sz w:val="14"/>
                <w:szCs w:val="14"/>
              </w:rPr>
              <w:t>Yule Point</w:t>
            </w:r>
          </w:p>
        </w:tc>
        <w:tc>
          <w:tcPr>
            <w:tcW w:w="840" w:type="dxa"/>
            <w:tcBorders>
              <w:top w:val="single" w:sz="4" w:space="0" w:color="auto"/>
              <w:left w:val="nil"/>
              <w:right w:val="nil"/>
            </w:tcBorders>
            <w:shd w:val="clear" w:color="auto" w:fill="F3F9FA"/>
            <w:noWrap/>
            <w:vAlign w:val="center"/>
            <w:hideMark/>
          </w:tcPr>
          <w:p w14:paraId="0E52E1D0" w14:textId="77777777" w:rsidR="009F33B9" w:rsidRDefault="009F33B9" w:rsidP="005D3108">
            <w:pPr>
              <w:spacing w:before="0" w:after="0"/>
              <w:jc w:val="center"/>
              <w:rPr>
                <w:b/>
                <w:color w:val="000000"/>
                <w:sz w:val="14"/>
                <w:szCs w:val="14"/>
              </w:rPr>
            </w:pPr>
            <w:r>
              <w:rPr>
                <w:b/>
                <w:color w:val="000000"/>
                <w:sz w:val="14"/>
                <w:szCs w:val="14"/>
              </w:rPr>
              <w:t>YP1</w:t>
            </w:r>
          </w:p>
        </w:tc>
        <w:tc>
          <w:tcPr>
            <w:tcW w:w="555" w:type="dxa"/>
            <w:tcBorders>
              <w:top w:val="single" w:sz="4" w:space="0" w:color="auto"/>
              <w:left w:val="nil"/>
              <w:right w:val="nil"/>
            </w:tcBorders>
            <w:shd w:val="clear" w:color="auto" w:fill="F3F9FA"/>
            <w:vAlign w:val="center"/>
            <w:hideMark/>
          </w:tcPr>
          <w:p w14:paraId="1CADB1D8"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hideMark/>
          </w:tcPr>
          <w:p w14:paraId="4E8C77AC"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hideMark/>
          </w:tcPr>
          <w:p w14:paraId="7DD7D0E8"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hideMark/>
          </w:tcPr>
          <w:p w14:paraId="5B7642C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hideMark/>
          </w:tcPr>
          <w:p w14:paraId="62ED8950"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hideMark/>
          </w:tcPr>
          <w:p w14:paraId="4DB9AFE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679E3C0F"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hideMark/>
          </w:tcPr>
          <w:p w14:paraId="3C72F10D"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hideMark/>
          </w:tcPr>
          <w:p w14:paraId="20966541"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hideMark/>
          </w:tcPr>
          <w:p w14:paraId="44B726C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hideMark/>
          </w:tcPr>
          <w:p w14:paraId="4158B5E1"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hideMark/>
          </w:tcPr>
          <w:p w14:paraId="03465B0C"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3D1F9AD3" w14:textId="77777777" w:rsidR="009F33B9" w:rsidRDefault="009F33B9" w:rsidP="005D3108">
            <w:pPr>
              <w:spacing w:before="0" w:after="0"/>
              <w:jc w:val="center"/>
              <w:rPr>
                <w:color w:val="000000"/>
                <w:sz w:val="14"/>
                <w:szCs w:val="14"/>
              </w:rPr>
            </w:pPr>
          </w:p>
        </w:tc>
      </w:tr>
      <w:tr w:rsidR="009F33B9" w14:paraId="71FB54F4" w14:textId="77777777" w:rsidTr="00FC3D7F">
        <w:trPr>
          <w:gridAfter w:val="1"/>
          <w:wAfter w:w="10" w:type="dxa"/>
          <w:cantSplit/>
          <w:trHeight w:val="170"/>
          <w:jc w:val="center"/>
        </w:trPr>
        <w:tc>
          <w:tcPr>
            <w:tcW w:w="1148" w:type="dxa"/>
            <w:vMerge/>
            <w:tcBorders>
              <w:left w:val="nil"/>
              <w:right w:val="nil"/>
            </w:tcBorders>
            <w:vAlign w:val="center"/>
            <w:hideMark/>
          </w:tcPr>
          <w:p w14:paraId="4BBBF668"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04E8CE86"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7247A858" w14:textId="77777777" w:rsidR="009F33B9" w:rsidRDefault="009F33B9" w:rsidP="005D3108">
            <w:pPr>
              <w:spacing w:before="0" w:after="0"/>
              <w:jc w:val="center"/>
              <w:rPr>
                <w:color w:val="000000"/>
                <w:sz w:val="14"/>
                <w:szCs w:val="14"/>
              </w:rPr>
            </w:pPr>
          </w:p>
        </w:tc>
        <w:tc>
          <w:tcPr>
            <w:tcW w:w="1307" w:type="dxa"/>
            <w:vMerge/>
            <w:tcBorders>
              <w:top w:val="single" w:sz="4" w:space="0" w:color="auto"/>
              <w:left w:val="nil"/>
              <w:bottom w:val="nil"/>
              <w:right w:val="nil"/>
            </w:tcBorders>
            <w:vAlign w:val="center"/>
            <w:hideMark/>
          </w:tcPr>
          <w:p w14:paraId="4212249D" w14:textId="77777777" w:rsidR="009F33B9" w:rsidRDefault="009F33B9" w:rsidP="005D3108">
            <w:pPr>
              <w:spacing w:before="0" w:after="0"/>
              <w:rPr>
                <w:color w:val="000000"/>
                <w:sz w:val="14"/>
                <w:szCs w:val="14"/>
              </w:rPr>
            </w:pPr>
          </w:p>
        </w:tc>
        <w:tc>
          <w:tcPr>
            <w:tcW w:w="840" w:type="dxa"/>
            <w:tcBorders>
              <w:left w:val="nil"/>
              <w:bottom w:val="nil"/>
            </w:tcBorders>
            <w:shd w:val="clear" w:color="auto" w:fill="F3F9FA"/>
            <w:noWrap/>
            <w:vAlign w:val="center"/>
            <w:hideMark/>
          </w:tcPr>
          <w:p w14:paraId="4D13838F" w14:textId="77777777" w:rsidR="009F33B9" w:rsidRDefault="009F33B9" w:rsidP="005D3108">
            <w:pPr>
              <w:spacing w:before="0" w:after="0"/>
              <w:jc w:val="center"/>
              <w:rPr>
                <w:b/>
                <w:color w:val="000000"/>
                <w:sz w:val="14"/>
                <w:szCs w:val="14"/>
              </w:rPr>
            </w:pPr>
            <w:r>
              <w:rPr>
                <w:b/>
                <w:color w:val="000000"/>
                <w:sz w:val="14"/>
                <w:szCs w:val="14"/>
              </w:rPr>
              <w:t>YP2</w:t>
            </w:r>
          </w:p>
        </w:tc>
        <w:tc>
          <w:tcPr>
            <w:tcW w:w="555" w:type="dxa"/>
            <w:tcBorders>
              <w:bottom w:val="nil"/>
            </w:tcBorders>
            <w:shd w:val="clear" w:color="auto" w:fill="F3F9FA"/>
            <w:vAlign w:val="center"/>
            <w:hideMark/>
          </w:tcPr>
          <w:p w14:paraId="00AAEDB4"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386DC352"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hideMark/>
          </w:tcPr>
          <w:p w14:paraId="65EAEBB7"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F3F9FA"/>
            <w:vAlign w:val="center"/>
            <w:hideMark/>
          </w:tcPr>
          <w:p w14:paraId="0061C95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hideMark/>
          </w:tcPr>
          <w:p w14:paraId="4276AE41"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hideMark/>
          </w:tcPr>
          <w:p w14:paraId="5E07D9A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hideMark/>
          </w:tcPr>
          <w:p w14:paraId="6E36461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F3F9FA"/>
            <w:vAlign w:val="center"/>
            <w:hideMark/>
          </w:tcPr>
          <w:p w14:paraId="332CD44D"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F3F9FA"/>
            <w:vAlign w:val="center"/>
            <w:hideMark/>
          </w:tcPr>
          <w:p w14:paraId="59D95AEC"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F3F9FA"/>
            <w:vAlign w:val="center"/>
            <w:hideMark/>
          </w:tcPr>
          <w:p w14:paraId="0281FE7C"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hideMark/>
          </w:tcPr>
          <w:p w14:paraId="500C79FE"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hideMark/>
          </w:tcPr>
          <w:p w14:paraId="09B0DFC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hideMark/>
          </w:tcPr>
          <w:p w14:paraId="6186230B"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65CDE461" w14:textId="77777777" w:rsidTr="00FC3D7F">
        <w:trPr>
          <w:gridAfter w:val="1"/>
          <w:wAfter w:w="10" w:type="dxa"/>
          <w:cantSplit/>
          <w:trHeight w:val="170"/>
          <w:jc w:val="center"/>
        </w:trPr>
        <w:tc>
          <w:tcPr>
            <w:tcW w:w="1148" w:type="dxa"/>
            <w:vMerge/>
            <w:tcBorders>
              <w:left w:val="nil"/>
              <w:right w:val="nil"/>
            </w:tcBorders>
            <w:vAlign w:val="center"/>
            <w:hideMark/>
          </w:tcPr>
          <w:p w14:paraId="51F70D6D"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0DCAE0F2" w14:textId="77777777" w:rsidR="009F33B9" w:rsidRDefault="009F33B9" w:rsidP="005D3108">
            <w:pPr>
              <w:spacing w:before="0" w:after="0"/>
              <w:rPr>
                <w:color w:val="000000"/>
                <w:sz w:val="14"/>
                <w:szCs w:val="14"/>
              </w:rPr>
            </w:pPr>
          </w:p>
        </w:tc>
        <w:tc>
          <w:tcPr>
            <w:tcW w:w="1299" w:type="dxa"/>
            <w:vMerge/>
            <w:tcBorders>
              <w:left w:val="nil"/>
              <w:right w:val="nil"/>
            </w:tcBorders>
            <w:shd w:val="clear" w:color="auto" w:fill="F3F9FA"/>
            <w:vAlign w:val="center"/>
            <w:hideMark/>
          </w:tcPr>
          <w:p w14:paraId="3B246F4B" w14:textId="77777777" w:rsidR="009F33B9" w:rsidRDefault="009F33B9" w:rsidP="005D3108">
            <w:pPr>
              <w:spacing w:before="0" w:after="0"/>
              <w:jc w:val="center"/>
              <w:rPr>
                <w:color w:val="000000"/>
                <w:sz w:val="14"/>
                <w:szCs w:val="14"/>
              </w:rPr>
            </w:pPr>
          </w:p>
        </w:tc>
        <w:tc>
          <w:tcPr>
            <w:tcW w:w="1307" w:type="dxa"/>
            <w:vMerge w:val="restart"/>
            <w:tcBorders>
              <w:top w:val="single" w:sz="4" w:space="0" w:color="auto"/>
              <w:left w:val="nil"/>
              <w:bottom w:val="nil"/>
              <w:right w:val="nil"/>
            </w:tcBorders>
            <w:shd w:val="clear" w:color="auto" w:fill="F3F9FA"/>
            <w:noWrap/>
            <w:vAlign w:val="center"/>
            <w:hideMark/>
          </w:tcPr>
          <w:p w14:paraId="7FCE5FBE" w14:textId="77777777" w:rsidR="009F33B9" w:rsidRDefault="009F33B9" w:rsidP="005D3108">
            <w:pPr>
              <w:spacing w:before="0" w:after="0"/>
              <w:jc w:val="center"/>
              <w:rPr>
                <w:i/>
                <w:iCs/>
                <w:color w:val="000000"/>
                <w:sz w:val="14"/>
                <w:szCs w:val="14"/>
              </w:rPr>
            </w:pPr>
            <w:r>
              <w:rPr>
                <w:color w:val="000000"/>
                <w:sz w:val="14"/>
                <w:szCs w:val="14"/>
              </w:rPr>
              <w:t>Green Island</w:t>
            </w:r>
          </w:p>
        </w:tc>
        <w:tc>
          <w:tcPr>
            <w:tcW w:w="840" w:type="dxa"/>
            <w:tcBorders>
              <w:top w:val="single" w:sz="4" w:space="0" w:color="auto"/>
              <w:left w:val="nil"/>
              <w:right w:val="nil"/>
            </w:tcBorders>
            <w:shd w:val="clear" w:color="auto" w:fill="F3F9FA"/>
            <w:noWrap/>
            <w:vAlign w:val="center"/>
            <w:hideMark/>
          </w:tcPr>
          <w:p w14:paraId="2B3BF183" w14:textId="77777777" w:rsidR="009F33B9" w:rsidRDefault="009F33B9" w:rsidP="005D3108">
            <w:pPr>
              <w:spacing w:before="0" w:after="0"/>
              <w:jc w:val="center"/>
              <w:rPr>
                <w:b/>
                <w:color w:val="000000"/>
                <w:sz w:val="14"/>
                <w:szCs w:val="14"/>
              </w:rPr>
            </w:pPr>
            <w:r>
              <w:rPr>
                <w:b/>
                <w:color w:val="000000"/>
                <w:sz w:val="14"/>
                <w:szCs w:val="14"/>
              </w:rPr>
              <w:t>GI1</w:t>
            </w:r>
          </w:p>
        </w:tc>
        <w:tc>
          <w:tcPr>
            <w:tcW w:w="555" w:type="dxa"/>
            <w:tcBorders>
              <w:top w:val="single" w:sz="4" w:space="0" w:color="auto"/>
              <w:left w:val="nil"/>
              <w:right w:val="nil"/>
            </w:tcBorders>
            <w:shd w:val="clear" w:color="auto" w:fill="F3F9FA"/>
            <w:vAlign w:val="center"/>
            <w:hideMark/>
          </w:tcPr>
          <w:p w14:paraId="35AD013D"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hideMark/>
          </w:tcPr>
          <w:p w14:paraId="4915420C"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hideMark/>
          </w:tcPr>
          <w:p w14:paraId="4F93ABBD"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hideMark/>
          </w:tcPr>
          <w:p w14:paraId="6F30424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hideMark/>
          </w:tcPr>
          <w:p w14:paraId="296BAF15"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hideMark/>
          </w:tcPr>
          <w:p w14:paraId="232873E6"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hideMark/>
          </w:tcPr>
          <w:p w14:paraId="61F30C0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F3F9FA"/>
            <w:vAlign w:val="center"/>
            <w:hideMark/>
          </w:tcPr>
          <w:p w14:paraId="442161B4"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hideMark/>
          </w:tcPr>
          <w:p w14:paraId="4FAE0537"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hideMark/>
          </w:tcPr>
          <w:p w14:paraId="620AEC1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hideMark/>
          </w:tcPr>
          <w:p w14:paraId="58110C45"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hideMark/>
          </w:tcPr>
          <w:p w14:paraId="211096F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hideMark/>
          </w:tcPr>
          <w:p w14:paraId="147BA0A0"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00AF2531" w14:textId="77777777" w:rsidTr="00FC3D7F">
        <w:trPr>
          <w:gridAfter w:val="1"/>
          <w:wAfter w:w="10" w:type="dxa"/>
          <w:cantSplit/>
          <w:trHeight w:val="170"/>
          <w:jc w:val="center"/>
        </w:trPr>
        <w:tc>
          <w:tcPr>
            <w:tcW w:w="1148" w:type="dxa"/>
            <w:vMerge/>
            <w:tcBorders>
              <w:left w:val="nil"/>
              <w:right w:val="nil"/>
            </w:tcBorders>
            <w:vAlign w:val="center"/>
            <w:hideMark/>
          </w:tcPr>
          <w:p w14:paraId="26BF374E"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10B96B8D"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345FCD40"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5A51DF99" w14:textId="77777777" w:rsidR="009F33B9" w:rsidRDefault="009F33B9" w:rsidP="005D3108">
            <w:pPr>
              <w:spacing w:before="0" w:after="0"/>
              <w:rPr>
                <w:i/>
                <w:iCs/>
                <w:color w:val="000000"/>
                <w:sz w:val="14"/>
                <w:szCs w:val="14"/>
              </w:rPr>
            </w:pPr>
          </w:p>
        </w:tc>
        <w:tc>
          <w:tcPr>
            <w:tcW w:w="840" w:type="dxa"/>
            <w:tcBorders>
              <w:left w:val="nil"/>
              <w:bottom w:val="nil"/>
            </w:tcBorders>
            <w:shd w:val="clear" w:color="auto" w:fill="F3F9FA"/>
            <w:noWrap/>
            <w:vAlign w:val="center"/>
            <w:hideMark/>
          </w:tcPr>
          <w:p w14:paraId="11FBD823" w14:textId="77777777" w:rsidR="009F33B9" w:rsidRDefault="009F33B9" w:rsidP="005D3108">
            <w:pPr>
              <w:spacing w:before="0" w:after="0"/>
              <w:jc w:val="center"/>
              <w:rPr>
                <w:b/>
                <w:color w:val="000000"/>
                <w:sz w:val="14"/>
                <w:szCs w:val="14"/>
              </w:rPr>
            </w:pPr>
            <w:r>
              <w:rPr>
                <w:b/>
                <w:color w:val="000000"/>
                <w:sz w:val="14"/>
                <w:szCs w:val="14"/>
              </w:rPr>
              <w:t>GI2</w:t>
            </w:r>
          </w:p>
        </w:tc>
        <w:tc>
          <w:tcPr>
            <w:tcW w:w="555" w:type="dxa"/>
            <w:tcBorders>
              <w:bottom w:val="nil"/>
            </w:tcBorders>
            <w:shd w:val="clear" w:color="auto" w:fill="F3F9FA"/>
            <w:vAlign w:val="center"/>
            <w:hideMark/>
          </w:tcPr>
          <w:p w14:paraId="059F6B3E"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4FE1E9A9"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hideMark/>
          </w:tcPr>
          <w:p w14:paraId="28CDE4D1"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F3F9FA"/>
            <w:vAlign w:val="center"/>
            <w:hideMark/>
          </w:tcPr>
          <w:p w14:paraId="7DCFF96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hideMark/>
          </w:tcPr>
          <w:p w14:paraId="2E9F7EDE"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hideMark/>
          </w:tcPr>
          <w:p w14:paraId="37D2E92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tcPr>
          <w:p w14:paraId="31469911"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hideMark/>
          </w:tcPr>
          <w:p w14:paraId="7C6AE13C"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F3F9FA"/>
            <w:vAlign w:val="center"/>
            <w:hideMark/>
          </w:tcPr>
          <w:p w14:paraId="2B4FC69D"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F3F9FA"/>
            <w:vAlign w:val="center"/>
            <w:hideMark/>
          </w:tcPr>
          <w:p w14:paraId="2E834CC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hideMark/>
          </w:tcPr>
          <w:p w14:paraId="7E253CAA"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hideMark/>
          </w:tcPr>
          <w:p w14:paraId="759545C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tcPr>
          <w:p w14:paraId="7AA4005F" w14:textId="77777777" w:rsidR="009F33B9" w:rsidRDefault="009F33B9" w:rsidP="005D3108">
            <w:pPr>
              <w:spacing w:before="0" w:after="0"/>
              <w:jc w:val="center"/>
              <w:rPr>
                <w:color w:val="000000"/>
                <w:sz w:val="14"/>
                <w:szCs w:val="14"/>
              </w:rPr>
            </w:pPr>
          </w:p>
        </w:tc>
      </w:tr>
      <w:tr w:rsidR="009F33B9" w14:paraId="74DA01F9" w14:textId="77777777" w:rsidTr="00FC3D7F">
        <w:trPr>
          <w:gridAfter w:val="1"/>
          <w:wAfter w:w="10" w:type="dxa"/>
          <w:cantSplit/>
          <w:trHeight w:val="170"/>
          <w:jc w:val="center"/>
        </w:trPr>
        <w:tc>
          <w:tcPr>
            <w:tcW w:w="1148" w:type="dxa"/>
            <w:vMerge/>
            <w:tcBorders>
              <w:left w:val="nil"/>
              <w:right w:val="nil"/>
            </w:tcBorders>
            <w:vAlign w:val="center"/>
            <w:hideMark/>
          </w:tcPr>
          <w:p w14:paraId="5A3272D6"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5C6C51C2" w14:textId="77777777" w:rsidR="009F33B9" w:rsidRDefault="009F33B9" w:rsidP="005D3108">
            <w:pPr>
              <w:spacing w:before="0" w:after="0"/>
              <w:rPr>
                <w:color w:val="000000"/>
                <w:sz w:val="14"/>
                <w:szCs w:val="14"/>
              </w:rPr>
            </w:pPr>
          </w:p>
        </w:tc>
        <w:tc>
          <w:tcPr>
            <w:tcW w:w="1299" w:type="dxa"/>
            <w:vMerge/>
            <w:tcBorders>
              <w:left w:val="nil"/>
              <w:bottom w:val="nil"/>
              <w:right w:val="nil"/>
            </w:tcBorders>
            <w:vAlign w:val="center"/>
            <w:hideMark/>
          </w:tcPr>
          <w:p w14:paraId="428978DC"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2EEE73A7" w14:textId="77777777" w:rsidR="009F33B9" w:rsidRDefault="009F33B9" w:rsidP="005D3108">
            <w:pPr>
              <w:spacing w:before="0" w:after="0"/>
              <w:rPr>
                <w:i/>
                <w:iCs/>
                <w:color w:val="000000"/>
                <w:sz w:val="14"/>
                <w:szCs w:val="14"/>
              </w:rPr>
            </w:pPr>
          </w:p>
        </w:tc>
        <w:tc>
          <w:tcPr>
            <w:tcW w:w="840" w:type="dxa"/>
            <w:tcBorders>
              <w:left w:val="nil"/>
              <w:bottom w:val="nil"/>
            </w:tcBorders>
            <w:shd w:val="clear" w:color="auto" w:fill="F3F9FA"/>
            <w:noWrap/>
            <w:vAlign w:val="center"/>
            <w:hideMark/>
          </w:tcPr>
          <w:p w14:paraId="0CD79E72" w14:textId="77777777" w:rsidR="009F33B9" w:rsidRDefault="009F33B9" w:rsidP="005D3108">
            <w:pPr>
              <w:spacing w:before="0" w:after="0"/>
              <w:jc w:val="center"/>
              <w:rPr>
                <w:b/>
                <w:color w:val="000000"/>
                <w:sz w:val="14"/>
                <w:szCs w:val="14"/>
              </w:rPr>
            </w:pPr>
            <w:r>
              <w:rPr>
                <w:b/>
                <w:color w:val="000000"/>
                <w:sz w:val="14"/>
                <w:szCs w:val="14"/>
              </w:rPr>
              <w:t>GI3^</w:t>
            </w:r>
          </w:p>
        </w:tc>
        <w:tc>
          <w:tcPr>
            <w:tcW w:w="555" w:type="dxa"/>
            <w:tcBorders>
              <w:bottom w:val="nil"/>
            </w:tcBorders>
            <w:shd w:val="clear" w:color="auto" w:fill="F3F9FA"/>
            <w:vAlign w:val="center"/>
            <w:hideMark/>
          </w:tcPr>
          <w:p w14:paraId="46E6278C"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0687FF2D"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hideMark/>
          </w:tcPr>
          <w:p w14:paraId="2A55289B"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F3F9FA"/>
            <w:vAlign w:val="center"/>
            <w:hideMark/>
          </w:tcPr>
          <w:p w14:paraId="2003922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hideMark/>
          </w:tcPr>
          <w:p w14:paraId="440BE0AD"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hideMark/>
          </w:tcPr>
          <w:p w14:paraId="16B7314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hideMark/>
          </w:tcPr>
          <w:p w14:paraId="0CE94D6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F3F9FA"/>
            <w:vAlign w:val="center"/>
            <w:hideMark/>
          </w:tcPr>
          <w:p w14:paraId="6D4A2FA4"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F3F9FA"/>
            <w:vAlign w:val="center"/>
            <w:hideMark/>
          </w:tcPr>
          <w:p w14:paraId="5212A9A0"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F3F9FA"/>
            <w:vAlign w:val="center"/>
            <w:hideMark/>
          </w:tcPr>
          <w:p w14:paraId="3102537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hideMark/>
          </w:tcPr>
          <w:p w14:paraId="4149BF9F"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hideMark/>
          </w:tcPr>
          <w:p w14:paraId="45490F1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hideMark/>
          </w:tcPr>
          <w:p w14:paraId="1ED53835"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6C8A7A10" w14:textId="77777777" w:rsidTr="00FC3D7F">
        <w:trPr>
          <w:gridAfter w:val="1"/>
          <w:wAfter w:w="10" w:type="dxa"/>
          <w:cantSplit/>
          <w:trHeight w:val="170"/>
          <w:jc w:val="center"/>
        </w:trPr>
        <w:tc>
          <w:tcPr>
            <w:tcW w:w="1148" w:type="dxa"/>
            <w:vMerge/>
            <w:tcBorders>
              <w:left w:val="nil"/>
              <w:right w:val="nil"/>
            </w:tcBorders>
            <w:vAlign w:val="center"/>
            <w:hideMark/>
          </w:tcPr>
          <w:p w14:paraId="6A8A9A8D"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6257FF0B" w14:textId="77777777" w:rsidR="009F33B9" w:rsidRDefault="009F33B9" w:rsidP="005D3108">
            <w:pPr>
              <w:spacing w:before="0" w:after="0"/>
              <w:rPr>
                <w:color w:val="000000"/>
                <w:sz w:val="14"/>
                <w:szCs w:val="14"/>
              </w:rPr>
            </w:pPr>
          </w:p>
        </w:tc>
        <w:tc>
          <w:tcPr>
            <w:tcW w:w="1299" w:type="dxa"/>
            <w:vMerge w:val="restart"/>
            <w:tcBorders>
              <w:top w:val="single" w:sz="4" w:space="0" w:color="auto"/>
              <w:left w:val="nil"/>
              <w:right w:val="nil"/>
            </w:tcBorders>
            <w:shd w:val="clear" w:color="auto" w:fill="F3F9FA"/>
            <w:vAlign w:val="center"/>
            <w:hideMark/>
          </w:tcPr>
          <w:p w14:paraId="64E03172" w14:textId="77777777" w:rsidR="009F33B9" w:rsidRDefault="009F33B9" w:rsidP="005D3108">
            <w:pPr>
              <w:spacing w:before="0" w:after="0"/>
              <w:jc w:val="center"/>
              <w:rPr>
                <w:color w:val="000000"/>
                <w:sz w:val="14"/>
                <w:szCs w:val="14"/>
              </w:rPr>
            </w:pPr>
            <w:r>
              <w:rPr>
                <w:color w:val="000000"/>
                <w:sz w:val="14"/>
                <w:szCs w:val="14"/>
              </w:rPr>
              <w:t>Tully / Murray / Herbert</w:t>
            </w:r>
          </w:p>
        </w:tc>
        <w:tc>
          <w:tcPr>
            <w:tcW w:w="1307" w:type="dxa"/>
            <w:vMerge w:val="restart"/>
            <w:tcBorders>
              <w:top w:val="single" w:sz="4" w:space="0" w:color="auto"/>
              <w:left w:val="nil"/>
              <w:bottom w:val="nil"/>
              <w:right w:val="nil"/>
            </w:tcBorders>
            <w:shd w:val="clear" w:color="auto" w:fill="F3F9FA"/>
            <w:noWrap/>
            <w:vAlign w:val="center"/>
            <w:hideMark/>
          </w:tcPr>
          <w:p w14:paraId="07D5C433" w14:textId="77777777" w:rsidR="009F33B9" w:rsidRDefault="009F33B9" w:rsidP="005D3108">
            <w:pPr>
              <w:spacing w:before="0" w:after="0"/>
              <w:jc w:val="center"/>
              <w:rPr>
                <w:color w:val="000000"/>
                <w:sz w:val="14"/>
                <w:szCs w:val="14"/>
              </w:rPr>
            </w:pPr>
            <w:r>
              <w:rPr>
                <w:color w:val="000000"/>
                <w:sz w:val="14"/>
                <w:szCs w:val="14"/>
              </w:rPr>
              <w:t>Mission Beach</w:t>
            </w:r>
          </w:p>
        </w:tc>
        <w:tc>
          <w:tcPr>
            <w:tcW w:w="840" w:type="dxa"/>
            <w:tcBorders>
              <w:top w:val="single" w:sz="4" w:space="0" w:color="auto"/>
              <w:left w:val="nil"/>
              <w:right w:val="nil"/>
            </w:tcBorders>
            <w:shd w:val="clear" w:color="auto" w:fill="F3F9FA"/>
            <w:noWrap/>
            <w:vAlign w:val="center"/>
            <w:hideMark/>
          </w:tcPr>
          <w:p w14:paraId="2ED48D94" w14:textId="77777777" w:rsidR="009F33B9" w:rsidRDefault="009F33B9" w:rsidP="005D3108">
            <w:pPr>
              <w:spacing w:before="0" w:after="0"/>
              <w:jc w:val="center"/>
              <w:rPr>
                <w:b/>
                <w:color w:val="000000"/>
                <w:sz w:val="14"/>
                <w:szCs w:val="14"/>
              </w:rPr>
            </w:pPr>
            <w:r>
              <w:rPr>
                <w:b/>
                <w:color w:val="000000"/>
                <w:sz w:val="14"/>
                <w:szCs w:val="14"/>
              </w:rPr>
              <w:t>LB1</w:t>
            </w:r>
          </w:p>
        </w:tc>
        <w:tc>
          <w:tcPr>
            <w:tcW w:w="555" w:type="dxa"/>
            <w:tcBorders>
              <w:top w:val="single" w:sz="4" w:space="0" w:color="auto"/>
              <w:left w:val="nil"/>
              <w:right w:val="nil"/>
            </w:tcBorders>
            <w:shd w:val="clear" w:color="auto" w:fill="F3F9FA"/>
            <w:vAlign w:val="center"/>
            <w:hideMark/>
          </w:tcPr>
          <w:p w14:paraId="2B483152"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hideMark/>
          </w:tcPr>
          <w:p w14:paraId="0B98E65E"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hideMark/>
          </w:tcPr>
          <w:p w14:paraId="03CA53E2" w14:textId="77777777" w:rsidR="009F33B9" w:rsidRDefault="009F33B9" w:rsidP="005D3108">
            <w:pPr>
              <w:spacing w:before="0" w:after="0"/>
              <w:jc w:val="center"/>
              <w:rPr>
                <w:color w:val="000000"/>
                <w:sz w:val="14"/>
                <w:szCs w:val="14"/>
              </w:rPr>
            </w:pPr>
          </w:p>
        </w:tc>
        <w:tc>
          <w:tcPr>
            <w:tcW w:w="536" w:type="dxa"/>
            <w:tcBorders>
              <w:top w:val="single" w:sz="4" w:space="0" w:color="auto"/>
              <w:left w:val="nil"/>
              <w:right w:val="nil"/>
            </w:tcBorders>
            <w:shd w:val="clear" w:color="auto" w:fill="F3F9FA"/>
            <w:vAlign w:val="center"/>
          </w:tcPr>
          <w:p w14:paraId="0400AD44"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F3F9FA"/>
            <w:vAlign w:val="center"/>
          </w:tcPr>
          <w:p w14:paraId="2903CAF8" w14:textId="77777777" w:rsidR="009F33B9" w:rsidRDefault="009F33B9" w:rsidP="005D3108">
            <w:pPr>
              <w:spacing w:before="0" w:after="0"/>
              <w:jc w:val="center"/>
              <w:rPr>
                <w:color w:val="000000"/>
                <w:sz w:val="14"/>
                <w:szCs w:val="14"/>
              </w:rPr>
            </w:pPr>
          </w:p>
        </w:tc>
        <w:tc>
          <w:tcPr>
            <w:tcW w:w="529" w:type="dxa"/>
            <w:tcBorders>
              <w:top w:val="single" w:sz="4" w:space="0" w:color="auto"/>
              <w:left w:val="nil"/>
              <w:right w:val="nil"/>
            </w:tcBorders>
            <w:shd w:val="clear" w:color="auto" w:fill="F3F9FA"/>
            <w:vAlign w:val="center"/>
          </w:tcPr>
          <w:p w14:paraId="118E4797"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single" w:sz="4" w:space="0" w:color="auto"/>
            </w:tcBorders>
            <w:shd w:val="clear" w:color="auto" w:fill="F3F9FA"/>
            <w:vAlign w:val="center"/>
          </w:tcPr>
          <w:p w14:paraId="1A5D27E0"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hideMark/>
          </w:tcPr>
          <w:p w14:paraId="02CF82D0"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hideMark/>
          </w:tcPr>
          <w:p w14:paraId="6DDA0F25"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6183F760"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1EB6153D"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4A598633" w14:textId="77777777" w:rsidR="009F33B9" w:rsidRDefault="009F33B9" w:rsidP="005D3108">
            <w:pPr>
              <w:spacing w:before="0" w:after="0"/>
              <w:jc w:val="center"/>
              <w:rPr>
                <w:color w:val="000000"/>
                <w:sz w:val="14"/>
                <w:szCs w:val="14"/>
              </w:rPr>
            </w:pPr>
          </w:p>
        </w:tc>
        <w:tc>
          <w:tcPr>
            <w:tcW w:w="546" w:type="dxa"/>
            <w:tcBorders>
              <w:top w:val="single" w:sz="4" w:space="0" w:color="auto"/>
              <w:left w:val="nil"/>
              <w:right w:val="nil"/>
            </w:tcBorders>
            <w:shd w:val="clear" w:color="auto" w:fill="F3F9FA"/>
            <w:vAlign w:val="center"/>
          </w:tcPr>
          <w:p w14:paraId="677E1F7A" w14:textId="77777777" w:rsidR="009F33B9" w:rsidRDefault="009F33B9" w:rsidP="005D3108">
            <w:pPr>
              <w:spacing w:before="0" w:after="0"/>
              <w:jc w:val="center"/>
              <w:rPr>
                <w:color w:val="000000"/>
                <w:sz w:val="14"/>
                <w:szCs w:val="14"/>
              </w:rPr>
            </w:pPr>
          </w:p>
        </w:tc>
      </w:tr>
      <w:tr w:rsidR="009F33B9" w14:paraId="51424783" w14:textId="77777777" w:rsidTr="00FC3D7F">
        <w:trPr>
          <w:gridAfter w:val="1"/>
          <w:wAfter w:w="10" w:type="dxa"/>
          <w:cantSplit/>
          <w:trHeight w:val="170"/>
          <w:jc w:val="center"/>
        </w:trPr>
        <w:tc>
          <w:tcPr>
            <w:tcW w:w="1148" w:type="dxa"/>
            <w:vMerge/>
            <w:tcBorders>
              <w:left w:val="nil"/>
              <w:right w:val="nil"/>
            </w:tcBorders>
            <w:vAlign w:val="center"/>
            <w:hideMark/>
          </w:tcPr>
          <w:p w14:paraId="1779A37D"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3081A6A3"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78E285D7"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25358603" w14:textId="77777777" w:rsidR="009F33B9" w:rsidRDefault="009F33B9" w:rsidP="005D3108">
            <w:pPr>
              <w:spacing w:before="0" w:after="0"/>
              <w:rPr>
                <w:color w:val="000000"/>
                <w:sz w:val="14"/>
                <w:szCs w:val="14"/>
              </w:rPr>
            </w:pPr>
          </w:p>
        </w:tc>
        <w:tc>
          <w:tcPr>
            <w:tcW w:w="840" w:type="dxa"/>
            <w:tcBorders>
              <w:left w:val="nil"/>
              <w:bottom w:val="nil"/>
            </w:tcBorders>
            <w:shd w:val="clear" w:color="auto" w:fill="F3F9FA"/>
            <w:noWrap/>
            <w:vAlign w:val="center"/>
            <w:hideMark/>
          </w:tcPr>
          <w:p w14:paraId="1162F324" w14:textId="77777777" w:rsidR="009F33B9" w:rsidRDefault="009F33B9" w:rsidP="005D3108">
            <w:pPr>
              <w:spacing w:before="0" w:after="0"/>
              <w:jc w:val="center"/>
              <w:rPr>
                <w:b/>
                <w:color w:val="000000"/>
                <w:sz w:val="14"/>
                <w:szCs w:val="14"/>
              </w:rPr>
            </w:pPr>
            <w:r>
              <w:rPr>
                <w:b/>
                <w:color w:val="000000"/>
                <w:sz w:val="14"/>
                <w:szCs w:val="14"/>
              </w:rPr>
              <w:t>LB2</w:t>
            </w:r>
          </w:p>
        </w:tc>
        <w:tc>
          <w:tcPr>
            <w:tcW w:w="555" w:type="dxa"/>
            <w:tcBorders>
              <w:bottom w:val="nil"/>
            </w:tcBorders>
            <w:shd w:val="clear" w:color="auto" w:fill="F3F9FA"/>
            <w:vAlign w:val="center"/>
            <w:hideMark/>
          </w:tcPr>
          <w:p w14:paraId="1C165B96"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20C4431D"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tcPr>
          <w:p w14:paraId="244F7D2A" w14:textId="77777777" w:rsidR="009F33B9" w:rsidRDefault="009F33B9" w:rsidP="005D3108">
            <w:pPr>
              <w:spacing w:before="0" w:after="0"/>
              <w:jc w:val="center"/>
              <w:rPr>
                <w:color w:val="000000"/>
                <w:sz w:val="14"/>
                <w:szCs w:val="14"/>
              </w:rPr>
            </w:pPr>
          </w:p>
        </w:tc>
        <w:tc>
          <w:tcPr>
            <w:tcW w:w="536" w:type="dxa"/>
            <w:tcBorders>
              <w:bottom w:val="nil"/>
            </w:tcBorders>
            <w:shd w:val="clear" w:color="auto" w:fill="F3F9FA"/>
            <w:vAlign w:val="center"/>
          </w:tcPr>
          <w:p w14:paraId="18816EA1"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F3F9FA"/>
            <w:vAlign w:val="center"/>
          </w:tcPr>
          <w:p w14:paraId="387DDD12" w14:textId="77777777" w:rsidR="009F33B9" w:rsidRDefault="009F33B9" w:rsidP="005D3108">
            <w:pPr>
              <w:spacing w:before="0" w:after="0"/>
              <w:jc w:val="center"/>
              <w:rPr>
                <w:color w:val="000000"/>
                <w:sz w:val="14"/>
                <w:szCs w:val="14"/>
              </w:rPr>
            </w:pPr>
          </w:p>
        </w:tc>
        <w:tc>
          <w:tcPr>
            <w:tcW w:w="529" w:type="dxa"/>
            <w:tcBorders>
              <w:bottom w:val="nil"/>
            </w:tcBorders>
            <w:shd w:val="clear" w:color="auto" w:fill="F3F9FA"/>
            <w:vAlign w:val="center"/>
          </w:tcPr>
          <w:p w14:paraId="4F96D96C" w14:textId="77777777" w:rsidR="009F33B9" w:rsidRDefault="009F33B9" w:rsidP="005D3108">
            <w:pPr>
              <w:spacing w:before="0" w:after="0"/>
              <w:jc w:val="center"/>
              <w:rPr>
                <w:color w:val="000000"/>
                <w:sz w:val="14"/>
                <w:szCs w:val="14"/>
              </w:rPr>
            </w:pPr>
          </w:p>
        </w:tc>
        <w:tc>
          <w:tcPr>
            <w:tcW w:w="559" w:type="dxa"/>
            <w:tcBorders>
              <w:bottom w:val="nil"/>
              <w:right w:val="single" w:sz="4" w:space="0" w:color="auto"/>
            </w:tcBorders>
            <w:shd w:val="clear" w:color="auto" w:fill="F3F9FA"/>
            <w:vAlign w:val="center"/>
          </w:tcPr>
          <w:p w14:paraId="691FF4ED"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hideMark/>
          </w:tcPr>
          <w:p w14:paraId="0A040922"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F3F9FA"/>
            <w:vAlign w:val="center"/>
            <w:hideMark/>
          </w:tcPr>
          <w:p w14:paraId="57DF1971"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F3F9FA"/>
            <w:vAlign w:val="center"/>
          </w:tcPr>
          <w:p w14:paraId="24DFF7D1"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F3F9FA"/>
            <w:vAlign w:val="center"/>
          </w:tcPr>
          <w:p w14:paraId="3F32D8C1"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F3F9FA"/>
            <w:vAlign w:val="center"/>
          </w:tcPr>
          <w:p w14:paraId="1CB23710" w14:textId="77777777" w:rsidR="009F33B9" w:rsidRDefault="009F33B9" w:rsidP="005D3108">
            <w:pPr>
              <w:spacing w:before="0" w:after="0"/>
              <w:jc w:val="center"/>
              <w:rPr>
                <w:color w:val="000000"/>
                <w:sz w:val="14"/>
                <w:szCs w:val="14"/>
              </w:rPr>
            </w:pPr>
          </w:p>
        </w:tc>
        <w:tc>
          <w:tcPr>
            <w:tcW w:w="546" w:type="dxa"/>
            <w:tcBorders>
              <w:bottom w:val="nil"/>
              <w:right w:val="nil"/>
            </w:tcBorders>
            <w:shd w:val="clear" w:color="auto" w:fill="F3F9FA"/>
            <w:vAlign w:val="center"/>
          </w:tcPr>
          <w:p w14:paraId="7BF71735" w14:textId="77777777" w:rsidR="009F33B9" w:rsidRDefault="009F33B9" w:rsidP="005D3108">
            <w:pPr>
              <w:spacing w:before="0" w:after="0"/>
              <w:jc w:val="center"/>
              <w:rPr>
                <w:color w:val="000000"/>
                <w:sz w:val="14"/>
                <w:szCs w:val="14"/>
              </w:rPr>
            </w:pPr>
          </w:p>
        </w:tc>
      </w:tr>
      <w:tr w:rsidR="009F33B9" w14:paraId="6C67F17D" w14:textId="77777777" w:rsidTr="00FC3D7F">
        <w:trPr>
          <w:gridAfter w:val="1"/>
          <w:wAfter w:w="10" w:type="dxa"/>
          <w:cantSplit/>
          <w:trHeight w:val="170"/>
          <w:jc w:val="center"/>
        </w:trPr>
        <w:tc>
          <w:tcPr>
            <w:tcW w:w="1148" w:type="dxa"/>
            <w:vMerge/>
            <w:tcBorders>
              <w:left w:val="nil"/>
              <w:right w:val="nil"/>
            </w:tcBorders>
            <w:vAlign w:val="center"/>
            <w:hideMark/>
          </w:tcPr>
          <w:p w14:paraId="76BE3EC8"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7B7B88D2"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4D3CDE65"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bottom w:val="nil"/>
              <w:right w:val="nil"/>
            </w:tcBorders>
            <w:shd w:val="clear" w:color="auto" w:fill="F3F9FA"/>
            <w:noWrap/>
            <w:vAlign w:val="center"/>
            <w:hideMark/>
          </w:tcPr>
          <w:p w14:paraId="332C9724" w14:textId="77777777" w:rsidR="009F33B9" w:rsidRDefault="009F33B9" w:rsidP="005D3108">
            <w:pPr>
              <w:spacing w:before="0" w:after="0"/>
              <w:jc w:val="center"/>
              <w:rPr>
                <w:color w:val="000000"/>
                <w:sz w:val="14"/>
                <w:szCs w:val="14"/>
              </w:rPr>
            </w:pPr>
            <w:r>
              <w:rPr>
                <w:color w:val="000000"/>
                <w:sz w:val="14"/>
                <w:szCs w:val="14"/>
              </w:rPr>
              <w:t>Dunk Island</w:t>
            </w:r>
          </w:p>
        </w:tc>
        <w:tc>
          <w:tcPr>
            <w:tcW w:w="840" w:type="dxa"/>
            <w:tcBorders>
              <w:top w:val="single" w:sz="4" w:space="0" w:color="auto"/>
              <w:left w:val="nil"/>
              <w:right w:val="nil"/>
            </w:tcBorders>
            <w:shd w:val="clear" w:color="auto" w:fill="F3F9FA"/>
            <w:noWrap/>
            <w:vAlign w:val="center"/>
            <w:hideMark/>
          </w:tcPr>
          <w:p w14:paraId="50AF20BC" w14:textId="77777777" w:rsidR="009F33B9" w:rsidRDefault="009F33B9" w:rsidP="005D3108">
            <w:pPr>
              <w:spacing w:before="0" w:after="0"/>
              <w:jc w:val="center"/>
              <w:rPr>
                <w:b/>
                <w:color w:val="000000"/>
                <w:sz w:val="14"/>
                <w:szCs w:val="14"/>
              </w:rPr>
            </w:pPr>
            <w:r>
              <w:rPr>
                <w:b/>
                <w:color w:val="000000"/>
                <w:sz w:val="14"/>
                <w:szCs w:val="14"/>
              </w:rPr>
              <w:t>DI1</w:t>
            </w:r>
          </w:p>
        </w:tc>
        <w:tc>
          <w:tcPr>
            <w:tcW w:w="555" w:type="dxa"/>
            <w:tcBorders>
              <w:top w:val="single" w:sz="4" w:space="0" w:color="auto"/>
              <w:left w:val="nil"/>
              <w:right w:val="nil"/>
            </w:tcBorders>
            <w:shd w:val="clear" w:color="auto" w:fill="F3F9FA"/>
            <w:vAlign w:val="center"/>
            <w:hideMark/>
          </w:tcPr>
          <w:p w14:paraId="6987B246"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hideMark/>
          </w:tcPr>
          <w:p w14:paraId="15CF0970"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hideMark/>
          </w:tcPr>
          <w:p w14:paraId="42A9D7A4"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hideMark/>
          </w:tcPr>
          <w:p w14:paraId="08C2932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hideMark/>
          </w:tcPr>
          <w:p w14:paraId="2B93500D"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hideMark/>
          </w:tcPr>
          <w:p w14:paraId="4D72CE40"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485F4AAF"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0AC108D3"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nil"/>
              <w:right w:val="nil"/>
            </w:tcBorders>
            <w:shd w:val="clear" w:color="auto" w:fill="F3F9FA"/>
            <w:vAlign w:val="center"/>
          </w:tcPr>
          <w:p w14:paraId="2A7C33B0"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nil"/>
              <w:right w:val="nil"/>
            </w:tcBorders>
            <w:shd w:val="clear" w:color="auto" w:fill="F3F9FA"/>
            <w:vAlign w:val="center"/>
          </w:tcPr>
          <w:p w14:paraId="79D7A0C7"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nil"/>
              <w:right w:val="nil"/>
            </w:tcBorders>
            <w:shd w:val="clear" w:color="auto" w:fill="F3F9FA"/>
            <w:vAlign w:val="center"/>
          </w:tcPr>
          <w:p w14:paraId="603FFB2F" w14:textId="77777777" w:rsidR="009F33B9" w:rsidRPr="00A35694" w:rsidRDefault="009F33B9" w:rsidP="005D3108">
            <w:pPr>
              <w:spacing w:before="0" w:after="0"/>
              <w:jc w:val="center"/>
              <w:rPr>
                <w:color w:val="000000"/>
                <w:sz w:val="14"/>
                <w:szCs w:val="14"/>
                <w:highlight w:val="yellow"/>
              </w:rPr>
            </w:pPr>
          </w:p>
        </w:tc>
        <w:tc>
          <w:tcPr>
            <w:tcW w:w="559" w:type="dxa"/>
            <w:tcBorders>
              <w:top w:val="single" w:sz="4" w:space="0" w:color="auto"/>
              <w:left w:val="nil"/>
              <w:right w:val="nil"/>
            </w:tcBorders>
            <w:shd w:val="clear" w:color="auto" w:fill="F3F9FA"/>
            <w:vAlign w:val="center"/>
            <w:hideMark/>
          </w:tcPr>
          <w:p w14:paraId="119434E3" w14:textId="77777777" w:rsidR="009F33B9" w:rsidRPr="00EC4DAE" w:rsidRDefault="009F33B9" w:rsidP="005D3108">
            <w:pPr>
              <w:spacing w:before="0" w:after="0"/>
              <w:jc w:val="center"/>
              <w:rPr>
                <w:color w:val="000000"/>
                <w:sz w:val="14"/>
                <w:szCs w:val="14"/>
              </w:rPr>
            </w:pPr>
            <w:r w:rsidRPr="00EC4DAE">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7DBD90C6" w14:textId="77777777" w:rsidR="009F33B9" w:rsidRPr="00EC4DAE" w:rsidRDefault="009F33B9" w:rsidP="005D3108">
            <w:pPr>
              <w:spacing w:before="0" w:after="0"/>
              <w:jc w:val="center"/>
              <w:rPr>
                <w:color w:val="000000"/>
                <w:sz w:val="14"/>
                <w:szCs w:val="14"/>
              </w:rPr>
            </w:pPr>
          </w:p>
        </w:tc>
      </w:tr>
      <w:tr w:rsidR="009F33B9" w14:paraId="3E8F14F3" w14:textId="77777777" w:rsidTr="00FC3D7F">
        <w:trPr>
          <w:gridAfter w:val="1"/>
          <w:wAfter w:w="10" w:type="dxa"/>
          <w:cantSplit/>
          <w:trHeight w:val="170"/>
          <w:jc w:val="center"/>
        </w:trPr>
        <w:tc>
          <w:tcPr>
            <w:tcW w:w="1148" w:type="dxa"/>
            <w:vMerge/>
            <w:tcBorders>
              <w:left w:val="nil"/>
              <w:right w:val="nil"/>
            </w:tcBorders>
            <w:vAlign w:val="center"/>
            <w:hideMark/>
          </w:tcPr>
          <w:p w14:paraId="6AA84876"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54F0C10A"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332A853C"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01461828" w14:textId="77777777" w:rsidR="009F33B9" w:rsidRDefault="009F33B9" w:rsidP="005D3108">
            <w:pPr>
              <w:spacing w:before="0" w:after="0"/>
              <w:rPr>
                <w:color w:val="000000"/>
                <w:sz w:val="14"/>
                <w:szCs w:val="14"/>
              </w:rPr>
            </w:pPr>
          </w:p>
        </w:tc>
        <w:tc>
          <w:tcPr>
            <w:tcW w:w="840" w:type="dxa"/>
            <w:tcBorders>
              <w:left w:val="nil"/>
              <w:bottom w:val="nil"/>
            </w:tcBorders>
            <w:shd w:val="clear" w:color="auto" w:fill="F3F9FA"/>
            <w:noWrap/>
            <w:vAlign w:val="center"/>
            <w:hideMark/>
          </w:tcPr>
          <w:p w14:paraId="79196356" w14:textId="77777777" w:rsidR="009F33B9" w:rsidRDefault="009F33B9" w:rsidP="005D3108">
            <w:pPr>
              <w:spacing w:before="0" w:after="0"/>
              <w:jc w:val="center"/>
              <w:rPr>
                <w:b/>
                <w:color w:val="000000"/>
                <w:sz w:val="14"/>
                <w:szCs w:val="14"/>
              </w:rPr>
            </w:pPr>
            <w:r>
              <w:rPr>
                <w:b/>
                <w:color w:val="000000"/>
                <w:sz w:val="14"/>
                <w:szCs w:val="14"/>
              </w:rPr>
              <w:t>DI2</w:t>
            </w:r>
          </w:p>
        </w:tc>
        <w:tc>
          <w:tcPr>
            <w:tcW w:w="555" w:type="dxa"/>
            <w:tcBorders>
              <w:bottom w:val="nil"/>
            </w:tcBorders>
            <w:shd w:val="clear" w:color="auto" w:fill="F3F9FA"/>
            <w:vAlign w:val="center"/>
            <w:hideMark/>
          </w:tcPr>
          <w:p w14:paraId="5E04CBE8"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F3F9FA"/>
            <w:noWrap/>
            <w:vAlign w:val="center"/>
            <w:hideMark/>
          </w:tcPr>
          <w:p w14:paraId="790F7DC9"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F3F9FA"/>
            <w:noWrap/>
            <w:vAlign w:val="center"/>
            <w:hideMark/>
          </w:tcPr>
          <w:p w14:paraId="6259878C"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F3F9FA"/>
            <w:vAlign w:val="center"/>
            <w:hideMark/>
          </w:tcPr>
          <w:p w14:paraId="1FB1E5B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hideMark/>
          </w:tcPr>
          <w:p w14:paraId="06C59D5B"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hideMark/>
          </w:tcPr>
          <w:p w14:paraId="66326EA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hideMark/>
          </w:tcPr>
          <w:p w14:paraId="37CC825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F3F9FA"/>
            <w:vAlign w:val="center"/>
          </w:tcPr>
          <w:p w14:paraId="3BB0425B" w14:textId="77777777" w:rsidR="009F33B9" w:rsidRPr="00A35694" w:rsidRDefault="009F33B9" w:rsidP="005D3108">
            <w:pPr>
              <w:spacing w:before="0" w:after="0"/>
              <w:jc w:val="center"/>
              <w:rPr>
                <w:color w:val="000000"/>
                <w:sz w:val="14"/>
                <w:szCs w:val="14"/>
                <w:highlight w:val="yellow"/>
              </w:rPr>
            </w:pPr>
          </w:p>
        </w:tc>
        <w:tc>
          <w:tcPr>
            <w:tcW w:w="559" w:type="dxa"/>
            <w:tcBorders>
              <w:bottom w:val="nil"/>
            </w:tcBorders>
            <w:shd w:val="clear" w:color="auto" w:fill="F3F9FA"/>
            <w:vAlign w:val="center"/>
          </w:tcPr>
          <w:p w14:paraId="73EE6A3B" w14:textId="77777777" w:rsidR="009F33B9" w:rsidRPr="00A35694" w:rsidRDefault="009F33B9" w:rsidP="005D3108">
            <w:pPr>
              <w:spacing w:before="0" w:after="0"/>
              <w:jc w:val="center"/>
              <w:rPr>
                <w:color w:val="000000"/>
                <w:sz w:val="14"/>
                <w:szCs w:val="14"/>
                <w:highlight w:val="yellow"/>
              </w:rPr>
            </w:pPr>
          </w:p>
        </w:tc>
        <w:tc>
          <w:tcPr>
            <w:tcW w:w="559" w:type="dxa"/>
            <w:tcBorders>
              <w:bottom w:val="nil"/>
            </w:tcBorders>
            <w:shd w:val="clear" w:color="auto" w:fill="F3F9FA"/>
            <w:vAlign w:val="center"/>
          </w:tcPr>
          <w:p w14:paraId="1C6E5D16" w14:textId="77777777" w:rsidR="009F33B9" w:rsidRPr="00A35694" w:rsidRDefault="009F33B9" w:rsidP="005D3108">
            <w:pPr>
              <w:spacing w:before="0" w:after="0"/>
              <w:jc w:val="center"/>
              <w:rPr>
                <w:color w:val="000000"/>
                <w:sz w:val="14"/>
                <w:szCs w:val="14"/>
                <w:highlight w:val="yellow"/>
              </w:rPr>
            </w:pPr>
          </w:p>
        </w:tc>
        <w:tc>
          <w:tcPr>
            <w:tcW w:w="559" w:type="dxa"/>
            <w:tcBorders>
              <w:bottom w:val="nil"/>
            </w:tcBorders>
            <w:shd w:val="clear" w:color="auto" w:fill="F3F9FA"/>
            <w:vAlign w:val="center"/>
          </w:tcPr>
          <w:p w14:paraId="50F5CE03" w14:textId="77777777" w:rsidR="009F33B9" w:rsidRPr="00A35694" w:rsidRDefault="009F33B9" w:rsidP="005D3108">
            <w:pPr>
              <w:spacing w:before="0" w:after="0"/>
              <w:jc w:val="center"/>
              <w:rPr>
                <w:color w:val="000000"/>
                <w:sz w:val="14"/>
                <w:szCs w:val="14"/>
                <w:highlight w:val="yellow"/>
              </w:rPr>
            </w:pPr>
          </w:p>
        </w:tc>
        <w:tc>
          <w:tcPr>
            <w:tcW w:w="559" w:type="dxa"/>
            <w:tcBorders>
              <w:bottom w:val="nil"/>
            </w:tcBorders>
            <w:shd w:val="clear" w:color="auto" w:fill="F3F9FA"/>
            <w:vAlign w:val="center"/>
            <w:hideMark/>
          </w:tcPr>
          <w:p w14:paraId="00ED2BB3" w14:textId="77777777" w:rsidR="009F33B9" w:rsidRPr="00EC4DAE" w:rsidRDefault="009F33B9" w:rsidP="005D3108">
            <w:pPr>
              <w:spacing w:before="0" w:after="0"/>
              <w:jc w:val="center"/>
              <w:rPr>
                <w:color w:val="000000"/>
                <w:sz w:val="14"/>
                <w:szCs w:val="14"/>
              </w:rPr>
            </w:pPr>
            <w:r w:rsidRPr="00EC4DAE">
              <w:rPr>
                <w:color w:val="000000"/>
                <w:sz w:val="14"/>
                <w:szCs w:val="14"/>
              </w:rPr>
              <w:sym w:font="Wingdings" w:char="F0FC"/>
            </w:r>
          </w:p>
        </w:tc>
        <w:tc>
          <w:tcPr>
            <w:tcW w:w="546" w:type="dxa"/>
            <w:tcBorders>
              <w:bottom w:val="nil"/>
              <w:right w:val="nil"/>
            </w:tcBorders>
            <w:shd w:val="clear" w:color="auto" w:fill="F3F9FA"/>
            <w:vAlign w:val="center"/>
            <w:hideMark/>
          </w:tcPr>
          <w:p w14:paraId="25B22701" w14:textId="77777777" w:rsidR="009F33B9" w:rsidRPr="00EC4DAE" w:rsidRDefault="009F33B9" w:rsidP="005D3108">
            <w:pPr>
              <w:spacing w:before="0" w:after="0"/>
              <w:jc w:val="center"/>
              <w:rPr>
                <w:color w:val="000000"/>
                <w:sz w:val="14"/>
                <w:szCs w:val="14"/>
              </w:rPr>
            </w:pPr>
            <w:r w:rsidRPr="00EC4DAE">
              <w:rPr>
                <w:color w:val="000000"/>
                <w:sz w:val="14"/>
                <w:szCs w:val="14"/>
              </w:rPr>
              <w:sym w:font="Wingdings" w:char="F0FC"/>
            </w:r>
          </w:p>
        </w:tc>
      </w:tr>
      <w:tr w:rsidR="009F33B9" w14:paraId="212CE167" w14:textId="77777777" w:rsidTr="00FC3D7F">
        <w:trPr>
          <w:gridAfter w:val="1"/>
          <w:wAfter w:w="10" w:type="dxa"/>
          <w:cantSplit/>
          <w:trHeight w:val="170"/>
          <w:jc w:val="center"/>
        </w:trPr>
        <w:tc>
          <w:tcPr>
            <w:tcW w:w="1148" w:type="dxa"/>
            <w:vMerge/>
            <w:tcBorders>
              <w:left w:val="nil"/>
              <w:right w:val="nil"/>
            </w:tcBorders>
            <w:vAlign w:val="center"/>
            <w:hideMark/>
          </w:tcPr>
          <w:p w14:paraId="12238D7A" w14:textId="77777777" w:rsidR="009F33B9" w:rsidRDefault="009F33B9" w:rsidP="005D3108">
            <w:pPr>
              <w:spacing w:before="0" w:after="0"/>
              <w:rPr>
                <w:color w:val="000000"/>
                <w:sz w:val="14"/>
                <w:szCs w:val="14"/>
              </w:rPr>
            </w:pPr>
          </w:p>
        </w:tc>
        <w:tc>
          <w:tcPr>
            <w:tcW w:w="1294" w:type="dxa"/>
            <w:vMerge/>
            <w:tcBorders>
              <w:left w:val="nil"/>
              <w:right w:val="nil"/>
            </w:tcBorders>
            <w:vAlign w:val="center"/>
            <w:hideMark/>
          </w:tcPr>
          <w:p w14:paraId="78F73F5C" w14:textId="77777777" w:rsidR="009F33B9" w:rsidRDefault="009F33B9" w:rsidP="005D3108">
            <w:pPr>
              <w:spacing w:before="0" w:after="0"/>
              <w:rPr>
                <w:color w:val="000000"/>
                <w:sz w:val="14"/>
                <w:szCs w:val="14"/>
              </w:rPr>
            </w:pPr>
          </w:p>
        </w:tc>
        <w:tc>
          <w:tcPr>
            <w:tcW w:w="1299" w:type="dxa"/>
            <w:vMerge/>
            <w:tcBorders>
              <w:left w:val="nil"/>
              <w:right w:val="nil"/>
            </w:tcBorders>
            <w:vAlign w:val="center"/>
            <w:hideMark/>
          </w:tcPr>
          <w:p w14:paraId="4046958C"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6EE3EFB4" w14:textId="77777777" w:rsidR="009F33B9" w:rsidRDefault="009F33B9" w:rsidP="005D3108">
            <w:pPr>
              <w:spacing w:before="0" w:after="0"/>
              <w:rPr>
                <w:color w:val="000000"/>
                <w:sz w:val="14"/>
                <w:szCs w:val="14"/>
              </w:rPr>
            </w:pPr>
          </w:p>
        </w:tc>
        <w:tc>
          <w:tcPr>
            <w:tcW w:w="840" w:type="dxa"/>
            <w:tcBorders>
              <w:left w:val="nil"/>
              <w:bottom w:val="single" w:sz="4" w:space="0" w:color="auto"/>
            </w:tcBorders>
            <w:shd w:val="clear" w:color="auto" w:fill="F3F9FA"/>
            <w:noWrap/>
            <w:vAlign w:val="center"/>
            <w:hideMark/>
          </w:tcPr>
          <w:p w14:paraId="396FB00C" w14:textId="77777777" w:rsidR="009F33B9" w:rsidRDefault="009F33B9" w:rsidP="005D3108">
            <w:pPr>
              <w:spacing w:before="0" w:after="0"/>
              <w:jc w:val="center"/>
              <w:rPr>
                <w:b/>
                <w:color w:val="000000"/>
                <w:sz w:val="14"/>
                <w:szCs w:val="14"/>
              </w:rPr>
            </w:pPr>
            <w:r>
              <w:rPr>
                <w:b/>
                <w:color w:val="000000"/>
                <w:sz w:val="14"/>
                <w:szCs w:val="14"/>
              </w:rPr>
              <w:t>DI3^</w:t>
            </w:r>
          </w:p>
        </w:tc>
        <w:tc>
          <w:tcPr>
            <w:tcW w:w="555" w:type="dxa"/>
            <w:tcBorders>
              <w:bottom w:val="single" w:sz="4" w:space="0" w:color="auto"/>
            </w:tcBorders>
            <w:shd w:val="clear" w:color="auto" w:fill="F3F9FA"/>
            <w:vAlign w:val="center"/>
            <w:hideMark/>
          </w:tcPr>
          <w:p w14:paraId="0CC18651"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single" w:sz="4" w:space="0" w:color="auto"/>
            </w:tcBorders>
            <w:shd w:val="clear" w:color="auto" w:fill="F3F9FA"/>
            <w:noWrap/>
            <w:vAlign w:val="center"/>
            <w:hideMark/>
          </w:tcPr>
          <w:p w14:paraId="774A8F9D"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single" w:sz="4" w:space="0" w:color="auto"/>
            </w:tcBorders>
            <w:shd w:val="clear" w:color="auto" w:fill="F3F9FA"/>
            <w:noWrap/>
            <w:vAlign w:val="center"/>
            <w:hideMark/>
          </w:tcPr>
          <w:p w14:paraId="0274711A"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single" w:sz="4" w:space="0" w:color="auto"/>
            </w:tcBorders>
            <w:shd w:val="clear" w:color="auto" w:fill="F3F9FA"/>
            <w:vAlign w:val="center"/>
            <w:hideMark/>
          </w:tcPr>
          <w:p w14:paraId="482397A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F3F9FA"/>
            <w:vAlign w:val="center"/>
            <w:hideMark/>
          </w:tcPr>
          <w:p w14:paraId="187EF8FC"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F3F9FA"/>
            <w:vAlign w:val="center"/>
            <w:hideMark/>
          </w:tcPr>
          <w:p w14:paraId="5A228EF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F3F9FA"/>
            <w:vAlign w:val="center"/>
            <w:hideMark/>
          </w:tcPr>
          <w:p w14:paraId="7AD2CAF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single" w:sz="4" w:space="0" w:color="auto"/>
            </w:tcBorders>
            <w:shd w:val="clear" w:color="auto" w:fill="F3F9FA"/>
            <w:vAlign w:val="center"/>
            <w:hideMark/>
          </w:tcPr>
          <w:p w14:paraId="03C1DCB3"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single" w:sz="4" w:space="0" w:color="auto"/>
            </w:tcBorders>
            <w:shd w:val="clear" w:color="auto" w:fill="F3F9FA"/>
            <w:vAlign w:val="center"/>
            <w:hideMark/>
          </w:tcPr>
          <w:p w14:paraId="3F3C6684"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single" w:sz="4" w:space="0" w:color="auto"/>
            </w:tcBorders>
            <w:shd w:val="clear" w:color="auto" w:fill="F3F9FA"/>
            <w:vAlign w:val="center"/>
            <w:hideMark/>
          </w:tcPr>
          <w:p w14:paraId="0B35A53B"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tcBorders>
            <w:shd w:val="clear" w:color="auto" w:fill="F3F9FA"/>
            <w:vAlign w:val="center"/>
            <w:hideMark/>
          </w:tcPr>
          <w:p w14:paraId="241082A8"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single" w:sz="4" w:space="0" w:color="auto"/>
            </w:tcBorders>
            <w:shd w:val="clear" w:color="auto" w:fill="F3F9FA"/>
            <w:vAlign w:val="center"/>
            <w:hideMark/>
          </w:tcPr>
          <w:p w14:paraId="28711FA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single" w:sz="4" w:space="0" w:color="auto"/>
              <w:right w:val="nil"/>
            </w:tcBorders>
            <w:shd w:val="clear" w:color="auto" w:fill="F3F9FA"/>
            <w:vAlign w:val="center"/>
            <w:hideMark/>
          </w:tcPr>
          <w:p w14:paraId="16D915FA"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43C913ED" w14:textId="77777777" w:rsidTr="00FC3D7F">
        <w:trPr>
          <w:gridAfter w:val="1"/>
          <w:wAfter w:w="10" w:type="dxa"/>
          <w:cantSplit/>
          <w:trHeight w:val="170"/>
          <w:jc w:val="center"/>
        </w:trPr>
        <w:tc>
          <w:tcPr>
            <w:tcW w:w="1148" w:type="dxa"/>
            <w:vMerge/>
            <w:tcBorders>
              <w:left w:val="nil"/>
              <w:right w:val="nil"/>
            </w:tcBorders>
            <w:vAlign w:val="center"/>
          </w:tcPr>
          <w:p w14:paraId="51CFEE21" w14:textId="77777777" w:rsidR="009F33B9" w:rsidRDefault="009F33B9" w:rsidP="005D3108">
            <w:pPr>
              <w:spacing w:before="0" w:after="0"/>
              <w:rPr>
                <w:color w:val="000000"/>
                <w:sz w:val="14"/>
                <w:szCs w:val="14"/>
              </w:rPr>
            </w:pPr>
          </w:p>
        </w:tc>
        <w:tc>
          <w:tcPr>
            <w:tcW w:w="1294" w:type="dxa"/>
            <w:vMerge/>
            <w:tcBorders>
              <w:left w:val="nil"/>
              <w:right w:val="nil"/>
            </w:tcBorders>
            <w:vAlign w:val="center"/>
          </w:tcPr>
          <w:p w14:paraId="30EF4D4B"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6774FFE6" w14:textId="77777777" w:rsidR="009F33B9" w:rsidRDefault="009F33B9" w:rsidP="005D3108">
            <w:pPr>
              <w:spacing w:before="0" w:after="0"/>
              <w:rPr>
                <w:color w:val="000000"/>
                <w:sz w:val="14"/>
                <w:szCs w:val="14"/>
              </w:rPr>
            </w:pPr>
          </w:p>
        </w:tc>
        <w:tc>
          <w:tcPr>
            <w:tcW w:w="1307" w:type="dxa"/>
            <w:tcBorders>
              <w:top w:val="single" w:sz="4" w:space="0" w:color="auto"/>
              <w:left w:val="nil"/>
              <w:bottom w:val="nil"/>
              <w:right w:val="nil"/>
            </w:tcBorders>
            <w:shd w:val="clear" w:color="auto" w:fill="F3F9FA"/>
            <w:vAlign w:val="center"/>
          </w:tcPr>
          <w:p w14:paraId="0E8A099A" w14:textId="77777777" w:rsidR="009F33B9" w:rsidRDefault="009F33B9" w:rsidP="005D3108">
            <w:pPr>
              <w:spacing w:before="0" w:after="0"/>
              <w:rPr>
                <w:color w:val="000000"/>
                <w:sz w:val="14"/>
                <w:szCs w:val="14"/>
              </w:rPr>
            </w:pPr>
            <w:r>
              <w:rPr>
                <w:color w:val="000000"/>
                <w:sz w:val="14"/>
                <w:szCs w:val="14"/>
              </w:rPr>
              <w:t>Rockingham Bay</w:t>
            </w:r>
          </w:p>
        </w:tc>
        <w:tc>
          <w:tcPr>
            <w:tcW w:w="840" w:type="dxa"/>
            <w:tcBorders>
              <w:top w:val="single" w:sz="4" w:space="0" w:color="auto"/>
              <w:left w:val="nil"/>
              <w:bottom w:val="single" w:sz="4" w:space="0" w:color="auto"/>
              <w:right w:val="nil"/>
            </w:tcBorders>
            <w:shd w:val="clear" w:color="auto" w:fill="F3F9FA"/>
            <w:noWrap/>
            <w:vAlign w:val="center"/>
          </w:tcPr>
          <w:p w14:paraId="609F13C3" w14:textId="77777777" w:rsidR="009F33B9" w:rsidRDefault="009F33B9" w:rsidP="005D3108">
            <w:pPr>
              <w:spacing w:before="0" w:after="0"/>
              <w:jc w:val="center"/>
              <w:rPr>
                <w:b/>
                <w:color w:val="000000"/>
                <w:sz w:val="14"/>
                <w:szCs w:val="14"/>
              </w:rPr>
            </w:pPr>
            <w:r>
              <w:rPr>
                <w:b/>
                <w:color w:val="000000"/>
                <w:sz w:val="14"/>
                <w:szCs w:val="14"/>
              </w:rPr>
              <w:t>GO1</w:t>
            </w:r>
          </w:p>
        </w:tc>
        <w:tc>
          <w:tcPr>
            <w:tcW w:w="555" w:type="dxa"/>
            <w:tcBorders>
              <w:top w:val="single" w:sz="4" w:space="0" w:color="auto"/>
              <w:left w:val="nil"/>
              <w:bottom w:val="single" w:sz="4" w:space="0" w:color="auto"/>
              <w:right w:val="nil"/>
            </w:tcBorders>
            <w:shd w:val="clear" w:color="auto" w:fill="F3F9FA"/>
            <w:vAlign w:val="center"/>
          </w:tcPr>
          <w:p w14:paraId="51C6103B" w14:textId="77777777" w:rsidR="009F33B9" w:rsidRPr="00517B45" w:rsidRDefault="009F33B9" w:rsidP="005D3108">
            <w:pPr>
              <w:spacing w:before="0" w:after="0"/>
              <w:jc w:val="center"/>
              <w:rPr>
                <w:color w:val="000000"/>
                <w:sz w:val="14"/>
                <w:szCs w:val="14"/>
              </w:rPr>
            </w:pPr>
          </w:p>
        </w:tc>
        <w:tc>
          <w:tcPr>
            <w:tcW w:w="543" w:type="dxa"/>
            <w:tcBorders>
              <w:top w:val="single" w:sz="4" w:space="0" w:color="auto"/>
              <w:left w:val="nil"/>
              <w:bottom w:val="single" w:sz="4" w:space="0" w:color="auto"/>
              <w:right w:val="nil"/>
            </w:tcBorders>
            <w:shd w:val="clear" w:color="auto" w:fill="F3F9FA"/>
            <w:noWrap/>
            <w:vAlign w:val="center"/>
          </w:tcPr>
          <w:p w14:paraId="366992F5" w14:textId="77777777" w:rsidR="009F33B9" w:rsidRPr="00517B45" w:rsidRDefault="009F33B9" w:rsidP="005D3108">
            <w:pPr>
              <w:spacing w:before="0" w:after="0"/>
              <w:jc w:val="center"/>
              <w:rPr>
                <w:color w:val="000000"/>
                <w:sz w:val="14"/>
                <w:szCs w:val="14"/>
              </w:rPr>
            </w:pPr>
          </w:p>
        </w:tc>
        <w:tc>
          <w:tcPr>
            <w:tcW w:w="540" w:type="dxa"/>
            <w:tcBorders>
              <w:top w:val="single" w:sz="4" w:space="0" w:color="auto"/>
              <w:left w:val="nil"/>
              <w:bottom w:val="single" w:sz="4" w:space="0" w:color="auto"/>
              <w:right w:val="nil"/>
            </w:tcBorders>
            <w:shd w:val="clear" w:color="auto" w:fill="F3F9FA"/>
            <w:noWrap/>
            <w:vAlign w:val="center"/>
          </w:tcPr>
          <w:p w14:paraId="0B378D96" w14:textId="77777777" w:rsidR="009F33B9" w:rsidRPr="00517B45" w:rsidRDefault="009F33B9" w:rsidP="005D3108">
            <w:pPr>
              <w:spacing w:before="0" w:after="0"/>
              <w:jc w:val="center"/>
              <w:rPr>
                <w:color w:val="000000"/>
                <w:sz w:val="14"/>
                <w:szCs w:val="14"/>
              </w:rPr>
            </w:pPr>
          </w:p>
        </w:tc>
        <w:tc>
          <w:tcPr>
            <w:tcW w:w="536" w:type="dxa"/>
            <w:tcBorders>
              <w:top w:val="single" w:sz="4" w:space="0" w:color="auto"/>
              <w:left w:val="nil"/>
              <w:bottom w:val="single" w:sz="4" w:space="0" w:color="auto"/>
              <w:right w:val="nil"/>
            </w:tcBorders>
            <w:shd w:val="clear" w:color="auto" w:fill="F3F9FA"/>
            <w:vAlign w:val="center"/>
          </w:tcPr>
          <w:p w14:paraId="6D3F5907" w14:textId="77777777" w:rsidR="009F33B9" w:rsidRPr="00517B45" w:rsidRDefault="009F33B9" w:rsidP="005D3108">
            <w:pPr>
              <w:spacing w:before="0" w:after="0"/>
              <w:jc w:val="center"/>
              <w:rPr>
                <w:color w:val="000000"/>
                <w:sz w:val="14"/>
                <w:szCs w:val="14"/>
              </w:rPr>
            </w:pPr>
          </w:p>
        </w:tc>
        <w:tc>
          <w:tcPr>
            <w:tcW w:w="540" w:type="dxa"/>
            <w:tcBorders>
              <w:top w:val="single" w:sz="4" w:space="0" w:color="auto"/>
              <w:left w:val="nil"/>
              <w:bottom w:val="single" w:sz="4" w:space="0" w:color="auto"/>
              <w:right w:val="nil"/>
            </w:tcBorders>
            <w:shd w:val="clear" w:color="auto" w:fill="F3F9FA"/>
            <w:vAlign w:val="center"/>
          </w:tcPr>
          <w:p w14:paraId="324761D2" w14:textId="77777777" w:rsidR="009F33B9" w:rsidRPr="00517B45" w:rsidRDefault="009F33B9" w:rsidP="005D3108">
            <w:pPr>
              <w:spacing w:before="0" w:after="0"/>
              <w:jc w:val="center"/>
              <w:rPr>
                <w:color w:val="000000"/>
                <w:sz w:val="14"/>
                <w:szCs w:val="14"/>
              </w:rPr>
            </w:pPr>
          </w:p>
        </w:tc>
        <w:tc>
          <w:tcPr>
            <w:tcW w:w="529" w:type="dxa"/>
            <w:tcBorders>
              <w:top w:val="single" w:sz="4" w:space="0" w:color="auto"/>
              <w:left w:val="nil"/>
              <w:bottom w:val="single" w:sz="4" w:space="0" w:color="auto"/>
              <w:right w:val="nil"/>
            </w:tcBorders>
            <w:shd w:val="clear" w:color="auto" w:fill="F3F9FA"/>
            <w:vAlign w:val="center"/>
          </w:tcPr>
          <w:p w14:paraId="77808DED"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nil"/>
              <w:bottom w:val="single" w:sz="4" w:space="0" w:color="auto"/>
              <w:right w:val="single" w:sz="4" w:space="0" w:color="auto"/>
            </w:tcBorders>
            <w:shd w:val="clear" w:color="auto" w:fill="F3F9FA"/>
            <w:vAlign w:val="center"/>
          </w:tcPr>
          <w:p w14:paraId="19D1B8BB"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single" w:sz="4" w:space="0" w:color="auto"/>
              <w:bottom w:val="single" w:sz="4" w:space="0" w:color="auto"/>
              <w:right w:val="nil"/>
            </w:tcBorders>
            <w:shd w:val="clear" w:color="auto" w:fill="F3F9FA"/>
            <w:vAlign w:val="center"/>
          </w:tcPr>
          <w:p w14:paraId="1DA8ACB0"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nil"/>
              <w:bottom w:val="single" w:sz="4" w:space="0" w:color="auto"/>
              <w:right w:val="nil"/>
            </w:tcBorders>
            <w:shd w:val="clear" w:color="auto" w:fill="F3F9FA"/>
            <w:vAlign w:val="center"/>
          </w:tcPr>
          <w:p w14:paraId="6AF58BBD"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nil"/>
              <w:bottom w:val="single" w:sz="4" w:space="0" w:color="auto"/>
              <w:right w:val="nil"/>
            </w:tcBorders>
            <w:shd w:val="clear" w:color="auto" w:fill="F3F9FA"/>
            <w:vAlign w:val="center"/>
          </w:tcPr>
          <w:p w14:paraId="68FECD84"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nil"/>
              <w:bottom w:val="single" w:sz="4" w:space="0" w:color="auto"/>
              <w:right w:val="nil"/>
            </w:tcBorders>
            <w:shd w:val="clear" w:color="auto" w:fill="F3F9FA"/>
            <w:vAlign w:val="center"/>
          </w:tcPr>
          <w:p w14:paraId="121F2489"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nil"/>
              <w:bottom w:val="single" w:sz="4" w:space="0" w:color="auto"/>
              <w:right w:val="nil"/>
            </w:tcBorders>
            <w:shd w:val="clear" w:color="auto" w:fill="F3F9FA"/>
            <w:vAlign w:val="center"/>
          </w:tcPr>
          <w:p w14:paraId="4FC95E9B" w14:textId="77777777" w:rsidR="009F33B9" w:rsidRPr="00517B45" w:rsidRDefault="009F33B9" w:rsidP="005D3108">
            <w:pPr>
              <w:spacing w:before="0" w:after="0"/>
              <w:jc w:val="center"/>
              <w:rPr>
                <w:color w:val="000000"/>
                <w:sz w:val="14"/>
                <w:szCs w:val="14"/>
              </w:rPr>
            </w:pPr>
          </w:p>
        </w:tc>
        <w:tc>
          <w:tcPr>
            <w:tcW w:w="546" w:type="dxa"/>
            <w:tcBorders>
              <w:top w:val="single" w:sz="4" w:space="0" w:color="auto"/>
              <w:left w:val="nil"/>
              <w:bottom w:val="single" w:sz="4" w:space="0" w:color="auto"/>
              <w:right w:val="nil"/>
            </w:tcBorders>
            <w:shd w:val="clear" w:color="auto" w:fill="F3F9FA"/>
            <w:vAlign w:val="center"/>
          </w:tcPr>
          <w:p w14:paraId="7B3F3B0B" w14:textId="77777777" w:rsidR="009F33B9" w:rsidRPr="00517B45" w:rsidRDefault="009F33B9" w:rsidP="005D3108">
            <w:pPr>
              <w:spacing w:before="0" w:after="0"/>
              <w:jc w:val="center"/>
              <w:rPr>
                <w:color w:val="000000"/>
                <w:sz w:val="14"/>
                <w:szCs w:val="14"/>
              </w:rPr>
            </w:pPr>
          </w:p>
        </w:tc>
      </w:tr>
      <w:tr w:rsidR="009F33B9" w14:paraId="1BF8355B" w14:textId="77777777" w:rsidTr="00FC3D7F">
        <w:trPr>
          <w:gridAfter w:val="1"/>
          <w:wAfter w:w="10" w:type="dxa"/>
          <w:cantSplit/>
          <w:trHeight w:val="170"/>
          <w:jc w:val="center"/>
        </w:trPr>
        <w:tc>
          <w:tcPr>
            <w:tcW w:w="1148" w:type="dxa"/>
            <w:vMerge/>
            <w:tcBorders>
              <w:left w:val="nil"/>
              <w:right w:val="nil"/>
            </w:tcBorders>
            <w:vAlign w:val="center"/>
          </w:tcPr>
          <w:p w14:paraId="140E398D" w14:textId="77777777" w:rsidR="009F33B9" w:rsidRDefault="009F33B9" w:rsidP="005D3108">
            <w:pPr>
              <w:spacing w:before="0" w:after="0"/>
              <w:rPr>
                <w:color w:val="000000"/>
                <w:sz w:val="14"/>
                <w:szCs w:val="14"/>
              </w:rPr>
            </w:pPr>
          </w:p>
        </w:tc>
        <w:tc>
          <w:tcPr>
            <w:tcW w:w="1294" w:type="dxa"/>
            <w:vMerge/>
            <w:tcBorders>
              <w:left w:val="nil"/>
              <w:right w:val="nil"/>
            </w:tcBorders>
            <w:vAlign w:val="center"/>
          </w:tcPr>
          <w:p w14:paraId="00C29085"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432EFDEE"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right w:val="nil"/>
            </w:tcBorders>
            <w:shd w:val="clear" w:color="auto" w:fill="F3F9FA"/>
            <w:vAlign w:val="center"/>
          </w:tcPr>
          <w:p w14:paraId="7CD07577" w14:textId="77777777" w:rsidR="009F33B9" w:rsidRDefault="009F33B9" w:rsidP="005D3108">
            <w:pPr>
              <w:spacing w:before="0" w:after="0"/>
              <w:rPr>
                <w:color w:val="000000"/>
                <w:sz w:val="14"/>
                <w:szCs w:val="14"/>
              </w:rPr>
            </w:pPr>
            <w:r>
              <w:rPr>
                <w:color w:val="000000"/>
                <w:sz w:val="14"/>
                <w:szCs w:val="14"/>
              </w:rPr>
              <w:t>Missionary Bay</w:t>
            </w:r>
          </w:p>
        </w:tc>
        <w:tc>
          <w:tcPr>
            <w:tcW w:w="840" w:type="dxa"/>
            <w:tcBorders>
              <w:top w:val="single" w:sz="4" w:space="0" w:color="auto"/>
              <w:left w:val="nil"/>
            </w:tcBorders>
            <w:shd w:val="clear" w:color="auto" w:fill="F3F9FA"/>
            <w:noWrap/>
            <w:vAlign w:val="center"/>
          </w:tcPr>
          <w:p w14:paraId="64375203" w14:textId="77777777" w:rsidR="009F33B9" w:rsidRDefault="009F33B9" w:rsidP="005D3108">
            <w:pPr>
              <w:spacing w:before="0" w:after="0"/>
              <w:jc w:val="center"/>
              <w:rPr>
                <w:b/>
                <w:color w:val="000000"/>
                <w:sz w:val="14"/>
                <w:szCs w:val="14"/>
              </w:rPr>
            </w:pPr>
            <w:r>
              <w:rPr>
                <w:b/>
                <w:color w:val="000000"/>
                <w:sz w:val="14"/>
                <w:szCs w:val="14"/>
              </w:rPr>
              <w:t>MS1^</w:t>
            </w:r>
          </w:p>
        </w:tc>
        <w:tc>
          <w:tcPr>
            <w:tcW w:w="555" w:type="dxa"/>
            <w:tcBorders>
              <w:top w:val="single" w:sz="4" w:space="0" w:color="auto"/>
            </w:tcBorders>
            <w:shd w:val="clear" w:color="auto" w:fill="F3F9FA"/>
            <w:vAlign w:val="center"/>
          </w:tcPr>
          <w:p w14:paraId="395219A1" w14:textId="77777777" w:rsidR="009F33B9" w:rsidRPr="00517B45" w:rsidRDefault="009F33B9" w:rsidP="005D3108">
            <w:pPr>
              <w:spacing w:before="0" w:after="0"/>
              <w:jc w:val="center"/>
              <w:rPr>
                <w:color w:val="000000"/>
                <w:sz w:val="14"/>
                <w:szCs w:val="14"/>
              </w:rPr>
            </w:pPr>
            <w:r>
              <w:rPr>
                <w:color w:val="000000"/>
                <w:sz w:val="14"/>
                <w:szCs w:val="14"/>
              </w:rPr>
              <w:t>9</w:t>
            </w:r>
          </w:p>
        </w:tc>
        <w:tc>
          <w:tcPr>
            <w:tcW w:w="543" w:type="dxa"/>
            <w:tcBorders>
              <w:top w:val="single" w:sz="4" w:space="0" w:color="auto"/>
            </w:tcBorders>
            <w:shd w:val="clear" w:color="auto" w:fill="F3F9FA"/>
            <w:noWrap/>
            <w:vAlign w:val="center"/>
          </w:tcPr>
          <w:p w14:paraId="1DADF57B" w14:textId="77777777" w:rsidR="009F33B9" w:rsidRPr="00517B45" w:rsidRDefault="009F33B9" w:rsidP="005D3108">
            <w:pPr>
              <w:spacing w:before="0" w:after="0"/>
              <w:jc w:val="center"/>
              <w:rPr>
                <w:color w:val="000000"/>
                <w:sz w:val="14"/>
                <w:szCs w:val="14"/>
              </w:rPr>
            </w:pPr>
          </w:p>
        </w:tc>
        <w:tc>
          <w:tcPr>
            <w:tcW w:w="540" w:type="dxa"/>
            <w:tcBorders>
              <w:top w:val="single" w:sz="4" w:space="0" w:color="auto"/>
            </w:tcBorders>
            <w:shd w:val="clear" w:color="auto" w:fill="F3F9FA"/>
            <w:noWrap/>
            <w:vAlign w:val="center"/>
          </w:tcPr>
          <w:p w14:paraId="35AF27CE" w14:textId="77777777" w:rsidR="009F33B9" w:rsidRPr="00517B45" w:rsidRDefault="009F33B9" w:rsidP="005D3108">
            <w:pPr>
              <w:spacing w:before="0" w:after="0"/>
              <w:jc w:val="center"/>
              <w:rPr>
                <w:color w:val="000000"/>
                <w:sz w:val="14"/>
                <w:szCs w:val="14"/>
              </w:rPr>
            </w:pPr>
          </w:p>
        </w:tc>
        <w:tc>
          <w:tcPr>
            <w:tcW w:w="536" w:type="dxa"/>
            <w:tcBorders>
              <w:top w:val="single" w:sz="4" w:space="0" w:color="auto"/>
            </w:tcBorders>
            <w:shd w:val="clear" w:color="auto" w:fill="F3F9FA"/>
            <w:vAlign w:val="center"/>
          </w:tcPr>
          <w:p w14:paraId="1B96E58D" w14:textId="77777777" w:rsidR="009F33B9" w:rsidRPr="00517B45" w:rsidRDefault="009F33B9" w:rsidP="005D3108">
            <w:pPr>
              <w:spacing w:before="0" w:after="0"/>
              <w:jc w:val="center"/>
              <w:rPr>
                <w:color w:val="000000"/>
                <w:sz w:val="14"/>
                <w:szCs w:val="14"/>
              </w:rPr>
            </w:pPr>
          </w:p>
        </w:tc>
        <w:tc>
          <w:tcPr>
            <w:tcW w:w="540" w:type="dxa"/>
            <w:tcBorders>
              <w:top w:val="single" w:sz="4" w:space="0" w:color="auto"/>
            </w:tcBorders>
            <w:shd w:val="clear" w:color="auto" w:fill="F3F9FA"/>
            <w:vAlign w:val="center"/>
          </w:tcPr>
          <w:p w14:paraId="06F1124A" w14:textId="77777777" w:rsidR="009F33B9" w:rsidRPr="00517B45" w:rsidRDefault="009F33B9" w:rsidP="005D3108">
            <w:pPr>
              <w:spacing w:before="0" w:after="0"/>
              <w:jc w:val="center"/>
              <w:rPr>
                <w:color w:val="000000"/>
                <w:sz w:val="14"/>
                <w:szCs w:val="14"/>
              </w:rPr>
            </w:pPr>
          </w:p>
        </w:tc>
        <w:tc>
          <w:tcPr>
            <w:tcW w:w="529" w:type="dxa"/>
            <w:tcBorders>
              <w:top w:val="single" w:sz="4" w:space="0" w:color="auto"/>
            </w:tcBorders>
            <w:shd w:val="clear" w:color="auto" w:fill="F3F9FA"/>
            <w:vAlign w:val="center"/>
          </w:tcPr>
          <w:p w14:paraId="69575FF8"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right w:val="single" w:sz="4" w:space="0" w:color="auto"/>
            </w:tcBorders>
            <w:shd w:val="clear" w:color="auto" w:fill="F3F9FA"/>
            <w:vAlign w:val="center"/>
          </w:tcPr>
          <w:p w14:paraId="5809AB0C"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left w:val="single" w:sz="4" w:space="0" w:color="auto"/>
            </w:tcBorders>
            <w:shd w:val="clear" w:color="auto" w:fill="F3F9FA"/>
            <w:vAlign w:val="center"/>
          </w:tcPr>
          <w:p w14:paraId="05F3D22A"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tcBorders>
            <w:shd w:val="clear" w:color="auto" w:fill="F3F9FA"/>
            <w:vAlign w:val="center"/>
          </w:tcPr>
          <w:p w14:paraId="75D250D3"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tcBorders>
            <w:shd w:val="clear" w:color="auto" w:fill="F3F9FA"/>
            <w:vAlign w:val="center"/>
          </w:tcPr>
          <w:p w14:paraId="20739801"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tcBorders>
            <w:shd w:val="clear" w:color="auto" w:fill="F3F9FA"/>
            <w:vAlign w:val="center"/>
          </w:tcPr>
          <w:p w14:paraId="0D9B20D4" w14:textId="77777777" w:rsidR="009F33B9" w:rsidRPr="00517B45" w:rsidRDefault="009F33B9" w:rsidP="005D3108">
            <w:pPr>
              <w:spacing w:before="0" w:after="0"/>
              <w:jc w:val="center"/>
              <w:rPr>
                <w:color w:val="000000"/>
                <w:sz w:val="14"/>
                <w:szCs w:val="14"/>
              </w:rPr>
            </w:pPr>
          </w:p>
        </w:tc>
        <w:tc>
          <w:tcPr>
            <w:tcW w:w="559" w:type="dxa"/>
            <w:tcBorders>
              <w:top w:val="single" w:sz="4" w:space="0" w:color="auto"/>
            </w:tcBorders>
            <w:shd w:val="clear" w:color="auto" w:fill="F3F9FA"/>
            <w:vAlign w:val="center"/>
          </w:tcPr>
          <w:p w14:paraId="13471CEA" w14:textId="77777777" w:rsidR="009F33B9" w:rsidRPr="00517B45" w:rsidRDefault="009F33B9" w:rsidP="005D3108">
            <w:pPr>
              <w:spacing w:before="0" w:after="0"/>
              <w:jc w:val="center"/>
              <w:rPr>
                <w:color w:val="000000"/>
                <w:sz w:val="14"/>
                <w:szCs w:val="14"/>
              </w:rPr>
            </w:pPr>
          </w:p>
        </w:tc>
        <w:tc>
          <w:tcPr>
            <w:tcW w:w="546" w:type="dxa"/>
            <w:tcBorders>
              <w:top w:val="single" w:sz="4" w:space="0" w:color="auto"/>
              <w:right w:val="nil"/>
            </w:tcBorders>
            <w:shd w:val="clear" w:color="auto" w:fill="F3F9FA"/>
            <w:vAlign w:val="center"/>
          </w:tcPr>
          <w:p w14:paraId="2A2D03D1" w14:textId="77777777" w:rsidR="009F33B9" w:rsidRPr="00517B45" w:rsidRDefault="009F33B9" w:rsidP="005D3108">
            <w:pPr>
              <w:spacing w:before="0" w:after="0"/>
              <w:jc w:val="center"/>
              <w:rPr>
                <w:color w:val="000000"/>
                <w:sz w:val="14"/>
                <w:szCs w:val="14"/>
              </w:rPr>
            </w:pPr>
          </w:p>
        </w:tc>
      </w:tr>
      <w:tr w:rsidR="009F33B9" w14:paraId="74D560A9" w14:textId="77777777" w:rsidTr="00FC3D7F">
        <w:trPr>
          <w:gridAfter w:val="1"/>
          <w:wAfter w:w="10" w:type="dxa"/>
          <w:cantSplit/>
          <w:trHeight w:val="170"/>
          <w:jc w:val="center"/>
        </w:trPr>
        <w:tc>
          <w:tcPr>
            <w:tcW w:w="1148" w:type="dxa"/>
            <w:vMerge/>
            <w:tcBorders>
              <w:left w:val="nil"/>
              <w:right w:val="nil"/>
            </w:tcBorders>
            <w:vAlign w:val="center"/>
          </w:tcPr>
          <w:p w14:paraId="1C23A207" w14:textId="77777777" w:rsidR="009F33B9" w:rsidRDefault="009F33B9" w:rsidP="005D3108">
            <w:pPr>
              <w:spacing w:before="0" w:after="0"/>
              <w:rPr>
                <w:color w:val="000000"/>
                <w:sz w:val="14"/>
                <w:szCs w:val="14"/>
              </w:rPr>
            </w:pPr>
          </w:p>
        </w:tc>
        <w:tc>
          <w:tcPr>
            <w:tcW w:w="1294" w:type="dxa"/>
            <w:vMerge/>
            <w:tcBorders>
              <w:left w:val="nil"/>
              <w:right w:val="nil"/>
            </w:tcBorders>
            <w:vAlign w:val="center"/>
          </w:tcPr>
          <w:p w14:paraId="1E0BA257" w14:textId="77777777" w:rsidR="009F33B9" w:rsidRDefault="009F33B9" w:rsidP="005D3108">
            <w:pPr>
              <w:spacing w:before="0" w:after="0"/>
              <w:rPr>
                <w:color w:val="000000"/>
                <w:sz w:val="14"/>
                <w:szCs w:val="14"/>
              </w:rPr>
            </w:pPr>
          </w:p>
        </w:tc>
        <w:tc>
          <w:tcPr>
            <w:tcW w:w="1299" w:type="dxa"/>
            <w:vMerge/>
            <w:tcBorders>
              <w:left w:val="nil"/>
              <w:right w:val="nil"/>
            </w:tcBorders>
            <w:vAlign w:val="center"/>
          </w:tcPr>
          <w:p w14:paraId="3F5F9522" w14:textId="77777777" w:rsidR="009F33B9" w:rsidRDefault="009F33B9" w:rsidP="005D3108">
            <w:pPr>
              <w:spacing w:before="0" w:after="0"/>
              <w:rPr>
                <w:color w:val="000000"/>
                <w:sz w:val="14"/>
                <w:szCs w:val="14"/>
              </w:rPr>
            </w:pPr>
          </w:p>
        </w:tc>
        <w:tc>
          <w:tcPr>
            <w:tcW w:w="1307" w:type="dxa"/>
            <w:vMerge/>
            <w:tcBorders>
              <w:top w:val="single" w:sz="4" w:space="0" w:color="auto"/>
              <w:left w:val="nil"/>
              <w:right w:val="nil"/>
            </w:tcBorders>
            <w:shd w:val="clear" w:color="auto" w:fill="F3F9FA"/>
            <w:vAlign w:val="center"/>
          </w:tcPr>
          <w:p w14:paraId="50E915AA" w14:textId="77777777" w:rsidR="009F33B9" w:rsidRDefault="009F33B9" w:rsidP="005D3108">
            <w:pPr>
              <w:spacing w:before="0" w:after="0"/>
              <w:rPr>
                <w:color w:val="000000"/>
                <w:sz w:val="14"/>
                <w:szCs w:val="14"/>
              </w:rPr>
            </w:pPr>
          </w:p>
        </w:tc>
        <w:tc>
          <w:tcPr>
            <w:tcW w:w="840" w:type="dxa"/>
            <w:tcBorders>
              <w:left w:val="nil"/>
            </w:tcBorders>
            <w:shd w:val="clear" w:color="auto" w:fill="F3F9FA"/>
            <w:noWrap/>
            <w:vAlign w:val="center"/>
          </w:tcPr>
          <w:p w14:paraId="18F0EC35" w14:textId="77777777" w:rsidR="009F33B9" w:rsidRDefault="009F33B9" w:rsidP="005D3108">
            <w:pPr>
              <w:spacing w:before="0" w:after="0"/>
              <w:jc w:val="center"/>
              <w:rPr>
                <w:b/>
                <w:color w:val="000000"/>
                <w:sz w:val="14"/>
                <w:szCs w:val="14"/>
              </w:rPr>
            </w:pPr>
            <w:r>
              <w:rPr>
                <w:b/>
                <w:color w:val="000000"/>
                <w:sz w:val="14"/>
                <w:szCs w:val="14"/>
              </w:rPr>
              <w:t>MS2^</w:t>
            </w:r>
          </w:p>
        </w:tc>
        <w:tc>
          <w:tcPr>
            <w:tcW w:w="555" w:type="dxa"/>
            <w:shd w:val="clear" w:color="auto" w:fill="F3F9FA"/>
            <w:vAlign w:val="center"/>
          </w:tcPr>
          <w:p w14:paraId="6DA271BC" w14:textId="77777777" w:rsidR="009F33B9" w:rsidRPr="00517B45" w:rsidRDefault="009F33B9" w:rsidP="005D3108">
            <w:pPr>
              <w:spacing w:before="0" w:after="0"/>
              <w:jc w:val="center"/>
              <w:rPr>
                <w:color w:val="000000"/>
                <w:sz w:val="14"/>
                <w:szCs w:val="14"/>
              </w:rPr>
            </w:pPr>
            <w:r>
              <w:rPr>
                <w:color w:val="000000"/>
                <w:sz w:val="14"/>
                <w:szCs w:val="14"/>
              </w:rPr>
              <w:t>9</w:t>
            </w:r>
          </w:p>
        </w:tc>
        <w:tc>
          <w:tcPr>
            <w:tcW w:w="543" w:type="dxa"/>
            <w:shd w:val="clear" w:color="auto" w:fill="F3F9FA"/>
            <w:noWrap/>
            <w:vAlign w:val="center"/>
          </w:tcPr>
          <w:p w14:paraId="0BF23A41" w14:textId="77777777" w:rsidR="009F33B9" w:rsidRPr="00517B45" w:rsidRDefault="009F33B9" w:rsidP="005D3108">
            <w:pPr>
              <w:spacing w:before="0" w:after="0"/>
              <w:jc w:val="center"/>
              <w:rPr>
                <w:color w:val="000000"/>
                <w:sz w:val="14"/>
                <w:szCs w:val="14"/>
              </w:rPr>
            </w:pPr>
          </w:p>
        </w:tc>
        <w:tc>
          <w:tcPr>
            <w:tcW w:w="540" w:type="dxa"/>
            <w:shd w:val="clear" w:color="auto" w:fill="F3F9FA"/>
            <w:noWrap/>
            <w:vAlign w:val="center"/>
          </w:tcPr>
          <w:p w14:paraId="66B173F4" w14:textId="77777777" w:rsidR="009F33B9" w:rsidRPr="00517B45" w:rsidRDefault="009F33B9" w:rsidP="005D3108">
            <w:pPr>
              <w:spacing w:before="0" w:after="0"/>
              <w:jc w:val="center"/>
              <w:rPr>
                <w:color w:val="000000"/>
                <w:sz w:val="14"/>
                <w:szCs w:val="14"/>
              </w:rPr>
            </w:pPr>
          </w:p>
        </w:tc>
        <w:tc>
          <w:tcPr>
            <w:tcW w:w="536" w:type="dxa"/>
            <w:shd w:val="clear" w:color="auto" w:fill="F3F9FA"/>
            <w:vAlign w:val="center"/>
          </w:tcPr>
          <w:p w14:paraId="40BA3527" w14:textId="77777777" w:rsidR="009F33B9" w:rsidRPr="00517B45" w:rsidRDefault="009F33B9" w:rsidP="005D3108">
            <w:pPr>
              <w:spacing w:before="0" w:after="0"/>
              <w:jc w:val="center"/>
              <w:rPr>
                <w:color w:val="000000"/>
                <w:sz w:val="14"/>
                <w:szCs w:val="14"/>
              </w:rPr>
            </w:pPr>
          </w:p>
        </w:tc>
        <w:tc>
          <w:tcPr>
            <w:tcW w:w="540" w:type="dxa"/>
            <w:shd w:val="clear" w:color="auto" w:fill="F3F9FA"/>
            <w:vAlign w:val="center"/>
          </w:tcPr>
          <w:p w14:paraId="4295E705" w14:textId="77777777" w:rsidR="009F33B9" w:rsidRPr="00517B45" w:rsidRDefault="009F33B9" w:rsidP="005D3108">
            <w:pPr>
              <w:spacing w:before="0" w:after="0"/>
              <w:jc w:val="center"/>
              <w:rPr>
                <w:color w:val="000000"/>
                <w:sz w:val="14"/>
                <w:szCs w:val="14"/>
              </w:rPr>
            </w:pPr>
          </w:p>
        </w:tc>
        <w:tc>
          <w:tcPr>
            <w:tcW w:w="529" w:type="dxa"/>
            <w:shd w:val="clear" w:color="auto" w:fill="F3F9FA"/>
            <w:vAlign w:val="center"/>
          </w:tcPr>
          <w:p w14:paraId="0BCC7A18" w14:textId="77777777" w:rsidR="009F33B9" w:rsidRPr="00517B45" w:rsidRDefault="009F33B9" w:rsidP="005D3108">
            <w:pPr>
              <w:spacing w:before="0" w:after="0"/>
              <w:jc w:val="center"/>
              <w:rPr>
                <w:color w:val="000000"/>
                <w:sz w:val="14"/>
                <w:szCs w:val="14"/>
              </w:rPr>
            </w:pPr>
          </w:p>
        </w:tc>
        <w:tc>
          <w:tcPr>
            <w:tcW w:w="559" w:type="dxa"/>
            <w:tcBorders>
              <w:right w:val="single" w:sz="4" w:space="0" w:color="auto"/>
            </w:tcBorders>
            <w:shd w:val="clear" w:color="auto" w:fill="F3F9FA"/>
            <w:vAlign w:val="center"/>
          </w:tcPr>
          <w:p w14:paraId="3E74A4F0" w14:textId="77777777" w:rsidR="009F33B9" w:rsidRPr="00517B45" w:rsidRDefault="009F33B9" w:rsidP="005D3108">
            <w:pPr>
              <w:spacing w:before="0" w:after="0"/>
              <w:jc w:val="center"/>
              <w:rPr>
                <w:color w:val="000000"/>
                <w:sz w:val="14"/>
                <w:szCs w:val="14"/>
              </w:rPr>
            </w:pPr>
          </w:p>
        </w:tc>
        <w:tc>
          <w:tcPr>
            <w:tcW w:w="559" w:type="dxa"/>
            <w:tcBorders>
              <w:left w:val="single" w:sz="4" w:space="0" w:color="auto"/>
            </w:tcBorders>
            <w:shd w:val="clear" w:color="auto" w:fill="F3F9FA"/>
            <w:vAlign w:val="center"/>
          </w:tcPr>
          <w:p w14:paraId="1BE86A33" w14:textId="77777777" w:rsidR="009F33B9" w:rsidRPr="00517B45" w:rsidRDefault="009F33B9" w:rsidP="005D3108">
            <w:pPr>
              <w:spacing w:before="0" w:after="0"/>
              <w:jc w:val="center"/>
              <w:rPr>
                <w:color w:val="000000"/>
                <w:sz w:val="14"/>
                <w:szCs w:val="14"/>
              </w:rPr>
            </w:pPr>
          </w:p>
        </w:tc>
        <w:tc>
          <w:tcPr>
            <w:tcW w:w="559" w:type="dxa"/>
            <w:shd w:val="clear" w:color="auto" w:fill="F3F9FA"/>
            <w:vAlign w:val="center"/>
          </w:tcPr>
          <w:p w14:paraId="3E3EE64B" w14:textId="77777777" w:rsidR="009F33B9" w:rsidRPr="00517B45" w:rsidRDefault="009F33B9" w:rsidP="005D3108">
            <w:pPr>
              <w:spacing w:before="0" w:after="0"/>
              <w:jc w:val="center"/>
              <w:rPr>
                <w:color w:val="000000"/>
                <w:sz w:val="14"/>
                <w:szCs w:val="14"/>
              </w:rPr>
            </w:pPr>
          </w:p>
        </w:tc>
        <w:tc>
          <w:tcPr>
            <w:tcW w:w="559" w:type="dxa"/>
            <w:shd w:val="clear" w:color="auto" w:fill="F3F9FA"/>
            <w:vAlign w:val="center"/>
          </w:tcPr>
          <w:p w14:paraId="0E1594D4" w14:textId="77777777" w:rsidR="009F33B9" w:rsidRPr="00517B45" w:rsidRDefault="009F33B9" w:rsidP="005D3108">
            <w:pPr>
              <w:spacing w:before="0" w:after="0"/>
              <w:jc w:val="center"/>
              <w:rPr>
                <w:color w:val="000000"/>
                <w:sz w:val="14"/>
                <w:szCs w:val="14"/>
              </w:rPr>
            </w:pPr>
          </w:p>
        </w:tc>
        <w:tc>
          <w:tcPr>
            <w:tcW w:w="559" w:type="dxa"/>
            <w:shd w:val="clear" w:color="auto" w:fill="F3F9FA"/>
            <w:vAlign w:val="center"/>
          </w:tcPr>
          <w:p w14:paraId="6CFB4ABA" w14:textId="77777777" w:rsidR="009F33B9" w:rsidRPr="00517B45" w:rsidRDefault="009F33B9" w:rsidP="005D3108">
            <w:pPr>
              <w:spacing w:before="0" w:after="0"/>
              <w:jc w:val="center"/>
              <w:rPr>
                <w:color w:val="000000"/>
                <w:sz w:val="14"/>
                <w:szCs w:val="14"/>
              </w:rPr>
            </w:pPr>
          </w:p>
        </w:tc>
        <w:tc>
          <w:tcPr>
            <w:tcW w:w="559" w:type="dxa"/>
            <w:shd w:val="clear" w:color="auto" w:fill="F3F9FA"/>
            <w:vAlign w:val="center"/>
          </w:tcPr>
          <w:p w14:paraId="7F6EA6DF" w14:textId="77777777" w:rsidR="009F33B9" w:rsidRPr="00517B45" w:rsidRDefault="009F33B9" w:rsidP="005D3108">
            <w:pPr>
              <w:spacing w:before="0" w:after="0"/>
              <w:jc w:val="center"/>
              <w:rPr>
                <w:color w:val="000000"/>
                <w:sz w:val="14"/>
                <w:szCs w:val="14"/>
              </w:rPr>
            </w:pPr>
          </w:p>
        </w:tc>
        <w:tc>
          <w:tcPr>
            <w:tcW w:w="546" w:type="dxa"/>
            <w:tcBorders>
              <w:right w:val="nil"/>
            </w:tcBorders>
            <w:shd w:val="clear" w:color="auto" w:fill="F3F9FA"/>
            <w:vAlign w:val="center"/>
          </w:tcPr>
          <w:p w14:paraId="5304A907" w14:textId="77777777" w:rsidR="009F33B9" w:rsidRPr="00517B45" w:rsidRDefault="009F33B9" w:rsidP="005D3108">
            <w:pPr>
              <w:spacing w:before="0" w:after="0"/>
              <w:jc w:val="center"/>
              <w:rPr>
                <w:color w:val="000000"/>
                <w:sz w:val="14"/>
                <w:szCs w:val="14"/>
              </w:rPr>
            </w:pPr>
          </w:p>
        </w:tc>
      </w:tr>
      <w:tr w:rsidR="009F33B9" w14:paraId="26989ABB" w14:textId="77777777" w:rsidTr="00FC3D7F">
        <w:trPr>
          <w:gridAfter w:val="1"/>
          <w:wAfter w:w="10" w:type="dxa"/>
          <w:cantSplit/>
          <w:trHeight w:val="170"/>
          <w:jc w:val="center"/>
        </w:trPr>
        <w:tc>
          <w:tcPr>
            <w:tcW w:w="1148" w:type="dxa"/>
            <w:vMerge w:val="restart"/>
            <w:tcBorders>
              <w:top w:val="single" w:sz="4" w:space="0" w:color="auto"/>
              <w:left w:val="nil"/>
              <w:bottom w:val="nil"/>
              <w:right w:val="nil"/>
            </w:tcBorders>
            <w:noWrap/>
            <w:vAlign w:val="center"/>
            <w:hideMark/>
          </w:tcPr>
          <w:p w14:paraId="38EA1B8C" w14:textId="77777777" w:rsidR="009F33B9" w:rsidRDefault="009F33B9" w:rsidP="005D3108">
            <w:pPr>
              <w:spacing w:before="0" w:after="0"/>
              <w:jc w:val="center"/>
              <w:rPr>
                <w:color w:val="000000"/>
                <w:sz w:val="14"/>
                <w:szCs w:val="14"/>
              </w:rPr>
            </w:pPr>
            <w:r>
              <w:rPr>
                <w:color w:val="000000"/>
                <w:sz w:val="14"/>
                <w:szCs w:val="14"/>
              </w:rPr>
              <w:t>Central</w:t>
            </w:r>
          </w:p>
        </w:tc>
        <w:tc>
          <w:tcPr>
            <w:tcW w:w="1294" w:type="dxa"/>
            <w:vMerge w:val="restart"/>
            <w:tcBorders>
              <w:top w:val="single" w:sz="4" w:space="0" w:color="auto"/>
              <w:left w:val="nil"/>
              <w:bottom w:val="single" w:sz="4" w:space="0" w:color="auto"/>
              <w:right w:val="nil"/>
            </w:tcBorders>
            <w:shd w:val="clear" w:color="auto" w:fill="E7F3F4"/>
            <w:noWrap/>
            <w:vAlign w:val="center"/>
            <w:hideMark/>
          </w:tcPr>
          <w:p w14:paraId="082F8FEC" w14:textId="77777777" w:rsidR="009F33B9" w:rsidRDefault="009F33B9" w:rsidP="005D3108">
            <w:pPr>
              <w:spacing w:before="0" w:after="0"/>
              <w:jc w:val="center"/>
              <w:rPr>
                <w:color w:val="000000"/>
                <w:sz w:val="14"/>
                <w:szCs w:val="14"/>
              </w:rPr>
            </w:pPr>
            <w:r>
              <w:rPr>
                <w:color w:val="000000"/>
                <w:sz w:val="14"/>
                <w:szCs w:val="14"/>
              </w:rPr>
              <w:t>Burdekin</w:t>
            </w:r>
          </w:p>
        </w:tc>
        <w:tc>
          <w:tcPr>
            <w:tcW w:w="1299" w:type="dxa"/>
            <w:vMerge w:val="restart"/>
            <w:tcBorders>
              <w:top w:val="single" w:sz="4" w:space="0" w:color="auto"/>
              <w:left w:val="nil"/>
              <w:bottom w:val="nil"/>
              <w:right w:val="nil"/>
            </w:tcBorders>
            <w:shd w:val="clear" w:color="auto" w:fill="E7F3F4"/>
            <w:vAlign w:val="center"/>
            <w:hideMark/>
          </w:tcPr>
          <w:p w14:paraId="23B0FDD8" w14:textId="77777777" w:rsidR="009F33B9" w:rsidRDefault="009F33B9" w:rsidP="005D3108">
            <w:pPr>
              <w:spacing w:before="0" w:after="0"/>
              <w:jc w:val="center"/>
              <w:rPr>
                <w:color w:val="000000"/>
                <w:sz w:val="14"/>
                <w:szCs w:val="14"/>
              </w:rPr>
            </w:pPr>
            <w:r>
              <w:rPr>
                <w:color w:val="000000"/>
                <w:sz w:val="14"/>
                <w:szCs w:val="14"/>
              </w:rPr>
              <w:t>Ross / Burdekin</w:t>
            </w:r>
          </w:p>
        </w:tc>
        <w:tc>
          <w:tcPr>
            <w:tcW w:w="1307" w:type="dxa"/>
            <w:vMerge w:val="restart"/>
            <w:tcBorders>
              <w:top w:val="single" w:sz="4" w:space="0" w:color="auto"/>
              <w:left w:val="nil"/>
              <w:bottom w:val="single" w:sz="4" w:space="0" w:color="auto"/>
              <w:right w:val="nil"/>
            </w:tcBorders>
            <w:shd w:val="clear" w:color="auto" w:fill="E7F3F4"/>
            <w:noWrap/>
            <w:vAlign w:val="center"/>
            <w:hideMark/>
          </w:tcPr>
          <w:p w14:paraId="58070848" w14:textId="77777777" w:rsidR="009F33B9" w:rsidRDefault="009F33B9" w:rsidP="005D3108">
            <w:pPr>
              <w:spacing w:before="0" w:after="0"/>
              <w:jc w:val="center"/>
              <w:rPr>
                <w:i/>
                <w:iCs/>
                <w:color w:val="000000"/>
                <w:sz w:val="14"/>
                <w:szCs w:val="14"/>
              </w:rPr>
            </w:pPr>
            <w:r>
              <w:rPr>
                <w:color w:val="000000"/>
                <w:sz w:val="14"/>
                <w:szCs w:val="14"/>
              </w:rPr>
              <w:t>Magnetic Island</w:t>
            </w:r>
          </w:p>
        </w:tc>
        <w:tc>
          <w:tcPr>
            <w:tcW w:w="840" w:type="dxa"/>
            <w:tcBorders>
              <w:top w:val="single" w:sz="4" w:space="0" w:color="auto"/>
              <w:left w:val="nil"/>
              <w:right w:val="nil"/>
            </w:tcBorders>
            <w:shd w:val="clear" w:color="auto" w:fill="E7F3F4"/>
            <w:noWrap/>
            <w:vAlign w:val="center"/>
            <w:hideMark/>
          </w:tcPr>
          <w:p w14:paraId="20D59091" w14:textId="77777777" w:rsidR="009F33B9" w:rsidRDefault="009F33B9" w:rsidP="005D3108">
            <w:pPr>
              <w:spacing w:before="0" w:after="0"/>
              <w:jc w:val="center"/>
              <w:rPr>
                <w:b/>
                <w:color w:val="000000"/>
                <w:sz w:val="14"/>
                <w:szCs w:val="14"/>
              </w:rPr>
            </w:pPr>
            <w:r>
              <w:rPr>
                <w:b/>
                <w:color w:val="000000"/>
                <w:sz w:val="14"/>
                <w:szCs w:val="14"/>
              </w:rPr>
              <w:t>MI1</w:t>
            </w:r>
          </w:p>
        </w:tc>
        <w:tc>
          <w:tcPr>
            <w:tcW w:w="555" w:type="dxa"/>
            <w:tcBorders>
              <w:top w:val="single" w:sz="4" w:space="0" w:color="auto"/>
              <w:left w:val="nil"/>
              <w:right w:val="nil"/>
            </w:tcBorders>
            <w:shd w:val="clear" w:color="auto" w:fill="E7F3F4"/>
            <w:vAlign w:val="center"/>
            <w:hideMark/>
          </w:tcPr>
          <w:p w14:paraId="3C17DF6C"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7AE2F66A"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70144BF2"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55B2847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3C90A551"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1422F756"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vAlign w:val="center"/>
          </w:tcPr>
          <w:p w14:paraId="1C7748BB"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E7F3F4"/>
            <w:vAlign w:val="center"/>
            <w:hideMark/>
          </w:tcPr>
          <w:p w14:paraId="272DE109"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E7F3F4"/>
            <w:vAlign w:val="center"/>
            <w:hideMark/>
          </w:tcPr>
          <w:p w14:paraId="261EEB77"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E7F3F4"/>
            <w:vAlign w:val="center"/>
            <w:hideMark/>
          </w:tcPr>
          <w:p w14:paraId="0B3BFBD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E7F3F4"/>
            <w:vAlign w:val="center"/>
            <w:hideMark/>
          </w:tcPr>
          <w:p w14:paraId="173A19A4"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E7F3F4"/>
            <w:vAlign w:val="center"/>
            <w:hideMark/>
          </w:tcPr>
          <w:p w14:paraId="2AF65F9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E7F3F4"/>
            <w:vAlign w:val="center"/>
          </w:tcPr>
          <w:p w14:paraId="48BD70AE" w14:textId="77777777" w:rsidR="009F33B9" w:rsidRDefault="009F33B9" w:rsidP="005D3108">
            <w:pPr>
              <w:spacing w:before="0" w:after="0"/>
              <w:jc w:val="center"/>
              <w:rPr>
                <w:color w:val="000000"/>
                <w:sz w:val="14"/>
                <w:szCs w:val="14"/>
              </w:rPr>
            </w:pPr>
          </w:p>
        </w:tc>
      </w:tr>
      <w:tr w:rsidR="009F33B9" w14:paraId="6E4ACF18"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774B167"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62C6A278"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7953BE91"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1CC2ACE0" w14:textId="77777777" w:rsidR="009F33B9" w:rsidRDefault="009F33B9" w:rsidP="005D3108">
            <w:pPr>
              <w:spacing w:before="0" w:after="0"/>
              <w:rPr>
                <w:i/>
                <w:iCs/>
                <w:color w:val="000000"/>
                <w:sz w:val="14"/>
                <w:szCs w:val="14"/>
              </w:rPr>
            </w:pPr>
          </w:p>
        </w:tc>
        <w:tc>
          <w:tcPr>
            <w:tcW w:w="840" w:type="dxa"/>
            <w:tcBorders>
              <w:left w:val="nil"/>
            </w:tcBorders>
            <w:shd w:val="clear" w:color="auto" w:fill="E7F3F4"/>
            <w:noWrap/>
            <w:vAlign w:val="center"/>
            <w:hideMark/>
          </w:tcPr>
          <w:p w14:paraId="736ECBF0" w14:textId="77777777" w:rsidR="009F33B9" w:rsidRDefault="009F33B9" w:rsidP="005D3108">
            <w:pPr>
              <w:spacing w:before="0" w:after="0"/>
              <w:jc w:val="center"/>
              <w:rPr>
                <w:b/>
                <w:color w:val="000000"/>
                <w:sz w:val="14"/>
                <w:szCs w:val="14"/>
              </w:rPr>
            </w:pPr>
            <w:r>
              <w:rPr>
                <w:b/>
                <w:color w:val="000000"/>
                <w:sz w:val="14"/>
                <w:szCs w:val="14"/>
              </w:rPr>
              <w:t>MI2</w:t>
            </w:r>
          </w:p>
        </w:tc>
        <w:tc>
          <w:tcPr>
            <w:tcW w:w="555" w:type="dxa"/>
            <w:shd w:val="clear" w:color="auto" w:fill="E7F3F4"/>
            <w:vAlign w:val="center"/>
            <w:hideMark/>
          </w:tcPr>
          <w:p w14:paraId="7C92A9B9" w14:textId="77777777" w:rsidR="009F33B9" w:rsidRDefault="009F33B9" w:rsidP="005D3108">
            <w:pPr>
              <w:spacing w:before="0" w:after="0"/>
              <w:jc w:val="center"/>
              <w:rPr>
                <w:color w:val="000000"/>
                <w:sz w:val="14"/>
                <w:szCs w:val="14"/>
              </w:rPr>
            </w:pPr>
            <w:r>
              <w:rPr>
                <w:color w:val="000000"/>
                <w:sz w:val="14"/>
                <w:szCs w:val="14"/>
              </w:rPr>
              <w:t>33</w:t>
            </w:r>
          </w:p>
        </w:tc>
        <w:tc>
          <w:tcPr>
            <w:tcW w:w="543" w:type="dxa"/>
            <w:shd w:val="clear" w:color="auto" w:fill="E7F3F4"/>
            <w:noWrap/>
            <w:vAlign w:val="center"/>
            <w:hideMark/>
          </w:tcPr>
          <w:p w14:paraId="21862202" w14:textId="77777777" w:rsidR="009F33B9" w:rsidRDefault="009F33B9" w:rsidP="005D3108">
            <w:pPr>
              <w:spacing w:before="0" w:after="0"/>
              <w:jc w:val="center"/>
              <w:rPr>
                <w:color w:val="000000"/>
                <w:sz w:val="14"/>
                <w:szCs w:val="14"/>
              </w:rPr>
            </w:pPr>
            <w:r>
              <w:rPr>
                <w:color w:val="000000"/>
                <w:sz w:val="14"/>
                <w:szCs w:val="14"/>
              </w:rPr>
              <w:t>30</w:t>
            </w:r>
          </w:p>
        </w:tc>
        <w:tc>
          <w:tcPr>
            <w:tcW w:w="540" w:type="dxa"/>
            <w:shd w:val="clear" w:color="auto" w:fill="E7F3F4"/>
            <w:noWrap/>
            <w:vAlign w:val="center"/>
            <w:hideMark/>
          </w:tcPr>
          <w:p w14:paraId="31D36DAF" w14:textId="77777777" w:rsidR="009F33B9" w:rsidRDefault="009F33B9" w:rsidP="005D3108">
            <w:pPr>
              <w:spacing w:before="0" w:after="0"/>
              <w:jc w:val="center"/>
              <w:rPr>
                <w:color w:val="000000"/>
                <w:sz w:val="14"/>
                <w:szCs w:val="14"/>
              </w:rPr>
            </w:pPr>
            <w:r>
              <w:rPr>
                <w:color w:val="000000"/>
                <w:sz w:val="14"/>
                <w:szCs w:val="14"/>
              </w:rPr>
              <w:t>3</w:t>
            </w:r>
          </w:p>
        </w:tc>
        <w:tc>
          <w:tcPr>
            <w:tcW w:w="536" w:type="dxa"/>
            <w:shd w:val="clear" w:color="auto" w:fill="E7F3F4"/>
            <w:vAlign w:val="center"/>
            <w:hideMark/>
          </w:tcPr>
          <w:p w14:paraId="1723ACF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shd w:val="clear" w:color="auto" w:fill="E7F3F4"/>
            <w:vAlign w:val="center"/>
            <w:hideMark/>
          </w:tcPr>
          <w:p w14:paraId="4EAE4F46" w14:textId="77777777" w:rsidR="009F33B9" w:rsidRDefault="009F33B9" w:rsidP="005D3108">
            <w:pPr>
              <w:spacing w:before="0" w:after="0"/>
              <w:jc w:val="center"/>
              <w:rPr>
                <w:color w:val="000000"/>
                <w:sz w:val="14"/>
                <w:szCs w:val="14"/>
              </w:rPr>
            </w:pPr>
            <w:r>
              <w:rPr>
                <w:color w:val="000000"/>
                <w:sz w:val="14"/>
                <w:szCs w:val="14"/>
              </w:rPr>
              <w:t>15</w:t>
            </w:r>
          </w:p>
        </w:tc>
        <w:tc>
          <w:tcPr>
            <w:tcW w:w="529" w:type="dxa"/>
            <w:shd w:val="clear" w:color="auto" w:fill="E7F3F4"/>
            <w:vAlign w:val="center"/>
            <w:hideMark/>
          </w:tcPr>
          <w:p w14:paraId="1024135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right w:val="single" w:sz="4" w:space="0" w:color="auto"/>
            </w:tcBorders>
            <w:shd w:val="clear" w:color="auto" w:fill="E7F3F4"/>
            <w:vAlign w:val="center"/>
            <w:hideMark/>
          </w:tcPr>
          <w:p w14:paraId="53069B1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tcBorders>
            <w:shd w:val="clear" w:color="auto" w:fill="E7F3F4"/>
            <w:vAlign w:val="center"/>
            <w:hideMark/>
          </w:tcPr>
          <w:p w14:paraId="3F789AD2" w14:textId="77777777" w:rsidR="009F33B9" w:rsidRDefault="009F33B9" w:rsidP="005D3108">
            <w:pPr>
              <w:spacing w:before="0" w:after="0"/>
              <w:jc w:val="center"/>
              <w:rPr>
                <w:color w:val="000000"/>
                <w:sz w:val="14"/>
                <w:szCs w:val="14"/>
              </w:rPr>
            </w:pPr>
            <w:r>
              <w:rPr>
                <w:color w:val="000000"/>
                <w:sz w:val="14"/>
                <w:szCs w:val="14"/>
              </w:rPr>
              <w:t>33</w:t>
            </w:r>
          </w:p>
        </w:tc>
        <w:tc>
          <w:tcPr>
            <w:tcW w:w="559" w:type="dxa"/>
            <w:shd w:val="clear" w:color="auto" w:fill="E7F3F4"/>
            <w:vAlign w:val="center"/>
            <w:hideMark/>
          </w:tcPr>
          <w:p w14:paraId="10D83F7C" w14:textId="77777777" w:rsidR="009F33B9" w:rsidRDefault="009F33B9" w:rsidP="005D3108">
            <w:pPr>
              <w:spacing w:before="0" w:after="0"/>
              <w:jc w:val="center"/>
              <w:rPr>
                <w:color w:val="000000"/>
                <w:sz w:val="14"/>
                <w:szCs w:val="14"/>
              </w:rPr>
            </w:pPr>
            <w:r>
              <w:rPr>
                <w:color w:val="000000"/>
                <w:sz w:val="14"/>
                <w:szCs w:val="14"/>
              </w:rPr>
              <w:t>30</w:t>
            </w:r>
          </w:p>
        </w:tc>
        <w:tc>
          <w:tcPr>
            <w:tcW w:w="559" w:type="dxa"/>
            <w:shd w:val="clear" w:color="auto" w:fill="E7F3F4"/>
            <w:vAlign w:val="center"/>
            <w:hideMark/>
          </w:tcPr>
          <w:p w14:paraId="53083FA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shd w:val="clear" w:color="auto" w:fill="E7F3F4"/>
            <w:vAlign w:val="center"/>
            <w:hideMark/>
          </w:tcPr>
          <w:p w14:paraId="7E7FC28F" w14:textId="77777777" w:rsidR="009F33B9" w:rsidRDefault="009F33B9" w:rsidP="005D3108">
            <w:pPr>
              <w:spacing w:before="0" w:after="0"/>
              <w:jc w:val="center"/>
              <w:rPr>
                <w:color w:val="000000"/>
                <w:sz w:val="14"/>
                <w:szCs w:val="14"/>
              </w:rPr>
            </w:pPr>
            <w:r>
              <w:rPr>
                <w:color w:val="000000"/>
                <w:sz w:val="14"/>
                <w:szCs w:val="14"/>
              </w:rPr>
              <w:t>15</w:t>
            </w:r>
          </w:p>
        </w:tc>
        <w:tc>
          <w:tcPr>
            <w:tcW w:w="559" w:type="dxa"/>
            <w:shd w:val="clear" w:color="auto" w:fill="E7F3F4"/>
            <w:vAlign w:val="center"/>
            <w:hideMark/>
          </w:tcPr>
          <w:p w14:paraId="0657EBA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right w:val="nil"/>
            </w:tcBorders>
            <w:shd w:val="clear" w:color="auto" w:fill="E7F3F4"/>
            <w:vAlign w:val="center"/>
            <w:hideMark/>
          </w:tcPr>
          <w:p w14:paraId="75F90BE9"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0EB4B236"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6F7C9D3"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2B06721B"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3154301B"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05C63B6D" w14:textId="77777777" w:rsidR="009F33B9" w:rsidRDefault="009F33B9" w:rsidP="005D3108">
            <w:pPr>
              <w:spacing w:before="0" w:after="0"/>
              <w:rPr>
                <w:i/>
                <w:iCs/>
                <w:color w:val="000000"/>
                <w:sz w:val="14"/>
                <w:szCs w:val="14"/>
              </w:rPr>
            </w:pPr>
          </w:p>
        </w:tc>
        <w:tc>
          <w:tcPr>
            <w:tcW w:w="840" w:type="dxa"/>
            <w:tcBorders>
              <w:left w:val="nil"/>
              <w:bottom w:val="nil"/>
            </w:tcBorders>
            <w:shd w:val="clear" w:color="auto" w:fill="E7F3F4"/>
            <w:noWrap/>
            <w:vAlign w:val="center"/>
            <w:hideMark/>
          </w:tcPr>
          <w:p w14:paraId="20E2803E" w14:textId="77777777" w:rsidR="009F33B9" w:rsidRDefault="009F33B9" w:rsidP="005D3108">
            <w:pPr>
              <w:spacing w:before="0" w:after="0"/>
              <w:jc w:val="center"/>
              <w:rPr>
                <w:b/>
                <w:color w:val="000000"/>
                <w:sz w:val="14"/>
                <w:szCs w:val="14"/>
              </w:rPr>
            </w:pPr>
            <w:r>
              <w:rPr>
                <w:b/>
                <w:color w:val="000000"/>
                <w:sz w:val="14"/>
                <w:szCs w:val="14"/>
              </w:rPr>
              <w:t>MI3^</w:t>
            </w:r>
          </w:p>
        </w:tc>
        <w:tc>
          <w:tcPr>
            <w:tcW w:w="555" w:type="dxa"/>
            <w:tcBorders>
              <w:bottom w:val="nil"/>
            </w:tcBorders>
            <w:shd w:val="clear" w:color="auto" w:fill="E7F3F4"/>
            <w:vAlign w:val="center"/>
            <w:hideMark/>
          </w:tcPr>
          <w:p w14:paraId="2C5E947B"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hideMark/>
          </w:tcPr>
          <w:p w14:paraId="4372F0E0"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hideMark/>
          </w:tcPr>
          <w:p w14:paraId="2B8F9213"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E7F3F4"/>
            <w:vAlign w:val="center"/>
            <w:hideMark/>
          </w:tcPr>
          <w:p w14:paraId="3DE3AE6E"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E7F3F4"/>
            <w:vAlign w:val="center"/>
            <w:hideMark/>
          </w:tcPr>
          <w:p w14:paraId="62A78F65"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E7F3F4"/>
            <w:vAlign w:val="center"/>
            <w:hideMark/>
          </w:tcPr>
          <w:p w14:paraId="513502F0"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vAlign w:val="center"/>
            <w:hideMark/>
          </w:tcPr>
          <w:p w14:paraId="79BE849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E7F3F4"/>
            <w:vAlign w:val="center"/>
            <w:hideMark/>
          </w:tcPr>
          <w:p w14:paraId="1CF12857"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E7F3F4"/>
            <w:vAlign w:val="center"/>
            <w:hideMark/>
          </w:tcPr>
          <w:p w14:paraId="6AA54DC5"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E7F3F4"/>
            <w:vAlign w:val="center"/>
            <w:hideMark/>
          </w:tcPr>
          <w:p w14:paraId="62A5794C"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E7F3F4"/>
            <w:vAlign w:val="center"/>
            <w:hideMark/>
          </w:tcPr>
          <w:p w14:paraId="012B46AF"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E7F3F4"/>
            <w:vAlign w:val="center"/>
            <w:hideMark/>
          </w:tcPr>
          <w:p w14:paraId="74435487"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E7F3F4"/>
            <w:vAlign w:val="center"/>
            <w:hideMark/>
          </w:tcPr>
          <w:p w14:paraId="560EBEA5"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53C1848A"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525752B"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490CCB43"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0ADE9E9D"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bottom w:val="single" w:sz="4" w:space="0" w:color="auto"/>
              <w:right w:val="nil"/>
            </w:tcBorders>
            <w:shd w:val="clear" w:color="auto" w:fill="E7F3F4"/>
            <w:noWrap/>
            <w:vAlign w:val="center"/>
            <w:hideMark/>
          </w:tcPr>
          <w:p w14:paraId="19779546" w14:textId="77777777" w:rsidR="009F33B9" w:rsidRDefault="009F33B9" w:rsidP="005D3108">
            <w:pPr>
              <w:spacing w:before="0" w:after="0"/>
              <w:jc w:val="center"/>
              <w:rPr>
                <w:color w:val="000000"/>
                <w:sz w:val="14"/>
                <w:szCs w:val="14"/>
              </w:rPr>
            </w:pPr>
            <w:r>
              <w:rPr>
                <w:color w:val="000000"/>
                <w:sz w:val="14"/>
                <w:szCs w:val="14"/>
              </w:rPr>
              <w:t>Townsville</w:t>
            </w:r>
          </w:p>
        </w:tc>
        <w:tc>
          <w:tcPr>
            <w:tcW w:w="840" w:type="dxa"/>
            <w:tcBorders>
              <w:top w:val="single" w:sz="4" w:space="0" w:color="auto"/>
              <w:left w:val="nil"/>
              <w:right w:val="nil"/>
            </w:tcBorders>
            <w:shd w:val="clear" w:color="auto" w:fill="E7F3F4"/>
            <w:noWrap/>
            <w:vAlign w:val="center"/>
            <w:hideMark/>
          </w:tcPr>
          <w:p w14:paraId="1BA666AA" w14:textId="77777777" w:rsidR="009F33B9" w:rsidRDefault="009F33B9" w:rsidP="005D3108">
            <w:pPr>
              <w:spacing w:before="0" w:after="0"/>
              <w:jc w:val="center"/>
              <w:rPr>
                <w:b/>
                <w:color w:val="000000"/>
                <w:sz w:val="14"/>
                <w:szCs w:val="14"/>
              </w:rPr>
            </w:pPr>
            <w:r>
              <w:rPr>
                <w:b/>
                <w:color w:val="000000"/>
                <w:sz w:val="14"/>
                <w:szCs w:val="14"/>
              </w:rPr>
              <w:t>SB1</w:t>
            </w:r>
          </w:p>
        </w:tc>
        <w:tc>
          <w:tcPr>
            <w:tcW w:w="555" w:type="dxa"/>
            <w:tcBorders>
              <w:top w:val="single" w:sz="4" w:space="0" w:color="auto"/>
              <w:left w:val="nil"/>
              <w:right w:val="nil"/>
            </w:tcBorders>
            <w:shd w:val="clear" w:color="auto" w:fill="E7F3F4"/>
            <w:vAlign w:val="center"/>
            <w:hideMark/>
          </w:tcPr>
          <w:p w14:paraId="59BD3F21"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4C2BB7BE"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4434DD4C"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3B1A8E5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04D28DE0"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1C9972B0"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vAlign w:val="center"/>
          </w:tcPr>
          <w:p w14:paraId="45D1992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E7F3F4"/>
            <w:vAlign w:val="center"/>
            <w:hideMark/>
          </w:tcPr>
          <w:p w14:paraId="14ECAD55"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E7F3F4"/>
            <w:vAlign w:val="center"/>
            <w:hideMark/>
          </w:tcPr>
          <w:p w14:paraId="56C252A5"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top w:val="single" w:sz="4" w:space="0" w:color="auto"/>
              <w:left w:val="nil"/>
              <w:right w:val="nil"/>
            </w:tcBorders>
            <w:shd w:val="clear" w:color="auto" w:fill="E7F3F4"/>
            <w:vAlign w:val="center"/>
            <w:hideMark/>
          </w:tcPr>
          <w:p w14:paraId="77E969B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E7F3F4"/>
            <w:vAlign w:val="center"/>
            <w:hideMark/>
          </w:tcPr>
          <w:p w14:paraId="50889EC4"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E7F3F4"/>
            <w:vAlign w:val="center"/>
            <w:hideMark/>
          </w:tcPr>
          <w:p w14:paraId="243F9B99"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E7F3F4"/>
            <w:vAlign w:val="center"/>
          </w:tcPr>
          <w:p w14:paraId="3741009E"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415F10EF"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4206857D"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tcPr>
          <w:p w14:paraId="0F3BE0B5"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tcPr>
          <w:p w14:paraId="0728407F"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shd w:val="clear" w:color="auto" w:fill="E7F3F4"/>
            <w:noWrap/>
            <w:vAlign w:val="center"/>
          </w:tcPr>
          <w:p w14:paraId="2E3EF937" w14:textId="77777777" w:rsidR="009F33B9" w:rsidRDefault="009F33B9" w:rsidP="005D3108">
            <w:pPr>
              <w:spacing w:before="0" w:after="0"/>
              <w:jc w:val="center"/>
              <w:rPr>
                <w:color w:val="000000"/>
                <w:sz w:val="14"/>
                <w:szCs w:val="14"/>
              </w:rPr>
            </w:pPr>
          </w:p>
        </w:tc>
        <w:tc>
          <w:tcPr>
            <w:tcW w:w="840" w:type="dxa"/>
            <w:tcBorders>
              <w:left w:val="nil"/>
              <w:bottom w:val="nil"/>
            </w:tcBorders>
            <w:shd w:val="clear" w:color="auto" w:fill="E7F3F4"/>
            <w:noWrap/>
            <w:vAlign w:val="center"/>
          </w:tcPr>
          <w:p w14:paraId="40EB8BD8" w14:textId="77777777" w:rsidR="009F33B9" w:rsidRDefault="009F33B9" w:rsidP="005D3108">
            <w:pPr>
              <w:spacing w:before="0" w:after="0"/>
              <w:jc w:val="center"/>
              <w:rPr>
                <w:b/>
                <w:color w:val="000000"/>
                <w:sz w:val="14"/>
                <w:szCs w:val="14"/>
              </w:rPr>
            </w:pPr>
            <w:r>
              <w:rPr>
                <w:b/>
                <w:color w:val="000000"/>
                <w:sz w:val="14"/>
                <w:szCs w:val="14"/>
              </w:rPr>
              <w:t>SB2</w:t>
            </w:r>
          </w:p>
        </w:tc>
        <w:tc>
          <w:tcPr>
            <w:tcW w:w="555" w:type="dxa"/>
            <w:tcBorders>
              <w:bottom w:val="nil"/>
            </w:tcBorders>
            <w:shd w:val="clear" w:color="auto" w:fill="E7F3F4"/>
            <w:vAlign w:val="center"/>
          </w:tcPr>
          <w:p w14:paraId="2760C7A5"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tcPr>
          <w:p w14:paraId="46D7C72E"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tcPr>
          <w:p w14:paraId="5F00F910" w14:textId="77777777" w:rsidR="009F33B9" w:rsidRDefault="009F33B9" w:rsidP="005D3108">
            <w:pPr>
              <w:spacing w:before="0" w:after="0"/>
              <w:jc w:val="center"/>
              <w:rPr>
                <w:color w:val="000000"/>
                <w:sz w:val="14"/>
                <w:szCs w:val="14"/>
              </w:rPr>
            </w:pPr>
          </w:p>
        </w:tc>
        <w:tc>
          <w:tcPr>
            <w:tcW w:w="536" w:type="dxa"/>
            <w:tcBorders>
              <w:bottom w:val="nil"/>
            </w:tcBorders>
            <w:shd w:val="clear" w:color="auto" w:fill="E7F3F4"/>
            <w:vAlign w:val="center"/>
          </w:tcPr>
          <w:p w14:paraId="435FD459" w14:textId="77777777" w:rsidR="009F33B9" w:rsidRDefault="009F33B9" w:rsidP="005D3108">
            <w:pPr>
              <w:spacing w:before="0" w:after="0"/>
              <w:jc w:val="center"/>
              <w:rPr>
                <w:color w:val="000000"/>
                <w:sz w:val="14"/>
                <w:szCs w:val="14"/>
              </w:rPr>
            </w:pPr>
          </w:p>
        </w:tc>
        <w:tc>
          <w:tcPr>
            <w:tcW w:w="540" w:type="dxa"/>
            <w:tcBorders>
              <w:bottom w:val="nil"/>
            </w:tcBorders>
            <w:shd w:val="clear" w:color="auto" w:fill="E7F3F4"/>
            <w:vAlign w:val="center"/>
          </w:tcPr>
          <w:p w14:paraId="4E6225A2" w14:textId="77777777" w:rsidR="009F33B9" w:rsidRDefault="009F33B9" w:rsidP="005D3108">
            <w:pPr>
              <w:spacing w:before="0" w:after="0"/>
              <w:jc w:val="center"/>
              <w:rPr>
                <w:color w:val="000000"/>
                <w:sz w:val="14"/>
                <w:szCs w:val="14"/>
              </w:rPr>
            </w:pPr>
          </w:p>
        </w:tc>
        <w:tc>
          <w:tcPr>
            <w:tcW w:w="529" w:type="dxa"/>
            <w:tcBorders>
              <w:bottom w:val="nil"/>
            </w:tcBorders>
            <w:shd w:val="clear" w:color="auto" w:fill="E7F3F4"/>
            <w:vAlign w:val="center"/>
          </w:tcPr>
          <w:p w14:paraId="264AA6B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vAlign w:val="center"/>
          </w:tcPr>
          <w:p w14:paraId="18EBC0A2"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E7F3F4"/>
            <w:vAlign w:val="center"/>
          </w:tcPr>
          <w:p w14:paraId="2749D920"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E7F3F4"/>
            <w:vAlign w:val="center"/>
          </w:tcPr>
          <w:p w14:paraId="571B6509"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E7F3F4"/>
            <w:vAlign w:val="center"/>
          </w:tcPr>
          <w:p w14:paraId="50FFDDE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E7F3F4"/>
            <w:vAlign w:val="center"/>
          </w:tcPr>
          <w:p w14:paraId="02F04295"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E7F3F4"/>
            <w:vAlign w:val="center"/>
          </w:tcPr>
          <w:p w14:paraId="5636FDE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E7F3F4"/>
            <w:vAlign w:val="center"/>
          </w:tcPr>
          <w:p w14:paraId="16B88F53" w14:textId="77777777" w:rsidR="009F33B9" w:rsidRPr="00B10FD2" w:rsidRDefault="009F33B9" w:rsidP="005D3108">
            <w:pPr>
              <w:spacing w:before="0" w:after="0"/>
              <w:jc w:val="center"/>
              <w:rPr>
                <w:color w:val="000000"/>
                <w:sz w:val="14"/>
                <w:szCs w:val="14"/>
              </w:rPr>
            </w:pPr>
          </w:p>
        </w:tc>
      </w:tr>
      <w:tr w:rsidR="009F33B9" w14:paraId="4734926E"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771979FC"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2769BE98"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1EC1A569"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05F37EF8" w14:textId="77777777" w:rsidR="009F33B9" w:rsidRDefault="009F33B9" w:rsidP="005D3108">
            <w:pPr>
              <w:spacing w:before="0" w:after="0"/>
              <w:rPr>
                <w:color w:val="000000"/>
                <w:sz w:val="14"/>
                <w:szCs w:val="14"/>
              </w:rPr>
            </w:pPr>
          </w:p>
        </w:tc>
        <w:tc>
          <w:tcPr>
            <w:tcW w:w="840" w:type="dxa"/>
            <w:tcBorders>
              <w:left w:val="nil"/>
              <w:bottom w:val="nil"/>
            </w:tcBorders>
            <w:shd w:val="clear" w:color="auto" w:fill="E7F3F4"/>
            <w:noWrap/>
            <w:vAlign w:val="center"/>
            <w:hideMark/>
          </w:tcPr>
          <w:p w14:paraId="695AB10E" w14:textId="77777777" w:rsidR="009F33B9" w:rsidRDefault="009F33B9" w:rsidP="005D3108">
            <w:pPr>
              <w:spacing w:before="0" w:after="0"/>
              <w:jc w:val="center"/>
              <w:rPr>
                <w:b/>
                <w:color w:val="000000"/>
                <w:sz w:val="14"/>
                <w:szCs w:val="14"/>
              </w:rPr>
            </w:pPr>
            <w:r>
              <w:rPr>
                <w:b/>
                <w:color w:val="000000"/>
                <w:sz w:val="14"/>
                <w:szCs w:val="14"/>
              </w:rPr>
              <w:t>BB1</w:t>
            </w:r>
          </w:p>
        </w:tc>
        <w:tc>
          <w:tcPr>
            <w:tcW w:w="555" w:type="dxa"/>
            <w:tcBorders>
              <w:bottom w:val="nil"/>
            </w:tcBorders>
            <w:shd w:val="clear" w:color="auto" w:fill="E7F3F4"/>
            <w:vAlign w:val="center"/>
            <w:hideMark/>
          </w:tcPr>
          <w:p w14:paraId="5747526E"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hideMark/>
          </w:tcPr>
          <w:p w14:paraId="663238D3"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hideMark/>
          </w:tcPr>
          <w:p w14:paraId="2FBAE1F3"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E7F3F4"/>
            <w:vAlign w:val="center"/>
            <w:hideMark/>
          </w:tcPr>
          <w:p w14:paraId="2F7B0550"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E7F3F4"/>
            <w:vAlign w:val="center"/>
            <w:hideMark/>
          </w:tcPr>
          <w:p w14:paraId="1D87A655"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E7F3F4"/>
            <w:vAlign w:val="center"/>
            <w:hideMark/>
          </w:tcPr>
          <w:p w14:paraId="7804BD4D"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vAlign w:val="center"/>
            <w:hideMark/>
          </w:tcPr>
          <w:p w14:paraId="68DF3C8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nil"/>
            </w:tcBorders>
            <w:shd w:val="clear" w:color="auto" w:fill="E7F3F4"/>
            <w:vAlign w:val="center"/>
            <w:hideMark/>
          </w:tcPr>
          <w:p w14:paraId="572266DA"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bottom w:val="nil"/>
            </w:tcBorders>
            <w:shd w:val="clear" w:color="auto" w:fill="E7F3F4"/>
            <w:vAlign w:val="center"/>
            <w:hideMark/>
          </w:tcPr>
          <w:p w14:paraId="5DD0A88A" w14:textId="77777777" w:rsidR="009F33B9" w:rsidRDefault="009F33B9" w:rsidP="005D3108">
            <w:pPr>
              <w:spacing w:before="0" w:after="0"/>
              <w:jc w:val="center"/>
              <w:rPr>
                <w:color w:val="000000"/>
                <w:sz w:val="14"/>
                <w:szCs w:val="14"/>
              </w:rPr>
            </w:pPr>
            <w:r>
              <w:rPr>
                <w:color w:val="000000"/>
                <w:sz w:val="14"/>
                <w:szCs w:val="14"/>
              </w:rPr>
              <w:t>30</w:t>
            </w:r>
          </w:p>
        </w:tc>
        <w:tc>
          <w:tcPr>
            <w:tcW w:w="559" w:type="dxa"/>
            <w:tcBorders>
              <w:bottom w:val="nil"/>
            </w:tcBorders>
            <w:shd w:val="clear" w:color="auto" w:fill="E7F3F4"/>
            <w:vAlign w:val="center"/>
            <w:hideMark/>
          </w:tcPr>
          <w:p w14:paraId="28DE8CD4"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E7F3F4"/>
            <w:vAlign w:val="center"/>
            <w:hideMark/>
          </w:tcPr>
          <w:p w14:paraId="7CCD5A8F" w14:textId="77777777" w:rsidR="009F33B9" w:rsidRDefault="009F33B9"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E7F3F4"/>
            <w:vAlign w:val="center"/>
            <w:hideMark/>
          </w:tcPr>
          <w:p w14:paraId="6D180CF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E7F3F4"/>
            <w:vAlign w:val="center"/>
            <w:hideMark/>
          </w:tcPr>
          <w:p w14:paraId="4EB66B06" w14:textId="77777777" w:rsidR="009F33B9" w:rsidRPr="00B10FD2" w:rsidRDefault="009F33B9" w:rsidP="005D3108">
            <w:pPr>
              <w:spacing w:before="0" w:after="0"/>
              <w:jc w:val="center"/>
              <w:rPr>
                <w:color w:val="000000"/>
                <w:sz w:val="14"/>
                <w:szCs w:val="14"/>
              </w:rPr>
            </w:pPr>
            <w:r w:rsidRPr="00B10FD2">
              <w:rPr>
                <w:color w:val="000000"/>
                <w:sz w:val="14"/>
                <w:szCs w:val="14"/>
              </w:rPr>
              <w:sym w:font="Wingdings" w:char="F0FC"/>
            </w:r>
          </w:p>
        </w:tc>
      </w:tr>
      <w:tr w:rsidR="009F33B9" w14:paraId="5EF14FEC"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46E26A37"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77119B2A"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797A9CA1" w14:textId="77777777" w:rsidR="009F33B9" w:rsidRDefault="009F33B9" w:rsidP="005D3108">
            <w:pPr>
              <w:spacing w:before="0" w:after="0"/>
              <w:rPr>
                <w:color w:val="000000"/>
                <w:sz w:val="14"/>
                <w:szCs w:val="14"/>
              </w:rPr>
            </w:pPr>
          </w:p>
        </w:tc>
        <w:tc>
          <w:tcPr>
            <w:tcW w:w="1307" w:type="dxa"/>
            <w:vMerge w:val="restart"/>
            <w:tcBorders>
              <w:top w:val="single" w:sz="4" w:space="0" w:color="auto"/>
              <w:left w:val="nil"/>
              <w:bottom w:val="nil"/>
              <w:right w:val="nil"/>
            </w:tcBorders>
            <w:shd w:val="clear" w:color="auto" w:fill="E7F3F4"/>
            <w:noWrap/>
            <w:vAlign w:val="center"/>
            <w:hideMark/>
          </w:tcPr>
          <w:p w14:paraId="6FD7CEC9" w14:textId="77777777" w:rsidR="009F33B9" w:rsidRDefault="009F33B9" w:rsidP="005D3108">
            <w:pPr>
              <w:spacing w:before="0" w:after="0"/>
              <w:jc w:val="center"/>
              <w:rPr>
                <w:color w:val="000000"/>
                <w:sz w:val="14"/>
                <w:szCs w:val="14"/>
              </w:rPr>
            </w:pPr>
            <w:r>
              <w:rPr>
                <w:color w:val="000000"/>
                <w:sz w:val="14"/>
                <w:szCs w:val="14"/>
              </w:rPr>
              <w:t>Bowling Green Bay</w:t>
            </w:r>
          </w:p>
        </w:tc>
        <w:tc>
          <w:tcPr>
            <w:tcW w:w="840" w:type="dxa"/>
            <w:tcBorders>
              <w:top w:val="single" w:sz="4" w:space="0" w:color="auto"/>
              <w:left w:val="nil"/>
              <w:right w:val="nil"/>
            </w:tcBorders>
            <w:shd w:val="clear" w:color="auto" w:fill="E7F3F4"/>
            <w:noWrap/>
            <w:vAlign w:val="center"/>
            <w:hideMark/>
          </w:tcPr>
          <w:p w14:paraId="4524F06D" w14:textId="77777777" w:rsidR="009F33B9" w:rsidRDefault="009F33B9" w:rsidP="005D3108">
            <w:pPr>
              <w:spacing w:before="0" w:after="0"/>
              <w:jc w:val="center"/>
              <w:rPr>
                <w:b/>
                <w:color w:val="000000"/>
                <w:sz w:val="14"/>
                <w:szCs w:val="14"/>
              </w:rPr>
            </w:pPr>
            <w:r>
              <w:rPr>
                <w:b/>
                <w:color w:val="000000"/>
                <w:sz w:val="14"/>
                <w:szCs w:val="14"/>
              </w:rPr>
              <w:t>JR1</w:t>
            </w:r>
          </w:p>
        </w:tc>
        <w:tc>
          <w:tcPr>
            <w:tcW w:w="555" w:type="dxa"/>
            <w:tcBorders>
              <w:top w:val="single" w:sz="4" w:space="0" w:color="auto"/>
              <w:left w:val="nil"/>
              <w:right w:val="nil"/>
            </w:tcBorders>
            <w:shd w:val="clear" w:color="auto" w:fill="E7F3F4"/>
            <w:vAlign w:val="center"/>
            <w:hideMark/>
          </w:tcPr>
          <w:p w14:paraId="352865BB"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top w:val="single" w:sz="4" w:space="0" w:color="auto"/>
              <w:left w:val="nil"/>
              <w:right w:val="nil"/>
            </w:tcBorders>
            <w:shd w:val="clear" w:color="auto" w:fill="E7F3F4"/>
            <w:noWrap/>
            <w:vAlign w:val="center"/>
            <w:hideMark/>
          </w:tcPr>
          <w:p w14:paraId="69D3927E"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top w:val="single" w:sz="4" w:space="0" w:color="auto"/>
              <w:left w:val="nil"/>
              <w:right w:val="nil"/>
            </w:tcBorders>
            <w:shd w:val="clear" w:color="auto" w:fill="E7F3F4"/>
            <w:noWrap/>
            <w:vAlign w:val="center"/>
            <w:hideMark/>
          </w:tcPr>
          <w:p w14:paraId="74A7EAA0"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top w:val="single" w:sz="4" w:space="0" w:color="auto"/>
              <w:left w:val="nil"/>
              <w:right w:val="nil"/>
            </w:tcBorders>
            <w:shd w:val="clear" w:color="auto" w:fill="E7F3F4"/>
            <w:vAlign w:val="center"/>
            <w:hideMark/>
          </w:tcPr>
          <w:p w14:paraId="68E0E9D1"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E7F3F4"/>
            <w:vAlign w:val="center"/>
            <w:hideMark/>
          </w:tcPr>
          <w:p w14:paraId="1776F422"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E7F3F4"/>
            <w:vAlign w:val="center"/>
            <w:hideMark/>
          </w:tcPr>
          <w:p w14:paraId="498083D5"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E7F3F4"/>
            <w:vAlign w:val="center"/>
            <w:hideMark/>
          </w:tcPr>
          <w:p w14:paraId="624E6728"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E7F3F4"/>
            <w:vAlign w:val="center"/>
          </w:tcPr>
          <w:p w14:paraId="74D84F22" w14:textId="77777777" w:rsidR="009F33B9" w:rsidRDefault="009F33B9" w:rsidP="005D3108">
            <w:pPr>
              <w:spacing w:before="0" w:after="0"/>
              <w:jc w:val="center"/>
              <w:rPr>
                <w:color w:val="000000"/>
                <w:sz w:val="14"/>
                <w:szCs w:val="14"/>
              </w:rPr>
            </w:pPr>
            <w:r>
              <w:rPr>
                <w:color w:val="000000"/>
                <w:sz w:val="14"/>
                <w:szCs w:val="14"/>
              </w:rPr>
              <w:t>33</w:t>
            </w:r>
          </w:p>
        </w:tc>
        <w:tc>
          <w:tcPr>
            <w:tcW w:w="559" w:type="dxa"/>
            <w:tcBorders>
              <w:top w:val="single" w:sz="4" w:space="0" w:color="auto"/>
              <w:left w:val="nil"/>
              <w:right w:val="nil"/>
            </w:tcBorders>
            <w:shd w:val="clear" w:color="auto" w:fill="E7F3F4"/>
            <w:vAlign w:val="center"/>
          </w:tcPr>
          <w:p w14:paraId="2960B0E2"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7D6E865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E7F3F4"/>
            <w:vAlign w:val="center"/>
          </w:tcPr>
          <w:p w14:paraId="1425D42A"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E7F3F4"/>
            <w:vAlign w:val="center"/>
          </w:tcPr>
          <w:p w14:paraId="0A49073C"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E7F3F4"/>
            <w:vAlign w:val="center"/>
          </w:tcPr>
          <w:p w14:paraId="2EA73036" w14:textId="77777777" w:rsidR="009F33B9" w:rsidRDefault="009F33B9" w:rsidP="005D3108">
            <w:pPr>
              <w:spacing w:before="0" w:after="0"/>
              <w:jc w:val="center"/>
              <w:rPr>
                <w:color w:val="000000"/>
                <w:sz w:val="14"/>
                <w:szCs w:val="14"/>
              </w:rPr>
            </w:pPr>
            <w:r>
              <w:rPr>
                <w:color w:val="000000"/>
                <w:sz w:val="14"/>
                <w:szCs w:val="14"/>
              </w:rPr>
              <w:sym w:font="Wingdings" w:char="F0FC"/>
            </w:r>
          </w:p>
        </w:tc>
      </w:tr>
      <w:tr w:rsidR="009F33B9" w14:paraId="61D17FB6"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6A93F570" w14:textId="77777777" w:rsidR="009F33B9" w:rsidRDefault="009F33B9"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493BA852" w14:textId="77777777" w:rsidR="009F33B9" w:rsidRDefault="009F33B9"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10B53B71" w14:textId="77777777" w:rsidR="009F33B9" w:rsidRDefault="009F33B9"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13B615E0" w14:textId="77777777" w:rsidR="009F33B9" w:rsidRDefault="009F33B9" w:rsidP="005D3108">
            <w:pPr>
              <w:spacing w:before="0" w:after="0"/>
              <w:rPr>
                <w:color w:val="000000"/>
                <w:sz w:val="14"/>
                <w:szCs w:val="14"/>
              </w:rPr>
            </w:pPr>
          </w:p>
        </w:tc>
        <w:tc>
          <w:tcPr>
            <w:tcW w:w="840" w:type="dxa"/>
            <w:tcBorders>
              <w:left w:val="nil"/>
              <w:bottom w:val="nil"/>
            </w:tcBorders>
            <w:shd w:val="clear" w:color="auto" w:fill="E7F3F4"/>
            <w:noWrap/>
            <w:vAlign w:val="center"/>
            <w:hideMark/>
          </w:tcPr>
          <w:p w14:paraId="4B71F237" w14:textId="77777777" w:rsidR="009F33B9" w:rsidRDefault="009F33B9" w:rsidP="005D3108">
            <w:pPr>
              <w:spacing w:before="0" w:after="0"/>
              <w:jc w:val="center"/>
              <w:rPr>
                <w:b/>
                <w:color w:val="000000"/>
                <w:sz w:val="14"/>
                <w:szCs w:val="14"/>
              </w:rPr>
            </w:pPr>
            <w:r>
              <w:rPr>
                <w:b/>
                <w:color w:val="000000"/>
                <w:sz w:val="14"/>
                <w:szCs w:val="14"/>
              </w:rPr>
              <w:t>JR2</w:t>
            </w:r>
          </w:p>
        </w:tc>
        <w:tc>
          <w:tcPr>
            <w:tcW w:w="555" w:type="dxa"/>
            <w:tcBorders>
              <w:bottom w:val="nil"/>
            </w:tcBorders>
            <w:shd w:val="clear" w:color="auto" w:fill="E7F3F4"/>
            <w:vAlign w:val="center"/>
            <w:hideMark/>
          </w:tcPr>
          <w:p w14:paraId="6D65F887" w14:textId="77777777" w:rsidR="009F33B9" w:rsidRDefault="009F33B9" w:rsidP="005D3108">
            <w:pPr>
              <w:spacing w:before="0" w:after="0"/>
              <w:jc w:val="center"/>
              <w:rPr>
                <w:color w:val="000000"/>
                <w:sz w:val="14"/>
                <w:szCs w:val="14"/>
              </w:rPr>
            </w:pPr>
            <w:r>
              <w:rPr>
                <w:color w:val="000000"/>
                <w:sz w:val="14"/>
                <w:szCs w:val="14"/>
              </w:rPr>
              <w:t>33</w:t>
            </w:r>
          </w:p>
        </w:tc>
        <w:tc>
          <w:tcPr>
            <w:tcW w:w="543" w:type="dxa"/>
            <w:tcBorders>
              <w:bottom w:val="nil"/>
            </w:tcBorders>
            <w:shd w:val="clear" w:color="auto" w:fill="E7F3F4"/>
            <w:noWrap/>
            <w:vAlign w:val="center"/>
            <w:hideMark/>
          </w:tcPr>
          <w:p w14:paraId="7BFC36FE" w14:textId="77777777" w:rsidR="009F33B9" w:rsidRDefault="009F33B9" w:rsidP="005D3108">
            <w:pPr>
              <w:spacing w:before="0" w:after="0"/>
              <w:jc w:val="center"/>
              <w:rPr>
                <w:color w:val="000000"/>
                <w:sz w:val="14"/>
                <w:szCs w:val="14"/>
              </w:rPr>
            </w:pPr>
            <w:r>
              <w:rPr>
                <w:color w:val="000000"/>
                <w:sz w:val="14"/>
                <w:szCs w:val="14"/>
              </w:rPr>
              <w:t>30</w:t>
            </w:r>
          </w:p>
        </w:tc>
        <w:tc>
          <w:tcPr>
            <w:tcW w:w="540" w:type="dxa"/>
            <w:tcBorders>
              <w:bottom w:val="nil"/>
            </w:tcBorders>
            <w:shd w:val="clear" w:color="auto" w:fill="E7F3F4"/>
            <w:noWrap/>
            <w:vAlign w:val="center"/>
            <w:hideMark/>
          </w:tcPr>
          <w:p w14:paraId="15D6BA78" w14:textId="77777777" w:rsidR="009F33B9" w:rsidRDefault="009F33B9" w:rsidP="005D3108">
            <w:pPr>
              <w:spacing w:before="0" w:after="0"/>
              <w:jc w:val="center"/>
              <w:rPr>
                <w:color w:val="000000"/>
                <w:sz w:val="14"/>
                <w:szCs w:val="14"/>
              </w:rPr>
            </w:pPr>
            <w:r>
              <w:rPr>
                <w:color w:val="000000"/>
                <w:sz w:val="14"/>
                <w:szCs w:val="14"/>
              </w:rPr>
              <w:t>3</w:t>
            </w:r>
          </w:p>
        </w:tc>
        <w:tc>
          <w:tcPr>
            <w:tcW w:w="536" w:type="dxa"/>
            <w:tcBorders>
              <w:bottom w:val="nil"/>
            </w:tcBorders>
            <w:shd w:val="clear" w:color="auto" w:fill="E7F3F4"/>
            <w:vAlign w:val="center"/>
            <w:hideMark/>
          </w:tcPr>
          <w:p w14:paraId="69BC3B5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E7F3F4"/>
            <w:vAlign w:val="center"/>
            <w:hideMark/>
          </w:tcPr>
          <w:p w14:paraId="753EAB09" w14:textId="77777777" w:rsidR="009F33B9" w:rsidRDefault="009F33B9"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E7F3F4"/>
            <w:vAlign w:val="center"/>
            <w:hideMark/>
          </w:tcPr>
          <w:p w14:paraId="00347E52"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E7F3F4"/>
            <w:vAlign w:val="center"/>
          </w:tcPr>
          <w:p w14:paraId="78DEC19D" w14:textId="77777777" w:rsidR="009F33B9" w:rsidRDefault="009F33B9" w:rsidP="005D3108">
            <w:pPr>
              <w:spacing w:before="0" w:after="0"/>
              <w:jc w:val="center"/>
              <w:rPr>
                <w:color w:val="000000"/>
                <w:sz w:val="14"/>
                <w:szCs w:val="14"/>
              </w:rPr>
            </w:pPr>
          </w:p>
        </w:tc>
        <w:tc>
          <w:tcPr>
            <w:tcW w:w="559" w:type="dxa"/>
            <w:tcBorders>
              <w:left w:val="single" w:sz="4" w:space="0" w:color="auto"/>
              <w:bottom w:val="nil"/>
            </w:tcBorders>
            <w:shd w:val="clear" w:color="auto" w:fill="E7F3F4"/>
            <w:vAlign w:val="center"/>
          </w:tcPr>
          <w:p w14:paraId="14B69C39"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3C94060E"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15B92EA4"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7C3EFE19" w14:textId="77777777" w:rsidR="009F33B9" w:rsidRDefault="009F33B9" w:rsidP="005D3108">
            <w:pPr>
              <w:spacing w:before="0" w:after="0"/>
              <w:jc w:val="center"/>
              <w:rPr>
                <w:color w:val="000000"/>
                <w:sz w:val="14"/>
                <w:szCs w:val="14"/>
              </w:rPr>
            </w:pPr>
          </w:p>
        </w:tc>
        <w:tc>
          <w:tcPr>
            <w:tcW w:w="559" w:type="dxa"/>
            <w:tcBorders>
              <w:bottom w:val="nil"/>
            </w:tcBorders>
            <w:shd w:val="clear" w:color="auto" w:fill="E7F3F4"/>
            <w:vAlign w:val="center"/>
          </w:tcPr>
          <w:p w14:paraId="17A711F3"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E7F3F4"/>
            <w:vAlign w:val="center"/>
          </w:tcPr>
          <w:p w14:paraId="7F685D55" w14:textId="77777777" w:rsidR="009F33B9" w:rsidRDefault="009F33B9" w:rsidP="005D3108">
            <w:pPr>
              <w:spacing w:before="0" w:after="0"/>
              <w:jc w:val="center"/>
              <w:rPr>
                <w:color w:val="000000"/>
                <w:sz w:val="14"/>
                <w:szCs w:val="14"/>
              </w:rPr>
            </w:pPr>
          </w:p>
        </w:tc>
      </w:tr>
      <w:tr w:rsidR="009F33B9" w14:paraId="6DEEA2DD" w14:textId="77777777" w:rsidTr="00FC3D7F">
        <w:trPr>
          <w:gridAfter w:val="1"/>
          <w:wAfter w:w="10" w:type="dxa"/>
          <w:cantSplit/>
          <w:trHeight w:val="170"/>
          <w:jc w:val="center"/>
        </w:trPr>
        <w:tc>
          <w:tcPr>
            <w:tcW w:w="1148" w:type="dxa"/>
            <w:vMerge/>
            <w:tcBorders>
              <w:top w:val="single" w:sz="4" w:space="0" w:color="auto"/>
              <w:left w:val="nil"/>
              <w:bottom w:val="nil"/>
              <w:right w:val="nil"/>
            </w:tcBorders>
            <w:vAlign w:val="center"/>
          </w:tcPr>
          <w:p w14:paraId="3D1D5072" w14:textId="77777777" w:rsidR="009F33B9" w:rsidRDefault="009F33B9" w:rsidP="005D3108">
            <w:pPr>
              <w:spacing w:before="0" w:after="0"/>
              <w:rPr>
                <w:color w:val="000000"/>
                <w:sz w:val="14"/>
                <w:szCs w:val="14"/>
              </w:rPr>
            </w:pPr>
          </w:p>
        </w:tc>
        <w:tc>
          <w:tcPr>
            <w:tcW w:w="1294" w:type="dxa"/>
            <w:vMerge w:val="restart"/>
            <w:tcBorders>
              <w:top w:val="single" w:sz="4" w:space="0" w:color="auto"/>
              <w:left w:val="nil"/>
              <w:right w:val="nil"/>
            </w:tcBorders>
            <w:shd w:val="clear" w:color="auto" w:fill="F3F9FA"/>
            <w:noWrap/>
            <w:vAlign w:val="center"/>
          </w:tcPr>
          <w:p w14:paraId="28A3EB66" w14:textId="77777777" w:rsidR="009F33B9" w:rsidRDefault="009F33B9" w:rsidP="005D3108">
            <w:pPr>
              <w:spacing w:before="0" w:after="0"/>
              <w:jc w:val="center"/>
              <w:rPr>
                <w:color w:val="000000"/>
                <w:sz w:val="14"/>
                <w:szCs w:val="14"/>
              </w:rPr>
            </w:pPr>
            <w:r>
              <w:rPr>
                <w:color w:val="000000"/>
                <w:sz w:val="14"/>
                <w:szCs w:val="14"/>
              </w:rPr>
              <w:t>Mackay</w:t>
            </w:r>
          </w:p>
          <w:p w14:paraId="338A748F" w14:textId="77777777" w:rsidR="009F33B9" w:rsidRDefault="009F33B9" w:rsidP="005D3108">
            <w:pPr>
              <w:spacing w:before="0" w:after="0"/>
              <w:jc w:val="center"/>
              <w:rPr>
                <w:color w:val="000000"/>
                <w:sz w:val="14"/>
                <w:szCs w:val="14"/>
              </w:rPr>
            </w:pPr>
            <w:r>
              <w:rPr>
                <w:color w:val="000000"/>
                <w:sz w:val="14"/>
                <w:szCs w:val="14"/>
              </w:rPr>
              <w:t>Whitsunday</w:t>
            </w:r>
          </w:p>
        </w:tc>
        <w:tc>
          <w:tcPr>
            <w:tcW w:w="1299" w:type="dxa"/>
            <w:vMerge w:val="restart"/>
            <w:tcBorders>
              <w:top w:val="single" w:sz="4" w:space="0" w:color="auto"/>
              <w:left w:val="nil"/>
              <w:right w:val="nil"/>
            </w:tcBorders>
            <w:shd w:val="clear" w:color="auto" w:fill="F3F9FA"/>
            <w:vAlign w:val="center"/>
          </w:tcPr>
          <w:p w14:paraId="61A656E2" w14:textId="77777777" w:rsidR="009F33B9" w:rsidRDefault="009F33B9" w:rsidP="005D3108">
            <w:pPr>
              <w:spacing w:before="0" w:after="0"/>
              <w:jc w:val="center"/>
              <w:rPr>
                <w:color w:val="000000"/>
                <w:sz w:val="14"/>
                <w:szCs w:val="14"/>
              </w:rPr>
            </w:pPr>
            <w:r>
              <w:rPr>
                <w:color w:val="000000"/>
                <w:sz w:val="14"/>
                <w:szCs w:val="14"/>
              </w:rPr>
              <w:t>Don</w:t>
            </w:r>
          </w:p>
        </w:tc>
        <w:tc>
          <w:tcPr>
            <w:tcW w:w="1307" w:type="dxa"/>
            <w:vMerge w:val="restart"/>
            <w:tcBorders>
              <w:top w:val="single" w:sz="4" w:space="0" w:color="auto"/>
              <w:left w:val="nil"/>
              <w:right w:val="nil"/>
            </w:tcBorders>
            <w:shd w:val="clear" w:color="auto" w:fill="F3F9FA"/>
            <w:noWrap/>
            <w:vAlign w:val="center"/>
          </w:tcPr>
          <w:p w14:paraId="455FFA23" w14:textId="77777777" w:rsidR="009F33B9" w:rsidRDefault="009F33B9" w:rsidP="005D3108">
            <w:pPr>
              <w:spacing w:before="0" w:after="0"/>
              <w:jc w:val="center"/>
              <w:rPr>
                <w:color w:val="000000"/>
                <w:sz w:val="14"/>
                <w:szCs w:val="14"/>
              </w:rPr>
            </w:pPr>
            <w:r>
              <w:rPr>
                <w:color w:val="000000"/>
                <w:sz w:val="14"/>
                <w:szCs w:val="14"/>
              </w:rPr>
              <w:t>Shoal Bay</w:t>
            </w:r>
          </w:p>
        </w:tc>
        <w:tc>
          <w:tcPr>
            <w:tcW w:w="840" w:type="dxa"/>
            <w:tcBorders>
              <w:top w:val="single" w:sz="4" w:space="0" w:color="auto"/>
              <w:left w:val="nil"/>
              <w:right w:val="nil"/>
            </w:tcBorders>
            <w:shd w:val="clear" w:color="auto" w:fill="F3F9FA"/>
            <w:noWrap/>
            <w:vAlign w:val="center"/>
          </w:tcPr>
          <w:p w14:paraId="0E0BE8FC" w14:textId="77777777" w:rsidR="009F33B9" w:rsidRDefault="009F33B9" w:rsidP="005D3108">
            <w:pPr>
              <w:spacing w:before="0" w:after="0"/>
              <w:jc w:val="center"/>
              <w:rPr>
                <w:b/>
                <w:color w:val="000000"/>
                <w:sz w:val="14"/>
                <w:szCs w:val="14"/>
              </w:rPr>
            </w:pPr>
            <w:r>
              <w:rPr>
                <w:b/>
                <w:color w:val="000000"/>
                <w:sz w:val="14"/>
                <w:szCs w:val="14"/>
              </w:rPr>
              <w:t>HB1</w:t>
            </w:r>
          </w:p>
        </w:tc>
        <w:tc>
          <w:tcPr>
            <w:tcW w:w="555" w:type="dxa"/>
            <w:tcBorders>
              <w:top w:val="single" w:sz="4" w:space="0" w:color="auto"/>
              <w:left w:val="nil"/>
              <w:right w:val="nil"/>
            </w:tcBorders>
            <w:shd w:val="clear" w:color="auto" w:fill="F3F9FA"/>
            <w:vAlign w:val="center"/>
          </w:tcPr>
          <w:p w14:paraId="79F5BDF8" w14:textId="77777777" w:rsidR="009F33B9" w:rsidRPr="00E12F61" w:rsidRDefault="009F33B9" w:rsidP="005D3108">
            <w:pPr>
              <w:spacing w:before="0" w:after="0"/>
              <w:jc w:val="center"/>
              <w:rPr>
                <w:color w:val="000000"/>
                <w:sz w:val="14"/>
                <w:szCs w:val="14"/>
              </w:rPr>
            </w:pPr>
            <w:r w:rsidRPr="00E12F61">
              <w:rPr>
                <w:color w:val="000000"/>
                <w:sz w:val="14"/>
                <w:szCs w:val="14"/>
              </w:rPr>
              <w:t>33</w:t>
            </w:r>
          </w:p>
        </w:tc>
        <w:tc>
          <w:tcPr>
            <w:tcW w:w="543" w:type="dxa"/>
            <w:tcBorders>
              <w:top w:val="single" w:sz="4" w:space="0" w:color="auto"/>
              <w:left w:val="nil"/>
              <w:right w:val="nil"/>
            </w:tcBorders>
            <w:shd w:val="clear" w:color="auto" w:fill="F3F9FA"/>
            <w:noWrap/>
            <w:vAlign w:val="center"/>
          </w:tcPr>
          <w:p w14:paraId="6385DCA9" w14:textId="77777777" w:rsidR="009F33B9" w:rsidRPr="00E12F61" w:rsidRDefault="009F33B9" w:rsidP="005D3108">
            <w:pPr>
              <w:spacing w:before="0" w:after="0"/>
              <w:jc w:val="center"/>
              <w:rPr>
                <w:color w:val="000000"/>
                <w:sz w:val="14"/>
                <w:szCs w:val="14"/>
              </w:rPr>
            </w:pPr>
            <w:r w:rsidRPr="00E12F61">
              <w:rPr>
                <w:color w:val="000000"/>
                <w:sz w:val="14"/>
                <w:szCs w:val="14"/>
              </w:rPr>
              <w:t>30</w:t>
            </w:r>
          </w:p>
        </w:tc>
        <w:tc>
          <w:tcPr>
            <w:tcW w:w="540" w:type="dxa"/>
            <w:tcBorders>
              <w:top w:val="single" w:sz="4" w:space="0" w:color="auto"/>
              <w:left w:val="nil"/>
              <w:right w:val="nil"/>
            </w:tcBorders>
            <w:shd w:val="clear" w:color="auto" w:fill="F3F9FA"/>
            <w:noWrap/>
            <w:vAlign w:val="center"/>
          </w:tcPr>
          <w:p w14:paraId="216F2C1E" w14:textId="77777777" w:rsidR="009F33B9" w:rsidRDefault="009F33B9" w:rsidP="005D3108">
            <w:pPr>
              <w:spacing w:before="0" w:after="0"/>
              <w:jc w:val="center"/>
              <w:rPr>
                <w:color w:val="000000"/>
                <w:sz w:val="14"/>
                <w:szCs w:val="14"/>
              </w:rPr>
            </w:pPr>
          </w:p>
        </w:tc>
        <w:tc>
          <w:tcPr>
            <w:tcW w:w="536" w:type="dxa"/>
            <w:tcBorders>
              <w:top w:val="single" w:sz="4" w:space="0" w:color="auto"/>
              <w:left w:val="nil"/>
              <w:right w:val="nil"/>
            </w:tcBorders>
            <w:shd w:val="clear" w:color="auto" w:fill="F3F9FA"/>
            <w:vAlign w:val="center"/>
          </w:tcPr>
          <w:p w14:paraId="40FC43E1" w14:textId="77777777" w:rsidR="009F33B9" w:rsidRDefault="009F33B9" w:rsidP="005D3108">
            <w:pPr>
              <w:spacing w:before="0" w:after="0"/>
              <w:jc w:val="center"/>
              <w:rPr>
                <w:color w:val="000000"/>
                <w:sz w:val="14"/>
                <w:szCs w:val="14"/>
              </w:rPr>
            </w:pPr>
          </w:p>
        </w:tc>
        <w:tc>
          <w:tcPr>
            <w:tcW w:w="540" w:type="dxa"/>
            <w:tcBorders>
              <w:top w:val="single" w:sz="4" w:space="0" w:color="auto"/>
              <w:left w:val="nil"/>
              <w:right w:val="nil"/>
            </w:tcBorders>
            <w:shd w:val="clear" w:color="auto" w:fill="F3F9FA"/>
            <w:vAlign w:val="center"/>
          </w:tcPr>
          <w:p w14:paraId="28C4E56F" w14:textId="77777777" w:rsidR="009F33B9" w:rsidRDefault="009F33B9" w:rsidP="005D3108">
            <w:pPr>
              <w:spacing w:before="0" w:after="0"/>
              <w:jc w:val="center"/>
              <w:rPr>
                <w:color w:val="000000"/>
                <w:sz w:val="14"/>
                <w:szCs w:val="14"/>
              </w:rPr>
            </w:pPr>
          </w:p>
        </w:tc>
        <w:tc>
          <w:tcPr>
            <w:tcW w:w="529" w:type="dxa"/>
            <w:tcBorders>
              <w:top w:val="single" w:sz="4" w:space="0" w:color="auto"/>
              <w:left w:val="nil"/>
              <w:right w:val="nil"/>
            </w:tcBorders>
            <w:shd w:val="clear" w:color="auto" w:fill="F3F9FA"/>
            <w:vAlign w:val="center"/>
          </w:tcPr>
          <w:p w14:paraId="24A28CDF"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0B030DAC" w14:textId="77777777" w:rsidR="009F33B9" w:rsidRDefault="009F33B9"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0F303DFA"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48C66607"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7E44FBF2"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37827836" w14:textId="77777777" w:rsidR="009F33B9" w:rsidRDefault="009F33B9"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234A8EDA" w14:textId="77777777" w:rsidR="009F33B9" w:rsidRDefault="009F33B9"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7E5715DC" w14:textId="77777777" w:rsidR="009F33B9" w:rsidRDefault="009F33B9" w:rsidP="005D3108">
            <w:pPr>
              <w:spacing w:before="0" w:after="0"/>
              <w:jc w:val="center"/>
              <w:rPr>
                <w:color w:val="000000"/>
                <w:sz w:val="14"/>
                <w:szCs w:val="14"/>
              </w:rPr>
            </w:pPr>
          </w:p>
        </w:tc>
      </w:tr>
      <w:tr w:rsidR="00F87B84" w14:paraId="33BB92B6"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76EAE18E" w14:textId="77777777" w:rsidR="00F87B84" w:rsidRDefault="00F87B84" w:rsidP="005D3108">
            <w:pPr>
              <w:spacing w:before="0" w:after="0"/>
              <w:rPr>
                <w:color w:val="000000"/>
                <w:sz w:val="14"/>
                <w:szCs w:val="14"/>
              </w:rPr>
            </w:pPr>
          </w:p>
        </w:tc>
        <w:tc>
          <w:tcPr>
            <w:tcW w:w="1294" w:type="dxa"/>
            <w:vMerge/>
            <w:tcBorders>
              <w:left w:val="nil"/>
              <w:right w:val="nil"/>
            </w:tcBorders>
            <w:shd w:val="clear" w:color="auto" w:fill="F3F9FA"/>
            <w:noWrap/>
            <w:vAlign w:val="center"/>
          </w:tcPr>
          <w:p w14:paraId="2BDC0CBB" w14:textId="77777777" w:rsidR="00F87B84" w:rsidRDefault="00F87B84" w:rsidP="005D3108">
            <w:pPr>
              <w:spacing w:before="0" w:after="0"/>
              <w:jc w:val="center"/>
              <w:rPr>
                <w:color w:val="000000"/>
                <w:sz w:val="14"/>
                <w:szCs w:val="14"/>
              </w:rPr>
            </w:pPr>
          </w:p>
        </w:tc>
        <w:tc>
          <w:tcPr>
            <w:tcW w:w="1299" w:type="dxa"/>
            <w:vMerge/>
            <w:tcBorders>
              <w:left w:val="nil"/>
              <w:bottom w:val="nil"/>
              <w:right w:val="nil"/>
            </w:tcBorders>
            <w:shd w:val="clear" w:color="auto" w:fill="F3F9FA"/>
            <w:vAlign w:val="center"/>
          </w:tcPr>
          <w:p w14:paraId="33E13D6C" w14:textId="77777777" w:rsidR="00F87B84" w:rsidRDefault="00F87B84" w:rsidP="005D3108">
            <w:pPr>
              <w:spacing w:before="0" w:after="0"/>
              <w:jc w:val="center"/>
              <w:rPr>
                <w:color w:val="000000"/>
                <w:sz w:val="14"/>
                <w:szCs w:val="14"/>
              </w:rPr>
            </w:pPr>
          </w:p>
        </w:tc>
        <w:tc>
          <w:tcPr>
            <w:tcW w:w="1307" w:type="dxa"/>
            <w:vMerge/>
            <w:tcBorders>
              <w:left w:val="nil"/>
              <w:bottom w:val="nil"/>
              <w:right w:val="nil"/>
            </w:tcBorders>
            <w:shd w:val="clear" w:color="auto" w:fill="F3F9FA"/>
            <w:noWrap/>
            <w:vAlign w:val="center"/>
          </w:tcPr>
          <w:p w14:paraId="62FE29C1" w14:textId="77777777" w:rsidR="00F87B84" w:rsidRDefault="00F87B84" w:rsidP="005D3108">
            <w:pPr>
              <w:spacing w:before="0" w:after="0"/>
              <w:jc w:val="center"/>
              <w:rPr>
                <w:color w:val="000000"/>
                <w:sz w:val="14"/>
                <w:szCs w:val="14"/>
              </w:rPr>
            </w:pPr>
          </w:p>
        </w:tc>
        <w:tc>
          <w:tcPr>
            <w:tcW w:w="840" w:type="dxa"/>
            <w:tcBorders>
              <w:left w:val="nil"/>
              <w:bottom w:val="nil"/>
            </w:tcBorders>
            <w:shd w:val="clear" w:color="auto" w:fill="F3F9FA"/>
            <w:noWrap/>
            <w:vAlign w:val="center"/>
          </w:tcPr>
          <w:p w14:paraId="4B94C2EE" w14:textId="77777777" w:rsidR="00F87B84" w:rsidRDefault="00F87B84" w:rsidP="005D3108">
            <w:pPr>
              <w:spacing w:before="0" w:after="0"/>
              <w:jc w:val="center"/>
              <w:rPr>
                <w:b/>
                <w:color w:val="000000"/>
                <w:sz w:val="14"/>
                <w:szCs w:val="14"/>
              </w:rPr>
            </w:pPr>
            <w:r>
              <w:rPr>
                <w:b/>
                <w:color w:val="000000"/>
                <w:sz w:val="14"/>
                <w:szCs w:val="14"/>
              </w:rPr>
              <w:t>HB2</w:t>
            </w:r>
          </w:p>
        </w:tc>
        <w:tc>
          <w:tcPr>
            <w:tcW w:w="555" w:type="dxa"/>
            <w:tcBorders>
              <w:bottom w:val="nil"/>
            </w:tcBorders>
            <w:shd w:val="clear" w:color="auto" w:fill="F3F9FA"/>
            <w:vAlign w:val="center"/>
          </w:tcPr>
          <w:p w14:paraId="2506FAEE" w14:textId="07BA1A9E"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33</w:t>
            </w:r>
          </w:p>
        </w:tc>
        <w:tc>
          <w:tcPr>
            <w:tcW w:w="543" w:type="dxa"/>
            <w:tcBorders>
              <w:bottom w:val="nil"/>
            </w:tcBorders>
            <w:shd w:val="clear" w:color="auto" w:fill="F3F9FA"/>
            <w:noWrap/>
            <w:vAlign w:val="center"/>
          </w:tcPr>
          <w:p w14:paraId="17D54778" w14:textId="3A51A8E9"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30</w:t>
            </w:r>
          </w:p>
        </w:tc>
        <w:tc>
          <w:tcPr>
            <w:tcW w:w="540" w:type="dxa"/>
            <w:tcBorders>
              <w:bottom w:val="nil"/>
            </w:tcBorders>
            <w:shd w:val="clear" w:color="auto" w:fill="F3F9FA"/>
            <w:noWrap/>
            <w:vAlign w:val="center"/>
          </w:tcPr>
          <w:p w14:paraId="6C237340"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bottom w:val="nil"/>
            </w:tcBorders>
            <w:shd w:val="clear" w:color="auto" w:fill="F3F9FA"/>
            <w:vAlign w:val="center"/>
          </w:tcPr>
          <w:p w14:paraId="270941FB" w14:textId="77777777" w:rsidR="00F87B84" w:rsidRPr="000E0B31" w:rsidRDefault="00F87B84" w:rsidP="005D3108">
            <w:pPr>
              <w:spacing w:before="0" w:after="0"/>
              <w:jc w:val="center"/>
              <w:rPr>
                <w:color w:val="000000"/>
                <w:sz w:val="14"/>
                <w:szCs w:val="14"/>
              </w:rPr>
            </w:pPr>
          </w:p>
        </w:tc>
        <w:tc>
          <w:tcPr>
            <w:tcW w:w="540" w:type="dxa"/>
            <w:tcBorders>
              <w:bottom w:val="nil"/>
            </w:tcBorders>
            <w:shd w:val="clear" w:color="auto" w:fill="F3F9FA"/>
            <w:vAlign w:val="center"/>
          </w:tcPr>
          <w:p w14:paraId="29350B08" w14:textId="77777777" w:rsidR="00F87B84" w:rsidRPr="0041562F" w:rsidRDefault="00F87B84" w:rsidP="005D3108">
            <w:pPr>
              <w:spacing w:before="0" w:after="0"/>
              <w:jc w:val="center"/>
              <w:rPr>
                <w:color w:val="000000"/>
                <w:sz w:val="14"/>
                <w:szCs w:val="14"/>
              </w:rPr>
            </w:pPr>
          </w:p>
        </w:tc>
        <w:tc>
          <w:tcPr>
            <w:tcW w:w="529" w:type="dxa"/>
            <w:tcBorders>
              <w:bottom w:val="nil"/>
            </w:tcBorders>
            <w:shd w:val="clear" w:color="auto" w:fill="F3F9FA"/>
            <w:vAlign w:val="center"/>
          </w:tcPr>
          <w:p w14:paraId="72F50B5E" w14:textId="7B21607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tcPr>
          <w:p w14:paraId="3DC210B5" w14:textId="77777777" w:rsidR="00F87B84" w:rsidRPr="000E0B31" w:rsidRDefault="00F87B84"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tcPr>
          <w:p w14:paraId="5907B776"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1815FD31"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1E9EF3AE" w14:textId="77777777" w:rsidR="00F87B84" w:rsidRPr="000E0B31"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52F71A80" w14:textId="77777777" w:rsidR="00F87B84" w:rsidRPr="0041562F"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6CC0747E" w14:textId="72830B7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tcPr>
          <w:p w14:paraId="2E41F75E" w14:textId="77777777" w:rsidR="00F87B84" w:rsidRPr="000E0B31" w:rsidRDefault="00F87B84" w:rsidP="005D3108">
            <w:pPr>
              <w:spacing w:before="0" w:after="0"/>
              <w:jc w:val="center"/>
              <w:rPr>
                <w:color w:val="000000"/>
                <w:sz w:val="14"/>
                <w:szCs w:val="14"/>
              </w:rPr>
            </w:pPr>
          </w:p>
        </w:tc>
      </w:tr>
      <w:tr w:rsidR="00F87B84" w14:paraId="7934AB72"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3DF8277C" w14:textId="77777777" w:rsidR="00F87B84" w:rsidRDefault="00F87B84" w:rsidP="005D3108">
            <w:pPr>
              <w:spacing w:before="0" w:after="0"/>
              <w:rPr>
                <w:color w:val="000000"/>
                <w:sz w:val="14"/>
                <w:szCs w:val="14"/>
              </w:rPr>
            </w:pPr>
          </w:p>
        </w:tc>
        <w:tc>
          <w:tcPr>
            <w:tcW w:w="1294" w:type="dxa"/>
            <w:vMerge/>
            <w:tcBorders>
              <w:left w:val="nil"/>
              <w:right w:val="nil"/>
            </w:tcBorders>
            <w:shd w:val="clear" w:color="auto" w:fill="F3F9FA"/>
            <w:noWrap/>
            <w:vAlign w:val="center"/>
          </w:tcPr>
          <w:p w14:paraId="740F91F1" w14:textId="77777777" w:rsidR="00F87B84" w:rsidRDefault="00F87B84" w:rsidP="005D3108">
            <w:pPr>
              <w:spacing w:before="0" w:after="0"/>
              <w:jc w:val="center"/>
              <w:rPr>
                <w:color w:val="000000"/>
                <w:sz w:val="14"/>
                <w:szCs w:val="14"/>
              </w:rPr>
            </w:pPr>
          </w:p>
        </w:tc>
        <w:tc>
          <w:tcPr>
            <w:tcW w:w="1299" w:type="dxa"/>
            <w:vMerge w:val="restart"/>
            <w:tcBorders>
              <w:top w:val="single" w:sz="4" w:space="0" w:color="auto"/>
              <w:left w:val="nil"/>
              <w:right w:val="nil"/>
            </w:tcBorders>
            <w:shd w:val="clear" w:color="auto" w:fill="F3F9FA"/>
            <w:vAlign w:val="center"/>
          </w:tcPr>
          <w:p w14:paraId="145EB8D9" w14:textId="77777777" w:rsidR="00F87B84" w:rsidRDefault="00F87B84" w:rsidP="005D3108">
            <w:pPr>
              <w:spacing w:before="0" w:after="0"/>
              <w:jc w:val="center"/>
              <w:rPr>
                <w:color w:val="000000"/>
                <w:sz w:val="14"/>
                <w:szCs w:val="14"/>
              </w:rPr>
            </w:pPr>
            <w:r>
              <w:rPr>
                <w:color w:val="000000"/>
                <w:sz w:val="14"/>
                <w:szCs w:val="14"/>
              </w:rPr>
              <w:t>Proserpine</w:t>
            </w:r>
          </w:p>
        </w:tc>
        <w:tc>
          <w:tcPr>
            <w:tcW w:w="1307" w:type="dxa"/>
            <w:vMerge w:val="restart"/>
            <w:tcBorders>
              <w:top w:val="single" w:sz="4" w:space="0" w:color="auto"/>
              <w:left w:val="nil"/>
              <w:right w:val="nil"/>
            </w:tcBorders>
            <w:shd w:val="clear" w:color="auto" w:fill="F3F9FA"/>
            <w:noWrap/>
            <w:vAlign w:val="center"/>
          </w:tcPr>
          <w:p w14:paraId="10E61EB2" w14:textId="77777777" w:rsidR="00F87B84" w:rsidRDefault="00F87B84" w:rsidP="005D3108">
            <w:pPr>
              <w:spacing w:before="0" w:after="0"/>
              <w:jc w:val="center"/>
              <w:rPr>
                <w:color w:val="000000"/>
                <w:sz w:val="14"/>
                <w:szCs w:val="14"/>
              </w:rPr>
            </w:pPr>
            <w:r>
              <w:rPr>
                <w:color w:val="000000"/>
                <w:sz w:val="14"/>
                <w:szCs w:val="14"/>
              </w:rPr>
              <w:t>Pioneer Bay</w:t>
            </w:r>
          </w:p>
        </w:tc>
        <w:tc>
          <w:tcPr>
            <w:tcW w:w="840" w:type="dxa"/>
            <w:tcBorders>
              <w:top w:val="single" w:sz="4" w:space="0" w:color="auto"/>
              <w:left w:val="nil"/>
              <w:right w:val="nil"/>
            </w:tcBorders>
            <w:shd w:val="clear" w:color="auto" w:fill="F3F9FA"/>
            <w:noWrap/>
            <w:vAlign w:val="center"/>
          </w:tcPr>
          <w:p w14:paraId="67345F8A" w14:textId="77777777" w:rsidR="00F87B84" w:rsidRDefault="00F87B84" w:rsidP="005D3108">
            <w:pPr>
              <w:spacing w:before="0" w:after="0"/>
              <w:jc w:val="center"/>
              <w:rPr>
                <w:b/>
                <w:color w:val="000000"/>
                <w:sz w:val="14"/>
                <w:szCs w:val="14"/>
              </w:rPr>
            </w:pPr>
            <w:r>
              <w:rPr>
                <w:b/>
                <w:color w:val="000000"/>
                <w:sz w:val="14"/>
                <w:szCs w:val="14"/>
              </w:rPr>
              <w:t>PI2</w:t>
            </w:r>
          </w:p>
        </w:tc>
        <w:tc>
          <w:tcPr>
            <w:tcW w:w="555" w:type="dxa"/>
            <w:tcBorders>
              <w:top w:val="single" w:sz="4" w:space="0" w:color="auto"/>
              <w:left w:val="nil"/>
              <w:right w:val="nil"/>
            </w:tcBorders>
            <w:shd w:val="clear" w:color="auto" w:fill="F3F9FA"/>
            <w:vAlign w:val="center"/>
          </w:tcPr>
          <w:p w14:paraId="5F4218E8" w14:textId="5A07A15C"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33</w:t>
            </w:r>
          </w:p>
        </w:tc>
        <w:tc>
          <w:tcPr>
            <w:tcW w:w="543" w:type="dxa"/>
            <w:tcBorders>
              <w:top w:val="single" w:sz="4" w:space="0" w:color="auto"/>
              <w:left w:val="nil"/>
              <w:right w:val="nil"/>
            </w:tcBorders>
            <w:shd w:val="clear" w:color="auto" w:fill="F3F9FA"/>
            <w:noWrap/>
            <w:vAlign w:val="center"/>
          </w:tcPr>
          <w:p w14:paraId="05C26C14" w14:textId="5AB0866A"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30</w:t>
            </w:r>
          </w:p>
        </w:tc>
        <w:tc>
          <w:tcPr>
            <w:tcW w:w="540" w:type="dxa"/>
            <w:tcBorders>
              <w:top w:val="single" w:sz="4" w:space="0" w:color="auto"/>
              <w:left w:val="nil"/>
              <w:right w:val="nil"/>
            </w:tcBorders>
            <w:shd w:val="clear" w:color="auto" w:fill="F3F9FA"/>
            <w:noWrap/>
            <w:vAlign w:val="center"/>
          </w:tcPr>
          <w:p w14:paraId="0EB8EF0B"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top w:val="single" w:sz="4" w:space="0" w:color="auto"/>
              <w:left w:val="nil"/>
              <w:right w:val="nil"/>
            </w:tcBorders>
            <w:shd w:val="clear" w:color="auto" w:fill="F3F9FA"/>
            <w:vAlign w:val="center"/>
          </w:tcPr>
          <w:p w14:paraId="67B7402D" w14:textId="77777777" w:rsidR="00F87B84" w:rsidRPr="000E0B31" w:rsidRDefault="00F87B84" w:rsidP="005D3108">
            <w:pPr>
              <w:spacing w:before="0" w:after="0"/>
              <w:jc w:val="center"/>
              <w:rPr>
                <w:color w:val="000000"/>
                <w:sz w:val="14"/>
                <w:szCs w:val="14"/>
              </w:rPr>
            </w:pPr>
          </w:p>
        </w:tc>
        <w:tc>
          <w:tcPr>
            <w:tcW w:w="540" w:type="dxa"/>
            <w:tcBorders>
              <w:top w:val="single" w:sz="4" w:space="0" w:color="auto"/>
              <w:left w:val="nil"/>
              <w:right w:val="nil"/>
            </w:tcBorders>
            <w:shd w:val="clear" w:color="auto" w:fill="F3F9FA"/>
            <w:vAlign w:val="center"/>
          </w:tcPr>
          <w:p w14:paraId="7C25ED9D" w14:textId="77777777" w:rsidR="00F87B84" w:rsidRPr="0041562F" w:rsidRDefault="00F87B84" w:rsidP="005D3108">
            <w:pPr>
              <w:spacing w:before="0" w:after="0"/>
              <w:jc w:val="center"/>
              <w:rPr>
                <w:color w:val="000000"/>
                <w:sz w:val="14"/>
                <w:szCs w:val="14"/>
              </w:rPr>
            </w:pPr>
          </w:p>
        </w:tc>
        <w:tc>
          <w:tcPr>
            <w:tcW w:w="529" w:type="dxa"/>
            <w:tcBorders>
              <w:top w:val="single" w:sz="4" w:space="0" w:color="auto"/>
              <w:left w:val="nil"/>
              <w:right w:val="nil"/>
            </w:tcBorders>
            <w:shd w:val="clear" w:color="auto" w:fill="F3F9FA"/>
            <w:vAlign w:val="center"/>
          </w:tcPr>
          <w:p w14:paraId="5619961F" w14:textId="3A4466A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2EA1074B"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72A18E87"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3AE5B96B"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1A0718C3"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1D4DB0FB" w14:textId="77777777" w:rsidR="00F87B84" w:rsidRPr="0041562F"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488B533E" w14:textId="6004FC9C"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240544FF" w14:textId="77777777" w:rsidR="00F87B84" w:rsidRPr="000E0B31" w:rsidRDefault="00F87B84" w:rsidP="005D3108">
            <w:pPr>
              <w:spacing w:before="0" w:after="0"/>
              <w:jc w:val="center"/>
              <w:rPr>
                <w:color w:val="000000"/>
                <w:sz w:val="14"/>
                <w:szCs w:val="14"/>
              </w:rPr>
            </w:pPr>
          </w:p>
        </w:tc>
      </w:tr>
      <w:tr w:rsidR="00F87B84" w14:paraId="55BA40F3"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74A2392F" w14:textId="77777777" w:rsidR="00F87B84" w:rsidRDefault="00F87B84" w:rsidP="005D3108">
            <w:pPr>
              <w:spacing w:before="0" w:after="0"/>
              <w:rPr>
                <w:color w:val="000000"/>
                <w:sz w:val="14"/>
                <w:szCs w:val="14"/>
              </w:rPr>
            </w:pPr>
          </w:p>
        </w:tc>
        <w:tc>
          <w:tcPr>
            <w:tcW w:w="1294" w:type="dxa"/>
            <w:vMerge/>
            <w:tcBorders>
              <w:left w:val="nil"/>
              <w:right w:val="nil"/>
            </w:tcBorders>
            <w:shd w:val="clear" w:color="auto" w:fill="F3F9FA"/>
            <w:noWrap/>
            <w:vAlign w:val="center"/>
          </w:tcPr>
          <w:p w14:paraId="0E78BB2F" w14:textId="77777777" w:rsidR="00F87B84" w:rsidRDefault="00F87B84" w:rsidP="005D3108">
            <w:pPr>
              <w:spacing w:before="0" w:after="0"/>
              <w:jc w:val="center"/>
              <w:rPr>
                <w:color w:val="000000"/>
                <w:sz w:val="14"/>
                <w:szCs w:val="14"/>
              </w:rPr>
            </w:pPr>
          </w:p>
        </w:tc>
        <w:tc>
          <w:tcPr>
            <w:tcW w:w="1299" w:type="dxa"/>
            <w:vMerge/>
            <w:tcBorders>
              <w:left w:val="nil"/>
              <w:bottom w:val="nil"/>
              <w:right w:val="nil"/>
            </w:tcBorders>
            <w:shd w:val="clear" w:color="auto" w:fill="F3F9FA"/>
            <w:vAlign w:val="center"/>
          </w:tcPr>
          <w:p w14:paraId="48B1BE55" w14:textId="77777777" w:rsidR="00F87B84" w:rsidRDefault="00F87B84" w:rsidP="005D3108">
            <w:pPr>
              <w:spacing w:before="0" w:after="0"/>
              <w:jc w:val="center"/>
              <w:rPr>
                <w:color w:val="000000"/>
                <w:sz w:val="14"/>
                <w:szCs w:val="14"/>
              </w:rPr>
            </w:pPr>
          </w:p>
        </w:tc>
        <w:tc>
          <w:tcPr>
            <w:tcW w:w="1307" w:type="dxa"/>
            <w:vMerge/>
            <w:tcBorders>
              <w:left w:val="nil"/>
              <w:bottom w:val="nil"/>
              <w:right w:val="nil"/>
            </w:tcBorders>
            <w:shd w:val="clear" w:color="auto" w:fill="F3F9FA"/>
            <w:noWrap/>
            <w:vAlign w:val="center"/>
          </w:tcPr>
          <w:p w14:paraId="65DFAEEC" w14:textId="77777777" w:rsidR="00F87B84" w:rsidRDefault="00F87B84" w:rsidP="005D3108">
            <w:pPr>
              <w:spacing w:before="0" w:after="0"/>
              <w:jc w:val="center"/>
              <w:rPr>
                <w:color w:val="000000"/>
                <w:sz w:val="14"/>
                <w:szCs w:val="14"/>
              </w:rPr>
            </w:pPr>
          </w:p>
        </w:tc>
        <w:tc>
          <w:tcPr>
            <w:tcW w:w="840" w:type="dxa"/>
            <w:tcBorders>
              <w:left w:val="nil"/>
              <w:bottom w:val="nil"/>
            </w:tcBorders>
            <w:shd w:val="clear" w:color="auto" w:fill="F3F9FA"/>
            <w:noWrap/>
            <w:vAlign w:val="center"/>
          </w:tcPr>
          <w:p w14:paraId="51469117" w14:textId="77777777" w:rsidR="00F87B84" w:rsidRDefault="00F87B84" w:rsidP="005D3108">
            <w:pPr>
              <w:spacing w:before="0" w:after="0"/>
              <w:jc w:val="center"/>
              <w:rPr>
                <w:b/>
                <w:color w:val="000000"/>
                <w:sz w:val="14"/>
                <w:szCs w:val="14"/>
              </w:rPr>
            </w:pPr>
            <w:r>
              <w:rPr>
                <w:b/>
                <w:color w:val="000000"/>
                <w:sz w:val="14"/>
                <w:szCs w:val="14"/>
              </w:rPr>
              <w:t>PI3</w:t>
            </w:r>
          </w:p>
        </w:tc>
        <w:tc>
          <w:tcPr>
            <w:tcW w:w="555" w:type="dxa"/>
            <w:tcBorders>
              <w:bottom w:val="nil"/>
            </w:tcBorders>
            <w:shd w:val="clear" w:color="auto" w:fill="F3F9FA"/>
            <w:vAlign w:val="center"/>
          </w:tcPr>
          <w:p w14:paraId="1B38F4C7" w14:textId="6F4B50B5"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33</w:t>
            </w:r>
          </w:p>
        </w:tc>
        <w:tc>
          <w:tcPr>
            <w:tcW w:w="543" w:type="dxa"/>
            <w:tcBorders>
              <w:bottom w:val="nil"/>
            </w:tcBorders>
            <w:shd w:val="clear" w:color="auto" w:fill="F3F9FA"/>
            <w:noWrap/>
            <w:vAlign w:val="center"/>
          </w:tcPr>
          <w:p w14:paraId="73132C77" w14:textId="152F8E31"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30</w:t>
            </w:r>
          </w:p>
        </w:tc>
        <w:tc>
          <w:tcPr>
            <w:tcW w:w="540" w:type="dxa"/>
            <w:tcBorders>
              <w:bottom w:val="nil"/>
            </w:tcBorders>
            <w:shd w:val="clear" w:color="auto" w:fill="F3F9FA"/>
            <w:noWrap/>
            <w:vAlign w:val="center"/>
          </w:tcPr>
          <w:p w14:paraId="419DB795"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bottom w:val="nil"/>
            </w:tcBorders>
            <w:shd w:val="clear" w:color="auto" w:fill="F3F9FA"/>
            <w:vAlign w:val="center"/>
          </w:tcPr>
          <w:p w14:paraId="5A98ADC3" w14:textId="77777777" w:rsidR="00F87B84" w:rsidRPr="000E0B31" w:rsidRDefault="00F87B84" w:rsidP="005D3108">
            <w:pPr>
              <w:spacing w:before="0" w:after="0"/>
              <w:jc w:val="center"/>
              <w:rPr>
                <w:color w:val="000000"/>
                <w:sz w:val="14"/>
                <w:szCs w:val="14"/>
              </w:rPr>
            </w:pPr>
          </w:p>
        </w:tc>
        <w:tc>
          <w:tcPr>
            <w:tcW w:w="540" w:type="dxa"/>
            <w:tcBorders>
              <w:bottom w:val="nil"/>
            </w:tcBorders>
            <w:shd w:val="clear" w:color="auto" w:fill="F3F9FA"/>
            <w:vAlign w:val="center"/>
          </w:tcPr>
          <w:p w14:paraId="2E4EFB7D" w14:textId="77777777" w:rsidR="00F87B84" w:rsidRPr="0041562F" w:rsidRDefault="00F87B84" w:rsidP="005D3108">
            <w:pPr>
              <w:spacing w:before="0" w:after="0"/>
              <w:jc w:val="center"/>
              <w:rPr>
                <w:color w:val="000000"/>
                <w:sz w:val="14"/>
                <w:szCs w:val="14"/>
              </w:rPr>
            </w:pPr>
          </w:p>
        </w:tc>
        <w:tc>
          <w:tcPr>
            <w:tcW w:w="529" w:type="dxa"/>
            <w:tcBorders>
              <w:bottom w:val="nil"/>
            </w:tcBorders>
            <w:shd w:val="clear" w:color="auto" w:fill="F3F9FA"/>
            <w:vAlign w:val="center"/>
          </w:tcPr>
          <w:p w14:paraId="2712C899" w14:textId="1B8CCE3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tcPr>
          <w:p w14:paraId="16A6556C" w14:textId="77777777" w:rsidR="00F87B84" w:rsidRPr="000E0B31" w:rsidRDefault="00F87B84"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tcPr>
          <w:p w14:paraId="0627E0C9"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42E73C9C"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3C0D125A" w14:textId="77777777" w:rsidR="00F87B84" w:rsidRPr="000E0B31"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5C85CCD4" w14:textId="77777777" w:rsidR="00F87B84" w:rsidRPr="0041562F"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140FBB75" w14:textId="40B130A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tcPr>
          <w:p w14:paraId="3A973432" w14:textId="77777777" w:rsidR="00F87B84" w:rsidRPr="000E0B31" w:rsidRDefault="00F87B84" w:rsidP="005D3108">
            <w:pPr>
              <w:spacing w:before="0" w:after="0"/>
              <w:jc w:val="center"/>
              <w:rPr>
                <w:color w:val="000000"/>
                <w:sz w:val="14"/>
                <w:szCs w:val="14"/>
              </w:rPr>
            </w:pPr>
          </w:p>
        </w:tc>
      </w:tr>
      <w:tr w:rsidR="00F87B84" w14:paraId="2832748C"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655A7B7F" w14:textId="77777777" w:rsidR="00F87B84" w:rsidRDefault="00F87B84" w:rsidP="005D3108">
            <w:pPr>
              <w:spacing w:before="0" w:after="0"/>
              <w:rPr>
                <w:color w:val="000000"/>
                <w:sz w:val="14"/>
                <w:szCs w:val="14"/>
              </w:rPr>
            </w:pPr>
          </w:p>
        </w:tc>
        <w:tc>
          <w:tcPr>
            <w:tcW w:w="1294" w:type="dxa"/>
            <w:vMerge/>
            <w:tcBorders>
              <w:left w:val="nil"/>
              <w:right w:val="nil"/>
            </w:tcBorders>
            <w:shd w:val="clear" w:color="auto" w:fill="F3F9FA"/>
            <w:noWrap/>
            <w:vAlign w:val="center"/>
            <w:hideMark/>
          </w:tcPr>
          <w:p w14:paraId="5B40B371" w14:textId="77777777" w:rsidR="00F87B84" w:rsidRDefault="00F87B84" w:rsidP="005D3108">
            <w:pPr>
              <w:spacing w:before="0" w:after="0"/>
              <w:jc w:val="center"/>
              <w:rPr>
                <w:color w:val="000000"/>
                <w:sz w:val="14"/>
                <w:szCs w:val="14"/>
              </w:rPr>
            </w:pPr>
          </w:p>
        </w:tc>
        <w:tc>
          <w:tcPr>
            <w:tcW w:w="1299" w:type="dxa"/>
            <w:vMerge w:val="restart"/>
            <w:tcBorders>
              <w:top w:val="single" w:sz="4" w:space="0" w:color="auto"/>
              <w:left w:val="nil"/>
              <w:right w:val="nil"/>
            </w:tcBorders>
            <w:shd w:val="clear" w:color="auto" w:fill="F3F9FA"/>
            <w:vAlign w:val="center"/>
            <w:hideMark/>
          </w:tcPr>
          <w:p w14:paraId="5C30DD00" w14:textId="77777777" w:rsidR="00F87B84" w:rsidRDefault="00F87B84" w:rsidP="005D3108">
            <w:pPr>
              <w:spacing w:before="0" w:after="0"/>
              <w:jc w:val="center"/>
              <w:rPr>
                <w:color w:val="000000"/>
                <w:sz w:val="14"/>
                <w:szCs w:val="14"/>
              </w:rPr>
            </w:pPr>
            <w:r>
              <w:rPr>
                <w:color w:val="000000"/>
                <w:sz w:val="14"/>
                <w:szCs w:val="14"/>
              </w:rPr>
              <w:t>Proserpine / O’Connell</w:t>
            </w:r>
          </w:p>
        </w:tc>
        <w:tc>
          <w:tcPr>
            <w:tcW w:w="1307" w:type="dxa"/>
            <w:vMerge w:val="restart"/>
            <w:tcBorders>
              <w:top w:val="single" w:sz="4" w:space="0" w:color="auto"/>
              <w:left w:val="nil"/>
              <w:bottom w:val="nil"/>
              <w:right w:val="nil"/>
            </w:tcBorders>
            <w:shd w:val="clear" w:color="auto" w:fill="F3F9FA"/>
            <w:noWrap/>
            <w:vAlign w:val="center"/>
            <w:hideMark/>
          </w:tcPr>
          <w:p w14:paraId="599B38DE" w14:textId="77777777" w:rsidR="00F87B84" w:rsidRDefault="00F87B84" w:rsidP="005D3108">
            <w:pPr>
              <w:spacing w:before="0" w:after="0"/>
              <w:jc w:val="center"/>
              <w:rPr>
                <w:color w:val="000000"/>
                <w:sz w:val="14"/>
                <w:szCs w:val="14"/>
              </w:rPr>
            </w:pPr>
            <w:r>
              <w:rPr>
                <w:color w:val="000000"/>
                <w:sz w:val="14"/>
                <w:szCs w:val="14"/>
              </w:rPr>
              <w:t>Repulse Bay</w:t>
            </w:r>
          </w:p>
        </w:tc>
        <w:tc>
          <w:tcPr>
            <w:tcW w:w="840" w:type="dxa"/>
            <w:tcBorders>
              <w:top w:val="single" w:sz="4" w:space="0" w:color="auto"/>
              <w:left w:val="nil"/>
              <w:right w:val="nil"/>
            </w:tcBorders>
            <w:shd w:val="clear" w:color="auto" w:fill="F3F9FA"/>
            <w:noWrap/>
            <w:vAlign w:val="center"/>
          </w:tcPr>
          <w:p w14:paraId="32E17DC2" w14:textId="77777777" w:rsidR="00F87B84" w:rsidRDefault="00F87B84" w:rsidP="005D3108">
            <w:pPr>
              <w:spacing w:before="0" w:after="0"/>
              <w:jc w:val="center"/>
              <w:rPr>
                <w:b/>
                <w:color w:val="000000"/>
                <w:sz w:val="14"/>
                <w:szCs w:val="14"/>
              </w:rPr>
            </w:pPr>
            <w:r>
              <w:rPr>
                <w:b/>
                <w:color w:val="000000"/>
                <w:sz w:val="14"/>
                <w:szCs w:val="14"/>
              </w:rPr>
              <w:t>MP2</w:t>
            </w:r>
          </w:p>
        </w:tc>
        <w:tc>
          <w:tcPr>
            <w:tcW w:w="555" w:type="dxa"/>
            <w:tcBorders>
              <w:top w:val="single" w:sz="4" w:space="0" w:color="auto"/>
              <w:left w:val="nil"/>
              <w:right w:val="nil"/>
            </w:tcBorders>
            <w:shd w:val="clear" w:color="auto" w:fill="F3F9FA"/>
            <w:vAlign w:val="center"/>
          </w:tcPr>
          <w:p w14:paraId="0FA23E8A" w14:textId="28A807A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tcPr>
          <w:p w14:paraId="5E45FD69" w14:textId="424D9BB1"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tcPr>
          <w:p w14:paraId="3E1797B6" w14:textId="365AB968"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tcPr>
          <w:p w14:paraId="2A23F08B" w14:textId="51879808"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tcPr>
          <w:p w14:paraId="3FCFCCA7" w14:textId="59E04F29"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tcPr>
          <w:p w14:paraId="21EAF970" w14:textId="5F6808A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4E6FFE33" w14:textId="3520578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F3F9FA"/>
            <w:vAlign w:val="center"/>
          </w:tcPr>
          <w:p w14:paraId="3977D36D" w14:textId="34CA37EC"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tcPr>
          <w:p w14:paraId="44F6E1D3" w14:textId="4CD031D3"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4E4244B4" w14:textId="6A14445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tcPr>
          <w:p w14:paraId="5F527A31" w14:textId="6FEEEE71"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tcPr>
          <w:p w14:paraId="7A268A9B" w14:textId="3E2A1E1B"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33A05039" w14:textId="70D1C6ED"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2576A74D"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32ADF088" w14:textId="77777777" w:rsidR="00F87B84" w:rsidRDefault="00F87B84" w:rsidP="005D3108">
            <w:pPr>
              <w:spacing w:before="0" w:after="0"/>
              <w:rPr>
                <w:color w:val="000000"/>
                <w:sz w:val="14"/>
                <w:szCs w:val="14"/>
              </w:rPr>
            </w:pPr>
          </w:p>
        </w:tc>
        <w:tc>
          <w:tcPr>
            <w:tcW w:w="1294" w:type="dxa"/>
            <w:vMerge/>
            <w:tcBorders>
              <w:left w:val="nil"/>
              <w:right w:val="nil"/>
            </w:tcBorders>
            <w:vAlign w:val="center"/>
            <w:hideMark/>
          </w:tcPr>
          <w:p w14:paraId="55F16ACB" w14:textId="77777777" w:rsidR="00F87B84" w:rsidRDefault="00F87B84" w:rsidP="005D3108">
            <w:pPr>
              <w:spacing w:before="0" w:after="0"/>
              <w:rPr>
                <w:color w:val="000000"/>
                <w:sz w:val="14"/>
                <w:szCs w:val="14"/>
              </w:rPr>
            </w:pPr>
          </w:p>
        </w:tc>
        <w:tc>
          <w:tcPr>
            <w:tcW w:w="1299" w:type="dxa"/>
            <w:vMerge/>
            <w:tcBorders>
              <w:left w:val="nil"/>
              <w:right w:val="nil"/>
            </w:tcBorders>
            <w:vAlign w:val="center"/>
            <w:hideMark/>
          </w:tcPr>
          <w:p w14:paraId="299AE256"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35E9C8FF" w14:textId="77777777" w:rsidR="00F87B84" w:rsidRDefault="00F87B84" w:rsidP="005D3108">
            <w:pPr>
              <w:spacing w:before="0" w:after="0"/>
              <w:rPr>
                <w:color w:val="000000"/>
                <w:sz w:val="14"/>
                <w:szCs w:val="14"/>
              </w:rPr>
            </w:pPr>
          </w:p>
        </w:tc>
        <w:tc>
          <w:tcPr>
            <w:tcW w:w="840" w:type="dxa"/>
            <w:tcBorders>
              <w:left w:val="nil"/>
              <w:bottom w:val="single" w:sz="4" w:space="0" w:color="auto"/>
            </w:tcBorders>
            <w:shd w:val="clear" w:color="auto" w:fill="F3F9FA"/>
            <w:noWrap/>
            <w:vAlign w:val="center"/>
          </w:tcPr>
          <w:p w14:paraId="64D0AA9D" w14:textId="77777777" w:rsidR="00F87B84" w:rsidRDefault="00F87B84" w:rsidP="005D3108">
            <w:pPr>
              <w:spacing w:before="0" w:after="0"/>
              <w:jc w:val="center"/>
              <w:rPr>
                <w:b/>
                <w:color w:val="000000"/>
                <w:sz w:val="14"/>
                <w:szCs w:val="14"/>
              </w:rPr>
            </w:pPr>
            <w:r>
              <w:rPr>
                <w:b/>
                <w:color w:val="000000"/>
                <w:sz w:val="14"/>
                <w:szCs w:val="14"/>
              </w:rPr>
              <w:t>MP3</w:t>
            </w:r>
          </w:p>
        </w:tc>
        <w:tc>
          <w:tcPr>
            <w:tcW w:w="555" w:type="dxa"/>
            <w:tcBorders>
              <w:bottom w:val="single" w:sz="4" w:space="0" w:color="auto"/>
            </w:tcBorders>
            <w:shd w:val="clear" w:color="auto" w:fill="F3F9FA"/>
            <w:vAlign w:val="center"/>
          </w:tcPr>
          <w:p w14:paraId="342E29EB" w14:textId="596CF12C"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bottom w:val="single" w:sz="4" w:space="0" w:color="auto"/>
            </w:tcBorders>
            <w:shd w:val="clear" w:color="auto" w:fill="F3F9FA"/>
            <w:noWrap/>
            <w:vAlign w:val="center"/>
          </w:tcPr>
          <w:p w14:paraId="6A0AF0E3" w14:textId="48FCC4D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bottom w:val="single" w:sz="4" w:space="0" w:color="auto"/>
            </w:tcBorders>
            <w:shd w:val="clear" w:color="auto" w:fill="F3F9FA"/>
            <w:noWrap/>
            <w:vAlign w:val="center"/>
          </w:tcPr>
          <w:p w14:paraId="40C83079" w14:textId="778A591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bottom w:val="single" w:sz="4" w:space="0" w:color="auto"/>
            </w:tcBorders>
            <w:shd w:val="clear" w:color="auto" w:fill="F3F9FA"/>
            <w:vAlign w:val="center"/>
          </w:tcPr>
          <w:p w14:paraId="5AF85D09" w14:textId="48BE1AD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F3F9FA"/>
            <w:vAlign w:val="center"/>
          </w:tcPr>
          <w:p w14:paraId="0515FC43" w14:textId="2AD5361E"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F3F9FA"/>
            <w:vAlign w:val="center"/>
          </w:tcPr>
          <w:p w14:paraId="377B4F96" w14:textId="541F8C9F"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F3F9FA"/>
            <w:vAlign w:val="center"/>
          </w:tcPr>
          <w:p w14:paraId="10A8FEA5" w14:textId="59628E05" w:rsidR="00F87B84" w:rsidRPr="000E0B31" w:rsidRDefault="00F87B84" w:rsidP="005D3108">
            <w:pPr>
              <w:spacing w:before="0" w:after="0"/>
              <w:jc w:val="center"/>
              <w:rPr>
                <w:color w:val="000000"/>
                <w:sz w:val="14"/>
                <w:szCs w:val="14"/>
              </w:rPr>
            </w:pPr>
          </w:p>
        </w:tc>
        <w:tc>
          <w:tcPr>
            <w:tcW w:w="559" w:type="dxa"/>
            <w:tcBorders>
              <w:left w:val="single" w:sz="4" w:space="0" w:color="auto"/>
              <w:bottom w:val="single" w:sz="4" w:space="0" w:color="auto"/>
            </w:tcBorders>
            <w:shd w:val="clear" w:color="auto" w:fill="F3F9FA"/>
            <w:vAlign w:val="center"/>
          </w:tcPr>
          <w:p w14:paraId="3E3DA88E" w14:textId="34EF42FD"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bottom w:val="single" w:sz="4" w:space="0" w:color="auto"/>
            </w:tcBorders>
            <w:shd w:val="clear" w:color="auto" w:fill="F3F9FA"/>
            <w:vAlign w:val="center"/>
          </w:tcPr>
          <w:p w14:paraId="5E78144B" w14:textId="59E9B056"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bottom w:val="single" w:sz="4" w:space="0" w:color="auto"/>
            </w:tcBorders>
            <w:shd w:val="clear" w:color="auto" w:fill="F3F9FA"/>
            <w:vAlign w:val="center"/>
          </w:tcPr>
          <w:p w14:paraId="3FAF70BD" w14:textId="36753E3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tcBorders>
            <w:shd w:val="clear" w:color="auto" w:fill="F3F9FA"/>
            <w:vAlign w:val="center"/>
          </w:tcPr>
          <w:p w14:paraId="4884E74A" w14:textId="090FA125"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bottom w:val="single" w:sz="4" w:space="0" w:color="auto"/>
            </w:tcBorders>
            <w:shd w:val="clear" w:color="auto" w:fill="F3F9FA"/>
            <w:vAlign w:val="center"/>
          </w:tcPr>
          <w:p w14:paraId="2DA9D98D" w14:textId="69A8D4C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single" w:sz="4" w:space="0" w:color="auto"/>
              <w:right w:val="nil"/>
            </w:tcBorders>
            <w:shd w:val="clear" w:color="auto" w:fill="F3F9FA"/>
            <w:vAlign w:val="center"/>
          </w:tcPr>
          <w:p w14:paraId="680BBDA1" w14:textId="0CF6C3A9" w:rsidR="00F87B84" w:rsidRPr="000E0B31" w:rsidRDefault="00F87B84" w:rsidP="005D3108">
            <w:pPr>
              <w:spacing w:before="0" w:after="0"/>
              <w:jc w:val="center"/>
              <w:rPr>
                <w:color w:val="000000"/>
                <w:sz w:val="14"/>
                <w:szCs w:val="14"/>
              </w:rPr>
            </w:pPr>
          </w:p>
        </w:tc>
      </w:tr>
      <w:tr w:rsidR="00F87B84" w14:paraId="42EBA8B0"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53FCF855" w14:textId="77777777" w:rsidR="00F87B84" w:rsidRDefault="00F87B84" w:rsidP="005D3108">
            <w:pPr>
              <w:spacing w:before="0" w:after="0"/>
              <w:rPr>
                <w:color w:val="000000"/>
                <w:sz w:val="14"/>
                <w:szCs w:val="14"/>
              </w:rPr>
            </w:pPr>
          </w:p>
        </w:tc>
        <w:tc>
          <w:tcPr>
            <w:tcW w:w="1294" w:type="dxa"/>
            <w:vMerge/>
            <w:tcBorders>
              <w:left w:val="nil"/>
              <w:right w:val="nil"/>
            </w:tcBorders>
            <w:vAlign w:val="center"/>
            <w:hideMark/>
          </w:tcPr>
          <w:p w14:paraId="2ACFBA09" w14:textId="77777777" w:rsidR="00F87B84" w:rsidRDefault="00F87B84" w:rsidP="005D3108">
            <w:pPr>
              <w:spacing w:before="0" w:after="0"/>
              <w:rPr>
                <w:color w:val="000000"/>
                <w:sz w:val="14"/>
                <w:szCs w:val="14"/>
              </w:rPr>
            </w:pPr>
          </w:p>
        </w:tc>
        <w:tc>
          <w:tcPr>
            <w:tcW w:w="1299" w:type="dxa"/>
            <w:vMerge/>
            <w:tcBorders>
              <w:left w:val="nil"/>
              <w:right w:val="nil"/>
            </w:tcBorders>
            <w:vAlign w:val="center"/>
            <w:hideMark/>
          </w:tcPr>
          <w:p w14:paraId="7E20A6FC" w14:textId="77777777" w:rsidR="00F87B84" w:rsidRDefault="00F87B84" w:rsidP="005D3108">
            <w:pPr>
              <w:spacing w:before="0" w:after="0"/>
              <w:rPr>
                <w:color w:val="000000"/>
                <w:sz w:val="14"/>
                <w:szCs w:val="14"/>
              </w:rPr>
            </w:pPr>
          </w:p>
        </w:tc>
        <w:tc>
          <w:tcPr>
            <w:tcW w:w="1307" w:type="dxa"/>
            <w:vMerge w:val="restart"/>
            <w:tcBorders>
              <w:top w:val="single" w:sz="4" w:space="0" w:color="auto"/>
              <w:left w:val="nil"/>
              <w:bottom w:val="nil"/>
              <w:right w:val="nil"/>
            </w:tcBorders>
            <w:shd w:val="clear" w:color="auto" w:fill="F3F9FA"/>
            <w:noWrap/>
            <w:vAlign w:val="center"/>
            <w:hideMark/>
          </w:tcPr>
          <w:p w14:paraId="45B308D5" w14:textId="77777777" w:rsidR="00F87B84" w:rsidRDefault="00F87B84" w:rsidP="005D3108">
            <w:pPr>
              <w:spacing w:before="0" w:after="0"/>
              <w:jc w:val="center"/>
              <w:rPr>
                <w:color w:val="000000"/>
                <w:sz w:val="14"/>
                <w:szCs w:val="14"/>
              </w:rPr>
            </w:pPr>
            <w:r>
              <w:rPr>
                <w:color w:val="000000"/>
                <w:sz w:val="14"/>
                <w:szCs w:val="14"/>
              </w:rPr>
              <w:t>Hamilton Is.</w:t>
            </w:r>
          </w:p>
        </w:tc>
        <w:tc>
          <w:tcPr>
            <w:tcW w:w="840" w:type="dxa"/>
            <w:tcBorders>
              <w:top w:val="single" w:sz="4" w:space="0" w:color="auto"/>
              <w:left w:val="nil"/>
              <w:right w:val="nil"/>
            </w:tcBorders>
            <w:shd w:val="clear" w:color="auto" w:fill="F3F9FA"/>
            <w:noWrap/>
            <w:vAlign w:val="center"/>
            <w:hideMark/>
          </w:tcPr>
          <w:p w14:paraId="0066B3D1" w14:textId="77777777" w:rsidR="00F87B84" w:rsidRDefault="00F87B84" w:rsidP="005D3108">
            <w:pPr>
              <w:spacing w:before="0" w:after="0"/>
              <w:jc w:val="center"/>
              <w:rPr>
                <w:b/>
                <w:color w:val="000000"/>
                <w:sz w:val="14"/>
                <w:szCs w:val="14"/>
              </w:rPr>
            </w:pPr>
            <w:r>
              <w:rPr>
                <w:b/>
                <w:color w:val="000000"/>
                <w:sz w:val="14"/>
                <w:szCs w:val="14"/>
              </w:rPr>
              <w:t>HM1</w:t>
            </w:r>
          </w:p>
        </w:tc>
        <w:tc>
          <w:tcPr>
            <w:tcW w:w="555" w:type="dxa"/>
            <w:tcBorders>
              <w:top w:val="single" w:sz="4" w:space="0" w:color="auto"/>
              <w:left w:val="nil"/>
              <w:right w:val="nil"/>
            </w:tcBorders>
            <w:shd w:val="clear" w:color="auto" w:fill="F3F9FA"/>
            <w:vAlign w:val="center"/>
          </w:tcPr>
          <w:p w14:paraId="7F0D03A2" w14:textId="78A382A2"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tcPr>
          <w:p w14:paraId="31514C39" w14:textId="6CCC8FD9"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tcPr>
          <w:p w14:paraId="16E5FE00" w14:textId="5E8AAE31"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tcPr>
          <w:p w14:paraId="104E10EE" w14:textId="62083A01"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tcPr>
          <w:p w14:paraId="1DEC4684" w14:textId="310644AE"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tcPr>
          <w:p w14:paraId="0C59F772" w14:textId="189A4BB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72767A72"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464463CC" w14:textId="725881D3"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tcPr>
          <w:p w14:paraId="48B550AA" w14:textId="487978A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6EE47581" w14:textId="1738B18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tcPr>
          <w:p w14:paraId="4D7CB758" w14:textId="00391C5F"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tcPr>
          <w:p w14:paraId="449290F2" w14:textId="2B3B2A2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45CF75EC" w14:textId="77777777" w:rsidR="00F87B84" w:rsidRPr="000E0B31" w:rsidRDefault="00F87B84" w:rsidP="005D3108">
            <w:pPr>
              <w:spacing w:before="0" w:after="0"/>
              <w:jc w:val="center"/>
              <w:rPr>
                <w:color w:val="000000"/>
                <w:sz w:val="14"/>
                <w:szCs w:val="14"/>
              </w:rPr>
            </w:pPr>
          </w:p>
        </w:tc>
      </w:tr>
      <w:tr w:rsidR="00F87B84" w14:paraId="683D5111"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65B34C7D" w14:textId="77777777" w:rsidR="00F87B84" w:rsidRDefault="00F87B84" w:rsidP="005D3108">
            <w:pPr>
              <w:spacing w:before="0" w:after="0"/>
              <w:rPr>
                <w:color w:val="000000"/>
                <w:sz w:val="14"/>
                <w:szCs w:val="14"/>
              </w:rPr>
            </w:pPr>
          </w:p>
        </w:tc>
        <w:tc>
          <w:tcPr>
            <w:tcW w:w="1294" w:type="dxa"/>
            <w:vMerge/>
            <w:tcBorders>
              <w:left w:val="nil"/>
              <w:right w:val="nil"/>
            </w:tcBorders>
            <w:vAlign w:val="center"/>
            <w:hideMark/>
          </w:tcPr>
          <w:p w14:paraId="2A8A4E79" w14:textId="77777777" w:rsidR="00F87B84" w:rsidRDefault="00F87B84" w:rsidP="005D3108">
            <w:pPr>
              <w:spacing w:before="0" w:after="0"/>
              <w:rPr>
                <w:color w:val="000000"/>
                <w:sz w:val="14"/>
                <w:szCs w:val="14"/>
              </w:rPr>
            </w:pPr>
          </w:p>
        </w:tc>
        <w:tc>
          <w:tcPr>
            <w:tcW w:w="1299" w:type="dxa"/>
            <w:vMerge/>
            <w:tcBorders>
              <w:left w:val="nil"/>
              <w:right w:val="nil"/>
            </w:tcBorders>
            <w:vAlign w:val="center"/>
            <w:hideMark/>
          </w:tcPr>
          <w:p w14:paraId="16F1437D"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40B6C97C" w14:textId="77777777" w:rsidR="00F87B84" w:rsidRDefault="00F87B84" w:rsidP="005D3108">
            <w:pPr>
              <w:spacing w:before="0" w:after="0"/>
              <w:rPr>
                <w:color w:val="000000"/>
                <w:sz w:val="14"/>
                <w:szCs w:val="14"/>
              </w:rPr>
            </w:pPr>
          </w:p>
        </w:tc>
        <w:tc>
          <w:tcPr>
            <w:tcW w:w="840" w:type="dxa"/>
            <w:tcBorders>
              <w:left w:val="nil"/>
              <w:bottom w:val="single" w:sz="4" w:space="0" w:color="auto"/>
            </w:tcBorders>
            <w:shd w:val="clear" w:color="auto" w:fill="F3F9FA"/>
            <w:noWrap/>
            <w:vAlign w:val="center"/>
            <w:hideMark/>
          </w:tcPr>
          <w:p w14:paraId="3F5C60EE" w14:textId="77777777" w:rsidR="00F87B84" w:rsidRDefault="00F87B84" w:rsidP="005D3108">
            <w:pPr>
              <w:spacing w:before="0" w:after="0"/>
              <w:jc w:val="center"/>
              <w:rPr>
                <w:b/>
                <w:color w:val="000000"/>
                <w:sz w:val="14"/>
                <w:szCs w:val="14"/>
              </w:rPr>
            </w:pPr>
            <w:r>
              <w:rPr>
                <w:b/>
                <w:color w:val="000000"/>
                <w:sz w:val="14"/>
                <w:szCs w:val="14"/>
              </w:rPr>
              <w:t>HM2</w:t>
            </w:r>
          </w:p>
        </w:tc>
        <w:tc>
          <w:tcPr>
            <w:tcW w:w="555" w:type="dxa"/>
            <w:tcBorders>
              <w:bottom w:val="single" w:sz="4" w:space="0" w:color="auto"/>
            </w:tcBorders>
            <w:shd w:val="clear" w:color="auto" w:fill="F3F9FA"/>
            <w:vAlign w:val="center"/>
          </w:tcPr>
          <w:p w14:paraId="55FF5DDB" w14:textId="1907E53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3" w:type="dxa"/>
            <w:tcBorders>
              <w:bottom w:val="single" w:sz="4" w:space="0" w:color="auto"/>
            </w:tcBorders>
            <w:shd w:val="clear" w:color="auto" w:fill="F3F9FA"/>
            <w:noWrap/>
            <w:vAlign w:val="center"/>
          </w:tcPr>
          <w:p w14:paraId="40C07AC4" w14:textId="08980BFE"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bottom w:val="single" w:sz="4" w:space="0" w:color="auto"/>
            </w:tcBorders>
            <w:shd w:val="clear" w:color="auto" w:fill="F3F9FA"/>
            <w:noWrap/>
            <w:vAlign w:val="center"/>
          </w:tcPr>
          <w:p w14:paraId="333293BC" w14:textId="3800E8F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bottom w:val="single" w:sz="4" w:space="0" w:color="auto"/>
            </w:tcBorders>
            <w:shd w:val="clear" w:color="auto" w:fill="F3F9FA"/>
            <w:vAlign w:val="center"/>
          </w:tcPr>
          <w:p w14:paraId="365A67AB" w14:textId="16A6047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F3F9FA"/>
            <w:vAlign w:val="center"/>
          </w:tcPr>
          <w:p w14:paraId="4547D2D4" w14:textId="3DB1AFC8"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F3F9FA"/>
            <w:vAlign w:val="center"/>
          </w:tcPr>
          <w:p w14:paraId="6F6FE255" w14:textId="06447728"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F3F9FA"/>
            <w:vAlign w:val="center"/>
          </w:tcPr>
          <w:p w14:paraId="324AD67C" w14:textId="0B9BDFF9"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left w:val="single" w:sz="4" w:space="0" w:color="auto"/>
              <w:bottom w:val="single" w:sz="4" w:space="0" w:color="auto"/>
            </w:tcBorders>
            <w:shd w:val="clear" w:color="auto" w:fill="F3F9FA"/>
            <w:vAlign w:val="center"/>
          </w:tcPr>
          <w:p w14:paraId="7C131368" w14:textId="75EC0DE6"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bottom w:val="single" w:sz="4" w:space="0" w:color="auto"/>
            </w:tcBorders>
            <w:shd w:val="clear" w:color="auto" w:fill="F3F9FA"/>
            <w:vAlign w:val="center"/>
          </w:tcPr>
          <w:p w14:paraId="02DC7E1D" w14:textId="7BDE2477"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bottom w:val="single" w:sz="4" w:space="0" w:color="auto"/>
            </w:tcBorders>
            <w:shd w:val="clear" w:color="auto" w:fill="F3F9FA"/>
            <w:vAlign w:val="center"/>
          </w:tcPr>
          <w:p w14:paraId="5FDEBF6D" w14:textId="26ED191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tcBorders>
            <w:shd w:val="clear" w:color="auto" w:fill="F3F9FA"/>
            <w:vAlign w:val="center"/>
          </w:tcPr>
          <w:p w14:paraId="7F62AED5" w14:textId="0220ECAA"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bottom w:val="single" w:sz="4" w:space="0" w:color="auto"/>
            </w:tcBorders>
            <w:shd w:val="clear" w:color="auto" w:fill="F3F9FA"/>
            <w:vAlign w:val="center"/>
          </w:tcPr>
          <w:p w14:paraId="07DA2A5A" w14:textId="2EAC4C0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single" w:sz="4" w:space="0" w:color="auto"/>
              <w:right w:val="nil"/>
            </w:tcBorders>
            <w:shd w:val="clear" w:color="auto" w:fill="F3F9FA"/>
            <w:vAlign w:val="center"/>
          </w:tcPr>
          <w:p w14:paraId="579773AB" w14:textId="22ECC7E3"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28FDC96E"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135BF33D"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498F1A84" w14:textId="77777777" w:rsidR="00F87B84" w:rsidRDefault="00F87B84" w:rsidP="005D3108">
            <w:pPr>
              <w:spacing w:before="0" w:after="0"/>
              <w:rPr>
                <w:color w:val="000000"/>
                <w:sz w:val="14"/>
                <w:szCs w:val="14"/>
              </w:rPr>
            </w:pPr>
          </w:p>
        </w:tc>
        <w:tc>
          <w:tcPr>
            <w:tcW w:w="1299" w:type="dxa"/>
            <w:vMerge/>
            <w:tcBorders>
              <w:left w:val="nil"/>
              <w:right w:val="nil"/>
            </w:tcBorders>
            <w:vAlign w:val="center"/>
          </w:tcPr>
          <w:p w14:paraId="11F90C01" w14:textId="77777777" w:rsidR="00F87B84" w:rsidRDefault="00F87B84" w:rsidP="005D3108">
            <w:pPr>
              <w:spacing w:before="0" w:after="0"/>
              <w:rPr>
                <w:color w:val="000000"/>
                <w:sz w:val="14"/>
                <w:szCs w:val="14"/>
              </w:rPr>
            </w:pPr>
          </w:p>
        </w:tc>
        <w:tc>
          <w:tcPr>
            <w:tcW w:w="1307" w:type="dxa"/>
            <w:vMerge w:val="restart"/>
            <w:tcBorders>
              <w:top w:val="single" w:sz="4" w:space="0" w:color="auto"/>
              <w:left w:val="nil"/>
              <w:right w:val="nil"/>
            </w:tcBorders>
            <w:shd w:val="clear" w:color="auto" w:fill="F3F9FA"/>
            <w:vAlign w:val="center"/>
          </w:tcPr>
          <w:p w14:paraId="1A4E31DF" w14:textId="77777777" w:rsidR="00F87B84" w:rsidRDefault="00F87B84" w:rsidP="005D3108">
            <w:pPr>
              <w:spacing w:before="0" w:after="0"/>
              <w:jc w:val="center"/>
              <w:rPr>
                <w:color w:val="000000"/>
                <w:sz w:val="14"/>
                <w:szCs w:val="14"/>
              </w:rPr>
            </w:pPr>
            <w:r>
              <w:rPr>
                <w:color w:val="000000"/>
                <w:sz w:val="14"/>
                <w:szCs w:val="14"/>
              </w:rPr>
              <w:t>Whitsunday Island</w:t>
            </w:r>
          </w:p>
        </w:tc>
        <w:tc>
          <w:tcPr>
            <w:tcW w:w="840" w:type="dxa"/>
            <w:tcBorders>
              <w:top w:val="single" w:sz="4" w:space="0" w:color="auto"/>
              <w:left w:val="nil"/>
              <w:right w:val="nil"/>
            </w:tcBorders>
            <w:shd w:val="clear" w:color="auto" w:fill="F3F9FA"/>
            <w:noWrap/>
            <w:vAlign w:val="center"/>
          </w:tcPr>
          <w:p w14:paraId="44DBF1A2" w14:textId="77777777" w:rsidR="00F87B84" w:rsidRDefault="00F87B84" w:rsidP="005D3108">
            <w:pPr>
              <w:spacing w:before="0" w:after="0"/>
              <w:jc w:val="center"/>
              <w:rPr>
                <w:b/>
                <w:color w:val="000000"/>
                <w:sz w:val="14"/>
                <w:szCs w:val="14"/>
              </w:rPr>
            </w:pPr>
            <w:r>
              <w:rPr>
                <w:b/>
                <w:color w:val="000000"/>
                <w:sz w:val="14"/>
                <w:szCs w:val="14"/>
              </w:rPr>
              <w:t>TO1^</w:t>
            </w:r>
          </w:p>
        </w:tc>
        <w:tc>
          <w:tcPr>
            <w:tcW w:w="555" w:type="dxa"/>
            <w:tcBorders>
              <w:top w:val="single" w:sz="4" w:space="0" w:color="auto"/>
              <w:left w:val="nil"/>
              <w:right w:val="nil"/>
            </w:tcBorders>
            <w:shd w:val="clear" w:color="auto" w:fill="F3F9FA"/>
            <w:vAlign w:val="center"/>
          </w:tcPr>
          <w:p w14:paraId="44D1A17A" w14:textId="2214BBF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9</w:t>
            </w:r>
          </w:p>
        </w:tc>
        <w:tc>
          <w:tcPr>
            <w:tcW w:w="543" w:type="dxa"/>
            <w:tcBorders>
              <w:top w:val="single" w:sz="4" w:space="0" w:color="auto"/>
              <w:left w:val="nil"/>
              <w:right w:val="nil"/>
            </w:tcBorders>
            <w:shd w:val="clear" w:color="auto" w:fill="F3F9FA"/>
            <w:noWrap/>
            <w:vAlign w:val="center"/>
          </w:tcPr>
          <w:p w14:paraId="392CA60E" w14:textId="107B8ED5" w:rsidR="00F87B84" w:rsidRPr="0041562F" w:rsidRDefault="00F87B84" w:rsidP="005D3108">
            <w:pPr>
              <w:spacing w:before="0" w:after="0"/>
              <w:jc w:val="center"/>
              <w:rPr>
                <w:rFonts w:asciiTheme="minorHAnsi" w:hAnsiTheme="minorHAnsi" w:cstheme="minorHAnsi"/>
                <w:color w:val="000000"/>
                <w:sz w:val="14"/>
                <w:szCs w:val="14"/>
              </w:rPr>
            </w:pPr>
          </w:p>
        </w:tc>
        <w:tc>
          <w:tcPr>
            <w:tcW w:w="540" w:type="dxa"/>
            <w:tcBorders>
              <w:top w:val="single" w:sz="4" w:space="0" w:color="auto"/>
              <w:left w:val="nil"/>
              <w:right w:val="nil"/>
            </w:tcBorders>
            <w:shd w:val="clear" w:color="auto" w:fill="F3F9FA"/>
            <w:noWrap/>
            <w:vAlign w:val="center"/>
          </w:tcPr>
          <w:p w14:paraId="00EB2DAC" w14:textId="6F233946"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top w:val="single" w:sz="4" w:space="0" w:color="auto"/>
              <w:left w:val="nil"/>
              <w:right w:val="nil"/>
            </w:tcBorders>
            <w:shd w:val="clear" w:color="auto" w:fill="F3F9FA"/>
            <w:vAlign w:val="center"/>
          </w:tcPr>
          <w:p w14:paraId="5943D701" w14:textId="35591F9A" w:rsidR="00F87B84" w:rsidRPr="000E0B31" w:rsidRDefault="00F87B84" w:rsidP="005D3108">
            <w:pPr>
              <w:spacing w:before="0" w:after="0"/>
              <w:jc w:val="center"/>
              <w:rPr>
                <w:color w:val="000000"/>
                <w:sz w:val="14"/>
                <w:szCs w:val="14"/>
              </w:rPr>
            </w:pPr>
          </w:p>
        </w:tc>
        <w:tc>
          <w:tcPr>
            <w:tcW w:w="540" w:type="dxa"/>
            <w:tcBorders>
              <w:top w:val="single" w:sz="4" w:space="0" w:color="auto"/>
              <w:left w:val="nil"/>
              <w:right w:val="nil"/>
            </w:tcBorders>
            <w:shd w:val="clear" w:color="auto" w:fill="F3F9FA"/>
            <w:vAlign w:val="center"/>
          </w:tcPr>
          <w:p w14:paraId="1A9C320F" w14:textId="371E2373" w:rsidR="00F87B84" w:rsidRPr="0041562F" w:rsidRDefault="00F87B84" w:rsidP="005D3108">
            <w:pPr>
              <w:spacing w:before="0" w:after="0"/>
              <w:jc w:val="center"/>
              <w:rPr>
                <w:color w:val="000000"/>
                <w:sz w:val="14"/>
                <w:szCs w:val="14"/>
              </w:rPr>
            </w:pPr>
          </w:p>
        </w:tc>
        <w:tc>
          <w:tcPr>
            <w:tcW w:w="529" w:type="dxa"/>
            <w:tcBorders>
              <w:top w:val="single" w:sz="4" w:space="0" w:color="auto"/>
              <w:left w:val="nil"/>
              <w:right w:val="nil"/>
            </w:tcBorders>
            <w:shd w:val="clear" w:color="auto" w:fill="F3F9FA"/>
            <w:vAlign w:val="center"/>
          </w:tcPr>
          <w:p w14:paraId="75392F94" w14:textId="1A42B7B7" w:rsidR="00F87B84" w:rsidRPr="000E0B31" w:rsidRDefault="00F87B84" w:rsidP="005D3108">
            <w:pPr>
              <w:spacing w:before="0" w:after="0"/>
              <w:jc w:val="center"/>
              <w:rPr>
                <w:color w:val="000000"/>
                <w:sz w:val="14"/>
                <w:szCs w:val="14"/>
              </w:rPr>
            </w:pPr>
          </w:p>
        </w:tc>
        <w:tc>
          <w:tcPr>
            <w:tcW w:w="559" w:type="dxa"/>
            <w:tcBorders>
              <w:top w:val="single" w:sz="4" w:space="0" w:color="auto"/>
              <w:left w:val="nil"/>
              <w:right w:val="single" w:sz="4" w:space="0" w:color="auto"/>
            </w:tcBorders>
            <w:shd w:val="clear" w:color="auto" w:fill="F3F9FA"/>
            <w:vAlign w:val="center"/>
          </w:tcPr>
          <w:p w14:paraId="2DE34192" w14:textId="0C8E9F28"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02573ACF" w14:textId="5E85A85C"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6777D696" w14:textId="3F55ED84"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7B702BF5" w14:textId="567C736F" w:rsidR="00F87B84" w:rsidRPr="000E0B31"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19534354" w14:textId="47480F8C" w:rsidR="00F87B84" w:rsidRPr="0041562F"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2A4AA198" w14:textId="7F65421C" w:rsidR="00F87B84" w:rsidRPr="000E0B31" w:rsidRDefault="00F87B84" w:rsidP="005D3108">
            <w:pPr>
              <w:spacing w:before="0" w:after="0"/>
              <w:jc w:val="center"/>
              <w:rPr>
                <w:color w:val="000000"/>
                <w:sz w:val="14"/>
                <w:szCs w:val="14"/>
              </w:rPr>
            </w:pPr>
          </w:p>
        </w:tc>
        <w:tc>
          <w:tcPr>
            <w:tcW w:w="546" w:type="dxa"/>
            <w:tcBorders>
              <w:top w:val="single" w:sz="4" w:space="0" w:color="auto"/>
              <w:left w:val="nil"/>
              <w:right w:val="nil"/>
            </w:tcBorders>
            <w:shd w:val="clear" w:color="auto" w:fill="F3F9FA"/>
            <w:vAlign w:val="center"/>
          </w:tcPr>
          <w:p w14:paraId="0C2600EA" w14:textId="6AA635BD" w:rsidR="00F87B84" w:rsidRPr="000E0B31" w:rsidRDefault="00F87B84" w:rsidP="005D3108">
            <w:pPr>
              <w:spacing w:before="0" w:after="0"/>
              <w:jc w:val="center"/>
              <w:rPr>
                <w:color w:val="000000"/>
                <w:sz w:val="14"/>
                <w:szCs w:val="14"/>
              </w:rPr>
            </w:pPr>
          </w:p>
        </w:tc>
      </w:tr>
      <w:tr w:rsidR="00F87B84" w14:paraId="45313BB6"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2B25522F"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51CEAB04" w14:textId="77777777" w:rsidR="00F87B84" w:rsidRDefault="00F87B84" w:rsidP="005D3108">
            <w:pPr>
              <w:spacing w:before="0" w:after="0"/>
              <w:rPr>
                <w:color w:val="000000"/>
                <w:sz w:val="14"/>
                <w:szCs w:val="14"/>
              </w:rPr>
            </w:pPr>
          </w:p>
        </w:tc>
        <w:tc>
          <w:tcPr>
            <w:tcW w:w="1299" w:type="dxa"/>
            <w:vMerge/>
            <w:tcBorders>
              <w:left w:val="nil"/>
              <w:right w:val="nil"/>
            </w:tcBorders>
            <w:vAlign w:val="center"/>
          </w:tcPr>
          <w:p w14:paraId="00839F69" w14:textId="77777777" w:rsidR="00F87B84" w:rsidRDefault="00F87B84" w:rsidP="005D3108">
            <w:pPr>
              <w:spacing w:before="0" w:after="0"/>
              <w:rPr>
                <w:color w:val="000000"/>
                <w:sz w:val="14"/>
                <w:szCs w:val="14"/>
              </w:rPr>
            </w:pPr>
          </w:p>
        </w:tc>
        <w:tc>
          <w:tcPr>
            <w:tcW w:w="1307" w:type="dxa"/>
            <w:vMerge/>
            <w:tcBorders>
              <w:left w:val="nil"/>
              <w:bottom w:val="single" w:sz="4" w:space="0" w:color="auto"/>
              <w:right w:val="nil"/>
            </w:tcBorders>
            <w:shd w:val="clear" w:color="auto" w:fill="F3F9FA"/>
            <w:vAlign w:val="center"/>
          </w:tcPr>
          <w:p w14:paraId="54872249" w14:textId="77777777" w:rsidR="00F87B84" w:rsidRDefault="00F87B84" w:rsidP="005D3108">
            <w:pPr>
              <w:spacing w:before="0" w:after="0"/>
              <w:rPr>
                <w:color w:val="000000"/>
                <w:sz w:val="14"/>
                <w:szCs w:val="14"/>
              </w:rPr>
            </w:pPr>
          </w:p>
        </w:tc>
        <w:tc>
          <w:tcPr>
            <w:tcW w:w="840" w:type="dxa"/>
            <w:tcBorders>
              <w:left w:val="nil"/>
              <w:bottom w:val="single" w:sz="4" w:space="0" w:color="auto"/>
            </w:tcBorders>
            <w:shd w:val="clear" w:color="auto" w:fill="F3F9FA"/>
            <w:noWrap/>
            <w:vAlign w:val="center"/>
          </w:tcPr>
          <w:p w14:paraId="5F3B2BA0" w14:textId="77777777" w:rsidR="00F87B84" w:rsidRDefault="00F87B84" w:rsidP="005D3108">
            <w:pPr>
              <w:spacing w:before="0" w:after="0"/>
              <w:jc w:val="center"/>
              <w:rPr>
                <w:b/>
                <w:color w:val="000000"/>
                <w:sz w:val="14"/>
                <w:szCs w:val="14"/>
              </w:rPr>
            </w:pPr>
            <w:r>
              <w:rPr>
                <w:b/>
                <w:color w:val="000000"/>
                <w:sz w:val="14"/>
                <w:szCs w:val="14"/>
              </w:rPr>
              <w:t>TO2^</w:t>
            </w:r>
          </w:p>
        </w:tc>
        <w:tc>
          <w:tcPr>
            <w:tcW w:w="555" w:type="dxa"/>
            <w:tcBorders>
              <w:bottom w:val="single" w:sz="4" w:space="0" w:color="auto"/>
            </w:tcBorders>
            <w:shd w:val="clear" w:color="auto" w:fill="F3F9FA"/>
            <w:vAlign w:val="center"/>
          </w:tcPr>
          <w:p w14:paraId="7C058E03" w14:textId="1511F896"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10</w:t>
            </w:r>
          </w:p>
        </w:tc>
        <w:tc>
          <w:tcPr>
            <w:tcW w:w="543" w:type="dxa"/>
            <w:tcBorders>
              <w:bottom w:val="single" w:sz="4" w:space="0" w:color="auto"/>
            </w:tcBorders>
            <w:shd w:val="clear" w:color="auto" w:fill="F3F9FA"/>
            <w:noWrap/>
            <w:vAlign w:val="center"/>
          </w:tcPr>
          <w:p w14:paraId="7C25F0B6"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40" w:type="dxa"/>
            <w:tcBorders>
              <w:bottom w:val="single" w:sz="4" w:space="0" w:color="auto"/>
            </w:tcBorders>
            <w:shd w:val="clear" w:color="auto" w:fill="F3F9FA"/>
            <w:noWrap/>
            <w:vAlign w:val="center"/>
          </w:tcPr>
          <w:p w14:paraId="56907E69"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bottom w:val="single" w:sz="4" w:space="0" w:color="auto"/>
            </w:tcBorders>
            <w:shd w:val="clear" w:color="auto" w:fill="F3F9FA"/>
            <w:vAlign w:val="center"/>
          </w:tcPr>
          <w:p w14:paraId="004E6B93" w14:textId="77777777" w:rsidR="00F87B84" w:rsidRPr="000E0B31" w:rsidRDefault="00F87B84" w:rsidP="005D3108">
            <w:pPr>
              <w:spacing w:before="0" w:after="0"/>
              <w:jc w:val="center"/>
              <w:rPr>
                <w:color w:val="000000"/>
                <w:sz w:val="14"/>
                <w:szCs w:val="14"/>
              </w:rPr>
            </w:pPr>
          </w:p>
        </w:tc>
        <w:tc>
          <w:tcPr>
            <w:tcW w:w="540" w:type="dxa"/>
            <w:tcBorders>
              <w:bottom w:val="single" w:sz="4" w:space="0" w:color="auto"/>
            </w:tcBorders>
            <w:shd w:val="clear" w:color="auto" w:fill="F3F9FA"/>
            <w:vAlign w:val="center"/>
          </w:tcPr>
          <w:p w14:paraId="5B818951" w14:textId="77777777" w:rsidR="00F87B84" w:rsidRPr="0041562F" w:rsidRDefault="00F87B84" w:rsidP="005D3108">
            <w:pPr>
              <w:spacing w:before="0" w:after="0"/>
              <w:jc w:val="center"/>
              <w:rPr>
                <w:color w:val="000000"/>
                <w:sz w:val="14"/>
                <w:szCs w:val="14"/>
              </w:rPr>
            </w:pPr>
          </w:p>
        </w:tc>
        <w:tc>
          <w:tcPr>
            <w:tcW w:w="529" w:type="dxa"/>
            <w:tcBorders>
              <w:bottom w:val="single" w:sz="4" w:space="0" w:color="auto"/>
            </w:tcBorders>
            <w:shd w:val="clear" w:color="auto" w:fill="F3F9FA"/>
            <w:vAlign w:val="center"/>
          </w:tcPr>
          <w:p w14:paraId="137DDAFF" w14:textId="77777777" w:rsidR="00F87B84" w:rsidRPr="000E0B31" w:rsidRDefault="00F87B84" w:rsidP="005D3108">
            <w:pPr>
              <w:spacing w:before="0" w:after="0"/>
              <w:jc w:val="center"/>
              <w:rPr>
                <w:color w:val="000000"/>
                <w:sz w:val="14"/>
                <w:szCs w:val="14"/>
              </w:rPr>
            </w:pPr>
          </w:p>
        </w:tc>
        <w:tc>
          <w:tcPr>
            <w:tcW w:w="559" w:type="dxa"/>
            <w:tcBorders>
              <w:bottom w:val="single" w:sz="4" w:space="0" w:color="auto"/>
              <w:right w:val="single" w:sz="4" w:space="0" w:color="auto"/>
            </w:tcBorders>
            <w:shd w:val="clear" w:color="auto" w:fill="F3F9FA"/>
            <w:vAlign w:val="center"/>
          </w:tcPr>
          <w:p w14:paraId="5E472015" w14:textId="77777777" w:rsidR="00F87B84" w:rsidRPr="000E0B31" w:rsidRDefault="00F87B84" w:rsidP="005D3108">
            <w:pPr>
              <w:spacing w:before="0" w:after="0"/>
              <w:jc w:val="center"/>
              <w:rPr>
                <w:color w:val="000000"/>
                <w:sz w:val="14"/>
                <w:szCs w:val="14"/>
              </w:rPr>
            </w:pPr>
          </w:p>
        </w:tc>
        <w:tc>
          <w:tcPr>
            <w:tcW w:w="559" w:type="dxa"/>
            <w:tcBorders>
              <w:left w:val="single" w:sz="4" w:space="0" w:color="auto"/>
              <w:bottom w:val="single" w:sz="4" w:space="0" w:color="auto"/>
            </w:tcBorders>
            <w:shd w:val="clear" w:color="auto" w:fill="F3F9FA"/>
            <w:vAlign w:val="center"/>
          </w:tcPr>
          <w:p w14:paraId="69A6AF5A"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single" w:sz="4" w:space="0" w:color="auto"/>
            </w:tcBorders>
            <w:shd w:val="clear" w:color="auto" w:fill="F3F9FA"/>
            <w:vAlign w:val="center"/>
          </w:tcPr>
          <w:p w14:paraId="3AA1F4D9"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single" w:sz="4" w:space="0" w:color="auto"/>
            </w:tcBorders>
            <w:shd w:val="clear" w:color="auto" w:fill="F3F9FA"/>
            <w:vAlign w:val="center"/>
          </w:tcPr>
          <w:p w14:paraId="723B0AE9" w14:textId="77777777" w:rsidR="00F87B84" w:rsidRPr="000E0B31" w:rsidRDefault="00F87B84" w:rsidP="005D3108">
            <w:pPr>
              <w:spacing w:before="0" w:after="0"/>
              <w:jc w:val="center"/>
              <w:rPr>
                <w:color w:val="000000"/>
                <w:sz w:val="14"/>
                <w:szCs w:val="14"/>
              </w:rPr>
            </w:pPr>
          </w:p>
        </w:tc>
        <w:tc>
          <w:tcPr>
            <w:tcW w:w="559" w:type="dxa"/>
            <w:tcBorders>
              <w:bottom w:val="single" w:sz="4" w:space="0" w:color="auto"/>
            </w:tcBorders>
            <w:shd w:val="clear" w:color="auto" w:fill="F3F9FA"/>
            <w:vAlign w:val="center"/>
          </w:tcPr>
          <w:p w14:paraId="5E1E83EE" w14:textId="77777777" w:rsidR="00F87B84" w:rsidRPr="0041562F" w:rsidRDefault="00F87B84" w:rsidP="005D3108">
            <w:pPr>
              <w:spacing w:before="0" w:after="0"/>
              <w:jc w:val="center"/>
              <w:rPr>
                <w:color w:val="000000"/>
                <w:sz w:val="14"/>
                <w:szCs w:val="14"/>
              </w:rPr>
            </w:pPr>
          </w:p>
        </w:tc>
        <w:tc>
          <w:tcPr>
            <w:tcW w:w="559" w:type="dxa"/>
            <w:tcBorders>
              <w:bottom w:val="single" w:sz="4" w:space="0" w:color="auto"/>
            </w:tcBorders>
            <w:shd w:val="clear" w:color="auto" w:fill="F3F9FA"/>
            <w:vAlign w:val="center"/>
          </w:tcPr>
          <w:p w14:paraId="53B821E5" w14:textId="77777777" w:rsidR="00F87B84" w:rsidRPr="000E0B31" w:rsidRDefault="00F87B84" w:rsidP="005D3108">
            <w:pPr>
              <w:spacing w:before="0" w:after="0"/>
              <w:jc w:val="center"/>
              <w:rPr>
                <w:color w:val="000000"/>
                <w:sz w:val="14"/>
                <w:szCs w:val="14"/>
              </w:rPr>
            </w:pPr>
          </w:p>
        </w:tc>
        <w:tc>
          <w:tcPr>
            <w:tcW w:w="546" w:type="dxa"/>
            <w:tcBorders>
              <w:bottom w:val="single" w:sz="4" w:space="0" w:color="auto"/>
              <w:right w:val="nil"/>
            </w:tcBorders>
            <w:shd w:val="clear" w:color="auto" w:fill="F3F9FA"/>
            <w:vAlign w:val="center"/>
          </w:tcPr>
          <w:p w14:paraId="59F91F43" w14:textId="77777777" w:rsidR="00F87B84" w:rsidRPr="000E0B31" w:rsidRDefault="00F87B84" w:rsidP="005D3108">
            <w:pPr>
              <w:spacing w:before="0" w:after="0"/>
              <w:jc w:val="center"/>
              <w:rPr>
                <w:color w:val="000000"/>
                <w:sz w:val="14"/>
                <w:szCs w:val="14"/>
              </w:rPr>
            </w:pPr>
          </w:p>
        </w:tc>
      </w:tr>
      <w:tr w:rsidR="00F87B84" w14:paraId="6FCD8F99"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0CCC7DF3"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1C089C09" w14:textId="77777777" w:rsidR="00F87B84" w:rsidRDefault="00F87B84" w:rsidP="005D3108">
            <w:pPr>
              <w:spacing w:before="0" w:after="0"/>
              <w:rPr>
                <w:color w:val="000000"/>
                <w:sz w:val="14"/>
                <w:szCs w:val="14"/>
              </w:rPr>
            </w:pPr>
          </w:p>
        </w:tc>
        <w:tc>
          <w:tcPr>
            <w:tcW w:w="1299" w:type="dxa"/>
            <w:vMerge/>
            <w:tcBorders>
              <w:left w:val="nil"/>
              <w:right w:val="nil"/>
            </w:tcBorders>
            <w:vAlign w:val="center"/>
          </w:tcPr>
          <w:p w14:paraId="1156C70F" w14:textId="77777777" w:rsidR="00F87B84" w:rsidRDefault="00F87B84" w:rsidP="005D3108">
            <w:pPr>
              <w:spacing w:before="0" w:after="0"/>
              <w:rPr>
                <w:color w:val="000000"/>
                <w:sz w:val="14"/>
                <w:szCs w:val="14"/>
              </w:rPr>
            </w:pPr>
          </w:p>
        </w:tc>
        <w:tc>
          <w:tcPr>
            <w:tcW w:w="1307" w:type="dxa"/>
            <w:vMerge w:val="restart"/>
            <w:tcBorders>
              <w:top w:val="single" w:sz="4" w:space="0" w:color="auto"/>
              <w:left w:val="nil"/>
              <w:right w:val="nil"/>
            </w:tcBorders>
            <w:shd w:val="clear" w:color="auto" w:fill="F3F9FA"/>
            <w:vAlign w:val="center"/>
          </w:tcPr>
          <w:p w14:paraId="491F505B" w14:textId="77777777" w:rsidR="00F87B84" w:rsidRDefault="00F87B84" w:rsidP="005D3108">
            <w:pPr>
              <w:spacing w:before="0" w:after="0"/>
              <w:rPr>
                <w:color w:val="000000"/>
                <w:sz w:val="14"/>
                <w:szCs w:val="14"/>
              </w:rPr>
            </w:pPr>
            <w:r>
              <w:rPr>
                <w:color w:val="000000"/>
                <w:sz w:val="14"/>
                <w:szCs w:val="14"/>
              </w:rPr>
              <w:t>Lindeman Island</w:t>
            </w:r>
          </w:p>
        </w:tc>
        <w:tc>
          <w:tcPr>
            <w:tcW w:w="840" w:type="dxa"/>
            <w:tcBorders>
              <w:top w:val="single" w:sz="4" w:space="0" w:color="auto"/>
              <w:left w:val="nil"/>
              <w:bottom w:val="nil"/>
            </w:tcBorders>
            <w:shd w:val="clear" w:color="auto" w:fill="F3F9FA"/>
            <w:noWrap/>
            <w:vAlign w:val="center"/>
          </w:tcPr>
          <w:p w14:paraId="515A9EF4" w14:textId="77777777" w:rsidR="00F87B84" w:rsidRDefault="00F87B84" w:rsidP="005D3108">
            <w:pPr>
              <w:spacing w:before="0" w:after="0"/>
              <w:jc w:val="center"/>
              <w:rPr>
                <w:b/>
                <w:color w:val="000000"/>
                <w:sz w:val="14"/>
                <w:szCs w:val="14"/>
              </w:rPr>
            </w:pPr>
            <w:r>
              <w:rPr>
                <w:b/>
                <w:color w:val="000000"/>
                <w:sz w:val="14"/>
                <w:szCs w:val="14"/>
              </w:rPr>
              <w:t>LN1^</w:t>
            </w:r>
          </w:p>
        </w:tc>
        <w:tc>
          <w:tcPr>
            <w:tcW w:w="555" w:type="dxa"/>
            <w:tcBorders>
              <w:top w:val="single" w:sz="4" w:space="0" w:color="auto"/>
              <w:bottom w:val="nil"/>
            </w:tcBorders>
            <w:shd w:val="clear" w:color="auto" w:fill="F3F9FA"/>
            <w:vAlign w:val="center"/>
          </w:tcPr>
          <w:p w14:paraId="1C90E610" w14:textId="06625233"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bottom w:val="nil"/>
            </w:tcBorders>
            <w:shd w:val="clear" w:color="auto" w:fill="F3F9FA"/>
            <w:noWrap/>
            <w:vAlign w:val="center"/>
          </w:tcPr>
          <w:p w14:paraId="7DD6AB1B" w14:textId="04F8353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bottom w:val="nil"/>
            </w:tcBorders>
            <w:shd w:val="clear" w:color="auto" w:fill="F3F9FA"/>
            <w:noWrap/>
            <w:vAlign w:val="center"/>
          </w:tcPr>
          <w:p w14:paraId="2F6F2CF6" w14:textId="411D30EE"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bottom w:val="nil"/>
            </w:tcBorders>
            <w:shd w:val="clear" w:color="auto" w:fill="F3F9FA"/>
            <w:vAlign w:val="center"/>
          </w:tcPr>
          <w:p w14:paraId="571CA079" w14:textId="17EAE0AC"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bottom w:val="nil"/>
            </w:tcBorders>
            <w:shd w:val="clear" w:color="auto" w:fill="F3F9FA"/>
            <w:vAlign w:val="center"/>
          </w:tcPr>
          <w:p w14:paraId="00452A43" w14:textId="28B9E188"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bottom w:val="nil"/>
            </w:tcBorders>
            <w:shd w:val="clear" w:color="auto" w:fill="F3F9FA"/>
            <w:vAlign w:val="center"/>
          </w:tcPr>
          <w:p w14:paraId="7872F9D1" w14:textId="7E0DD6F9"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bottom w:val="nil"/>
              <w:right w:val="single" w:sz="4" w:space="0" w:color="auto"/>
            </w:tcBorders>
            <w:shd w:val="clear" w:color="auto" w:fill="F3F9FA"/>
            <w:vAlign w:val="center"/>
          </w:tcPr>
          <w:p w14:paraId="6DE6D0F1" w14:textId="73FD13FA"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bottom w:val="nil"/>
            </w:tcBorders>
            <w:shd w:val="clear" w:color="auto" w:fill="F3F9FA"/>
            <w:vAlign w:val="center"/>
          </w:tcPr>
          <w:p w14:paraId="4AEAAC1B" w14:textId="4EF45209"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bottom w:val="nil"/>
            </w:tcBorders>
            <w:shd w:val="clear" w:color="auto" w:fill="F3F9FA"/>
            <w:vAlign w:val="center"/>
          </w:tcPr>
          <w:p w14:paraId="27D959B5" w14:textId="0DFBF29F"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bottom w:val="nil"/>
            </w:tcBorders>
            <w:shd w:val="clear" w:color="auto" w:fill="F3F9FA"/>
            <w:vAlign w:val="center"/>
          </w:tcPr>
          <w:p w14:paraId="58533CAF" w14:textId="15977EF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bottom w:val="nil"/>
            </w:tcBorders>
            <w:shd w:val="clear" w:color="auto" w:fill="F3F9FA"/>
            <w:vAlign w:val="center"/>
          </w:tcPr>
          <w:p w14:paraId="0C4BEDCE" w14:textId="1A2F30C3"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bottom w:val="nil"/>
            </w:tcBorders>
            <w:shd w:val="clear" w:color="auto" w:fill="F3F9FA"/>
            <w:vAlign w:val="center"/>
          </w:tcPr>
          <w:p w14:paraId="57EE9E59" w14:textId="1F6E6EE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bottom w:val="nil"/>
              <w:right w:val="nil"/>
            </w:tcBorders>
            <w:shd w:val="clear" w:color="auto" w:fill="F3F9FA"/>
            <w:vAlign w:val="center"/>
          </w:tcPr>
          <w:p w14:paraId="783DA41B" w14:textId="6AA14106"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2DCDF745"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3C0AE116"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0869D041" w14:textId="77777777" w:rsidR="00F87B84" w:rsidRDefault="00F87B84" w:rsidP="005D3108">
            <w:pPr>
              <w:spacing w:before="0" w:after="0"/>
              <w:rPr>
                <w:color w:val="000000"/>
                <w:sz w:val="14"/>
                <w:szCs w:val="14"/>
              </w:rPr>
            </w:pPr>
          </w:p>
        </w:tc>
        <w:tc>
          <w:tcPr>
            <w:tcW w:w="1299" w:type="dxa"/>
            <w:vMerge/>
            <w:tcBorders>
              <w:left w:val="nil"/>
              <w:bottom w:val="nil"/>
              <w:right w:val="nil"/>
            </w:tcBorders>
            <w:vAlign w:val="center"/>
          </w:tcPr>
          <w:p w14:paraId="5E66F71F" w14:textId="77777777" w:rsidR="00F87B84" w:rsidRDefault="00F87B84" w:rsidP="005D3108">
            <w:pPr>
              <w:spacing w:before="0" w:after="0"/>
              <w:rPr>
                <w:color w:val="000000"/>
                <w:sz w:val="14"/>
                <w:szCs w:val="14"/>
              </w:rPr>
            </w:pPr>
          </w:p>
        </w:tc>
        <w:tc>
          <w:tcPr>
            <w:tcW w:w="1307" w:type="dxa"/>
            <w:vMerge/>
            <w:tcBorders>
              <w:left w:val="nil"/>
              <w:bottom w:val="single" w:sz="4" w:space="0" w:color="auto"/>
              <w:right w:val="nil"/>
            </w:tcBorders>
            <w:shd w:val="clear" w:color="auto" w:fill="F3F9FA"/>
            <w:vAlign w:val="center"/>
          </w:tcPr>
          <w:p w14:paraId="2F23523B" w14:textId="77777777" w:rsidR="00F87B84" w:rsidRDefault="00F87B84" w:rsidP="005D3108">
            <w:pPr>
              <w:spacing w:before="0" w:after="0"/>
              <w:rPr>
                <w:color w:val="000000"/>
                <w:sz w:val="14"/>
                <w:szCs w:val="14"/>
              </w:rPr>
            </w:pPr>
          </w:p>
        </w:tc>
        <w:tc>
          <w:tcPr>
            <w:tcW w:w="840" w:type="dxa"/>
            <w:tcBorders>
              <w:left w:val="nil"/>
              <w:bottom w:val="single" w:sz="4" w:space="0" w:color="auto"/>
            </w:tcBorders>
            <w:shd w:val="clear" w:color="auto" w:fill="F3F9FA"/>
            <w:noWrap/>
            <w:vAlign w:val="center"/>
          </w:tcPr>
          <w:p w14:paraId="79165F79" w14:textId="77777777" w:rsidR="00F87B84" w:rsidRDefault="00F87B84" w:rsidP="005D3108">
            <w:pPr>
              <w:spacing w:before="0" w:after="0"/>
              <w:jc w:val="center"/>
              <w:rPr>
                <w:b/>
                <w:color w:val="000000"/>
                <w:sz w:val="14"/>
                <w:szCs w:val="14"/>
              </w:rPr>
            </w:pPr>
            <w:r>
              <w:rPr>
                <w:b/>
                <w:color w:val="000000"/>
                <w:sz w:val="14"/>
                <w:szCs w:val="14"/>
              </w:rPr>
              <w:t>LN2^</w:t>
            </w:r>
          </w:p>
        </w:tc>
        <w:tc>
          <w:tcPr>
            <w:tcW w:w="555" w:type="dxa"/>
            <w:tcBorders>
              <w:bottom w:val="single" w:sz="4" w:space="0" w:color="auto"/>
            </w:tcBorders>
            <w:shd w:val="clear" w:color="auto" w:fill="F3F9FA"/>
            <w:vAlign w:val="center"/>
          </w:tcPr>
          <w:p w14:paraId="6A598E14" w14:textId="40250378"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bottom w:val="single" w:sz="4" w:space="0" w:color="auto"/>
            </w:tcBorders>
            <w:shd w:val="clear" w:color="auto" w:fill="F3F9FA"/>
            <w:noWrap/>
            <w:vAlign w:val="center"/>
          </w:tcPr>
          <w:p w14:paraId="08AC8F7A" w14:textId="7571B8CA"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bottom w:val="single" w:sz="4" w:space="0" w:color="auto"/>
            </w:tcBorders>
            <w:shd w:val="clear" w:color="auto" w:fill="F3F9FA"/>
            <w:noWrap/>
            <w:vAlign w:val="center"/>
          </w:tcPr>
          <w:p w14:paraId="5F08F89C" w14:textId="552A440E"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bottom w:val="single" w:sz="4" w:space="0" w:color="auto"/>
            </w:tcBorders>
            <w:shd w:val="clear" w:color="auto" w:fill="F3F9FA"/>
            <w:vAlign w:val="center"/>
          </w:tcPr>
          <w:p w14:paraId="763668D6" w14:textId="7641000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bottom w:val="single" w:sz="4" w:space="0" w:color="auto"/>
            </w:tcBorders>
            <w:shd w:val="clear" w:color="auto" w:fill="F3F9FA"/>
            <w:vAlign w:val="center"/>
          </w:tcPr>
          <w:p w14:paraId="2060D6BA" w14:textId="491ABC42"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bottom w:val="single" w:sz="4" w:space="0" w:color="auto"/>
            </w:tcBorders>
            <w:shd w:val="clear" w:color="auto" w:fill="F3F9FA"/>
            <w:vAlign w:val="center"/>
          </w:tcPr>
          <w:p w14:paraId="3E1A5026" w14:textId="3B31F27C"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single" w:sz="4" w:space="0" w:color="auto"/>
              <w:right w:val="single" w:sz="4" w:space="0" w:color="auto"/>
            </w:tcBorders>
            <w:shd w:val="clear" w:color="auto" w:fill="F3F9FA"/>
            <w:vAlign w:val="center"/>
          </w:tcPr>
          <w:p w14:paraId="12818C96" w14:textId="06304A47" w:rsidR="00F87B84" w:rsidRPr="000E0B31" w:rsidRDefault="00F87B84" w:rsidP="005D3108">
            <w:pPr>
              <w:spacing w:before="0" w:after="0"/>
              <w:jc w:val="center"/>
              <w:rPr>
                <w:color w:val="000000"/>
                <w:sz w:val="14"/>
                <w:szCs w:val="14"/>
              </w:rPr>
            </w:pPr>
          </w:p>
        </w:tc>
        <w:tc>
          <w:tcPr>
            <w:tcW w:w="559" w:type="dxa"/>
            <w:tcBorders>
              <w:left w:val="single" w:sz="4" w:space="0" w:color="auto"/>
              <w:bottom w:val="single" w:sz="4" w:space="0" w:color="auto"/>
            </w:tcBorders>
            <w:shd w:val="clear" w:color="auto" w:fill="F3F9FA"/>
            <w:vAlign w:val="center"/>
          </w:tcPr>
          <w:p w14:paraId="0EFB149C" w14:textId="24875429"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single" w:sz="4" w:space="0" w:color="auto"/>
            </w:tcBorders>
            <w:shd w:val="clear" w:color="auto" w:fill="F3F9FA"/>
            <w:vAlign w:val="center"/>
          </w:tcPr>
          <w:p w14:paraId="51526E67" w14:textId="4898AF3B"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single" w:sz="4" w:space="0" w:color="auto"/>
            </w:tcBorders>
            <w:shd w:val="clear" w:color="auto" w:fill="F3F9FA"/>
            <w:vAlign w:val="center"/>
          </w:tcPr>
          <w:p w14:paraId="62623511" w14:textId="059E475C" w:rsidR="00F87B84" w:rsidRPr="000E0B31" w:rsidRDefault="00F87B84" w:rsidP="005D3108">
            <w:pPr>
              <w:spacing w:before="0" w:after="0"/>
              <w:jc w:val="center"/>
              <w:rPr>
                <w:color w:val="000000"/>
                <w:sz w:val="14"/>
                <w:szCs w:val="14"/>
              </w:rPr>
            </w:pPr>
          </w:p>
        </w:tc>
        <w:tc>
          <w:tcPr>
            <w:tcW w:w="559" w:type="dxa"/>
            <w:tcBorders>
              <w:bottom w:val="single" w:sz="4" w:space="0" w:color="auto"/>
            </w:tcBorders>
            <w:shd w:val="clear" w:color="auto" w:fill="F3F9FA"/>
            <w:vAlign w:val="center"/>
          </w:tcPr>
          <w:p w14:paraId="6C9AAA3C" w14:textId="32894A19" w:rsidR="00F87B84" w:rsidRPr="0041562F" w:rsidRDefault="00F87B84" w:rsidP="005D3108">
            <w:pPr>
              <w:spacing w:before="0" w:after="0"/>
              <w:jc w:val="center"/>
              <w:rPr>
                <w:color w:val="000000"/>
                <w:sz w:val="14"/>
                <w:szCs w:val="14"/>
              </w:rPr>
            </w:pPr>
          </w:p>
        </w:tc>
        <w:tc>
          <w:tcPr>
            <w:tcW w:w="559" w:type="dxa"/>
            <w:tcBorders>
              <w:bottom w:val="single" w:sz="4" w:space="0" w:color="auto"/>
            </w:tcBorders>
            <w:shd w:val="clear" w:color="auto" w:fill="F3F9FA"/>
            <w:vAlign w:val="center"/>
          </w:tcPr>
          <w:p w14:paraId="0481B091" w14:textId="2424456D" w:rsidR="00F87B84" w:rsidRPr="000E0B31" w:rsidRDefault="00F87B84" w:rsidP="005D3108">
            <w:pPr>
              <w:spacing w:before="0" w:after="0"/>
              <w:jc w:val="center"/>
              <w:rPr>
                <w:color w:val="000000"/>
                <w:sz w:val="14"/>
                <w:szCs w:val="14"/>
              </w:rPr>
            </w:pPr>
          </w:p>
        </w:tc>
        <w:tc>
          <w:tcPr>
            <w:tcW w:w="546" w:type="dxa"/>
            <w:tcBorders>
              <w:bottom w:val="single" w:sz="4" w:space="0" w:color="auto"/>
              <w:right w:val="nil"/>
            </w:tcBorders>
            <w:shd w:val="clear" w:color="auto" w:fill="F3F9FA"/>
            <w:vAlign w:val="center"/>
          </w:tcPr>
          <w:p w14:paraId="7E5F6C62" w14:textId="1E88387F" w:rsidR="00F87B84" w:rsidRPr="000E0B31" w:rsidRDefault="00F87B84" w:rsidP="005D3108">
            <w:pPr>
              <w:spacing w:before="0" w:after="0"/>
              <w:jc w:val="center"/>
              <w:rPr>
                <w:color w:val="000000"/>
                <w:sz w:val="14"/>
                <w:szCs w:val="14"/>
              </w:rPr>
            </w:pPr>
          </w:p>
        </w:tc>
      </w:tr>
      <w:tr w:rsidR="00F87B84" w14:paraId="5BDF3335"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5193DBB8"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306110E4" w14:textId="77777777" w:rsidR="00F87B84" w:rsidRDefault="00F87B84" w:rsidP="005D3108">
            <w:pPr>
              <w:spacing w:before="0" w:after="0"/>
              <w:rPr>
                <w:color w:val="000000"/>
                <w:sz w:val="14"/>
                <w:szCs w:val="14"/>
              </w:rPr>
            </w:pPr>
          </w:p>
        </w:tc>
        <w:tc>
          <w:tcPr>
            <w:tcW w:w="1299" w:type="dxa"/>
            <w:vMerge w:val="restart"/>
            <w:tcBorders>
              <w:left w:val="nil"/>
              <w:right w:val="nil"/>
            </w:tcBorders>
            <w:shd w:val="clear" w:color="auto" w:fill="F3F9FA"/>
            <w:vAlign w:val="center"/>
          </w:tcPr>
          <w:p w14:paraId="16D1B5A6" w14:textId="77777777" w:rsidR="00F87B84" w:rsidRDefault="00F87B84" w:rsidP="005D3108">
            <w:pPr>
              <w:spacing w:before="0" w:after="0"/>
              <w:jc w:val="center"/>
              <w:rPr>
                <w:color w:val="000000"/>
                <w:sz w:val="14"/>
                <w:szCs w:val="14"/>
              </w:rPr>
            </w:pPr>
            <w:r>
              <w:rPr>
                <w:color w:val="000000"/>
                <w:sz w:val="14"/>
                <w:szCs w:val="14"/>
              </w:rPr>
              <w:t>O’Connell</w:t>
            </w:r>
          </w:p>
        </w:tc>
        <w:tc>
          <w:tcPr>
            <w:tcW w:w="1307" w:type="dxa"/>
            <w:vMerge w:val="restart"/>
            <w:tcBorders>
              <w:top w:val="single" w:sz="4" w:space="0" w:color="auto"/>
              <w:left w:val="nil"/>
              <w:right w:val="nil"/>
            </w:tcBorders>
            <w:shd w:val="clear" w:color="auto" w:fill="F3F9FA"/>
            <w:vAlign w:val="center"/>
          </w:tcPr>
          <w:p w14:paraId="06326B56" w14:textId="77777777" w:rsidR="00F87B84" w:rsidRDefault="00F87B84" w:rsidP="005D3108">
            <w:pPr>
              <w:spacing w:before="0" w:after="0"/>
              <w:jc w:val="center"/>
              <w:rPr>
                <w:color w:val="000000"/>
                <w:sz w:val="14"/>
                <w:szCs w:val="14"/>
              </w:rPr>
            </w:pPr>
            <w:r>
              <w:rPr>
                <w:color w:val="000000"/>
                <w:sz w:val="14"/>
                <w:szCs w:val="14"/>
              </w:rPr>
              <w:t>Newry Islands</w:t>
            </w:r>
          </w:p>
        </w:tc>
        <w:tc>
          <w:tcPr>
            <w:tcW w:w="840" w:type="dxa"/>
            <w:tcBorders>
              <w:top w:val="single" w:sz="4" w:space="0" w:color="auto"/>
              <w:left w:val="nil"/>
              <w:right w:val="nil"/>
            </w:tcBorders>
            <w:shd w:val="clear" w:color="auto" w:fill="F3F9FA"/>
            <w:noWrap/>
            <w:vAlign w:val="center"/>
          </w:tcPr>
          <w:p w14:paraId="574C8766" w14:textId="77777777" w:rsidR="00F87B84" w:rsidRDefault="00F87B84" w:rsidP="005D3108">
            <w:pPr>
              <w:spacing w:before="0" w:after="0"/>
              <w:jc w:val="center"/>
              <w:rPr>
                <w:b/>
                <w:color w:val="000000"/>
                <w:sz w:val="14"/>
                <w:szCs w:val="14"/>
              </w:rPr>
            </w:pPr>
            <w:r>
              <w:rPr>
                <w:b/>
                <w:color w:val="000000"/>
                <w:sz w:val="14"/>
                <w:szCs w:val="14"/>
              </w:rPr>
              <w:t>NB1^</w:t>
            </w:r>
          </w:p>
        </w:tc>
        <w:tc>
          <w:tcPr>
            <w:tcW w:w="555" w:type="dxa"/>
            <w:tcBorders>
              <w:top w:val="single" w:sz="4" w:space="0" w:color="auto"/>
              <w:left w:val="nil"/>
              <w:right w:val="nil"/>
            </w:tcBorders>
            <w:shd w:val="clear" w:color="auto" w:fill="F3F9FA"/>
            <w:vAlign w:val="center"/>
          </w:tcPr>
          <w:p w14:paraId="2DF346FF" w14:textId="00C9FC68"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10</w:t>
            </w:r>
          </w:p>
        </w:tc>
        <w:tc>
          <w:tcPr>
            <w:tcW w:w="543" w:type="dxa"/>
            <w:tcBorders>
              <w:top w:val="single" w:sz="4" w:space="0" w:color="auto"/>
              <w:left w:val="nil"/>
              <w:right w:val="nil"/>
            </w:tcBorders>
            <w:shd w:val="clear" w:color="auto" w:fill="F3F9FA"/>
            <w:noWrap/>
            <w:vAlign w:val="center"/>
          </w:tcPr>
          <w:p w14:paraId="68F77089" w14:textId="5FE4C85E" w:rsidR="00F87B84" w:rsidRPr="0041562F" w:rsidRDefault="00F87B84" w:rsidP="005D3108">
            <w:pPr>
              <w:spacing w:before="0" w:after="0"/>
              <w:jc w:val="center"/>
              <w:rPr>
                <w:rFonts w:asciiTheme="minorHAnsi" w:hAnsiTheme="minorHAnsi" w:cstheme="minorHAnsi"/>
                <w:color w:val="000000"/>
                <w:sz w:val="14"/>
                <w:szCs w:val="14"/>
              </w:rPr>
            </w:pPr>
          </w:p>
        </w:tc>
        <w:tc>
          <w:tcPr>
            <w:tcW w:w="540" w:type="dxa"/>
            <w:tcBorders>
              <w:top w:val="single" w:sz="4" w:space="0" w:color="auto"/>
              <w:left w:val="nil"/>
              <w:right w:val="nil"/>
            </w:tcBorders>
            <w:shd w:val="clear" w:color="auto" w:fill="F3F9FA"/>
            <w:noWrap/>
            <w:vAlign w:val="center"/>
          </w:tcPr>
          <w:p w14:paraId="77A5380B" w14:textId="66E7ACE4"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top w:val="single" w:sz="4" w:space="0" w:color="auto"/>
              <w:left w:val="nil"/>
              <w:right w:val="nil"/>
            </w:tcBorders>
            <w:shd w:val="clear" w:color="auto" w:fill="F3F9FA"/>
            <w:vAlign w:val="center"/>
          </w:tcPr>
          <w:p w14:paraId="1863FD01" w14:textId="60E09DF6" w:rsidR="00F87B84" w:rsidRPr="000E0B31" w:rsidRDefault="00F87B84" w:rsidP="005D3108">
            <w:pPr>
              <w:spacing w:before="0" w:after="0"/>
              <w:jc w:val="center"/>
              <w:rPr>
                <w:color w:val="000000"/>
                <w:sz w:val="14"/>
                <w:szCs w:val="14"/>
              </w:rPr>
            </w:pPr>
          </w:p>
        </w:tc>
        <w:tc>
          <w:tcPr>
            <w:tcW w:w="540" w:type="dxa"/>
            <w:tcBorders>
              <w:top w:val="single" w:sz="4" w:space="0" w:color="auto"/>
              <w:left w:val="nil"/>
              <w:right w:val="nil"/>
            </w:tcBorders>
            <w:shd w:val="clear" w:color="auto" w:fill="F3F9FA"/>
            <w:vAlign w:val="center"/>
          </w:tcPr>
          <w:p w14:paraId="4EEDBE58" w14:textId="2418DF3B" w:rsidR="00F87B84" w:rsidRPr="0041562F" w:rsidRDefault="00F87B84" w:rsidP="005D3108">
            <w:pPr>
              <w:spacing w:before="0" w:after="0"/>
              <w:jc w:val="center"/>
              <w:rPr>
                <w:color w:val="000000"/>
                <w:sz w:val="14"/>
                <w:szCs w:val="14"/>
              </w:rPr>
            </w:pPr>
          </w:p>
        </w:tc>
        <w:tc>
          <w:tcPr>
            <w:tcW w:w="529" w:type="dxa"/>
            <w:tcBorders>
              <w:top w:val="single" w:sz="4" w:space="0" w:color="auto"/>
              <w:left w:val="nil"/>
              <w:right w:val="nil"/>
            </w:tcBorders>
            <w:shd w:val="clear" w:color="auto" w:fill="F3F9FA"/>
            <w:vAlign w:val="center"/>
          </w:tcPr>
          <w:p w14:paraId="11AC0B8A" w14:textId="69388D62" w:rsidR="00F87B84" w:rsidRPr="000E0B31" w:rsidRDefault="00F87B84" w:rsidP="005D3108">
            <w:pPr>
              <w:spacing w:before="0" w:after="0"/>
              <w:jc w:val="center"/>
              <w:rPr>
                <w:color w:val="000000"/>
                <w:sz w:val="14"/>
                <w:szCs w:val="14"/>
              </w:rPr>
            </w:pPr>
          </w:p>
        </w:tc>
        <w:tc>
          <w:tcPr>
            <w:tcW w:w="559" w:type="dxa"/>
            <w:tcBorders>
              <w:top w:val="single" w:sz="4" w:space="0" w:color="auto"/>
              <w:left w:val="nil"/>
              <w:right w:val="single" w:sz="4" w:space="0" w:color="auto"/>
            </w:tcBorders>
            <w:shd w:val="clear" w:color="auto" w:fill="F3F9FA"/>
            <w:vAlign w:val="center"/>
          </w:tcPr>
          <w:p w14:paraId="1043713F"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065C35A3"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1A826717"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right w:val="nil"/>
            </w:tcBorders>
            <w:shd w:val="clear" w:color="auto" w:fill="F3F9FA"/>
            <w:vAlign w:val="center"/>
          </w:tcPr>
          <w:p w14:paraId="17B98BAA"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442FB5F9" w14:textId="77777777" w:rsidR="00F87B84" w:rsidRPr="0041562F" w:rsidRDefault="00F87B84" w:rsidP="005D3108">
            <w:pPr>
              <w:spacing w:before="0" w:after="0"/>
              <w:jc w:val="center"/>
              <w:rPr>
                <w:color w:val="000000"/>
                <w:sz w:val="14"/>
                <w:szCs w:val="14"/>
              </w:rPr>
            </w:pPr>
          </w:p>
        </w:tc>
        <w:tc>
          <w:tcPr>
            <w:tcW w:w="559" w:type="dxa"/>
            <w:tcBorders>
              <w:top w:val="single" w:sz="4" w:space="0" w:color="auto"/>
              <w:left w:val="nil"/>
              <w:right w:val="nil"/>
            </w:tcBorders>
            <w:shd w:val="clear" w:color="auto" w:fill="F3F9FA"/>
            <w:vAlign w:val="center"/>
          </w:tcPr>
          <w:p w14:paraId="7564FAA7" w14:textId="77777777" w:rsidR="00F87B84" w:rsidRPr="000E0B31" w:rsidRDefault="00F87B84" w:rsidP="005D3108">
            <w:pPr>
              <w:spacing w:before="0" w:after="0"/>
              <w:jc w:val="center"/>
              <w:rPr>
                <w:color w:val="000000"/>
                <w:sz w:val="14"/>
                <w:szCs w:val="14"/>
              </w:rPr>
            </w:pPr>
          </w:p>
        </w:tc>
        <w:tc>
          <w:tcPr>
            <w:tcW w:w="546" w:type="dxa"/>
            <w:tcBorders>
              <w:top w:val="single" w:sz="4" w:space="0" w:color="auto"/>
              <w:left w:val="nil"/>
              <w:right w:val="nil"/>
            </w:tcBorders>
            <w:shd w:val="clear" w:color="auto" w:fill="F3F9FA"/>
            <w:vAlign w:val="center"/>
          </w:tcPr>
          <w:p w14:paraId="3DF0D9C5" w14:textId="77777777" w:rsidR="00F87B84" w:rsidRPr="000E0B31" w:rsidRDefault="00F87B84" w:rsidP="005D3108">
            <w:pPr>
              <w:spacing w:before="0" w:after="0"/>
              <w:jc w:val="center"/>
              <w:rPr>
                <w:color w:val="000000"/>
                <w:sz w:val="14"/>
                <w:szCs w:val="14"/>
              </w:rPr>
            </w:pPr>
          </w:p>
        </w:tc>
      </w:tr>
      <w:tr w:rsidR="00F87B84" w14:paraId="6551577D"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tcPr>
          <w:p w14:paraId="1CBC4D86" w14:textId="77777777" w:rsidR="00F87B84" w:rsidRDefault="00F87B84" w:rsidP="005D3108">
            <w:pPr>
              <w:spacing w:before="0" w:after="0"/>
              <w:rPr>
                <w:color w:val="000000"/>
                <w:sz w:val="14"/>
                <w:szCs w:val="14"/>
              </w:rPr>
            </w:pPr>
          </w:p>
        </w:tc>
        <w:tc>
          <w:tcPr>
            <w:tcW w:w="1294" w:type="dxa"/>
            <w:vMerge/>
            <w:tcBorders>
              <w:left w:val="nil"/>
              <w:right w:val="nil"/>
            </w:tcBorders>
            <w:vAlign w:val="center"/>
          </w:tcPr>
          <w:p w14:paraId="7EF6DC47" w14:textId="77777777" w:rsidR="00F87B84" w:rsidRDefault="00F87B84" w:rsidP="005D3108">
            <w:pPr>
              <w:spacing w:before="0" w:after="0"/>
              <w:rPr>
                <w:color w:val="000000"/>
                <w:sz w:val="14"/>
                <w:szCs w:val="14"/>
              </w:rPr>
            </w:pPr>
          </w:p>
        </w:tc>
        <w:tc>
          <w:tcPr>
            <w:tcW w:w="1299" w:type="dxa"/>
            <w:vMerge/>
            <w:tcBorders>
              <w:left w:val="nil"/>
              <w:bottom w:val="nil"/>
              <w:right w:val="nil"/>
            </w:tcBorders>
            <w:shd w:val="clear" w:color="auto" w:fill="F3F9FA"/>
            <w:vAlign w:val="center"/>
          </w:tcPr>
          <w:p w14:paraId="5F6D7E63" w14:textId="77777777" w:rsidR="00F87B84" w:rsidRDefault="00F87B84" w:rsidP="005D3108">
            <w:pPr>
              <w:spacing w:before="0" w:after="0"/>
              <w:rPr>
                <w:color w:val="000000"/>
                <w:sz w:val="14"/>
                <w:szCs w:val="14"/>
              </w:rPr>
            </w:pPr>
          </w:p>
        </w:tc>
        <w:tc>
          <w:tcPr>
            <w:tcW w:w="1307" w:type="dxa"/>
            <w:vMerge/>
            <w:tcBorders>
              <w:left w:val="nil"/>
              <w:bottom w:val="nil"/>
              <w:right w:val="nil"/>
            </w:tcBorders>
            <w:shd w:val="clear" w:color="auto" w:fill="F3F9FA"/>
            <w:vAlign w:val="center"/>
          </w:tcPr>
          <w:p w14:paraId="069679B4" w14:textId="77777777" w:rsidR="00F87B84" w:rsidRDefault="00F87B84" w:rsidP="005D3108">
            <w:pPr>
              <w:spacing w:before="0" w:after="0"/>
              <w:jc w:val="center"/>
              <w:rPr>
                <w:color w:val="000000"/>
                <w:sz w:val="14"/>
                <w:szCs w:val="14"/>
              </w:rPr>
            </w:pPr>
          </w:p>
        </w:tc>
        <w:tc>
          <w:tcPr>
            <w:tcW w:w="840" w:type="dxa"/>
            <w:tcBorders>
              <w:left w:val="nil"/>
              <w:bottom w:val="nil"/>
            </w:tcBorders>
            <w:shd w:val="clear" w:color="auto" w:fill="F3F9FA"/>
            <w:noWrap/>
            <w:vAlign w:val="center"/>
          </w:tcPr>
          <w:p w14:paraId="55C7AAC8" w14:textId="77777777" w:rsidR="00F87B84" w:rsidRDefault="00F87B84" w:rsidP="005D3108">
            <w:pPr>
              <w:spacing w:before="0" w:after="0"/>
              <w:jc w:val="center"/>
              <w:rPr>
                <w:b/>
                <w:color w:val="000000"/>
                <w:sz w:val="14"/>
                <w:szCs w:val="14"/>
              </w:rPr>
            </w:pPr>
            <w:r>
              <w:rPr>
                <w:b/>
                <w:color w:val="000000"/>
                <w:sz w:val="14"/>
                <w:szCs w:val="14"/>
              </w:rPr>
              <w:t>NB2^</w:t>
            </w:r>
          </w:p>
        </w:tc>
        <w:tc>
          <w:tcPr>
            <w:tcW w:w="555" w:type="dxa"/>
            <w:tcBorders>
              <w:bottom w:val="nil"/>
            </w:tcBorders>
            <w:shd w:val="clear" w:color="auto" w:fill="F3F9FA"/>
            <w:vAlign w:val="center"/>
          </w:tcPr>
          <w:p w14:paraId="67EFA3EE" w14:textId="1DEB1895" w:rsidR="00F87B84" w:rsidRPr="0041562F" w:rsidRDefault="00F87B84" w:rsidP="005D3108">
            <w:pPr>
              <w:spacing w:before="0" w:after="0"/>
              <w:jc w:val="center"/>
              <w:rPr>
                <w:rFonts w:asciiTheme="minorHAnsi" w:hAnsiTheme="minorHAnsi" w:cstheme="minorHAnsi"/>
                <w:color w:val="000000"/>
                <w:sz w:val="14"/>
                <w:szCs w:val="14"/>
              </w:rPr>
            </w:pPr>
            <w:r w:rsidRPr="00E12F61">
              <w:rPr>
                <w:color w:val="000000"/>
                <w:sz w:val="14"/>
                <w:szCs w:val="14"/>
              </w:rPr>
              <w:t>10</w:t>
            </w:r>
          </w:p>
        </w:tc>
        <w:tc>
          <w:tcPr>
            <w:tcW w:w="543" w:type="dxa"/>
            <w:tcBorders>
              <w:bottom w:val="nil"/>
            </w:tcBorders>
            <w:shd w:val="clear" w:color="auto" w:fill="F3F9FA"/>
            <w:noWrap/>
            <w:vAlign w:val="center"/>
          </w:tcPr>
          <w:p w14:paraId="6F70C32A"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40" w:type="dxa"/>
            <w:tcBorders>
              <w:bottom w:val="nil"/>
            </w:tcBorders>
            <w:shd w:val="clear" w:color="auto" w:fill="F3F9FA"/>
            <w:noWrap/>
            <w:vAlign w:val="center"/>
          </w:tcPr>
          <w:p w14:paraId="53FC1D10" w14:textId="77777777" w:rsidR="00F87B84" w:rsidRPr="0041562F" w:rsidRDefault="00F87B84" w:rsidP="005D3108">
            <w:pPr>
              <w:spacing w:before="0" w:after="0"/>
              <w:jc w:val="center"/>
              <w:rPr>
                <w:rFonts w:asciiTheme="minorHAnsi" w:hAnsiTheme="minorHAnsi" w:cstheme="minorHAnsi"/>
                <w:color w:val="000000"/>
                <w:sz w:val="14"/>
                <w:szCs w:val="14"/>
              </w:rPr>
            </w:pPr>
          </w:p>
        </w:tc>
        <w:tc>
          <w:tcPr>
            <w:tcW w:w="536" w:type="dxa"/>
            <w:tcBorders>
              <w:bottom w:val="nil"/>
            </w:tcBorders>
            <w:shd w:val="clear" w:color="auto" w:fill="F3F9FA"/>
            <w:vAlign w:val="center"/>
          </w:tcPr>
          <w:p w14:paraId="09F3E3EE" w14:textId="77777777" w:rsidR="00F87B84" w:rsidRPr="000E0B31" w:rsidRDefault="00F87B84" w:rsidP="005D3108">
            <w:pPr>
              <w:spacing w:before="0" w:after="0"/>
              <w:jc w:val="center"/>
              <w:rPr>
                <w:color w:val="000000"/>
                <w:sz w:val="14"/>
                <w:szCs w:val="14"/>
              </w:rPr>
            </w:pPr>
          </w:p>
        </w:tc>
        <w:tc>
          <w:tcPr>
            <w:tcW w:w="540" w:type="dxa"/>
            <w:tcBorders>
              <w:bottom w:val="nil"/>
            </w:tcBorders>
            <w:shd w:val="clear" w:color="auto" w:fill="F3F9FA"/>
            <w:vAlign w:val="center"/>
          </w:tcPr>
          <w:p w14:paraId="6C7BD143" w14:textId="77777777" w:rsidR="00F87B84" w:rsidRPr="0041562F" w:rsidRDefault="00F87B84" w:rsidP="005D3108">
            <w:pPr>
              <w:spacing w:before="0" w:after="0"/>
              <w:jc w:val="center"/>
              <w:rPr>
                <w:color w:val="000000"/>
                <w:sz w:val="14"/>
                <w:szCs w:val="14"/>
              </w:rPr>
            </w:pPr>
          </w:p>
        </w:tc>
        <w:tc>
          <w:tcPr>
            <w:tcW w:w="529" w:type="dxa"/>
            <w:tcBorders>
              <w:bottom w:val="nil"/>
            </w:tcBorders>
            <w:shd w:val="clear" w:color="auto" w:fill="F3F9FA"/>
            <w:vAlign w:val="center"/>
          </w:tcPr>
          <w:p w14:paraId="6517F332" w14:textId="77777777" w:rsidR="00F87B84" w:rsidRPr="000E0B31" w:rsidRDefault="00F87B84" w:rsidP="005D3108">
            <w:pPr>
              <w:spacing w:before="0" w:after="0"/>
              <w:jc w:val="center"/>
              <w:rPr>
                <w:color w:val="000000"/>
                <w:sz w:val="14"/>
                <w:szCs w:val="14"/>
              </w:rPr>
            </w:pPr>
          </w:p>
        </w:tc>
        <w:tc>
          <w:tcPr>
            <w:tcW w:w="559" w:type="dxa"/>
            <w:tcBorders>
              <w:bottom w:val="nil"/>
              <w:right w:val="single" w:sz="4" w:space="0" w:color="auto"/>
            </w:tcBorders>
            <w:shd w:val="clear" w:color="auto" w:fill="F3F9FA"/>
            <w:vAlign w:val="center"/>
          </w:tcPr>
          <w:p w14:paraId="62D9A8BE" w14:textId="77777777" w:rsidR="00F87B84" w:rsidRPr="000E0B31" w:rsidRDefault="00F87B84"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tcPr>
          <w:p w14:paraId="532B6A39"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4396E772"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bottom w:val="nil"/>
            </w:tcBorders>
            <w:shd w:val="clear" w:color="auto" w:fill="F3F9FA"/>
            <w:vAlign w:val="center"/>
          </w:tcPr>
          <w:p w14:paraId="0F39D8FC" w14:textId="77777777" w:rsidR="00F87B84" w:rsidRPr="000E0B31"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3945E37C" w14:textId="77777777" w:rsidR="00F87B84" w:rsidRPr="0041562F" w:rsidRDefault="00F87B84" w:rsidP="005D3108">
            <w:pPr>
              <w:spacing w:before="0" w:after="0"/>
              <w:jc w:val="center"/>
              <w:rPr>
                <w:color w:val="000000"/>
                <w:sz w:val="14"/>
                <w:szCs w:val="14"/>
              </w:rPr>
            </w:pPr>
          </w:p>
        </w:tc>
        <w:tc>
          <w:tcPr>
            <w:tcW w:w="559" w:type="dxa"/>
            <w:tcBorders>
              <w:bottom w:val="nil"/>
            </w:tcBorders>
            <w:shd w:val="clear" w:color="auto" w:fill="F3F9FA"/>
            <w:vAlign w:val="center"/>
          </w:tcPr>
          <w:p w14:paraId="4934DEC4" w14:textId="77777777" w:rsidR="00F87B84" w:rsidRPr="000E0B31" w:rsidRDefault="00F87B84" w:rsidP="005D3108">
            <w:pPr>
              <w:spacing w:before="0" w:after="0"/>
              <w:jc w:val="center"/>
              <w:rPr>
                <w:color w:val="000000"/>
                <w:sz w:val="14"/>
                <w:szCs w:val="14"/>
              </w:rPr>
            </w:pPr>
          </w:p>
        </w:tc>
        <w:tc>
          <w:tcPr>
            <w:tcW w:w="546" w:type="dxa"/>
            <w:tcBorders>
              <w:bottom w:val="nil"/>
              <w:right w:val="nil"/>
            </w:tcBorders>
            <w:shd w:val="clear" w:color="auto" w:fill="F3F9FA"/>
            <w:vAlign w:val="center"/>
          </w:tcPr>
          <w:p w14:paraId="0C52F36D" w14:textId="77777777" w:rsidR="00F87B84" w:rsidRPr="000E0B31" w:rsidRDefault="00F87B84" w:rsidP="005D3108">
            <w:pPr>
              <w:spacing w:before="0" w:after="0"/>
              <w:jc w:val="center"/>
              <w:rPr>
                <w:color w:val="000000"/>
                <w:sz w:val="14"/>
                <w:szCs w:val="14"/>
              </w:rPr>
            </w:pPr>
          </w:p>
        </w:tc>
      </w:tr>
      <w:tr w:rsidR="00F87B84" w14:paraId="2FBC66C5"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7C964DC4" w14:textId="77777777" w:rsidR="00F87B84" w:rsidRDefault="00F87B84" w:rsidP="005D3108">
            <w:pPr>
              <w:spacing w:before="0" w:after="0"/>
              <w:rPr>
                <w:color w:val="000000"/>
                <w:sz w:val="14"/>
                <w:szCs w:val="14"/>
              </w:rPr>
            </w:pPr>
          </w:p>
        </w:tc>
        <w:tc>
          <w:tcPr>
            <w:tcW w:w="1294" w:type="dxa"/>
            <w:vMerge/>
            <w:tcBorders>
              <w:left w:val="nil"/>
              <w:right w:val="nil"/>
            </w:tcBorders>
            <w:vAlign w:val="center"/>
            <w:hideMark/>
          </w:tcPr>
          <w:p w14:paraId="2D3265F8" w14:textId="77777777" w:rsidR="00F87B84" w:rsidRDefault="00F87B84" w:rsidP="005D3108">
            <w:pPr>
              <w:spacing w:before="0" w:after="0"/>
              <w:rPr>
                <w:color w:val="000000"/>
                <w:sz w:val="14"/>
                <w:szCs w:val="14"/>
              </w:rPr>
            </w:pPr>
          </w:p>
        </w:tc>
        <w:tc>
          <w:tcPr>
            <w:tcW w:w="1299" w:type="dxa"/>
            <w:vMerge w:val="restart"/>
            <w:tcBorders>
              <w:top w:val="single" w:sz="4" w:space="0" w:color="auto"/>
              <w:left w:val="nil"/>
              <w:bottom w:val="nil"/>
              <w:right w:val="nil"/>
            </w:tcBorders>
            <w:shd w:val="clear" w:color="auto" w:fill="F3F9FA"/>
            <w:vAlign w:val="center"/>
            <w:hideMark/>
          </w:tcPr>
          <w:p w14:paraId="017EA80D" w14:textId="77777777" w:rsidR="00F87B84" w:rsidRDefault="00F87B84" w:rsidP="005D3108">
            <w:pPr>
              <w:spacing w:before="0" w:after="0"/>
              <w:jc w:val="center"/>
              <w:rPr>
                <w:color w:val="000000"/>
                <w:sz w:val="14"/>
                <w:szCs w:val="14"/>
              </w:rPr>
            </w:pPr>
            <w:r>
              <w:rPr>
                <w:color w:val="000000"/>
                <w:sz w:val="14"/>
                <w:szCs w:val="14"/>
              </w:rPr>
              <w:t>Plane</w:t>
            </w:r>
          </w:p>
        </w:tc>
        <w:tc>
          <w:tcPr>
            <w:tcW w:w="1307" w:type="dxa"/>
            <w:vMerge w:val="restart"/>
            <w:tcBorders>
              <w:top w:val="single" w:sz="4" w:space="0" w:color="auto"/>
              <w:left w:val="nil"/>
              <w:bottom w:val="nil"/>
              <w:right w:val="nil"/>
            </w:tcBorders>
            <w:shd w:val="clear" w:color="auto" w:fill="F3F9FA"/>
            <w:noWrap/>
            <w:vAlign w:val="center"/>
            <w:hideMark/>
          </w:tcPr>
          <w:p w14:paraId="73019CBD" w14:textId="77777777" w:rsidR="00F87B84" w:rsidRDefault="00F87B84" w:rsidP="005D3108">
            <w:pPr>
              <w:spacing w:before="0" w:after="0"/>
              <w:jc w:val="center"/>
              <w:rPr>
                <w:color w:val="000000"/>
                <w:sz w:val="14"/>
                <w:szCs w:val="14"/>
              </w:rPr>
            </w:pPr>
            <w:r>
              <w:rPr>
                <w:color w:val="000000"/>
                <w:sz w:val="14"/>
                <w:szCs w:val="14"/>
              </w:rPr>
              <w:t>Sarina Inlet</w:t>
            </w:r>
          </w:p>
        </w:tc>
        <w:tc>
          <w:tcPr>
            <w:tcW w:w="840" w:type="dxa"/>
            <w:tcBorders>
              <w:top w:val="single" w:sz="4" w:space="0" w:color="auto"/>
              <w:left w:val="nil"/>
              <w:right w:val="nil"/>
            </w:tcBorders>
            <w:shd w:val="clear" w:color="auto" w:fill="F3F9FA"/>
            <w:noWrap/>
            <w:vAlign w:val="center"/>
            <w:hideMark/>
          </w:tcPr>
          <w:p w14:paraId="1FE6EA56" w14:textId="77777777" w:rsidR="00F87B84" w:rsidRDefault="00F87B84" w:rsidP="005D3108">
            <w:pPr>
              <w:spacing w:before="0" w:after="0"/>
              <w:jc w:val="center"/>
              <w:rPr>
                <w:b/>
                <w:color w:val="000000"/>
                <w:sz w:val="14"/>
                <w:szCs w:val="14"/>
              </w:rPr>
            </w:pPr>
            <w:r>
              <w:rPr>
                <w:b/>
                <w:color w:val="000000"/>
                <w:sz w:val="14"/>
                <w:szCs w:val="14"/>
              </w:rPr>
              <w:t>SI1</w:t>
            </w:r>
          </w:p>
        </w:tc>
        <w:tc>
          <w:tcPr>
            <w:tcW w:w="555" w:type="dxa"/>
            <w:tcBorders>
              <w:top w:val="single" w:sz="4" w:space="0" w:color="auto"/>
              <w:left w:val="nil"/>
              <w:right w:val="nil"/>
            </w:tcBorders>
            <w:shd w:val="clear" w:color="auto" w:fill="F3F9FA"/>
            <w:vAlign w:val="center"/>
          </w:tcPr>
          <w:p w14:paraId="78B8A501" w14:textId="23D3055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tcPr>
          <w:p w14:paraId="5E9F074E" w14:textId="71809D5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tcPr>
          <w:p w14:paraId="15E82390" w14:textId="6E21F2EA"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tcPr>
          <w:p w14:paraId="05A91831" w14:textId="2770FE3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tcPr>
          <w:p w14:paraId="4311D137" w14:textId="34D51331"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tcPr>
          <w:p w14:paraId="1D93F46A" w14:textId="6D4E13C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50143A48" w14:textId="675945A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F3F9FA"/>
            <w:vAlign w:val="center"/>
          </w:tcPr>
          <w:p w14:paraId="330CC9B4" w14:textId="66D216D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tcPr>
          <w:p w14:paraId="0CA2C74D" w14:textId="24C2597F"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5BC47E55" w14:textId="4EF0237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tcPr>
          <w:p w14:paraId="1C2F66E9" w14:textId="1008BD98"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tcPr>
          <w:p w14:paraId="618BBEED" w14:textId="3A5E29D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49287279" w14:textId="4977EABB"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5AE3A1DE" w14:textId="77777777" w:rsidTr="00EF6C56">
        <w:trPr>
          <w:gridAfter w:val="1"/>
          <w:wAfter w:w="10" w:type="dxa"/>
          <w:cantSplit/>
          <w:trHeight w:val="170"/>
          <w:jc w:val="center"/>
        </w:trPr>
        <w:tc>
          <w:tcPr>
            <w:tcW w:w="1148" w:type="dxa"/>
            <w:vMerge/>
            <w:tcBorders>
              <w:top w:val="single" w:sz="4" w:space="0" w:color="auto"/>
              <w:left w:val="nil"/>
              <w:bottom w:val="nil"/>
              <w:right w:val="nil"/>
            </w:tcBorders>
            <w:vAlign w:val="center"/>
            <w:hideMark/>
          </w:tcPr>
          <w:p w14:paraId="69BF7319" w14:textId="77777777" w:rsidR="00F87B84" w:rsidRDefault="00F87B84" w:rsidP="005D3108">
            <w:pPr>
              <w:spacing w:before="0" w:after="0"/>
              <w:rPr>
                <w:color w:val="000000"/>
                <w:sz w:val="14"/>
                <w:szCs w:val="14"/>
              </w:rPr>
            </w:pPr>
          </w:p>
        </w:tc>
        <w:tc>
          <w:tcPr>
            <w:tcW w:w="1294" w:type="dxa"/>
            <w:vMerge/>
            <w:tcBorders>
              <w:left w:val="nil"/>
              <w:bottom w:val="single" w:sz="4" w:space="0" w:color="auto"/>
              <w:right w:val="nil"/>
            </w:tcBorders>
            <w:vAlign w:val="center"/>
            <w:hideMark/>
          </w:tcPr>
          <w:p w14:paraId="70AF769F"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nil"/>
              <w:right w:val="nil"/>
            </w:tcBorders>
            <w:vAlign w:val="center"/>
            <w:hideMark/>
          </w:tcPr>
          <w:p w14:paraId="1666AB39"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nil"/>
              <w:right w:val="nil"/>
            </w:tcBorders>
            <w:vAlign w:val="center"/>
            <w:hideMark/>
          </w:tcPr>
          <w:p w14:paraId="7BC36E1D" w14:textId="77777777" w:rsidR="00F87B84" w:rsidRDefault="00F87B84" w:rsidP="005D3108">
            <w:pPr>
              <w:spacing w:before="0" w:after="0"/>
              <w:rPr>
                <w:color w:val="000000"/>
                <w:sz w:val="14"/>
                <w:szCs w:val="14"/>
              </w:rPr>
            </w:pPr>
          </w:p>
        </w:tc>
        <w:tc>
          <w:tcPr>
            <w:tcW w:w="840" w:type="dxa"/>
            <w:tcBorders>
              <w:left w:val="nil"/>
              <w:bottom w:val="nil"/>
            </w:tcBorders>
            <w:shd w:val="clear" w:color="auto" w:fill="F3F9FA"/>
            <w:noWrap/>
            <w:vAlign w:val="center"/>
            <w:hideMark/>
          </w:tcPr>
          <w:p w14:paraId="13644885" w14:textId="77777777" w:rsidR="00F87B84" w:rsidRDefault="00F87B84" w:rsidP="005D3108">
            <w:pPr>
              <w:spacing w:before="0" w:after="0"/>
              <w:jc w:val="center"/>
              <w:rPr>
                <w:b/>
                <w:color w:val="000000"/>
                <w:sz w:val="14"/>
                <w:szCs w:val="14"/>
              </w:rPr>
            </w:pPr>
            <w:r>
              <w:rPr>
                <w:b/>
                <w:color w:val="000000"/>
                <w:sz w:val="14"/>
                <w:szCs w:val="14"/>
              </w:rPr>
              <w:t>SI2</w:t>
            </w:r>
          </w:p>
        </w:tc>
        <w:tc>
          <w:tcPr>
            <w:tcW w:w="555" w:type="dxa"/>
            <w:tcBorders>
              <w:bottom w:val="nil"/>
            </w:tcBorders>
            <w:shd w:val="clear" w:color="auto" w:fill="F3F9FA"/>
            <w:vAlign w:val="center"/>
          </w:tcPr>
          <w:p w14:paraId="093EE512" w14:textId="580EAEB4"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bottom w:val="nil"/>
            </w:tcBorders>
            <w:shd w:val="clear" w:color="auto" w:fill="F3F9FA"/>
            <w:noWrap/>
            <w:vAlign w:val="center"/>
          </w:tcPr>
          <w:p w14:paraId="4CE69358" w14:textId="2E77272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bottom w:val="nil"/>
            </w:tcBorders>
            <w:shd w:val="clear" w:color="auto" w:fill="F3F9FA"/>
            <w:noWrap/>
            <w:vAlign w:val="center"/>
          </w:tcPr>
          <w:p w14:paraId="44AF6C76" w14:textId="16B26CB4"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bottom w:val="nil"/>
            </w:tcBorders>
            <w:shd w:val="clear" w:color="auto" w:fill="F3F9FA"/>
            <w:vAlign w:val="center"/>
          </w:tcPr>
          <w:p w14:paraId="18E0CE60" w14:textId="7FD4F19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tcPr>
          <w:p w14:paraId="0359F4BF" w14:textId="063D9E2C"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tcPr>
          <w:p w14:paraId="2D0EFBE2" w14:textId="14976A0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tcPr>
          <w:p w14:paraId="32E1E54B" w14:textId="0FCC2B93" w:rsidR="00F87B84" w:rsidRPr="000E0B31" w:rsidRDefault="00F87B84"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tcPr>
          <w:p w14:paraId="1F264012" w14:textId="26B0586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bottom w:val="nil"/>
            </w:tcBorders>
            <w:shd w:val="clear" w:color="auto" w:fill="F3F9FA"/>
            <w:vAlign w:val="center"/>
          </w:tcPr>
          <w:p w14:paraId="1974B381" w14:textId="563B60FF"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bottom w:val="nil"/>
            </w:tcBorders>
            <w:shd w:val="clear" w:color="auto" w:fill="F3F9FA"/>
            <w:vAlign w:val="center"/>
          </w:tcPr>
          <w:p w14:paraId="2D1721D9" w14:textId="3C5380F1"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tcPr>
          <w:p w14:paraId="6B7A4E55" w14:textId="40912C2D"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tcPr>
          <w:p w14:paraId="4E1BFE2D" w14:textId="0E6A796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tcPr>
          <w:p w14:paraId="22F2E262" w14:textId="25C02EF9" w:rsidR="00F87B84" w:rsidRPr="000E0B31" w:rsidRDefault="00F87B84" w:rsidP="005D3108">
            <w:pPr>
              <w:spacing w:before="0" w:after="0"/>
              <w:jc w:val="center"/>
              <w:rPr>
                <w:color w:val="000000"/>
                <w:sz w:val="14"/>
                <w:szCs w:val="14"/>
              </w:rPr>
            </w:pPr>
          </w:p>
        </w:tc>
      </w:tr>
      <w:tr w:rsidR="00F87B84" w14:paraId="0460F2A3" w14:textId="77777777" w:rsidTr="00EF6C56">
        <w:trPr>
          <w:gridAfter w:val="1"/>
          <w:wAfter w:w="10" w:type="dxa"/>
          <w:cantSplit/>
          <w:trHeight w:val="170"/>
          <w:jc w:val="center"/>
        </w:trPr>
        <w:tc>
          <w:tcPr>
            <w:tcW w:w="1148" w:type="dxa"/>
            <w:vMerge w:val="restart"/>
            <w:tcBorders>
              <w:top w:val="single" w:sz="4" w:space="0" w:color="auto"/>
              <w:left w:val="nil"/>
              <w:bottom w:val="single" w:sz="4" w:space="0" w:color="auto"/>
              <w:right w:val="nil"/>
            </w:tcBorders>
            <w:noWrap/>
            <w:vAlign w:val="center"/>
            <w:hideMark/>
          </w:tcPr>
          <w:p w14:paraId="69C59A70" w14:textId="77777777" w:rsidR="00F87B84" w:rsidRDefault="00F87B84" w:rsidP="005D3108">
            <w:pPr>
              <w:spacing w:before="0" w:after="0"/>
              <w:jc w:val="center"/>
              <w:rPr>
                <w:color w:val="000000"/>
                <w:sz w:val="14"/>
                <w:szCs w:val="14"/>
              </w:rPr>
            </w:pPr>
            <w:r>
              <w:rPr>
                <w:color w:val="000000"/>
                <w:sz w:val="14"/>
                <w:szCs w:val="14"/>
              </w:rPr>
              <w:t>Southern</w:t>
            </w:r>
          </w:p>
        </w:tc>
        <w:tc>
          <w:tcPr>
            <w:tcW w:w="1294" w:type="dxa"/>
            <w:vMerge w:val="restart"/>
            <w:tcBorders>
              <w:top w:val="single" w:sz="4" w:space="0" w:color="auto"/>
              <w:left w:val="nil"/>
              <w:bottom w:val="single" w:sz="4" w:space="0" w:color="auto"/>
              <w:right w:val="nil"/>
            </w:tcBorders>
            <w:shd w:val="clear" w:color="auto" w:fill="E7F3F4"/>
            <w:noWrap/>
            <w:vAlign w:val="center"/>
            <w:hideMark/>
          </w:tcPr>
          <w:p w14:paraId="5CC29DE4" w14:textId="77777777" w:rsidR="00F87B84" w:rsidRDefault="00F87B84" w:rsidP="005D3108">
            <w:pPr>
              <w:spacing w:before="0" w:after="0"/>
              <w:jc w:val="center"/>
              <w:rPr>
                <w:color w:val="000000"/>
                <w:sz w:val="14"/>
                <w:szCs w:val="14"/>
              </w:rPr>
            </w:pPr>
            <w:r>
              <w:rPr>
                <w:color w:val="000000"/>
                <w:sz w:val="14"/>
                <w:szCs w:val="14"/>
              </w:rPr>
              <w:t xml:space="preserve">Fitzroy </w:t>
            </w:r>
          </w:p>
        </w:tc>
        <w:tc>
          <w:tcPr>
            <w:tcW w:w="1299" w:type="dxa"/>
            <w:vMerge w:val="restart"/>
            <w:tcBorders>
              <w:top w:val="single" w:sz="4" w:space="0" w:color="auto"/>
              <w:left w:val="nil"/>
              <w:bottom w:val="single" w:sz="4" w:space="0" w:color="auto"/>
              <w:right w:val="nil"/>
            </w:tcBorders>
            <w:shd w:val="clear" w:color="auto" w:fill="E7F3F4"/>
            <w:vAlign w:val="center"/>
            <w:hideMark/>
          </w:tcPr>
          <w:p w14:paraId="3130208D" w14:textId="77777777" w:rsidR="00F87B84" w:rsidRDefault="00F87B84" w:rsidP="005D3108">
            <w:pPr>
              <w:spacing w:before="0" w:after="0"/>
              <w:jc w:val="center"/>
              <w:rPr>
                <w:color w:val="000000"/>
                <w:sz w:val="14"/>
                <w:szCs w:val="14"/>
              </w:rPr>
            </w:pPr>
            <w:r>
              <w:rPr>
                <w:color w:val="000000"/>
                <w:sz w:val="14"/>
                <w:szCs w:val="14"/>
              </w:rPr>
              <w:t>Fitzroy</w:t>
            </w:r>
          </w:p>
        </w:tc>
        <w:tc>
          <w:tcPr>
            <w:tcW w:w="1307" w:type="dxa"/>
            <w:vMerge w:val="restart"/>
            <w:tcBorders>
              <w:top w:val="single" w:sz="4" w:space="0" w:color="auto"/>
              <w:left w:val="nil"/>
              <w:bottom w:val="single" w:sz="4" w:space="0" w:color="auto"/>
              <w:right w:val="nil"/>
            </w:tcBorders>
            <w:shd w:val="clear" w:color="auto" w:fill="E7F3F4"/>
            <w:noWrap/>
            <w:vAlign w:val="center"/>
            <w:hideMark/>
          </w:tcPr>
          <w:p w14:paraId="1E5D8A35" w14:textId="77777777" w:rsidR="00F87B84" w:rsidRDefault="00F87B84" w:rsidP="005D3108">
            <w:pPr>
              <w:spacing w:before="0" w:after="0"/>
              <w:jc w:val="center"/>
              <w:rPr>
                <w:color w:val="000000"/>
                <w:sz w:val="14"/>
                <w:szCs w:val="14"/>
              </w:rPr>
            </w:pPr>
            <w:r>
              <w:rPr>
                <w:color w:val="000000"/>
                <w:sz w:val="14"/>
                <w:szCs w:val="14"/>
              </w:rPr>
              <w:t>Shoalwater Bay</w:t>
            </w:r>
          </w:p>
        </w:tc>
        <w:tc>
          <w:tcPr>
            <w:tcW w:w="840" w:type="dxa"/>
            <w:tcBorders>
              <w:top w:val="single" w:sz="4" w:space="0" w:color="auto"/>
              <w:left w:val="nil"/>
              <w:bottom w:val="nil"/>
              <w:right w:val="nil"/>
            </w:tcBorders>
            <w:shd w:val="clear" w:color="auto" w:fill="E7F3F4"/>
            <w:noWrap/>
            <w:vAlign w:val="center"/>
            <w:hideMark/>
          </w:tcPr>
          <w:p w14:paraId="058BC396" w14:textId="77777777" w:rsidR="00F87B84" w:rsidRDefault="00F87B84" w:rsidP="005D3108">
            <w:pPr>
              <w:spacing w:before="0" w:after="0"/>
              <w:jc w:val="center"/>
              <w:rPr>
                <w:b/>
                <w:color w:val="000000"/>
                <w:sz w:val="14"/>
                <w:szCs w:val="14"/>
              </w:rPr>
            </w:pPr>
            <w:r>
              <w:rPr>
                <w:b/>
                <w:color w:val="000000"/>
                <w:sz w:val="14"/>
                <w:szCs w:val="14"/>
              </w:rPr>
              <w:t>RC1</w:t>
            </w:r>
          </w:p>
        </w:tc>
        <w:tc>
          <w:tcPr>
            <w:tcW w:w="555" w:type="dxa"/>
            <w:tcBorders>
              <w:top w:val="single" w:sz="4" w:space="0" w:color="auto"/>
              <w:left w:val="nil"/>
              <w:bottom w:val="nil"/>
              <w:right w:val="nil"/>
            </w:tcBorders>
            <w:shd w:val="clear" w:color="auto" w:fill="E7F3F4"/>
            <w:vAlign w:val="center"/>
          </w:tcPr>
          <w:p w14:paraId="5DDB0B09" w14:textId="44DDC70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bottom w:val="nil"/>
              <w:right w:val="nil"/>
            </w:tcBorders>
            <w:shd w:val="clear" w:color="auto" w:fill="E7F3F4"/>
            <w:noWrap/>
            <w:vAlign w:val="center"/>
          </w:tcPr>
          <w:p w14:paraId="3743454B" w14:textId="1C68114F"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bottom w:val="nil"/>
              <w:right w:val="nil"/>
            </w:tcBorders>
            <w:shd w:val="clear" w:color="auto" w:fill="E7F3F4"/>
            <w:noWrap/>
            <w:vAlign w:val="center"/>
          </w:tcPr>
          <w:p w14:paraId="2AC60CBD" w14:textId="69EF9D2E"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bottom w:val="nil"/>
              <w:right w:val="nil"/>
            </w:tcBorders>
            <w:shd w:val="clear" w:color="auto" w:fill="E7F3F4"/>
            <w:vAlign w:val="center"/>
          </w:tcPr>
          <w:p w14:paraId="0AE374DF" w14:textId="19647D2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bottom w:val="nil"/>
              <w:right w:val="nil"/>
            </w:tcBorders>
            <w:shd w:val="clear" w:color="auto" w:fill="E7F3F4"/>
            <w:vAlign w:val="center"/>
          </w:tcPr>
          <w:p w14:paraId="53074A0E" w14:textId="3BDA8CA8"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bottom w:val="nil"/>
              <w:right w:val="nil"/>
            </w:tcBorders>
            <w:shd w:val="clear" w:color="auto" w:fill="E7F3F4"/>
            <w:vAlign w:val="center"/>
          </w:tcPr>
          <w:p w14:paraId="59B0DA05" w14:textId="656F5DD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single" w:sz="4" w:space="0" w:color="auto"/>
            </w:tcBorders>
            <w:shd w:val="clear" w:color="auto" w:fill="E7F3F4"/>
            <w:vAlign w:val="center"/>
          </w:tcPr>
          <w:p w14:paraId="70A8D0F9"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bottom w:val="nil"/>
              <w:right w:val="nil"/>
            </w:tcBorders>
            <w:shd w:val="clear" w:color="auto" w:fill="E7F3F4"/>
            <w:vAlign w:val="center"/>
          </w:tcPr>
          <w:p w14:paraId="1765D486" w14:textId="18306FF3"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bottom w:val="nil"/>
              <w:right w:val="nil"/>
            </w:tcBorders>
            <w:shd w:val="clear" w:color="auto" w:fill="E7F3F4"/>
            <w:vAlign w:val="center"/>
          </w:tcPr>
          <w:p w14:paraId="3896DA18" w14:textId="030CAC08"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single" w:sz="4" w:space="0" w:color="auto"/>
              <w:left w:val="nil"/>
              <w:bottom w:val="nil"/>
              <w:right w:val="nil"/>
            </w:tcBorders>
            <w:shd w:val="clear" w:color="auto" w:fill="E7F3F4"/>
            <w:vAlign w:val="center"/>
          </w:tcPr>
          <w:p w14:paraId="0E399427" w14:textId="7C70FC17" w:rsidR="00F87B84" w:rsidRPr="000E0B31" w:rsidRDefault="00F87B84" w:rsidP="005D3108">
            <w:pPr>
              <w:spacing w:before="0" w:after="0"/>
              <w:jc w:val="center"/>
              <w:rPr>
                <w:color w:val="000000"/>
                <w:sz w:val="14"/>
                <w:szCs w:val="14"/>
              </w:rPr>
            </w:pPr>
          </w:p>
        </w:tc>
        <w:tc>
          <w:tcPr>
            <w:tcW w:w="559" w:type="dxa"/>
            <w:tcBorders>
              <w:top w:val="single" w:sz="4" w:space="0" w:color="auto"/>
              <w:left w:val="nil"/>
              <w:bottom w:val="nil"/>
              <w:right w:val="nil"/>
            </w:tcBorders>
            <w:shd w:val="clear" w:color="auto" w:fill="E7F3F4"/>
            <w:vAlign w:val="center"/>
          </w:tcPr>
          <w:p w14:paraId="51F54FF1" w14:textId="23E73BEC" w:rsidR="00F87B84" w:rsidRPr="0041562F" w:rsidRDefault="00F87B84" w:rsidP="005D3108">
            <w:pPr>
              <w:spacing w:before="0" w:after="0"/>
              <w:jc w:val="center"/>
              <w:rPr>
                <w:color w:val="000000"/>
                <w:sz w:val="14"/>
                <w:szCs w:val="14"/>
              </w:rPr>
            </w:pPr>
          </w:p>
        </w:tc>
        <w:tc>
          <w:tcPr>
            <w:tcW w:w="559" w:type="dxa"/>
            <w:tcBorders>
              <w:top w:val="single" w:sz="4" w:space="0" w:color="auto"/>
              <w:left w:val="nil"/>
              <w:bottom w:val="nil"/>
              <w:right w:val="nil"/>
            </w:tcBorders>
            <w:shd w:val="clear" w:color="auto" w:fill="E7F3F4"/>
            <w:vAlign w:val="center"/>
          </w:tcPr>
          <w:p w14:paraId="4B08BE18" w14:textId="02485708" w:rsidR="00F87B84" w:rsidRPr="000E0B31" w:rsidRDefault="00F87B84" w:rsidP="005D3108">
            <w:pPr>
              <w:spacing w:before="0" w:after="0"/>
              <w:jc w:val="center"/>
              <w:rPr>
                <w:color w:val="000000"/>
                <w:sz w:val="14"/>
                <w:szCs w:val="14"/>
              </w:rPr>
            </w:pPr>
            <w:r w:rsidRPr="001B0ED3">
              <w:rPr>
                <w:color w:val="000000"/>
                <w:sz w:val="14"/>
                <w:szCs w:val="14"/>
              </w:rPr>
              <w:sym w:font="Wingdings" w:char="F0FC"/>
            </w:r>
          </w:p>
        </w:tc>
        <w:tc>
          <w:tcPr>
            <w:tcW w:w="546" w:type="dxa"/>
            <w:tcBorders>
              <w:top w:val="single" w:sz="4" w:space="0" w:color="auto"/>
              <w:left w:val="nil"/>
              <w:bottom w:val="nil"/>
              <w:right w:val="nil"/>
            </w:tcBorders>
            <w:shd w:val="clear" w:color="auto" w:fill="E7F3F4"/>
            <w:vAlign w:val="center"/>
          </w:tcPr>
          <w:p w14:paraId="29718DFD" w14:textId="77777777" w:rsidR="00F87B84" w:rsidRPr="000E0B31" w:rsidRDefault="00F87B84" w:rsidP="005D3108">
            <w:pPr>
              <w:spacing w:before="0" w:after="0"/>
              <w:jc w:val="center"/>
              <w:rPr>
                <w:color w:val="000000"/>
                <w:sz w:val="14"/>
                <w:szCs w:val="14"/>
              </w:rPr>
            </w:pPr>
          </w:p>
        </w:tc>
      </w:tr>
      <w:tr w:rsidR="00F87B84" w14:paraId="0742091B"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164914E2"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0CB2E863"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single" w:sz="4" w:space="0" w:color="auto"/>
              <w:right w:val="nil"/>
            </w:tcBorders>
            <w:vAlign w:val="center"/>
            <w:hideMark/>
          </w:tcPr>
          <w:p w14:paraId="4689DFFA"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326254A2" w14:textId="77777777" w:rsidR="00F87B84" w:rsidRDefault="00F87B84" w:rsidP="005D3108">
            <w:pPr>
              <w:spacing w:before="0" w:after="0"/>
              <w:rPr>
                <w:color w:val="000000"/>
                <w:sz w:val="14"/>
                <w:szCs w:val="14"/>
              </w:rPr>
            </w:pPr>
          </w:p>
        </w:tc>
        <w:tc>
          <w:tcPr>
            <w:tcW w:w="840" w:type="dxa"/>
            <w:tcBorders>
              <w:top w:val="nil"/>
              <w:left w:val="nil"/>
              <w:bottom w:val="single" w:sz="4" w:space="0" w:color="auto"/>
              <w:right w:val="nil"/>
            </w:tcBorders>
            <w:shd w:val="clear" w:color="auto" w:fill="E7F3F4"/>
            <w:noWrap/>
            <w:vAlign w:val="center"/>
            <w:hideMark/>
          </w:tcPr>
          <w:p w14:paraId="0155AA64" w14:textId="77777777" w:rsidR="00F87B84" w:rsidRDefault="00F87B84" w:rsidP="005D3108">
            <w:pPr>
              <w:spacing w:before="0" w:after="0"/>
              <w:jc w:val="center"/>
              <w:rPr>
                <w:b/>
                <w:color w:val="000000"/>
                <w:sz w:val="14"/>
                <w:szCs w:val="14"/>
              </w:rPr>
            </w:pPr>
            <w:r>
              <w:rPr>
                <w:b/>
                <w:color w:val="000000"/>
                <w:sz w:val="14"/>
                <w:szCs w:val="14"/>
              </w:rPr>
              <w:t>WH1</w:t>
            </w:r>
          </w:p>
        </w:tc>
        <w:tc>
          <w:tcPr>
            <w:tcW w:w="555" w:type="dxa"/>
            <w:tcBorders>
              <w:top w:val="nil"/>
              <w:left w:val="nil"/>
              <w:bottom w:val="single" w:sz="4" w:space="0" w:color="auto"/>
              <w:right w:val="nil"/>
            </w:tcBorders>
            <w:shd w:val="clear" w:color="auto" w:fill="E7F3F4"/>
            <w:vAlign w:val="center"/>
          </w:tcPr>
          <w:p w14:paraId="4E766225" w14:textId="18D25B1E"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nil"/>
              <w:left w:val="nil"/>
              <w:bottom w:val="single" w:sz="4" w:space="0" w:color="auto"/>
              <w:right w:val="nil"/>
            </w:tcBorders>
            <w:shd w:val="clear" w:color="auto" w:fill="E7F3F4"/>
            <w:noWrap/>
            <w:vAlign w:val="center"/>
          </w:tcPr>
          <w:p w14:paraId="2E9FF88A" w14:textId="303DED98"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nil"/>
              <w:left w:val="nil"/>
              <w:bottom w:val="single" w:sz="4" w:space="0" w:color="auto"/>
              <w:right w:val="nil"/>
            </w:tcBorders>
            <w:shd w:val="clear" w:color="auto" w:fill="E7F3F4"/>
            <w:noWrap/>
            <w:vAlign w:val="center"/>
          </w:tcPr>
          <w:p w14:paraId="4A0E95EE" w14:textId="2D369AD8"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nil"/>
              <w:left w:val="nil"/>
              <w:bottom w:val="single" w:sz="4" w:space="0" w:color="auto"/>
              <w:right w:val="nil"/>
            </w:tcBorders>
            <w:shd w:val="clear" w:color="auto" w:fill="E7F3F4"/>
            <w:vAlign w:val="center"/>
          </w:tcPr>
          <w:p w14:paraId="2C9AB676" w14:textId="670DA2D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nil"/>
              <w:left w:val="nil"/>
              <w:bottom w:val="single" w:sz="4" w:space="0" w:color="auto"/>
              <w:right w:val="nil"/>
            </w:tcBorders>
            <w:shd w:val="clear" w:color="auto" w:fill="E7F3F4"/>
            <w:vAlign w:val="center"/>
          </w:tcPr>
          <w:p w14:paraId="46568F07" w14:textId="2FFDF2E8"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nil"/>
              <w:left w:val="nil"/>
              <w:bottom w:val="single" w:sz="4" w:space="0" w:color="auto"/>
              <w:right w:val="nil"/>
            </w:tcBorders>
            <w:shd w:val="clear" w:color="auto" w:fill="E7F3F4"/>
            <w:vAlign w:val="center"/>
          </w:tcPr>
          <w:p w14:paraId="01B9E84C" w14:textId="40E54CB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single" w:sz="4" w:space="0" w:color="auto"/>
            </w:tcBorders>
            <w:shd w:val="clear" w:color="auto" w:fill="E7F3F4"/>
            <w:vAlign w:val="center"/>
          </w:tcPr>
          <w:p w14:paraId="54115C89" w14:textId="37BCE2EB"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single" w:sz="4" w:space="0" w:color="auto"/>
              <w:bottom w:val="single" w:sz="4" w:space="0" w:color="auto"/>
              <w:right w:val="nil"/>
            </w:tcBorders>
            <w:shd w:val="clear" w:color="auto" w:fill="E7F3F4"/>
            <w:vAlign w:val="center"/>
          </w:tcPr>
          <w:p w14:paraId="3917E510"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nil"/>
              <w:left w:val="nil"/>
              <w:bottom w:val="single" w:sz="4" w:space="0" w:color="auto"/>
              <w:right w:val="nil"/>
            </w:tcBorders>
            <w:shd w:val="clear" w:color="auto" w:fill="E7F3F4"/>
            <w:vAlign w:val="center"/>
          </w:tcPr>
          <w:p w14:paraId="64BB79DE" w14:textId="77777777" w:rsidR="00F87B84" w:rsidRPr="0041562F" w:rsidRDefault="00F87B84" w:rsidP="005D3108">
            <w:pPr>
              <w:spacing w:before="0" w:after="0"/>
              <w:jc w:val="center"/>
              <w:rPr>
                <w:rFonts w:asciiTheme="minorHAnsi" w:hAnsiTheme="minorHAnsi" w:cstheme="minorHAnsi"/>
                <w:sz w:val="14"/>
                <w:szCs w:val="14"/>
              </w:rPr>
            </w:pPr>
          </w:p>
        </w:tc>
        <w:tc>
          <w:tcPr>
            <w:tcW w:w="559" w:type="dxa"/>
            <w:tcBorders>
              <w:top w:val="nil"/>
              <w:left w:val="nil"/>
              <w:bottom w:val="single" w:sz="4" w:space="0" w:color="auto"/>
              <w:right w:val="nil"/>
            </w:tcBorders>
            <w:shd w:val="clear" w:color="auto" w:fill="E7F3F4"/>
            <w:vAlign w:val="center"/>
          </w:tcPr>
          <w:p w14:paraId="073F1870" w14:textId="77777777" w:rsidR="00F87B84" w:rsidRPr="000E0B31" w:rsidRDefault="00F87B84" w:rsidP="005D3108">
            <w:pPr>
              <w:spacing w:before="0" w:after="0"/>
              <w:jc w:val="center"/>
              <w:rPr>
                <w:color w:val="000000"/>
                <w:sz w:val="14"/>
                <w:szCs w:val="14"/>
              </w:rPr>
            </w:pPr>
          </w:p>
        </w:tc>
        <w:tc>
          <w:tcPr>
            <w:tcW w:w="559" w:type="dxa"/>
            <w:tcBorders>
              <w:top w:val="nil"/>
              <w:left w:val="nil"/>
              <w:bottom w:val="single" w:sz="4" w:space="0" w:color="auto"/>
              <w:right w:val="nil"/>
            </w:tcBorders>
            <w:shd w:val="clear" w:color="auto" w:fill="E7F3F4"/>
            <w:vAlign w:val="center"/>
          </w:tcPr>
          <w:p w14:paraId="1A992B8D" w14:textId="77777777" w:rsidR="00F87B84" w:rsidRPr="0041562F" w:rsidRDefault="00F87B84" w:rsidP="005D3108">
            <w:pPr>
              <w:spacing w:before="0" w:after="0"/>
              <w:jc w:val="center"/>
              <w:rPr>
                <w:color w:val="000000"/>
                <w:sz w:val="14"/>
                <w:szCs w:val="14"/>
              </w:rPr>
            </w:pPr>
          </w:p>
        </w:tc>
        <w:tc>
          <w:tcPr>
            <w:tcW w:w="559" w:type="dxa"/>
            <w:tcBorders>
              <w:top w:val="nil"/>
              <w:left w:val="nil"/>
              <w:bottom w:val="single" w:sz="4" w:space="0" w:color="auto"/>
              <w:right w:val="nil"/>
            </w:tcBorders>
            <w:shd w:val="clear" w:color="auto" w:fill="E7F3F4"/>
            <w:vAlign w:val="center"/>
          </w:tcPr>
          <w:p w14:paraId="01286FCE" w14:textId="739A1861" w:rsidR="00F87B84" w:rsidRPr="000E0B31" w:rsidRDefault="00F87B84" w:rsidP="005D3108">
            <w:pPr>
              <w:spacing w:before="0" w:after="0"/>
              <w:jc w:val="center"/>
              <w:rPr>
                <w:color w:val="000000"/>
                <w:sz w:val="14"/>
                <w:szCs w:val="14"/>
              </w:rPr>
            </w:pPr>
            <w:r w:rsidRPr="001B0ED3">
              <w:rPr>
                <w:color w:val="000000"/>
                <w:sz w:val="14"/>
                <w:szCs w:val="14"/>
              </w:rPr>
              <w:sym w:font="Wingdings" w:char="F0FC"/>
            </w:r>
          </w:p>
        </w:tc>
        <w:tc>
          <w:tcPr>
            <w:tcW w:w="546" w:type="dxa"/>
            <w:tcBorders>
              <w:top w:val="nil"/>
              <w:left w:val="nil"/>
              <w:bottom w:val="single" w:sz="4" w:space="0" w:color="auto"/>
              <w:right w:val="nil"/>
            </w:tcBorders>
            <w:shd w:val="clear" w:color="auto" w:fill="E7F3F4"/>
            <w:vAlign w:val="center"/>
          </w:tcPr>
          <w:p w14:paraId="0755F26E" w14:textId="79A638D2" w:rsidR="00F87B84" w:rsidRPr="000E0B31" w:rsidRDefault="00F87B84" w:rsidP="005D3108">
            <w:pPr>
              <w:spacing w:before="0" w:after="0"/>
              <w:jc w:val="center"/>
              <w:rPr>
                <w:color w:val="000000"/>
                <w:sz w:val="14"/>
                <w:szCs w:val="14"/>
              </w:rPr>
            </w:pPr>
            <w:r w:rsidRPr="001B0ED3">
              <w:rPr>
                <w:color w:val="000000"/>
                <w:sz w:val="14"/>
                <w:szCs w:val="14"/>
              </w:rPr>
              <w:sym w:font="Wingdings" w:char="F0FC"/>
            </w:r>
          </w:p>
        </w:tc>
      </w:tr>
      <w:tr w:rsidR="00F87B84" w14:paraId="7250BF5E"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0B64170F"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19D545CC"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single" w:sz="4" w:space="0" w:color="auto"/>
              <w:right w:val="nil"/>
            </w:tcBorders>
            <w:vAlign w:val="center"/>
            <w:hideMark/>
          </w:tcPr>
          <w:p w14:paraId="25E36CCE" w14:textId="77777777" w:rsidR="00F87B84" w:rsidRDefault="00F87B84" w:rsidP="005D3108">
            <w:pPr>
              <w:spacing w:before="0" w:after="0"/>
              <w:rPr>
                <w:color w:val="000000"/>
                <w:sz w:val="14"/>
                <w:szCs w:val="14"/>
              </w:rPr>
            </w:pPr>
          </w:p>
        </w:tc>
        <w:tc>
          <w:tcPr>
            <w:tcW w:w="1307" w:type="dxa"/>
            <w:vMerge w:val="restart"/>
            <w:tcBorders>
              <w:top w:val="single" w:sz="4" w:space="0" w:color="auto"/>
              <w:left w:val="nil"/>
              <w:bottom w:val="single" w:sz="4" w:space="0" w:color="auto"/>
              <w:right w:val="nil"/>
            </w:tcBorders>
            <w:shd w:val="clear" w:color="auto" w:fill="E7F3F4"/>
            <w:noWrap/>
            <w:vAlign w:val="center"/>
            <w:hideMark/>
          </w:tcPr>
          <w:p w14:paraId="20D1D3D2" w14:textId="77777777" w:rsidR="00F87B84" w:rsidRDefault="00F87B84" w:rsidP="005D3108">
            <w:pPr>
              <w:spacing w:before="0" w:after="0"/>
              <w:jc w:val="center"/>
              <w:rPr>
                <w:color w:val="000000"/>
                <w:sz w:val="14"/>
                <w:szCs w:val="14"/>
              </w:rPr>
            </w:pPr>
            <w:r>
              <w:rPr>
                <w:color w:val="000000"/>
                <w:sz w:val="14"/>
                <w:szCs w:val="14"/>
              </w:rPr>
              <w:t>Great Keppel Island</w:t>
            </w:r>
          </w:p>
        </w:tc>
        <w:tc>
          <w:tcPr>
            <w:tcW w:w="840" w:type="dxa"/>
            <w:tcBorders>
              <w:top w:val="single" w:sz="4" w:space="0" w:color="auto"/>
              <w:left w:val="nil"/>
              <w:bottom w:val="nil"/>
              <w:right w:val="nil"/>
            </w:tcBorders>
            <w:shd w:val="clear" w:color="auto" w:fill="E7F3F4"/>
            <w:noWrap/>
            <w:vAlign w:val="center"/>
            <w:hideMark/>
          </w:tcPr>
          <w:p w14:paraId="2CB7EB3B" w14:textId="77777777" w:rsidR="00F87B84" w:rsidRDefault="00F87B84" w:rsidP="005D3108">
            <w:pPr>
              <w:spacing w:before="0" w:after="0"/>
              <w:jc w:val="center"/>
              <w:rPr>
                <w:b/>
                <w:color w:val="000000"/>
                <w:sz w:val="14"/>
                <w:szCs w:val="14"/>
              </w:rPr>
            </w:pPr>
            <w:r>
              <w:rPr>
                <w:b/>
                <w:color w:val="000000"/>
                <w:sz w:val="14"/>
                <w:szCs w:val="14"/>
              </w:rPr>
              <w:t>GK1</w:t>
            </w:r>
          </w:p>
        </w:tc>
        <w:tc>
          <w:tcPr>
            <w:tcW w:w="555" w:type="dxa"/>
            <w:tcBorders>
              <w:top w:val="single" w:sz="4" w:space="0" w:color="auto"/>
              <w:left w:val="nil"/>
              <w:bottom w:val="nil"/>
              <w:right w:val="nil"/>
            </w:tcBorders>
            <w:shd w:val="clear" w:color="auto" w:fill="E7F3F4"/>
            <w:vAlign w:val="center"/>
          </w:tcPr>
          <w:p w14:paraId="26C800A7" w14:textId="165BCA3F"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shd w:val="clear" w:color="auto" w:fill="E7F3F4"/>
            <w:noWrap/>
            <w:vAlign w:val="center"/>
          </w:tcPr>
          <w:p w14:paraId="61CDCA10" w14:textId="480CBD4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shd w:val="clear" w:color="auto" w:fill="E7F3F4"/>
            <w:noWrap/>
            <w:vAlign w:val="center"/>
          </w:tcPr>
          <w:p w14:paraId="2ECDC3A2" w14:textId="6D8B121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bottom w:val="nil"/>
              <w:right w:val="nil"/>
            </w:tcBorders>
            <w:shd w:val="clear" w:color="auto" w:fill="E7F3F4"/>
            <w:vAlign w:val="center"/>
          </w:tcPr>
          <w:p w14:paraId="26D6EABB" w14:textId="77DA0CE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bottom w:val="nil"/>
              <w:right w:val="nil"/>
            </w:tcBorders>
            <w:shd w:val="clear" w:color="auto" w:fill="E7F3F4"/>
            <w:vAlign w:val="center"/>
          </w:tcPr>
          <w:p w14:paraId="1DF7C959" w14:textId="69AC663D"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bottom w:val="nil"/>
              <w:right w:val="nil"/>
            </w:tcBorders>
            <w:shd w:val="clear" w:color="auto" w:fill="E7F3F4"/>
            <w:vAlign w:val="center"/>
          </w:tcPr>
          <w:p w14:paraId="45F424C3" w14:textId="10F7D2B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single" w:sz="4" w:space="0" w:color="auto"/>
            </w:tcBorders>
            <w:shd w:val="clear" w:color="auto" w:fill="E7F3F4"/>
            <w:vAlign w:val="center"/>
          </w:tcPr>
          <w:p w14:paraId="423326FB" w14:textId="51B50038"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bottom w:val="nil"/>
              <w:right w:val="nil"/>
            </w:tcBorders>
            <w:shd w:val="clear" w:color="auto" w:fill="E7F3F4"/>
            <w:vAlign w:val="center"/>
          </w:tcPr>
          <w:p w14:paraId="3F6B325E" w14:textId="27D6393D"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bottom w:val="nil"/>
              <w:right w:val="nil"/>
            </w:tcBorders>
            <w:shd w:val="clear" w:color="auto" w:fill="E7F3F4"/>
            <w:vAlign w:val="center"/>
          </w:tcPr>
          <w:p w14:paraId="0E78090F" w14:textId="605EAB48"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bottom w:val="nil"/>
              <w:right w:val="nil"/>
            </w:tcBorders>
            <w:shd w:val="clear" w:color="auto" w:fill="E7F3F4"/>
            <w:vAlign w:val="center"/>
          </w:tcPr>
          <w:p w14:paraId="2E002DD0" w14:textId="2ADDC5F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nil"/>
            </w:tcBorders>
            <w:shd w:val="clear" w:color="auto" w:fill="E7F3F4"/>
            <w:vAlign w:val="center"/>
          </w:tcPr>
          <w:p w14:paraId="57EA423A" w14:textId="692A75B7"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bottom w:val="nil"/>
              <w:right w:val="nil"/>
            </w:tcBorders>
            <w:shd w:val="clear" w:color="auto" w:fill="E7F3F4"/>
            <w:vAlign w:val="center"/>
          </w:tcPr>
          <w:p w14:paraId="50FB97B7" w14:textId="2956C0A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bottom w:val="nil"/>
              <w:right w:val="nil"/>
            </w:tcBorders>
            <w:shd w:val="clear" w:color="auto" w:fill="E7F3F4"/>
            <w:vAlign w:val="center"/>
          </w:tcPr>
          <w:p w14:paraId="5EF82FDB" w14:textId="47A34953"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39C0057D"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1ECA7F0C"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5978B99D"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single" w:sz="4" w:space="0" w:color="auto"/>
              <w:right w:val="nil"/>
            </w:tcBorders>
            <w:vAlign w:val="center"/>
            <w:hideMark/>
          </w:tcPr>
          <w:p w14:paraId="0775961A"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450C23A9" w14:textId="77777777" w:rsidR="00F87B84" w:rsidRDefault="00F87B84" w:rsidP="005D3108">
            <w:pPr>
              <w:spacing w:before="0" w:after="0"/>
              <w:rPr>
                <w:color w:val="000000"/>
                <w:sz w:val="14"/>
                <w:szCs w:val="14"/>
              </w:rPr>
            </w:pPr>
          </w:p>
        </w:tc>
        <w:tc>
          <w:tcPr>
            <w:tcW w:w="840" w:type="dxa"/>
            <w:tcBorders>
              <w:top w:val="nil"/>
              <w:left w:val="nil"/>
              <w:bottom w:val="single" w:sz="4" w:space="0" w:color="auto"/>
              <w:right w:val="nil"/>
            </w:tcBorders>
            <w:shd w:val="clear" w:color="auto" w:fill="E7F3F4"/>
            <w:noWrap/>
            <w:vAlign w:val="center"/>
            <w:hideMark/>
          </w:tcPr>
          <w:p w14:paraId="7DC0D76B" w14:textId="77777777" w:rsidR="00F87B84" w:rsidRDefault="00F87B84" w:rsidP="005D3108">
            <w:pPr>
              <w:spacing w:before="0" w:after="0"/>
              <w:jc w:val="center"/>
              <w:rPr>
                <w:b/>
                <w:color w:val="000000"/>
                <w:sz w:val="14"/>
                <w:szCs w:val="14"/>
              </w:rPr>
            </w:pPr>
            <w:r>
              <w:rPr>
                <w:b/>
                <w:color w:val="000000"/>
                <w:sz w:val="14"/>
                <w:szCs w:val="14"/>
              </w:rPr>
              <w:t>GK2</w:t>
            </w:r>
          </w:p>
        </w:tc>
        <w:tc>
          <w:tcPr>
            <w:tcW w:w="555" w:type="dxa"/>
            <w:tcBorders>
              <w:top w:val="nil"/>
              <w:left w:val="nil"/>
              <w:bottom w:val="single" w:sz="4" w:space="0" w:color="auto"/>
              <w:right w:val="nil"/>
            </w:tcBorders>
            <w:shd w:val="clear" w:color="auto" w:fill="E7F3F4"/>
            <w:vAlign w:val="center"/>
          </w:tcPr>
          <w:p w14:paraId="6A151995" w14:textId="7A34851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nil"/>
              <w:left w:val="nil"/>
              <w:bottom w:val="single" w:sz="4" w:space="0" w:color="auto"/>
              <w:right w:val="nil"/>
            </w:tcBorders>
            <w:shd w:val="clear" w:color="auto" w:fill="E7F3F4"/>
            <w:noWrap/>
            <w:vAlign w:val="center"/>
          </w:tcPr>
          <w:p w14:paraId="468350C1" w14:textId="56EDA5D4"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nil"/>
              <w:left w:val="nil"/>
              <w:bottom w:val="single" w:sz="4" w:space="0" w:color="auto"/>
              <w:right w:val="nil"/>
            </w:tcBorders>
            <w:shd w:val="clear" w:color="auto" w:fill="E7F3F4"/>
            <w:noWrap/>
            <w:vAlign w:val="center"/>
          </w:tcPr>
          <w:p w14:paraId="36BDDDF8" w14:textId="69D9A3BC"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nil"/>
              <w:left w:val="nil"/>
              <w:bottom w:val="single" w:sz="4" w:space="0" w:color="auto"/>
              <w:right w:val="nil"/>
            </w:tcBorders>
            <w:shd w:val="clear" w:color="auto" w:fill="E7F3F4"/>
            <w:vAlign w:val="center"/>
          </w:tcPr>
          <w:p w14:paraId="2CF9557A" w14:textId="79B2CFBE"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nil"/>
              <w:left w:val="nil"/>
              <w:bottom w:val="single" w:sz="4" w:space="0" w:color="auto"/>
              <w:right w:val="nil"/>
            </w:tcBorders>
            <w:shd w:val="clear" w:color="auto" w:fill="E7F3F4"/>
            <w:vAlign w:val="center"/>
          </w:tcPr>
          <w:p w14:paraId="7450EFC0" w14:textId="1EDEA6A7"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nil"/>
              <w:left w:val="nil"/>
              <w:bottom w:val="single" w:sz="4" w:space="0" w:color="auto"/>
              <w:right w:val="nil"/>
            </w:tcBorders>
            <w:shd w:val="clear" w:color="auto" w:fill="E7F3F4"/>
            <w:vAlign w:val="center"/>
          </w:tcPr>
          <w:p w14:paraId="600A8F0F" w14:textId="0A39D42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single" w:sz="4" w:space="0" w:color="auto"/>
            </w:tcBorders>
            <w:shd w:val="clear" w:color="auto" w:fill="E7F3F4"/>
            <w:vAlign w:val="center"/>
          </w:tcPr>
          <w:p w14:paraId="101F2B76" w14:textId="678D7299" w:rsidR="00F87B84" w:rsidRPr="000E0B31" w:rsidRDefault="00F87B84" w:rsidP="005D3108">
            <w:pPr>
              <w:spacing w:before="0" w:after="0"/>
              <w:jc w:val="center"/>
              <w:rPr>
                <w:color w:val="000000"/>
                <w:sz w:val="14"/>
                <w:szCs w:val="14"/>
              </w:rPr>
            </w:pPr>
          </w:p>
        </w:tc>
        <w:tc>
          <w:tcPr>
            <w:tcW w:w="559" w:type="dxa"/>
            <w:tcBorders>
              <w:top w:val="nil"/>
              <w:left w:val="single" w:sz="4" w:space="0" w:color="auto"/>
              <w:bottom w:val="single" w:sz="4" w:space="0" w:color="auto"/>
              <w:right w:val="nil"/>
            </w:tcBorders>
            <w:shd w:val="clear" w:color="auto" w:fill="E7F3F4"/>
            <w:vAlign w:val="center"/>
          </w:tcPr>
          <w:p w14:paraId="16D30EC2" w14:textId="387256E3"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nil"/>
              <w:left w:val="nil"/>
              <w:bottom w:val="single" w:sz="4" w:space="0" w:color="auto"/>
              <w:right w:val="nil"/>
            </w:tcBorders>
            <w:shd w:val="clear" w:color="auto" w:fill="E7F3F4"/>
            <w:vAlign w:val="center"/>
          </w:tcPr>
          <w:p w14:paraId="39E9E77E" w14:textId="157C0D3F"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nil"/>
              <w:left w:val="nil"/>
              <w:bottom w:val="single" w:sz="4" w:space="0" w:color="auto"/>
              <w:right w:val="nil"/>
            </w:tcBorders>
            <w:shd w:val="clear" w:color="auto" w:fill="E7F3F4"/>
            <w:vAlign w:val="center"/>
          </w:tcPr>
          <w:p w14:paraId="5D629D65" w14:textId="6415381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nil"/>
            </w:tcBorders>
            <w:shd w:val="clear" w:color="auto" w:fill="E7F3F4"/>
            <w:vAlign w:val="center"/>
          </w:tcPr>
          <w:p w14:paraId="2B3D169E" w14:textId="6681B335"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nil"/>
              <w:left w:val="nil"/>
              <w:bottom w:val="single" w:sz="4" w:space="0" w:color="auto"/>
              <w:right w:val="nil"/>
            </w:tcBorders>
            <w:shd w:val="clear" w:color="auto" w:fill="E7F3F4"/>
            <w:vAlign w:val="center"/>
          </w:tcPr>
          <w:p w14:paraId="61996697" w14:textId="552C4CD1"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nil"/>
              <w:left w:val="nil"/>
              <w:bottom w:val="single" w:sz="4" w:space="0" w:color="auto"/>
              <w:right w:val="nil"/>
            </w:tcBorders>
            <w:shd w:val="clear" w:color="auto" w:fill="E7F3F4"/>
            <w:vAlign w:val="center"/>
          </w:tcPr>
          <w:p w14:paraId="55019BBA" w14:textId="1F8BCC43" w:rsidR="00F87B84" w:rsidRPr="000E0B31" w:rsidRDefault="00F87B84" w:rsidP="005D3108">
            <w:pPr>
              <w:spacing w:before="0" w:after="0"/>
              <w:jc w:val="center"/>
              <w:rPr>
                <w:color w:val="000000"/>
                <w:sz w:val="14"/>
                <w:szCs w:val="14"/>
              </w:rPr>
            </w:pPr>
          </w:p>
        </w:tc>
      </w:tr>
      <w:tr w:rsidR="00F87B84" w14:paraId="31952C15"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169F5ADD"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7A6D8A93" w14:textId="77777777" w:rsidR="00F87B84" w:rsidRDefault="00F87B84" w:rsidP="005D3108">
            <w:pPr>
              <w:spacing w:before="0" w:after="0"/>
              <w:rPr>
                <w:color w:val="000000"/>
                <w:sz w:val="14"/>
                <w:szCs w:val="14"/>
              </w:rPr>
            </w:pPr>
          </w:p>
        </w:tc>
        <w:tc>
          <w:tcPr>
            <w:tcW w:w="1299" w:type="dxa"/>
            <w:vMerge w:val="restart"/>
            <w:tcBorders>
              <w:top w:val="single" w:sz="4" w:space="0" w:color="auto"/>
              <w:left w:val="nil"/>
              <w:bottom w:val="single" w:sz="4" w:space="0" w:color="auto"/>
              <w:right w:val="nil"/>
            </w:tcBorders>
            <w:shd w:val="clear" w:color="auto" w:fill="E7F3F4"/>
            <w:vAlign w:val="center"/>
            <w:hideMark/>
          </w:tcPr>
          <w:p w14:paraId="576A35BE" w14:textId="77777777" w:rsidR="00F87B84" w:rsidRDefault="00F87B84" w:rsidP="005D3108">
            <w:pPr>
              <w:spacing w:before="0" w:after="0"/>
              <w:jc w:val="center"/>
              <w:rPr>
                <w:color w:val="000000"/>
                <w:sz w:val="14"/>
                <w:szCs w:val="14"/>
              </w:rPr>
            </w:pPr>
            <w:r>
              <w:rPr>
                <w:color w:val="000000"/>
                <w:sz w:val="14"/>
                <w:szCs w:val="14"/>
              </w:rPr>
              <w:t>Boyne</w:t>
            </w:r>
          </w:p>
        </w:tc>
        <w:tc>
          <w:tcPr>
            <w:tcW w:w="1307" w:type="dxa"/>
            <w:vMerge w:val="restart"/>
            <w:tcBorders>
              <w:top w:val="single" w:sz="4" w:space="0" w:color="auto"/>
              <w:left w:val="nil"/>
              <w:bottom w:val="single" w:sz="4" w:space="0" w:color="auto"/>
              <w:right w:val="nil"/>
            </w:tcBorders>
            <w:shd w:val="clear" w:color="auto" w:fill="E7F3F4"/>
            <w:noWrap/>
            <w:vAlign w:val="center"/>
            <w:hideMark/>
          </w:tcPr>
          <w:p w14:paraId="209C9C1B" w14:textId="77777777" w:rsidR="00F87B84" w:rsidRDefault="00F87B84" w:rsidP="005D3108">
            <w:pPr>
              <w:spacing w:before="0" w:after="0"/>
              <w:jc w:val="center"/>
              <w:rPr>
                <w:color w:val="000000"/>
                <w:sz w:val="14"/>
                <w:szCs w:val="14"/>
              </w:rPr>
            </w:pPr>
            <w:r>
              <w:rPr>
                <w:color w:val="000000"/>
                <w:sz w:val="14"/>
                <w:szCs w:val="14"/>
              </w:rPr>
              <w:t>Gladstone Harbour</w:t>
            </w:r>
          </w:p>
        </w:tc>
        <w:tc>
          <w:tcPr>
            <w:tcW w:w="840" w:type="dxa"/>
            <w:tcBorders>
              <w:top w:val="single" w:sz="4" w:space="0" w:color="auto"/>
              <w:left w:val="nil"/>
              <w:bottom w:val="nil"/>
              <w:right w:val="nil"/>
            </w:tcBorders>
            <w:shd w:val="clear" w:color="auto" w:fill="E7F3F4"/>
            <w:noWrap/>
            <w:vAlign w:val="center"/>
            <w:hideMark/>
          </w:tcPr>
          <w:p w14:paraId="331D88BB" w14:textId="77777777" w:rsidR="00F87B84" w:rsidRDefault="00F87B84" w:rsidP="005D3108">
            <w:pPr>
              <w:spacing w:before="0" w:after="0"/>
              <w:jc w:val="center"/>
              <w:rPr>
                <w:b/>
                <w:color w:val="000000"/>
                <w:sz w:val="14"/>
                <w:szCs w:val="14"/>
              </w:rPr>
            </w:pPr>
            <w:r>
              <w:rPr>
                <w:b/>
                <w:color w:val="000000"/>
                <w:sz w:val="14"/>
                <w:szCs w:val="14"/>
              </w:rPr>
              <w:t>GH1</w:t>
            </w:r>
          </w:p>
        </w:tc>
        <w:tc>
          <w:tcPr>
            <w:tcW w:w="555" w:type="dxa"/>
            <w:tcBorders>
              <w:top w:val="single" w:sz="4" w:space="0" w:color="auto"/>
              <w:left w:val="nil"/>
              <w:bottom w:val="nil"/>
              <w:right w:val="nil"/>
            </w:tcBorders>
            <w:shd w:val="clear" w:color="auto" w:fill="E7F3F4"/>
            <w:vAlign w:val="center"/>
          </w:tcPr>
          <w:p w14:paraId="0F134E5F" w14:textId="04CCEB35"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bottom w:val="nil"/>
              <w:right w:val="nil"/>
            </w:tcBorders>
            <w:shd w:val="clear" w:color="auto" w:fill="E7F3F4"/>
            <w:noWrap/>
            <w:vAlign w:val="center"/>
          </w:tcPr>
          <w:p w14:paraId="72B23D38" w14:textId="6704BBDA"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bottom w:val="nil"/>
              <w:right w:val="nil"/>
            </w:tcBorders>
            <w:shd w:val="clear" w:color="auto" w:fill="E7F3F4"/>
            <w:noWrap/>
            <w:vAlign w:val="center"/>
          </w:tcPr>
          <w:p w14:paraId="3AE37BB7" w14:textId="2479D3A8"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bottom w:val="nil"/>
              <w:right w:val="nil"/>
            </w:tcBorders>
            <w:shd w:val="clear" w:color="auto" w:fill="E7F3F4"/>
            <w:vAlign w:val="center"/>
          </w:tcPr>
          <w:p w14:paraId="440DE463" w14:textId="1A6AA29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bottom w:val="nil"/>
              <w:right w:val="nil"/>
            </w:tcBorders>
            <w:shd w:val="clear" w:color="auto" w:fill="E7F3F4"/>
            <w:vAlign w:val="center"/>
          </w:tcPr>
          <w:p w14:paraId="63FF79B0" w14:textId="64030277"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bottom w:val="nil"/>
              <w:right w:val="nil"/>
            </w:tcBorders>
            <w:shd w:val="clear" w:color="auto" w:fill="E7F3F4"/>
            <w:vAlign w:val="center"/>
          </w:tcPr>
          <w:p w14:paraId="5AEC38F7" w14:textId="4233501F"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single" w:sz="4" w:space="0" w:color="auto"/>
            </w:tcBorders>
            <w:shd w:val="clear" w:color="auto" w:fill="E7F3F4"/>
            <w:vAlign w:val="center"/>
          </w:tcPr>
          <w:p w14:paraId="33524861" w14:textId="459594CC"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bottom w:val="nil"/>
              <w:right w:val="nil"/>
            </w:tcBorders>
            <w:shd w:val="clear" w:color="auto" w:fill="E7F3F4"/>
            <w:vAlign w:val="center"/>
          </w:tcPr>
          <w:p w14:paraId="76AF733F" w14:textId="167A204B"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bottom w:val="nil"/>
              <w:right w:val="nil"/>
            </w:tcBorders>
            <w:shd w:val="clear" w:color="auto" w:fill="E7F3F4"/>
            <w:vAlign w:val="center"/>
          </w:tcPr>
          <w:p w14:paraId="43E53910" w14:textId="663589FA"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bottom w:val="nil"/>
              <w:right w:val="nil"/>
            </w:tcBorders>
            <w:shd w:val="clear" w:color="auto" w:fill="E7F3F4"/>
            <w:vAlign w:val="center"/>
          </w:tcPr>
          <w:p w14:paraId="4BCAFA58" w14:textId="740188F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nil"/>
            </w:tcBorders>
            <w:shd w:val="clear" w:color="auto" w:fill="E7F3F4"/>
            <w:vAlign w:val="center"/>
          </w:tcPr>
          <w:p w14:paraId="44F2F283" w14:textId="165E2DAD"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bottom w:val="nil"/>
              <w:right w:val="nil"/>
            </w:tcBorders>
            <w:shd w:val="clear" w:color="auto" w:fill="E7F3F4"/>
            <w:vAlign w:val="center"/>
          </w:tcPr>
          <w:p w14:paraId="374E5EB0" w14:textId="6005A01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bottom w:val="nil"/>
              <w:right w:val="nil"/>
            </w:tcBorders>
            <w:shd w:val="clear" w:color="auto" w:fill="E7F3F4"/>
            <w:vAlign w:val="center"/>
          </w:tcPr>
          <w:p w14:paraId="54934A45" w14:textId="52DA62CC"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6A11927F"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42C8F480"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3258A84B"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single" w:sz="4" w:space="0" w:color="auto"/>
              <w:right w:val="nil"/>
            </w:tcBorders>
            <w:vAlign w:val="center"/>
            <w:hideMark/>
          </w:tcPr>
          <w:p w14:paraId="0E3D1E44" w14:textId="77777777" w:rsidR="00F87B84" w:rsidRDefault="00F87B84" w:rsidP="005D3108">
            <w:pPr>
              <w:spacing w:before="0" w:after="0"/>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59BEC216" w14:textId="77777777" w:rsidR="00F87B84" w:rsidRDefault="00F87B84" w:rsidP="005D3108">
            <w:pPr>
              <w:spacing w:before="0" w:after="0"/>
              <w:rPr>
                <w:color w:val="000000"/>
                <w:sz w:val="14"/>
                <w:szCs w:val="14"/>
              </w:rPr>
            </w:pPr>
          </w:p>
        </w:tc>
        <w:tc>
          <w:tcPr>
            <w:tcW w:w="840" w:type="dxa"/>
            <w:tcBorders>
              <w:top w:val="nil"/>
              <w:left w:val="nil"/>
              <w:bottom w:val="single" w:sz="4" w:space="0" w:color="auto"/>
              <w:right w:val="nil"/>
            </w:tcBorders>
            <w:shd w:val="clear" w:color="auto" w:fill="E7F3F4"/>
            <w:noWrap/>
            <w:vAlign w:val="center"/>
            <w:hideMark/>
          </w:tcPr>
          <w:p w14:paraId="0628A65B" w14:textId="77777777" w:rsidR="00F87B84" w:rsidRDefault="00F87B84" w:rsidP="005D3108">
            <w:pPr>
              <w:spacing w:before="0" w:after="0"/>
              <w:jc w:val="center"/>
              <w:rPr>
                <w:b/>
                <w:color w:val="000000"/>
                <w:sz w:val="14"/>
                <w:szCs w:val="14"/>
              </w:rPr>
            </w:pPr>
            <w:r>
              <w:rPr>
                <w:b/>
                <w:color w:val="000000"/>
                <w:sz w:val="14"/>
                <w:szCs w:val="14"/>
              </w:rPr>
              <w:t>GH2</w:t>
            </w:r>
          </w:p>
        </w:tc>
        <w:tc>
          <w:tcPr>
            <w:tcW w:w="555" w:type="dxa"/>
            <w:tcBorders>
              <w:top w:val="nil"/>
              <w:left w:val="nil"/>
              <w:bottom w:val="single" w:sz="4" w:space="0" w:color="auto"/>
              <w:right w:val="nil"/>
            </w:tcBorders>
            <w:shd w:val="clear" w:color="auto" w:fill="E7F3F4"/>
            <w:vAlign w:val="center"/>
          </w:tcPr>
          <w:p w14:paraId="608294CC" w14:textId="540E516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nil"/>
              <w:left w:val="nil"/>
              <w:bottom w:val="single" w:sz="4" w:space="0" w:color="auto"/>
              <w:right w:val="nil"/>
            </w:tcBorders>
            <w:shd w:val="clear" w:color="auto" w:fill="E7F3F4"/>
            <w:noWrap/>
            <w:vAlign w:val="center"/>
          </w:tcPr>
          <w:p w14:paraId="0C93489A" w14:textId="27DBEC8A"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nil"/>
              <w:left w:val="nil"/>
              <w:bottom w:val="single" w:sz="4" w:space="0" w:color="auto"/>
              <w:right w:val="nil"/>
            </w:tcBorders>
            <w:shd w:val="clear" w:color="auto" w:fill="E7F3F4"/>
            <w:noWrap/>
            <w:vAlign w:val="center"/>
          </w:tcPr>
          <w:p w14:paraId="09550468" w14:textId="2808960B"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nil"/>
              <w:left w:val="nil"/>
              <w:bottom w:val="single" w:sz="4" w:space="0" w:color="auto"/>
              <w:right w:val="nil"/>
            </w:tcBorders>
            <w:shd w:val="clear" w:color="auto" w:fill="E7F3F4"/>
            <w:vAlign w:val="center"/>
          </w:tcPr>
          <w:p w14:paraId="1D96AFB3" w14:textId="436287F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nil"/>
              <w:left w:val="nil"/>
              <w:bottom w:val="single" w:sz="4" w:space="0" w:color="auto"/>
              <w:right w:val="nil"/>
            </w:tcBorders>
            <w:shd w:val="clear" w:color="auto" w:fill="E7F3F4"/>
            <w:vAlign w:val="center"/>
          </w:tcPr>
          <w:p w14:paraId="38DF160F" w14:textId="3B978576"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nil"/>
              <w:left w:val="nil"/>
              <w:bottom w:val="single" w:sz="4" w:space="0" w:color="auto"/>
              <w:right w:val="nil"/>
            </w:tcBorders>
            <w:shd w:val="clear" w:color="auto" w:fill="E7F3F4"/>
            <w:vAlign w:val="center"/>
          </w:tcPr>
          <w:p w14:paraId="615E017B" w14:textId="600AC14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single" w:sz="4" w:space="0" w:color="auto"/>
            </w:tcBorders>
            <w:shd w:val="clear" w:color="auto" w:fill="E7F3F4"/>
            <w:vAlign w:val="center"/>
          </w:tcPr>
          <w:p w14:paraId="6E6BC930" w14:textId="17A4A89E" w:rsidR="00F87B84" w:rsidRPr="000E0B31" w:rsidRDefault="00F87B84" w:rsidP="005D3108">
            <w:pPr>
              <w:spacing w:before="0" w:after="0"/>
              <w:jc w:val="center"/>
              <w:rPr>
                <w:color w:val="000000"/>
                <w:sz w:val="14"/>
                <w:szCs w:val="14"/>
              </w:rPr>
            </w:pPr>
          </w:p>
        </w:tc>
        <w:tc>
          <w:tcPr>
            <w:tcW w:w="559" w:type="dxa"/>
            <w:tcBorders>
              <w:top w:val="nil"/>
              <w:left w:val="single" w:sz="4" w:space="0" w:color="auto"/>
              <w:bottom w:val="single" w:sz="4" w:space="0" w:color="auto"/>
              <w:right w:val="nil"/>
            </w:tcBorders>
            <w:shd w:val="clear" w:color="auto" w:fill="E7F3F4"/>
            <w:vAlign w:val="center"/>
          </w:tcPr>
          <w:p w14:paraId="381219CB" w14:textId="22E56C40"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nil"/>
              <w:left w:val="nil"/>
              <w:bottom w:val="single" w:sz="4" w:space="0" w:color="auto"/>
              <w:right w:val="nil"/>
            </w:tcBorders>
            <w:shd w:val="clear" w:color="auto" w:fill="E7F3F4"/>
            <w:vAlign w:val="center"/>
          </w:tcPr>
          <w:p w14:paraId="29745531" w14:textId="5676853A"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nil"/>
              <w:left w:val="nil"/>
              <w:bottom w:val="single" w:sz="4" w:space="0" w:color="auto"/>
              <w:right w:val="nil"/>
            </w:tcBorders>
            <w:shd w:val="clear" w:color="auto" w:fill="E7F3F4"/>
            <w:vAlign w:val="center"/>
          </w:tcPr>
          <w:p w14:paraId="6EF50779" w14:textId="43A1611A"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nil"/>
            </w:tcBorders>
            <w:shd w:val="clear" w:color="auto" w:fill="E7F3F4"/>
            <w:vAlign w:val="center"/>
          </w:tcPr>
          <w:p w14:paraId="492CA285" w14:textId="06FC4F2C"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nil"/>
              <w:left w:val="nil"/>
              <w:bottom w:val="single" w:sz="4" w:space="0" w:color="auto"/>
              <w:right w:val="nil"/>
            </w:tcBorders>
            <w:shd w:val="clear" w:color="auto" w:fill="E7F3F4"/>
            <w:vAlign w:val="center"/>
          </w:tcPr>
          <w:p w14:paraId="5063A201" w14:textId="03E04D5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nil"/>
              <w:left w:val="nil"/>
              <w:bottom w:val="single" w:sz="4" w:space="0" w:color="auto"/>
              <w:right w:val="nil"/>
            </w:tcBorders>
            <w:shd w:val="clear" w:color="auto" w:fill="E7F3F4"/>
            <w:vAlign w:val="center"/>
          </w:tcPr>
          <w:p w14:paraId="194AEA77" w14:textId="4F031E33" w:rsidR="00F87B84" w:rsidRPr="000E0B31" w:rsidRDefault="00F87B84" w:rsidP="005D3108">
            <w:pPr>
              <w:spacing w:before="0" w:after="0"/>
              <w:jc w:val="center"/>
              <w:rPr>
                <w:color w:val="000000"/>
                <w:sz w:val="14"/>
                <w:szCs w:val="14"/>
              </w:rPr>
            </w:pPr>
          </w:p>
        </w:tc>
      </w:tr>
      <w:tr w:rsidR="00F87B84" w14:paraId="28D03F69"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3F2E05FA" w14:textId="77777777" w:rsidR="00F87B84" w:rsidRDefault="00F87B84" w:rsidP="005D3108">
            <w:pPr>
              <w:spacing w:before="0" w:after="0"/>
              <w:rPr>
                <w:color w:val="000000"/>
                <w:sz w:val="14"/>
                <w:szCs w:val="14"/>
              </w:rPr>
            </w:pPr>
          </w:p>
        </w:tc>
        <w:tc>
          <w:tcPr>
            <w:tcW w:w="1294" w:type="dxa"/>
            <w:vMerge w:val="restart"/>
            <w:tcBorders>
              <w:top w:val="single" w:sz="4" w:space="0" w:color="auto"/>
              <w:left w:val="nil"/>
              <w:bottom w:val="single" w:sz="4" w:space="0" w:color="auto"/>
              <w:right w:val="nil"/>
            </w:tcBorders>
            <w:shd w:val="clear" w:color="auto" w:fill="F3F9FA"/>
            <w:noWrap/>
            <w:vAlign w:val="center"/>
            <w:hideMark/>
          </w:tcPr>
          <w:p w14:paraId="63A81A9D" w14:textId="4D5439D6" w:rsidR="00F87B84" w:rsidRDefault="00B72AC4" w:rsidP="005D3108">
            <w:pPr>
              <w:spacing w:before="0" w:after="0"/>
              <w:jc w:val="center"/>
              <w:rPr>
                <w:color w:val="000000"/>
                <w:sz w:val="14"/>
                <w:szCs w:val="14"/>
              </w:rPr>
            </w:pPr>
            <w:r>
              <w:rPr>
                <w:color w:val="000000"/>
                <w:sz w:val="14"/>
                <w:szCs w:val="14"/>
              </w:rPr>
              <w:t>Burnett–Mary</w:t>
            </w:r>
          </w:p>
        </w:tc>
        <w:tc>
          <w:tcPr>
            <w:tcW w:w="1299" w:type="dxa"/>
            <w:vMerge w:val="restart"/>
            <w:tcBorders>
              <w:top w:val="single" w:sz="4" w:space="0" w:color="auto"/>
              <w:left w:val="nil"/>
              <w:right w:val="nil"/>
            </w:tcBorders>
            <w:shd w:val="clear" w:color="auto" w:fill="F3F9FA"/>
            <w:vAlign w:val="center"/>
            <w:hideMark/>
          </w:tcPr>
          <w:p w14:paraId="4311EE39" w14:textId="77777777" w:rsidR="00F87B84" w:rsidRDefault="00F87B84" w:rsidP="005D3108">
            <w:pPr>
              <w:spacing w:before="0" w:after="0"/>
              <w:jc w:val="center"/>
              <w:rPr>
                <w:color w:val="000000"/>
                <w:sz w:val="14"/>
                <w:szCs w:val="14"/>
              </w:rPr>
            </w:pPr>
            <w:r>
              <w:rPr>
                <w:color w:val="000000"/>
                <w:sz w:val="14"/>
                <w:szCs w:val="14"/>
              </w:rPr>
              <w:t>Burnett</w:t>
            </w:r>
          </w:p>
        </w:tc>
        <w:tc>
          <w:tcPr>
            <w:tcW w:w="1307" w:type="dxa"/>
            <w:vMerge w:val="restart"/>
            <w:tcBorders>
              <w:top w:val="single" w:sz="4" w:space="0" w:color="auto"/>
              <w:left w:val="nil"/>
              <w:right w:val="nil"/>
            </w:tcBorders>
            <w:shd w:val="clear" w:color="auto" w:fill="F3F9FA"/>
            <w:noWrap/>
            <w:vAlign w:val="center"/>
            <w:hideMark/>
          </w:tcPr>
          <w:p w14:paraId="21ECDDD8" w14:textId="77777777" w:rsidR="00F87B84" w:rsidRDefault="00F87B84" w:rsidP="005D3108">
            <w:pPr>
              <w:spacing w:before="0" w:after="0"/>
              <w:jc w:val="center"/>
              <w:rPr>
                <w:color w:val="000000"/>
                <w:sz w:val="14"/>
                <w:szCs w:val="14"/>
              </w:rPr>
            </w:pPr>
            <w:r>
              <w:rPr>
                <w:color w:val="000000"/>
                <w:sz w:val="14"/>
                <w:szCs w:val="14"/>
              </w:rPr>
              <w:t>Rodds Bay</w:t>
            </w:r>
          </w:p>
        </w:tc>
        <w:tc>
          <w:tcPr>
            <w:tcW w:w="840" w:type="dxa"/>
            <w:tcBorders>
              <w:top w:val="single" w:sz="4" w:space="0" w:color="auto"/>
              <w:left w:val="nil"/>
              <w:right w:val="nil"/>
            </w:tcBorders>
            <w:shd w:val="clear" w:color="auto" w:fill="F3F9FA"/>
            <w:noWrap/>
            <w:vAlign w:val="center"/>
            <w:hideMark/>
          </w:tcPr>
          <w:p w14:paraId="170778D8" w14:textId="77777777" w:rsidR="00F87B84" w:rsidRPr="00253FE3" w:rsidRDefault="00F87B84" w:rsidP="005D3108">
            <w:pPr>
              <w:spacing w:before="0" w:after="0"/>
              <w:jc w:val="center"/>
              <w:rPr>
                <w:b/>
                <w:color w:val="000000"/>
                <w:sz w:val="14"/>
                <w:szCs w:val="14"/>
              </w:rPr>
            </w:pPr>
            <w:r w:rsidRPr="00253FE3">
              <w:rPr>
                <w:b/>
                <w:color w:val="000000"/>
                <w:sz w:val="14"/>
                <w:szCs w:val="14"/>
              </w:rPr>
              <w:t>RD1</w:t>
            </w:r>
          </w:p>
        </w:tc>
        <w:tc>
          <w:tcPr>
            <w:tcW w:w="555" w:type="dxa"/>
            <w:tcBorders>
              <w:top w:val="single" w:sz="4" w:space="0" w:color="auto"/>
              <w:left w:val="nil"/>
              <w:right w:val="nil"/>
            </w:tcBorders>
            <w:shd w:val="clear" w:color="auto" w:fill="F3F9FA"/>
            <w:vAlign w:val="center"/>
          </w:tcPr>
          <w:p w14:paraId="14B3B3FD" w14:textId="384E93F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tcPr>
          <w:p w14:paraId="4D0CA941" w14:textId="6A351FE3"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tcPr>
          <w:p w14:paraId="79C6133A" w14:textId="2EBC673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tcPr>
          <w:p w14:paraId="3EDC987F" w14:textId="31BF776F"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tcPr>
          <w:p w14:paraId="2FD326DD" w14:textId="06E52901"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tcPr>
          <w:p w14:paraId="5286C73F" w14:textId="083744A9"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1796A95C" w14:textId="4B51B14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single" w:sz="4" w:space="0" w:color="auto"/>
              <w:right w:val="nil"/>
            </w:tcBorders>
            <w:shd w:val="clear" w:color="auto" w:fill="F3F9FA"/>
            <w:vAlign w:val="center"/>
          </w:tcPr>
          <w:p w14:paraId="09EBF05D" w14:textId="180ADF3D"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tcPr>
          <w:p w14:paraId="3B70CD44" w14:textId="7422F6F5"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717F8D5B" w14:textId="6331E88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tcPr>
          <w:p w14:paraId="455ECC3A" w14:textId="2E214420"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tcPr>
          <w:p w14:paraId="60CDA3C3" w14:textId="0F7DDCC1"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4C104FBF" w14:textId="6A8A9614" w:rsidR="00F87B84" w:rsidRPr="000E0B31" w:rsidRDefault="00F87B84" w:rsidP="005D3108">
            <w:pPr>
              <w:spacing w:before="0" w:after="0"/>
              <w:jc w:val="center"/>
              <w:rPr>
                <w:color w:val="000000"/>
                <w:sz w:val="14"/>
                <w:szCs w:val="14"/>
              </w:rPr>
            </w:pPr>
            <w:r>
              <w:rPr>
                <w:color w:val="000000"/>
                <w:sz w:val="14"/>
                <w:szCs w:val="14"/>
              </w:rPr>
              <w:sym w:font="Wingdings" w:char="F0FC"/>
            </w:r>
          </w:p>
        </w:tc>
      </w:tr>
      <w:tr w:rsidR="00F87B84" w14:paraId="397D9B62"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tcPr>
          <w:p w14:paraId="581D5DA2"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tcPr>
          <w:p w14:paraId="799DFC6B" w14:textId="77777777" w:rsidR="00F87B84" w:rsidRDefault="00F87B84" w:rsidP="005D3108">
            <w:pPr>
              <w:spacing w:before="0" w:after="0"/>
              <w:rPr>
                <w:color w:val="000000"/>
                <w:sz w:val="14"/>
                <w:szCs w:val="14"/>
              </w:rPr>
            </w:pPr>
          </w:p>
        </w:tc>
        <w:tc>
          <w:tcPr>
            <w:tcW w:w="1299" w:type="dxa"/>
            <w:vMerge/>
            <w:tcBorders>
              <w:left w:val="nil"/>
              <w:bottom w:val="single" w:sz="4" w:space="0" w:color="auto"/>
              <w:right w:val="nil"/>
            </w:tcBorders>
            <w:vAlign w:val="center"/>
          </w:tcPr>
          <w:p w14:paraId="3CE99CA4" w14:textId="77777777" w:rsidR="00F87B84" w:rsidRDefault="00F87B84" w:rsidP="005D3108">
            <w:pPr>
              <w:spacing w:before="0" w:after="0"/>
              <w:jc w:val="center"/>
              <w:rPr>
                <w:color w:val="000000"/>
                <w:sz w:val="14"/>
                <w:szCs w:val="14"/>
              </w:rPr>
            </w:pPr>
          </w:p>
        </w:tc>
        <w:tc>
          <w:tcPr>
            <w:tcW w:w="1307" w:type="dxa"/>
            <w:vMerge/>
            <w:tcBorders>
              <w:left w:val="nil"/>
              <w:bottom w:val="single" w:sz="4" w:space="0" w:color="auto"/>
              <w:right w:val="nil"/>
            </w:tcBorders>
            <w:vAlign w:val="center"/>
          </w:tcPr>
          <w:p w14:paraId="692B1E83" w14:textId="77777777" w:rsidR="00F87B84" w:rsidRDefault="00F87B84" w:rsidP="005D3108">
            <w:pPr>
              <w:spacing w:before="0" w:after="0"/>
              <w:jc w:val="center"/>
              <w:rPr>
                <w:color w:val="000000"/>
                <w:sz w:val="14"/>
                <w:szCs w:val="14"/>
              </w:rPr>
            </w:pPr>
          </w:p>
        </w:tc>
        <w:tc>
          <w:tcPr>
            <w:tcW w:w="840" w:type="dxa"/>
            <w:tcBorders>
              <w:left w:val="nil"/>
              <w:bottom w:val="single" w:sz="4" w:space="0" w:color="auto"/>
              <w:right w:val="nil"/>
            </w:tcBorders>
            <w:shd w:val="clear" w:color="auto" w:fill="F3F9FA"/>
            <w:noWrap/>
            <w:vAlign w:val="center"/>
          </w:tcPr>
          <w:p w14:paraId="363E66C0" w14:textId="77777777" w:rsidR="00F87B84" w:rsidRPr="00253FE3" w:rsidRDefault="00F87B84" w:rsidP="005D3108">
            <w:pPr>
              <w:spacing w:before="0" w:after="0"/>
              <w:jc w:val="center"/>
              <w:rPr>
                <w:b/>
                <w:color w:val="000000"/>
                <w:sz w:val="14"/>
                <w:szCs w:val="14"/>
              </w:rPr>
            </w:pPr>
            <w:r w:rsidRPr="00253FE3">
              <w:rPr>
                <w:b/>
                <w:color w:val="000000"/>
                <w:sz w:val="14"/>
                <w:szCs w:val="14"/>
              </w:rPr>
              <w:t>RD3</w:t>
            </w:r>
          </w:p>
        </w:tc>
        <w:tc>
          <w:tcPr>
            <w:tcW w:w="555" w:type="dxa"/>
            <w:tcBorders>
              <w:left w:val="nil"/>
              <w:bottom w:val="single" w:sz="4" w:space="0" w:color="auto"/>
              <w:right w:val="nil"/>
            </w:tcBorders>
            <w:shd w:val="clear" w:color="auto" w:fill="F3F9FA"/>
            <w:vAlign w:val="center"/>
          </w:tcPr>
          <w:p w14:paraId="12F8A174" w14:textId="2CD58A2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left w:val="nil"/>
              <w:bottom w:val="single" w:sz="4" w:space="0" w:color="auto"/>
              <w:right w:val="nil"/>
            </w:tcBorders>
            <w:shd w:val="clear" w:color="auto" w:fill="F3F9FA"/>
            <w:noWrap/>
            <w:vAlign w:val="center"/>
          </w:tcPr>
          <w:p w14:paraId="6756A07A" w14:textId="5FEFCDA2"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left w:val="nil"/>
              <w:bottom w:val="single" w:sz="4" w:space="0" w:color="auto"/>
              <w:right w:val="nil"/>
            </w:tcBorders>
            <w:shd w:val="clear" w:color="auto" w:fill="F3F9FA"/>
            <w:noWrap/>
            <w:vAlign w:val="center"/>
          </w:tcPr>
          <w:p w14:paraId="01575126" w14:textId="4D916F9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left w:val="nil"/>
              <w:bottom w:val="single" w:sz="4" w:space="0" w:color="auto"/>
              <w:right w:val="nil"/>
            </w:tcBorders>
            <w:shd w:val="clear" w:color="auto" w:fill="F3F9FA"/>
            <w:vAlign w:val="center"/>
          </w:tcPr>
          <w:p w14:paraId="0DD0D6B4" w14:textId="7840A21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left w:val="nil"/>
              <w:bottom w:val="single" w:sz="4" w:space="0" w:color="auto"/>
              <w:right w:val="nil"/>
            </w:tcBorders>
            <w:shd w:val="clear" w:color="auto" w:fill="F3F9FA"/>
            <w:vAlign w:val="center"/>
          </w:tcPr>
          <w:p w14:paraId="1FC97E34" w14:textId="54B38DC7"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left w:val="nil"/>
              <w:bottom w:val="single" w:sz="4" w:space="0" w:color="auto"/>
              <w:right w:val="nil"/>
            </w:tcBorders>
            <w:shd w:val="clear" w:color="auto" w:fill="F3F9FA"/>
            <w:vAlign w:val="center"/>
          </w:tcPr>
          <w:p w14:paraId="0FFB4275" w14:textId="15CD9141"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left w:val="nil"/>
              <w:bottom w:val="single" w:sz="4" w:space="0" w:color="auto"/>
              <w:right w:val="single" w:sz="4" w:space="0" w:color="auto"/>
            </w:tcBorders>
            <w:shd w:val="clear" w:color="auto" w:fill="F3F9FA"/>
            <w:vAlign w:val="center"/>
          </w:tcPr>
          <w:p w14:paraId="35314F1E" w14:textId="0A4A2942" w:rsidR="00F87B84" w:rsidRPr="000E0B31" w:rsidRDefault="00F87B84" w:rsidP="005D3108">
            <w:pPr>
              <w:spacing w:before="0" w:after="0"/>
              <w:jc w:val="center"/>
              <w:rPr>
                <w:color w:val="000000"/>
                <w:sz w:val="14"/>
                <w:szCs w:val="14"/>
              </w:rPr>
            </w:pPr>
          </w:p>
        </w:tc>
        <w:tc>
          <w:tcPr>
            <w:tcW w:w="559" w:type="dxa"/>
            <w:tcBorders>
              <w:left w:val="single" w:sz="4" w:space="0" w:color="auto"/>
              <w:bottom w:val="single" w:sz="4" w:space="0" w:color="auto"/>
              <w:right w:val="nil"/>
            </w:tcBorders>
            <w:shd w:val="clear" w:color="auto" w:fill="F3F9FA"/>
            <w:vAlign w:val="center"/>
          </w:tcPr>
          <w:p w14:paraId="3FB51478" w14:textId="5A1D76C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left w:val="nil"/>
              <w:bottom w:val="single" w:sz="4" w:space="0" w:color="auto"/>
              <w:right w:val="nil"/>
            </w:tcBorders>
            <w:shd w:val="clear" w:color="auto" w:fill="F3F9FA"/>
            <w:vAlign w:val="center"/>
          </w:tcPr>
          <w:p w14:paraId="20DF0445" w14:textId="3761C9A4"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left w:val="nil"/>
              <w:bottom w:val="single" w:sz="4" w:space="0" w:color="auto"/>
              <w:right w:val="nil"/>
            </w:tcBorders>
            <w:shd w:val="clear" w:color="auto" w:fill="F3F9FA"/>
            <w:vAlign w:val="center"/>
          </w:tcPr>
          <w:p w14:paraId="26B37D92" w14:textId="2AEF7A7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left w:val="nil"/>
              <w:bottom w:val="single" w:sz="4" w:space="0" w:color="auto"/>
              <w:right w:val="nil"/>
            </w:tcBorders>
            <w:shd w:val="clear" w:color="auto" w:fill="F3F9FA"/>
            <w:vAlign w:val="center"/>
          </w:tcPr>
          <w:p w14:paraId="4EE50DD9" w14:textId="7E897F81"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left w:val="nil"/>
              <w:bottom w:val="single" w:sz="4" w:space="0" w:color="auto"/>
              <w:right w:val="nil"/>
            </w:tcBorders>
            <w:shd w:val="clear" w:color="auto" w:fill="F3F9FA"/>
            <w:vAlign w:val="center"/>
          </w:tcPr>
          <w:p w14:paraId="4451266F" w14:textId="5D1BD8D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left w:val="nil"/>
              <w:bottom w:val="single" w:sz="4" w:space="0" w:color="auto"/>
              <w:right w:val="nil"/>
            </w:tcBorders>
            <w:shd w:val="clear" w:color="auto" w:fill="F3F9FA"/>
            <w:vAlign w:val="center"/>
          </w:tcPr>
          <w:p w14:paraId="783C39AD" w14:textId="105A90B1" w:rsidR="00F87B84" w:rsidRPr="000E0B31" w:rsidRDefault="00F87B84" w:rsidP="005D3108">
            <w:pPr>
              <w:spacing w:before="0" w:after="0"/>
              <w:jc w:val="center"/>
              <w:rPr>
                <w:color w:val="000000"/>
                <w:sz w:val="14"/>
                <w:szCs w:val="14"/>
              </w:rPr>
            </w:pPr>
          </w:p>
        </w:tc>
      </w:tr>
      <w:tr w:rsidR="00F87B84" w14:paraId="7203BA6C"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tcPr>
          <w:p w14:paraId="22BECA0E" w14:textId="77777777" w:rsidR="00F87B84" w:rsidRDefault="00F87B84" w:rsidP="005D3108">
            <w:pPr>
              <w:spacing w:before="0" w:after="0"/>
              <w:outlineLvl w:val="0"/>
              <w:rPr>
                <w:color w:val="000000"/>
                <w:sz w:val="14"/>
                <w:szCs w:val="14"/>
              </w:rPr>
            </w:pPr>
          </w:p>
        </w:tc>
        <w:tc>
          <w:tcPr>
            <w:tcW w:w="1294" w:type="dxa"/>
            <w:vMerge/>
            <w:tcBorders>
              <w:top w:val="single" w:sz="4" w:space="0" w:color="auto"/>
              <w:left w:val="nil"/>
              <w:bottom w:val="single" w:sz="4" w:space="0" w:color="auto"/>
              <w:right w:val="nil"/>
            </w:tcBorders>
            <w:vAlign w:val="center"/>
          </w:tcPr>
          <w:p w14:paraId="0C5A518F" w14:textId="77777777" w:rsidR="00F87B84" w:rsidRDefault="00F87B84" w:rsidP="005D3108">
            <w:pPr>
              <w:spacing w:before="0" w:after="0"/>
              <w:outlineLvl w:val="0"/>
              <w:rPr>
                <w:color w:val="000000"/>
                <w:sz w:val="14"/>
                <w:szCs w:val="14"/>
              </w:rPr>
            </w:pPr>
          </w:p>
        </w:tc>
        <w:tc>
          <w:tcPr>
            <w:tcW w:w="1299" w:type="dxa"/>
            <w:vMerge w:val="restart"/>
            <w:tcBorders>
              <w:top w:val="single" w:sz="4" w:space="0" w:color="auto"/>
              <w:left w:val="nil"/>
              <w:right w:val="nil"/>
            </w:tcBorders>
            <w:shd w:val="clear" w:color="auto" w:fill="F3F9FA"/>
            <w:vAlign w:val="center"/>
          </w:tcPr>
          <w:p w14:paraId="7FF77F96" w14:textId="77777777" w:rsidR="00F87B84" w:rsidRDefault="00F87B84" w:rsidP="005D3108">
            <w:pPr>
              <w:spacing w:before="0" w:after="0"/>
              <w:jc w:val="center"/>
              <w:rPr>
                <w:color w:val="000000"/>
                <w:sz w:val="14"/>
                <w:szCs w:val="14"/>
              </w:rPr>
            </w:pPr>
            <w:r>
              <w:rPr>
                <w:color w:val="000000"/>
                <w:sz w:val="14"/>
                <w:szCs w:val="14"/>
              </w:rPr>
              <w:t>Burrum</w:t>
            </w:r>
          </w:p>
        </w:tc>
        <w:tc>
          <w:tcPr>
            <w:tcW w:w="1307" w:type="dxa"/>
            <w:vMerge w:val="restart"/>
            <w:tcBorders>
              <w:top w:val="single" w:sz="4" w:space="0" w:color="auto"/>
              <w:left w:val="nil"/>
              <w:right w:val="nil"/>
            </w:tcBorders>
            <w:shd w:val="clear" w:color="auto" w:fill="F3F9FA"/>
            <w:noWrap/>
            <w:vAlign w:val="center"/>
          </w:tcPr>
          <w:p w14:paraId="54E696E0" w14:textId="77777777" w:rsidR="00F87B84" w:rsidRDefault="00F87B84" w:rsidP="005D3108">
            <w:pPr>
              <w:spacing w:before="0" w:after="0"/>
              <w:jc w:val="center"/>
              <w:rPr>
                <w:color w:val="000000"/>
                <w:sz w:val="14"/>
                <w:szCs w:val="14"/>
              </w:rPr>
            </w:pPr>
            <w:r>
              <w:rPr>
                <w:color w:val="000000"/>
                <w:sz w:val="14"/>
                <w:szCs w:val="14"/>
              </w:rPr>
              <w:t>Burrum Heads</w:t>
            </w:r>
          </w:p>
        </w:tc>
        <w:tc>
          <w:tcPr>
            <w:tcW w:w="840" w:type="dxa"/>
            <w:tcBorders>
              <w:top w:val="single" w:sz="4" w:space="0" w:color="auto"/>
              <w:left w:val="nil"/>
              <w:right w:val="nil"/>
            </w:tcBorders>
            <w:shd w:val="clear" w:color="auto" w:fill="F3F9FA"/>
            <w:noWrap/>
            <w:vAlign w:val="center"/>
          </w:tcPr>
          <w:p w14:paraId="2D36F31B" w14:textId="77777777" w:rsidR="00F87B84" w:rsidRPr="00253FE3" w:rsidRDefault="00F87B84" w:rsidP="005D3108">
            <w:pPr>
              <w:spacing w:before="0" w:after="0"/>
              <w:jc w:val="center"/>
              <w:rPr>
                <w:b/>
                <w:color w:val="000000"/>
                <w:sz w:val="14"/>
                <w:szCs w:val="14"/>
              </w:rPr>
            </w:pPr>
            <w:r w:rsidRPr="00253FE3">
              <w:rPr>
                <w:b/>
                <w:color w:val="000000"/>
                <w:sz w:val="14"/>
                <w:szCs w:val="14"/>
              </w:rPr>
              <w:t>BH1</w:t>
            </w:r>
          </w:p>
        </w:tc>
        <w:tc>
          <w:tcPr>
            <w:tcW w:w="555" w:type="dxa"/>
            <w:tcBorders>
              <w:top w:val="single" w:sz="4" w:space="0" w:color="auto"/>
              <w:left w:val="nil"/>
              <w:right w:val="nil"/>
            </w:tcBorders>
            <w:shd w:val="clear" w:color="auto" w:fill="F3F9FA"/>
            <w:vAlign w:val="center"/>
          </w:tcPr>
          <w:p w14:paraId="30192395" w14:textId="6F11C00A"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right w:val="nil"/>
            </w:tcBorders>
            <w:shd w:val="clear" w:color="auto" w:fill="F3F9FA"/>
            <w:noWrap/>
            <w:vAlign w:val="center"/>
          </w:tcPr>
          <w:p w14:paraId="4F76DDA0" w14:textId="238DE26D"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right w:val="nil"/>
            </w:tcBorders>
            <w:shd w:val="clear" w:color="auto" w:fill="F3F9FA"/>
            <w:noWrap/>
            <w:vAlign w:val="center"/>
          </w:tcPr>
          <w:p w14:paraId="1E211C71" w14:textId="0E5768E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right w:val="nil"/>
            </w:tcBorders>
            <w:shd w:val="clear" w:color="auto" w:fill="F3F9FA"/>
            <w:vAlign w:val="center"/>
          </w:tcPr>
          <w:p w14:paraId="774CE24E" w14:textId="3E3199B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right w:val="nil"/>
            </w:tcBorders>
            <w:shd w:val="clear" w:color="auto" w:fill="F3F9FA"/>
            <w:vAlign w:val="center"/>
          </w:tcPr>
          <w:p w14:paraId="5B92C092" w14:textId="76984CB9"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right w:val="nil"/>
            </w:tcBorders>
            <w:shd w:val="clear" w:color="auto" w:fill="F3F9FA"/>
            <w:vAlign w:val="center"/>
          </w:tcPr>
          <w:p w14:paraId="27F29328" w14:textId="433BEF47"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single" w:sz="4" w:space="0" w:color="auto"/>
            </w:tcBorders>
            <w:shd w:val="clear" w:color="auto" w:fill="F3F9FA"/>
            <w:vAlign w:val="center"/>
          </w:tcPr>
          <w:p w14:paraId="20043183"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right w:val="nil"/>
            </w:tcBorders>
            <w:shd w:val="clear" w:color="auto" w:fill="F3F9FA"/>
            <w:vAlign w:val="center"/>
          </w:tcPr>
          <w:p w14:paraId="5BEC291C" w14:textId="6D574EC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right w:val="nil"/>
            </w:tcBorders>
            <w:shd w:val="clear" w:color="auto" w:fill="F3F9FA"/>
            <w:vAlign w:val="center"/>
          </w:tcPr>
          <w:p w14:paraId="0DF1EBB2" w14:textId="49754BC2"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right w:val="nil"/>
            </w:tcBorders>
            <w:shd w:val="clear" w:color="auto" w:fill="F3F9FA"/>
            <w:vAlign w:val="center"/>
          </w:tcPr>
          <w:p w14:paraId="14EBBAF2" w14:textId="6AF56990"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right w:val="nil"/>
            </w:tcBorders>
            <w:shd w:val="clear" w:color="auto" w:fill="F3F9FA"/>
            <w:vAlign w:val="center"/>
          </w:tcPr>
          <w:p w14:paraId="326FA0FE" w14:textId="17D45A9A"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right w:val="nil"/>
            </w:tcBorders>
            <w:shd w:val="clear" w:color="auto" w:fill="F3F9FA"/>
            <w:vAlign w:val="center"/>
          </w:tcPr>
          <w:p w14:paraId="7F800A42" w14:textId="6920926A"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right w:val="nil"/>
            </w:tcBorders>
            <w:shd w:val="clear" w:color="auto" w:fill="F3F9FA"/>
            <w:vAlign w:val="center"/>
          </w:tcPr>
          <w:p w14:paraId="6E168BF2" w14:textId="77777777" w:rsidR="00F87B84" w:rsidRPr="000E0B31" w:rsidRDefault="00F87B84" w:rsidP="005D3108">
            <w:pPr>
              <w:spacing w:before="0" w:after="0"/>
              <w:jc w:val="center"/>
              <w:rPr>
                <w:color w:val="000000"/>
                <w:sz w:val="14"/>
                <w:szCs w:val="14"/>
              </w:rPr>
            </w:pPr>
          </w:p>
        </w:tc>
      </w:tr>
      <w:tr w:rsidR="00F87B84" w14:paraId="62E387A1"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tcPr>
          <w:p w14:paraId="1413B6A6"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tcPr>
          <w:p w14:paraId="5352CA0E" w14:textId="77777777" w:rsidR="00F87B84" w:rsidRDefault="00F87B84" w:rsidP="005D3108">
            <w:pPr>
              <w:spacing w:before="0" w:after="0"/>
              <w:rPr>
                <w:color w:val="000000"/>
                <w:sz w:val="14"/>
                <w:szCs w:val="14"/>
              </w:rPr>
            </w:pPr>
          </w:p>
        </w:tc>
        <w:tc>
          <w:tcPr>
            <w:tcW w:w="1299" w:type="dxa"/>
            <w:vMerge/>
            <w:tcBorders>
              <w:left w:val="nil"/>
              <w:bottom w:val="single" w:sz="4" w:space="0" w:color="auto"/>
              <w:right w:val="nil"/>
            </w:tcBorders>
            <w:shd w:val="clear" w:color="auto" w:fill="F3F9FA"/>
            <w:vAlign w:val="center"/>
          </w:tcPr>
          <w:p w14:paraId="2A1E6D6E" w14:textId="77777777" w:rsidR="00F87B84" w:rsidRDefault="00F87B84" w:rsidP="005D3108">
            <w:pPr>
              <w:spacing w:before="0" w:after="0"/>
              <w:jc w:val="center"/>
              <w:rPr>
                <w:color w:val="000000"/>
                <w:sz w:val="14"/>
                <w:szCs w:val="14"/>
              </w:rPr>
            </w:pPr>
          </w:p>
        </w:tc>
        <w:tc>
          <w:tcPr>
            <w:tcW w:w="1307" w:type="dxa"/>
            <w:vMerge/>
            <w:tcBorders>
              <w:left w:val="nil"/>
              <w:bottom w:val="single" w:sz="4" w:space="0" w:color="auto"/>
              <w:right w:val="nil"/>
            </w:tcBorders>
            <w:shd w:val="clear" w:color="auto" w:fill="F3F9FA"/>
            <w:noWrap/>
            <w:vAlign w:val="center"/>
          </w:tcPr>
          <w:p w14:paraId="6C58CF7A" w14:textId="77777777" w:rsidR="00F87B84" w:rsidRDefault="00F87B84" w:rsidP="005D3108">
            <w:pPr>
              <w:spacing w:before="0" w:after="0"/>
              <w:jc w:val="center"/>
              <w:rPr>
                <w:color w:val="000000"/>
                <w:sz w:val="14"/>
                <w:szCs w:val="14"/>
              </w:rPr>
            </w:pPr>
          </w:p>
        </w:tc>
        <w:tc>
          <w:tcPr>
            <w:tcW w:w="840" w:type="dxa"/>
            <w:tcBorders>
              <w:left w:val="nil"/>
              <w:bottom w:val="nil"/>
            </w:tcBorders>
            <w:shd w:val="clear" w:color="auto" w:fill="F3F9FA"/>
            <w:noWrap/>
            <w:vAlign w:val="center"/>
          </w:tcPr>
          <w:p w14:paraId="261C7634" w14:textId="77777777" w:rsidR="00F87B84" w:rsidRPr="00253FE3" w:rsidRDefault="00F87B84" w:rsidP="005D3108">
            <w:pPr>
              <w:spacing w:before="0" w:after="0"/>
              <w:jc w:val="center"/>
              <w:rPr>
                <w:b/>
                <w:color w:val="000000"/>
                <w:sz w:val="14"/>
                <w:szCs w:val="14"/>
              </w:rPr>
            </w:pPr>
            <w:r w:rsidRPr="00253FE3">
              <w:rPr>
                <w:b/>
                <w:color w:val="000000"/>
                <w:sz w:val="14"/>
                <w:szCs w:val="14"/>
              </w:rPr>
              <w:t>BH3</w:t>
            </w:r>
          </w:p>
        </w:tc>
        <w:tc>
          <w:tcPr>
            <w:tcW w:w="555" w:type="dxa"/>
            <w:tcBorders>
              <w:bottom w:val="nil"/>
            </w:tcBorders>
            <w:shd w:val="clear" w:color="auto" w:fill="F3F9FA"/>
            <w:vAlign w:val="center"/>
          </w:tcPr>
          <w:p w14:paraId="2CEF7E89" w14:textId="3D50702F"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bottom w:val="nil"/>
            </w:tcBorders>
            <w:shd w:val="clear" w:color="auto" w:fill="F3F9FA"/>
            <w:noWrap/>
            <w:vAlign w:val="center"/>
          </w:tcPr>
          <w:p w14:paraId="7AD618D8" w14:textId="7CFCBC7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bottom w:val="nil"/>
            </w:tcBorders>
            <w:shd w:val="clear" w:color="auto" w:fill="F3F9FA"/>
            <w:noWrap/>
            <w:vAlign w:val="center"/>
          </w:tcPr>
          <w:p w14:paraId="028416D3" w14:textId="7D8DB430"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bottom w:val="nil"/>
            </w:tcBorders>
            <w:shd w:val="clear" w:color="auto" w:fill="F3F9FA"/>
            <w:vAlign w:val="center"/>
          </w:tcPr>
          <w:p w14:paraId="206C55FA" w14:textId="6B584F6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bottom w:val="nil"/>
            </w:tcBorders>
            <w:shd w:val="clear" w:color="auto" w:fill="F3F9FA"/>
            <w:vAlign w:val="center"/>
          </w:tcPr>
          <w:p w14:paraId="772B0992" w14:textId="09AFCB76"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bottom w:val="nil"/>
            </w:tcBorders>
            <w:shd w:val="clear" w:color="auto" w:fill="F3F9FA"/>
            <w:vAlign w:val="center"/>
          </w:tcPr>
          <w:p w14:paraId="491B2E42" w14:textId="513E970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right w:val="single" w:sz="4" w:space="0" w:color="auto"/>
            </w:tcBorders>
            <w:shd w:val="clear" w:color="auto" w:fill="F3F9FA"/>
            <w:vAlign w:val="center"/>
          </w:tcPr>
          <w:p w14:paraId="32CA7C82" w14:textId="77777777" w:rsidR="00F87B84" w:rsidRPr="000E0B31" w:rsidRDefault="00F87B84" w:rsidP="005D3108">
            <w:pPr>
              <w:spacing w:before="0" w:after="0"/>
              <w:jc w:val="center"/>
              <w:rPr>
                <w:color w:val="000000"/>
                <w:sz w:val="14"/>
                <w:szCs w:val="14"/>
              </w:rPr>
            </w:pPr>
          </w:p>
        </w:tc>
        <w:tc>
          <w:tcPr>
            <w:tcW w:w="559" w:type="dxa"/>
            <w:tcBorders>
              <w:left w:val="single" w:sz="4" w:space="0" w:color="auto"/>
              <w:bottom w:val="nil"/>
            </w:tcBorders>
            <w:shd w:val="clear" w:color="auto" w:fill="F3F9FA"/>
            <w:vAlign w:val="center"/>
          </w:tcPr>
          <w:p w14:paraId="1D175B99" w14:textId="69341A84"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bottom w:val="nil"/>
            </w:tcBorders>
            <w:shd w:val="clear" w:color="auto" w:fill="F3F9FA"/>
            <w:vAlign w:val="center"/>
          </w:tcPr>
          <w:p w14:paraId="2421C44A" w14:textId="0EEA1E49"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bottom w:val="nil"/>
            </w:tcBorders>
            <w:shd w:val="clear" w:color="auto" w:fill="F3F9FA"/>
            <w:vAlign w:val="center"/>
          </w:tcPr>
          <w:p w14:paraId="3E741E34" w14:textId="6631DEF4"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bottom w:val="nil"/>
            </w:tcBorders>
            <w:shd w:val="clear" w:color="auto" w:fill="F3F9FA"/>
            <w:vAlign w:val="center"/>
          </w:tcPr>
          <w:p w14:paraId="07B78A22" w14:textId="023AEC17"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bottom w:val="nil"/>
            </w:tcBorders>
            <w:shd w:val="clear" w:color="auto" w:fill="F3F9FA"/>
            <w:vAlign w:val="center"/>
          </w:tcPr>
          <w:p w14:paraId="273AFAA4" w14:textId="2C93FCB3"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bottom w:val="nil"/>
              <w:right w:val="nil"/>
            </w:tcBorders>
            <w:shd w:val="clear" w:color="auto" w:fill="F3F9FA"/>
            <w:vAlign w:val="center"/>
          </w:tcPr>
          <w:p w14:paraId="1CAE3993" w14:textId="77777777" w:rsidR="00F87B84" w:rsidRPr="000E0B31" w:rsidRDefault="00F87B84" w:rsidP="005D3108">
            <w:pPr>
              <w:spacing w:before="0" w:after="0"/>
              <w:jc w:val="center"/>
              <w:rPr>
                <w:color w:val="000000"/>
                <w:sz w:val="14"/>
                <w:szCs w:val="14"/>
              </w:rPr>
            </w:pPr>
          </w:p>
        </w:tc>
      </w:tr>
      <w:tr w:rsidR="00F87B84" w14:paraId="0DD087CF"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4DD7136A" w14:textId="77777777" w:rsidR="00F87B84" w:rsidRDefault="00F87B84" w:rsidP="005D3108">
            <w:pPr>
              <w:spacing w:before="0" w:after="0"/>
              <w:outlineLvl w:val="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4F10A0E0" w14:textId="77777777" w:rsidR="00F87B84" w:rsidRDefault="00F87B84" w:rsidP="005D3108">
            <w:pPr>
              <w:spacing w:before="0" w:after="0"/>
              <w:rPr>
                <w:color w:val="000000"/>
                <w:sz w:val="14"/>
                <w:szCs w:val="14"/>
              </w:rPr>
            </w:pPr>
          </w:p>
        </w:tc>
        <w:tc>
          <w:tcPr>
            <w:tcW w:w="1299" w:type="dxa"/>
            <w:vMerge w:val="restart"/>
            <w:tcBorders>
              <w:top w:val="single" w:sz="4" w:space="0" w:color="auto"/>
              <w:left w:val="nil"/>
              <w:bottom w:val="single" w:sz="4" w:space="0" w:color="auto"/>
              <w:right w:val="nil"/>
            </w:tcBorders>
            <w:shd w:val="clear" w:color="auto" w:fill="F3F9FA"/>
            <w:vAlign w:val="center"/>
            <w:hideMark/>
          </w:tcPr>
          <w:p w14:paraId="4BF88345" w14:textId="77777777" w:rsidR="00F87B84" w:rsidRDefault="00F87B84" w:rsidP="005D3108">
            <w:pPr>
              <w:spacing w:before="0" w:after="0"/>
              <w:jc w:val="center"/>
              <w:rPr>
                <w:color w:val="000000"/>
                <w:sz w:val="14"/>
                <w:szCs w:val="14"/>
              </w:rPr>
            </w:pPr>
            <w:r>
              <w:rPr>
                <w:color w:val="000000"/>
                <w:sz w:val="14"/>
                <w:szCs w:val="14"/>
              </w:rPr>
              <w:t>Mary</w:t>
            </w:r>
          </w:p>
        </w:tc>
        <w:tc>
          <w:tcPr>
            <w:tcW w:w="1307" w:type="dxa"/>
            <w:vMerge w:val="restart"/>
            <w:tcBorders>
              <w:top w:val="single" w:sz="4" w:space="0" w:color="auto"/>
              <w:left w:val="nil"/>
              <w:bottom w:val="single" w:sz="4" w:space="0" w:color="auto"/>
              <w:right w:val="nil"/>
            </w:tcBorders>
            <w:shd w:val="clear" w:color="auto" w:fill="F3F9FA"/>
            <w:noWrap/>
            <w:vAlign w:val="center"/>
            <w:hideMark/>
          </w:tcPr>
          <w:p w14:paraId="17D0DC5D" w14:textId="77777777" w:rsidR="00F87B84" w:rsidRDefault="00F87B84" w:rsidP="005D3108">
            <w:pPr>
              <w:spacing w:before="0" w:after="0"/>
              <w:jc w:val="center"/>
              <w:rPr>
                <w:color w:val="000000"/>
                <w:sz w:val="14"/>
                <w:szCs w:val="14"/>
              </w:rPr>
            </w:pPr>
            <w:r>
              <w:rPr>
                <w:color w:val="000000"/>
                <w:sz w:val="14"/>
                <w:szCs w:val="14"/>
              </w:rPr>
              <w:t>Hervey Bay</w:t>
            </w:r>
          </w:p>
        </w:tc>
        <w:tc>
          <w:tcPr>
            <w:tcW w:w="840" w:type="dxa"/>
            <w:tcBorders>
              <w:top w:val="single" w:sz="4" w:space="0" w:color="auto"/>
              <w:left w:val="nil"/>
              <w:bottom w:val="nil"/>
              <w:right w:val="nil"/>
            </w:tcBorders>
            <w:shd w:val="clear" w:color="auto" w:fill="F3F9FA"/>
            <w:noWrap/>
            <w:vAlign w:val="center"/>
            <w:hideMark/>
          </w:tcPr>
          <w:p w14:paraId="42A29DA6" w14:textId="77777777" w:rsidR="00F87B84" w:rsidRPr="00253FE3" w:rsidRDefault="00F87B84" w:rsidP="005D3108">
            <w:pPr>
              <w:spacing w:before="0" w:after="0"/>
              <w:jc w:val="center"/>
              <w:rPr>
                <w:b/>
                <w:color w:val="000000"/>
                <w:sz w:val="14"/>
                <w:szCs w:val="14"/>
              </w:rPr>
            </w:pPr>
            <w:r w:rsidRPr="00253FE3">
              <w:rPr>
                <w:b/>
                <w:color w:val="000000"/>
                <w:sz w:val="14"/>
                <w:szCs w:val="14"/>
              </w:rPr>
              <w:t>UG1</w:t>
            </w:r>
          </w:p>
        </w:tc>
        <w:tc>
          <w:tcPr>
            <w:tcW w:w="555" w:type="dxa"/>
            <w:tcBorders>
              <w:top w:val="single" w:sz="4" w:space="0" w:color="auto"/>
              <w:left w:val="nil"/>
              <w:bottom w:val="nil"/>
              <w:right w:val="nil"/>
            </w:tcBorders>
            <w:shd w:val="clear" w:color="auto" w:fill="F3F9FA"/>
            <w:vAlign w:val="center"/>
          </w:tcPr>
          <w:p w14:paraId="7386B62E" w14:textId="1CC7A316"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single" w:sz="4" w:space="0" w:color="auto"/>
              <w:left w:val="nil"/>
              <w:bottom w:val="nil"/>
              <w:right w:val="nil"/>
            </w:tcBorders>
            <w:shd w:val="clear" w:color="auto" w:fill="F3F9FA"/>
            <w:noWrap/>
            <w:vAlign w:val="center"/>
          </w:tcPr>
          <w:p w14:paraId="1207EA7D" w14:textId="6D8FF534"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single" w:sz="4" w:space="0" w:color="auto"/>
              <w:left w:val="nil"/>
              <w:bottom w:val="nil"/>
              <w:right w:val="nil"/>
            </w:tcBorders>
            <w:shd w:val="clear" w:color="auto" w:fill="F3F9FA"/>
            <w:noWrap/>
            <w:vAlign w:val="center"/>
          </w:tcPr>
          <w:p w14:paraId="54BB86EA" w14:textId="212700C7"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single" w:sz="4" w:space="0" w:color="auto"/>
              <w:left w:val="nil"/>
              <w:bottom w:val="nil"/>
              <w:right w:val="nil"/>
            </w:tcBorders>
            <w:shd w:val="clear" w:color="auto" w:fill="F3F9FA"/>
            <w:vAlign w:val="center"/>
          </w:tcPr>
          <w:p w14:paraId="3933A01E" w14:textId="1E862AE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single" w:sz="4" w:space="0" w:color="auto"/>
              <w:left w:val="nil"/>
              <w:bottom w:val="nil"/>
              <w:right w:val="nil"/>
            </w:tcBorders>
            <w:shd w:val="clear" w:color="auto" w:fill="F3F9FA"/>
            <w:vAlign w:val="center"/>
          </w:tcPr>
          <w:p w14:paraId="0C9261F6" w14:textId="4267BE59"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single" w:sz="4" w:space="0" w:color="auto"/>
              <w:left w:val="nil"/>
              <w:bottom w:val="nil"/>
              <w:right w:val="nil"/>
            </w:tcBorders>
            <w:shd w:val="clear" w:color="auto" w:fill="F3F9FA"/>
            <w:vAlign w:val="center"/>
          </w:tcPr>
          <w:p w14:paraId="66C4E3A5" w14:textId="51A51C59"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single" w:sz="4" w:space="0" w:color="auto"/>
            </w:tcBorders>
            <w:shd w:val="clear" w:color="auto" w:fill="F3F9FA"/>
            <w:vAlign w:val="center"/>
          </w:tcPr>
          <w:p w14:paraId="2A5E2382" w14:textId="77777777" w:rsidR="00F87B84" w:rsidRPr="000E0B31" w:rsidRDefault="00F87B84" w:rsidP="005D3108">
            <w:pPr>
              <w:spacing w:before="0" w:after="0"/>
              <w:jc w:val="center"/>
              <w:rPr>
                <w:color w:val="000000"/>
                <w:sz w:val="14"/>
                <w:szCs w:val="14"/>
              </w:rPr>
            </w:pPr>
          </w:p>
        </w:tc>
        <w:tc>
          <w:tcPr>
            <w:tcW w:w="559" w:type="dxa"/>
            <w:tcBorders>
              <w:top w:val="single" w:sz="4" w:space="0" w:color="auto"/>
              <w:left w:val="single" w:sz="4" w:space="0" w:color="auto"/>
              <w:bottom w:val="nil"/>
              <w:right w:val="nil"/>
            </w:tcBorders>
            <w:shd w:val="clear" w:color="auto" w:fill="F3F9FA"/>
            <w:vAlign w:val="center"/>
          </w:tcPr>
          <w:p w14:paraId="788501A6" w14:textId="463D62EA"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single" w:sz="4" w:space="0" w:color="auto"/>
              <w:left w:val="nil"/>
              <w:bottom w:val="nil"/>
              <w:right w:val="nil"/>
            </w:tcBorders>
            <w:shd w:val="clear" w:color="auto" w:fill="F3F9FA"/>
            <w:vAlign w:val="center"/>
          </w:tcPr>
          <w:p w14:paraId="219D2BD3" w14:textId="3C088A04"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single" w:sz="4" w:space="0" w:color="auto"/>
              <w:left w:val="nil"/>
              <w:bottom w:val="nil"/>
              <w:right w:val="nil"/>
            </w:tcBorders>
            <w:shd w:val="clear" w:color="auto" w:fill="F3F9FA"/>
            <w:vAlign w:val="center"/>
          </w:tcPr>
          <w:p w14:paraId="25A7147F" w14:textId="567A9AB5"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single" w:sz="4" w:space="0" w:color="auto"/>
              <w:left w:val="nil"/>
              <w:bottom w:val="nil"/>
              <w:right w:val="nil"/>
            </w:tcBorders>
            <w:shd w:val="clear" w:color="auto" w:fill="F3F9FA"/>
            <w:vAlign w:val="center"/>
          </w:tcPr>
          <w:p w14:paraId="15CA139F" w14:textId="39B61F52"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single" w:sz="4" w:space="0" w:color="auto"/>
              <w:left w:val="nil"/>
              <w:bottom w:val="nil"/>
              <w:right w:val="nil"/>
            </w:tcBorders>
            <w:shd w:val="clear" w:color="auto" w:fill="F3F9FA"/>
            <w:vAlign w:val="center"/>
          </w:tcPr>
          <w:p w14:paraId="045F792E" w14:textId="11ED1C19"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single" w:sz="4" w:space="0" w:color="auto"/>
              <w:left w:val="nil"/>
              <w:bottom w:val="nil"/>
              <w:right w:val="nil"/>
            </w:tcBorders>
            <w:shd w:val="clear" w:color="auto" w:fill="F3F9FA"/>
            <w:vAlign w:val="center"/>
          </w:tcPr>
          <w:p w14:paraId="5DB898F3" w14:textId="77777777" w:rsidR="00F87B84" w:rsidRPr="000E0B31" w:rsidRDefault="00F87B84" w:rsidP="005D3108">
            <w:pPr>
              <w:spacing w:before="0" w:after="0"/>
              <w:jc w:val="center"/>
              <w:outlineLvl w:val="0"/>
              <w:rPr>
                <w:color w:val="000000"/>
                <w:sz w:val="14"/>
                <w:szCs w:val="14"/>
              </w:rPr>
            </w:pPr>
          </w:p>
        </w:tc>
      </w:tr>
      <w:tr w:rsidR="00F87B84" w14:paraId="10C222E8" w14:textId="77777777" w:rsidTr="00EF6C56">
        <w:trPr>
          <w:gridAfter w:val="1"/>
          <w:wAfter w:w="10" w:type="dxa"/>
          <w:cantSplit/>
          <w:trHeight w:val="170"/>
          <w:jc w:val="center"/>
        </w:trPr>
        <w:tc>
          <w:tcPr>
            <w:tcW w:w="1148" w:type="dxa"/>
            <w:vMerge/>
            <w:tcBorders>
              <w:top w:val="single" w:sz="4" w:space="0" w:color="auto"/>
              <w:left w:val="nil"/>
              <w:bottom w:val="single" w:sz="4" w:space="0" w:color="auto"/>
              <w:right w:val="nil"/>
            </w:tcBorders>
            <w:vAlign w:val="center"/>
            <w:hideMark/>
          </w:tcPr>
          <w:p w14:paraId="13F6C866" w14:textId="77777777" w:rsidR="00F87B84" w:rsidRDefault="00F87B84" w:rsidP="005D3108">
            <w:pPr>
              <w:spacing w:before="0" w:after="0"/>
              <w:rPr>
                <w:color w:val="000000"/>
                <w:sz w:val="14"/>
                <w:szCs w:val="14"/>
              </w:rPr>
            </w:pPr>
          </w:p>
        </w:tc>
        <w:tc>
          <w:tcPr>
            <w:tcW w:w="1294" w:type="dxa"/>
            <w:vMerge/>
            <w:tcBorders>
              <w:top w:val="single" w:sz="4" w:space="0" w:color="auto"/>
              <w:left w:val="nil"/>
              <w:bottom w:val="single" w:sz="4" w:space="0" w:color="auto"/>
              <w:right w:val="nil"/>
            </w:tcBorders>
            <w:vAlign w:val="center"/>
            <w:hideMark/>
          </w:tcPr>
          <w:p w14:paraId="7D72AD5E" w14:textId="77777777" w:rsidR="00F87B84" w:rsidRDefault="00F87B84" w:rsidP="005D3108">
            <w:pPr>
              <w:spacing w:before="0" w:after="0"/>
              <w:rPr>
                <w:color w:val="000000"/>
                <w:sz w:val="14"/>
                <w:szCs w:val="14"/>
              </w:rPr>
            </w:pPr>
          </w:p>
        </w:tc>
        <w:tc>
          <w:tcPr>
            <w:tcW w:w="1299" w:type="dxa"/>
            <w:vMerge/>
            <w:tcBorders>
              <w:top w:val="single" w:sz="4" w:space="0" w:color="auto"/>
              <w:left w:val="nil"/>
              <w:bottom w:val="single" w:sz="4" w:space="0" w:color="auto"/>
              <w:right w:val="nil"/>
            </w:tcBorders>
            <w:vAlign w:val="center"/>
            <w:hideMark/>
          </w:tcPr>
          <w:p w14:paraId="3371F7D2" w14:textId="77777777" w:rsidR="00F87B84" w:rsidRDefault="00F87B84" w:rsidP="005D3108">
            <w:pPr>
              <w:spacing w:before="0" w:after="0"/>
              <w:jc w:val="center"/>
              <w:rPr>
                <w:color w:val="000000"/>
                <w:sz w:val="14"/>
                <w:szCs w:val="14"/>
              </w:rPr>
            </w:pPr>
          </w:p>
        </w:tc>
        <w:tc>
          <w:tcPr>
            <w:tcW w:w="1307" w:type="dxa"/>
            <w:vMerge/>
            <w:tcBorders>
              <w:top w:val="single" w:sz="4" w:space="0" w:color="auto"/>
              <w:left w:val="nil"/>
              <w:bottom w:val="single" w:sz="4" w:space="0" w:color="auto"/>
              <w:right w:val="nil"/>
            </w:tcBorders>
            <w:vAlign w:val="center"/>
            <w:hideMark/>
          </w:tcPr>
          <w:p w14:paraId="363CF2C1" w14:textId="77777777" w:rsidR="00F87B84" w:rsidRDefault="00F87B84" w:rsidP="005D3108">
            <w:pPr>
              <w:spacing w:before="0" w:after="0"/>
              <w:jc w:val="center"/>
              <w:rPr>
                <w:color w:val="000000"/>
                <w:sz w:val="14"/>
                <w:szCs w:val="14"/>
              </w:rPr>
            </w:pPr>
          </w:p>
        </w:tc>
        <w:tc>
          <w:tcPr>
            <w:tcW w:w="840" w:type="dxa"/>
            <w:tcBorders>
              <w:top w:val="nil"/>
              <w:left w:val="nil"/>
              <w:bottom w:val="single" w:sz="4" w:space="0" w:color="auto"/>
              <w:right w:val="nil"/>
            </w:tcBorders>
            <w:shd w:val="clear" w:color="auto" w:fill="F3F9FA"/>
            <w:noWrap/>
            <w:vAlign w:val="center"/>
            <w:hideMark/>
          </w:tcPr>
          <w:p w14:paraId="5B39AA2E" w14:textId="77777777" w:rsidR="00F87B84" w:rsidRPr="00253FE3" w:rsidRDefault="00F87B84" w:rsidP="005D3108">
            <w:pPr>
              <w:spacing w:before="0" w:after="0"/>
              <w:jc w:val="center"/>
              <w:rPr>
                <w:b/>
                <w:color w:val="000000"/>
                <w:sz w:val="14"/>
                <w:szCs w:val="14"/>
              </w:rPr>
            </w:pPr>
            <w:r w:rsidRPr="00253FE3">
              <w:rPr>
                <w:b/>
                <w:color w:val="000000"/>
                <w:sz w:val="14"/>
                <w:szCs w:val="14"/>
              </w:rPr>
              <w:t>UG2</w:t>
            </w:r>
          </w:p>
        </w:tc>
        <w:tc>
          <w:tcPr>
            <w:tcW w:w="555" w:type="dxa"/>
            <w:tcBorders>
              <w:top w:val="nil"/>
              <w:left w:val="nil"/>
              <w:bottom w:val="single" w:sz="4" w:space="0" w:color="auto"/>
              <w:right w:val="nil"/>
            </w:tcBorders>
            <w:shd w:val="clear" w:color="auto" w:fill="F3F9FA"/>
            <w:vAlign w:val="center"/>
          </w:tcPr>
          <w:p w14:paraId="4E429F45" w14:textId="66F858F2"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33</w:t>
            </w:r>
          </w:p>
        </w:tc>
        <w:tc>
          <w:tcPr>
            <w:tcW w:w="543" w:type="dxa"/>
            <w:tcBorders>
              <w:top w:val="nil"/>
              <w:left w:val="nil"/>
              <w:bottom w:val="single" w:sz="4" w:space="0" w:color="auto"/>
              <w:right w:val="nil"/>
            </w:tcBorders>
            <w:shd w:val="clear" w:color="auto" w:fill="F3F9FA"/>
            <w:noWrap/>
            <w:vAlign w:val="center"/>
          </w:tcPr>
          <w:p w14:paraId="6CE4FDDE" w14:textId="22EAC044"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30</w:t>
            </w:r>
          </w:p>
        </w:tc>
        <w:tc>
          <w:tcPr>
            <w:tcW w:w="540" w:type="dxa"/>
            <w:tcBorders>
              <w:top w:val="nil"/>
              <w:left w:val="nil"/>
              <w:bottom w:val="single" w:sz="4" w:space="0" w:color="auto"/>
              <w:right w:val="nil"/>
            </w:tcBorders>
            <w:shd w:val="clear" w:color="auto" w:fill="F3F9FA"/>
            <w:noWrap/>
            <w:vAlign w:val="center"/>
          </w:tcPr>
          <w:p w14:paraId="27EC2BC1" w14:textId="55F66039" w:rsidR="00F87B84" w:rsidRPr="0041562F" w:rsidRDefault="00F87B84" w:rsidP="005D3108">
            <w:pPr>
              <w:spacing w:before="0" w:after="0"/>
              <w:jc w:val="center"/>
              <w:rPr>
                <w:rFonts w:asciiTheme="minorHAnsi" w:hAnsiTheme="minorHAnsi" w:cstheme="minorHAnsi"/>
                <w:color w:val="000000"/>
                <w:sz w:val="14"/>
                <w:szCs w:val="14"/>
              </w:rPr>
            </w:pPr>
            <w:r>
              <w:rPr>
                <w:color w:val="000000"/>
                <w:sz w:val="14"/>
                <w:szCs w:val="14"/>
              </w:rPr>
              <w:t>3</w:t>
            </w:r>
          </w:p>
        </w:tc>
        <w:tc>
          <w:tcPr>
            <w:tcW w:w="536" w:type="dxa"/>
            <w:tcBorders>
              <w:top w:val="nil"/>
              <w:left w:val="nil"/>
              <w:bottom w:val="single" w:sz="4" w:space="0" w:color="auto"/>
              <w:right w:val="nil"/>
            </w:tcBorders>
            <w:shd w:val="clear" w:color="auto" w:fill="F3F9FA"/>
            <w:vAlign w:val="center"/>
          </w:tcPr>
          <w:p w14:paraId="2A575991" w14:textId="21E2829A"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0" w:type="dxa"/>
            <w:tcBorders>
              <w:top w:val="nil"/>
              <w:left w:val="nil"/>
              <w:bottom w:val="single" w:sz="4" w:space="0" w:color="auto"/>
              <w:right w:val="nil"/>
            </w:tcBorders>
            <w:shd w:val="clear" w:color="auto" w:fill="F3F9FA"/>
            <w:vAlign w:val="center"/>
          </w:tcPr>
          <w:p w14:paraId="7413C9F8" w14:textId="1D88EF18" w:rsidR="00F87B84" w:rsidRPr="0041562F" w:rsidRDefault="00F87B84" w:rsidP="005D3108">
            <w:pPr>
              <w:spacing w:before="0" w:after="0"/>
              <w:jc w:val="center"/>
              <w:rPr>
                <w:color w:val="000000"/>
                <w:sz w:val="14"/>
                <w:szCs w:val="14"/>
              </w:rPr>
            </w:pPr>
            <w:r>
              <w:rPr>
                <w:color w:val="000000"/>
                <w:sz w:val="14"/>
                <w:szCs w:val="14"/>
              </w:rPr>
              <w:t>15</w:t>
            </w:r>
          </w:p>
        </w:tc>
        <w:tc>
          <w:tcPr>
            <w:tcW w:w="529" w:type="dxa"/>
            <w:tcBorders>
              <w:top w:val="nil"/>
              <w:left w:val="nil"/>
              <w:bottom w:val="single" w:sz="4" w:space="0" w:color="auto"/>
              <w:right w:val="nil"/>
            </w:tcBorders>
            <w:shd w:val="clear" w:color="auto" w:fill="F3F9FA"/>
            <w:vAlign w:val="center"/>
          </w:tcPr>
          <w:p w14:paraId="36381512" w14:textId="75D40C1C"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single" w:sz="4" w:space="0" w:color="auto"/>
            </w:tcBorders>
            <w:shd w:val="clear" w:color="auto" w:fill="F3F9FA"/>
            <w:vAlign w:val="center"/>
          </w:tcPr>
          <w:p w14:paraId="208D359F" w14:textId="62E17772"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single" w:sz="4" w:space="0" w:color="auto"/>
              <w:bottom w:val="single" w:sz="4" w:space="0" w:color="auto"/>
              <w:right w:val="nil"/>
            </w:tcBorders>
            <w:shd w:val="clear" w:color="auto" w:fill="F3F9FA"/>
            <w:vAlign w:val="center"/>
          </w:tcPr>
          <w:p w14:paraId="644EE5AF" w14:textId="7EB03231"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33</w:t>
            </w:r>
          </w:p>
        </w:tc>
        <w:tc>
          <w:tcPr>
            <w:tcW w:w="559" w:type="dxa"/>
            <w:tcBorders>
              <w:top w:val="nil"/>
              <w:left w:val="nil"/>
              <w:bottom w:val="single" w:sz="4" w:space="0" w:color="auto"/>
              <w:right w:val="nil"/>
            </w:tcBorders>
            <w:shd w:val="clear" w:color="auto" w:fill="F3F9FA"/>
            <w:vAlign w:val="center"/>
          </w:tcPr>
          <w:p w14:paraId="41CE4B02" w14:textId="48828394" w:rsidR="00F87B84" w:rsidRPr="0041562F" w:rsidRDefault="00F87B84" w:rsidP="005D3108">
            <w:pPr>
              <w:spacing w:before="0" w:after="0"/>
              <w:jc w:val="center"/>
              <w:rPr>
                <w:rFonts w:asciiTheme="minorHAnsi" w:hAnsiTheme="minorHAnsi" w:cstheme="minorHAnsi"/>
                <w:sz w:val="14"/>
                <w:szCs w:val="14"/>
              </w:rPr>
            </w:pPr>
            <w:r>
              <w:rPr>
                <w:color w:val="000000"/>
                <w:sz w:val="14"/>
                <w:szCs w:val="14"/>
              </w:rPr>
              <w:t>30</w:t>
            </w:r>
          </w:p>
        </w:tc>
        <w:tc>
          <w:tcPr>
            <w:tcW w:w="559" w:type="dxa"/>
            <w:tcBorders>
              <w:top w:val="nil"/>
              <w:left w:val="nil"/>
              <w:bottom w:val="single" w:sz="4" w:space="0" w:color="auto"/>
              <w:right w:val="nil"/>
            </w:tcBorders>
            <w:shd w:val="clear" w:color="auto" w:fill="F3F9FA"/>
            <w:vAlign w:val="center"/>
          </w:tcPr>
          <w:p w14:paraId="22205CCD" w14:textId="2DCD0C5D"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59" w:type="dxa"/>
            <w:tcBorders>
              <w:top w:val="nil"/>
              <w:left w:val="nil"/>
              <w:bottom w:val="single" w:sz="4" w:space="0" w:color="auto"/>
              <w:right w:val="nil"/>
            </w:tcBorders>
            <w:shd w:val="clear" w:color="auto" w:fill="F3F9FA"/>
            <w:vAlign w:val="center"/>
          </w:tcPr>
          <w:p w14:paraId="4E94EC7A" w14:textId="39008344" w:rsidR="00F87B84" w:rsidRPr="0041562F" w:rsidRDefault="00F87B84" w:rsidP="005D3108">
            <w:pPr>
              <w:spacing w:before="0" w:after="0"/>
              <w:jc w:val="center"/>
              <w:rPr>
                <w:color w:val="000000"/>
                <w:sz w:val="14"/>
                <w:szCs w:val="14"/>
              </w:rPr>
            </w:pPr>
            <w:r>
              <w:rPr>
                <w:color w:val="000000"/>
                <w:sz w:val="14"/>
                <w:szCs w:val="14"/>
              </w:rPr>
              <w:t>15</w:t>
            </w:r>
          </w:p>
        </w:tc>
        <w:tc>
          <w:tcPr>
            <w:tcW w:w="559" w:type="dxa"/>
            <w:tcBorders>
              <w:top w:val="nil"/>
              <w:left w:val="nil"/>
              <w:bottom w:val="single" w:sz="4" w:space="0" w:color="auto"/>
              <w:right w:val="nil"/>
            </w:tcBorders>
            <w:shd w:val="clear" w:color="auto" w:fill="F3F9FA"/>
            <w:vAlign w:val="center"/>
          </w:tcPr>
          <w:p w14:paraId="4240F384" w14:textId="396B4D96" w:rsidR="00F87B84" w:rsidRPr="000E0B31" w:rsidRDefault="00F87B84" w:rsidP="005D3108">
            <w:pPr>
              <w:spacing w:before="0" w:after="0"/>
              <w:jc w:val="center"/>
              <w:rPr>
                <w:color w:val="000000"/>
                <w:sz w:val="14"/>
                <w:szCs w:val="14"/>
              </w:rPr>
            </w:pPr>
            <w:r>
              <w:rPr>
                <w:color w:val="000000"/>
                <w:sz w:val="14"/>
                <w:szCs w:val="14"/>
              </w:rPr>
              <w:sym w:font="Wingdings" w:char="F0FC"/>
            </w:r>
          </w:p>
        </w:tc>
        <w:tc>
          <w:tcPr>
            <w:tcW w:w="546" w:type="dxa"/>
            <w:tcBorders>
              <w:top w:val="nil"/>
              <w:left w:val="nil"/>
              <w:bottom w:val="single" w:sz="4" w:space="0" w:color="auto"/>
              <w:right w:val="nil"/>
            </w:tcBorders>
            <w:shd w:val="clear" w:color="auto" w:fill="F3F9FA"/>
            <w:vAlign w:val="center"/>
          </w:tcPr>
          <w:p w14:paraId="50CAD7B5" w14:textId="648C55DF" w:rsidR="00F87B84" w:rsidRPr="000E0B31" w:rsidRDefault="00F87B84" w:rsidP="005D3108">
            <w:pPr>
              <w:spacing w:before="0" w:after="0"/>
              <w:jc w:val="center"/>
              <w:rPr>
                <w:color w:val="000000"/>
                <w:sz w:val="14"/>
                <w:szCs w:val="14"/>
              </w:rPr>
            </w:pPr>
            <w:r>
              <w:rPr>
                <w:color w:val="000000"/>
                <w:sz w:val="14"/>
                <w:szCs w:val="14"/>
              </w:rPr>
              <w:sym w:font="Wingdings" w:char="F0FC"/>
            </w:r>
          </w:p>
        </w:tc>
      </w:tr>
    </w:tbl>
    <w:p w14:paraId="02C1E432" w14:textId="77777777" w:rsidR="009F33B9" w:rsidRDefault="009F33B9" w:rsidP="009F33B9">
      <w:pPr>
        <w:rPr>
          <w:rFonts w:cs="Segoe UI"/>
        </w:rPr>
      </w:pPr>
    </w:p>
    <w:p w14:paraId="635BF155" w14:textId="77777777" w:rsidR="009F33B9" w:rsidRPr="00FD6D2C" w:rsidRDefault="009F33B9" w:rsidP="009F33B9">
      <w:pPr>
        <w:rPr>
          <w:rFonts w:asciiTheme="minorHAnsi" w:hAnsiTheme="minorHAnsi" w:cstheme="minorHAnsi"/>
          <w:b/>
        </w:rPr>
      </w:pPr>
    </w:p>
    <w:p w14:paraId="135A5C3F" w14:textId="7C3FE8B1" w:rsidR="003816AC" w:rsidRPr="00CB093C" w:rsidRDefault="003816AC" w:rsidP="00E82D2E">
      <w:pPr>
        <w:rPr>
          <w:rFonts w:cs="Arial"/>
          <w:szCs w:val="22"/>
          <w:lang w:val="en-GB"/>
        </w:rPr>
      </w:pPr>
    </w:p>
    <w:p w14:paraId="5C292BD3" w14:textId="1238B2E1" w:rsidR="003816AC" w:rsidRPr="00CB093C" w:rsidRDefault="003816AC" w:rsidP="00E82D2E">
      <w:pPr>
        <w:rPr>
          <w:rFonts w:cs="Arial"/>
          <w:szCs w:val="22"/>
          <w:lang w:val="en-GB"/>
        </w:rPr>
      </w:pPr>
    </w:p>
    <w:p w14:paraId="24331CDC" w14:textId="0306CBE5" w:rsidR="003816AC" w:rsidRPr="00CB093C" w:rsidRDefault="003816AC" w:rsidP="00E82D2E">
      <w:pPr>
        <w:rPr>
          <w:rFonts w:cs="Arial"/>
          <w:szCs w:val="22"/>
          <w:lang w:val="en-GB"/>
        </w:rPr>
      </w:pPr>
    </w:p>
    <w:p w14:paraId="3CAEE560" w14:textId="77777777" w:rsidR="003816AC" w:rsidRPr="00CB093C" w:rsidRDefault="003816AC" w:rsidP="00E82D2E">
      <w:pPr>
        <w:rPr>
          <w:rFonts w:cs="Arial"/>
          <w:szCs w:val="22"/>
          <w:lang w:val="en-GB"/>
        </w:rPr>
        <w:sectPr w:rsidR="003816AC" w:rsidRPr="00CB093C" w:rsidSect="0085398A">
          <w:headerReference w:type="even" r:id="rId246"/>
          <w:headerReference w:type="default" r:id="rId247"/>
          <w:footerReference w:type="even" r:id="rId248"/>
          <w:footerReference w:type="default" r:id="rId249"/>
          <w:headerReference w:type="first" r:id="rId250"/>
          <w:footerReference w:type="first" r:id="rId251"/>
          <w:pgSz w:w="16838" w:h="11906" w:orient="landscape"/>
          <w:pgMar w:top="1440" w:right="1440" w:bottom="1440" w:left="1440" w:header="708" w:footer="708" w:gutter="0"/>
          <w:cols w:space="708"/>
          <w:docGrid w:linePitch="360"/>
        </w:sectPr>
      </w:pPr>
    </w:p>
    <w:p w14:paraId="15DFB6C3" w14:textId="29C6A2C5" w:rsidR="00253FE3" w:rsidRPr="00CB093C" w:rsidRDefault="001A2360" w:rsidP="001A2360">
      <w:pPr>
        <w:pStyle w:val="Heading2"/>
        <w:numPr>
          <w:ilvl w:val="0"/>
          <w:numId w:val="0"/>
        </w:numPr>
      </w:pPr>
      <w:bookmarkStart w:id="898" w:name="_Toc37775139"/>
      <w:bookmarkStart w:id="899" w:name="_Toc43987122"/>
      <w:r>
        <w:lastRenderedPageBreak/>
        <w:t>A3.1</w:t>
      </w:r>
      <w:r>
        <w:tab/>
      </w:r>
      <w:r w:rsidR="00253FE3">
        <w:t>E</w:t>
      </w:r>
      <w:r w:rsidR="00253FE3" w:rsidRPr="00CB093C">
        <w:t>nvironmental pressures</w:t>
      </w:r>
      <w:bookmarkEnd w:id="898"/>
      <w:bookmarkEnd w:id="899"/>
    </w:p>
    <w:p w14:paraId="4FCB4846" w14:textId="7F345BE1" w:rsidR="00273002" w:rsidRPr="00CB093C" w:rsidRDefault="001A2360" w:rsidP="001A2360">
      <w:pPr>
        <w:pStyle w:val="Heading3"/>
        <w:numPr>
          <w:ilvl w:val="0"/>
          <w:numId w:val="0"/>
        </w:numPr>
      </w:pPr>
      <w:bookmarkStart w:id="900" w:name="_Toc37775140"/>
      <w:bookmarkStart w:id="901" w:name="_Toc43987123"/>
      <w:r>
        <w:t>A3.1.1</w:t>
      </w:r>
      <w:r>
        <w:tab/>
      </w:r>
      <w:r w:rsidR="00273002" w:rsidRPr="00CB093C">
        <w:t>Tidal exposure</w:t>
      </w:r>
      <w:bookmarkEnd w:id="900"/>
      <w:bookmarkEnd w:id="901"/>
    </w:p>
    <w:p w14:paraId="5ECEAE40" w14:textId="344F3A40" w:rsidR="00273002" w:rsidRPr="00867E8C" w:rsidRDefault="00273002" w:rsidP="00273002">
      <w:pPr>
        <w:jc w:val="center"/>
        <w:rPr>
          <w:rFonts w:cs="Arial"/>
          <w:i/>
          <w:vanish/>
          <w:szCs w:val="22"/>
          <w:specVanish/>
        </w:rPr>
      </w:pPr>
      <w:bookmarkStart w:id="902" w:name="_Ref409806677"/>
      <w:bookmarkStart w:id="903" w:name="_Toc431494052"/>
      <w:bookmarkStart w:id="904" w:name="_Toc37787071"/>
      <w:bookmarkStart w:id="905" w:name="_Toc47600693"/>
      <w:r w:rsidRPr="00867E8C">
        <w:rPr>
          <w:rFonts w:cs="Arial"/>
          <w:szCs w:val="22"/>
        </w:rPr>
        <w:t xml:space="preserve">Table </w:t>
      </w:r>
      <w:r w:rsidR="00C506C7" w:rsidRPr="00867E8C">
        <w:rPr>
          <w:rFonts w:cs="Arial"/>
          <w:noProof/>
          <w:szCs w:val="22"/>
        </w:rPr>
        <w:fldChar w:fldCharType="begin"/>
      </w:r>
      <w:r w:rsidR="00C506C7" w:rsidRPr="00867E8C">
        <w:rPr>
          <w:rFonts w:cs="Arial"/>
          <w:noProof/>
          <w:szCs w:val="22"/>
        </w:rPr>
        <w:instrText xml:space="preserve"> SEQ Table \* ARABIC </w:instrText>
      </w:r>
      <w:r w:rsidR="00C506C7" w:rsidRPr="00867E8C">
        <w:rPr>
          <w:rFonts w:cs="Arial"/>
          <w:noProof/>
          <w:szCs w:val="22"/>
        </w:rPr>
        <w:fldChar w:fldCharType="separate"/>
      </w:r>
      <w:r w:rsidR="0067675D">
        <w:rPr>
          <w:rFonts w:cs="Arial"/>
          <w:noProof/>
          <w:szCs w:val="22"/>
        </w:rPr>
        <w:t>19</w:t>
      </w:r>
      <w:r w:rsidR="00C506C7" w:rsidRPr="00867E8C">
        <w:rPr>
          <w:rFonts w:cs="Arial"/>
          <w:noProof/>
          <w:szCs w:val="22"/>
        </w:rPr>
        <w:fldChar w:fldCharType="end"/>
      </w:r>
      <w:bookmarkEnd w:id="902"/>
      <w:r w:rsidRPr="00867E8C">
        <w:rPr>
          <w:rFonts w:cs="Arial"/>
          <w:szCs w:val="22"/>
        </w:rPr>
        <w:t xml:space="preserve">. </w:t>
      </w:r>
      <w:r w:rsidRPr="00867E8C">
        <w:rPr>
          <w:rFonts w:cs="Arial"/>
          <w:i/>
          <w:szCs w:val="22"/>
        </w:rPr>
        <w:t xml:space="preserve">Height of intertidal monitoring meadows/sites above </w:t>
      </w:r>
      <w:r w:rsidR="00C215FC" w:rsidRPr="00867E8C">
        <w:rPr>
          <w:rFonts w:cs="Arial"/>
          <w:i/>
          <w:szCs w:val="22"/>
        </w:rPr>
        <w:t>l</w:t>
      </w:r>
      <w:r w:rsidRPr="00867E8C">
        <w:rPr>
          <w:rFonts w:cs="Arial"/>
          <w:i/>
          <w:szCs w:val="22"/>
        </w:rPr>
        <w:t xml:space="preserve">owest </w:t>
      </w:r>
      <w:r w:rsidR="00C215FC" w:rsidRPr="00867E8C">
        <w:rPr>
          <w:rFonts w:cs="Arial"/>
          <w:i/>
          <w:szCs w:val="22"/>
        </w:rPr>
        <w:t>a</w:t>
      </w:r>
      <w:r w:rsidRPr="00867E8C">
        <w:rPr>
          <w:rFonts w:cs="Arial"/>
          <w:i/>
          <w:szCs w:val="22"/>
        </w:rPr>
        <w:t xml:space="preserve">stronomical </w:t>
      </w:r>
      <w:r w:rsidR="00C215FC" w:rsidRPr="00867E8C">
        <w:rPr>
          <w:rFonts w:cs="Arial"/>
          <w:i/>
          <w:szCs w:val="22"/>
        </w:rPr>
        <w:t>t</w:t>
      </w:r>
      <w:r w:rsidRPr="00867E8C">
        <w:rPr>
          <w:rFonts w:cs="Arial"/>
          <w:i/>
          <w:szCs w:val="22"/>
        </w:rPr>
        <w:t>ide (LAT) and annual daytime tidal exposure (total hours) when meadows become exposed at a low tide.</w:t>
      </w:r>
      <w:bookmarkEnd w:id="903"/>
      <w:bookmarkEnd w:id="904"/>
      <w:bookmarkEnd w:id="905"/>
      <w:r w:rsidRPr="00867E8C">
        <w:rPr>
          <w:rFonts w:cs="Arial"/>
          <w:i/>
          <w:szCs w:val="22"/>
        </w:rPr>
        <w:t xml:space="preserve"> </w:t>
      </w:r>
    </w:p>
    <w:p w14:paraId="26D81027" w14:textId="643837D5" w:rsidR="00DE79BD" w:rsidRPr="00867E8C" w:rsidRDefault="00273002" w:rsidP="00DE79BD">
      <w:pPr>
        <w:jc w:val="center"/>
        <w:rPr>
          <w:rFonts w:cs="Arial"/>
          <w:i/>
          <w:szCs w:val="22"/>
        </w:rPr>
      </w:pPr>
      <w:r w:rsidRPr="00867E8C">
        <w:rPr>
          <w:rFonts w:cs="Arial"/>
          <w:i/>
          <w:szCs w:val="22"/>
        </w:rPr>
        <w:t xml:space="preserve"> Year is June</w:t>
      </w:r>
      <w:r w:rsidR="005C4C83" w:rsidRPr="00867E8C">
        <w:rPr>
          <w:rFonts w:cs="Arial"/>
          <w:i/>
          <w:szCs w:val="22"/>
        </w:rPr>
        <w:t>–</w:t>
      </w:r>
      <w:r w:rsidRPr="00867E8C">
        <w:rPr>
          <w:rFonts w:cs="Arial"/>
          <w:i/>
          <w:szCs w:val="22"/>
        </w:rPr>
        <w:t>May. Observed tidal heights courtesy Maritime Safety Queensland, 201</w:t>
      </w:r>
      <w:r w:rsidR="009F33B9" w:rsidRPr="00867E8C">
        <w:rPr>
          <w:rFonts w:cs="Arial"/>
          <w:i/>
          <w:szCs w:val="22"/>
        </w:rPr>
        <w:t>9</w:t>
      </w:r>
      <w:r w:rsidRPr="00867E8C">
        <w:rPr>
          <w:rFonts w:cs="Arial"/>
          <w:i/>
          <w:szCs w:val="22"/>
        </w:rPr>
        <w:t xml:space="preserve">. NB: Meadow heights have not yet been determined in the far northern Cape York. </w:t>
      </w:r>
    </w:p>
    <w:tbl>
      <w:tblPr>
        <w:tblW w:w="9886" w:type="dxa"/>
        <w:jc w:val="center"/>
        <w:tblLook w:val="04A0" w:firstRow="1" w:lastRow="0" w:firstColumn="1" w:lastColumn="0" w:noHBand="0" w:noVBand="1"/>
      </w:tblPr>
      <w:tblGrid>
        <w:gridCol w:w="718"/>
        <w:gridCol w:w="705"/>
        <w:gridCol w:w="1084"/>
        <w:gridCol w:w="971"/>
        <w:gridCol w:w="1362"/>
        <w:gridCol w:w="1244"/>
        <w:gridCol w:w="1340"/>
        <w:gridCol w:w="1195"/>
        <w:gridCol w:w="1267"/>
      </w:tblGrid>
      <w:tr w:rsidR="009F33B9" w:rsidRPr="00867E8C" w14:paraId="1B7D45EE" w14:textId="77777777" w:rsidTr="00FC3D7F">
        <w:trPr>
          <w:trHeight w:val="276"/>
          <w:jc w:val="center"/>
        </w:trPr>
        <w:tc>
          <w:tcPr>
            <w:tcW w:w="718" w:type="dxa"/>
            <w:tcBorders>
              <w:top w:val="single" w:sz="4" w:space="0" w:color="auto"/>
              <w:bottom w:val="single" w:sz="4" w:space="0" w:color="auto"/>
            </w:tcBorders>
            <w:shd w:val="clear" w:color="auto" w:fill="BBE0E3"/>
            <w:vAlign w:val="center"/>
            <w:hideMark/>
          </w:tcPr>
          <w:p w14:paraId="67530EB2" w14:textId="77777777" w:rsidR="009F33B9" w:rsidRPr="00867E8C" w:rsidRDefault="009F33B9" w:rsidP="005D3108">
            <w:pPr>
              <w:spacing w:before="0" w:after="0"/>
              <w:jc w:val="center"/>
              <w:rPr>
                <w:rFonts w:cs="Arial"/>
                <w:b/>
                <w:color w:val="000000"/>
                <w:szCs w:val="22"/>
              </w:rPr>
            </w:pPr>
            <w:r w:rsidRPr="00867E8C">
              <w:rPr>
                <w:rFonts w:cs="Arial"/>
                <w:b/>
                <w:color w:val="000000"/>
                <w:szCs w:val="22"/>
              </w:rPr>
              <w:t>NRM</w:t>
            </w:r>
          </w:p>
        </w:tc>
        <w:tc>
          <w:tcPr>
            <w:tcW w:w="705" w:type="dxa"/>
            <w:tcBorders>
              <w:top w:val="single" w:sz="4" w:space="0" w:color="auto"/>
              <w:bottom w:val="single" w:sz="4" w:space="0" w:color="auto"/>
            </w:tcBorders>
            <w:shd w:val="clear" w:color="auto" w:fill="BBE0E3"/>
            <w:noWrap/>
            <w:vAlign w:val="center"/>
            <w:hideMark/>
          </w:tcPr>
          <w:p w14:paraId="7867BDB1" w14:textId="77777777" w:rsidR="009F33B9" w:rsidRPr="00867E8C" w:rsidRDefault="009F33B9" w:rsidP="005D3108">
            <w:pPr>
              <w:spacing w:before="0" w:after="0"/>
              <w:jc w:val="center"/>
              <w:rPr>
                <w:rFonts w:cs="Arial"/>
                <w:b/>
                <w:color w:val="000000"/>
                <w:szCs w:val="22"/>
              </w:rPr>
            </w:pPr>
            <w:r w:rsidRPr="00867E8C">
              <w:rPr>
                <w:rFonts w:cs="Arial"/>
                <w:b/>
                <w:color w:val="000000"/>
                <w:szCs w:val="22"/>
              </w:rPr>
              <w:t>Site</w:t>
            </w:r>
          </w:p>
        </w:tc>
        <w:tc>
          <w:tcPr>
            <w:tcW w:w="1084" w:type="dxa"/>
            <w:tcBorders>
              <w:top w:val="single" w:sz="4" w:space="0" w:color="auto"/>
              <w:bottom w:val="single" w:sz="4" w:space="0" w:color="auto"/>
            </w:tcBorders>
            <w:shd w:val="clear" w:color="auto" w:fill="BBE0E3"/>
            <w:vAlign w:val="center"/>
            <w:hideMark/>
          </w:tcPr>
          <w:p w14:paraId="3EE5393F" w14:textId="77777777" w:rsidR="009F33B9" w:rsidRPr="00867E8C" w:rsidRDefault="009F33B9" w:rsidP="005D3108">
            <w:pPr>
              <w:spacing w:before="0" w:after="0"/>
              <w:jc w:val="center"/>
              <w:rPr>
                <w:rFonts w:cs="Arial"/>
                <w:color w:val="000000"/>
                <w:szCs w:val="22"/>
              </w:rPr>
            </w:pPr>
            <w:r w:rsidRPr="00867E8C">
              <w:rPr>
                <w:rFonts w:cs="Arial"/>
                <w:b/>
                <w:color w:val="000000"/>
                <w:szCs w:val="22"/>
              </w:rPr>
              <w:t xml:space="preserve">Meadow height </w:t>
            </w:r>
            <w:r w:rsidRPr="00867E8C">
              <w:rPr>
                <w:rFonts w:cs="Arial"/>
                <w:color w:val="000000"/>
                <w:szCs w:val="22"/>
              </w:rPr>
              <w:t>(above LAT)</w:t>
            </w:r>
          </w:p>
        </w:tc>
        <w:tc>
          <w:tcPr>
            <w:tcW w:w="971" w:type="dxa"/>
            <w:tcBorders>
              <w:top w:val="single" w:sz="4" w:space="0" w:color="auto"/>
              <w:bottom w:val="single" w:sz="4" w:space="0" w:color="auto"/>
            </w:tcBorders>
            <w:shd w:val="clear" w:color="auto" w:fill="BBE0E3"/>
            <w:vAlign w:val="center"/>
            <w:hideMark/>
          </w:tcPr>
          <w:p w14:paraId="7AD1E8CB" w14:textId="77777777" w:rsidR="009F33B9" w:rsidRPr="00867E8C" w:rsidRDefault="009F33B9" w:rsidP="005D3108">
            <w:pPr>
              <w:spacing w:before="0" w:after="0"/>
              <w:jc w:val="center"/>
              <w:rPr>
                <w:rFonts w:cs="Arial"/>
                <w:color w:val="000000"/>
                <w:szCs w:val="22"/>
              </w:rPr>
            </w:pPr>
            <w:r w:rsidRPr="00867E8C">
              <w:rPr>
                <w:rFonts w:cs="Arial"/>
                <w:b/>
                <w:color w:val="000000"/>
                <w:szCs w:val="22"/>
              </w:rPr>
              <w:t xml:space="preserve">Site depth </w:t>
            </w:r>
            <w:r w:rsidRPr="00867E8C">
              <w:rPr>
                <w:rFonts w:cs="Arial"/>
                <w:color w:val="000000"/>
                <w:szCs w:val="22"/>
              </w:rPr>
              <w:t>(bMSL)</w:t>
            </w:r>
          </w:p>
        </w:tc>
        <w:tc>
          <w:tcPr>
            <w:tcW w:w="1362" w:type="dxa"/>
            <w:tcBorders>
              <w:top w:val="single" w:sz="4" w:space="0" w:color="auto"/>
              <w:bottom w:val="single" w:sz="4" w:space="0" w:color="auto"/>
            </w:tcBorders>
            <w:shd w:val="clear" w:color="auto" w:fill="BBE0E3"/>
            <w:noWrap/>
            <w:vAlign w:val="center"/>
            <w:hideMark/>
          </w:tcPr>
          <w:p w14:paraId="61DCBBD0" w14:textId="77777777" w:rsidR="009F33B9" w:rsidRPr="00867E8C" w:rsidRDefault="009F33B9" w:rsidP="005D3108">
            <w:pPr>
              <w:spacing w:before="0" w:after="0"/>
              <w:jc w:val="center"/>
              <w:rPr>
                <w:rFonts w:cs="Arial"/>
                <w:b/>
                <w:color w:val="000000"/>
                <w:szCs w:val="22"/>
              </w:rPr>
            </w:pPr>
            <w:r w:rsidRPr="00867E8C">
              <w:rPr>
                <w:rFonts w:cs="Arial"/>
                <w:b/>
                <w:color w:val="000000"/>
                <w:szCs w:val="22"/>
              </w:rPr>
              <w:t>Meadow height (above LAT) relative to Standard Port</w:t>
            </w:r>
          </w:p>
        </w:tc>
        <w:tc>
          <w:tcPr>
            <w:tcW w:w="1244" w:type="dxa"/>
            <w:tcBorders>
              <w:top w:val="single" w:sz="4" w:space="0" w:color="auto"/>
              <w:bottom w:val="single" w:sz="4" w:space="0" w:color="auto"/>
            </w:tcBorders>
            <w:shd w:val="clear" w:color="auto" w:fill="BBE0E3"/>
            <w:vAlign w:val="center"/>
            <w:hideMark/>
          </w:tcPr>
          <w:p w14:paraId="6C1E155E" w14:textId="77777777" w:rsidR="009F33B9" w:rsidRPr="00867E8C" w:rsidRDefault="009F33B9" w:rsidP="005D3108">
            <w:pPr>
              <w:spacing w:before="0" w:after="0"/>
              <w:jc w:val="center"/>
              <w:rPr>
                <w:rFonts w:cs="Arial"/>
                <w:color w:val="000000"/>
                <w:szCs w:val="22"/>
              </w:rPr>
            </w:pPr>
            <w:r w:rsidRPr="00867E8C">
              <w:rPr>
                <w:rFonts w:cs="Arial"/>
                <w:b/>
                <w:color w:val="000000"/>
                <w:szCs w:val="22"/>
              </w:rPr>
              <w:t xml:space="preserve">Annual median hours exposed during daylight </w:t>
            </w:r>
            <w:r w:rsidRPr="00867E8C">
              <w:rPr>
                <w:rFonts w:cs="Arial"/>
                <w:color w:val="000000"/>
                <w:szCs w:val="22"/>
              </w:rPr>
              <w:t>(long-term)</w:t>
            </w:r>
          </w:p>
        </w:tc>
        <w:tc>
          <w:tcPr>
            <w:tcW w:w="1340" w:type="dxa"/>
            <w:tcBorders>
              <w:top w:val="single" w:sz="4" w:space="0" w:color="auto"/>
              <w:bottom w:val="single" w:sz="4" w:space="0" w:color="auto"/>
            </w:tcBorders>
            <w:shd w:val="clear" w:color="auto" w:fill="BBE0E3"/>
            <w:noWrap/>
            <w:vAlign w:val="center"/>
            <w:hideMark/>
          </w:tcPr>
          <w:p w14:paraId="5926AC2F" w14:textId="7C11752C" w:rsidR="009F33B9" w:rsidRPr="00867E8C" w:rsidRDefault="00887319" w:rsidP="005D3108">
            <w:pPr>
              <w:spacing w:before="0" w:after="0"/>
              <w:jc w:val="center"/>
              <w:rPr>
                <w:rFonts w:cs="Arial"/>
                <w:color w:val="000000"/>
                <w:szCs w:val="22"/>
              </w:rPr>
            </w:pPr>
            <w:r>
              <w:rPr>
                <w:rFonts w:cs="Arial"/>
                <w:b/>
                <w:color w:val="000000"/>
                <w:szCs w:val="22"/>
              </w:rPr>
              <w:t xml:space="preserve">Per cent </w:t>
            </w:r>
            <w:r w:rsidR="009F33B9" w:rsidRPr="00867E8C">
              <w:rPr>
                <w:rFonts w:cs="Arial"/>
                <w:b/>
                <w:color w:val="000000"/>
                <w:szCs w:val="22"/>
              </w:rPr>
              <w:t xml:space="preserve">of annual daylight hours meadow exposed </w:t>
            </w:r>
            <w:r w:rsidR="009F33B9" w:rsidRPr="00867E8C">
              <w:rPr>
                <w:rFonts w:cs="Arial"/>
                <w:color w:val="000000"/>
                <w:szCs w:val="22"/>
              </w:rPr>
              <w:t>(long-term)</w:t>
            </w:r>
          </w:p>
        </w:tc>
        <w:tc>
          <w:tcPr>
            <w:tcW w:w="1195" w:type="dxa"/>
            <w:tcBorders>
              <w:top w:val="single" w:sz="4" w:space="0" w:color="auto"/>
              <w:bottom w:val="single" w:sz="4" w:space="0" w:color="auto"/>
            </w:tcBorders>
            <w:shd w:val="clear" w:color="auto" w:fill="BBE0E3"/>
            <w:noWrap/>
            <w:vAlign w:val="center"/>
            <w:hideMark/>
          </w:tcPr>
          <w:p w14:paraId="3BA87CCA" w14:textId="77777777" w:rsidR="009F33B9" w:rsidRPr="00867E8C" w:rsidRDefault="009F33B9" w:rsidP="005D3108">
            <w:pPr>
              <w:spacing w:before="0" w:after="0"/>
              <w:jc w:val="center"/>
              <w:rPr>
                <w:rFonts w:cs="Arial"/>
                <w:b/>
                <w:color w:val="000000"/>
                <w:szCs w:val="22"/>
              </w:rPr>
            </w:pPr>
            <w:r w:rsidRPr="00867E8C">
              <w:rPr>
                <w:rFonts w:cs="Arial"/>
                <w:b/>
                <w:color w:val="000000"/>
                <w:szCs w:val="22"/>
              </w:rPr>
              <w:t xml:space="preserve">Annual daytime exposure 2018–19 </w:t>
            </w:r>
            <w:r w:rsidRPr="00867E8C">
              <w:rPr>
                <w:rFonts w:cs="Arial"/>
                <w:color w:val="000000"/>
                <w:szCs w:val="22"/>
              </w:rPr>
              <w:t>(hrs)</w:t>
            </w:r>
          </w:p>
        </w:tc>
        <w:tc>
          <w:tcPr>
            <w:tcW w:w="1267" w:type="dxa"/>
            <w:tcBorders>
              <w:top w:val="single" w:sz="4" w:space="0" w:color="auto"/>
              <w:bottom w:val="single" w:sz="4" w:space="0" w:color="auto"/>
            </w:tcBorders>
            <w:shd w:val="clear" w:color="auto" w:fill="BBE0E3"/>
          </w:tcPr>
          <w:p w14:paraId="49C81292" w14:textId="322622CA" w:rsidR="009F33B9" w:rsidRPr="00867E8C" w:rsidRDefault="00887319" w:rsidP="005D3108">
            <w:pPr>
              <w:spacing w:before="0" w:after="0"/>
              <w:jc w:val="center"/>
              <w:rPr>
                <w:rFonts w:cs="Arial"/>
                <w:b/>
                <w:color w:val="000000"/>
                <w:szCs w:val="22"/>
              </w:rPr>
            </w:pPr>
            <w:r>
              <w:rPr>
                <w:rFonts w:cs="Arial"/>
                <w:b/>
                <w:color w:val="000000"/>
                <w:szCs w:val="22"/>
              </w:rPr>
              <w:t xml:space="preserve">Per cent </w:t>
            </w:r>
            <w:r w:rsidR="009F33B9" w:rsidRPr="00867E8C">
              <w:rPr>
                <w:rFonts w:cs="Arial"/>
                <w:b/>
                <w:color w:val="000000"/>
                <w:szCs w:val="22"/>
              </w:rPr>
              <w:t>of annual daylight hours meadow exposed (2018–19)</w:t>
            </w:r>
          </w:p>
        </w:tc>
      </w:tr>
      <w:tr w:rsidR="009F33B9" w:rsidRPr="00867E8C" w14:paraId="4959D023" w14:textId="77777777" w:rsidTr="00FC3D7F">
        <w:trPr>
          <w:trHeight w:val="276"/>
          <w:jc w:val="center"/>
        </w:trPr>
        <w:tc>
          <w:tcPr>
            <w:tcW w:w="718" w:type="dxa"/>
            <w:vMerge w:val="restart"/>
            <w:tcBorders>
              <w:top w:val="single" w:sz="4" w:space="0" w:color="auto"/>
            </w:tcBorders>
            <w:shd w:val="clear" w:color="auto" w:fill="E7F3F4"/>
            <w:textDirection w:val="btLr"/>
            <w:vAlign w:val="center"/>
            <w:hideMark/>
          </w:tcPr>
          <w:p w14:paraId="2FF07B9A" w14:textId="77777777" w:rsidR="009F33B9" w:rsidRPr="00867E8C" w:rsidRDefault="009F33B9" w:rsidP="005D3108">
            <w:pPr>
              <w:spacing w:before="0" w:after="0"/>
              <w:ind w:left="113" w:right="113"/>
              <w:jc w:val="center"/>
              <w:rPr>
                <w:rFonts w:cs="Arial"/>
                <w:color w:val="000000"/>
                <w:szCs w:val="22"/>
              </w:rPr>
            </w:pPr>
            <w:r w:rsidRPr="00867E8C">
              <w:rPr>
                <w:rFonts w:cs="Arial"/>
                <w:color w:val="000000"/>
                <w:szCs w:val="22"/>
              </w:rPr>
              <w:t>Cape York</w:t>
            </w:r>
          </w:p>
        </w:tc>
        <w:tc>
          <w:tcPr>
            <w:tcW w:w="705" w:type="dxa"/>
            <w:tcBorders>
              <w:top w:val="single" w:sz="4" w:space="0" w:color="auto"/>
            </w:tcBorders>
            <w:shd w:val="clear" w:color="auto" w:fill="E7F3F4"/>
            <w:vAlign w:val="center"/>
            <w:hideMark/>
          </w:tcPr>
          <w:p w14:paraId="37C28901" w14:textId="77777777" w:rsidR="009F33B9" w:rsidRPr="00867E8C" w:rsidRDefault="009F33B9" w:rsidP="005D3108">
            <w:pPr>
              <w:spacing w:before="0" w:after="0"/>
              <w:jc w:val="center"/>
              <w:rPr>
                <w:rFonts w:cs="Arial"/>
                <w:color w:val="000000"/>
                <w:szCs w:val="22"/>
              </w:rPr>
            </w:pPr>
            <w:r w:rsidRPr="00867E8C">
              <w:rPr>
                <w:rFonts w:cs="Arial"/>
                <w:color w:val="000000"/>
                <w:szCs w:val="22"/>
              </w:rPr>
              <w:t>AP1</w:t>
            </w:r>
          </w:p>
        </w:tc>
        <w:tc>
          <w:tcPr>
            <w:tcW w:w="1084" w:type="dxa"/>
            <w:tcBorders>
              <w:top w:val="single" w:sz="4" w:space="0" w:color="auto"/>
            </w:tcBorders>
            <w:shd w:val="clear" w:color="auto" w:fill="E7F3F4"/>
            <w:vAlign w:val="center"/>
            <w:hideMark/>
          </w:tcPr>
          <w:p w14:paraId="3D0EBED5" w14:textId="77777777" w:rsidR="009F33B9" w:rsidRPr="00867E8C" w:rsidRDefault="009F33B9" w:rsidP="005D3108">
            <w:pPr>
              <w:spacing w:before="0" w:after="0"/>
              <w:jc w:val="center"/>
              <w:rPr>
                <w:rFonts w:cs="Arial"/>
                <w:color w:val="000000"/>
                <w:szCs w:val="22"/>
              </w:rPr>
            </w:pPr>
            <w:r w:rsidRPr="00867E8C">
              <w:rPr>
                <w:rFonts w:cs="Arial"/>
                <w:color w:val="000000"/>
                <w:szCs w:val="22"/>
              </w:rPr>
              <w:t>0.46</w:t>
            </w:r>
          </w:p>
        </w:tc>
        <w:tc>
          <w:tcPr>
            <w:tcW w:w="971" w:type="dxa"/>
            <w:tcBorders>
              <w:top w:val="single" w:sz="4" w:space="0" w:color="auto"/>
            </w:tcBorders>
            <w:shd w:val="clear" w:color="auto" w:fill="E7F3F4"/>
            <w:vAlign w:val="center"/>
            <w:hideMark/>
          </w:tcPr>
          <w:p w14:paraId="79BBD88D" w14:textId="77777777" w:rsidR="009F33B9" w:rsidRPr="00867E8C" w:rsidRDefault="009F33B9" w:rsidP="005D3108">
            <w:pPr>
              <w:spacing w:before="0" w:after="0"/>
              <w:jc w:val="center"/>
              <w:rPr>
                <w:rFonts w:cs="Arial"/>
                <w:color w:val="000000"/>
                <w:szCs w:val="22"/>
              </w:rPr>
            </w:pPr>
            <w:r w:rsidRPr="00867E8C">
              <w:rPr>
                <w:rFonts w:cs="Arial"/>
                <w:color w:val="000000"/>
                <w:szCs w:val="22"/>
              </w:rPr>
              <w:t>1.02</w:t>
            </w:r>
          </w:p>
        </w:tc>
        <w:tc>
          <w:tcPr>
            <w:tcW w:w="1362" w:type="dxa"/>
            <w:tcBorders>
              <w:top w:val="single" w:sz="4" w:space="0" w:color="auto"/>
            </w:tcBorders>
            <w:shd w:val="clear" w:color="auto" w:fill="E7F3F4"/>
            <w:vAlign w:val="center"/>
            <w:hideMark/>
          </w:tcPr>
          <w:p w14:paraId="366F9DFF" w14:textId="77777777" w:rsidR="009F33B9" w:rsidRPr="00867E8C" w:rsidRDefault="009F33B9" w:rsidP="005D3108">
            <w:pPr>
              <w:spacing w:before="0" w:after="0"/>
              <w:jc w:val="center"/>
              <w:rPr>
                <w:rFonts w:cs="Arial"/>
                <w:color w:val="000000"/>
                <w:szCs w:val="22"/>
              </w:rPr>
            </w:pPr>
            <w:r w:rsidRPr="00867E8C">
              <w:rPr>
                <w:rFonts w:cs="Arial"/>
                <w:color w:val="000000"/>
                <w:szCs w:val="22"/>
              </w:rPr>
              <w:t>0.46</w:t>
            </w:r>
          </w:p>
        </w:tc>
        <w:tc>
          <w:tcPr>
            <w:tcW w:w="1244" w:type="dxa"/>
            <w:tcBorders>
              <w:top w:val="single" w:sz="4" w:space="0" w:color="auto"/>
            </w:tcBorders>
            <w:shd w:val="clear" w:color="auto" w:fill="E7F3F4"/>
            <w:vAlign w:val="center"/>
            <w:hideMark/>
          </w:tcPr>
          <w:p w14:paraId="730D1461" w14:textId="77777777" w:rsidR="009F33B9" w:rsidRPr="00867E8C" w:rsidRDefault="009F33B9" w:rsidP="005D3108">
            <w:pPr>
              <w:spacing w:before="0" w:after="0"/>
              <w:jc w:val="center"/>
              <w:rPr>
                <w:rFonts w:cs="Arial"/>
                <w:color w:val="000000"/>
                <w:szCs w:val="22"/>
              </w:rPr>
            </w:pPr>
            <w:r w:rsidRPr="00867E8C">
              <w:rPr>
                <w:rFonts w:cs="Arial"/>
                <w:color w:val="000000"/>
                <w:szCs w:val="22"/>
              </w:rPr>
              <w:t>64.17</w:t>
            </w:r>
          </w:p>
        </w:tc>
        <w:tc>
          <w:tcPr>
            <w:tcW w:w="1340" w:type="dxa"/>
            <w:tcBorders>
              <w:top w:val="single" w:sz="4" w:space="0" w:color="auto"/>
            </w:tcBorders>
            <w:shd w:val="clear" w:color="auto" w:fill="E7F3F4"/>
            <w:vAlign w:val="center"/>
            <w:hideMark/>
          </w:tcPr>
          <w:p w14:paraId="57D3B7C9" w14:textId="77777777" w:rsidR="009F33B9" w:rsidRPr="00867E8C" w:rsidRDefault="009F33B9" w:rsidP="005D3108">
            <w:pPr>
              <w:spacing w:before="0" w:after="0"/>
              <w:jc w:val="center"/>
              <w:rPr>
                <w:rFonts w:cs="Arial"/>
                <w:color w:val="000000"/>
                <w:szCs w:val="22"/>
              </w:rPr>
            </w:pPr>
            <w:r w:rsidRPr="00867E8C">
              <w:rPr>
                <w:rFonts w:cs="Arial"/>
                <w:color w:val="000000"/>
                <w:szCs w:val="22"/>
              </w:rPr>
              <w:t>1.46</w:t>
            </w:r>
          </w:p>
        </w:tc>
        <w:tc>
          <w:tcPr>
            <w:tcW w:w="1195" w:type="dxa"/>
            <w:tcBorders>
              <w:top w:val="single" w:sz="4" w:space="0" w:color="auto"/>
            </w:tcBorders>
            <w:shd w:val="clear" w:color="auto" w:fill="E7F3F4"/>
            <w:noWrap/>
            <w:vAlign w:val="center"/>
            <w:hideMark/>
          </w:tcPr>
          <w:p w14:paraId="703E7F3F" w14:textId="77777777" w:rsidR="009F33B9" w:rsidRPr="00867E8C" w:rsidRDefault="009F33B9" w:rsidP="005D3108">
            <w:pPr>
              <w:spacing w:before="0" w:after="0"/>
              <w:jc w:val="center"/>
              <w:rPr>
                <w:rFonts w:cs="Arial"/>
                <w:szCs w:val="22"/>
              </w:rPr>
            </w:pPr>
            <w:r w:rsidRPr="00867E8C">
              <w:rPr>
                <w:rFonts w:cs="Arial"/>
                <w:szCs w:val="22"/>
              </w:rPr>
              <w:t>43.50</w:t>
            </w:r>
          </w:p>
        </w:tc>
        <w:tc>
          <w:tcPr>
            <w:tcW w:w="1267" w:type="dxa"/>
            <w:tcBorders>
              <w:top w:val="single" w:sz="4" w:space="0" w:color="auto"/>
            </w:tcBorders>
            <w:shd w:val="clear" w:color="auto" w:fill="E7F3F4"/>
            <w:vAlign w:val="center"/>
          </w:tcPr>
          <w:p w14:paraId="28A47CF0" w14:textId="77777777" w:rsidR="009F33B9" w:rsidRPr="00867E8C" w:rsidRDefault="009F33B9" w:rsidP="005D3108">
            <w:pPr>
              <w:spacing w:before="0" w:after="0"/>
              <w:jc w:val="center"/>
              <w:rPr>
                <w:rFonts w:cs="Arial"/>
                <w:szCs w:val="22"/>
              </w:rPr>
            </w:pPr>
            <w:r w:rsidRPr="00867E8C">
              <w:rPr>
                <w:rFonts w:cs="Arial"/>
                <w:szCs w:val="22"/>
              </w:rPr>
              <w:t>0.99</w:t>
            </w:r>
          </w:p>
        </w:tc>
      </w:tr>
      <w:tr w:rsidR="009F33B9" w:rsidRPr="00867E8C" w14:paraId="1A78F8E7" w14:textId="77777777" w:rsidTr="00FC3D7F">
        <w:trPr>
          <w:trHeight w:val="276"/>
          <w:jc w:val="center"/>
        </w:trPr>
        <w:tc>
          <w:tcPr>
            <w:tcW w:w="0" w:type="auto"/>
            <w:vMerge/>
            <w:tcBorders>
              <w:bottom w:val="single" w:sz="4" w:space="0" w:color="auto"/>
            </w:tcBorders>
            <w:vAlign w:val="center"/>
            <w:hideMark/>
          </w:tcPr>
          <w:p w14:paraId="1592BD76"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E7F3F4"/>
            <w:vAlign w:val="center"/>
            <w:hideMark/>
          </w:tcPr>
          <w:p w14:paraId="397B1D2D" w14:textId="77777777" w:rsidR="009F33B9" w:rsidRPr="00867E8C" w:rsidRDefault="009F33B9" w:rsidP="005D3108">
            <w:pPr>
              <w:spacing w:before="0" w:after="0"/>
              <w:jc w:val="center"/>
              <w:rPr>
                <w:rFonts w:cs="Arial"/>
                <w:color w:val="000000"/>
                <w:szCs w:val="22"/>
              </w:rPr>
            </w:pPr>
            <w:r w:rsidRPr="00867E8C">
              <w:rPr>
                <w:rFonts w:cs="Arial"/>
                <w:color w:val="000000"/>
                <w:szCs w:val="22"/>
              </w:rPr>
              <w:t>AP2</w:t>
            </w:r>
          </w:p>
        </w:tc>
        <w:tc>
          <w:tcPr>
            <w:tcW w:w="1084" w:type="dxa"/>
            <w:tcBorders>
              <w:bottom w:val="single" w:sz="4" w:space="0" w:color="auto"/>
            </w:tcBorders>
            <w:shd w:val="clear" w:color="auto" w:fill="E7F3F4"/>
            <w:vAlign w:val="center"/>
            <w:hideMark/>
          </w:tcPr>
          <w:p w14:paraId="431B21DC" w14:textId="77777777" w:rsidR="009F33B9" w:rsidRPr="00867E8C" w:rsidRDefault="009F33B9" w:rsidP="005D3108">
            <w:pPr>
              <w:spacing w:before="0" w:after="0"/>
              <w:jc w:val="center"/>
              <w:rPr>
                <w:rFonts w:cs="Arial"/>
                <w:color w:val="000000"/>
                <w:szCs w:val="22"/>
              </w:rPr>
            </w:pPr>
            <w:r w:rsidRPr="00867E8C">
              <w:rPr>
                <w:rFonts w:cs="Arial"/>
                <w:color w:val="000000"/>
                <w:szCs w:val="22"/>
              </w:rPr>
              <w:t>0.46</w:t>
            </w:r>
          </w:p>
        </w:tc>
        <w:tc>
          <w:tcPr>
            <w:tcW w:w="971" w:type="dxa"/>
            <w:tcBorders>
              <w:bottom w:val="single" w:sz="4" w:space="0" w:color="auto"/>
            </w:tcBorders>
            <w:shd w:val="clear" w:color="auto" w:fill="E7F3F4"/>
            <w:vAlign w:val="center"/>
            <w:hideMark/>
          </w:tcPr>
          <w:p w14:paraId="02EEDEF3" w14:textId="77777777" w:rsidR="009F33B9" w:rsidRPr="00867E8C" w:rsidRDefault="009F33B9" w:rsidP="005D3108">
            <w:pPr>
              <w:spacing w:before="0" w:after="0"/>
              <w:jc w:val="center"/>
              <w:rPr>
                <w:rFonts w:cs="Arial"/>
                <w:color w:val="000000"/>
                <w:szCs w:val="22"/>
              </w:rPr>
            </w:pPr>
            <w:r w:rsidRPr="00867E8C">
              <w:rPr>
                <w:rFonts w:cs="Arial"/>
                <w:color w:val="000000"/>
                <w:szCs w:val="22"/>
              </w:rPr>
              <w:t>1.02</w:t>
            </w:r>
          </w:p>
        </w:tc>
        <w:tc>
          <w:tcPr>
            <w:tcW w:w="1362" w:type="dxa"/>
            <w:tcBorders>
              <w:bottom w:val="single" w:sz="4" w:space="0" w:color="auto"/>
            </w:tcBorders>
            <w:shd w:val="clear" w:color="auto" w:fill="E7F3F4"/>
            <w:vAlign w:val="center"/>
            <w:hideMark/>
          </w:tcPr>
          <w:p w14:paraId="20EBC494" w14:textId="77777777" w:rsidR="009F33B9" w:rsidRPr="00867E8C" w:rsidRDefault="009F33B9" w:rsidP="005D3108">
            <w:pPr>
              <w:spacing w:before="0" w:after="0"/>
              <w:jc w:val="center"/>
              <w:rPr>
                <w:rFonts w:cs="Arial"/>
                <w:color w:val="000000"/>
                <w:szCs w:val="22"/>
              </w:rPr>
            </w:pPr>
            <w:r w:rsidRPr="00867E8C">
              <w:rPr>
                <w:rFonts w:cs="Arial"/>
                <w:color w:val="000000"/>
                <w:szCs w:val="22"/>
              </w:rPr>
              <w:t>0.46</w:t>
            </w:r>
          </w:p>
        </w:tc>
        <w:tc>
          <w:tcPr>
            <w:tcW w:w="1244" w:type="dxa"/>
            <w:tcBorders>
              <w:bottom w:val="single" w:sz="4" w:space="0" w:color="auto"/>
            </w:tcBorders>
            <w:shd w:val="clear" w:color="auto" w:fill="E7F3F4"/>
            <w:vAlign w:val="center"/>
            <w:hideMark/>
          </w:tcPr>
          <w:p w14:paraId="0FE1335E" w14:textId="77777777" w:rsidR="009F33B9" w:rsidRPr="00867E8C" w:rsidRDefault="009F33B9" w:rsidP="005D3108">
            <w:pPr>
              <w:spacing w:before="0" w:after="0"/>
              <w:jc w:val="center"/>
              <w:rPr>
                <w:rFonts w:cs="Arial"/>
                <w:color w:val="000000"/>
                <w:szCs w:val="22"/>
              </w:rPr>
            </w:pPr>
            <w:r w:rsidRPr="00867E8C">
              <w:rPr>
                <w:rFonts w:cs="Arial"/>
                <w:color w:val="000000"/>
                <w:szCs w:val="22"/>
              </w:rPr>
              <w:t>64.17</w:t>
            </w:r>
          </w:p>
        </w:tc>
        <w:tc>
          <w:tcPr>
            <w:tcW w:w="1340" w:type="dxa"/>
            <w:tcBorders>
              <w:bottom w:val="single" w:sz="4" w:space="0" w:color="auto"/>
            </w:tcBorders>
            <w:shd w:val="clear" w:color="auto" w:fill="E7F3F4"/>
            <w:vAlign w:val="center"/>
            <w:hideMark/>
          </w:tcPr>
          <w:p w14:paraId="4D7C6035" w14:textId="77777777" w:rsidR="009F33B9" w:rsidRPr="00867E8C" w:rsidRDefault="009F33B9" w:rsidP="005D3108">
            <w:pPr>
              <w:spacing w:before="0" w:after="0"/>
              <w:jc w:val="center"/>
              <w:rPr>
                <w:rFonts w:cs="Arial"/>
                <w:color w:val="000000"/>
                <w:szCs w:val="22"/>
              </w:rPr>
            </w:pPr>
            <w:r w:rsidRPr="00867E8C">
              <w:rPr>
                <w:rFonts w:cs="Arial"/>
                <w:color w:val="000000"/>
                <w:szCs w:val="22"/>
              </w:rPr>
              <w:t>1.46</w:t>
            </w:r>
          </w:p>
        </w:tc>
        <w:tc>
          <w:tcPr>
            <w:tcW w:w="1195" w:type="dxa"/>
            <w:tcBorders>
              <w:bottom w:val="single" w:sz="4" w:space="0" w:color="auto"/>
            </w:tcBorders>
            <w:shd w:val="clear" w:color="auto" w:fill="E7F3F4"/>
            <w:noWrap/>
            <w:vAlign w:val="center"/>
            <w:hideMark/>
          </w:tcPr>
          <w:p w14:paraId="3783C0E6" w14:textId="77777777" w:rsidR="009F33B9" w:rsidRPr="00867E8C" w:rsidRDefault="009F33B9" w:rsidP="005D3108">
            <w:pPr>
              <w:spacing w:before="0" w:after="0"/>
              <w:jc w:val="center"/>
              <w:rPr>
                <w:rFonts w:cs="Arial"/>
                <w:szCs w:val="22"/>
              </w:rPr>
            </w:pPr>
            <w:r w:rsidRPr="00867E8C">
              <w:rPr>
                <w:rFonts w:cs="Arial"/>
                <w:szCs w:val="22"/>
              </w:rPr>
              <w:t>43.50</w:t>
            </w:r>
          </w:p>
        </w:tc>
        <w:tc>
          <w:tcPr>
            <w:tcW w:w="1267" w:type="dxa"/>
            <w:tcBorders>
              <w:bottom w:val="single" w:sz="4" w:space="0" w:color="auto"/>
            </w:tcBorders>
            <w:shd w:val="clear" w:color="auto" w:fill="E7F3F4"/>
            <w:vAlign w:val="center"/>
          </w:tcPr>
          <w:p w14:paraId="548C03C1" w14:textId="77777777" w:rsidR="009F33B9" w:rsidRPr="00867E8C" w:rsidRDefault="009F33B9" w:rsidP="005D3108">
            <w:pPr>
              <w:spacing w:before="0" w:after="0"/>
              <w:jc w:val="center"/>
              <w:rPr>
                <w:rFonts w:cs="Arial"/>
                <w:szCs w:val="22"/>
              </w:rPr>
            </w:pPr>
            <w:r w:rsidRPr="00867E8C">
              <w:rPr>
                <w:rFonts w:cs="Arial"/>
                <w:szCs w:val="22"/>
              </w:rPr>
              <w:t>0.99</w:t>
            </w:r>
          </w:p>
        </w:tc>
      </w:tr>
      <w:tr w:rsidR="009F33B9" w:rsidRPr="00867E8C" w14:paraId="33430D93" w14:textId="77777777" w:rsidTr="00FC3D7F">
        <w:trPr>
          <w:trHeight w:val="276"/>
          <w:jc w:val="center"/>
        </w:trPr>
        <w:tc>
          <w:tcPr>
            <w:tcW w:w="718" w:type="dxa"/>
            <w:vMerge w:val="restart"/>
            <w:tcBorders>
              <w:top w:val="single" w:sz="4" w:space="0" w:color="auto"/>
            </w:tcBorders>
            <w:shd w:val="clear" w:color="auto" w:fill="F3F9FA"/>
            <w:textDirection w:val="btLr"/>
            <w:vAlign w:val="center"/>
            <w:hideMark/>
          </w:tcPr>
          <w:p w14:paraId="2DF17E13" w14:textId="77777777" w:rsidR="009F33B9" w:rsidRPr="00867E8C" w:rsidRDefault="009F33B9" w:rsidP="005D3108">
            <w:pPr>
              <w:spacing w:before="0" w:after="0"/>
              <w:ind w:left="113" w:right="113"/>
              <w:jc w:val="center"/>
              <w:rPr>
                <w:rFonts w:cs="Arial"/>
                <w:color w:val="000000"/>
                <w:szCs w:val="22"/>
              </w:rPr>
            </w:pPr>
            <w:r w:rsidRPr="00867E8C">
              <w:rPr>
                <w:rFonts w:cs="Arial"/>
                <w:color w:val="000000"/>
                <w:szCs w:val="22"/>
              </w:rPr>
              <w:t>Wet Tropics</w:t>
            </w:r>
          </w:p>
        </w:tc>
        <w:tc>
          <w:tcPr>
            <w:tcW w:w="705" w:type="dxa"/>
            <w:tcBorders>
              <w:top w:val="single" w:sz="4" w:space="0" w:color="auto"/>
            </w:tcBorders>
            <w:shd w:val="clear" w:color="auto" w:fill="F3F9FA"/>
            <w:vAlign w:val="center"/>
            <w:hideMark/>
          </w:tcPr>
          <w:p w14:paraId="247E75AC" w14:textId="77777777" w:rsidR="009F33B9" w:rsidRPr="00867E8C" w:rsidRDefault="009F33B9" w:rsidP="005D3108">
            <w:pPr>
              <w:spacing w:before="0" w:after="0"/>
              <w:jc w:val="center"/>
              <w:rPr>
                <w:rFonts w:cs="Arial"/>
                <w:color w:val="000000"/>
                <w:szCs w:val="22"/>
              </w:rPr>
            </w:pPr>
            <w:r w:rsidRPr="00867E8C">
              <w:rPr>
                <w:rFonts w:cs="Arial"/>
                <w:color w:val="000000"/>
                <w:szCs w:val="22"/>
              </w:rPr>
              <w:t>LI1</w:t>
            </w:r>
          </w:p>
        </w:tc>
        <w:tc>
          <w:tcPr>
            <w:tcW w:w="1084" w:type="dxa"/>
            <w:tcBorders>
              <w:top w:val="single" w:sz="4" w:space="0" w:color="auto"/>
            </w:tcBorders>
            <w:shd w:val="clear" w:color="auto" w:fill="F3F9FA"/>
            <w:vAlign w:val="center"/>
            <w:hideMark/>
          </w:tcPr>
          <w:p w14:paraId="22750800" w14:textId="77777777" w:rsidR="009F33B9" w:rsidRPr="00867E8C" w:rsidRDefault="009F33B9" w:rsidP="005D3108">
            <w:pPr>
              <w:spacing w:before="0" w:after="0"/>
              <w:jc w:val="center"/>
              <w:rPr>
                <w:rFonts w:cs="Arial"/>
                <w:color w:val="000000"/>
                <w:szCs w:val="22"/>
              </w:rPr>
            </w:pPr>
            <w:r w:rsidRPr="00867E8C">
              <w:rPr>
                <w:rFonts w:cs="Arial"/>
                <w:color w:val="000000"/>
                <w:szCs w:val="22"/>
              </w:rPr>
              <w:t>0.65</w:t>
            </w:r>
          </w:p>
        </w:tc>
        <w:tc>
          <w:tcPr>
            <w:tcW w:w="971" w:type="dxa"/>
            <w:tcBorders>
              <w:top w:val="single" w:sz="4" w:space="0" w:color="auto"/>
            </w:tcBorders>
            <w:shd w:val="clear" w:color="auto" w:fill="F3F9FA"/>
            <w:vAlign w:val="center"/>
            <w:hideMark/>
          </w:tcPr>
          <w:p w14:paraId="7EC0AA88" w14:textId="77777777" w:rsidR="009F33B9" w:rsidRPr="00867E8C" w:rsidRDefault="009F33B9" w:rsidP="005D3108">
            <w:pPr>
              <w:spacing w:before="0" w:after="0"/>
              <w:jc w:val="center"/>
              <w:rPr>
                <w:rFonts w:cs="Arial"/>
                <w:color w:val="000000"/>
                <w:szCs w:val="22"/>
              </w:rPr>
            </w:pPr>
            <w:r w:rsidRPr="00867E8C">
              <w:rPr>
                <w:rFonts w:cs="Arial"/>
                <w:color w:val="000000"/>
                <w:szCs w:val="22"/>
              </w:rPr>
              <w:t>0.90</w:t>
            </w:r>
          </w:p>
        </w:tc>
        <w:tc>
          <w:tcPr>
            <w:tcW w:w="1362" w:type="dxa"/>
            <w:tcBorders>
              <w:top w:val="single" w:sz="4" w:space="0" w:color="auto"/>
            </w:tcBorders>
            <w:shd w:val="clear" w:color="auto" w:fill="F3F9FA"/>
            <w:vAlign w:val="center"/>
            <w:hideMark/>
          </w:tcPr>
          <w:p w14:paraId="405B2EFF" w14:textId="77777777" w:rsidR="009F33B9" w:rsidRPr="00867E8C" w:rsidRDefault="009F33B9" w:rsidP="005D3108">
            <w:pPr>
              <w:spacing w:before="0" w:after="0"/>
              <w:jc w:val="center"/>
              <w:rPr>
                <w:rFonts w:cs="Arial"/>
                <w:color w:val="000000"/>
                <w:szCs w:val="22"/>
              </w:rPr>
            </w:pPr>
            <w:r w:rsidRPr="00867E8C">
              <w:rPr>
                <w:rFonts w:cs="Arial"/>
                <w:color w:val="000000"/>
                <w:szCs w:val="22"/>
              </w:rPr>
              <w:t>0.65</w:t>
            </w:r>
          </w:p>
        </w:tc>
        <w:tc>
          <w:tcPr>
            <w:tcW w:w="1244" w:type="dxa"/>
            <w:tcBorders>
              <w:top w:val="single" w:sz="4" w:space="0" w:color="auto"/>
            </w:tcBorders>
            <w:shd w:val="clear" w:color="auto" w:fill="F3F9FA"/>
            <w:vAlign w:val="center"/>
            <w:hideMark/>
          </w:tcPr>
          <w:p w14:paraId="0526D5C4" w14:textId="77777777" w:rsidR="009F33B9" w:rsidRPr="00867E8C" w:rsidRDefault="009F33B9" w:rsidP="005D3108">
            <w:pPr>
              <w:spacing w:before="0" w:after="0"/>
              <w:jc w:val="center"/>
              <w:rPr>
                <w:rFonts w:cs="Arial"/>
                <w:color w:val="000000"/>
                <w:szCs w:val="22"/>
              </w:rPr>
            </w:pPr>
            <w:r w:rsidRPr="00867E8C">
              <w:rPr>
                <w:rFonts w:cs="Arial"/>
                <w:color w:val="000000"/>
                <w:szCs w:val="22"/>
              </w:rPr>
              <w:t>176.67</w:t>
            </w:r>
          </w:p>
        </w:tc>
        <w:tc>
          <w:tcPr>
            <w:tcW w:w="1340" w:type="dxa"/>
            <w:tcBorders>
              <w:top w:val="single" w:sz="4" w:space="0" w:color="auto"/>
            </w:tcBorders>
            <w:shd w:val="clear" w:color="auto" w:fill="F3F9FA"/>
            <w:vAlign w:val="center"/>
            <w:hideMark/>
          </w:tcPr>
          <w:p w14:paraId="3DE36D9C" w14:textId="77777777" w:rsidR="009F33B9" w:rsidRPr="00867E8C" w:rsidRDefault="009F33B9" w:rsidP="005D3108">
            <w:pPr>
              <w:spacing w:before="0" w:after="0"/>
              <w:jc w:val="center"/>
              <w:rPr>
                <w:rFonts w:cs="Arial"/>
                <w:color w:val="000000"/>
                <w:szCs w:val="22"/>
              </w:rPr>
            </w:pPr>
            <w:r w:rsidRPr="00867E8C">
              <w:rPr>
                <w:rFonts w:cs="Arial"/>
                <w:color w:val="000000"/>
                <w:szCs w:val="22"/>
              </w:rPr>
              <w:t>4.03</w:t>
            </w:r>
          </w:p>
        </w:tc>
        <w:tc>
          <w:tcPr>
            <w:tcW w:w="1195" w:type="dxa"/>
            <w:tcBorders>
              <w:top w:val="single" w:sz="4" w:space="0" w:color="auto"/>
            </w:tcBorders>
            <w:shd w:val="clear" w:color="auto" w:fill="F3F9FA"/>
            <w:noWrap/>
            <w:vAlign w:val="center"/>
            <w:hideMark/>
          </w:tcPr>
          <w:p w14:paraId="58F0D65B" w14:textId="77777777" w:rsidR="009F33B9" w:rsidRPr="00867E8C" w:rsidRDefault="009F33B9" w:rsidP="005D3108">
            <w:pPr>
              <w:spacing w:before="0" w:after="0"/>
              <w:jc w:val="center"/>
              <w:rPr>
                <w:rFonts w:cs="Arial"/>
                <w:szCs w:val="22"/>
              </w:rPr>
            </w:pPr>
            <w:r w:rsidRPr="00867E8C">
              <w:rPr>
                <w:rFonts w:cs="Arial"/>
                <w:szCs w:val="22"/>
              </w:rPr>
              <w:t>132.50</w:t>
            </w:r>
          </w:p>
        </w:tc>
        <w:tc>
          <w:tcPr>
            <w:tcW w:w="1267" w:type="dxa"/>
            <w:tcBorders>
              <w:top w:val="single" w:sz="4" w:space="0" w:color="auto"/>
            </w:tcBorders>
            <w:shd w:val="clear" w:color="auto" w:fill="F3F9FA"/>
            <w:vAlign w:val="center"/>
          </w:tcPr>
          <w:p w14:paraId="2A5C5559" w14:textId="77777777" w:rsidR="009F33B9" w:rsidRPr="00867E8C" w:rsidRDefault="009F33B9" w:rsidP="005D3108">
            <w:pPr>
              <w:spacing w:before="0" w:after="0"/>
              <w:jc w:val="center"/>
              <w:rPr>
                <w:rFonts w:cs="Arial"/>
                <w:szCs w:val="22"/>
              </w:rPr>
            </w:pPr>
            <w:r w:rsidRPr="00867E8C">
              <w:rPr>
                <w:rFonts w:cs="Arial"/>
                <w:szCs w:val="22"/>
              </w:rPr>
              <w:t>3.03</w:t>
            </w:r>
          </w:p>
        </w:tc>
      </w:tr>
      <w:tr w:rsidR="009F33B9" w:rsidRPr="00867E8C" w14:paraId="58F169BD" w14:textId="77777777" w:rsidTr="00FC3D7F">
        <w:trPr>
          <w:trHeight w:val="276"/>
          <w:jc w:val="center"/>
        </w:trPr>
        <w:tc>
          <w:tcPr>
            <w:tcW w:w="0" w:type="auto"/>
            <w:vMerge/>
            <w:vAlign w:val="center"/>
            <w:hideMark/>
          </w:tcPr>
          <w:p w14:paraId="2E6C9CDE"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17CAA9AC" w14:textId="77777777" w:rsidR="009F33B9" w:rsidRPr="00867E8C" w:rsidRDefault="009F33B9" w:rsidP="005D3108">
            <w:pPr>
              <w:spacing w:before="0" w:after="0"/>
              <w:jc w:val="center"/>
              <w:rPr>
                <w:rFonts w:cs="Arial"/>
                <w:color w:val="000000"/>
                <w:szCs w:val="22"/>
              </w:rPr>
            </w:pPr>
            <w:r w:rsidRPr="00867E8C">
              <w:rPr>
                <w:rFonts w:cs="Arial"/>
                <w:color w:val="000000"/>
                <w:szCs w:val="22"/>
              </w:rPr>
              <w:t>YP1</w:t>
            </w:r>
          </w:p>
        </w:tc>
        <w:tc>
          <w:tcPr>
            <w:tcW w:w="1084" w:type="dxa"/>
            <w:shd w:val="clear" w:color="auto" w:fill="F3F9FA"/>
            <w:vAlign w:val="center"/>
            <w:hideMark/>
          </w:tcPr>
          <w:p w14:paraId="54DBE7BA" w14:textId="77777777" w:rsidR="009F33B9" w:rsidRPr="00867E8C" w:rsidRDefault="009F33B9" w:rsidP="005D3108">
            <w:pPr>
              <w:spacing w:before="0" w:after="0"/>
              <w:jc w:val="center"/>
              <w:rPr>
                <w:rFonts w:cs="Arial"/>
                <w:color w:val="000000"/>
                <w:szCs w:val="22"/>
              </w:rPr>
            </w:pPr>
            <w:r w:rsidRPr="00867E8C">
              <w:rPr>
                <w:rFonts w:cs="Arial"/>
                <w:color w:val="000000"/>
                <w:szCs w:val="22"/>
              </w:rPr>
              <w:t>0.64</w:t>
            </w:r>
          </w:p>
        </w:tc>
        <w:tc>
          <w:tcPr>
            <w:tcW w:w="971" w:type="dxa"/>
            <w:shd w:val="clear" w:color="auto" w:fill="F3F9FA"/>
            <w:vAlign w:val="center"/>
            <w:hideMark/>
          </w:tcPr>
          <w:p w14:paraId="1355A5E9" w14:textId="77777777" w:rsidR="009F33B9" w:rsidRPr="00867E8C" w:rsidRDefault="009F33B9" w:rsidP="005D3108">
            <w:pPr>
              <w:spacing w:before="0" w:after="0"/>
              <w:jc w:val="center"/>
              <w:rPr>
                <w:rFonts w:cs="Arial"/>
                <w:color w:val="000000"/>
                <w:szCs w:val="22"/>
              </w:rPr>
            </w:pPr>
            <w:r w:rsidRPr="00867E8C">
              <w:rPr>
                <w:rFonts w:cs="Arial"/>
                <w:color w:val="000000"/>
                <w:szCs w:val="22"/>
              </w:rPr>
              <w:t>0.94</w:t>
            </w:r>
          </w:p>
        </w:tc>
        <w:tc>
          <w:tcPr>
            <w:tcW w:w="1362" w:type="dxa"/>
            <w:shd w:val="clear" w:color="auto" w:fill="F3F9FA"/>
            <w:vAlign w:val="center"/>
            <w:hideMark/>
          </w:tcPr>
          <w:p w14:paraId="57CA9F3B" w14:textId="77777777" w:rsidR="009F33B9" w:rsidRPr="00867E8C" w:rsidRDefault="009F33B9" w:rsidP="005D3108">
            <w:pPr>
              <w:spacing w:before="0" w:after="0"/>
              <w:jc w:val="center"/>
              <w:rPr>
                <w:rFonts w:cs="Arial"/>
                <w:color w:val="000000"/>
                <w:szCs w:val="22"/>
              </w:rPr>
            </w:pPr>
            <w:r w:rsidRPr="00867E8C">
              <w:rPr>
                <w:rFonts w:cs="Arial"/>
                <w:color w:val="000000"/>
                <w:szCs w:val="22"/>
              </w:rPr>
              <w:t>0.64</w:t>
            </w:r>
          </w:p>
        </w:tc>
        <w:tc>
          <w:tcPr>
            <w:tcW w:w="1244" w:type="dxa"/>
            <w:shd w:val="clear" w:color="auto" w:fill="F3F9FA"/>
            <w:vAlign w:val="center"/>
            <w:hideMark/>
          </w:tcPr>
          <w:p w14:paraId="134B6E22" w14:textId="77777777" w:rsidR="009F33B9" w:rsidRPr="00867E8C" w:rsidRDefault="009F33B9" w:rsidP="005D3108">
            <w:pPr>
              <w:spacing w:before="0" w:after="0"/>
              <w:jc w:val="center"/>
              <w:rPr>
                <w:rFonts w:cs="Arial"/>
                <w:color w:val="000000"/>
                <w:szCs w:val="22"/>
              </w:rPr>
            </w:pPr>
            <w:r w:rsidRPr="00867E8C">
              <w:rPr>
                <w:rFonts w:cs="Arial"/>
                <w:color w:val="000000"/>
                <w:szCs w:val="22"/>
              </w:rPr>
              <w:t>169.67</w:t>
            </w:r>
          </w:p>
        </w:tc>
        <w:tc>
          <w:tcPr>
            <w:tcW w:w="1340" w:type="dxa"/>
            <w:shd w:val="clear" w:color="auto" w:fill="F3F9FA"/>
            <w:vAlign w:val="center"/>
            <w:hideMark/>
          </w:tcPr>
          <w:p w14:paraId="4FCCBDB5" w14:textId="77777777" w:rsidR="009F33B9" w:rsidRPr="00867E8C" w:rsidRDefault="009F33B9" w:rsidP="005D3108">
            <w:pPr>
              <w:spacing w:before="0" w:after="0"/>
              <w:jc w:val="center"/>
              <w:rPr>
                <w:rFonts w:cs="Arial"/>
                <w:color w:val="000000"/>
                <w:szCs w:val="22"/>
              </w:rPr>
            </w:pPr>
            <w:r w:rsidRPr="00867E8C">
              <w:rPr>
                <w:rFonts w:cs="Arial"/>
                <w:color w:val="000000"/>
                <w:szCs w:val="22"/>
              </w:rPr>
              <w:t>3.87</w:t>
            </w:r>
          </w:p>
        </w:tc>
        <w:tc>
          <w:tcPr>
            <w:tcW w:w="1195" w:type="dxa"/>
            <w:shd w:val="clear" w:color="auto" w:fill="F3F9FA"/>
            <w:noWrap/>
            <w:vAlign w:val="center"/>
            <w:hideMark/>
          </w:tcPr>
          <w:p w14:paraId="7C969ACC" w14:textId="77777777" w:rsidR="009F33B9" w:rsidRPr="00867E8C" w:rsidRDefault="009F33B9" w:rsidP="005D3108">
            <w:pPr>
              <w:spacing w:before="0" w:after="0"/>
              <w:jc w:val="center"/>
              <w:rPr>
                <w:rFonts w:cs="Arial"/>
                <w:szCs w:val="22"/>
              </w:rPr>
            </w:pPr>
            <w:r w:rsidRPr="00867E8C">
              <w:rPr>
                <w:rFonts w:cs="Arial"/>
                <w:szCs w:val="22"/>
              </w:rPr>
              <w:t>127.00</w:t>
            </w:r>
          </w:p>
        </w:tc>
        <w:tc>
          <w:tcPr>
            <w:tcW w:w="1267" w:type="dxa"/>
            <w:shd w:val="clear" w:color="auto" w:fill="F3F9FA"/>
            <w:vAlign w:val="center"/>
          </w:tcPr>
          <w:p w14:paraId="38BD8057" w14:textId="77777777" w:rsidR="009F33B9" w:rsidRPr="00867E8C" w:rsidRDefault="009F33B9" w:rsidP="005D3108">
            <w:pPr>
              <w:spacing w:before="0" w:after="0"/>
              <w:jc w:val="center"/>
              <w:rPr>
                <w:rFonts w:cs="Arial"/>
                <w:szCs w:val="22"/>
              </w:rPr>
            </w:pPr>
            <w:r w:rsidRPr="00867E8C">
              <w:rPr>
                <w:rFonts w:cs="Arial"/>
                <w:szCs w:val="22"/>
              </w:rPr>
              <w:t>2.90</w:t>
            </w:r>
          </w:p>
        </w:tc>
      </w:tr>
      <w:tr w:rsidR="009F33B9" w:rsidRPr="00867E8C" w14:paraId="5F937F1C" w14:textId="77777777" w:rsidTr="00FC3D7F">
        <w:trPr>
          <w:trHeight w:val="276"/>
          <w:jc w:val="center"/>
        </w:trPr>
        <w:tc>
          <w:tcPr>
            <w:tcW w:w="0" w:type="auto"/>
            <w:vMerge/>
            <w:vAlign w:val="center"/>
            <w:hideMark/>
          </w:tcPr>
          <w:p w14:paraId="40725339"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7CEF8A32" w14:textId="77777777" w:rsidR="009F33B9" w:rsidRPr="00867E8C" w:rsidRDefault="009F33B9" w:rsidP="005D3108">
            <w:pPr>
              <w:spacing w:before="0" w:after="0"/>
              <w:jc w:val="center"/>
              <w:rPr>
                <w:rFonts w:cs="Arial"/>
                <w:color w:val="000000"/>
                <w:szCs w:val="22"/>
              </w:rPr>
            </w:pPr>
            <w:r w:rsidRPr="00867E8C">
              <w:rPr>
                <w:rFonts w:cs="Arial"/>
                <w:color w:val="000000"/>
                <w:szCs w:val="22"/>
              </w:rPr>
              <w:t>YP2</w:t>
            </w:r>
          </w:p>
        </w:tc>
        <w:tc>
          <w:tcPr>
            <w:tcW w:w="1084" w:type="dxa"/>
            <w:shd w:val="clear" w:color="auto" w:fill="F3F9FA"/>
            <w:vAlign w:val="center"/>
            <w:hideMark/>
          </w:tcPr>
          <w:p w14:paraId="0C958DDD" w14:textId="77777777" w:rsidR="009F33B9" w:rsidRPr="00867E8C" w:rsidRDefault="009F33B9" w:rsidP="005D3108">
            <w:pPr>
              <w:spacing w:before="0" w:after="0"/>
              <w:jc w:val="center"/>
              <w:rPr>
                <w:rFonts w:cs="Arial"/>
                <w:color w:val="000000"/>
                <w:szCs w:val="22"/>
              </w:rPr>
            </w:pPr>
            <w:r w:rsidRPr="00867E8C">
              <w:rPr>
                <w:rFonts w:cs="Arial"/>
                <w:color w:val="000000"/>
                <w:szCs w:val="22"/>
              </w:rPr>
              <w:t>0.52</w:t>
            </w:r>
          </w:p>
        </w:tc>
        <w:tc>
          <w:tcPr>
            <w:tcW w:w="971" w:type="dxa"/>
            <w:shd w:val="clear" w:color="auto" w:fill="F3F9FA"/>
            <w:vAlign w:val="center"/>
            <w:hideMark/>
          </w:tcPr>
          <w:p w14:paraId="607007C3" w14:textId="77777777" w:rsidR="009F33B9" w:rsidRPr="00867E8C" w:rsidRDefault="009F33B9" w:rsidP="005D3108">
            <w:pPr>
              <w:spacing w:before="0" w:after="0"/>
              <w:jc w:val="center"/>
              <w:rPr>
                <w:rFonts w:cs="Arial"/>
                <w:color w:val="000000"/>
                <w:szCs w:val="22"/>
              </w:rPr>
            </w:pPr>
            <w:r w:rsidRPr="00867E8C">
              <w:rPr>
                <w:rFonts w:cs="Arial"/>
                <w:color w:val="000000"/>
                <w:szCs w:val="22"/>
              </w:rPr>
              <w:t>1.06</w:t>
            </w:r>
          </w:p>
        </w:tc>
        <w:tc>
          <w:tcPr>
            <w:tcW w:w="1362" w:type="dxa"/>
            <w:shd w:val="clear" w:color="auto" w:fill="F3F9FA"/>
            <w:vAlign w:val="center"/>
            <w:hideMark/>
          </w:tcPr>
          <w:p w14:paraId="44E6B1AF" w14:textId="77777777" w:rsidR="009F33B9" w:rsidRPr="00867E8C" w:rsidRDefault="009F33B9" w:rsidP="005D3108">
            <w:pPr>
              <w:spacing w:before="0" w:after="0"/>
              <w:jc w:val="center"/>
              <w:rPr>
                <w:rFonts w:cs="Arial"/>
                <w:color w:val="000000"/>
                <w:szCs w:val="22"/>
              </w:rPr>
            </w:pPr>
            <w:r w:rsidRPr="00867E8C">
              <w:rPr>
                <w:rFonts w:cs="Arial"/>
                <w:color w:val="000000"/>
                <w:szCs w:val="22"/>
              </w:rPr>
              <w:t>0.52</w:t>
            </w:r>
          </w:p>
        </w:tc>
        <w:tc>
          <w:tcPr>
            <w:tcW w:w="1244" w:type="dxa"/>
            <w:shd w:val="clear" w:color="auto" w:fill="F3F9FA"/>
            <w:vAlign w:val="center"/>
            <w:hideMark/>
          </w:tcPr>
          <w:p w14:paraId="613B6B5A" w14:textId="77777777" w:rsidR="009F33B9" w:rsidRPr="00867E8C" w:rsidRDefault="009F33B9" w:rsidP="005D3108">
            <w:pPr>
              <w:spacing w:before="0" w:after="0"/>
              <w:jc w:val="center"/>
              <w:rPr>
                <w:rFonts w:cs="Arial"/>
                <w:color w:val="000000"/>
                <w:szCs w:val="22"/>
              </w:rPr>
            </w:pPr>
            <w:r w:rsidRPr="00867E8C">
              <w:rPr>
                <w:rFonts w:cs="Arial"/>
                <w:color w:val="000000"/>
                <w:szCs w:val="22"/>
              </w:rPr>
              <w:t>96.00</w:t>
            </w:r>
          </w:p>
        </w:tc>
        <w:tc>
          <w:tcPr>
            <w:tcW w:w="1340" w:type="dxa"/>
            <w:shd w:val="clear" w:color="auto" w:fill="F3F9FA"/>
            <w:vAlign w:val="center"/>
            <w:hideMark/>
          </w:tcPr>
          <w:p w14:paraId="3F92414C" w14:textId="77777777" w:rsidR="009F33B9" w:rsidRPr="00867E8C" w:rsidRDefault="009F33B9" w:rsidP="005D3108">
            <w:pPr>
              <w:spacing w:before="0" w:after="0"/>
              <w:jc w:val="center"/>
              <w:rPr>
                <w:rFonts w:cs="Arial"/>
                <w:color w:val="000000"/>
                <w:szCs w:val="22"/>
              </w:rPr>
            </w:pPr>
            <w:r w:rsidRPr="00867E8C">
              <w:rPr>
                <w:rFonts w:cs="Arial"/>
                <w:color w:val="000000"/>
                <w:szCs w:val="22"/>
              </w:rPr>
              <w:t>2.19</w:t>
            </w:r>
          </w:p>
        </w:tc>
        <w:tc>
          <w:tcPr>
            <w:tcW w:w="1195" w:type="dxa"/>
            <w:shd w:val="clear" w:color="auto" w:fill="F3F9FA"/>
            <w:noWrap/>
            <w:vAlign w:val="center"/>
            <w:hideMark/>
          </w:tcPr>
          <w:p w14:paraId="68DFE623" w14:textId="77777777" w:rsidR="009F33B9" w:rsidRPr="00867E8C" w:rsidRDefault="009F33B9" w:rsidP="005D3108">
            <w:pPr>
              <w:spacing w:before="0" w:after="0"/>
              <w:jc w:val="center"/>
              <w:rPr>
                <w:rFonts w:cs="Arial"/>
                <w:szCs w:val="22"/>
              </w:rPr>
            </w:pPr>
            <w:r w:rsidRPr="00867E8C">
              <w:rPr>
                <w:rFonts w:cs="Arial"/>
                <w:szCs w:val="22"/>
              </w:rPr>
              <w:t>72.00</w:t>
            </w:r>
          </w:p>
        </w:tc>
        <w:tc>
          <w:tcPr>
            <w:tcW w:w="1267" w:type="dxa"/>
            <w:shd w:val="clear" w:color="auto" w:fill="F3F9FA"/>
            <w:vAlign w:val="center"/>
          </w:tcPr>
          <w:p w14:paraId="708CAB46" w14:textId="77777777" w:rsidR="009F33B9" w:rsidRPr="00867E8C" w:rsidRDefault="009F33B9" w:rsidP="005D3108">
            <w:pPr>
              <w:spacing w:before="0" w:after="0"/>
              <w:jc w:val="center"/>
              <w:rPr>
                <w:rFonts w:cs="Arial"/>
                <w:szCs w:val="22"/>
              </w:rPr>
            </w:pPr>
            <w:r w:rsidRPr="00867E8C">
              <w:rPr>
                <w:rFonts w:cs="Arial"/>
                <w:szCs w:val="22"/>
              </w:rPr>
              <w:t>1.64</w:t>
            </w:r>
          </w:p>
        </w:tc>
      </w:tr>
      <w:tr w:rsidR="009F33B9" w:rsidRPr="00867E8C" w14:paraId="54CE46E9" w14:textId="77777777" w:rsidTr="00FC3D7F">
        <w:trPr>
          <w:trHeight w:val="276"/>
          <w:jc w:val="center"/>
        </w:trPr>
        <w:tc>
          <w:tcPr>
            <w:tcW w:w="0" w:type="auto"/>
            <w:vMerge/>
            <w:vAlign w:val="center"/>
            <w:hideMark/>
          </w:tcPr>
          <w:p w14:paraId="3880378E"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29E00905" w14:textId="77777777" w:rsidR="009F33B9" w:rsidRPr="00867E8C" w:rsidRDefault="009F33B9" w:rsidP="005D3108">
            <w:pPr>
              <w:spacing w:before="0" w:after="0"/>
              <w:jc w:val="center"/>
              <w:rPr>
                <w:rFonts w:cs="Arial"/>
                <w:color w:val="000000"/>
                <w:szCs w:val="22"/>
              </w:rPr>
            </w:pPr>
            <w:r w:rsidRPr="00867E8C">
              <w:rPr>
                <w:rFonts w:cs="Arial"/>
                <w:color w:val="000000"/>
                <w:szCs w:val="22"/>
              </w:rPr>
              <w:t>GI1</w:t>
            </w:r>
          </w:p>
        </w:tc>
        <w:tc>
          <w:tcPr>
            <w:tcW w:w="1084" w:type="dxa"/>
            <w:shd w:val="clear" w:color="auto" w:fill="F3F9FA"/>
            <w:vAlign w:val="center"/>
            <w:hideMark/>
          </w:tcPr>
          <w:p w14:paraId="12C6D4C5" w14:textId="77777777" w:rsidR="009F33B9" w:rsidRPr="00867E8C" w:rsidRDefault="009F33B9" w:rsidP="005D3108">
            <w:pPr>
              <w:spacing w:before="0" w:after="0"/>
              <w:jc w:val="center"/>
              <w:rPr>
                <w:rFonts w:cs="Arial"/>
                <w:color w:val="000000"/>
                <w:szCs w:val="22"/>
              </w:rPr>
            </w:pPr>
            <w:r w:rsidRPr="00867E8C">
              <w:rPr>
                <w:rFonts w:cs="Arial"/>
                <w:color w:val="000000"/>
                <w:szCs w:val="22"/>
              </w:rPr>
              <w:t>0.51</w:t>
            </w:r>
          </w:p>
        </w:tc>
        <w:tc>
          <w:tcPr>
            <w:tcW w:w="971" w:type="dxa"/>
            <w:shd w:val="clear" w:color="auto" w:fill="F3F9FA"/>
            <w:vAlign w:val="center"/>
            <w:hideMark/>
          </w:tcPr>
          <w:p w14:paraId="70DD35C5" w14:textId="77777777" w:rsidR="009F33B9" w:rsidRPr="00867E8C" w:rsidRDefault="009F33B9" w:rsidP="005D3108">
            <w:pPr>
              <w:spacing w:before="0" w:after="0"/>
              <w:jc w:val="center"/>
              <w:rPr>
                <w:rFonts w:cs="Arial"/>
                <w:color w:val="000000"/>
                <w:szCs w:val="22"/>
              </w:rPr>
            </w:pPr>
            <w:r w:rsidRPr="00867E8C">
              <w:rPr>
                <w:rFonts w:cs="Arial"/>
                <w:color w:val="000000"/>
                <w:szCs w:val="22"/>
              </w:rPr>
              <w:t>1.03</w:t>
            </w:r>
          </w:p>
        </w:tc>
        <w:tc>
          <w:tcPr>
            <w:tcW w:w="1362" w:type="dxa"/>
            <w:shd w:val="clear" w:color="auto" w:fill="F3F9FA"/>
            <w:vAlign w:val="center"/>
            <w:hideMark/>
          </w:tcPr>
          <w:p w14:paraId="7164CD36" w14:textId="77777777" w:rsidR="009F33B9" w:rsidRPr="00867E8C" w:rsidRDefault="009F33B9" w:rsidP="005D3108">
            <w:pPr>
              <w:spacing w:before="0" w:after="0"/>
              <w:jc w:val="center"/>
              <w:rPr>
                <w:rFonts w:cs="Arial"/>
                <w:color w:val="000000"/>
                <w:szCs w:val="22"/>
              </w:rPr>
            </w:pPr>
            <w:r w:rsidRPr="00867E8C">
              <w:rPr>
                <w:rFonts w:cs="Arial"/>
                <w:color w:val="000000"/>
                <w:szCs w:val="22"/>
              </w:rPr>
              <w:t>0.61</w:t>
            </w:r>
          </w:p>
        </w:tc>
        <w:tc>
          <w:tcPr>
            <w:tcW w:w="1244" w:type="dxa"/>
            <w:shd w:val="clear" w:color="auto" w:fill="F3F9FA"/>
            <w:vAlign w:val="center"/>
            <w:hideMark/>
          </w:tcPr>
          <w:p w14:paraId="43217A31" w14:textId="77777777" w:rsidR="009F33B9" w:rsidRPr="00867E8C" w:rsidRDefault="009F33B9" w:rsidP="005D3108">
            <w:pPr>
              <w:spacing w:before="0" w:after="0"/>
              <w:jc w:val="center"/>
              <w:rPr>
                <w:rFonts w:cs="Arial"/>
                <w:color w:val="000000"/>
                <w:szCs w:val="22"/>
              </w:rPr>
            </w:pPr>
            <w:r w:rsidRPr="00867E8C">
              <w:rPr>
                <w:rFonts w:cs="Arial"/>
                <w:color w:val="000000"/>
                <w:szCs w:val="22"/>
              </w:rPr>
              <w:t>118.25</w:t>
            </w:r>
          </w:p>
        </w:tc>
        <w:tc>
          <w:tcPr>
            <w:tcW w:w="1340" w:type="dxa"/>
            <w:shd w:val="clear" w:color="auto" w:fill="F3F9FA"/>
            <w:vAlign w:val="center"/>
            <w:hideMark/>
          </w:tcPr>
          <w:p w14:paraId="76598117" w14:textId="77777777" w:rsidR="009F33B9" w:rsidRPr="00867E8C" w:rsidRDefault="009F33B9" w:rsidP="005D3108">
            <w:pPr>
              <w:spacing w:before="0" w:after="0"/>
              <w:jc w:val="center"/>
              <w:rPr>
                <w:rFonts w:cs="Arial"/>
                <w:color w:val="000000"/>
                <w:szCs w:val="22"/>
              </w:rPr>
            </w:pPr>
            <w:r w:rsidRPr="00867E8C">
              <w:rPr>
                <w:rFonts w:cs="Arial"/>
                <w:color w:val="000000"/>
                <w:szCs w:val="22"/>
              </w:rPr>
              <w:t>2.70</w:t>
            </w:r>
          </w:p>
        </w:tc>
        <w:tc>
          <w:tcPr>
            <w:tcW w:w="1195" w:type="dxa"/>
            <w:shd w:val="clear" w:color="auto" w:fill="F3F9FA"/>
            <w:noWrap/>
            <w:vAlign w:val="center"/>
            <w:hideMark/>
          </w:tcPr>
          <w:p w14:paraId="62BA40A5" w14:textId="77777777" w:rsidR="009F33B9" w:rsidRPr="00867E8C" w:rsidRDefault="009F33B9" w:rsidP="005D3108">
            <w:pPr>
              <w:spacing w:before="0" w:after="0"/>
              <w:jc w:val="center"/>
              <w:rPr>
                <w:rFonts w:cs="Arial"/>
                <w:szCs w:val="22"/>
              </w:rPr>
            </w:pPr>
            <w:r w:rsidRPr="00867E8C">
              <w:rPr>
                <w:rFonts w:cs="Arial"/>
                <w:szCs w:val="22"/>
              </w:rPr>
              <w:t>107.00</w:t>
            </w:r>
          </w:p>
        </w:tc>
        <w:tc>
          <w:tcPr>
            <w:tcW w:w="1267" w:type="dxa"/>
            <w:shd w:val="clear" w:color="auto" w:fill="F3F9FA"/>
            <w:vAlign w:val="center"/>
          </w:tcPr>
          <w:p w14:paraId="1E4EEC5C" w14:textId="77777777" w:rsidR="009F33B9" w:rsidRPr="00867E8C" w:rsidRDefault="009F33B9" w:rsidP="005D3108">
            <w:pPr>
              <w:spacing w:before="0" w:after="0"/>
              <w:jc w:val="center"/>
              <w:rPr>
                <w:rFonts w:cs="Arial"/>
                <w:szCs w:val="22"/>
              </w:rPr>
            </w:pPr>
            <w:r w:rsidRPr="00867E8C">
              <w:rPr>
                <w:rFonts w:cs="Arial"/>
                <w:szCs w:val="22"/>
              </w:rPr>
              <w:t>2.44</w:t>
            </w:r>
          </w:p>
        </w:tc>
      </w:tr>
      <w:tr w:rsidR="009F33B9" w:rsidRPr="00867E8C" w14:paraId="3A4CF752" w14:textId="77777777" w:rsidTr="00FC3D7F">
        <w:trPr>
          <w:trHeight w:val="276"/>
          <w:jc w:val="center"/>
        </w:trPr>
        <w:tc>
          <w:tcPr>
            <w:tcW w:w="0" w:type="auto"/>
            <w:vMerge/>
            <w:vAlign w:val="center"/>
            <w:hideMark/>
          </w:tcPr>
          <w:p w14:paraId="0883290C"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F3F9FA"/>
            <w:vAlign w:val="center"/>
            <w:hideMark/>
          </w:tcPr>
          <w:p w14:paraId="2ACA6104" w14:textId="77777777" w:rsidR="009F33B9" w:rsidRPr="00867E8C" w:rsidRDefault="009F33B9" w:rsidP="005D3108">
            <w:pPr>
              <w:spacing w:before="0" w:after="0"/>
              <w:jc w:val="center"/>
              <w:rPr>
                <w:rFonts w:cs="Arial"/>
                <w:color w:val="000000"/>
                <w:szCs w:val="22"/>
              </w:rPr>
            </w:pPr>
            <w:r w:rsidRPr="00867E8C">
              <w:rPr>
                <w:rFonts w:cs="Arial"/>
                <w:color w:val="000000"/>
                <w:szCs w:val="22"/>
              </w:rPr>
              <w:t>GI2</w:t>
            </w:r>
          </w:p>
        </w:tc>
        <w:tc>
          <w:tcPr>
            <w:tcW w:w="1084" w:type="dxa"/>
            <w:tcBorders>
              <w:bottom w:val="single" w:sz="4" w:space="0" w:color="auto"/>
            </w:tcBorders>
            <w:shd w:val="clear" w:color="auto" w:fill="F3F9FA"/>
            <w:vAlign w:val="center"/>
            <w:hideMark/>
          </w:tcPr>
          <w:p w14:paraId="30F89E03" w14:textId="77777777" w:rsidR="009F33B9" w:rsidRPr="00867E8C" w:rsidRDefault="009F33B9" w:rsidP="005D3108">
            <w:pPr>
              <w:spacing w:before="0" w:after="0"/>
              <w:jc w:val="center"/>
              <w:rPr>
                <w:rFonts w:cs="Arial"/>
                <w:color w:val="000000"/>
                <w:szCs w:val="22"/>
              </w:rPr>
            </w:pPr>
            <w:r w:rsidRPr="00867E8C">
              <w:rPr>
                <w:rFonts w:cs="Arial"/>
                <w:color w:val="000000"/>
                <w:szCs w:val="22"/>
              </w:rPr>
              <w:t>0.57</w:t>
            </w:r>
          </w:p>
        </w:tc>
        <w:tc>
          <w:tcPr>
            <w:tcW w:w="971" w:type="dxa"/>
            <w:tcBorders>
              <w:bottom w:val="single" w:sz="4" w:space="0" w:color="auto"/>
            </w:tcBorders>
            <w:shd w:val="clear" w:color="auto" w:fill="F3F9FA"/>
            <w:vAlign w:val="center"/>
            <w:hideMark/>
          </w:tcPr>
          <w:p w14:paraId="4CD29E79" w14:textId="77777777" w:rsidR="009F33B9" w:rsidRPr="00867E8C" w:rsidRDefault="009F33B9" w:rsidP="005D3108">
            <w:pPr>
              <w:spacing w:before="0" w:after="0"/>
              <w:jc w:val="center"/>
              <w:rPr>
                <w:rFonts w:cs="Arial"/>
                <w:color w:val="000000"/>
                <w:szCs w:val="22"/>
              </w:rPr>
            </w:pPr>
            <w:r w:rsidRPr="00867E8C">
              <w:rPr>
                <w:rFonts w:cs="Arial"/>
                <w:color w:val="000000"/>
                <w:szCs w:val="22"/>
              </w:rPr>
              <w:t>0.97</w:t>
            </w:r>
          </w:p>
        </w:tc>
        <w:tc>
          <w:tcPr>
            <w:tcW w:w="1362" w:type="dxa"/>
            <w:tcBorders>
              <w:bottom w:val="single" w:sz="4" w:space="0" w:color="auto"/>
            </w:tcBorders>
            <w:shd w:val="clear" w:color="auto" w:fill="F3F9FA"/>
            <w:vAlign w:val="center"/>
            <w:hideMark/>
          </w:tcPr>
          <w:p w14:paraId="47166970" w14:textId="77777777" w:rsidR="009F33B9" w:rsidRPr="00867E8C" w:rsidRDefault="009F33B9" w:rsidP="005D3108">
            <w:pPr>
              <w:spacing w:before="0" w:after="0"/>
              <w:jc w:val="center"/>
              <w:rPr>
                <w:rFonts w:cs="Arial"/>
                <w:color w:val="000000"/>
                <w:szCs w:val="22"/>
              </w:rPr>
            </w:pPr>
            <w:r w:rsidRPr="00867E8C">
              <w:rPr>
                <w:rFonts w:cs="Arial"/>
                <w:color w:val="000000"/>
                <w:szCs w:val="22"/>
              </w:rPr>
              <w:t>0.67</w:t>
            </w:r>
          </w:p>
        </w:tc>
        <w:tc>
          <w:tcPr>
            <w:tcW w:w="1244" w:type="dxa"/>
            <w:tcBorders>
              <w:bottom w:val="single" w:sz="4" w:space="0" w:color="auto"/>
            </w:tcBorders>
            <w:shd w:val="clear" w:color="auto" w:fill="F3F9FA"/>
            <w:vAlign w:val="center"/>
            <w:hideMark/>
          </w:tcPr>
          <w:p w14:paraId="41D7D397" w14:textId="77777777" w:rsidR="009F33B9" w:rsidRPr="00867E8C" w:rsidRDefault="009F33B9" w:rsidP="005D3108">
            <w:pPr>
              <w:spacing w:before="0" w:after="0"/>
              <w:jc w:val="center"/>
              <w:rPr>
                <w:rFonts w:cs="Arial"/>
                <w:color w:val="000000"/>
                <w:szCs w:val="22"/>
              </w:rPr>
            </w:pPr>
            <w:r w:rsidRPr="00867E8C">
              <w:rPr>
                <w:rFonts w:cs="Arial"/>
                <w:color w:val="000000"/>
                <w:szCs w:val="22"/>
              </w:rPr>
              <w:t>154.58</w:t>
            </w:r>
          </w:p>
        </w:tc>
        <w:tc>
          <w:tcPr>
            <w:tcW w:w="1340" w:type="dxa"/>
            <w:tcBorders>
              <w:bottom w:val="single" w:sz="4" w:space="0" w:color="auto"/>
            </w:tcBorders>
            <w:shd w:val="clear" w:color="auto" w:fill="F3F9FA"/>
            <w:vAlign w:val="center"/>
            <w:hideMark/>
          </w:tcPr>
          <w:p w14:paraId="0FDD22E6" w14:textId="77777777" w:rsidR="009F33B9" w:rsidRPr="00867E8C" w:rsidRDefault="009F33B9" w:rsidP="005D3108">
            <w:pPr>
              <w:spacing w:before="0" w:after="0"/>
              <w:jc w:val="center"/>
              <w:rPr>
                <w:rFonts w:cs="Arial"/>
                <w:color w:val="000000"/>
                <w:szCs w:val="22"/>
              </w:rPr>
            </w:pPr>
            <w:r w:rsidRPr="00867E8C">
              <w:rPr>
                <w:rFonts w:cs="Arial"/>
                <w:color w:val="000000"/>
                <w:szCs w:val="22"/>
              </w:rPr>
              <w:t>3.53</w:t>
            </w:r>
          </w:p>
        </w:tc>
        <w:tc>
          <w:tcPr>
            <w:tcW w:w="1195" w:type="dxa"/>
            <w:tcBorders>
              <w:bottom w:val="single" w:sz="4" w:space="0" w:color="auto"/>
            </w:tcBorders>
            <w:shd w:val="clear" w:color="auto" w:fill="F3F9FA"/>
            <w:noWrap/>
            <w:vAlign w:val="center"/>
            <w:hideMark/>
          </w:tcPr>
          <w:p w14:paraId="31907945" w14:textId="77777777" w:rsidR="009F33B9" w:rsidRPr="00867E8C" w:rsidRDefault="009F33B9" w:rsidP="005D3108">
            <w:pPr>
              <w:spacing w:before="0" w:after="0"/>
              <w:jc w:val="center"/>
              <w:rPr>
                <w:rFonts w:cs="Arial"/>
                <w:szCs w:val="22"/>
              </w:rPr>
            </w:pPr>
            <w:r w:rsidRPr="00867E8C">
              <w:rPr>
                <w:rFonts w:cs="Arial"/>
                <w:szCs w:val="22"/>
              </w:rPr>
              <w:t>143.50</w:t>
            </w:r>
          </w:p>
        </w:tc>
        <w:tc>
          <w:tcPr>
            <w:tcW w:w="1267" w:type="dxa"/>
            <w:tcBorders>
              <w:bottom w:val="single" w:sz="4" w:space="0" w:color="auto"/>
            </w:tcBorders>
            <w:shd w:val="clear" w:color="auto" w:fill="F3F9FA"/>
            <w:vAlign w:val="center"/>
          </w:tcPr>
          <w:p w14:paraId="0E8909E3" w14:textId="77777777" w:rsidR="009F33B9" w:rsidRPr="00867E8C" w:rsidRDefault="009F33B9" w:rsidP="005D3108">
            <w:pPr>
              <w:spacing w:before="0" w:after="0"/>
              <w:jc w:val="center"/>
              <w:rPr>
                <w:rFonts w:cs="Arial"/>
                <w:szCs w:val="22"/>
              </w:rPr>
            </w:pPr>
            <w:r w:rsidRPr="00867E8C">
              <w:rPr>
                <w:rFonts w:cs="Arial"/>
                <w:szCs w:val="22"/>
              </w:rPr>
              <w:t>3.28</w:t>
            </w:r>
          </w:p>
        </w:tc>
      </w:tr>
      <w:tr w:rsidR="009F33B9" w:rsidRPr="00867E8C" w14:paraId="5B007089" w14:textId="77777777" w:rsidTr="00FC3D7F">
        <w:trPr>
          <w:trHeight w:val="276"/>
          <w:jc w:val="center"/>
        </w:trPr>
        <w:tc>
          <w:tcPr>
            <w:tcW w:w="0" w:type="auto"/>
            <w:vMerge/>
            <w:vAlign w:val="center"/>
            <w:hideMark/>
          </w:tcPr>
          <w:p w14:paraId="35B8E4EC" w14:textId="77777777" w:rsidR="009F33B9" w:rsidRPr="00867E8C" w:rsidRDefault="009F33B9" w:rsidP="005D3108">
            <w:pPr>
              <w:spacing w:before="0" w:after="0"/>
              <w:rPr>
                <w:rFonts w:cs="Arial"/>
                <w:color w:val="000000"/>
                <w:szCs w:val="22"/>
              </w:rPr>
            </w:pPr>
          </w:p>
        </w:tc>
        <w:tc>
          <w:tcPr>
            <w:tcW w:w="705" w:type="dxa"/>
            <w:tcBorders>
              <w:top w:val="single" w:sz="4" w:space="0" w:color="auto"/>
            </w:tcBorders>
            <w:shd w:val="clear" w:color="auto" w:fill="F3F9FA"/>
            <w:vAlign w:val="center"/>
            <w:hideMark/>
          </w:tcPr>
          <w:p w14:paraId="11330D4D" w14:textId="77777777" w:rsidR="009F33B9" w:rsidRPr="00867E8C" w:rsidRDefault="009F33B9" w:rsidP="005D3108">
            <w:pPr>
              <w:spacing w:before="0" w:after="0"/>
              <w:jc w:val="center"/>
              <w:rPr>
                <w:rFonts w:cs="Arial"/>
                <w:color w:val="000000"/>
                <w:szCs w:val="22"/>
              </w:rPr>
            </w:pPr>
            <w:r w:rsidRPr="00867E8C">
              <w:rPr>
                <w:rFonts w:cs="Arial"/>
                <w:color w:val="000000"/>
                <w:szCs w:val="22"/>
              </w:rPr>
              <w:t>DI1</w:t>
            </w:r>
          </w:p>
        </w:tc>
        <w:tc>
          <w:tcPr>
            <w:tcW w:w="1084" w:type="dxa"/>
            <w:tcBorders>
              <w:top w:val="single" w:sz="4" w:space="0" w:color="auto"/>
            </w:tcBorders>
            <w:shd w:val="clear" w:color="auto" w:fill="F3F9FA"/>
            <w:vAlign w:val="center"/>
            <w:hideMark/>
          </w:tcPr>
          <w:p w14:paraId="6E91F519" w14:textId="77777777" w:rsidR="009F33B9" w:rsidRPr="00867E8C" w:rsidRDefault="009F33B9" w:rsidP="005D3108">
            <w:pPr>
              <w:spacing w:before="0" w:after="0"/>
              <w:jc w:val="center"/>
              <w:rPr>
                <w:rFonts w:cs="Arial"/>
                <w:color w:val="000000"/>
                <w:szCs w:val="22"/>
              </w:rPr>
            </w:pPr>
            <w:r w:rsidRPr="00867E8C">
              <w:rPr>
                <w:rFonts w:cs="Arial"/>
                <w:color w:val="000000"/>
                <w:szCs w:val="22"/>
              </w:rPr>
              <w:t>0.65</w:t>
            </w:r>
          </w:p>
        </w:tc>
        <w:tc>
          <w:tcPr>
            <w:tcW w:w="971" w:type="dxa"/>
            <w:tcBorders>
              <w:top w:val="single" w:sz="4" w:space="0" w:color="auto"/>
            </w:tcBorders>
            <w:shd w:val="clear" w:color="auto" w:fill="F3F9FA"/>
            <w:vAlign w:val="center"/>
            <w:hideMark/>
          </w:tcPr>
          <w:p w14:paraId="7074ADC6" w14:textId="77777777" w:rsidR="009F33B9" w:rsidRPr="00867E8C" w:rsidRDefault="009F33B9" w:rsidP="005D3108">
            <w:pPr>
              <w:spacing w:before="0" w:after="0"/>
              <w:jc w:val="center"/>
              <w:rPr>
                <w:rFonts w:cs="Arial"/>
                <w:color w:val="000000"/>
                <w:szCs w:val="22"/>
              </w:rPr>
            </w:pPr>
            <w:r w:rsidRPr="00867E8C">
              <w:rPr>
                <w:rFonts w:cs="Arial"/>
                <w:color w:val="000000"/>
                <w:szCs w:val="22"/>
              </w:rPr>
              <w:t>1.14</w:t>
            </w:r>
          </w:p>
        </w:tc>
        <w:tc>
          <w:tcPr>
            <w:tcW w:w="1362" w:type="dxa"/>
            <w:tcBorders>
              <w:top w:val="single" w:sz="4" w:space="0" w:color="auto"/>
            </w:tcBorders>
            <w:shd w:val="clear" w:color="auto" w:fill="F3F9FA"/>
            <w:vAlign w:val="center"/>
            <w:hideMark/>
          </w:tcPr>
          <w:p w14:paraId="473B8222" w14:textId="77777777" w:rsidR="009F33B9" w:rsidRPr="00867E8C" w:rsidRDefault="009F33B9" w:rsidP="005D3108">
            <w:pPr>
              <w:spacing w:before="0" w:after="0"/>
              <w:jc w:val="center"/>
              <w:rPr>
                <w:rFonts w:cs="Arial"/>
                <w:color w:val="000000"/>
                <w:szCs w:val="22"/>
              </w:rPr>
            </w:pPr>
            <w:r w:rsidRPr="00867E8C">
              <w:rPr>
                <w:rFonts w:cs="Arial"/>
                <w:color w:val="000000"/>
                <w:szCs w:val="22"/>
              </w:rPr>
              <w:t>0.54</w:t>
            </w:r>
          </w:p>
        </w:tc>
        <w:tc>
          <w:tcPr>
            <w:tcW w:w="1244" w:type="dxa"/>
            <w:tcBorders>
              <w:top w:val="single" w:sz="4" w:space="0" w:color="auto"/>
            </w:tcBorders>
            <w:shd w:val="clear" w:color="auto" w:fill="F3F9FA"/>
            <w:vAlign w:val="center"/>
            <w:hideMark/>
          </w:tcPr>
          <w:p w14:paraId="50FC4045" w14:textId="77777777" w:rsidR="009F33B9" w:rsidRPr="00867E8C" w:rsidRDefault="009F33B9" w:rsidP="005D3108">
            <w:pPr>
              <w:spacing w:before="0" w:after="0"/>
              <w:jc w:val="center"/>
              <w:rPr>
                <w:rFonts w:cs="Arial"/>
                <w:color w:val="000000"/>
                <w:szCs w:val="22"/>
              </w:rPr>
            </w:pPr>
            <w:r w:rsidRPr="00867E8C">
              <w:rPr>
                <w:rFonts w:cs="Arial"/>
                <w:color w:val="000000"/>
                <w:szCs w:val="22"/>
              </w:rPr>
              <w:t>73.67</w:t>
            </w:r>
          </w:p>
        </w:tc>
        <w:tc>
          <w:tcPr>
            <w:tcW w:w="1340" w:type="dxa"/>
            <w:tcBorders>
              <w:top w:val="single" w:sz="4" w:space="0" w:color="auto"/>
            </w:tcBorders>
            <w:shd w:val="clear" w:color="auto" w:fill="F3F9FA"/>
            <w:vAlign w:val="center"/>
            <w:hideMark/>
          </w:tcPr>
          <w:p w14:paraId="783A82CF" w14:textId="77777777" w:rsidR="009F33B9" w:rsidRPr="00867E8C" w:rsidRDefault="009F33B9" w:rsidP="005D3108">
            <w:pPr>
              <w:spacing w:before="0" w:after="0"/>
              <w:jc w:val="center"/>
              <w:rPr>
                <w:rFonts w:cs="Arial"/>
                <w:color w:val="000000"/>
                <w:szCs w:val="22"/>
              </w:rPr>
            </w:pPr>
            <w:r w:rsidRPr="00867E8C">
              <w:rPr>
                <w:rFonts w:cs="Arial"/>
                <w:color w:val="000000"/>
                <w:szCs w:val="22"/>
              </w:rPr>
              <w:t>1.68</w:t>
            </w:r>
          </w:p>
        </w:tc>
        <w:tc>
          <w:tcPr>
            <w:tcW w:w="1195" w:type="dxa"/>
            <w:tcBorders>
              <w:top w:val="single" w:sz="4" w:space="0" w:color="auto"/>
            </w:tcBorders>
            <w:shd w:val="clear" w:color="auto" w:fill="F3F9FA"/>
            <w:noWrap/>
            <w:vAlign w:val="center"/>
            <w:hideMark/>
          </w:tcPr>
          <w:p w14:paraId="77B9470B" w14:textId="77777777" w:rsidR="009F33B9" w:rsidRPr="00867E8C" w:rsidRDefault="009F33B9" w:rsidP="005D3108">
            <w:pPr>
              <w:spacing w:before="0" w:after="0"/>
              <w:jc w:val="center"/>
              <w:rPr>
                <w:rFonts w:cs="Arial"/>
                <w:szCs w:val="22"/>
              </w:rPr>
            </w:pPr>
            <w:r w:rsidRPr="00867E8C">
              <w:rPr>
                <w:rFonts w:cs="Arial"/>
                <w:szCs w:val="22"/>
              </w:rPr>
              <w:t>78.500</w:t>
            </w:r>
          </w:p>
        </w:tc>
        <w:tc>
          <w:tcPr>
            <w:tcW w:w="1267" w:type="dxa"/>
            <w:tcBorders>
              <w:top w:val="single" w:sz="4" w:space="0" w:color="auto"/>
            </w:tcBorders>
            <w:shd w:val="clear" w:color="auto" w:fill="F3F9FA"/>
            <w:vAlign w:val="center"/>
          </w:tcPr>
          <w:p w14:paraId="19E756FA" w14:textId="77777777" w:rsidR="009F33B9" w:rsidRPr="00867E8C" w:rsidRDefault="009F33B9" w:rsidP="005D3108">
            <w:pPr>
              <w:spacing w:before="0" w:after="0"/>
              <w:jc w:val="center"/>
              <w:rPr>
                <w:rFonts w:cs="Arial"/>
                <w:szCs w:val="22"/>
              </w:rPr>
            </w:pPr>
            <w:r w:rsidRPr="00867E8C">
              <w:rPr>
                <w:rFonts w:cs="Arial"/>
                <w:szCs w:val="22"/>
              </w:rPr>
              <w:t>1.79</w:t>
            </w:r>
          </w:p>
        </w:tc>
      </w:tr>
      <w:tr w:rsidR="009F33B9" w:rsidRPr="00867E8C" w14:paraId="2BFE74AF" w14:textId="77777777" w:rsidTr="00FC3D7F">
        <w:trPr>
          <w:trHeight w:val="276"/>
          <w:jc w:val="center"/>
        </w:trPr>
        <w:tc>
          <w:tcPr>
            <w:tcW w:w="0" w:type="auto"/>
            <w:vMerge/>
            <w:vAlign w:val="center"/>
            <w:hideMark/>
          </w:tcPr>
          <w:p w14:paraId="3AEA2F0E"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451C0C85" w14:textId="77777777" w:rsidR="009F33B9" w:rsidRPr="00867E8C" w:rsidRDefault="009F33B9" w:rsidP="005D3108">
            <w:pPr>
              <w:spacing w:before="0" w:after="0"/>
              <w:jc w:val="center"/>
              <w:rPr>
                <w:rFonts w:cs="Arial"/>
                <w:color w:val="000000"/>
                <w:szCs w:val="22"/>
              </w:rPr>
            </w:pPr>
            <w:r w:rsidRPr="00867E8C">
              <w:rPr>
                <w:rFonts w:cs="Arial"/>
                <w:color w:val="000000"/>
                <w:szCs w:val="22"/>
              </w:rPr>
              <w:t>DI2</w:t>
            </w:r>
          </w:p>
        </w:tc>
        <w:tc>
          <w:tcPr>
            <w:tcW w:w="1084" w:type="dxa"/>
            <w:shd w:val="clear" w:color="auto" w:fill="F3F9FA"/>
            <w:vAlign w:val="center"/>
            <w:hideMark/>
          </w:tcPr>
          <w:p w14:paraId="60191B63" w14:textId="77777777" w:rsidR="009F33B9" w:rsidRPr="00867E8C" w:rsidRDefault="009F33B9" w:rsidP="005D3108">
            <w:pPr>
              <w:spacing w:before="0" w:after="0"/>
              <w:jc w:val="center"/>
              <w:rPr>
                <w:rFonts w:cs="Arial"/>
                <w:color w:val="000000"/>
                <w:szCs w:val="22"/>
              </w:rPr>
            </w:pPr>
            <w:r w:rsidRPr="00867E8C">
              <w:rPr>
                <w:rFonts w:cs="Arial"/>
                <w:color w:val="000000"/>
                <w:szCs w:val="22"/>
              </w:rPr>
              <w:t>0.55</w:t>
            </w:r>
          </w:p>
        </w:tc>
        <w:tc>
          <w:tcPr>
            <w:tcW w:w="971" w:type="dxa"/>
            <w:shd w:val="clear" w:color="auto" w:fill="F3F9FA"/>
            <w:vAlign w:val="center"/>
            <w:hideMark/>
          </w:tcPr>
          <w:p w14:paraId="3E3C9356" w14:textId="77777777" w:rsidR="009F33B9" w:rsidRPr="00867E8C" w:rsidRDefault="009F33B9" w:rsidP="005D3108">
            <w:pPr>
              <w:spacing w:before="0" w:after="0"/>
              <w:jc w:val="center"/>
              <w:rPr>
                <w:rFonts w:cs="Arial"/>
                <w:color w:val="000000"/>
                <w:szCs w:val="22"/>
              </w:rPr>
            </w:pPr>
            <w:r w:rsidRPr="00867E8C">
              <w:rPr>
                <w:rFonts w:cs="Arial"/>
                <w:color w:val="000000"/>
                <w:szCs w:val="22"/>
              </w:rPr>
              <w:t>1.24</w:t>
            </w:r>
          </w:p>
        </w:tc>
        <w:tc>
          <w:tcPr>
            <w:tcW w:w="1362" w:type="dxa"/>
            <w:shd w:val="clear" w:color="auto" w:fill="F3F9FA"/>
            <w:vAlign w:val="center"/>
            <w:hideMark/>
          </w:tcPr>
          <w:p w14:paraId="34ED1313" w14:textId="77777777" w:rsidR="009F33B9" w:rsidRPr="00867E8C" w:rsidRDefault="009F33B9" w:rsidP="005D3108">
            <w:pPr>
              <w:spacing w:before="0" w:after="0"/>
              <w:jc w:val="center"/>
              <w:rPr>
                <w:rFonts w:cs="Arial"/>
                <w:color w:val="000000"/>
                <w:szCs w:val="22"/>
              </w:rPr>
            </w:pPr>
            <w:r w:rsidRPr="00867E8C">
              <w:rPr>
                <w:rFonts w:cs="Arial"/>
                <w:color w:val="000000"/>
                <w:szCs w:val="22"/>
              </w:rPr>
              <w:t>0.44</w:t>
            </w:r>
          </w:p>
        </w:tc>
        <w:tc>
          <w:tcPr>
            <w:tcW w:w="1244" w:type="dxa"/>
            <w:shd w:val="clear" w:color="auto" w:fill="F3F9FA"/>
            <w:vAlign w:val="center"/>
            <w:hideMark/>
          </w:tcPr>
          <w:p w14:paraId="060188A9" w14:textId="77777777" w:rsidR="009F33B9" w:rsidRPr="00867E8C" w:rsidRDefault="009F33B9" w:rsidP="005D3108">
            <w:pPr>
              <w:spacing w:before="0" w:after="0"/>
              <w:jc w:val="center"/>
              <w:rPr>
                <w:rFonts w:cs="Arial"/>
                <w:color w:val="000000"/>
                <w:szCs w:val="22"/>
              </w:rPr>
            </w:pPr>
            <w:r w:rsidRPr="00867E8C">
              <w:rPr>
                <w:rFonts w:cs="Arial"/>
                <w:color w:val="000000"/>
                <w:szCs w:val="22"/>
              </w:rPr>
              <w:t>42.17</w:t>
            </w:r>
          </w:p>
        </w:tc>
        <w:tc>
          <w:tcPr>
            <w:tcW w:w="1340" w:type="dxa"/>
            <w:shd w:val="clear" w:color="auto" w:fill="F3F9FA"/>
            <w:vAlign w:val="center"/>
            <w:hideMark/>
          </w:tcPr>
          <w:p w14:paraId="03E47D30" w14:textId="77777777" w:rsidR="009F33B9" w:rsidRPr="00867E8C" w:rsidRDefault="009F33B9" w:rsidP="005D3108">
            <w:pPr>
              <w:spacing w:before="0" w:after="0"/>
              <w:jc w:val="center"/>
              <w:rPr>
                <w:rFonts w:cs="Arial"/>
                <w:color w:val="000000"/>
                <w:szCs w:val="22"/>
              </w:rPr>
            </w:pPr>
            <w:r w:rsidRPr="00867E8C">
              <w:rPr>
                <w:rFonts w:cs="Arial"/>
                <w:color w:val="000000"/>
                <w:szCs w:val="22"/>
              </w:rPr>
              <w:t>0.96</w:t>
            </w:r>
          </w:p>
        </w:tc>
        <w:tc>
          <w:tcPr>
            <w:tcW w:w="1195" w:type="dxa"/>
            <w:shd w:val="clear" w:color="auto" w:fill="F3F9FA"/>
            <w:noWrap/>
            <w:vAlign w:val="center"/>
            <w:hideMark/>
          </w:tcPr>
          <w:p w14:paraId="6FA339FB" w14:textId="77777777" w:rsidR="009F33B9" w:rsidRPr="00867E8C" w:rsidRDefault="009F33B9" w:rsidP="005D3108">
            <w:pPr>
              <w:spacing w:before="0" w:after="0"/>
              <w:jc w:val="center"/>
              <w:rPr>
                <w:rFonts w:cs="Arial"/>
                <w:szCs w:val="22"/>
              </w:rPr>
            </w:pPr>
            <w:r w:rsidRPr="00867E8C">
              <w:rPr>
                <w:rFonts w:cs="Arial"/>
                <w:szCs w:val="22"/>
              </w:rPr>
              <w:t>50.00</w:t>
            </w:r>
          </w:p>
        </w:tc>
        <w:tc>
          <w:tcPr>
            <w:tcW w:w="1267" w:type="dxa"/>
            <w:shd w:val="clear" w:color="auto" w:fill="F3F9FA"/>
            <w:vAlign w:val="center"/>
          </w:tcPr>
          <w:p w14:paraId="63F43E14" w14:textId="77777777" w:rsidR="009F33B9" w:rsidRPr="00867E8C" w:rsidRDefault="009F33B9" w:rsidP="005D3108">
            <w:pPr>
              <w:spacing w:before="0" w:after="0"/>
              <w:jc w:val="center"/>
              <w:rPr>
                <w:rFonts w:cs="Arial"/>
                <w:szCs w:val="22"/>
              </w:rPr>
            </w:pPr>
            <w:r w:rsidRPr="00867E8C">
              <w:rPr>
                <w:rFonts w:cs="Arial"/>
                <w:szCs w:val="22"/>
              </w:rPr>
              <w:t>1.14</w:t>
            </w:r>
          </w:p>
        </w:tc>
      </w:tr>
      <w:tr w:rsidR="009F33B9" w:rsidRPr="00867E8C" w14:paraId="3B0B0FD4" w14:textId="77777777" w:rsidTr="00FC3D7F">
        <w:trPr>
          <w:trHeight w:val="276"/>
          <w:jc w:val="center"/>
        </w:trPr>
        <w:tc>
          <w:tcPr>
            <w:tcW w:w="0" w:type="auto"/>
            <w:vMerge/>
            <w:vAlign w:val="center"/>
            <w:hideMark/>
          </w:tcPr>
          <w:p w14:paraId="5BCF3B3C"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38204896" w14:textId="77777777" w:rsidR="009F33B9" w:rsidRPr="00867E8C" w:rsidRDefault="009F33B9" w:rsidP="005D3108">
            <w:pPr>
              <w:spacing w:before="0" w:after="0"/>
              <w:jc w:val="center"/>
              <w:rPr>
                <w:rFonts w:cs="Arial"/>
                <w:color w:val="000000"/>
                <w:szCs w:val="22"/>
              </w:rPr>
            </w:pPr>
            <w:r w:rsidRPr="00867E8C">
              <w:rPr>
                <w:rFonts w:cs="Arial"/>
                <w:color w:val="000000"/>
                <w:szCs w:val="22"/>
              </w:rPr>
              <w:t>LB1</w:t>
            </w:r>
          </w:p>
        </w:tc>
        <w:tc>
          <w:tcPr>
            <w:tcW w:w="1084" w:type="dxa"/>
            <w:shd w:val="clear" w:color="auto" w:fill="F3F9FA"/>
            <w:vAlign w:val="center"/>
            <w:hideMark/>
          </w:tcPr>
          <w:p w14:paraId="498D6986" w14:textId="77777777" w:rsidR="009F33B9" w:rsidRPr="00867E8C" w:rsidRDefault="009F33B9" w:rsidP="005D3108">
            <w:pPr>
              <w:spacing w:before="0" w:after="0"/>
              <w:jc w:val="center"/>
              <w:rPr>
                <w:rFonts w:cs="Arial"/>
                <w:color w:val="000000"/>
                <w:szCs w:val="22"/>
              </w:rPr>
            </w:pPr>
            <w:r w:rsidRPr="00867E8C">
              <w:rPr>
                <w:rFonts w:cs="Arial"/>
                <w:color w:val="000000"/>
                <w:szCs w:val="22"/>
              </w:rPr>
              <w:t>0.42</w:t>
            </w:r>
          </w:p>
        </w:tc>
        <w:tc>
          <w:tcPr>
            <w:tcW w:w="971" w:type="dxa"/>
            <w:shd w:val="clear" w:color="auto" w:fill="F3F9FA"/>
            <w:vAlign w:val="center"/>
            <w:hideMark/>
          </w:tcPr>
          <w:p w14:paraId="51161B03" w14:textId="77777777" w:rsidR="009F33B9" w:rsidRPr="00867E8C" w:rsidRDefault="009F33B9" w:rsidP="005D3108">
            <w:pPr>
              <w:spacing w:before="0" w:after="0"/>
              <w:jc w:val="center"/>
              <w:rPr>
                <w:rFonts w:cs="Arial"/>
                <w:color w:val="000000"/>
                <w:szCs w:val="22"/>
              </w:rPr>
            </w:pPr>
            <w:r w:rsidRPr="00867E8C">
              <w:rPr>
                <w:rFonts w:cs="Arial"/>
                <w:color w:val="000000"/>
                <w:szCs w:val="22"/>
              </w:rPr>
              <w:t>1.37</w:t>
            </w:r>
          </w:p>
        </w:tc>
        <w:tc>
          <w:tcPr>
            <w:tcW w:w="1362" w:type="dxa"/>
            <w:shd w:val="clear" w:color="auto" w:fill="F3F9FA"/>
            <w:vAlign w:val="center"/>
            <w:hideMark/>
          </w:tcPr>
          <w:p w14:paraId="58171A0E" w14:textId="77777777" w:rsidR="009F33B9" w:rsidRPr="00867E8C" w:rsidRDefault="009F33B9" w:rsidP="005D3108">
            <w:pPr>
              <w:spacing w:before="0" w:after="0"/>
              <w:jc w:val="center"/>
              <w:rPr>
                <w:rFonts w:cs="Arial"/>
                <w:color w:val="000000"/>
                <w:szCs w:val="22"/>
              </w:rPr>
            </w:pPr>
            <w:r w:rsidRPr="00867E8C">
              <w:rPr>
                <w:rFonts w:cs="Arial"/>
                <w:color w:val="000000"/>
                <w:szCs w:val="22"/>
              </w:rPr>
              <w:t>0.31</w:t>
            </w:r>
          </w:p>
        </w:tc>
        <w:tc>
          <w:tcPr>
            <w:tcW w:w="1244" w:type="dxa"/>
            <w:shd w:val="clear" w:color="auto" w:fill="F3F9FA"/>
            <w:vAlign w:val="center"/>
            <w:hideMark/>
          </w:tcPr>
          <w:p w14:paraId="094F6E5F" w14:textId="77777777" w:rsidR="009F33B9" w:rsidRPr="00867E8C" w:rsidRDefault="009F33B9" w:rsidP="005D3108">
            <w:pPr>
              <w:spacing w:before="0" w:after="0"/>
              <w:jc w:val="center"/>
              <w:rPr>
                <w:rFonts w:cs="Arial"/>
                <w:color w:val="000000"/>
                <w:szCs w:val="22"/>
              </w:rPr>
            </w:pPr>
            <w:r w:rsidRPr="00867E8C">
              <w:rPr>
                <w:rFonts w:cs="Arial"/>
                <w:color w:val="000000"/>
                <w:szCs w:val="22"/>
              </w:rPr>
              <w:t>17.75</w:t>
            </w:r>
          </w:p>
        </w:tc>
        <w:tc>
          <w:tcPr>
            <w:tcW w:w="1340" w:type="dxa"/>
            <w:shd w:val="clear" w:color="auto" w:fill="F3F9FA"/>
            <w:vAlign w:val="center"/>
            <w:hideMark/>
          </w:tcPr>
          <w:p w14:paraId="4749D979" w14:textId="77777777" w:rsidR="009F33B9" w:rsidRPr="00867E8C" w:rsidRDefault="009F33B9" w:rsidP="005D3108">
            <w:pPr>
              <w:spacing w:before="0" w:after="0"/>
              <w:jc w:val="center"/>
              <w:rPr>
                <w:rFonts w:cs="Arial"/>
                <w:color w:val="000000"/>
                <w:szCs w:val="22"/>
              </w:rPr>
            </w:pPr>
            <w:r w:rsidRPr="00867E8C">
              <w:rPr>
                <w:rFonts w:cs="Arial"/>
                <w:color w:val="000000"/>
                <w:szCs w:val="22"/>
              </w:rPr>
              <w:t>0.40</w:t>
            </w:r>
          </w:p>
        </w:tc>
        <w:tc>
          <w:tcPr>
            <w:tcW w:w="1195" w:type="dxa"/>
            <w:shd w:val="clear" w:color="auto" w:fill="F3F9FA"/>
            <w:noWrap/>
            <w:vAlign w:val="center"/>
            <w:hideMark/>
          </w:tcPr>
          <w:p w14:paraId="7728E22D" w14:textId="77777777" w:rsidR="009F33B9" w:rsidRPr="00867E8C" w:rsidRDefault="009F33B9" w:rsidP="005D3108">
            <w:pPr>
              <w:spacing w:before="0" w:after="0"/>
              <w:jc w:val="center"/>
              <w:rPr>
                <w:rFonts w:cs="Arial"/>
                <w:szCs w:val="22"/>
              </w:rPr>
            </w:pPr>
            <w:r w:rsidRPr="00867E8C">
              <w:rPr>
                <w:rFonts w:cs="Arial"/>
                <w:szCs w:val="22"/>
              </w:rPr>
              <w:t>32.50</w:t>
            </w:r>
          </w:p>
        </w:tc>
        <w:tc>
          <w:tcPr>
            <w:tcW w:w="1267" w:type="dxa"/>
            <w:shd w:val="clear" w:color="auto" w:fill="F3F9FA"/>
            <w:vAlign w:val="center"/>
          </w:tcPr>
          <w:p w14:paraId="7679D5C6" w14:textId="77777777" w:rsidR="009F33B9" w:rsidRPr="00867E8C" w:rsidRDefault="009F33B9" w:rsidP="005D3108">
            <w:pPr>
              <w:spacing w:before="0" w:after="0"/>
              <w:jc w:val="center"/>
              <w:rPr>
                <w:rFonts w:cs="Arial"/>
                <w:szCs w:val="22"/>
              </w:rPr>
            </w:pPr>
            <w:r w:rsidRPr="00867E8C">
              <w:rPr>
                <w:rFonts w:cs="Arial"/>
                <w:szCs w:val="22"/>
              </w:rPr>
              <w:t>0.74</w:t>
            </w:r>
          </w:p>
        </w:tc>
      </w:tr>
      <w:tr w:rsidR="009F33B9" w:rsidRPr="00867E8C" w14:paraId="412DAE5F" w14:textId="77777777" w:rsidTr="00FC3D7F">
        <w:trPr>
          <w:trHeight w:val="276"/>
          <w:jc w:val="center"/>
        </w:trPr>
        <w:tc>
          <w:tcPr>
            <w:tcW w:w="0" w:type="auto"/>
            <w:vMerge/>
            <w:tcBorders>
              <w:bottom w:val="single" w:sz="4" w:space="0" w:color="auto"/>
            </w:tcBorders>
            <w:vAlign w:val="center"/>
            <w:hideMark/>
          </w:tcPr>
          <w:p w14:paraId="326B1E72"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F3F9FA"/>
            <w:vAlign w:val="center"/>
            <w:hideMark/>
          </w:tcPr>
          <w:p w14:paraId="527BBA81" w14:textId="77777777" w:rsidR="009F33B9" w:rsidRPr="00867E8C" w:rsidRDefault="009F33B9" w:rsidP="005D3108">
            <w:pPr>
              <w:spacing w:before="0" w:after="0"/>
              <w:jc w:val="center"/>
              <w:rPr>
                <w:rFonts w:cs="Arial"/>
                <w:color w:val="000000"/>
                <w:szCs w:val="22"/>
              </w:rPr>
            </w:pPr>
            <w:r w:rsidRPr="00867E8C">
              <w:rPr>
                <w:rFonts w:cs="Arial"/>
                <w:color w:val="000000"/>
                <w:szCs w:val="22"/>
              </w:rPr>
              <w:t>LB2</w:t>
            </w:r>
          </w:p>
        </w:tc>
        <w:tc>
          <w:tcPr>
            <w:tcW w:w="1084" w:type="dxa"/>
            <w:tcBorders>
              <w:bottom w:val="single" w:sz="4" w:space="0" w:color="auto"/>
            </w:tcBorders>
            <w:shd w:val="clear" w:color="auto" w:fill="F3F9FA"/>
            <w:vAlign w:val="center"/>
            <w:hideMark/>
          </w:tcPr>
          <w:p w14:paraId="6FAEBE74" w14:textId="77777777" w:rsidR="009F33B9" w:rsidRPr="00867E8C" w:rsidRDefault="009F33B9" w:rsidP="005D3108">
            <w:pPr>
              <w:spacing w:before="0" w:after="0"/>
              <w:jc w:val="center"/>
              <w:rPr>
                <w:rFonts w:cs="Arial"/>
                <w:color w:val="000000"/>
                <w:szCs w:val="22"/>
              </w:rPr>
            </w:pPr>
            <w:r w:rsidRPr="00867E8C">
              <w:rPr>
                <w:rFonts w:cs="Arial"/>
                <w:color w:val="000000"/>
                <w:szCs w:val="22"/>
              </w:rPr>
              <w:t>0.46</w:t>
            </w:r>
          </w:p>
        </w:tc>
        <w:tc>
          <w:tcPr>
            <w:tcW w:w="971" w:type="dxa"/>
            <w:tcBorders>
              <w:bottom w:val="single" w:sz="4" w:space="0" w:color="auto"/>
            </w:tcBorders>
            <w:shd w:val="clear" w:color="auto" w:fill="F3F9FA"/>
            <w:vAlign w:val="center"/>
            <w:hideMark/>
          </w:tcPr>
          <w:p w14:paraId="1DCD4EF2" w14:textId="77777777" w:rsidR="009F33B9" w:rsidRPr="00867E8C" w:rsidRDefault="009F33B9" w:rsidP="005D3108">
            <w:pPr>
              <w:spacing w:before="0" w:after="0"/>
              <w:jc w:val="center"/>
              <w:rPr>
                <w:rFonts w:cs="Arial"/>
                <w:color w:val="000000"/>
                <w:szCs w:val="22"/>
              </w:rPr>
            </w:pPr>
            <w:r w:rsidRPr="00867E8C">
              <w:rPr>
                <w:rFonts w:cs="Arial"/>
                <w:color w:val="000000"/>
                <w:szCs w:val="22"/>
              </w:rPr>
              <w:t>1.33</w:t>
            </w:r>
          </w:p>
        </w:tc>
        <w:tc>
          <w:tcPr>
            <w:tcW w:w="1362" w:type="dxa"/>
            <w:tcBorders>
              <w:bottom w:val="single" w:sz="4" w:space="0" w:color="auto"/>
            </w:tcBorders>
            <w:shd w:val="clear" w:color="auto" w:fill="F3F9FA"/>
            <w:vAlign w:val="center"/>
            <w:hideMark/>
          </w:tcPr>
          <w:p w14:paraId="685A557B" w14:textId="77777777" w:rsidR="009F33B9" w:rsidRPr="00867E8C" w:rsidRDefault="009F33B9" w:rsidP="005D3108">
            <w:pPr>
              <w:spacing w:before="0" w:after="0"/>
              <w:jc w:val="center"/>
              <w:rPr>
                <w:rFonts w:cs="Arial"/>
                <w:color w:val="000000"/>
                <w:szCs w:val="22"/>
              </w:rPr>
            </w:pPr>
            <w:r w:rsidRPr="00867E8C">
              <w:rPr>
                <w:rFonts w:cs="Arial"/>
                <w:color w:val="000000"/>
                <w:szCs w:val="22"/>
              </w:rPr>
              <w:t>0.35</w:t>
            </w:r>
          </w:p>
        </w:tc>
        <w:tc>
          <w:tcPr>
            <w:tcW w:w="1244" w:type="dxa"/>
            <w:tcBorders>
              <w:bottom w:val="single" w:sz="4" w:space="0" w:color="auto"/>
            </w:tcBorders>
            <w:shd w:val="clear" w:color="auto" w:fill="F3F9FA"/>
            <w:vAlign w:val="center"/>
            <w:hideMark/>
          </w:tcPr>
          <w:p w14:paraId="6C8E3908" w14:textId="77777777" w:rsidR="009F33B9" w:rsidRPr="00867E8C" w:rsidRDefault="009F33B9" w:rsidP="005D3108">
            <w:pPr>
              <w:spacing w:before="0" w:after="0"/>
              <w:jc w:val="center"/>
              <w:rPr>
                <w:rFonts w:cs="Arial"/>
                <w:color w:val="000000"/>
                <w:szCs w:val="22"/>
              </w:rPr>
            </w:pPr>
            <w:r w:rsidRPr="00867E8C">
              <w:rPr>
                <w:rFonts w:cs="Arial"/>
                <w:color w:val="000000"/>
                <w:szCs w:val="22"/>
              </w:rPr>
              <w:t>19.25</w:t>
            </w:r>
          </w:p>
        </w:tc>
        <w:tc>
          <w:tcPr>
            <w:tcW w:w="1340" w:type="dxa"/>
            <w:tcBorders>
              <w:bottom w:val="single" w:sz="4" w:space="0" w:color="auto"/>
            </w:tcBorders>
            <w:shd w:val="clear" w:color="auto" w:fill="F3F9FA"/>
            <w:vAlign w:val="center"/>
            <w:hideMark/>
          </w:tcPr>
          <w:p w14:paraId="272ED095" w14:textId="77777777" w:rsidR="009F33B9" w:rsidRPr="00867E8C" w:rsidRDefault="009F33B9" w:rsidP="005D3108">
            <w:pPr>
              <w:spacing w:before="0" w:after="0"/>
              <w:jc w:val="center"/>
              <w:rPr>
                <w:rFonts w:cs="Arial"/>
                <w:color w:val="000000"/>
                <w:szCs w:val="22"/>
              </w:rPr>
            </w:pPr>
            <w:r w:rsidRPr="00867E8C">
              <w:rPr>
                <w:rFonts w:cs="Arial"/>
                <w:color w:val="000000"/>
                <w:szCs w:val="22"/>
              </w:rPr>
              <w:t>0.44</w:t>
            </w:r>
          </w:p>
        </w:tc>
        <w:tc>
          <w:tcPr>
            <w:tcW w:w="1195" w:type="dxa"/>
            <w:tcBorders>
              <w:bottom w:val="single" w:sz="4" w:space="0" w:color="auto"/>
            </w:tcBorders>
            <w:shd w:val="clear" w:color="auto" w:fill="F3F9FA"/>
            <w:noWrap/>
            <w:vAlign w:val="center"/>
            <w:hideMark/>
          </w:tcPr>
          <w:p w14:paraId="4A04B487" w14:textId="77777777" w:rsidR="009F33B9" w:rsidRPr="00867E8C" w:rsidRDefault="009F33B9" w:rsidP="005D3108">
            <w:pPr>
              <w:spacing w:before="0" w:after="0"/>
              <w:jc w:val="center"/>
              <w:rPr>
                <w:rFonts w:cs="Arial"/>
                <w:szCs w:val="22"/>
              </w:rPr>
            </w:pPr>
            <w:r w:rsidRPr="00867E8C">
              <w:rPr>
                <w:rFonts w:cs="Arial"/>
                <w:szCs w:val="22"/>
              </w:rPr>
              <w:t>29.50</w:t>
            </w:r>
          </w:p>
        </w:tc>
        <w:tc>
          <w:tcPr>
            <w:tcW w:w="1267" w:type="dxa"/>
            <w:tcBorders>
              <w:bottom w:val="single" w:sz="4" w:space="0" w:color="auto"/>
            </w:tcBorders>
            <w:shd w:val="clear" w:color="auto" w:fill="F3F9FA"/>
            <w:vAlign w:val="center"/>
          </w:tcPr>
          <w:p w14:paraId="318E7510" w14:textId="77777777" w:rsidR="009F33B9" w:rsidRPr="00867E8C" w:rsidRDefault="009F33B9" w:rsidP="005D3108">
            <w:pPr>
              <w:spacing w:before="0" w:after="0"/>
              <w:jc w:val="center"/>
              <w:rPr>
                <w:rFonts w:cs="Arial"/>
                <w:szCs w:val="22"/>
              </w:rPr>
            </w:pPr>
            <w:r w:rsidRPr="00867E8C">
              <w:rPr>
                <w:rFonts w:cs="Arial"/>
                <w:szCs w:val="22"/>
              </w:rPr>
              <w:t>0.67</w:t>
            </w:r>
          </w:p>
        </w:tc>
      </w:tr>
      <w:tr w:rsidR="009F33B9" w:rsidRPr="00867E8C" w14:paraId="7ABEAD92" w14:textId="77777777" w:rsidTr="00FC3D7F">
        <w:trPr>
          <w:trHeight w:val="276"/>
          <w:jc w:val="center"/>
        </w:trPr>
        <w:tc>
          <w:tcPr>
            <w:tcW w:w="718" w:type="dxa"/>
            <w:vMerge w:val="restart"/>
            <w:tcBorders>
              <w:top w:val="single" w:sz="4" w:space="0" w:color="auto"/>
            </w:tcBorders>
            <w:shd w:val="clear" w:color="auto" w:fill="E7F3F4"/>
            <w:textDirection w:val="btLr"/>
            <w:vAlign w:val="center"/>
            <w:hideMark/>
          </w:tcPr>
          <w:p w14:paraId="108737E6" w14:textId="77777777" w:rsidR="009F33B9" w:rsidRPr="00867E8C" w:rsidRDefault="009F33B9" w:rsidP="005D3108">
            <w:pPr>
              <w:spacing w:before="0" w:after="0"/>
              <w:ind w:left="113" w:right="113"/>
              <w:jc w:val="center"/>
              <w:rPr>
                <w:rFonts w:cs="Arial"/>
                <w:color w:val="000000"/>
                <w:szCs w:val="22"/>
              </w:rPr>
            </w:pPr>
            <w:r w:rsidRPr="00867E8C">
              <w:rPr>
                <w:rFonts w:cs="Arial"/>
                <w:color w:val="000000"/>
                <w:szCs w:val="22"/>
              </w:rPr>
              <w:t>Burdekin</w:t>
            </w:r>
          </w:p>
        </w:tc>
        <w:tc>
          <w:tcPr>
            <w:tcW w:w="705" w:type="dxa"/>
            <w:tcBorders>
              <w:top w:val="single" w:sz="4" w:space="0" w:color="auto"/>
            </w:tcBorders>
            <w:shd w:val="clear" w:color="auto" w:fill="E7F3F4"/>
            <w:vAlign w:val="center"/>
            <w:hideMark/>
          </w:tcPr>
          <w:p w14:paraId="2E782DAD" w14:textId="77777777" w:rsidR="009F33B9" w:rsidRPr="00867E8C" w:rsidRDefault="009F33B9" w:rsidP="005D3108">
            <w:pPr>
              <w:spacing w:before="0" w:after="0"/>
              <w:jc w:val="center"/>
              <w:rPr>
                <w:rFonts w:cs="Arial"/>
                <w:color w:val="000000"/>
                <w:szCs w:val="22"/>
              </w:rPr>
            </w:pPr>
            <w:r w:rsidRPr="00867E8C">
              <w:rPr>
                <w:rFonts w:cs="Arial"/>
                <w:color w:val="000000"/>
                <w:szCs w:val="22"/>
              </w:rPr>
              <w:t>BB1</w:t>
            </w:r>
          </w:p>
        </w:tc>
        <w:tc>
          <w:tcPr>
            <w:tcW w:w="1084" w:type="dxa"/>
            <w:tcBorders>
              <w:top w:val="single" w:sz="4" w:space="0" w:color="auto"/>
            </w:tcBorders>
            <w:shd w:val="clear" w:color="auto" w:fill="E7F3F4"/>
            <w:vAlign w:val="center"/>
            <w:hideMark/>
          </w:tcPr>
          <w:p w14:paraId="537D0563" w14:textId="77777777" w:rsidR="009F33B9" w:rsidRPr="00867E8C" w:rsidRDefault="009F33B9" w:rsidP="005D3108">
            <w:pPr>
              <w:spacing w:before="0" w:after="0"/>
              <w:jc w:val="center"/>
              <w:rPr>
                <w:rFonts w:cs="Arial"/>
                <w:color w:val="000000"/>
                <w:szCs w:val="22"/>
              </w:rPr>
            </w:pPr>
            <w:r w:rsidRPr="00867E8C">
              <w:rPr>
                <w:rFonts w:cs="Arial"/>
                <w:color w:val="000000"/>
                <w:szCs w:val="22"/>
              </w:rPr>
              <w:t>0.58</w:t>
            </w:r>
          </w:p>
        </w:tc>
        <w:tc>
          <w:tcPr>
            <w:tcW w:w="971" w:type="dxa"/>
            <w:tcBorders>
              <w:top w:val="single" w:sz="4" w:space="0" w:color="auto"/>
            </w:tcBorders>
            <w:shd w:val="clear" w:color="auto" w:fill="E7F3F4"/>
            <w:vAlign w:val="center"/>
            <w:hideMark/>
          </w:tcPr>
          <w:p w14:paraId="7E448200" w14:textId="77777777" w:rsidR="009F33B9" w:rsidRPr="00867E8C" w:rsidRDefault="009F33B9" w:rsidP="005D3108">
            <w:pPr>
              <w:spacing w:before="0" w:after="0"/>
              <w:jc w:val="center"/>
              <w:rPr>
                <w:rFonts w:cs="Arial"/>
                <w:color w:val="000000"/>
                <w:szCs w:val="22"/>
              </w:rPr>
            </w:pPr>
            <w:r w:rsidRPr="00867E8C">
              <w:rPr>
                <w:rFonts w:cs="Arial"/>
                <w:color w:val="000000"/>
                <w:szCs w:val="22"/>
              </w:rPr>
              <w:t>1.30</w:t>
            </w:r>
          </w:p>
        </w:tc>
        <w:tc>
          <w:tcPr>
            <w:tcW w:w="1362" w:type="dxa"/>
            <w:tcBorders>
              <w:top w:val="single" w:sz="4" w:space="0" w:color="auto"/>
            </w:tcBorders>
            <w:shd w:val="clear" w:color="auto" w:fill="E7F3F4"/>
            <w:vAlign w:val="center"/>
            <w:hideMark/>
          </w:tcPr>
          <w:p w14:paraId="253C2E71" w14:textId="77777777" w:rsidR="009F33B9" w:rsidRPr="00867E8C" w:rsidRDefault="009F33B9" w:rsidP="005D3108">
            <w:pPr>
              <w:spacing w:before="0" w:after="0"/>
              <w:jc w:val="center"/>
              <w:rPr>
                <w:rFonts w:cs="Arial"/>
                <w:color w:val="000000"/>
                <w:szCs w:val="22"/>
              </w:rPr>
            </w:pPr>
            <w:r w:rsidRPr="00867E8C">
              <w:rPr>
                <w:rFonts w:cs="Arial"/>
                <w:color w:val="000000"/>
                <w:szCs w:val="22"/>
              </w:rPr>
              <w:t>0.58</w:t>
            </w:r>
          </w:p>
        </w:tc>
        <w:tc>
          <w:tcPr>
            <w:tcW w:w="1244" w:type="dxa"/>
            <w:tcBorders>
              <w:top w:val="single" w:sz="4" w:space="0" w:color="auto"/>
            </w:tcBorders>
            <w:shd w:val="clear" w:color="auto" w:fill="E7F3F4"/>
            <w:vAlign w:val="center"/>
            <w:hideMark/>
          </w:tcPr>
          <w:p w14:paraId="10CE6305" w14:textId="77777777" w:rsidR="009F33B9" w:rsidRPr="00867E8C" w:rsidRDefault="009F33B9" w:rsidP="005D3108">
            <w:pPr>
              <w:spacing w:before="0" w:after="0"/>
              <w:jc w:val="center"/>
              <w:rPr>
                <w:rFonts w:cs="Arial"/>
                <w:color w:val="000000"/>
                <w:szCs w:val="22"/>
              </w:rPr>
            </w:pPr>
            <w:r w:rsidRPr="00867E8C">
              <w:rPr>
                <w:rFonts w:cs="Arial"/>
                <w:color w:val="000000"/>
                <w:szCs w:val="22"/>
              </w:rPr>
              <w:t>84.5</w:t>
            </w:r>
          </w:p>
        </w:tc>
        <w:tc>
          <w:tcPr>
            <w:tcW w:w="1340" w:type="dxa"/>
            <w:tcBorders>
              <w:top w:val="single" w:sz="4" w:space="0" w:color="auto"/>
            </w:tcBorders>
            <w:shd w:val="clear" w:color="auto" w:fill="E7F3F4"/>
            <w:vAlign w:val="center"/>
            <w:hideMark/>
          </w:tcPr>
          <w:p w14:paraId="58B9729C" w14:textId="77777777" w:rsidR="009F33B9" w:rsidRPr="00867E8C" w:rsidRDefault="009F33B9" w:rsidP="005D3108">
            <w:pPr>
              <w:spacing w:before="0" w:after="0"/>
              <w:jc w:val="center"/>
              <w:rPr>
                <w:rFonts w:cs="Arial"/>
                <w:color w:val="000000"/>
                <w:szCs w:val="22"/>
              </w:rPr>
            </w:pPr>
            <w:r w:rsidRPr="00867E8C">
              <w:rPr>
                <w:rFonts w:cs="Arial"/>
                <w:color w:val="000000"/>
                <w:szCs w:val="22"/>
              </w:rPr>
              <w:t>1.93</w:t>
            </w:r>
          </w:p>
        </w:tc>
        <w:tc>
          <w:tcPr>
            <w:tcW w:w="1195" w:type="dxa"/>
            <w:tcBorders>
              <w:top w:val="single" w:sz="4" w:space="0" w:color="auto"/>
            </w:tcBorders>
            <w:shd w:val="clear" w:color="auto" w:fill="E7F3F4"/>
            <w:noWrap/>
            <w:vAlign w:val="center"/>
            <w:hideMark/>
          </w:tcPr>
          <w:p w14:paraId="5D6EA290" w14:textId="77777777" w:rsidR="009F33B9" w:rsidRPr="00867E8C" w:rsidRDefault="009F33B9" w:rsidP="005D3108">
            <w:pPr>
              <w:spacing w:before="0" w:after="0"/>
              <w:jc w:val="center"/>
              <w:rPr>
                <w:rFonts w:cs="Arial"/>
                <w:color w:val="000000"/>
                <w:szCs w:val="22"/>
              </w:rPr>
            </w:pPr>
            <w:r w:rsidRPr="00867E8C">
              <w:rPr>
                <w:rFonts w:cs="Arial"/>
                <w:color w:val="000000"/>
                <w:szCs w:val="22"/>
              </w:rPr>
              <w:t>57.50</w:t>
            </w:r>
          </w:p>
        </w:tc>
        <w:tc>
          <w:tcPr>
            <w:tcW w:w="1267" w:type="dxa"/>
            <w:tcBorders>
              <w:top w:val="single" w:sz="4" w:space="0" w:color="auto"/>
            </w:tcBorders>
            <w:shd w:val="clear" w:color="auto" w:fill="E7F3F4"/>
            <w:vAlign w:val="center"/>
          </w:tcPr>
          <w:p w14:paraId="785F4A9F" w14:textId="77777777" w:rsidR="009F33B9" w:rsidRPr="00867E8C" w:rsidRDefault="009F33B9" w:rsidP="005D3108">
            <w:pPr>
              <w:spacing w:before="0" w:after="0"/>
              <w:jc w:val="center"/>
              <w:rPr>
                <w:rFonts w:cs="Arial"/>
                <w:color w:val="000000"/>
                <w:szCs w:val="22"/>
              </w:rPr>
            </w:pPr>
            <w:r w:rsidRPr="00867E8C">
              <w:rPr>
                <w:rFonts w:cs="Arial"/>
                <w:color w:val="000000"/>
                <w:szCs w:val="22"/>
              </w:rPr>
              <w:t>1.31</w:t>
            </w:r>
          </w:p>
        </w:tc>
      </w:tr>
      <w:tr w:rsidR="009F33B9" w:rsidRPr="00867E8C" w14:paraId="7B016E94" w14:textId="77777777" w:rsidTr="00FC3D7F">
        <w:trPr>
          <w:trHeight w:val="276"/>
          <w:jc w:val="center"/>
        </w:trPr>
        <w:tc>
          <w:tcPr>
            <w:tcW w:w="0" w:type="auto"/>
            <w:vMerge/>
            <w:vAlign w:val="center"/>
            <w:hideMark/>
          </w:tcPr>
          <w:p w14:paraId="0015A4F7"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596652FF" w14:textId="77777777" w:rsidR="009F33B9" w:rsidRPr="00867E8C" w:rsidRDefault="009F33B9" w:rsidP="005D3108">
            <w:pPr>
              <w:spacing w:before="0" w:after="0"/>
              <w:jc w:val="center"/>
              <w:rPr>
                <w:rFonts w:cs="Arial"/>
                <w:color w:val="000000"/>
                <w:szCs w:val="22"/>
              </w:rPr>
            </w:pPr>
            <w:r w:rsidRPr="00867E8C">
              <w:rPr>
                <w:rFonts w:cs="Arial"/>
                <w:color w:val="000000"/>
                <w:szCs w:val="22"/>
              </w:rPr>
              <w:t>SB1</w:t>
            </w:r>
          </w:p>
        </w:tc>
        <w:tc>
          <w:tcPr>
            <w:tcW w:w="1084" w:type="dxa"/>
            <w:shd w:val="clear" w:color="auto" w:fill="E7F3F4"/>
            <w:vAlign w:val="center"/>
            <w:hideMark/>
          </w:tcPr>
          <w:p w14:paraId="458AF47A" w14:textId="77777777" w:rsidR="009F33B9" w:rsidRPr="00867E8C" w:rsidRDefault="009F33B9" w:rsidP="005D3108">
            <w:pPr>
              <w:spacing w:before="0" w:after="0"/>
              <w:jc w:val="center"/>
              <w:rPr>
                <w:rFonts w:cs="Arial"/>
                <w:color w:val="000000"/>
                <w:szCs w:val="22"/>
              </w:rPr>
            </w:pPr>
            <w:r w:rsidRPr="00867E8C">
              <w:rPr>
                <w:rFonts w:cs="Arial"/>
                <w:color w:val="000000"/>
                <w:szCs w:val="22"/>
              </w:rPr>
              <w:t>0.57</w:t>
            </w:r>
          </w:p>
        </w:tc>
        <w:tc>
          <w:tcPr>
            <w:tcW w:w="971" w:type="dxa"/>
            <w:shd w:val="clear" w:color="auto" w:fill="E7F3F4"/>
            <w:vAlign w:val="center"/>
            <w:hideMark/>
          </w:tcPr>
          <w:p w14:paraId="7ED1CCC0" w14:textId="77777777" w:rsidR="009F33B9" w:rsidRPr="00867E8C" w:rsidRDefault="009F33B9" w:rsidP="005D3108">
            <w:pPr>
              <w:spacing w:before="0" w:after="0"/>
              <w:jc w:val="center"/>
              <w:rPr>
                <w:rFonts w:cs="Arial"/>
                <w:color w:val="000000"/>
                <w:szCs w:val="22"/>
              </w:rPr>
            </w:pPr>
            <w:r w:rsidRPr="00867E8C">
              <w:rPr>
                <w:rFonts w:cs="Arial"/>
                <w:color w:val="000000"/>
                <w:szCs w:val="22"/>
              </w:rPr>
              <w:t>1.31</w:t>
            </w:r>
          </w:p>
        </w:tc>
        <w:tc>
          <w:tcPr>
            <w:tcW w:w="1362" w:type="dxa"/>
            <w:shd w:val="clear" w:color="auto" w:fill="E7F3F4"/>
            <w:vAlign w:val="center"/>
            <w:hideMark/>
          </w:tcPr>
          <w:p w14:paraId="51A8D92F" w14:textId="77777777" w:rsidR="009F33B9" w:rsidRPr="00867E8C" w:rsidRDefault="009F33B9" w:rsidP="005D3108">
            <w:pPr>
              <w:spacing w:before="0" w:after="0"/>
              <w:jc w:val="center"/>
              <w:rPr>
                <w:rFonts w:cs="Arial"/>
                <w:color w:val="000000"/>
                <w:szCs w:val="22"/>
              </w:rPr>
            </w:pPr>
            <w:r w:rsidRPr="00867E8C">
              <w:rPr>
                <w:rFonts w:cs="Arial"/>
                <w:color w:val="000000"/>
                <w:szCs w:val="22"/>
              </w:rPr>
              <w:t>0.57</w:t>
            </w:r>
          </w:p>
        </w:tc>
        <w:tc>
          <w:tcPr>
            <w:tcW w:w="1244" w:type="dxa"/>
            <w:shd w:val="clear" w:color="auto" w:fill="E7F3F4"/>
            <w:vAlign w:val="center"/>
            <w:hideMark/>
          </w:tcPr>
          <w:p w14:paraId="55A0CE98" w14:textId="77777777" w:rsidR="009F33B9" w:rsidRPr="00867E8C" w:rsidRDefault="009F33B9" w:rsidP="005D3108">
            <w:pPr>
              <w:spacing w:before="0" w:after="0"/>
              <w:jc w:val="center"/>
              <w:rPr>
                <w:rFonts w:cs="Arial"/>
                <w:color w:val="000000"/>
                <w:szCs w:val="22"/>
              </w:rPr>
            </w:pPr>
            <w:r w:rsidRPr="00867E8C">
              <w:rPr>
                <w:rFonts w:cs="Arial"/>
                <w:color w:val="000000"/>
                <w:szCs w:val="22"/>
              </w:rPr>
              <w:t>67.08</w:t>
            </w:r>
          </w:p>
        </w:tc>
        <w:tc>
          <w:tcPr>
            <w:tcW w:w="1340" w:type="dxa"/>
            <w:shd w:val="clear" w:color="auto" w:fill="E7F3F4"/>
            <w:vAlign w:val="center"/>
            <w:hideMark/>
          </w:tcPr>
          <w:p w14:paraId="152273FD" w14:textId="77777777" w:rsidR="009F33B9" w:rsidRPr="00867E8C" w:rsidRDefault="009F33B9" w:rsidP="005D3108">
            <w:pPr>
              <w:spacing w:before="0" w:after="0"/>
              <w:jc w:val="center"/>
              <w:rPr>
                <w:rFonts w:cs="Arial"/>
                <w:color w:val="000000"/>
                <w:szCs w:val="22"/>
              </w:rPr>
            </w:pPr>
            <w:r w:rsidRPr="00867E8C">
              <w:rPr>
                <w:rFonts w:cs="Arial"/>
                <w:color w:val="000000"/>
                <w:szCs w:val="22"/>
              </w:rPr>
              <w:t>1.53</w:t>
            </w:r>
          </w:p>
        </w:tc>
        <w:tc>
          <w:tcPr>
            <w:tcW w:w="1195" w:type="dxa"/>
            <w:shd w:val="clear" w:color="auto" w:fill="E7F3F4"/>
            <w:noWrap/>
            <w:vAlign w:val="center"/>
            <w:hideMark/>
          </w:tcPr>
          <w:p w14:paraId="65C8716C" w14:textId="77777777" w:rsidR="009F33B9" w:rsidRPr="00867E8C" w:rsidRDefault="009F33B9" w:rsidP="005D3108">
            <w:pPr>
              <w:spacing w:before="0" w:after="0"/>
              <w:jc w:val="center"/>
              <w:rPr>
                <w:rFonts w:cs="Arial"/>
                <w:color w:val="000000"/>
                <w:szCs w:val="22"/>
              </w:rPr>
            </w:pPr>
            <w:r w:rsidRPr="00867E8C">
              <w:rPr>
                <w:rFonts w:cs="Arial"/>
                <w:color w:val="000000"/>
                <w:szCs w:val="22"/>
              </w:rPr>
              <w:t>56.00</w:t>
            </w:r>
          </w:p>
        </w:tc>
        <w:tc>
          <w:tcPr>
            <w:tcW w:w="1267" w:type="dxa"/>
            <w:shd w:val="clear" w:color="auto" w:fill="E7F3F4"/>
            <w:vAlign w:val="center"/>
          </w:tcPr>
          <w:p w14:paraId="55B42522" w14:textId="77777777" w:rsidR="009F33B9" w:rsidRPr="00867E8C" w:rsidRDefault="009F33B9" w:rsidP="005D3108">
            <w:pPr>
              <w:spacing w:before="0" w:after="0"/>
              <w:jc w:val="center"/>
              <w:rPr>
                <w:rFonts w:cs="Arial"/>
                <w:color w:val="000000"/>
                <w:szCs w:val="22"/>
              </w:rPr>
            </w:pPr>
            <w:r w:rsidRPr="00867E8C">
              <w:rPr>
                <w:rFonts w:cs="Arial"/>
                <w:color w:val="000000"/>
                <w:szCs w:val="22"/>
              </w:rPr>
              <w:t>1.28</w:t>
            </w:r>
          </w:p>
        </w:tc>
      </w:tr>
      <w:tr w:rsidR="009F33B9" w:rsidRPr="00867E8C" w14:paraId="1AB5B056" w14:textId="77777777" w:rsidTr="00FC3D7F">
        <w:trPr>
          <w:trHeight w:val="276"/>
          <w:jc w:val="center"/>
        </w:trPr>
        <w:tc>
          <w:tcPr>
            <w:tcW w:w="0" w:type="auto"/>
            <w:vMerge/>
            <w:vAlign w:val="center"/>
            <w:hideMark/>
          </w:tcPr>
          <w:p w14:paraId="00FC0CD2"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60847AE0" w14:textId="77777777" w:rsidR="009F33B9" w:rsidRPr="00867E8C" w:rsidRDefault="009F33B9" w:rsidP="005D3108">
            <w:pPr>
              <w:spacing w:before="0" w:after="0"/>
              <w:jc w:val="center"/>
              <w:rPr>
                <w:rFonts w:cs="Arial"/>
                <w:color w:val="000000"/>
                <w:szCs w:val="22"/>
              </w:rPr>
            </w:pPr>
            <w:r w:rsidRPr="00867E8C">
              <w:rPr>
                <w:rFonts w:cs="Arial"/>
                <w:color w:val="000000"/>
                <w:szCs w:val="22"/>
              </w:rPr>
              <w:t>MI1</w:t>
            </w:r>
          </w:p>
        </w:tc>
        <w:tc>
          <w:tcPr>
            <w:tcW w:w="1084" w:type="dxa"/>
            <w:shd w:val="clear" w:color="auto" w:fill="E7F3F4"/>
            <w:vAlign w:val="center"/>
            <w:hideMark/>
          </w:tcPr>
          <w:p w14:paraId="556AD21F" w14:textId="77777777" w:rsidR="009F33B9" w:rsidRPr="00867E8C" w:rsidRDefault="009F33B9" w:rsidP="005D3108">
            <w:pPr>
              <w:spacing w:before="0" w:after="0"/>
              <w:jc w:val="center"/>
              <w:rPr>
                <w:rFonts w:cs="Arial"/>
                <w:color w:val="000000"/>
                <w:szCs w:val="22"/>
              </w:rPr>
            </w:pPr>
            <w:r w:rsidRPr="00867E8C">
              <w:rPr>
                <w:rFonts w:cs="Arial"/>
                <w:color w:val="000000"/>
                <w:szCs w:val="22"/>
              </w:rPr>
              <w:t>0.65</w:t>
            </w:r>
          </w:p>
        </w:tc>
        <w:tc>
          <w:tcPr>
            <w:tcW w:w="971" w:type="dxa"/>
            <w:shd w:val="clear" w:color="auto" w:fill="E7F3F4"/>
            <w:vAlign w:val="center"/>
            <w:hideMark/>
          </w:tcPr>
          <w:p w14:paraId="7E0BC008" w14:textId="77777777" w:rsidR="009F33B9" w:rsidRPr="00867E8C" w:rsidRDefault="009F33B9" w:rsidP="005D3108">
            <w:pPr>
              <w:spacing w:before="0" w:after="0"/>
              <w:jc w:val="center"/>
              <w:rPr>
                <w:rFonts w:cs="Arial"/>
                <w:color w:val="000000"/>
                <w:szCs w:val="22"/>
              </w:rPr>
            </w:pPr>
            <w:r w:rsidRPr="00867E8C">
              <w:rPr>
                <w:rFonts w:cs="Arial"/>
                <w:color w:val="000000"/>
                <w:szCs w:val="22"/>
              </w:rPr>
              <w:t>1.19</w:t>
            </w:r>
          </w:p>
        </w:tc>
        <w:tc>
          <w:tcPr>
            <w:tcW w:w="1362" w:type="dxa"/>
            <w:shd w:val="clear" w:color="auto" w:fill="E7F3F4"/>
            <w:vAlign w:val="center"/>
            <w:hideMark/>
          </w:tcPr>
          <w:p w14:paraId="23D2EBC5" w14:textId="77777777" w:rsidR="009F33B9" w:rsidRPr="00867E8C" w:rsidRDefault="009F33B9" w:rsidP="005D3108">
            <w:pPr>
              <w:spacing w:before="0" w:after="0"/>
              <w:jc w:val="center"/>
              <w:rPr>
                <w:rFonts w:cs="Arial"/>
                <w:color w:val="000000"/>
                <w:szCs w:val="22"/>
              </w:rPr>
            </w:pPr>
            <w:r w:rsidRPr="00867E8C">
              <w:rPr>
                <w:rFonts w:cs="Arial"/>
                <w:color w:val="000000"/>
                <w:szCs w:val="22"/>
              </w:rPr>
              <w:t>0.67</w:t>
            </w:r>
          </w:p>
        </w:tc>
        <w:tc>
          <w:tcPr>
            <w:tcW w:w="1244" w:type="dxa"/>
            <w:shd w:val="clear" w:color="auto" w:fill="E7F3F4"/>
            <w:vAlign w:val="center"/>
            <w:hideMark/>
          </w:tcPr>
          <w:p w14:paraId="6DAB9797" w14:textId="77777777" w:rsidR="009F33B9" w:rsidRPr="00867E8C" w:rsidRDefault="009F33B9" w:rsidP="005D3108">
            <w:pPr>
              <w:spacing w:before="0" w:after="0"/>
              <w:jc w:val="center"/>
              <w:rPr>
                <w:rFonts w:cs="Arial"/>
                <w:color w:val="000000"/>
                <w:szCs w:val="22"/>
              </w:rPr>
            </w:pPr>
            <w:r w:rsidRPr="00867E8C">
              <w:rPr>
                <w:rFonts w:cs="Arial"/>
                <w:color w:val="000000"/>
                <w:szCs w:val="22"/>
              </w:rPr>
              <w:t>183.00</w:t>
            </w:r>
          </w:p>
        </w:tc>
        <w:tc>
          <w:tcPr>
            <w:tcW w:w="1340" w:type="dxa"/>
            <w:shd w:val="clear" w:color="auto" w:fill="E7F3F4"/>
            <w:vAlign w:val="center"/>
            <w:hideMark/>
          </w:tcPr>
          <w:p w14:paraId="6AE37071" w14:textId="77777777" w:rsidR="009F33B9" w:rsidRPr="00867E8C" w:rsidRDefault="009F33B9" w:rsidP="005D3108">
            <w:pPr>
              <w:spacing w:before="0" w:after="0"/>
              <w:jc w:val="center"/>
              <w:rPr>
                <w:rFonts w:cs="Arial"/>
                <w:color w:val="000000"/>
                <w:szCs w:val="22"/>
              </w:rPr>
            </w:pPr>
            <w:r w:rsidRPr="00867E8C">
              <w:rPr>
                <w:rFonts w:cs="Arial"/>
                <w:color w:val="000000"/>
                <w:szCs w:val="22"/>
              </w:rPr>
              <w:t>4.18</w:t>
            </w:r>
          </w:p>
        </w:tc>
        <w:tc>
          <w:tcPr>
            <w:tcW w:w="1195" w:type="dxa"/>
            <w:shd w:val="clear" w:color="auto" w:fill="E7F3F4"/>
            <w:noWrap/>
            <w:vAlign w:val="center"/>
            <w:hideMark/>
          </w:tcPr>
          <w:p w14:paraId="325D912B" w14:textId="77777777" w:rsidR="009F33B9" w:rsidRPr="00867E8C" w:rsidRDefault="009F33B9" w:rsidP="005D3108">
            <w:pPr>
              <w:spacing w:before="0" w:after="0"/>
              <w:jc w:val="center"/>
              <w:rPr>
                <w:rFonts w:cs="Arial"/>
                <w:color w:val="000000"/>
                <w:szCs w:val="22"/>
              </w:rPr>
            </w:pPr>
            <w:r w:rsidRPr="00867E8C">
              <w:rPr>
                <w:rFonts w:cs="Arial"/>
                <w:color w:val="000000"/>
                <w:szCs w:val="22"/>
              </w:rPr>
              <w:t>84.00</w:t>
            </w:r>
          </w:p>
        </w:tc>
        <w:tc>
          <w:tcPr>
            <w:tcW w:w="1267" w:type="dxa"/>
            <w:shd w:val="clear" w:color="auto" w:fill="E7F3F4"/>
            <w:vAlign w:val="center"/>
          </w:tcPr>
          <w:p w14:paraId="4A96EAAC" w14:textId="77777777" w:rsidR="009F33B9" w:rsidRPr="00867E8C" w:rsidRDefault="009F33B9" w:rsidP="005D3108">
            <w:pPr>
              <w:spacing w:before="0" w:after="0"/>
              <w:jc w:val="center"/>
              <w:rPr>
                <w:rFonts w:cs="Arial"/>
                <w:color w:val="000000"/>
                <w:szCs w:val="22"/>
              </w:rPr>
            </w:pPr>
            <w:r w:rsidRPr="00867E8C">
              <w:rPr>
                <w:rFonts w:cs="Arial"/>
                <w:color w:val="000000"/>
                <w:szCs w:val="22"/>
              </w:rPr>
              <w:t>1.92</w:t>
            </w:r>
          </w:p>
        </w:tc>
      </w:tr>
      <w:tr w:rsidR="009F33B9" w:rsidRPr="00867E8C" w14:paraId="1301AC08" w14:textId="77777777" w:rsidTr="00FC3D7F">
        <w:trPr>
          <w:trHeight w:val="276"/>
          <w:jc w:val="center"/>
        </w:trPr>
        <w:tc>
          <w:tcPr>
            <w:tcW w:w="0" w:type="auto"/>
            <w:vMerge/>
            <w:vAlign w:val="center"/>
            <w:hideMark/>
          </w:tcPr>
          <w:p w14:paraId="473AA3A4"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2FA4A099" w14:textId="77777777" w:rsidR="009F33B9" w:rsidRPr="00867E8C" w:rsidRDefault="009F33B9" w:rsidP="005D3108">
            <w:pPr>
              <w:spacing w:before="0" w:after="0"/>
              <w:jc w:val="center"/>
              <w:rPr>
                <w:rFonts w:cs="Arial"/>
                <w:color w:val="000000"/>
                <w:szCs w:val="22"/>
              </w:rPr>
            </w:pPr>
            <w:r w:rsidRPr="00867E8C">
              <w:rPr>
                <w:rFonts w:cs="Arial"/>
                <w:color w:val="000000"/>
                <w:szCs w:val="22"/>
              </w:rPr>
              <w:t>MI2</w:t>
            </w:r>
          </w:p>
        </w:tc>
        <w:tc>
          <w:tcPr>
            <w:tcW w:w="1084" w:type="dxa"/>
            <w:shd w:val="clear" w:color="auto" w:fill="E7F3F4"/>
            <w:vAlign w:val="center"/>
            <w:hideMark/>
          </w:tcPr>
          <w:p w14:paraId="59B1D523" w14:textId="77777777" w:rsidR="009F33B9" w:rsidRPr="00867E8C" w:rsidRDefault="009F33B9" w:rsidP="005D3108">
            <w:pPr>
              <w:spacing w:before="0" w:after="0"/>
              <w:jc w:val="center"/>
              <w:rPr>
                <w:rFonts w:cs="Arial"/>
                <w:color w:val="000000"/>
                <w:szCs w:val="22"/>
              </w:rPr>
            </w:pPr>
            <w:r w:rsidRPr="00867E8C">
              <w:rPr>
                <w:rFonts w:cs="Arial"/>
                <w:color w:val="000000"/>
                <w:szCs w:val="22"/>
              </w:rPr>
              <w:t>0.54</w:t>
            </w:r>
          </w:p>
        </w:tc>
        <w:tc>
          <w:tcPr>
            <w:tcW w:w="971" w:type="dxa"/>
            <w:shd w:val="clear" w:color="auto" w:fill="E7F3F4"/>
            <w:vAlign w:val="center"/>
            <w:hideMark/>
          </w:tcPr>
          <w:p w14:paraId="164A8B77" w14:textId="77777777" w:rsidR="009F33B9" w:rsidRPr="00867E8C" w:rsidRDefault="009F33B9" w:rsidP="005D3108">
            <w:pPr>
              <w:spacing w:before="0" w:after="0"/>
              <w:jc w:val="center"/>
              <w:rPr>
                <w:rFonts w:cs="Arial"/>
                <w:color w:val="000000"/>
                <w:szCs w:val="22"/>
              </w:rPr>
            </w:pPr>
            <w:r w:rsidRPr="00867E8C">
              <w:rPr>
                <w:rFonts w:cs="Arial"/>
                <w:color w:val="000000"/>
                <w:szCs w:val="22"/>
              </w:rPr>
              <w:t>1.30</w:t>
            </w:r>
          </w:p>
        </w:tc>
        <w:tc>
          <w:tcPr>
            <w:tcW w:w="1362" w:type="dxa"/>
            <w:shd w:val="clear" w:color="auto" w:fill="E7F3F4"/>
            <w:vAlign w:val="center"/>
            <w:hideMark/>
          </w:tcPr>
          <w:p w14:paraId="44D50F59" w14:textId="77777777" w:rsidR="009F33B9" w:rsidRPr="00867E8C" w:rsidRDefault="009F33B9" w:rsidP="005D3108">
            <w:pPr>
              <w:spacing w:before="0" w:after="0"/>
              <w:jc w:val="center"/>
              <w:rPr>
                <w:rFonts w:cs="Arial"/>
                <w:color w:val="000000"/>
                <w:szCs w:val="22"/>
              </w:rPr>
            </w:pPr>
            <w:r w:rsidRPr="00867E8C">
              <w:rPr>
                <w:rFonts w:cs="Arial"/>
                <w:color w:val="000000"/>
                <w:szCs w:val="22"/>
              </w:rPr>
              <w:t>0.56</w:t>
            </w:r>
          </w:p>
        </w:tc>
        <w:tc>
          <w:tcPr>
            <w:tcW w:w="1244" w:type="dxa"/>
            <w:shd w:val="clear" w:color="auto" w:fill="E7F3F4"/>
            <w:vAlign w:val="center"/>
            <w:hideMark/>
          </w:tcPr>
          <w:p w14:paraId="3CBAAF3C" w14:textId="77777777" w:rsidR="009F33B9" w:rsidRPr="00867E8C" w:rsidRDefault="009F33B9" w:rsidP="005D3108">
            <w:pPr>
              <w:spacing w:before="0" w:after="0"/>
              <w:jc w:val="center"/>
              <w:rPr>
                <w:rFonts w:cs="Arial"/>
                <w:color w:val="000000"/>
                <w:szCs w:val="22"/>
              </w:rPr>
            </w:pPr>
            <w:r w:rsidRPr="00867E8C">
              <w:rPr>
                <w:rFonts w:cs="Arial"/>
                <w:color w:val="000000"/>
                <w:szCs w:val="22"/>
              </w:rPr>
              <w:t>170.00</w:t>
            </w:r>
          </w:p>
        </w:tc>
        <w:tc>
          <w:tcPr>
            <w:tcW w:w="1340" w:type="dxa"/>
            <w:shd w:val="clear" w:color="auto" w:fill="E7F3F4"/>
            <w:vAlign w:val="center"/>
            <w:hideMark/>
          </w:tcPr>
          <w:p w14:paraId="60E16BD5" w14:textId="77777777" w:rsidR="009F33B9" w:rsidRPr="00867E8C" w:rsidRDefault="009F33B9" w:rsidP="005D3108">
            <w:pPr>
              <w:spacing w:before="0" w:after="0"/>
              <w:jc w:val="center"/>
              <w:rPr>
                <w:rFonts w:cs="Arial"/>
                <w:color w:val="000000"/>
                <w:szCs w:val="22"/>
              </w:rPr>
            </w:pPr>
            <w:r w:rsidRPr="00867E8C">
              <w:rPr>
                <w:rFonts w:cs="Arial"/>
                <w:color w:val="000000"/>
                <w:szCs w:val="22"/>
              </w:rPr>
              <w:t>3.88</w:t>
            </w:r>
          </w:p>
        </w:tc>
        <w:tc>
          <w:tcPr>
            <w:tcW w:w="1195" w:type="dxa"/>
            <w:shd w:val="clear" w:color="auto" w:fill="E7F3F4"/>
            <w:noWrap/>
            <w:vAlign w:val="center"/>
            <w:hideMark/>
          </w:tcPr>
          <w:p w14:paraId="42F2BED1" w14:textId="77777777" w:rsidR="009F33B9" w:rsidRPr="00867E8C" w:rsidRDefault="009F33B9" w:rsidP="005D3108">
            <w:pPr>
              <w:spacing w:before="0" w:after="0"/>
              <w:jc w:val="center"/>
              <w:rPr>
                <w:rFonts w:cs="Arial"/>
                <w:szCs w:val="22"/>
              </w:rPr>
            </w:pPr>
            <w:r w:rsidRPr="00867E8C">
              <w:rPr>
                <w:rFonts w:cs="Arial"/>
                <w:szCs w:val="22"/>
              </w:rPr>
              <w:t>54.00</w:t>
            </w:r>
          </w:p>
        </w:tc>
        <w:tc>
          <w:tcPr>
            <w:tcW w:w="1267" w:type="dxa"/>
            <w:shd w:val="clear" w:color="auto" w:fill="E7F3F4"/>
            <w:vAlign w:val="center"/>
          </w:tcPr>
          <w:p w14:paraId="758F3C1A" w14:textId="77777777" w:rsidR="009F33B9" w:rsidRPr="00867E8C" w:rsidRDefault="009F33B9" w:rsidP="005D3108">
            <w:pPr>
              <w:spacing w:before="0" w:after="0"/>
              <w:jc w:val="center"/>
              <w:rPr>
                <w:rFonts w:cs="Arial"/>
                <w:szCs w:val="22"/>
              </w:rPr>
            </w:pPr>
            <w:r w:rsidRPr="00867E8C">
              <w:rPr>
                <w:rFonts w:cs="Arial"/>
                <w:szCs w:val="22"/>
              </w:rPr>
              <w:t>1.23</w:t>
            </w:r>
          </w:p>
        </w:tc>
      </w:tr>
      <w:tr w:rsidR="009F33B9" w:rsidRPr="00867E8C" w14:paraId="678F669D" w14:textId="77777777" w:rsidTr="00FC3D7F">
        <w:trPr>
          <w:trHeight w:val="276"/>
          <w:jc w:val="center"/>
        </w:trPr>
        <w:tc>
          <w:tcPr>
            <w:tcW w:w="0" w:type="auto"/>
            <w:vMerge/>
            <w:vAlign w:val="center"/>
            <w:hideMark/>
          </w:tcPr>
          <w:p w14:paraId="423168AD"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7C899068" w14:textId="77777777" w:rsidR="009F33B9" w:rsidRPr="00867E8C" w:rsidRDefault="009F33B9" w:rsidP="005D3108">
            <w:pPr>
              <w:spacing w:before="0" w:after="0"/>
              <w:jc w:val="center"/>
              <w:rPr>
                <w:rFonts w:cs="Arial"/>
                <w:color w:val="000000"/>
                <w:szCs w:val="22"/>
              </w:rPr>
            </w:pPr>
            <w:r w:rsidRPr="00867E8C">
              <w:rPr>
                <w:rFonts w:cs="Arial"/>
                <w:color w:val="000000"/>
                <w:szCs w:val="22"/>
              </w:rPr>
              <w:t>JR1</w:t>
            </w:r>
          </w:p>
        </w:tc>
        <w:tc>
          <w:tcPr>
            <w:tcW w:w="1084" w:type="dxa"/>
            <w:shd w:val="clear" w:color="auto" w:fill="E7F3F4"/>
            <w:vAlign w:val="center"/>
            <w:hideMark/>
          </w:tcPr>
          <w:p w14:paraId="4475E4A3" w14:textId="77777777" w:rsidR="009F33B9" w:rsidRPr="00867E8C" w:rsidRDefault="009F33B9" w:rsidP="005D3108">
            <w:pPr>
              <w:spacing w:before="0" w:after="0"/>
              <w:jc w:val="center"/>
              <w:rPr>
                <w:rFonts w:cs="Arial"/>
                <w:color w:val="000000"/>
                <w:szCs w:val="22"/>
              </w:rPr>
            </w:pPr>
            <w:r w:rsidRPr="00867E8C">
              <w:rPr>
                <w:rFonts w:cs="Arial"/>
                <w:color w:val="000000"/>
                <w:szCs w:val="22"/>
              </w:rPr>
              <w:t>0.47</w:t>
            </w:r>
          </w:p>
        </w:tc>
        <w:tc>
          <w:tcPr>
            <w:tcW w:w="971" w:type="dxa"/>
            <w:shd w:val="clear" w:color="auto" w:fill="E7F3F4"/>
            <w:vAlign w:val="center"/>
            <w:hideMark/>
          </w:tcPr>
          <w:p w14:paraId="79D1089E" w14:textId="77777777" w:rsidR="009F33B9" w:rsidRPr="00867E8C" w:rsidRDefault="009F33B9" w:rsidP="005D3108">
            <w:pPr>
              <w:spacing w:before="0" w:after="0"/>
              <w:jc w:val="center"/>
              <w:rPr>
                <w:rFonts w:cs="Arial"/>
                <w:color w:val="000000"/>
                <w:szCs w:val="22"/>
              </w:rPr>
            </w:pPr>
            <w:r w:rsidRPr="00867E8C">
              <w:rPr>
                <w:rFonts w:cs="Arial"/>
                <w:color w:val="000000"/>
                <w:szCs w:val="22"/>
              </w:rPr>
              <w:t>1.32</w:t>
            </w:r>
          </w:p>
        </w:tc>
        <w:tc>
          <w:tcPr>
            <w:tcW w:w="1362" w:type="dxa"/>
            <w:shd w:val="clear" w:color="auto" w:fill="E7F3F4"/>
            <w:vAlign w:val="center"/>
            <w:hideMark/>
          </w:tcPr>
          <w:p w14:paraId="63449992" w14:textId="77777777" w:rsidR="009F33B9" w:rsidRPr="00867E8C" w:rsidRDefault="009F33B9" w:rsidP="005D3108">
            <w:pPr>
              <w:spacing w:before="0" w:after="0"/>
              <w:jc w:val="center"/>
              <w:rPr>
                <w:rFonts w:cs="Arial"/>
                <w:color w:val="000000"/>
                <w:szCs w:val="22"/>
              </w:rPr>
            </w:pPr>
            <w:r w:rsidRPr="00867E8C">
              <w:rPr>
                <w:rFonts w:cs="Arial"/>
                <w:color w:val="000000"/>
                <w:szCs w:val="22"/>
              </w:rPr>
              <w:t>0.47</w:t>
            </w:r>
          </w:p>
        </w:tc>
        <w:tc>
          <w:tcPr>
            <w:tcW w:w="1244" w:type="dxa"/>
            <w:shd w:val="clear" w:color="auto" w:fill="E7F3F4"/>
            <w:vAlign w:val="center"/>
            <w:hideMark/>
          </w:tcPr>
          <w:p w14:paraId="59C45FC3" w14:textId="77777777" w:rsidR="009F33B9" w:rsidRPr="00867E8C" w:rsidRDefault="009F33B9" w:rsidP="005D3108">
            <w:pPr>
              <w:spacing w:before="0" w:after="0"/>
              <w:jc w:val="center"/>
              <w:rPr>
                <w:rFonts w:cs="Arial"/>
                <w:color w:val="000000"/>
                <w:szCs w:val="22"/>
              </w:rPr>
            </w:pPr>
            <w:r w:rsidRPr="00867E8C">
              <w:rPr>
                <w:rFonts w:cs="Arial"/>
                <w:color w:val="000000"/>
                <w:szCs w:val="22"/>
              </w:rPr>
              <w:t>63.33</w:t>
            </w:r>
          </w:p>
        </w:tc>
        <w:tc>
          <w:tcPr>
            <w:tcW w:w="1340" w:type="dxa"/>
            <w:shd w:val="clear" w:color="auto" w:fill="E7F3F4"/>
            <w:vAlign w:val="center"/>
            <w:hideMark/>
          </w:tcPr>
          <w:p w14:paraId="5D9AA0FE" w14:textId="77777777" w:rsidR="009F33B9" w:rsidRPr="00867E8C" w:rsidRDefault="009F33B9" w:rsidP="005D3108">
            <w:pPr>
              <w:spacing w:before="0" w:after="0"/>
              <w:jc w:val="center"/>
              <w:rPr>
                <w:rFonts w:cs="Arial"/>
                <w:color w:val="000000"/>
                <w:szCs w:val="22"/>
              </w:rPr>
            </w:pPr>
            <w:r w:rsidRPr="00867E8C">
              <w:rPr>
                <w:rFonts w:cs="Arial"/>
                <w:color w:val="000000"/>
                <w:szCs w:val="22"/>
              </w:rPr>
              <w:t>1.44</w:t>
            </w:r>
          </w:p>
        </w:tc>
        <w:tc>
          <w:tcPr>
            <w:tcW w:w="1195" w:type="dxa"/>
            <w:shd w:val="clear" w:color="auto" w:fill="E7F3F4"/>
            <w:noWrap/>
            <w:vAlign w:val="center"/>
            <w:hideMark/>
          </w:tcPr>
          <w:p w14:paraId="101F125C" w14:textId="77777777" w:rsidR="009F33B9" w:rsidRPr="00867E8C" w:rsidRDefault="009F33B9" w:rsidP="005D3108">
            <w:pPr>
              <w:spacing w:before="0" w:after="0"/>
              <w:jc w:val="center"/>
              <w:rPr>
                <w:rFonts w:cs="Arial"/>
                <w:szCs w:val="22"/>
              </w:rPr>
            </w:pPr>
            <w:r w:rsidRPr="00867E8C">
              <w:rPr>
                <w:rFonts w:cs="Arial"/>
                <w:szCs w:val="22"/>
              </w:rPr>
              <w:t>57.00</w:t>
            </w:r>
          </w:p>
        </w:tc>
        <w:tc>
          <w:tcPr>
            <w:tcW w:w="1267" w:type="dxa"/>
            <w:shd w:val="clear" w:color="auto" w:fill="E7F3F4"/>
            <w:vAlign w:val="center"/>
          </w:tcPr>
          <w:p w14:paraId="130FFDFC" w14:textId="77777777" w:rsidR="009F33B9" w:rsidRPr="00867E8C" w:rsidRDefault="009F33B9" w:rsidP="005D3108">
            <w:pPr>
              <w:spacing w:before="0" w:after="0"/>
              <w:jc w:val="center"/>
              <w:rPr>
                <w:rFonts w:cs="Arial"/>
                <w:szCs w:val="22"/>
              </w:rPr>
            </w:pPr>
            <w:r w:rsidRPr="00867E8C">
              <w:rPr>
                <w:rFonts w:cs="Arial"/>
                <w:szCs w:val="22"/>
              </w:rPr>
              <w:t>1.30</w:t>
            </w:r>
          </w:p>
        </w:tc>
      </w:tr>
      <w:tr w:rsidR="009F33B9" w:rsidRPr="00867E8C" w14:paraId="7E343ABE" w14:textId="77777777" w:rsidTr="00FC3D7F">
        <w:trPr>
          <w:trHeight w:val="276"/>
          <w:jc w:val="center"/>
        </w:trPr>
        <w:tc>
          <w:tcPr>
            <w:tcW w:w="0" w:type="auto"/>
            <w:vMerge/>
            <w:tcBorders>
              <w:bottom w:val="single" w:sz="4" w:space="0" w:color="auto"/>
            </w:tcBorders>
            <w:vAlign w:val="center"/>
            <w:hideMark/>
          </w:tcPr>
          <w:p w14:paraId="03608C7A"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E7F3F4"/>
            <w:vAlign w:val="center"/>
            <w:hideMark/>
          </w:tcPr>
          <w:p w14:paraId="29F9C5F7" w14:textId="77777777" w:rsidR="009F33B9" w:rsidRPr="00867E8C" w:rsidRDefault="009F33B9" w:rsidP="005D3108">
            <w:pPr>
              <w:spacing w:before="0" w:after="0"/>
              <w:jc w:val="center"/>
              <w:rPr>
                <w:rFonts w:cs="Arial"/>
                <w:color w:val="000000"/>
                <w:szCs w:val="22"/>
              </w:rPr>
            </w:pPr>
            <w:r w:rsidRPr="00867E8C">
              <w:rPr>
                <w:rFonts w:cs="Arial"/>
                <w:color w:val="000000"/>
                <w:szCs w:val="22"/>
              </w:rPr>
              <w:t>JR2</w:t>
            </w:r>
          </w:p>
        </w:tc>
        <w:tc>
          <w:tcPr>
            <w:tcW w:w="1084" w:type="dxa"/>
            <w:tcBorders>
              <w:bottom w:val="single" w:sz="4" w:space="0" w:color="auto"/>
            </w:tcBorders>
            <w:shd w:val="clear" w:color="auto" w:fill="E7F3F4"/>
            <w:vAlign w:val="center"/>
            <w:hideMark/>
          </w:tcPr>
          <w:p w14:paraId="6E2C5D8F" w14:textId="77777777" w:rsidR="009F33B9" w:rsidRPr="00867E8C" w:rsidRDefault="009F33B9" w:rsidP="005D3108">
            <w:pPr>
              <w:spacing w:before="0" w:after="0"/>
              <w:jc w:val="center"/>
              <w:rPr>
                <w:rFonts w:cs="Arial"/>
                <w:color w:val="000000"/>
                <w:szCs w:val="22"/>
              </w:rPr>
            </w:pPr>
            <w:r w:rsidRPr="00867E8C">
              <w:rPr>
                <w:rFonts w:cs="Arial"/>
                <w:color w:val="000000"/>
                <w:szCs w:val="22"/>
              </w:rPr>
              <w:t>0.47</w:t>
            </w:r>
          </w:p>
        </w:tc>
        <w:tc>
          <w:tcPr>
            <w:tcW w:w="971" w:type="dxa"/>
            <w:tcBorders>
              <w:bottom w:val="single" w:sz="4" w:space="0" w:color="auto"/>
            </w:tcBorders>
            <w:shd w:val="clear" w:color="auto" w:fill="E7F3F4"/>
            <w:vAlign w:val="center"/>
            <w:hideMark/>
          </w:tcPr>
          <w:p w14:paraId="370E2612" w14:textId="77777777" w:rsidR="009F33B9" w:rsidRPr="00867E8C" w:rsidRDefault="009F33B9" w:rsidP="005D3108">
            <w:pPr>
              <w:spacing w:before="0" w:after="0"/>
              <w:jc w:val="center"/>
              <w:rPr>
                <w:rFonts w:cs="Arial"/>
                <w:color w:val="000000"/>
                <w:szCs w:val="22"/>
              </w:rPr>
            </w:pPr>
            <w:r w:rsidRPr="00867E8C">
              <w:rPr>
                <w:rFonts w:cs="Arial"/>
                <w:color w:val="000000"/>
                <w:szCs w:val="22"/>
              </w:rPr>
              <w:t>1.32</w:t>
            </w:r>
          </w:p>
        </w:tc>
        <w:tc>
          <w:tcPr>
            <w:tcW w:w="1362" w:type="dxa"/>
            <w:tcBorders>
              <w:bottom w:val="single" w:sz="4" w:space="0" w:color="auto"/>
            </w:tcBorders>
            <w:shd w:val="clear" w:color="auto" w:fill="E7F3F4"/>
            <w:vAlign w:val="center"/>
            <w:hideMark/>
          </w:tcPr>
          <w:p w14:paraId="34D74267" w14:textId="77777777" w:rsidR="009F33B9" w:rsidRPr="00867E8C" w:rsidRDefault="009F33B9" w:rsidP="005D3108">
            <w:pPr>
              <w:spacing w:before="0" w:after="0"/>
              <w:jc w:val="center"/>
              <w:rPr>
                <w:rFonts w:cs="Arial"/>
                <w:color w:val="000000"/>
                <w:szCs w:val="22"/>
              </w:rPr>
            </w:pPr>
            <w:r w:rsidRPr="00867E8C">
              <w:rPr>
                <w:rFonts w:cs="Arial"/>
                <w:color w:val="000000"/>
                <w:szCs w:val="22"/>
              </w:rPr>
              <w:t>0.47</w:t>
            </w:r>
          </w:p>
        </w:tc>
        <w:tc>
          <w:tcPr>
            <w:tcW w:w="1244" w:type="dxa"/>
            <w:tcBorders>
              <w:bottom w:val="single" w:sz="4" w:space="0" w:color="auto"/>
            </w:tcBorders>
            <w:shd w:val="clear" w:color="auto" w:fill="E7F3F4"/>
            <w:vAlign w:val="center"/>
            <w:hideMark/>
          </w:tcPr>
          <w:p w14:paraId="411B364B" w14:textId="77777777" w:rsidR="009F33B9" w:rsidRPr="00867E8C" w:rsidRDefault="009F33B9" w:rsidP="005D3108">
            <w:pPr>
              <w:spacing w:before="0" w:after="0"/>
              <w:jc w:val="center"/>
              <w:rPr>
                <w:rFonts w:cs="Arial"/>
                <w:color w:val="000000"/>
                <w:szCs w:val="22"/>
              </w:rPr>
            </w:pPr>
            <w:r w:rsidRPr="00867E8C">
              <w:rPr>
                <w:rFonts w:cs="Arial"/>
                <w:color w:val="000000"/>
                <w:szCs w:val="22"/>
              </w:rPr>
              <w:t>63.33</w:t>
            </w:r>
          </w:p>
        </w:tc>
        <w:tc>
          <w:tcPr>
            <w:tcW w:w="1340" w:type="dxa"/>
            <w:tcBorders>
              <w:bottom w:val="single" w:sz="4" w:space="0" w:color="auto"/>
            </w:tcBorders>
            <w:shd w:val="clear" w:color="auto" w:fill="E7F3F4"/>
            <w:vAlign w:val="center"/>
            <w:hideMark/>
          </w:tcPr>
          <w:p w14:paraId="4BFEC305" w14:textId="77777777" w:rsidR="009F33B9" w:rsidRPr="00867E8C" w:rsidRDefault="009F33B9" w:rsidP="005D3108">
            <w:pPr>
              <w:spacing w:before="0" w:after="0"/>
              <w:jc w:val="center"/>
              <w:rPr>
                <w:rFonts w:cs="Arial"/>
                <w:color w:val="000000"/>
                <w:szCs w:val="22"/>
              </w:rPr>
            </w:pPr>
            <w:r w:rsidRPr="00867E8C">
              <w:rPr>
                <w:rFonts w:cs="Arial"/>
                <w:color w:val="000000"/>
                <w:szCs w:val="22"/>
              </w:rPr>
              <w:t>1.44</w:t>
            </w:r>
          </w:p>
        </w:tc>
        <w:tc>
          <w:tcPr>
            <w:tcW w:w="1195" w:type="dxa"/>
            <w:tcBorders>
              <w:bottom w:val="single" w:sz="4" w:space="0" w:color="auto"/>
            </w:tcBorders>
            <w:shd w:val="clear" w:color="auto" w:fill="E7F3F4"/>
            <w:noWrap/>
            <w:vAlign w:val="center"/>
            <w:hideMark/>
          </w:tcPr>
          <w:p w14:paraId="078C869D" w14:textId="77777777" w:rsidR="009F33B9" w:rsidRPr="00867E8C" w:rsidRDefault="009F33B9" w:rsidP="005D3108">
            <w:pPr>
              <w:spacing w:before="0" w:after="0"/>
              <w:jc w:val="center"/>
              <w:rPr>
                <w:rFonts w:cs="Arial"/>
                <w:szCs w:val="22"/>
              </w:rPr>
            </w:pPr>
            <w:r w:rsidRPr="00867E8C">
              <w:rPr>
                <w:rFonts w:cs="Arial"/>
                <w:szCs w:val="22"/>
              </w:rPr>
              <w:t>57.00</w:t>
            </w:r>
          </w:p>
        </w:tc>
        <w:tc>
          <w:tcPr>
            <w:tcW w:w="1267" w:type="dxa"/>
            <w:tcBorders>
              <w:bottom w:val="single" w:sz="4" w:space="0" w:color="auto"/>
            </w:tcBorders>
            <w:shd w:val="clear" w:color="auto" w:fill="E7F3F4"/>
            <w:vAlign w:val="center"/>
          </w:tcPr>
          <w:p w14:paraId="3514E8D0" w14:textId="77777777" w:rsidR="009F33B9" w:rsidRPr="00867E8C" w:rsidRDefault="009F33B9" w:rsidP="005D3108">
            <w:pPr>
              <w:spacing w:before="0" w:after="0"/>
              <w:jc w:val="center"/>
              <w:rPr>
                <w:rFonts w:cs="Arial"/>
                <w:szCs w:val="22"/>
              </w:rPr>
            </w:pPr>
            <w:r w:rsidRPr="00867E8C">
              <w:rPr>
                <w:rFonts w:cs="Arial"/>
                <w:szCs w:val="22"/>
              </w:rPr>
              <w:t>1.30</w:t>
            </w:r>
          </w:p>
        </w:tc>
      </w:tr>
      <w:tr w:rsidR="009F33B9" w:rsidRPr="00867E8C" w14:paraId="566F728E" w14:textId="77777777" w:rsidTr="00FC3D7F">
        <w:trPr>
          <w:trHeight w:val="276"/>
          <w:jc w:val="center"/>
        </w:trPr>
        <w:tc>
          <w:tcPr>
            <w:tcW w:w="718" w:type="dxa"/>
            <w:vMerge w:val="restart"/>
            <w:tcBorders>
              <w:top w:val="single" w:sz="4" w:space="0" w:color="auto"/>
            </w:tcBorders>
            <w:shd w:val="clear" w:color="auto" w:fill="F3F9FA"/>
            <w:textDirection w:val="btLr"/>
            <w:vAlign w:val="center"/>
            <w:hideMark/>
          </w:tcPr>
          <w:p w14:paraId="34BE7A4B" w14:textId="067FDE38" w:rsidR="009F33B9" w:rsidRPr="00867E8C" w:rsidRDefault="00B72AC4" w:rsidP="005D3108">
            <w:pPr>
              <w:spacing w:before="0" w:after="0"/>
              <w:ind w:left="113" w:right="113"/>
              <w:jc w:val="center"/>
              <w:rPr>
                <w:rFonts w:cs="Arial"/>
                <w:color w:val="000000"/>
                <w:szCs w:val="22"/>
              </w:rPr>
            </w:pPr>
            <w:r>
              <w:rPr>
                <w:rFonts w:cs="Arial"/>
                <w:color w:val="000000"/>
                <w:szCs w:val="22"/>
              </w:rPr>
              <w:t>Mackay–Whitsunday</w:t>
            </w:r>
          </w:p>
        </w:tc>
        <w:tc>
          <w:tcPr>
            <w:tcW w:w="705" w:type="dxa"/>
            <w:tcBorders>
              <w:top w:val="single" w:sz="4" w:space="0" w:color="auto"/>
            </w:tcBorders>
            <w:shd w:val="clear" w:color="auto" w:fill="F3F9FA"/>
            <w:vAlign w:val="center"/>
            <w:hideMark/>
          </w:tcPr>
          <w:p w14:paraId="0A665F0C" w14:textId="77777777" w:rsidR="009F33B9" w:rsidRPr="00867E8C" w:rsidRDefault="009F33B9" w:rsidP="005D3108">
            <w:pPr>
              <w:spacing w:before="0" w:after="0"/>
              <w:jc w:val="center"/>
              <w:rPr>
                <w:rFonts w:cs="Arial"/>
                <w:color w:val="000000"/>
                <w:szCs w:val="22"/>
              </w:rPr>
            </w:pPr>
            <w:r w:rsidRPr="00867E8C">
              <w:rPr>
                <w:rFonts w:cs="Arial"/>
                <w:color w:val="000000"/>
                <w:szCs w:val="22"/>
              </w:rPr>
              <w:t>PI2</w:t>
            </w:r>
          </w:p>
        </w:tc>
        <w:tc>
          <w:tcPr>
            <w:tcW w:w="1084" w:type="dxa"/>
            <w:tcBorders>
              <w:top w:val="single" w:sz="4" w:space="0" w:color="auto"/>
            </w:tcBorders>
            <w:shd w:val="clear" w:color="auto" w:fill="F3F9FA"/>
            <w:vAlign w:val="center"/>
            <w:hideMark/>
          </w:tcPr>
          <w:p w14:paraId="145913FF" w14:textId="77777777" w:rsidR="009F33B9" w:rsidRPr="00867E8C" w:rsidRDefault="009F33B9" w:rsidP="005D3108">
            <w:pPr>
              <w:spacing w:before="0" w:after="0"/>
              <w:jc w:val="center"/>
              <w:rPr>
                <w:rFonts w:cs="Arial"/>
                <w:color w:val="000000"/>
                <w:szCs w:val="22"/>
              </w:rPr>
            </w:pPr>
            <w:r w:rsidRPr="00867E8C">
              <w:rPr>
                <w:rFonts w:cs="Arial"/>
                <w:color w:val="000000"/>
                <w:szCs w:val="22"/>
              </w:rPr>
              <w:t>0.28</w:t>
            </w:r>
          </w:p>
        </w:tc>
        <w:tc>
          <w:tcPr>
            <w:tcW w:w="971" w:type="dxa"/>
            <w:tcBorders>
              <w:top w:val="single" w:sz="4" w:space="0" w:color="auto"/>
            </w:tcBorders>
            <w:shd w:val="clear" w:color="auto" w:fill="F3F9FA"/>
            <w:vAlign w:val="center"/>
            <w:hideMark/>
          </w:tcPr>
          <w:p w14:paraId="3860DFCD" w14:textId="77777777" w:rsidR="009F33B9" w:rsidRPr="00867E8C" w:rsidRDefault="009F33B9" w:rsidP="005D3108">
            <w:pPr>
              <w:spacing w:before="0" w:after="0"/>
              <w:jc w:val="center"/>
              <w:rPr>
                <w:rFonts w:cs="Arial"/>
                <w:color w:val="000000"/>
                <w:szCs w:val="22"/>
              </w:rPr>
            </w:pPr>
            <w:r w:rsidRPr="00867E8C">
              <w:rPr>
                <w:rFonts w:cs="Arial"/>
                <w:color w:val="000000"/>
                <w:szCs w:val="22"/>
              </w:rPr>
              <w:t>1.47</w:t>
            </w:r>
          </w:p>
        </w:tc>
        <w:tc>
          <w:tcPr>
            <w:tcW w:w="1362" w:type="dxa"/>
            <w:tcBorders>
              <w:top w:val="single" w:sz="4" w:space="0" w:color="auto"/>
            </w:tcBorders>
            <w:shd w:val="clear" w:color="auto" w:fill="F3F9FA"/>
            <w:vAlign w:val="center"/>
            <w:hideMark/>
          </w:tcPr>
          <w:p w14:paraId="77767DDB" w14:textId="77777777" w:rsidR="009F33B9" w:rsidRPr="00867E8C" w:rsidRDefault="009F33B9" w:rsidP="005D3108">
            <w:pPr>
              <w:spacing w:before="0" w:after="0"/>
              <w:jc w:val="center"/>
              <w:rPr>
                <w:rFonts w:cs="Arial"/>
                <w:color w:val="000000"/>
                <w:szCs w:val="22"/>
              </w:rPr>
            </w:pPr>
            <w:r w:rsidRPr="00867E8C">
              <w:rPr>
                <w:rFonts w:cs="Arial"/>
                <w:color w:val="000000"/>
                <w:szCs w:val="22"/>
              </w:rPr>
              <w:t>0.44</w:t>
            </w:r>
          </w:p>
        </w:tc>
        <w:tc>
          <w:tcPr>
            <w:tcW w:w="1244" w:type="dxa"/>
            <w:tcBorders>
              <w:top w:val="single" w:sz="4" w:space="0" w:color="auto"/>
            </w:tcBorders>
            <w:shd w:val="clear" w:color="auto" w:fill="F3F9FA"/>
            <w:vAlign w:val="center"/>
            <w:hideMark/>
          </w:tcPr>
          <w:p w14:paraId="17C73837" w14:textId="77777777" w:rsidR="009F33B9" w:rsidRPr="00867E8C" w:rsidRDefault="009F33B9" w:rsidP="005D3108">
            <w:pPr>
              <w:spacing w:before="0" w:after="0"/>
              <w:jc w:val="center"/>
              <w:rPr>
                <w:rFonts w:cs="Arial"/>
                <w:color w:val="000000"/>
                <w:szCs w:val="22"/>
              </w:rPr>
            </w:pPr>
            <w:r w:rsidRPr="00867E8C">
              <w:rPr>
                <w:rFonts w:cs="Arial"/>
                <w:color w:val="000000"/>
                <w:szCs w:val="22"/>
              </w:rPr>
              <w:t>80.17</w:t>
            </w:r>
          </w:p>
        </w:tc>
        <w:tc>
          <w:tcPr>
            <w:tcW w:w="1340" w:type="dxa"/>
            <w:tcBorders>
              <w:top w:val="single" w:sz="4" w:space="0" w:color="auto"/>
            </w:tcBorders>
            <w:shd w:val="clear" w:color="auto" w:fill="F3F9FA"/>
            <w:vAlign w:val="center"/>
            <w:hideMark/>
          </w:tcPr>
          <w:p w14:paraId="50C460FC" w14:textId="77777777" w:rsidR="009F33B9" w:rsidRPr="00867E8C" w:rsidRDefault="009F33B9" w:rsidP="005D3108">
            <w:pPr>
              <w:spacing w:before="0" w:after="0"/>
              <w:jc w:val="center"/>
              <w:rPr>
                <w:rFonts w:cs="Arial"/>
                <w:color w:val="000000"/>
                <w:szCs w:val="22"/>
              </w:rPr>
            </w:pPr>
            <w:r w:rsidRPr="00867E8C">
              <w:rPr>
                <w:rFonts w:cs="Arial"/>
                <w:color w:val="000000"/>
                <w:szCs w:val="22"/>
              </w:rPr>
              <w:t>1.83</w:t>
            </w:r>
          </w:p>
        </w:tc>
        <w:tc>
          <w:tcPr>
            <w:tcW w:w="1195" w:type="dxa"/>
            <w:tcBorders>
              <w:top w:val="single" w:sz="4" w:space="0" w:color="auto"/>
            </w:tcBorders>
            <w:shd w:val="clear" w:color="auto" w:fill="F3F9FA"/>
            <w:noWrap/>
            <w:vAlign w:val="center"/>
            <w:hideMark/>
          </w:tcPr>
          <w:p w14:paraId="18C97692" w14:textId="77777777" w:rsidR="009F33B9" w:rsidRPr="00867E8C" w:rsidRDefault="009F33B9" w:rsidP="005D3108">
            <w:pPr>
              <w:spacing w:before="0" w:after="0"/>
              <w:jc w:val="center"/>
              <w:rPr>
                <w:rFonts w:cs="Arial"/>
                <w:color w:val="000000"/>
                <w:szCs w:val="22"/>
              </w:rPr>
            </w:pPr>
            <w:r w:rsidRPr="00867E8C">
              <w:rPr>
                <w:rFonts w:cs="Arial"/>
                <w:color w:val="000000"/>
                <w:szCs w:val="22"/>
              </w:rPr>
              <w:t>103.00</w:t>
            </w:r>
          </w:p>
        </w:tc>
        <w:tc>
          <w:tcPr>
            <w:tcW w:w="1267" w:type="dxa"/>
            <w:tcBorders>
              <w:top w:val="single" w:sz="4" w:space="0" w:color="auto"/>
            </w:tcBorders>
            <w:shd w:val="clear" w:color="auto" w:fill="F3F9FA"/>
            <w:vAlign w:val="center"/>
          </w:tcPr>
          <w:p w14:paraId="03D67C69" w14:textId="77777777" w:rsidR="009F33B9" w:rsidRPr="00867E8C" w:rsidRDefault="009F33B9" w:rsidP="005D3108">
            <w:pPr>
              <w:spacing w:before="0" w:after="0"/>
              <w:jc w:val="center"/>
              <w:rPr>
                <w:rFonts w:cs="Arial"/>
                <w:color w:val="000000"/>
                <w:szCs w:val="22"/>
              </w:rPr>
            </w:pPr>
            <w:r w:rsidRPr="00867E8C">
              <w:rPr>
                <w:rFonts w:cs="Arial"/>
                <w:color w:val="000000"/>
                <w:szCs w:val="22"/>
              </w:rPr>
              <w:t>2.35</w:t>
            </w:r>
          </w:p>
        </w:tc>
      </w:tr>
      <w:tr w:rsidR="009F33B9" w:rsidRPr="00867E8C" w14:paraId="191E4434" w14:textId="77777777" w:rsidTr="00FC3D7F">
        <w:trPr>
          <w:trHeight w:val="276"/>
          <w:jc w:val="center"/>
        </w:trPr>
        <w:tc>
          <w:tcPr>
            <w:tcW w:w="0" w:type="auto"/>
            <w:vMerge/>
            <w:vAlign w:val="center"/>
            <w:hideMark/>
          </w:tcPr>
          <w:p w14:paraId="0C8A8416"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38F9F2F2" w14:textId="77777777" w:rsidR="009F33B9" w:rsidRPr="00867E8C" w:rsidRDefault="009F33B9" w:rsidP="005D3108">
            <w:pPr>
              <w:spacing w:before="0" w:after="0"/>
              <w:jc w:val="center"/>
              <w:rPr>
                <w:rFonts w:cs="Arial"/>
                <w:color w:val="000000"/>
                <w:szCs w:val="22"/>
              </w:rPr>
            </w:pPr>
            <w:r w:rsidRPr="00867E8C">
              <w:rPr>
                <w:rFonts w:cs="Arial"/>
                <w:color w:val="000000"/>
                <w:szCs w:val="22"/>
              </w:rPr>
              <w:t>PI3</w:t>
            </w:r>
          </w:p>
        </w:tc>
        <w:tc>
          <w:tcPr>
            <w:tcW w:w="1084" w:type="dxa"/>
            <w:shd w:val="clear" w:color="auto" w:fill="F3F9FA"/>
            <w:vAlign w:val="center"/>
            <w:hideMark/>
          </w:tcPr>
          <w:p w14:paraId="67E9F52B" w14:textId="77777777" w:rsidR="009F33B9" w:rsidRPr="00867E8C" w:rsidRDefault="009F33B9" w:rsidP="005D3108">
            <w:pPr>
              <w:spacing w:before="0" w:after="0"/>
              <w:jc w:val="center"/>
              <w:rPr>
                <w:rFonts w:cs="Arial"/>
                <w:color w:val="000000"/>
                <w:szCs w:val="22"/>
              </w:rPr>
            </w:pPr>
            <w:r w:rsidRPr="00867E8C">
              <w:rPr>
                <w:rFonts w:cs="Arial"/>
                <w:color w:val="000000"/>
                <w:szCs w:val="22"/>
              </w:rPr>
              <w:t>0.17</w:t>
            </w:r>
          </w:p>
        </w:tc>
        <w:tc>
          <w:tcPr>
            <w:tcW w:w="971" w:type="dxa"/>
            <w:shd w:val="clear" w:color="auto" w:fill="F3F9FA"/>
            <w:vAlign w:val="center"/>
            <w:hideMark/>
          </w:tcPr>
          <w:p w14:paraId="156F68DC" w14:textId="77777777" w:rsidR="009F33B9" w:rsidRPr="00867E8C" w:rsidRDefault="009F33B9" w:rsidP="005D3108">
            <w:pPr>
              <w:spacing w:before="0" w:after="0"/>
              <w:jc w:val="center"/>
              <w:rPr>
                <w:rFonts w:cs="Arial"/>
                <w:color w:val="000000"/>
                <w:szCs w:val="22"/>
              </w:rPr>
            </w:pPr>
            <w:r w:rsidRPr="00867E8C">
              <w:rPr>
                <w:rFonts w:cs="Arial"/>
                <w:color w:val="000000"/>
                <w:szCs w:val="22"/>
              </w:rPr>
              <w:t>1.58</w:t>
            </w:r>
          </w:p>
        </w:tc>
        <w:tc>
          <w:tcPr>
            <w:tcW w:w="1362" w:type="dxa"/>
            <w:shd w:val="clear" w:color="auto" w:fill="F3F9FA"/>
            <w:vAlign w:val="center"/>
            <w:hideMark/>
          </w:tcPr>
          <w:p w14:paraId="6E168B86" w14:textId="77777777" w:rsidR="009F33B9" w:rsidRPr="00867E8C" w:rsidRDefault="009F33B9" w:rsidP="005D3108">
            <w:pPr>
              <w:spacing w:before="0" w:after="0"/>
              <w:jc w:val="center"/>
              <w:rPr>
                <w:rFonts w:cs="Arial"/>
                <w:color w:val="000000"/>
                <w:szCs w:val="22"/>
              </w:rPr>
            </w:pPr>
            <w:r w:rsidRPr="00867E8C">
              <w:rPr>
                <w:rFonts w:cs="Arial"/>
                <w:color w:val="000000"/>
                <w:szCs w:val="22"/>
              </w:rPr>
              <w:t>0.33</w:t>
            </w:r>
          </w:p>
        </w:tc>
        <w:tc>
          <w:tcPr>
            <w:tcW w:w="1244" w:type="dxa"/>
            <w:shd w:val="clear" w:color="auto" w:fill="F3F9FA"/>
            <w:vAlign w:val="center"/>
            <w:hideMark/>
          </w:tcPr>
          <w:p w14:paraId="71F37815" w14:textId="77777777" w:rsidR="009F33B9" w:rsidRPr="00867E8C" w:rsidRDefault="009F33B9" w:rsidP="005D3108">
            <w:pPr>
              <w:spacing w:before="0" w:after="0"/>
              <w:jc w:val="center"/>
              <w:rPr>
                <w:rFonts w:cs="Arial"/>
                <w:color w:val="000000"/>
                <w:szCs w:val="22"/>
              </w:rPr>
            </w:pPr>
            <w:r w:rsidRPr="00867E8C">
              <w:rPr>
                <w:rFonts w:cs="Arial"/>
                <w:color w:val="000000"/>
                <w:szCs w:val="22"/>
              </w:rPr>
              <w:t>40.00</w:t>
            </w:r>
          </w:p>
        </w:tc>
        <w:tc>
          <w:tcPr>
            <w:tcW w:w="1340" w:type="dxa"/>
            <w:shd w:val="clear" w:color="auto" w:fill="F3F9FA"/>
            <w:vAlign w:val="center"/>
            <w:hideMark/>
          </w:tcPr>
          <w:p w14:paraId="2452A6C1" w14:textId="77777777" w:rsidR="009F33B9" w:rsidRPr="00867E8C" w:rsidRDefault="009F33B9" w:rsidP="005D3108">
            <w:pPr>
              <w:spacing w:before="0" w:after="0"/>
              <w:jc w:val="center"/>
              <w:rPr>
                <w:rFonts w:cs="Arial"/>
                <w:color w:val="000000"/>
                <w:szCs w:val="22"/>
              </w:rPr>
            </w:pPr>
            <w:r w:rsidRPr="00867E8C">
              <w:rPr>
                <w:rFonts w:cs="Arial"/>
                <w:color w:val="000000"/>
                <w:szCs w:val="22"/>
              </w:rPr>
              <w:t>0.91</w:t>
            </w:r>
          </w:p>
        </w:tc>
        <w:tc>
          <w:tcPr>
            <w:tcW w:w="1195" w:type="dxa"/>
            <w:shd w:val="clear" w:color="auto" w:fill="F3F9FA"/>
            <w:noWrap/>
            <w:vAlign w:val="center"/>
            <w:hideMark/>
          </w:tcPr>
          <w:p w14:paraId="11D40DF6" w14:textId="77777777" w:rsidR="009F33B9" w:rsidRPr="00867E8C" w:rsidRDefault="009F33B9" w:rsidP="005D3108">
            <w:pPr>
              <w:spacing w:before="0" w:after="0"/>
              <w:jc w:val="center"/>
              <w:rPr>
                <w:rFonts w:cs="Arial"/>
                <w:color w:val="000000"/>
                <w:szCs w:val="22"/>
              </w:rPr>
            </w:pPr>
            <w:r w:rsidRPr="00867E8C">
              <w:rPr>
                <w:rFonts w:cs="Arial"/>
                <w:color w:val="000000"/>
                <w:szCs w:val="22"/>
              </w:rPr>
              <w:t>52.00</w:t>
            </w:r>
          </w:p>
        </w:tc>
        <w:tc>
          <w:tcPr>
            <w:tcW w:w="1267" w:type="dxa"/>
            <w:shd w:val="clear" w:color="auto" w:fill="F3F9FA"/>
            <w:vAlign w:val="center"/>
          </w:tcPr>
          <w:p w14:paraId="0F2853A9" w14:textId="77777777" w:rsidR="009F33B9" w:rsidRPr="00867E8C" w:rsidRDefault="009F33B9" w:rsidP="005D3108">
            <w:pPr>
              <w:spacing w:before="0" w:after="0"/>
              <w:jc w:val="center"/>
              <w:rPr>
                <w:rFonts w:cs="Arial"/>
                <w:color w:val="000000"/>
                <w:szCs w:val="22"/>
              </w:rPr>
            </w:pPr>
            <w:r w:rsidRPr="00867E8C">
              <w:rPr>
                <w:rFonts w:cs="Arial"/>
                <w:color w:val="000000"/>
                <w:szCs w:val="22"/>
              </w:rPr>
              <w:t>1.19</w:t>
            </w:r>
          </w:p>
        </w:tc>
      </w:tr>
      <w:tr w:rsidR="009F33B9" w:rsidRPr="00867E8C" w14:paraId="2E608328" w14:textId="77777777" w:rsidTr="00FC3D7F">
        <w:trPr>
          <w:trHeight w:val="276"/>
          <w:jc w:val="center"/>
        </w:trPr>
        <w:tc>
          <w:tcPr>
            <w:tcW w:w="0" w:type="auto"/>
            <w:vMerge/>
            <w:vAlign w:val="center"/>
            <w:hideMark/>
          </w:tcPr>
          <w:p w14:paraId="392B2F25"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48BC7762" w14:textId="77777777" w:rsidR="009F33B9" w:rsidRPr="00867E8C" w:rsidRDefault="009F33B9" w:rsidP="005D3108">
            <w:pPr>
              <w:spacing w:before="0" w:after="0"/>
              <w:jc w:val="center"/>
              <w:rPr>
                <w:rFonts w:cs="Arial"/>
                <w:color w:val="000000"/>
                <w:szCs w:val="22"/>
              </w:rPr>
            </w:pPr>
            <w:r w:rsidRPr="00867E8C">
              <w:rPr>
                <w:rFonts w:cs="Arial"/>
                <w:color w:val="000000"/>
                <w:szCs w:val="22"/>
              </w:rPr>
              <w:t>HM1</w:t>
            </w:r>
          </w:p>
        </w:tc>
        <w:tc>
          <w:tcPr>
            <w:tcW w:w="1084" w:type="dxa"/>
            <w:shd w:val="clear" w:color="auto" w:fill="F3F9FA"/>
            <w:vAlign w:val="center"/>
            <w:hideMark/>
          </w:tcPr>
          <w:p w14:paraId="013CB562" w14:textId="77777777" w:rsidR="009F33B9" w:rsidRPr="00867E8C" w:rsidRDefault="009F33B9" w:rsidP="005D3108">
            <w:pPr>
              <w:spacing w:before="0" w:after="0"/>
              <w:jc w:val="center"/>
              <w:rPr>
                <w:rFonts w:cs="Arial"/>
                <w:color w:val="000000"/>
                <w:szCs w:val="22"/>
              </w:rPr>
            </w:pPr>
            <w:r w:rsidRPr="00867E8C">
              <w:rPr>
                <w:rFonts w:cs="Arial"/>
                <w:color w:val="000000"/>
                <w:szCs w:val="22"/>
              </w:rPr>
              <w:t>0.68</w:t>
            </w:r>
          </w:p>
        </w:tc>
        <w:tc>
          <w:tcPr>
            <w:tcW w:w="971" w:type="dxa"/>
            <w:shd w:val="clear" w:color="auto" w:fill="F3F9FA"/>
            <w:vAlign w:val="center"/>
            <w:hideMark/>
          </w:tcPr>
          <w:p w14:paraId="11072EB8" w14:textId="77777777" w:rsidR="009F33B9" w:rsidRPr="00867E8C" w:rsidRDefault="009F33B9" w:rsidP="005D3108">
            <w:pPr>
              <w:spacing w:before="0" w:after="0"/>
              <w:jc w:val="center"/>
              <w:rPr>
                <w:rFonts w:cs="Arial"/>
                <w:color w:val="000000"/>
                <w:szCs w:val="22"/>
              </w:rPr>
            </w:pPr>
            <w:r w:rsidRPr="00867E8C">
              <w:rPr>
                <w:rFonts w:cs="Arial"/>
                <w:color w:val="000000"/>
                <w:szCs w:val="22"/>
              </w:rPr>
              <w:t>1.52</w:t>
            </w:r>
          </w:p>
        </w:tc>
        <w:tc>
          <w:tcPr>
            <w:tcW w:w="1362" w:type="dxa"/>
            <w:shd w:val="clear" w:color="auto" w:fill="F3F9FA"/>
            <w:vAlign w:val="center"/>
            <w:hideMark/>
          </w:tcPr>
          <w:p w14:paraId="5B981293" w14:textId="77777777" w:rsidR="009F33B9" w:rsidRPr="00867E8C" w:rsidRDefault="009F33B9" w:rsidP="005D3108">
            <w:pPr>
              <w:spacing w:before="0" w:after="0"/>
              <w:jc w:val="center"/>
              <w:rPr>
                <w:rFonts w:cs="Arial"/>
                <w:color w:val="000000"/>
                <w:szCs w:val="22"/>
              </w:rPr>
            </w:pPr>
            <w:r w:rsidRPr="00867E8C">
              <w:rPr>
                <w:rFonts w:cs="Arial"/>
                <w:color w:val="000000"/>
                <w:szCs w:val="22"/>
              </w:rPr>
              <w:t>0.38</w:t>
            </w:r>
          </w:p>
        </w:tc>
        <w:tc>
          <w:tcPr>
            <w:tcW w:w="1244" w:type="dxa"/>
            <w:shd w:val="clear" w:color="auto" w:fill="F3F9FA"/>
            <w:vAlign w:val="center"/>
            <w:hideMark/>
          </w:tcPr>
          <w:p w14:paraId="740D6C8D" w14:textId="77777777" w:rsidR="009F33B9" w:rsidRPr="00867E8C" w:rsidRDefault="009F33B9" w:rsidP="005D3108">
            <w:pPr>
              <w:spacing w:before="0" w:after="0"/>
              <w:jc w:val="center"/>
              <w:rPr>
                <w:rFonts w:cs="Arial"/>
                <w:color w:val="000000"/>
                <w:szCs w:val="22"/>
              </w:rPr>
            </w:pPr>
            <w:r w:rsidRPr="00867E8C">
              <w:rPr>
                <w:rFonts w:cs="Arial"/>
                <w:color w:val="000000"/>
                <w:szCs w:val="22"/>
              </w:rPr>
              <w:t>55.107</w:t>
            </w:r>
          </w:p>
        </w:tc>
        <w:tc>
          <w:tcPr>
            <w:tcW w:w="1340" w:type="dxa"/>
            <w:shd w:val="clear" w:color="auto" w:fill="F3F9FA"/>
            <w:vAlign w:val="center"/>
            <w:hideMark/>
          </w:tcPr>
          <w:p w14:paraId="420A48F8" w14:textId="77777777" w:rsidR="009F33B9" w:rsidRPr="00867E8C" w:rsidRDefault="009F33B9" w:rsidP="005D3108">
            <w:pPr>
              <w:spacing w:before="0" w:after="0"/>
              <w:jc w:val="center"/>
              <w:rPr>
                <w:rFonts w:cs="Arial"/>
                <w:color w:val="000000"/>
                <w:szCs w:val="22"/>
              </w:rPr>
            </w:pPr>
            <w:r w:rsidRPr="00867E8C">
              <w:rPr>
                <w:rFonts w:cs="Arial"/>
                <w:color w:val="000000"/>
                <w:szCs w:val="22"/>
              </w:rPr>
              <w:t>1.26</w:t>
            </w:r>
          </w:p>
        </w:tc>
        <w:tc>
          <w:tcPr>
            <w:tcW w:w="1195" w:type="dxa"/>
            <w:shd w:val="clear" w:color="auto" w:fill="F3F9FA"/>
            <w:noWrap/>
            <w:vAlign w:val="center"/>
            <w:hideMark/>
          </w:tcPr>
          <w:p w14:paraId="1F9E33BA" w14:textId="77777777" w:rsidR="009F33B9" w:rsidRPr="00867E8C" w:rsidRDefault="009F33B9" w:rsidP="005D3108">
            <w:pPr>
              <w:spacing w:before="0" w:after="0"/>
              <w:jc w:val="center"/>
              <w:rPr>
                <w:rFonts w:cs="Arial"/>
                <w:color w:val="000000"/>
                <w:szCs w:val="22"/>
              </w:rPr>
            </w:pPr>
            <w:r w:rsidRPr="00867E8C">
              <w:rPr>
                <w:rFonts w:cs="Arial"/>
                <w:color w:val="000000"/>
                <w:szCs w:val="22"/>
              </w:rPr>
              <w:t>69.00</w:t>
            </w:r>
          </w:p>
        </w:tc>
        <w:tc>
          <w:tcPr>
            <w:tcW w:w="1267" w:type="dxa"/>
            <w:shd w:val="clear" w:color="auto" w:fill="F3F9FA"/>
            <w:vAlign w:val="center"/>
          </w:tcPr>
          <w:p w14:paraId="1333340D" w14:textId="77777777" w:rsidR="009F33B9" w:rsidRPr="00867E8C" w:rsidRDefault="009F33B9" w:rsidP="005D3108">
            <w:pPr>
              <w:spacing w:before="0" w:after="0"/>
              <w:jc w:val="center"/>
              <w:rPr>
                <w:rFonts w:cs="Arial"/>
                <w:color w:val="000000"/>
                <w:szCs w:val="22"/>
              </w:rPr>
            </w:pPr>
            <w:r w:rsidRPr="00867E8C">
              <w:rPr>
                <w:rFonts w:cs="Arial"/>
                <w:color w:val="000000"/>
                <w:szCs w:val="22"/>
              </w:rPr>
              <w:t>1.58</w:t>
            </w:r>
          </w:p>
        </w:tc>
      </w:tr>
      <w:tr w:rsidR="009F33B9" w:rsidRPr="00867E8C" w14:paraId="27240462" w14:textId="77777777" w:rsidTr="00FC3D7F">
        <w:trPr>
          <w:trHeight w:val="276"/>
          <w:jc w:val="center"/>
        </w:trPr>
        <w:tc>
          <w:tcPr>
            <w:tcW w:w="0" w:type="auto"/>
            <w:vMerge/>
            <w:vAlign w:val="center"/>
            <w:hideMark/>
          </w:tcPr>
          <w:p w14:paraId="4794645B"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22DAD432" w14:textId="77777777" w:rsidR="009F33B9" w:rsidRPr="00867E8C" w:rsidRDefault="009F33B9" w:rsidP="005D3108">
            <w:pPr>
              <w:spacing w:before="0" w:after="0"/>
              <w:jc w:val="center"/>
              <w:rPr>
                <w:rFonts w:cs="Arial"/>
                <w:color w:val="000000"/>
                <w:szCs w:val="22"/>
              </w:rPr>
            </w:pPr>
            <w:r w:rsidRPr="00867E8C">
              <w:rPr>
                <w:rFonts w:cs="Arial"/>
                <w:color w:val="000000"/>
                <w:szCs w:val="22"/>
              </w:rPr>
              <w:t>HM2</w:t>
            </w:r>
          </w:p>
        </w:tc>
        <w:tc>
          <w:tcPr>
            <w:tcW w:w="1084" w:type="dxa"/>
            <w:shd w:val="clear" w:color="auto" w:fill="F3F9FA"/>
            <w:vAlign w:val="center"/>
            <w:hideMark/>
          </w:tcPr>
          <w:p w14:paraId="400B5389" w14:textId="77777777" w:rsidR="009F33B9" w:rsidRPr="00867E8C" w:rsidRDefault="009F33B9" w:rsidP="005D3108">
            <w:pPr>
              <w:spacing w:before="0" w:after="0"/>
              <w:jc w:val="center"/>
              <w:rPr>
                <w:rFonts w:cs="Arial"/>
                <w:color w:val="000000"/>
                <w:szCs w:val="22"/>
              </w:rPr>
            </w:pPr>
            <w:r w:rsidRPr="00867E8C">
              <w:rPr>
                <w:rFonts w:cs="Arial"/>
                <w:color w:val="000000"/>
                <w:szCs w:val="22"/>
              </w:rPr>
              <w:t>0.68</w:t>
            </w:r>
          </w:p>
        </w:tc>
        <w:tc>
          <w:tcPr>
            <w:tcW w:w="971" w:type="dxa"/>
            <w:shd w:val="clear" w:color="auto" w:fill="F3F9FA"/>
            <w:vAlign w:val="center"/>
            <w:hideMark/>
          </w:tcPr>
          <w:p w14:paraId="0D9092A7" w14:textId="77777777" w:rsidR="009F33B9" w:rsidRPr="00867E8C" w:rsidRDefault="009F33B9" w:rsidP="005D3108">
            <w:pPr>
              <w:spacing w:before="0" w:after="0"/>
              <w:jc w:val="center"/>
              <w:rPr>
                <w:rFonts w:cs="Arial"/>
                <w:color w:val="000000"/>
                <w:szCs w:val="22"/>
              </w:rPr>
            </w:pPr>
            <w:r w:rsidRPr="00867E8C">
              <w:rPr>
                <w:rFonts w:cs="Arial"/>
                <w:color w:val="000000"/>
                <w:szCs w:val="22"/>
              </w:rPr>
              <w:t>1.52</w:t>
            </w:r>
          </w:p>
        </w:tc>
        <w:tc>
          <w:tcPr>
            <w:tcW w:w="1362" w:type="dxa"/>
            <w:shd w:val="clear" w:color="auto" w:fill="F3F9FA"/>
            <w:vAlign w:val="center"/>
            <w:hideMark/>
          </w:tcPr>
          <w:p w14:paraId="7E56C903" w14:textId="77777777" w:rsidR="009F33B9" w:rsidRPr="00867E8C" w:rsidRDefault="009F33B9" w:rsidP="005D3108">
            <w:pPr>
              <w:spacing w:before="0" w:after="0"/>
              <w:jc w:val="center"/>
              <w:rPr>
                <w:rFonts w:cs="Arial"/>
                <w:color w:val="000000"/>
                <w:szCs w:val="22"/>
              </w:rPr>
            </w:pPr>
            <w:r w:rsidRPr="00867E8C">
              <w:rPr>
                <w:rFonts w:cs="Arial"/>
                <w:color w:val="000000"/>
                <w:szCs w:val="22"/>
              </w:rPr>
              <w:t>0.38</w:t>
            </w:r>
          </w:p>
        </w:tc>
        <w:tc>
          <w:tcPr>
            <w:tcW w:w="1244" w:type="dxa"/>
            <w:shd w:val="clear" w:color="auto" w:fill="F3F9FA"/>
            <w:vAlign w:val="center"/>
            <w:hideMark/>
          </w:tcPr>
          <w:p w14:paraId="626A68B5" w14:textId="77777777" w:rsidR="009F33B9" w:rsidRPr="00867E8C" w:rsidRDefault="009F33B9" w:rsidP="005D3108">
            <w:pPr>
              <w:spacing w:before="0" w:after="0"/>
              <w:jc w:val="center"/>
              <w:rPr>
                <w:rFonts w:cs="Arial"/>
                <w:color w:val="000000"/>
                <w:szCs w:val="22"/>
              </w:rPr>
            </w:pPr>
            <w:r w:rsidRPr="00867E8C">
              <w:rPr>
                <w:rFonts w:cs="Arial"/>
                <w:color w:val="000000"/>
                <w:szCs w:val="22"/>
              </w:rPr>
              <w:t>55.107</w:t>
            </w:r>
          </w:p>
        </w:tc>
        <w:tc>
          <w:tcPr>
            <w:tcW w:w="1340" w:type="dxa"/>
            <w:shd w:val="clear" w:color="auto" w:fill="F3F9FA"/>
            <w:vAlign w:val="center"/>
            <w:hideMark/>
          </w:tcPr>
          <w:p w14:paraId="273FC1E5" w14:textId="77777777" w:rsidR="009F33B9" w:rsidRPr="00867E8C" w:rsidRDefault="009F33B9" w:rsidP="005D3108">
            <w:pPr>
              <w:spacing w:before="0" w:after="0"/>
              <w:jc w:val="center"/>
              <w:rPr>
                <w:rFonts w:cs="Arial"/>
                <w:color w:val="000000"/>
                <w:szCs w:val="22"/>
              </w:rPr>
            </w:pPr>
            <w:r w:rsidRPr="00867E8C">
              <w:rPr>
                <w:rFonts w:cs="Arial"/>
                <w:color w:val="000000"/>
                <w:szCs w:val="22"/>
              </w:rPr>
              <w:t>1.26</w:t>
            </w:r>
          </w:p>
        </w:tc>
        <w:tc>
          <w:tcPr>
            <w:tcW w:w="1195" w:type="dxa"/>
            <w:shd w:val="clear" w:color="auto" w:fill="F3F9FA"/>
            <w:noWrap/>
            <w:vAlign w:val="center"/>
            <w:hideMark/>
          </w:tcPr>
          <w:p w14:paraId="53FE355F" w14:textId="77777777" w:rsidR="009F33B9" w:rsidRPr="00867E8C" w:rsidRDefault="009F33B9" w:rsidP="005D3108">
            <w:pPr>
              <w:spacing w:before="0" w:after="0"/>
              <w:jc w:val="center"/>
              <w:rPr>
                <w:rFonts w:cs="Arial"/>
                <w:color w:val="000000"/>
                <w:szCs w:val="22"/>
              </w:rPr>
            </w:pPr>
            <w:r w:rsidRPr="00867E8C">
              <w:rPr>
                <w:rFonts w:cs="Arial"/>
                <w:color w:val="000000"/>
                <w:szCs w:val="22"/>
              </w:rPr>
              <w:t>69.00</w:t>
            </w:r>
          </w:p>
        </w:tc>
        <w:tc>
          <w:tcPr>
            <w:tcW w:w="1267" w:type="dxa"/>
            <w:shd w:val="clear" w:color="auto" w:fill="F3F9FA"/>
            <w:vAlign w:val="center"/>
          </w:tcPr>
          <w:p w14:paraId="5A526CC7" w14:textId="77777777" w:rsidR="009F33B9" w:rsidRPr="00867E8C" w:rsidRDefault="009F33B9" w:rsidP="005D3108">
            <w:pPr>
              <w:spacing w:before="0" w:after="0"/>
              <w:jc w:val="center"/>
              <w:rPr>
                <w:rFonts w:cs="Arial"/>
                <w:color w:val="000000"/>
                <w:szCs w:val="22"/>
              </w:rPr>
            </w:pPr>
            <w:r w:rsidRPr="00867E8C">
              <w:rPr>
                <w:rFonts w:cs="Arial"/>
                <w:color w:val="000000"/>
                <w:szCs w:val="22"/>
              </w:rPr>
              <w:t>1.58</w:t>
            </w:r>
          </w:p>
        </w:tc>
      </w:tr>
      <w:tr w:rsidR="009F33B9" w:rsidRPr="00867E8C" w14:paraId="631C7A80" w14:textId="77777777" w:rsidTr="00FC3D7F">
        <w:trPr>
          <w:trHeight w:val="276"/>
          <w:jc w:val="center"/>
        </w:trPr>
        <w:tc>
          <w:tcPr>
            <w:tcW w:w="0" w:type="auto"/>
            <w:vMerge/>
            <w:vAlign w:val="center"/>
            <w:hideMark/>
          </w:tcPr>
          <w:p w14:paraId="2BC8E145"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5476DA59" w14:textId="77777777" w:rsidR="009F33B9" w:rsidRPr="00867E8C" w:rsidRDefault="009F33B9" w:rsidP="005D3108">
            <w:pPr>
              <w:spacing w:before="0" w:after="0"/>
              <w:jc w:val="center"/>
              <w:rPr>
                <w:rFonts w:cs="Arial"/>
                <w:color w:val="000000"/>
                <w:szCs w:val="22"/>
              </w:rPr>
            </w:pPr>
            <w:r w:rsidRPr="00867E8C">
              <w:rPr>
                <w:rFonts w:cs="Arial"/>
                <w:color w:val="000000"/>
                <w:szCs w:val="22"/>
              </w:rPr>
              <w:t>SI1</w:t>
            </w:r>
          </w:p>
        </w:tc>
        <w:tc>
          <w:tcPr>
            <w:tcW w:w="1084" w:type="dxa"/>
            <w:shd w:val="clear" w:color="auto" w:fill="F3F9FA"/>
            <w:vAlign w:val="center"/>
            <w:hideMark/>
          </w:tcPr>
          <w:p w14:paraId="6EA370B4" w14:textId="77777777" w:rsidR="009F33B9" w:rsidRPr="00867E8C" w:rsidRDefault="009F33B9" w:rsidP="005D3108">
            <w:pPr>
              <w:spacing w:before="0" w:after="0"/>
              <w:jc w:val="center"/>
              <w:rPr>
                <w:rFonts w:cs="Arial"/>
                <w:color w:val="000000"/>
                <w:szCs w:val="22"/>
              </w:rPr>
            </w:pPr>
            <w:r w:rsidRPr="00867E8C">
              <w:rPr>
                <w:rFonts w:cs="Arial"/>
                <w:color w:val="000000"/>
                <w:szCs w:val="22"/>
              </w:rPr>
              <w:t>0.60</w:t>
            </w:r>
          </w:p>
        </w:tc>
        <w:tc>
          <w:tcPr>
            <w:tcW w:w="971" w:type="dxa"/>
            <w:shd w:val="clear" w:color="auto" w:fill="F3F9FA"/>
            <w:vAlign w:val="center"/>
            <w:hideMark/>
          </w:tcPr>
          <w:p w14:paraId="0F27AA92" w14:textId="77777777" w:rsidR="009F33B9" w:rsidRPr="00867E8C" w:rsidRDefault="009F33B9" w:rsidP="005D3108">
            <w:pPr>
              <w:spacing w:before="0" w:after="0"/>
              <w:jc w:val="center"/>
              <w:rPr>
                <w:rFonts w:cs="Arial"/>
                <w:color w:val="000000"/>
                <w:szCs w:val="22"/>
              </w:rPr>
            </w:pPr>
            <w:r w:rsidRPr="00867E8C">
              <w:rPr>
                <w:rFonts w:cs="Arial"/>
                <w:color w:val="000000"/>
                <w:szCs w:val="22"/>
              </w:rPr>
              <w:t>2.80</w:t>
            </w:r>
          </w:p>
        </w:tc>
        <w:tc>
          <w:tcPr>
            <w:tcW w:w="1362" w:type="dxa"/>
            <w:shd w:val="clear" w:color="auto" w:fill="F3F9FA"/>
            <w:vAlign w:val="center"/>
            <w:hideMark/>
          </w:tcPr>
          <w:p w14:paraId="7FC75C35" w14:textId="77777777" w:rsidR="009F33B9" w:rsidRPr="00867E8C" w:rsidRDefault="009F33B9" w:rsidP="005D3108">
            <w:pPr>
              <w:spacing w:before="0" w:after="0"/>
              <w:jc w:val="center"/>
              <w:rPr>
                <w:rFonts w:cs="Arial"/>
                <w:color w:val="000000"/>
                <w:szCs w:val="22"/>
              </w:rPr>
            </w:pPr>
            <w:r w:rsidRPr="00867E8C">
              <w:rPr>
                <w:rFonts w:cs="Arial"/>
                <w:color w:val="000000"/>
                <w:szCs w:val="22"/>
              </w:rPr>
              <w:t>0.54</w:t>
            </w:r>
          </w:p>
        </w:tc>
        <w:tc>
          <w:tcPr>
            <w:tcW w:w="1244" w:type="dxa"/>
            <w:shd w:val="clear" w:color="auto" w:fill="F3F9FA"/>
            <w:vAlign w:val="center"/>
            <w:hideMark/>
          </w:tcPr>
          <w:p w14:paraId="1E294DCC" w14:textId="77777777" w:rsidR="009F33B9" w:rsidRPr="00867E8C" w:rsidRDefault="009F33B9" w:rsidP="005D3108">
            <w:pPr>
              <w:spacing w:before="0" w:after="0"/>
              <w:jc w:val="center"/>
              <w:rPr>
                <w:rFonts w:cs="Arial"/>
                <w:color w:val="000000"/>
                <w:szCs w:val="22"/>
              </w:rPr>
            </w:pPr>
            <w:r w:rsidRPr="00867E8C">
              <w:rPr>
                <w:rFonts w:cs="Arial"/>
                <w:color w:val="000000"/>
                <w:szCs w:val="22"/>
              </w:rPr>
              <w:t>24.75</w:t>
            </w:r>
          </w:p>
        </w:tc>
        <w:tc>
          <w:tcPr>
            <w:tcW w:w="1340" w:type="dxa"/>
            <w:shd w:val="clear" w:color="auto" w:fill="F3F9FA"/>
            <w:vAlign w:val="center"/>
            <w:hideMark/>
          </w:tcPr>
          <w:p w14:paraId="319A5E5B" w14:textId="77777777" w:rsidR="009F33B9" w:rsidRPr="00867E8C" w:rsidRDefault="009F33B9" w:rsidP="005D3108">
            <w:pPr>
              <w:spacing w:before="0" w:after="0"/>
              <w:jc w:val="center"/>
              <w:rPr>
                <w:rFonts w:cs="Arial"/>
                <w:color w:val="000000"/>
                <w:szCs w:val="22"/>
              </w:rPr>
            </w:pPr>
            <w:r w:rsidRPr="00867E8C">
              <w:rPr>
                <w:rFonts w:cs="Arial"/>
                <w:color w:val="000000"/>
                <w:szCs w:val="22"/>
              </w:rPr>
              <w:t>0.56</w:t>
            </w:r>
          </w:p>
        </w:tc>
        <w:tc>
          <w:tcPr>
            <w:tcW w:w="1195" w:type="dxa"/>
            <w:shd w:val="clear" w:color="auto" w:fill="F3F9FA"/>
            <w:noWrap/>
            <w:vAlign w:val="center"/>
            <w:hideMark/>
          </w:tcPr>
          <w:p w14:paraId="0A229B55" w14:textId="77777777" w:rsidR="009F33B9" w:rsidRPr="00867E8C" w:rsidRDefault="009F33B9" w:rsidP="005D3108">
            <w:pPr>
              <w:spacing w:before="0" w:after="0"/>
              <w:jc w:val="center"/>
              <w:rPr>
                <w:rFonts w:cs="Arial"/>
                <w:color w:val="000000"/>
                <w:szCs w:val="22"/>
              </w:rPr>
            </w:pPr>
            <w:r w:rsidRPr="00867E8C">
              <w:rPr>
                <w:rFonts w:cs="Arial"/>
                <w:color w:val="000000"/>
                <w:szCs w:val="22"/>
              </w:rPr>
              <w:t>50.00</w:t>
            </w:r>
          </w:p>
        </w:tc>
        <w:tc>
          <w:tcPr>
            <w:tcW w:w="1267" w:type="dxa"/>
            <w:shd w:val="clear" w:color="auto" w:fill="F3F9FA"/>
            <w:vAlign w:val="center"/>
          </w:tcPr>
          <w:p w14:paraId="6CADD049" w14:textId="77777777" w:rsidR="009F33B9" w:rsidRPr="00867E8C" w:rsidRDefault="009F33B9" w:rsidP="005D3108">
            <w:pPr>
              <w:spacing w:before="0" w:after="0"/>
              <w:jc w:val="center"/>
              <w:rPr>
                <w:rFonts w:cs="Arial"/>
                <w:color w:val="000000"/>
                <w:szCs w:val="22"/>
              </w:rPr>
            </w:pPr>
            <w:r w:rsidRPr="00867E8C">
              <w:rPr>
                <w:rFonts w:cs="Arial"/>
                <w:color w:val="000000"/>
                <w:szCs w:val="22"/>
              </w:rPr>
              <w:t>1.14</w:t>
            </w:r>
          </w:p>
        </w:tc>
      </w:tr>
      <w:tr w:rsidR="009F33B9" w:rsidRPr="00867E8C" w14:paraId="08B5D636" w14:textId="77777777" w:rsidTr="00FC3D7F">
        <w:trPr>
          <w:trHeight w:val="276"/>
          <w:jc w:val="center"/>
        </w:trPr>
        <w:tc>
          <w:tcPr>
            <w:tcW w:w="0" w:type="auto"/>
            <w:vMerge/>
            <w:tcBorders>
              <w:bottom w:val="single" w:sz="4" w:space="0" w:color="auto"/>
            </w:tcBorders>
            <w:vAlign w:val="center"/>
            <w:hideMark/>
          </w:tcPr>
          <w:p w14:paraId="5694759D"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F3F9FA"/>
            <w:vAlign w:val="center"/>
            <w:hideMark/>
          </w:tcPr>
          <w:p w14:paraId="1870DE35" w14:textId="77777777" w:rsidR="009F33B9" w:rsidRPr="00867E8C" w:rsidRDefault="009F33B9" w:rsidP="005D3108">
            <w:pPr>
              <w:spacing w:before="0" w:after="0"/>
              <w:jc w:val="center"/>
              <w:rPr>
                <w:rFonts w:cs="Arial"/>
                <w:color w:val="000000"/>
                <w:szCs w:val="22"/>
              </w:rPr>
            </w:pPr>
            <w:r w:rsidRPr="00867E8C">
              <w:rPr>
                <w:rFonts w:cs="Arial"/>
                <w:color w:val="000000"/>
                <w:szCs w:val="22"/>
              </w:rPr>
              <w:t>SI2</w:t>
            </w:r>
          </w:p>
        </w:tc>
        <w:tc>
          <w:tcPr>
            <w:tcW w:w="1084" w:type="dxa"/>
            <w:tcBorders>
              <w:bottom w:val="single" w:sz="4" w:space="0" w:color="auto"/>
            </w:tcBorders>
            <w:shd w:val="clear" w:color="auto" w:fill="F3F9FA"/>
            <w:vAlign w:val="center"/>
            <w:hideMark/>
          </w:tcPr>
          <w:p w14:paraId="3D094662" w14:textId="77777777" w:rsidR="009F33B9" w:rsidRPr="00867E8C" w:rsidRDefault="009F33B9" w:rsidP="005D3108">
            <w:pPr>
              <w:spacing w:before="0" w:after="0"/>
              <w:jc w:val="center"/>
              <w:rPr>
                <w:rFonts w:cs="Arial"/>
                <w:color w:val="000000"/>
                <w:szCs w:val="22"/>
              </w:rPr>
            </w:pPr>
            <w:r w:rsidRPr="00867E8C">
              <w:rPr>
                <w:rFonts w:cs="Arial"/>
                <w:color w:val="000000"/>
                <w:szCs w:val="22"/>
              </w:rPr>
              <w:t>0.60</w:t>
            </w:r>
          </w:p>
        </w:tc>
        <w:tc>
          <w:tcPr>
            <w:tcW w:w="971" w:type="dxa"/>
            <w:tcBorders>
              <w:bottom w:val="single" w:sz="4" w:space="0" w:color="auto"/>
            </w:tcBorders>
            <w:shd w:val="clear" w:color="auto" w:fill="F3F9FA"/>
            <w:vAlign w:val="center"/>
            <w:hideMark/>
          </w:tcPr>
          <w:p w14:paraId="27DE011C" w14:textId="77777777" w:rsidR="009F33B9" w:rsidRPr="00867E8C" w:rsidRDefault="009F33B9" w:rsidP="005D3108">
            <w:pPr>
              <w:spacing w:before="0" w:after="0"/>
              <w:jc w:val="center"/>
              <w:rPr>
                <w:rFonts w:cs="Arial"/>
                <w:color w:val="000000"/>
                <w:szCs w:val="22"/>
              </w:rPr>
            </w:pPr>
            <w:r w:rsidRPr="00867E8C">
              <w:rPr>
                <w:rFonts w:cs="Arial"/>
                <w:color w:val="000000"/>
                <w:szCs w:val="22"/>
              </w:rPr>
              <w:t>2.80</w:t>
            </w:r>
          </w:p>
        </w:tc>
        <w:tc>
          <w:tcPr>
            <w:tcW w:w="1362" w:type="dxa"/>
            <w:tcBorders>
              <w:bottom w:val="single" w:sz="4" w:space="0" w:color="auto"/>
            </w:tcBorders>
            <w:shd w:val="clear" w:color="auto" w:fill="F3F9FA"/>
            <w:vAlign w:val="center"/>
            <w:hideMark/>
          </w:tcPr>
          <w:p w14:paraId="0ADD4B0B" w14:textId="77777777" w:rsidR="009F33B9" w:rsidRPr="00867E8C" w:rsidRDefault="009F33B9" w:rsidP="005D3108">
            <w:pPr>
              <w:spacing w:before="0" w:after="0"/>
              <w:jc w:val="center"/>
              <w:rPr>
                <w:rFonts w:cs="Arial"/>
                <w:color w:val="000000"/>
                <w:szCs w:val="22"/>
              </w:rPr>
            </w:pPr>
            <w:r w:rsidRPr="00867E8C">
              <w:rPr>
                <w:rFonts w:cs="Arial"/>
                <w:color w:val="000000"/>
                <w:szCs w:val="22"/>
              </w:rPr>
              <w:t>0.54</w:t>
            </w:r>
          </w:p>
        </w:tc>
        <w:tc>
          <w:tcPr>
            <w:tcW w:w="1244" w:type="dxa"/>
            <w:tcBorders>
              <w:bottom w:val="single" w:sz="4" w:space="0" w:color="auto"/>
            </w:tcBorders>
            <w:shd w:val="clear" w:color="auto" w:fill="F3F9FA"/>
            <w:vAlign w:val="center"/>
            <w:hideMark/>
          </w:tcPr>
          <w:p w14:paraId="66949D7D" w14:textId="77777777" w:rsidR="009F33B9" w:rsidRPr="00867E8C" w:rsidRDefault="009F33B9" w:rsidP="005D3108">
            <w:pPr>
              <w:spacing w:before="0" w:after="0"/>
              <w:jc w:val="center"/>
              <w:rPr>
                <w:rFonts w:cs="Arial"/>
                <w:color w:val="000000"/>
                <w:szCs w:val="22"/>
              </w:rPr>
            </w:pPr>
            <w:r w:rsidRPr="00867E8C">
              <w:rPr>
                <w:rFonts w:cs="Arial"/>
                <w:color w:val="000000"/>
                <w:szCs w:val="22"/>
              </w:rPr>
              <w:t>24.75</w:t>
            </w:r>
          </w:p>
        </w:tc>
        <w:tc>
          <w:tcPr>
            <w:tcW w:w="1340" w:type="dxa"/>
            <w:tcBorders>
              <w:bottom w:val="single" w:sz="4" w:space="0" w:color="auto"/>
            </w:tcBorders>
            <w:shd w:val="clear" w:color="auto" w:fill="F3F9FA"/>
            <w:vAlign w:val="center"/>
            <w:hideMark/>
          </w:tcPr>
          <w:p w14:paraId="6E6AC2F6" w14:textId="77777777" w:rsidR="009F33B9" w:rsidRPr="00867E8C" w:rsidRDefault="009F33B9" w:rsidP="005D3108">
            <w:pPr>
              <w:spacing w:before="0" w:after="0"/>
              <w:jc w:val="center"/>
              <w:rPr>
                <w:rFonts w:cs="Arial"/>
                <w:color w:val="000000"/>
                <w:szCs w:val="22"/>
              </w:rPr>
            </w:pPr>
            <w:r w:rsidRPr="00867E8C">
              <w:rPr>
                <w:rFonts w:cs="Arial"/>
                <w:color w:val="000000"/>
                <w:szCs w:val="22"/>
              </w:rPr>
              <w:t>0.56</w:t>
            </w:r>
          </w:p>
        </w:tc>
        <w:tc>
          <w:tcPr>
            <w:tcW w:w="1195" w:type="dxa"/>
            <w:tcBorders>
              <w:bottom w:val="single" w:sz="4" w:space="0" w:color="auto"/>
            </w:tcBorders>
            <w:shd w:val="clear" w:color="auto" w:fill="F3F9FA"/>
            <w:noWrap/>
            <w:vAlign w:val="center"/>
            <w:hideMark/>
          </w:tcPr>
          <w:p w14:paraId="10C64F8E" w14:textId="77777777" w:rsidR="009F33B9" w:rsidRPr="00867E8C" w:rsidRDefault="009F33B9" w:rsidP="005D3108">
            <w:pPr>
              <w:spacing w:before="0" w:after="0"/>
              <w:jc w:val="center"/>
              <w:rPr>
                <w:rFonts w:cs="Arial"/>
                <w:color w:val="000000"/>
                <w:szCs w:val="22"/>
              </w:rPr>
            </w:pPr>
            <w:r w:rsidRPr="00867E8C">
              <w:rPr>
                <w:rFonts w:cs="Arial"/>
                <w:color w:val="000000"/>
                <w:szCs w:val="22"/>
              </w:rPr>
              <w:t>50.00</w:t>
            </w:r>
          </w:p>
        </w:tc>
        <w:tc>
          <w:tcPr>
            <w:tcW w:w="1267" w:type="dxa"/>
            <w:tcBorders>
              <w:bottom w:val="single" w:sz="4" w:space="0" w:color="auto"/>
            </w:tcBorders>
            <w:shd w:val="clear" w:color="auto" w:fill="F3F9FA"/>
            <w:vAlign w:val="center"/>
          </w:tcPr>
          <w:p w14:paraId="22E6BB8D" w14:textId="77777777" w:rsidR="009F33B9" w:rsidRPr="00867E8C" w:rsidRDefault="009F33B9" w:rsidP="005D3108">
            <w:pPr>
              <w:spacing w:before="0" w:after="0"/>
              <w:jc w:val="center"/>
              <w:rPr>
                <w:rFonts w:cs="Arial"/>
                <w:color w:val="000000"/>
                <w:szCs w:val="22"/>
              </w:rPr>
            </w:pPr>
            <w:r w:rsidRPr="00867E8C">
              <w:rPr>
                <w:rFonts w:cs="Arial"/>
                <w:color w:val="000000"/>
                <w:szCs w:val="22"/>
              </w:rPr>
              <w:t>1.14</w:t>
            </w:r>
          </w:p>
        </w:tc>
      </w:tr>
      <w:tr w:rsidR="009F33B9" w:rsidRPr="00867E8C" w14:paraId="71C658D8" w14:textId="77777777" w:rsidTr="00FC3D7F">
        <w:trPr>
          <w:trHeight w:val="276"/>
          <w:jc w:val="center"/>
        </w:trPr>
        <w:tc>
          <w:tcPr>
            <w:tcW w:w="718" w:type="dxa"/>
            <w:vMerge w:val="restart"/>
            <w:tcBorders>
              <w:top w:val="single" w:sz="4" w:space="0" w:color="auto"/>
            </w:tcBorders>
            <w:shd w:val="clear" w:color="auto" w:fill="E7F3F4"/>
            <w:textDirection w:val="btLr"/>
            <w:vAlign w:val="center"/>
            <w:hideMark/>
          </w:tcPr>
          <w:p w14:paraId="42E77BC1" w14:textId="77777777" w:rsidR="009F33B9" w:rsidRPr="00867E8C" w:rsidRDefault="009F33B9" w:rsidP="005D3108">
            <w:pPr>
              <w:spacing w:before="0" w:after="0"/>
              <w:ind w:left="113" w:right="113"/>
              <w:jc w:val="center"/>
              <w:rPr>
                <w:rFonts w:cs="Arial"/>
                <w:color w:val="000000"/>
                <w:szCs w:val="22"/>
              </w:rPr>
            </w:pPr>
            <w:r w:rsidRPr="00867E8C">
              <w:rPr>
                <w:rFonts w:cs="Arial"/>
                <w:color w:val="000000"/>
                <w:szCs w:val="22"/>
              </w:rPr>
              <w:t>Fitzroy</w:t>
            </w:r>
          </w:p>
        </w:tc>
        <w:tc>
          <w:tcPr>
            <w:tcW w:w="705" w:type="dxa"/>
            <w:tcBorders>
              <w:top w:val="single" w:sz="4" w:space="0" w:color="auto"/>
            </w:tcBorders>
            <w:shd w:val="clear" w:color="auto" w:fill="E7F3F4"/>
            <w:vAlign w:val="center"/>
            <w:hideMark/>
          </w:tcPr>
          <w:p w14:paraId="45838669" w14:textId="77777777" w:rsidR="009F33B9" w:rsidRPr="00867E8C" w:rsidRDefault="009F33B9" w:rsidP="005D3108">
            <w:pPr>
              <w:spacing w:before="0" w:after="0"/>
              <w:jc w:val="center"/>
              <w:rPr>
                <w:rFonts w:cs="Arial"/>
                <w:color w:val="000000"/>
                <w:szCs w:val="22"/>
              </w:rPr>
            </w:pPr>
            <w:r w:rsidRPr="00867E8C">
              <w:rPr>
                <w:rFonts w:cs="Arial"/>
                <w:color w:val="000000"/>
                <w:szCs w:val="22"/>
              </w:rPr>
              <w:t>RC1</w:t>
            </w:r>
          </w:p>
        </w:tc>
        <w:tc>
          <w:tcPr>
            <w:tcW w:w="1084" w:type="dxa"/>
            <w:tcBorders>
              <w:top w:val="single" w:sz="4" w:space="0" w:color="auto"/>
            </w:tcBorders>
            <w:shd w:val="clear" w:color="auto" w:fill="E7F3F4"/>
            <w:vAlign w:val="center"/>
            <w:hideMark/>
          </w:tcPr>
          <w:p w14:paraId="61C8482E" w14:textId="77777777" w:rsidR="009F33B9" w:rsidRPr="00867E8C" w:rsidRDefault="009F33B9" w:rsidP="005D3108">
            <w:pPr>
              <w:spacing w:before="0" w:after="0"/>
              <w:jc w:val="center"/>
              <w:rPr>
                <w:rFonts w:cs="Arial"/>
                <w:color w:val="000000"/>
                <w:szCs w:val="22"/>
              </w:rPr>
            </w:pPr>
            <w:r w:rsidRPr="00867E8C">
              <w:rPr>
                <w:rFonts w:cs="Arial"/>
                <w:color w:val="000000"/>
                <w:szCs w:val="22"/>
              </w:rPr>
              <w:t>2.03</w:t>
            </w:r>
          </w:p>
        </w:tc>
        <w:tc>
          <w:tcPr>
            <w:tcW w:w="971" w:type="dxa"/>
            <w:tcBorders>
              <w:top w:val="single" w:sz="4" w:space="0" w:color="auto"/>
            </w:tcBorders>
            <w:shd w:val="clear" w:color="auto" w:fill="E7F3F4"/>
            <w:vAlign w:val="center"/>
            <w:hideMark/>
          </w:tcPr>
          <w:p w14:paraId="5B85E4FA" w14:textId="77777777" w:rsidR="009F33B9" w:rsidRPr="00867E8C" w:rsidRDefault="009F33B9" w:rsidP="005D3108">
            <w:pPr>
              <w:spacing w:before="0" w:after="0"/>
              <w:jc w:val="center"/>
              <w:rPr>
                <w:rFonts w:cs="Arial"/>
                <w:color w:val="000000"/>
                <w:szCs w:val="22"/>
              </w:rPr>
            </w:pPr>
            <w:r w:rsidRPr="00867E8C">
              <w:rPr>
                <w:rFonts w:cs="Arial"/>
                <w:color w:val="000000"/>
                <w:szCs w:val="22"/>
              </w:rPr>
              <w:t>1.30</w:t>
            </w:r>
          </w:p>
        </w:tc>
        <w:tc>
          <w:tcPr>
            <w:tcW w:w="1362" w:type="dxa"/>
            <w:tcBorders>
              <w:top w:val="single" w:sz="4" w:space="0" w:color="auto"/>
            </w:tcBorders>
            <w:shd w:val="clear" w:color="auto" w:fill="E7F3F4"/>
            <w:vAlign w:val="center"/>
            <w:hideMark/>
          </w:tcPr>
          <w:p w14:paraId="3AAE239C" w14:textId="77777777" w:rsidR="009F33B9" w:rsidRPr="00867E8C" w:rsidRDefault="009F33B9" w:rsidP="005D3108">
            <w:pPr>
              <w:spacing w:before="0" w:after="0"/>
              <w:jc w:val="center"/>
              <w:rPr>
                <w:rFonts w:cs="Arial"/>
                <w:color w:val="000000"/>
                <w:szCs w:val="22"/>
              </w:rPr>
            </w:pPr>
            <w:r w:rsidRPr="00867E8C">
              <w:rPr>
                <w:rFonts w:cs="Arial"/>
                <w:color w:val="000000"/>
                <w:szCs w:val="22"/>
              </w:rPr>
              <w:t>1.06</w:t>
            </w:r>
          </w:p>
        </w:tc>
        <w:tc>
          <w:tcPr>
            <w:tcW w:w="1244" w:type="dxa"/>
            <w:tcBorders>
              <w:top w:val="single" w:sz="4" w:space="0" w:color="auto"/>
            </w:tcBorders>
            <w:shd w:val="clear" w:color="auto" w:fill="E7F3F4"/>
            <w:vAlign w:val="center"/>
            <w:hideMark/>
          </w:tcPr>
          <w:p w14:paraId="4598FAE0" w14:textId="77777777" w:rsidR="009F33B9" w:rsidRPr="00867E8C" w:rsidRDefault="009F33B9" w:rsidP="005D3108">
            <w:pPr>
              <w:spacing w:before="0" w:after="0"/>
              <w:jc w:val="center"/>
              <w:rPr>
                <w:rFonts w:cs="Arial"/>
                <w:color w:val="000000"/>
                <w:szCs w:val="22"/>
              </w:rPr>
            </w:pPr>
            <w:r w:rsidRPr="00867E8C">
              <w:rPr>
                <w:rFonts w:cs="Arial"/>
                <w:color w:val="000000"/>
                <w:szCs w:val="22"/>
              </w:rPr>
              <w:t>163.67</w:t>
            </w:r>
          </w:p>
        </w:tc>
        <w:tc>
          <w:tcPr>
            <w:tcW w:w="1340" w:type="dxa"/>
            <w:tcBorders>
              <w:top w:val="single" w:sz="4" w:space="0" w:color="auto"/>
            </w:tcBorders>
            <w:shd w:val="clear" w:color="auto" w:fill="E7F3F4"/>
            <w:vAlign w:val="center"/>
            <w:hideMark/>
          </w:tcPr>
          <w:p w14:paraId="18DD5019" w14:textId="77777777" w:rsidR="009F33B9" w:rsidRPr="00867E8C" w:rsidRDefault="009F33B9" w:rsidP="005D3108">
            <w:pPr>
              <w:spacing w:before="0" w:after="0"/>
              <w:jc w:val="center"/>
              <w:rPr>
                <w:rFonts w:cs="Arial"/>
                <w:color w:val="000000"/>
                <w:szCs w:val="22"/>
              </w:rPr>
            </w:pPr>
            <w:r w:rsidRPr="00867E8C">
              <w:rPr>
                <w:rFonts w:cs="Arial"/>
                <w:color w:val="000000"/>
                <w:szCs w:val="22"/>
              </w:rPr>
              <w:t>3.73</w:t>
            </w:r>
          </w:p>
        </w:tc>
        <w:tc>
          <w:tcPr>
            <w:tcW w:w="1195" w:type="dxa"/>
            <w:tcBorders>
              <w:top w:val="single" w:sz="4" w:space="0" w:color="auto"/>
            </w:tcBorders>
            <w:shd w:val="clear" w:color="auto" w:fill="E7F3F4"/>
            <w:noWrap/>
            <w:vAlign w:val="center"/>
            <w:hideMark/>
          </w:tcPr>
          <w:p w14:paraId="7D56980F" w14:textId="77777777" w:rsidR="009F33B9" w:rsidRPr="00867E8C" w:rsidRDefault="009F33B9" w:rsidP="005D3108">
            <w:pPr>
              <w:spacing w:before="0" w:after="0"/>
              <w:jc w:val="center"/>
              <w:rPr>
                <w:rFonts w:cs="Arial"/>
                <w:color w:val="000000"/>
                <w:szCs w:val="22"/>
              </w:rPr>
            </w:pPr>
            <w:r w:rsidRPr="00867E8C">
              <w:rPr>
                <w:rFonts w:cs="Arial"/>
                <w:color w:val="000000"/>
                <w:szCs w:val="22"/>
              </w:rPr>
              <w:t>248.50</w:t>
            </w:r>
          </w:p>
        </w:tc>
        <w:tc>
          <w:tcPr>
            <w:tcW w:w="1267" w:type="dxa"/>
            <w:tcBorders>
              <w:top w:val="single" w:sz="4" w:space="0" w:color="auto"/>
            </w:tcBorders>
            <w:shd w:val="clear" w:color="auto" w:fill="E7F3F4"/>
            <w:vAlign w:val="center"/>
          </w:tcPr>
          <w:p w14:paraId="7E147480" w14:textId="77777777" w:rsidR="009F33B9" w:rsidRPr="00867E8C" w:rsidRDefault="009F33B9" w:rsidP="005D3108">
            <w:pPr>
              <w:spacing w:before="0" w:after="0"/>
              <w:jc w:val="center"/>
              <w:rPr>
                <w:rFonts w:cs="Arial"/>
                <w:color w:val="000000"/>
                <w:szCs w:val="22"/>
              </w:rPr>
            </w:pPr>
            <w:r w:rsidRPr="00867E8C">
              <w:rPr>
                <w:rFonts w:cs="Arial"/>
                <w:color w:val="000000"/>
                <w:szCs w:val="22"/>
              </w:rPr>
              <w:t>5.67</w:t>
            </w:r>
          </w:p>
        </w:tc>
      </w:tr>
      <w:tr w:rsidR="009F33B9" w:rsidRPr="00867E8C" w14:paraId="69954661" w14:textId="77777777" w:rsidTr="00FC3D7F">
        <w:trPr>
          <w:trHeight w:val="276"/>
          <w:jc w:val="center"/>
        </w:trPr>
        <w:tc>
          <w:tcPr>
            <w:tcW w:w="0" w:type="auto"/>
            <w:vMerge/>
            <w:vAlign w:val="center"/>
            <w:hideMark/>
          </w:tcPr>
          <w:p w14:paraId="614B4A88"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20772B2F" w14:textId="77777777" w:rsidR="009F33B9" w:rsidRPr="00867E8C" w:rsidRDefault="009F33B9" w:rsidP="005D3108">
            <w:pPr>
              <w:spacing w:before="0" w:after="0"/>
              <w:jc w:val="center"/>
              <w:rPr>
                <w:rFonts w:cs="Arial"/>
                <w:color w:val="000000"/>
                <w:szCs w:val="22"/>
              </w:rPr>
            </w:pPr>
            <w:r w:rsidRPr="00867E8C">
              <w:rPr>
                <w:rFonts w:cs="Arial"/>
                <w:color w:val="000000"/>
                <w:szCs w:val="22"/>
              </w:rPr>
              <w:t>WH1</w:t>
            </w:r>
          </w:p>
        </w:tc>
        <w:tc>
          <w:tcPr>
            <w:tcW w:w="1084" w:type="dxa"/>
            <w:shd w:val="clear" w:color="auto" w:fill="E7F3F4"/>
            <w:vAlign w:val="center"/>
            <w:hideMark/>
          </w:tcPr>
          <w:p w14:paraId="16C07382" w14:textId="77777777" w:rsidR="009F33B9" w:rsidRPr="00867E8C" w:rsidRDefault="009F33B9" w:rsidP="005D3108">
            <w:pPr>
              <w:spacing w:before="0" w:after="0"/>
              <w:jc w:val="center"/>
              <w:rPr>
                <w:rFonts w:cs="Arial"/>
                <w:color w:val="000000"/>
                <w:szCs w:val="22"/>
              </w:rPr>
            </w:pPr>
            <w:r w:rsidRPr="00867E8C">
              <w:rPr>
                <w:rFonts w:cs="Arial"/>
                <w:color w:val="000000"/>
                <w:szCs w:val="22"/>
              </w:rPr>
              <w:t>2.16</w:t>
            </w:r>
          </w:p>
        </w:tc>
        <w:tc>
          <w:tcPr>
            <w:tcW w:w="971" w:type="dxa"/>
            <w:shd w:val="clear" w:color="auto" w:fill="E7F3F4"/>
            <w:vAlign w:val="center"/>
            <w:hideMark/>
          </w:tcPr>
          <w:p w14:paraId="701BF600" w14:textId="77777777" w:rsidR="009F33B9" w:rsidRPr="00867E8C" w:rsidRDefault="009F33B9" w:rsidP="005D3108">
            <w:pPr>
              <w:spacing w:before="0" w:after="0"/>
              <w:jc w:val="center"/>
              <w:rPr>
                <w:rFonts w:cs="Arial"/>
                <w:color w:val="000000"/>
                <w:szCs w:val="22"/>
              </w:rPr>
            </w:pPr>
            <w:r w:rsidRPr="00867E8C">
              <w:rPr>
                <w:rFonts w:cs="Arial"/>
                <w:color w:val="000000"/>
                <w:szCs w:val="22"/>
              </w:rPr>
              <w:t>1.17</w:t>
            </w:r>
          </w:p>
        </w:tc>
        <w:tc>
          <w:tcPr>
            <w:tcW w:w="1362" w:type="dxa"/>
            <w:shd w:val="clear" w:color="auto" w:fill="E7F3F4"/>
            <w:vAlign w:val="center"/>
            <w:hideMark/>
          </w:tcPr>
          <w:p w14:paraId="7BB94B8B" w14:textId="77777777" w:rsidR="009F33B9" w:rsidRPr="00867E8C" w:rsidRDefault="009F33B9" w:rsidP="005D3108">
            <w:pPr>
              <w:spacing w:before="0" w:after="0"/>
              <w:jc w:val="center"/>
              <w:rPr>
                <w:rFonts w:cs="Arial"/>
                <w:color w:val="000000"/>
                <w:szCs w:val="22"/>
              </w:rPr>
            </w:pPr>
            <w:r w:rsidRPr="00867E8C">
              <w:rPr>
                <w:rFonts w:cs="Arial"/>
                <w:color w:val="000000"/>
                <w:szCs w:val="22"/>
              </w:rPr>
              <w:t>1.19</w:t>
            </w:r>
          </w:p>
        </w:tc>
        <w:tc>
          <w:tcPr>
            <w:tcW w:w="1244" w:type="dxa"/>
            <w:shd w:val="clear" w:color="auto" w:fill="E7F3F4"/>
            <w:vAlign w:val="center"/>
            <w:hideMark/>
          </w:tcPr>
          <w:p w14:paraId="0E9402EB" w14:textId="77777777" w:rsidR="009F33B9" w:rsidRPr="00867E8C" w:rsidRDefault="009F33B9" w:rsidP="005D3108">
            <w:pPr>
              <w:spacing w:before="0" w:after="0"/>
              <w:jc w:val="center"/>
              <w:rPr>
                <w:rFonts w:cs="Arial"/>
                <w:color w:val="000000"/>
                <w:szCs w:val="22"/>
              </w:rPr>
            </w:pPr>
            <w:r w:rsidRPr="00867E8C">
              <w:rPr>
                <w:rFonts w:cs="Arial"/>
                <w:color w:val="000000"/>
                <w:szCs w:val="22"/>
              </w:rPr>
              <w:t>236.17</w:t>
            </w:r>
          </w:p>
        </w:tc>
        <w:tc>
          <w:tcPr>
            <w:tcW w:w="1340" w:type="dxa"/>
            <w:shd w:val="clear" w:color="auto" w:fill="E7F3F4"/>
            <w:vAlign w:val="center"/>
            <w:hideMark/>
          </w:tcPr>
          <w:p w14:paraId="5F40A8BE" w14:textId="77777777" w:rsidR="009F33B9" w:rsidRPr="00867E8C" w:rsidRDefault="009F33B9" w:rsidP="005D3108">
            <w:pPr>
              <w:spacing w:before="0" w:after="0"/>
              <w:jc w:val="center"/>
              <w:rPr>
                <w:rFonts w:cs="Arial"/>
                <w:color w:val="000000"/>
                <w:szCs w:val="22"/>
              </w:rPr>
            </w:pPr>
            <w:r w:rsidRPr="00867E8C">
              <w:rPr>
                <w:rFonts w:cs="Arial"/>
                <w:color w:val="000000"/>
                <w:szCs w:val="22"/>
              </w:rPr>
              <w:t>5.39</w:t>
            </w:r>
          </w:p>
        </w:tc>
        <w:tc>
          <w:tcPr>
            <w:tcW w:w="1195" w:type="dxa"/>
            <w:shd w:val="clear" w:color="auto" w:fill="E7F3F4"/>
            <w:noWrap/>
            <w:vAlign w:val="center"/>
            <w:hideMark/>
          </w:tcPr>
          <w:p w14:paraId="4E9663C7" w14:textId="77777777" w:rsidR="009F33B9" w:rsidRPr="00867E8C" w:rsidRDefault="009F33B9" w:rsidP="005D3108">
            <w:pPr>
              <w:spacing w:before="0" w:after="0"/>
              <w:jc w:val="center"/>
              <w:rPr>
                <w:rFonts w:cs="Arial"/>
                <w:color w:val="000000"/>
                <w:szCs w:val="22"/>
              </w:rPr>
            </w:pPr>
            <w:r w:rsidRPr="00867E8C">
              <w:rPr>
                <w:rFonts w:cs="Arial"/>
                <w:color w:val="000000"/>
                <w:szCs w:val="22"/>
              </w:rPr>
              <w:t>332.50</w:t>
            </w:r>
          </w:p>
        </w:tc>
        <w:tc>
          <w:tcPr>
            <w:tcW w:w="1267" w:type="dxa"/>
            <w:shd w:val="clear" w:color="auto" w:fill="E7F3F4"/>
            <w:vAlign w:val="center"/>
          </w:tcPr>
          <w:p w14:paraId="7A7EB290" w14:textId="77777777" w:rsidR="009F33B9" w:rsidRPr="00867E8C" w:rsidRDefault="009F33B9" w:rsidP="005D3108">
            <w:pPr>
              <w:spacing w:before="0" w:after="0"/>
              <w:jc w:val="center"/>
              <w:rPr>
                <w:rFonts w:cs="Arial"/>
                <w:color w:val="000000"/>
                <w:szCs w:val="22"/>
              </w:rPr>
            </w:pPr>
            <w:r w:rsidRPr="00867E8C">
              <w:rPr>
                <w:rFonts w:cs="Arial"/>
                <w:color w:val="000000"/>
                <w:szCs w:val="22"/>
              </w:rPr>
              <w:t>7.59</w:t>
            </w:r>
          </w:p>
        </w:tc>
      </w:tr>
      <w:tr w:rsidR="009F33B9" w:rsidRPr="00867E8C" w14:paraId="63A0BCB2" w14:textId="77777777" w:rsidTr="00FC3D7F">
        <w:trPr>
          <w:trHeight w:val="276"/>
          <w:jc w:val="center"/>
        </w:trPr>
        <w:tc>
          <w:tcPr>
            <w:tcW w:w="0" w:type="auto"/>
            <w:vMerge/>
            <w:vAlign w:val="center"/>
            <w:hideMark/>
          </w:tcPr>
          <w:p w14:paraId="1EB9F20C"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5E878508" w14:textId="77777777" w:rsidR="009F33B9" w:rsidRPr="00867E8C" w:rsidRDefault="009F33B9" w:rsidP="005D3108">
            <w:pPr>
              <w:spacing w:before="0" w:after="0"/>
              <w:jc w:val="center"/>
              <w:rPr>
                <w:rFonts w:cs="Arial"/>
                <w:color w:val="000000"/>
                <w:szCs w:val="22"/>
              </w:rPr>
            </w:pPr>
            <w:r w:rsidRPr="00867E8C">
              <w:rPr>
                <w:rFonts w:cs="Arial"/>
                <w:color w:val="000000"/>
                <w:szCs w:val="22"/>
              </w:rPr>
              <w:t>GK1</w:t>
            </w:r>
          </w:p>
        </w:tc>
        <w:tc>
          <w:tcPr>
            <w:tcW w:w="1084" w:type="dxa"/>
            <w:shd w:val="clear" w:color="auto" w:fill="E7F3F4"/>
            <w:vAlign w:val="center"/>
            <w:hideMark/>
          </w:tcPr>
          <w:p w14:paraId="10077979" w14:textId="77777777" w:rsidR="009F33B9" w:rsidRPr="00867E8C" w:rsidRDefault="009F33B9" w:rsidP="005D3108">
            <w:pPr>
              <w:spacing w:before="0" w:after="0"/>
              <w:jc w:val="center"/>
              <w:rPr>
                <w:rFonts w:cs="Arial"/>
                <w:color w:val="000000"/>
                <w:szCs w:val="22"/>
              </w:rPr>
            </w:pPr>
            <w:r w:rsidRPr="00867E8C">
              <w:rPr>
                <w:rFonts w:cs="Arial"/>
                <w:color w:val="000000"/>
                <w:szCs w:val="22"/>
              </w:rPr>
              <w:t>0.52</w:t>
            </w:r>
          </w:p>
        </w:tc>
        <w:tc>
          <w:tcPr>
            <w:tcW w:w="971" w:type="dxa"/>
            <w:shd w:val="clear" w:color="auto" w:fill="E7F3F4"/>
            <w:vAlign w:val="center"/>
            <w:hideMark/>
          </w:tcPr>
          <w:p w14:paraId="09CBCA36" w14:textId="77777777" w:rsidR="009F33B9" w:rsidRPr="00867E8C" w:rsidRDefault="009F33B9" w:rsidP="005D3108">
            <w:pPr>
              <w:spacing w:before="0" w:after="0"/>
              <w:jc w:val="center"/>
              <w:rPr>
                <w:rFonts w:cs="Arial"/>
                <w:color w:val="000000"/>
                <w:szCs w:val="22"/>
              </w:rPr>
            </w:pPr>
            <w:r w:rsidRPr="00867E8C">
              <w:rPr>
                <w:rFonts w:cs="Arial"/>
                <w:color w:val="000000"/>
                <w:szCs w:val="22"/>
              </w:rPr>
              <w:t>1.93</w:t>
            </w:r>
          </w:p>
        </w:tc>
        <w:tc>
          <w:tcPr>
            <w:tcW w:w="1362" w:type="dxa"/>
            <w:shd w:val="clear" w:color="auto" w:fill="E7F3F4"/>
            <w:vAlign w:val="center"/>
            <w:hideMark/>
          </w:tcPr>
          <w:p w14:paraId="6A193662" w14:textId="77777777" w:rsidR="009F33B9" w:rsidRPr="00867E8C" w:rsidRDefault="009F33B9" w:rsidP="005D3108">
            <w:pPr>
              <w:spacing w:before="0" w:after="0"/>
              <w:jc w:val="center"/>
              <w:rPr>
                <w:rFonts w:cs="Arial"/>
                <w:color w:val="000000"/>
                <w:szCs w:val="22"/>
              </w:rPr>
            </w:pPr>
            <w:r w:rsidRPr="00867E8C">
              <w:rPr>
                <w:rFonts w:cs="Arial"/>
                <w:color w:val="000000"/>
                <w:szCs w:val="22"/>
              </w:rPr>
              <w:t>0.43</w:t>
            </w:r>
          </w:p>
        </w:tc>
        <w:tc>
          <w:tcPr>
            <w:tcW w:w="1244" w:type="dxa"/>
            <w:shd w:val="clear" w:color="auto" w:fill="E7F3F4"/>
            <w:vAlign w:val="center"/>
            <w:hideMark/>
          </w:tcPr>
          <w:p w14:paraId="6448335A" w14:textId="77777777" w:rsidR="009F33B9" w:rsidRPr="00867E8C" w:rsidRDefault="009F33B9" w:rsidP="005D3108">
            <w:pPr>
              <w:spacing w:before="0" w:after="0"/>
              <w:jc w:val="center"/>
              <w:rPr>
                <w:rFonts w:cs="Arial"/>
                <w:color w:val="000000"/>
                <w:szCs w:val="22"/>
              </w:rPr>
            </w:pPr>
            <w:r w:rsidRPr="00867E8C">
              <w:rPr>
                <w:rFonts w:cs="Arial"/>
                <w:color w:val="000000"/>
                <w:szCs w:val="22"/>
              </w:rPr>
              <w:t>33.25</w:t>
            </w:r>
          </w:p>
        </w:tc>
        <w:tc>
          <w:tcPr>
            <w:tcW w:w="1340" w:type="dxa"/>
            <w:shd w:val="clear" w:color="auto" w:fill="E7F3F4"/>
            <w:vAlign w:val="center"/>
            <w:hideMark/>
          </w:tcPr>
          <w:p w14:paraId="40E6F729" w14:textId="77777777" w:rsidR="009F33B9" w:rsidRPr="00867E8C" w:rsidRDefault="009F33B9" w:rsidP="005D3108">
            <w:pPr>
              <w:spacing w:before="0" w:after="0"/>
              <w:jc w:val="center"/>
              <w:rPr>
                <w:rFonts w:cs="Arial"/>
                <w:color w:val="000000"/>
                <w:szCs w:val="22"/>
              </w:rPr>
            </w:pPr>
            <w:r w:rsidRPr="00867E8C">
              <w:rPr>
                <w:rFonts w:cs="Arial"/>
                <w:color w:val="000000"/>
                <w:szCs w:val="22"/>
              </w:rPr>
              <w:t>0.76</w:t>
            </w:r>
          </w:p>
        </w:tc>
        <w:tc>
          <w:tcPr>
            <w:tcW w:w="1195" w:type="dxa"/>
            <w:shd w:val="clear" w:color="auto" w:fill="E7F3F4"/>
            <w:noWrap/>
            <w:vAlign w:val="center"/>
            <w:hideMark/>
          </w:tcPr>
          <w:p w14:paraId="77A4B635" w14:textId="77777777" w:rsidR="009F33B9" w:rsidRPr="00867E8C" w:rsidRDefault="009F33B9" w:rsidP="005D3108">
            <w:pPr>
              <w:spacing w:before="0" w:after="0"/>
              <w:jc w:val="center"/>
              <w:rPr>
                <w:rFonts w:cs="Arial"/>
                <w:color w:val="000000"/>
                <w:szCs w:val="22"/>
              </w:rPr>
            </w:pPr>
            <w:r w:rsidRPr="00867E8C">
              <w:rPr>
                <w:rFonts w:cs="Arial"/>
                <w:color w:val="000000"/>
                <w:szCs w:val="22"/>
              </w:rPr>
              <w:t>36.00</w:t>
            </w:r>
          </w:p>
        </w:tc>
        <w:tc>
          <w:tcPr>
            <w:tcW w:w="1267" w:type="dxa"/>
            <w:shd w:val="clear" w:color="auto" w:fill="E7F3F4"/>
            <w:vAlign w:val="center"/>
          </w:tcPr>
          <w:p w14:paraId="04EF190D" w14:textId="77777777" w:rsidR="009F33B9" w:rsidRPr="00867E8C" w:rsidRDefault="009F33B9" w:rsidP="005D3108">
            <w:pPr>
              <w:spacing w:before="0" w:after="0"/>
              <w:jc w:val="center"/>
              <w:rPr>
                <w:rFonts w:cs="Arial"/>
                <w:color w:val="000000"/>
                <w:szCs w:val="22"/>
              </w:rPr>
            </w:pPr>
            <w:r w:rsidRPr="00867E8C">
              <w:rPr>
                <w:rFonts w:cs="Arial"/>
                <w:color w:val="000000"/>
                <w:szCs w:val="22"/>
              </w:rPr>
              <w:t>0.82</w:t>
            </w:r>
          </w:p>
        </w:tc>
      </w:tr>
      <w:tr w:rsidR="009F33B9" w:rsidRPr="00867E8C" w14:paraId="45979422" w14:textId="77777777" w:rsidTr="00FC3D7F">
        <w:trPr>
          <w:trHeight w:val="276"/>
          <w:jc w:val="center"/>
        </w:trPr>
        <w:tc>
          <w:tcPr>
            <w:tcW w:w="0" w:type="auto"/>
            <w:vMerge/>
            <w:vAlign w:val="center"/>
            <w:hideMark/>
          </w:tcPr>
          <w:p w14:paraId="2873E29D"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00C974BC" w14:textId="77777777" w:rsidR="009F33B9" w:rsidRPr="00867E8C" w:rsidRDefault="009F33B9" w:rsidP="005D3108">
            <w:pPr>
              <w:spacing w:before="0" w:after="0"/>
              <w:jc w:val="center"/>
              <w:rPr>
                <w:rFonts w:cs="Arial"/>
                <w:color w:val="000000"/>
                <w:szCs w:val="22"/>
              </w:rPr>
            </w:pPr>
            <w:r w:rsidRPr="00867E8C">
              <w:rPr>
                <w:rFonts w:cs="Arial"/>
                <w:color w:val="000000"/>
                <w:szCs w:val="22"/>
              </w:rPr>
              <w:t>GK2</w:t>
            </w:r>
          </w:p>
        </w:tc>
        <w:tc>
          <w:tcPr>
            <w:tcW w:w="1084" w:type="dxa"/>
            <w:shd w:val="clear" w:color="auto" w:fill="E7F3F4"/>
            <w:vAlign w:val="center"/>
            <w:hideMark/>
          </w:tcPr>
          <w:p w14:paraId="4B8FFFA7" w14:textId="77777777" w:rsidR="009F33B9" w:rsidRPr="00867E8C" w:rsidRDefault="009F33B9" w:rsidP="005D3108">
            <w:pPr>
              <w:spacing w:before="0" w:after="0"/>
              <w:jc w:val="center"/>
              <w:rPr>
                <w:rFonts w:cs="Arial"/>
                <w:color w:val="000000"/>
                <w:szCs w:val="22"/>
              </w:rPr>
            </w:pPr>
            <w:r w:rsidRPr="00867E8C">
              <w:rPr>
                <w:rFonts w:cs="Arial"/>
                <w:color w:val="000000"/>
                <w:szCs w:val="22"/>
              </w:rPr>
              <w:t>0.58</w:t>
            </w:r>
          </w:p>
        </w:tc>
        <w:tc>
          <w:tcPr>
            <w:tcW w:w="971" w:type="dxa"/>
            <w:shd w:val="clear" w:color="auto" w:fill="E7F3F4"/>
            <w:vAlign w:val="center"/>
            <w:hideMark/>
          </w:tcPr>
          <w:p w14:paraId="6E4F7BB7" w14:textId="77777777" w:rsidR="009F33B9" w:rsidRPr="00867E8C" w:rsidRDefault="009F33B9" w:rsidP="005D3108">
            <w:pPr>
              <w:spacing w:before="0" w:after="0"/>
              <w:jc w:val="center"/>
              <w:rPr>
                <w:rFonts w:cs="Arial"/>
                <w:color w:val="000000"/>
                <w:szCs w:val="22"/>
              </w:rPr>
            </w:pPr>
            <w:r w:rsidRPr="00867E8C">
              <w:rPr>
                <w:rFonts w:cs="Arial"/>
                <w:color w:val="000000"/>
                <w:szCs w:val="22"/>
              </w:rPr>
              <w:t>1.87</w:t>
            </w:r>
          </w:p>
        </w:tc>
        <w:tc>
          <w:tcPr>
            <w:tcW w:w="1362" w:type="dxa"/>
            <w:shd w:val="clear" w:color="auto" w:fill="E7F3F4"/>
            <w:vAlign w:val="center"/>
            <w:hideMark/>
          </w:tcPr>
          <w:p w14:paraId="7A49FCCF" w14:textId="77777777" w:rsidR="009F33B9" w:rsidRPr="00867E8C" w:rsidRDefault="009F33B9" w:rsidP="005D3108">
            <w:pPr>
              <w:spacing w:before="0" w:after="0"/>
              <w:jc w:val="center"/>
              <w:rPr>
                <w:rFonts w:cs="Arial"/>
                <w:color w:val="000000"/>
                <w:szCs w:val="22"/>
              </w:rPr>
            </w:pPr>
            <w:r w:rsidRPr="00867E8C">
              <w:rPr>
                <w:rFonts w:cs="Arial"/>
                <w:color w:val="000000"/>
                <w:szCs w:val="22"/>
              </w:rPr>
              <w:t>0.49</w:t>
            </w:r>
          </w:p>
        </w:tc>
        <w:tc>
          <w:tcPr>
            <w:tcW w:w="1244" w:type="dxa"/>
            <w:shd w:val="clear" w:color="auto" w:fill="E7F3F4"/>
            <w:vAlign w:val="center"/>
            <w:hideMark/>
          </w:tcPr>
          <w:p w14:paraId="03748F9B" w14:textId="77777777" w:rsidR="009F33B9" w:rsidRPr="00867E8C" w:rsidRDefault="009F33B9" w:rsidP="005D3108">
            <w:pPr>
              <w:spacing w:before="0" w:after="0"/>
              <w:jc w:val="center"/>
              <w:rPr>
                <w:rFonts w:cs="Arial"/>
                <w:color w:val="000000"/>
                <w:szCs w:val="22"/>
              </w:rPr>
            </w:pPr>
            <w:r w:rsidRPr="00867E8C">
              <w:rPr>
                <w:rFonts w:cs="Arial"/>
                <w:color w:val="000000"/>
                <w:szCs w:val="22"/>
              </w:rPr>
              <w:t>49.83</w:t>
            </w:r>
          </w:p>
        </w:tc>
        <w:tc>
          <w:tcPr>
            <w:tcW w:w="1340" w:type="dxa"/>
            <w:shd w:val="clear" w:color="auto" w:fill="E7F3F4"/>
            <w:vAlign w:val="center"/>
            <w:hideMark/>
          </w:tcPr>
          <w:p w14:paraId="29B5F145" w14:textId="77777777" w:rsidR="009F33B9" w:rsidRPr="00867E8C" w:rsidRDefault="009F33B9" w:rsidP="005D3108">
            <w:pPr>
              <w:spacing w:before="0" w:after="0"/>
              <w:jc w:val="center"/>
              <w:rPr>
                <w:rFonts w:cs="Arial"/>
                <w:color w:val="000000"/>
                <w:szCs w:val="22"/>
              </w:rPr>
            </w:pPr>
            <w:r w:rsidRPr="00867E8C">
              <w:rPr>
                <w:rFonts w:cs="Arial"/>
                <w:color w:val="000000"/>
                <w:szCs w:val="22"/>
              </w:rPr>
              <w:t>1.14</w:t>
            </w:r>
          </w:p>
        </w:tc>
        <w:tc>
          <w:tcPr>
            <w:tcW w:w="1195" w:type="dxa"/>
            <w:shd w:val="clear" w:color="auto" w:fill="E7F3F4"/>
            <w:noWrap/>
            <w:vAlign w:val="center"/>
            <w:hideMark/>
          </w:tcPr>
          <w:p w14:paraId="43F5B43D" w14:textId="77777777" w:rsidR="009F33B9" w:rsidRPr="00867E8C" w:rsidRDefault="009F33B9" w:rsidP="005D3108">
            <w:pPr>
              <w:spacing w:before="0" w:after="0"/>
              <w:jc w:val="center"/>
              <w:rPr>
                <w:rFonts w:cs="Arial"/>
                <w:color w:val="000000"/>
                <w:szCs w:val="22"/>
              </w:rPr>
            </w:pPr>
            <w:r w:rsidRPr="00867E8C">
              <w:rPr>
                <w:rFonts w:cs="Arial"/>
                <w:color w:val="000000"/>
                <w:szCs w:val="22"/>
              </w:rPr>
              <w:t>51.00</w:t>
            </w:r>
          </w:p>
        </w:tc>
        <w:tc>
          <w:tcPr>
            <w:tcW w:w="1267" w:type="dxa"/>
            <w:shd w:val="clear" w:color="auto" w:fill="E7F3F4"/>
            <w:vAlign w:val="center"/>
          </w:tcPr>
          <w:p w14:paraId="44106FA3" w14:textId="77777777" w:rsidR="009F33B9" w:rsidRPr="00867E8C" w:rsidRDefault="009F33B9" w:rsidP="005D3108">
            <w:pPr>
              <w:spacing w:before="0" w:after="0"/>
              <w:jc w:val="center"/>
              <w:rPr>
                <w:rFonts w:cs="Arial"/>
                <w:color w:val="000000"/>
                <w:szCs w:val="22"/>
              </w:rPr>
            </w:pPr>
            <w:r w:rsidRPr="00867E8C">
              <w:rPr>
                <w:rFonts w:cs="Arial"/>
                <w:color w:val="000000"/>
                <w:szCs w:val="22"/>
              </w:rPr>
              <w:t>1.16</w:t>
            </w:r>
          </w:p>
        </w:tc>
      </w:tr>
      <w:tr w:rsidR="009F33B9" w:rsidRPr="00867E8C" w14:paraId="37280456" w14:textId="77777777" w:rsidTr="00FC3D7F">
        <w:trPr>
          <w:trHeight w:val="276"/>
          <w:jc w:val="center"/>
        </w:trPr>
        <w:tc>
          <w:tcPr>
            <w:tcW w:w="0" w:type="auto"/>
            <w:vMerge/>
            <w:vAlign w:val="center"/>
            <w:hideMark/>
          </w:tcPr>
          <w:p w14:paraId="631AC6F9" w14:textId="77777777" w:rsidR="009F33B9" w:rsidRPr="00867E8C" w:rsidRDefault="009F33B9" w:rsidP="005D3108">
            <w:pPr>
              <w:spacing w:before="0" w:after="0"/>
              <w:rPr>
                <w:rFonts w:cs="Arial"/>
                <w:color w:val="000000"/>
                <w:szCs w:val="22"/>
              </w:rPr>
            </w:pPr>
          </w:p>
        </w:tc>
        <w:tc>
          <w:tcPr>
            <w:tcW w:w="705" w:type="dxa"/>
            <w:shd w:val="clear" w:color="auto" w:fill="E7F3F4"/>
            <w:vAlign w:val="center"/>
            <w:hideMark/>
          </w:tcPr>
          <w:p w14:paraId="15502A82" w14:textId="77777777" w:rsidR="009F33B9" w:rsidRPr="00867E8C" w:rsidRDefault="009F33B9" w:rsidP="005D3108">
            <w:pPr>
              <w:spacing w:before="0" w:after="0"/>
              <w:jc w:val="center"/>
              <w:rPr>
                <w:rFonts w:cs="Arial"/>
                <w:color w:val="000000"/>
                <w:szCs w:val="22"/>
              </w:rPr>
            </w:pPr>
            <w:r w:rsidRPr="00867E8C">
              <w:rPr>
                <w:rFonts w:cs="Arial"/>
                <w:color w:val="000000"/>
                <w:szCs w:val="22"/>
              </w:rPr>
              <w:t>GH1</w:t>
            </w:r>
          </w:p>
        </w:tc>
        <w:tc>
          <w:tcPr>
            <w:tcW w:w="1084" w:type="dxa"/>
            <w:shd w:val="clear" w:color="auto" w:fill="E7F3F4"/>
            <w:vAlign w:val="center"/>
            <w:hideMark/>
          </w:tcPr>
          <w:p w14:paraId="3F7B6DDB" w14:textId="77777777" w:rsidR="009F33B9" w:rsidRPr="00867E8C" w:rsidRDefault="009F33B9" w:rsidP="005D3108">
            <w:pPr>
              <w:spacing w:before="0" w:after="0"/>
              <w:jc w:val="center"/>
              <w:rPr>
                <w:rFonts w:cs="Arial"/>
                <w:color w:val="000000"/>
                <w:szCs w:val="22"/>
              </w:rPr>
            </w:pPr>
            <w:r w:rsidRPr="00867E8C">
              <w:rPr>
                <w:rFonts w:cs="Arial"/>
                <w:color w:val="000000"/>
                <w:szCs w:val="22"/>
              </w:rPr>
              <w:t>0.80</w:t>
            </w:r>
          </w:p>
        </w:tc>
        <w:tc>
          <w:tcPr>
            <w:tcW w:w="971" w:type="dxa"/>
            <w:shd w:val="clear" w:color="auto" w:fill="E7F3F4"/>
            <w:vAlign w:val="center"/>
            <w:hideMark/>
          </w:tcPr>
          <w:p w14:paraId="7D323FF9" w14:textId="77777777" w:rsidR="009F33B9" w:rsidRPr="00867E8C" w:rsidRDefault="009F33B9" w:rsidP="005D3108">
            <w:pPr>
              <w:spacing w:before="0" w:after="0"/>
              <w:jc w:val="center"/>
              <w:rPr>
                <w:rFonts w:cs="Arial"/>
                <w:color w:val="000000"/>
                <w:szCs w:val="22"/>
              </w:rPr>
            </w:pPr>
            <w:r w:rsidRPr="00867E8C">
              <w:rPr>
                <w:rFonts w:cs="Arial"/>
                <w:color w:val="000000"/>
                <w:szCs w:val="22"/>
              </w:rPr>
              <w:t>1.57</w:t>
            </w:r>
          </w:p>
        </w:tc>
        <w:tc>
          <w:tcPr>
            <w:tcW w:w="1362" w:type="dxa"/>
            <w:shd w:val="clear" w:color="auto" w:fill="E7F3F4"/>
            <w:vAlign w:val="center"/>
            <w:hideMark/>
          </w:tcPr>
          <w:p w14:paraId="0BCD365C" w14:textId="77777777" w:rsidR="009F33B9" w:rsidRPr="00867E8C" w:rsidRDefault="009F33B9" w:rsidP="005D3108">
            <w:pPr>
              <w:spacing w:before="0" w:after="0"/>
              <w:jc w:val="center"/>
              <w:rPr>
                <w:rFonts w:cs="Arial"/>
                <w:color w:val="000000"/>
                <w:szCs w:val="22"/>
              </w:rPr>
            </w:pPr>
            <w:r w:rsidRPr="00867E8C">
              <w:rPr>
                <w:rFonts w:cs="Arial"/>
                <w:color w:val="000000"/>
                <w:szCs w:val="22"/>
              </w:rPr>
              <w:t>0.69</w:t>
            </w:r>
          </w:p>
        </w:tc>
        <w:tc>
          <w:tcPr>
            <w:tcW w:w="1244" w:type="dxa"/>
            <w:shd w:val="clear" w:color="auto" w:fill="E7F3F4"/>
            <w:vAlign w:val="center"/>
            <w:hideMark/>
          </w:tcPr>
          <w:p w14:paraId="5AAB277C" w14:textId="77777777" w:rsidR="009F33B9" w:rsidRPr="00867E8C" w:rsidRDefault="009F33B9" w:rsidP="005D3108">
            <w:pPr>
              <w:spacing w:before="0" w:after="0"/>
              <w:jc w:val="center"/>
              <w:rPr>
                <w:rFonts w:cs="Arial"/>
                <w:color w:val="000000"/>
                <w:szCs w:val="22"/>
              </w:rPr>
            </w:pPr>
            <w:r w:rsidRPr="00867E8C">
              <w:rPr>
                <w:rFonts w:cs="Arial"/>
                <w:color w:val="000000"/>
                <w:szCs w:val="22"/>
              </w:rPr>
              <w:t>97.33</w:t>
            </w:r>
          </w:p>
        </w:tc>
        <w:tc>
          <w:tcPr>
            <w:tcW w:w="1340" w:type="dxa"/>
            <w:shd w:val="clear" w:color="auto" w:fill="E7F3F4"/>
            <w:vAlign w:val="center"/>
            <w:hideMark/>
          </w:tcPr>
          <w:p w14:paraId="7316A57F" w14:textId="77777777" w:rsidR="009F33B9" w:rsidRPr="00867E8C" w:rsidRDefault="009F33B9" w:rsidP="005D3108">
            <w:pPr>
              <w:spacing w:before="0" w:after="0"/>
              <w:jc w:val="center"/>
              <w:rPr>
                <w:rFonts w:cs="Arial"/>
                <w:color w:val="000000"/>
                <w:szCs w:val="22"/>
              </w:rPr>
            </w:pPr>
            <w:r w:rsidRPr="00867E8C">
              <w:rPr>
                <w:rFonts w:cs="Arial"/>
                <w:color w:val="000000"/>
                <w:szCs w:val="22"/>
              </w:rPr>
              <w:t>2.22</w:t>
            </w:r>
          </w:p>
        </w:tc>
        <w:tc>
          <w:tcPr>
            <w:tcW w:w="1195" w:type="dxa"/>
            <w:shd w:val="clear" w:color="auto" w:fill="E7F3F4"/>
            <w:noWrap/>
            <w:vAlign w:val="center"/>
            <w:hideMark/>
          </w:tcPr>
          <w:p w14:paraId="46D7F717" w14:textId="77777777" w:rsidR="009F33B9" w:rsidRPr="00867E8C" w:rsidRDefault="009F33B9" w:rsidP="005D3108">
            <w:pPr>
              <w:spacing w:before="0" w:after="0"/>
              <w:jc w:val="center"/>
              <w:rPr>
                <w:rFonts w:cs="Arial"/>
                <w:color w:val="000000"/>
                <w:szCs w:val="22"/>
              </w:rPr>
            </w:pPr>
            <w:r w:rsidRPr="00867E8C">
              <w:rPr>
                <w:rFonts w:cs="Arial"/>
                <w:color w:val="000000"/>
                <w:szCs w:val="22"/>
              </w:rPr>
              <w:t>111.00</w:t>
            </w:r>
          </w:p>
        </w:tc>
        <w:tc>
          <w:tcPr>
            <w:tcW w:w="1267" w:type="dxa"/>
            <w:shd w:val="clear" w:color="auto" w:fill="E7F3F4"/>
            <w:vAlign w:val="center"/>
          </w:tcPr>
          <w:p w14:paraId="662F143B" w14:textId="77777777" w:rsidR="009F33B9" w:rsidRPr="00867E8C" w:rsidRDefault="009F33B9" w:rsidP="005D3108">
            <w:pPr>
              <w:spacing w:before="0" w:after="0"/>
              <w:jc w:val="center"/>
              <w:rPr>
                <w:rFonts w:cs="Arial"/>
                <w:color w:val="000000"/>
                <w:szCs w:val="22"/>
              </w:rPr>
            </w:pPr>
            <w:r w:rsidRPr="00867E8C">
              <w:rPr>
                <w:rFonts w:cs="Arial"/>
                <w:color w:val="000000"/>
                <w:szCs w:val="22"/>
              </w:rPr>
              <w:t>2.53</w:t>
            </w:r>
          </w:p>
        </w:tc>
      </w:tr>
      <w:tr w:rsidR="009F33B9" w:rsidRPr="00867E8C" w14:paraId="5CB938C8" w14:textId="77777777" w:rsidTr="00FC3D7F">
        <w:trPr>
          <w:trHeight w:val="276"/>
          <w:jc w:val="center"/>
        </w:trPr>
        <w:tc>
          <w:tcPr>
            <w:tcW w:w="0" w:type="auto"/>
            <w:vMerge/>
            <w:tcBorders>
              <w:bottom w:val="single" w:sz="4" w:space="0" w:color="auto"/>
            </w:tcBorders>
            <w:vAlign w:val="center"/>
            <w:hideMark/>
          </w:tcPr>
          <w:p w14:paraId="153B161C"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E7F3F4"/>
            <w:vAlign w:val="center"/>
            <w:hideMark/>
          </w:tcPr>
          <w:p w14:paraId="16CBF2DC" w14:textId="77777777" w:rsidR="009F33B9" w:rsidRPr="00867E8C" w:rsidRDefault="009F33B9" w:rsidP="005D3108">
            <w:pPr>
              <w:spacing w:before="0" w:after="0"/>
              <w:jc w:val="center"/>
              <w:rPr>
                <w:rFonts w:cs="Arial"/>
                <w:color w:val="000000"/>
                <w:szCs w:val="22"/>
              </w:rPr>
            </w:pPr>
            <w:r w:rsidRPr="00867E8C">
              <w:rPr>
                <w:rFonts w:cs="Arial"/>
                <w:color w:val="000000"/>
                <w:szCs w:val="22"/>
              </w:rPr>
              <w:t>GH2</w:t>
            </w:r>
          </w:p>
        </w:tc>
        <w:tc>
          <w:tcPr>
            <w:tcW w:w="1084" w:type="dxa"/>
            <w:tcBorders>
              <w:bottom w:val="single" w:sz="4" w:space="0" w:color="auto"/>
            </w:tcBorders>
            <w:shd w:val="clear" w:color="auto" w:fill="E7F3F4"/>
            <w:vAlign w:val="center"/>
            <w:hideMark/>
          </w:tcPr>
          <w:p w14:paraId="2930AEBA" w14:textId="77777777" w:rsidR="009F33B9" w:rsidRPr="00867E8C" w:rsidRDefault="009F33B9" w:rsidP="005D3108">
            <w:pPr>
              <w:spacing w:before="0" w:after="0"/>
              <w:jc w:val="center"/>
              <w:rPr>
                <w:rFonts w:cs="Arial"/>
                <w:color w:val="000000"/>
                <w:szCs w:val="22"/>
              </w:rPr>
            </w:pPr>
            <w:r w:rsidRPr="00867E8C">
              <w:rPr>
                <w:rFonts w:cs="Arial"/>
                <w:color w:val="000000"/>
                <w:szCs w:val="22"/>
              </w:rPr>
              <w:t>0.80</w:t>
            </w:r>
          </w:p>
        </w:tc>
        <w:tc>
          <w:tcPr>
            <w:tcW w:w="971" w:type="dxa"/>
            <w:tcBorders>
              <w:bottom w:val="single" w:sz="4" w:space="0" w:color="auto"/>
            </w:tcBorders>
            <w:shd w:val="clear" w:color="auto" w:fill="E7F3F4"/>
            <w:vAlign w:val="center"/>
            <w:hideMark/>
          </w:tcPr>
          <w:p w14:paraId="4BABD004" w14:textId="77777777" w:rsidR="009F33B9" w:rsidRPr="00867E8C" w:rsidRDefault="009F33B9" w:rsidP="005D3108">
            <w:pPr>
              <w:spacing w:before="0" w:after="0"/>
              <w:jc w:val="center"/>
              <w:rPr>
                <w:rFonts w:cs="Arial"/>
                <w:color w:val="000000"/>
                <w:szCs w:val="22"/>
              </w:rPr>
            </w:pPr>
            <w:r w:rsidRPr="00867E8C">
              <w:rPr>
                <w:rFonts w:cs="Arial"/>
                <w:color w:val="000000"/>
                <w:szCs w:val="22"/>
              </w:rPr>
              <w:t>1.57</w:t>
            </w:r>
          </w:p>
        </w:tc>
        <w:tc>
          <w:tcPr>
            <w:tcW w:w="1362" w:type="dxa"/>
            <w:tcBorders>
              <w:bottom w:val="single" w:sz="4" w:space="0" w:color="auto"/>
            </w:tcBorders>
            <w:shd w:val="clear" w:color="auto" w:fill="E7F3F4"/>
            <w:vAlign w:val="center"/>
            <w:hideMark/>
          </w:tcPr>
          <w:p w14:paraId="1957F702" w14:textId="77777777" w:rsidR="009F33B9" w:rsidRPr="00867E8C" w:rsidRDefault="009F33B9" w:rsidP="005D3108">
            <w:pPr>
              <w:spacing w:before="0" w:after="0"/>
              <w:jc w:val="center"/>
              <w:rPr>
                <w:rFonts w:cs="Arial"/>
                <w:color w:val="000000"/>
                <w:szCs w:val="22"/>
              </w:rPr>
            </w:pPr>
            <w:r w:rsidRPr="00867E8C">
              <w:rPr>
                <w:rFonts w:cs="Arial"/>
                <w:color w:val="000000"/>
                <w:szCs w:val="22"/>
              </w:rPr>
              <w:t>0.69</w:t>
            </w:r>
          </w:p>
        </w:tc>
        <w:tc>
          <w:tcPr>
            <w:tcW w:w="1244" w:type="dxa"/>
            <w:tcBorders>
              <w:bottom w:val="single" w:sz="4" w:space="0" w:color="auto"/>
            </w:tcBorders>
            <w:shd w:val="clear" w:color="auto" w:fill="E7F3F4"/>
            <w:vAlign w:val="center"/>
            <w:hideMark/>
          </w:tcPr>
          <w:p w14:paraId="5EABBB20" w14:textId="77777777" w:rsidR="009F33B9" w:rsidRPr="00867E8C" w:rsidRDefault="009F33B9" w:rsidP="005D3108">
            <w:pPr>
              <w:spacing w:before="0" w:after="0"/>
              <w:jc w:val="center"/>
              <w:rPr>
                <w:rFonts w:cs="Arial"/>
                <w:color w:val="000000"/>
                <w:szCs w:val="22"/>
              </w:rPr>
            </w:pPr>
            <w:r w:rsidRPr="00867E8C">
              <w:rPr>
                <w:rFonts w:cs="Arial"/>
                <w:color w:val="000000"/>
                <w:szCs w:val="22"/>
              </w:rPr>
              <w:t>91.58</w:t>
            </w:r>
          </w:p>
        </w:tc>
        <w:tc>
          <w:tcPr>
            <w:tcW w:w="1340" w:type="dxa"/>
            <w:tcBorders>
              <w:bottom w:val="single" w:sz="4" w:space="0" w:color="auto"/>
            </w:tcBorders>
            <w:shd w:val="clear" w:color="auto" w:fill="E7F3F4"/>
            <w:vAlign w:val="center"/>
            <w:hideMark/>
          </w:tcPr>
          <w:p w14:paraId="7D36ABB0" w14:textId="77777777" w:rsidR="009F33B9" w:rsidRPr="00867E8C" w:rsidRDefault="009F33B9" w:rsidP="005D3108">
            <w:pPr>
              <w:spacing w:before="0" w:after="0"/>
              <w:jc w:val="center"/>
              <w:rPr>
                <w:rFonts w:cs="Arial"/>
                <w:color w:val="000000"/>
                <w:szCs w:val="22"/>
              </w:rPr>
            </w:pPr>
            <w:r w:rsidRPr="00867E8C">
              <w:rPr>
                <w:rFonts w:cs="Arial"/>
                <w:color w:val="000000"/>
                <w:szCs w:val="22"/>
              </w:rPr>
              <w:t>2.09</w:t>
            </w:r>
          </w:p>
        </w:tc>
        <w:tc>
          <w:tcPr>
            <w:tcW w:w="1195" w:type="dxa"/>
            <w:tcBorders>
              <w:bottom w:val="single" w:sz="4" w:space="0" w:color="auto"/>
            </w:tcBorders>
            <w:shd w:val="clear" w:color="auto" w:fill="E7F3F4"/>
            <w:noWrap/>
            <w:vAlign w:val="center"/>
            <w:hideMark/>
          </w:tcPr>
          <w:p w14:paraId="356582D0" w14:textId="77777777" w:rsidR="009F33B9" w:rsidRPr="00867E8C" w:rsidRDefault="009F33B9" w:rsidP="005D3108">
            <w:pPr>
              <w:spacing w:before="0" w:after="0"/>
              <w:jc w:val="center"/>
              <w:rPr>
                <w:rFonts w:cs="Arial"/>
                <w:color w:val="000000"/>
                <w:szCs w:val="22"/>
              </w:rPr>
            </w:pPr>
            <w:r w:rsidRPr="00867E8C">
              <w:rPr>
                <w:rFonts w:cs="Arial"/>
                <w:color w:val="000000"/>
                <w:szCs w:val="22"/>
              </w:rPr>
              <w:t>111.00</w:t>
            </w:r>
          </w:p>
        </w:tc>
        <w:tc>
          <w:tcPr>
            <w:tcW w:w="1267" w:type="dxa"/>
            <w:tcBorders>
              <w:bottom w:val="single" w:sz="4" w:space="0" w:color="auto"/>
            </w:tcBorders>
            <w:shd w:val="clear" w:color="auto" w:fill="E7F3F4"/>
            <w:vAlign w:val="center"/>
          </w:tcPr>
          <w:p w14:paraId="1258336B" w14:textId="77777777" w:rsidR="009F33B9" w:rsidRPr="00867E8C" w:rsidRDefault="009F33B9" w:rsidP="005D3108">
            <w:pPr>
              <w:spacing w:before="0" w:after="0"/>
              <w:jc w:val="center"/>
              <w:rPr>
                <w:rFonts w:cs="Arial"/>
                <w:color w:val="000000"/>
                <w:szCs w:val="22"/>
              </w:rPr>
            </w:pPr>
            <w:r w:rsidRPr="00867E8C">
              <w:rPr>
                <w:rFonts w:cs="Arial"/>
                <w:color w:val="000000"/>
                <w:szCs w:val="22"/>
              </w:rPr>
              <w:t>2.53</w:t>
            </w:r>
          </w:p>
        </w:tc>
      </w:tr>
      <w:tr w:rsidR="009F33B9" w:rsidRPr="00867E8C" w14:paraId="441D5F79" w14:textId="77777777" w:rsidTr="00FC3D7F">
        <w:trPr>
          <w:trHeight w:val="276"/>
          <w:jc w:val="center"/>
        </w:trPr>
        <w:tc>
          <w:tcPr>
            <w:tcW w:w="718" w:type="dxa"/>
            <w:vMerge w:val="restart"/>
            <w:tcBorders>
              <w:top w:val="single" w:sz="4" w:space="0" w:color="auto"/>
            </w:tcBorders>
            <w:shd w:val="clear" w:color="auto" w:fill="F3F9FA"/>
            <w:textDirection w:val="btLr"/>
            <w:vAlign w:val="center"/>
            <w:hideMark/>
          </w:tcPr>
          <w:p w14:paraId="48C4313D" w14:textId="103ED4CE" w:rsidR="009F33B9" w:rsidRPr="00867E8C" w:rsidRDefault="00B72AC4" w:rsidP="005D3108">
            <w:pPr>
              <w:spacing w:before="0" w:after="0"/>
              <w:ind w:left="113" w:right="113"/>
              <w:jc w:val="center"/>
              <w:rPr>
                <w:rFonts w:cs="Arial"/>
                <w:color w:val="000000"/>
                <w:szCs w:val="22"/>
              </w:rPr>
            </w:pPr>
            <w:r>
              <w:rPr>
                <w:rFonts w:cs="Arial"/>
                <w:color w:val="000000"/>
                <w:szCs w:val="22"/>
              </w:rPr>
              <w:lastRenderedPageBreak/>
              <w:t>Burnett–Mary</w:t>
            </w:r>
          </w:p>
        </w:tc>
        <w:tc>
          <w:tcPr>
            <w:tcW w:w="705" w:type="dxa"/>
            <w:tcBorders>
              <w:top w:val="single" w:sz="4" w:space="0" w:color="auto"/>
            </w:tcBorders>
            <w:shd w:val="clear" w:color="auto" w:fill="F3F9FA"/>
            <w:vAlign w:val="center"/>
            <w:hideMark/>
          </w:tcPr>
          <w:p w14:paraId="29A1D02C" w14:textId="77777777" w:rsidR="009F33B9" w:rsidRPr="00867E8C" w:rsidRDefault="009F33B9" w:rsidP="005D3108">
            <w:pPr>
              <w:spacing w:before="0" w:after="0"/>
              <w:jc w:val="center"/>
              <w:rPr>
                <w:rFonts w:cs="Arial"/>
                <w:color w:val="000000"/>
                <w:szCs w:val="22"/>
              </w:rPr>
            </w:pPr>
            <w:r w:rsidRPr="00867E8C">
              <w:rPr>
                <w:rFonts w:cs="Arial"/>
                <w:color w:val="000000"/>
                <w:szCs w:val="22"/>
              </w:rPr>
              <w:t>RD1</w:t>
            </w:r>
          </w:p>
        </w:tc>
        <w:tc>
          <w:tcPr>
            <w:tcW w:w="1084" w:type="dxa"/>
            <w:tcBorders>
              <w:top w:val="single" w:sz="4" w:space="0" w:color="auto"/>
            </w:tcBorders>
            <w:shd w:val="clear" w:color="auto" w:fill="F3F9FA"/>
            <w:vAlign w:val="center"/>
            <w:hideMark/>
          </w:tcPr>
          <w:p w14:paraId="3FBBE7C0" w14:textId="77777777" w:rsidR="009F33B9" w:rsidRPr="00867E8C" w:rsidRDefault="009F33B9" w:rsidP="005D3108">
            <w:pPr>
              <w:spacing w:before="0" w:after="0"/>
              <w:jc w:val="center"/>
              <w:rPr>
                <w:rFonts w:cs="Arial"/>
                <w:color w:val="000000"/>
                <w:szCs w:val="22"/>
              </w:rPr>
            </w:pPr>
            <w:r w:rsidRPr="00867E8C">
              <w:rPr>
                <w:rFonts w:cs="Arial"/>
                <w:color w:val="000000"/>
                <w:szCs w:val="22"/>
              </w:rPr>
              <w:t>0.56</w:t>
            </w:r>
          </w:p>
        </w:tc>
        <w:tc>
          <w:tcPr>
            <w:tcW w:w="971" w:type="dxa"/>
            <w:tcBorders>
              <w:top w:val="single" w:sz="4" w:space="0" w:color="auto"/>
            </w:tcBorders>
            <w:shd w:val="clear" w:color="auto" w:fill="F3F9FA"/>
            <w:vAlign w:val="center"/>
            <w:hideMark/>
          </w:tcPr>
          <w:p w14:paraId="26B67A55" w14:textId="77777777" w:rsidR="009F33B9" w:rsidRPr="00867E8C" w:rsidRDefault="009F33B9" w:rsidP="005D3108">
            <w:pPr>
              <w:spacing w:before="0" w:after="0"/>
              <w:jc w:val="center"/>
              <w:rPr>
                <w:rFonts w:cs="Arial"/>
                <w:color w:val="000000"/>
                <w:szCs w:val="22"/>
              </w:rPr>
            </w:pPr>
            <w:r w:rsidRPr="00867E8C">
              <w:rPr>
                <w:rFonts w:cs="Arial"/>
                <w:color w:val="000000"/>
                <w:szCs w:val="22"/>
              </w:rPr>
              <w:t>1.48</w:t>
            </w:r>
          </w:p>
        </w:tc>
        <w:tc>
          <w:tcPr>
            <w:tcW w:w="1362" w:type="dxa"/>
            <w:tcBorders>
              <w:top w:val="single" w:sz="4" w:space="0" w:color="auto"/>
            </w:tcBorders>
            <w:shd w:val="clear" w:color="auto" w:fill="F3F9FA"/>
            <w:vAlign w:val="center"/>
            <w:hideMark/>
          </w:tcPr>
          <w:p w14:paraId="417FD097" w14:textId="77777777" w:rsidR="009F33B9" w:rsidRPr="00867E8C" w:rsidRDefault="009F33B9" w:rsidP="005D3108">
            <w:pPr>
              <w:spacing w:before="0" w:after="0"/>
              <w:jc w:val="center"/>
              <w:rPr>
                <w:rFonts w:cs="Arial"/>
                <w:color w:val="000000"/>
                <w:szCs w:val="22"/>
              </w:rPr>
            </w:pPr>
            <w:r w:rsidRPr="00867E8C">
              <w:rPr>
                <w:rFonts w:cs="Arial"/>
                <w:color w:val="000000"/>
                <w:szCs w:val="22"/>
              </w:rPr>
              <w:t>0.56</w:t>
            </w:r>
          </w:p>
        </w:tc>
        <w:tc>
          <w:tcPr>
            <w:tcW w:w="1244" w:type="dxa"/>
            <w:tcBorders>
              <w:top w:val="single" w:sz="4" w:space="0" w:color="auto"/>
            </w:tcBorders>
            <w:shd w:val="clear" w:color="auto" w:fill="F3F9FA"/>
            <w:vAlign w:val="center"/>
            <w:hideMark/>
          </w:tcPr>
          <w:p w14:paraId="5F721628" w14:textId="77777777" w:rsidR="009F33B9" w:rsidRPr="00867E8C" w:rsidRDefault="009F33B9" w:rsidP="005D3108">
            <w:pPr>
              <w:spacing w:before="0" w:after="0"/>
              <w:jc w:val="center"/>
              <w:rPr>
                <w:rFonts w:cs="Arial"/>
                <w:color w:val="000000"/>
                <w:szCs w:val="22"/>
              </w:rPr>
            </w:pPr>
            <w:r w:rsidRPr="00867E8C">
              <w:rPr>
                <w:rFonts w:cs="Arial"/>
                <w:color w:val="000000"/>
                <w:szCs w:val="22"/>
              </w:rPr>
              <w:t>66.58</w:t>
            </w:r>
          </w:p>
        </w:tc>
        <w:tc>
          <w:tcPr>
            <w:tcW w:w="1340" w:type="dxa"/>
            <w:tcBorders>
              <w:top w:val="single" w:sz="4" w:space="0" w:color="auto"/>
            </w:tcBorders>
            <w:shd w:val="clear" w:color="auto" w:fill="F3F9FA"/>
            <w:vAlign w:val="center"/>
            <w:hideMark/>
          </w:tcPr>
          <w:p w14:paraId="36C8EC8D" w14:textId="77777777" w:rsidR="009F33B9" w:rsidRPr="00867E8C" w:rsidRDefault="009F33B9" w:rsidP="005D3108">
            <w:pPr>
              <w:spacing w:before="0" w:after="0"/>
              <w:jc w:val="center"/>
              <w:rPr>
                <w:rFonts w:cs="Arial"/>
                <w:color w:val="000000"/>
                <w:szCs w:val="22"/>
              </w:rPr>
            </w:pPr>
            <w:r w:rsidRPr="00867E8C">
              <w:rPr>
                <w:rFonts w:cs="Arial"/>
                <w:color w:val="000000"/>
                <w:szCs w:val="22"/>
              </w:rPr>
              <w:t>1.52</w:t>
            </w:r>
          </w:p>
        </w:tc>
        <w:tc>
          <w:tcPr>
            <w:tcW w:w="1195" w:type="dxa"/>
            <w:tcBorders>
              <w:top w:val="single" w:sz="4" w:space="0" w:color="auto"/>
            </w:tcBorders>
            <w:shd w:val="clear" w:color="auto" w:fill="F3F9FA"/>
            <w:noWrap/>
            <w:vAlign w:val="center"/>
            <w:hideMark/>
          </w:tcPr>
          <w:p w14:paraId="5527A5E7" w14:textId="77777777" w:rsidR="009F33B9" w:rsidRPr="00867E8C" w:rsidRDefault="009F33B9" w:rsidP="005D3108">
            <w:pPr>
              <w:spacing w:before="0" w:after="0"/>
              <w:jc w:val="center"/>
              <w:rPr>
                <w:rFonts w:cs="Arial"/>
                <w:color w:val="000000"/>
                <w:szCs w:val="22"/>
              </w:rPr>
            </w:pPr>
            <w:r w:rsidRPr="00867E8C">
              <w:rPr>
                <w:rFonts w:cs="Arial"/>
                <w:color w:val="000000"/>
                <w:szCs w:val="22"/>
              </w:rPr>
              <w:t>77.00</w:t>
            </w:r>
          </w:p>
        </w:tc>
        <w:tc>
          <w:tcPr>
            <w:tcW w:w="1267" w:type="dxa"/>
            <w:tcBorders>
              <w:top w:val="single" w:sz="4" w:space="0" w:color="auto"/>
            </w:tcBorders>
            <w:shd w:val="clear" w:color="auto" w:fill="F3F9FA"/>
            <w:vAlign w:val="center"/>
          </w:tcPr>
          <w:p w14:paraId="6D147019" w14:textId="77777777" w:rsidR="009F33B9" w:rsidRPr="00867E8C" w:rsidRDefault="009F33B9" w:rsidP="005D3108">
            <w:pPr>
              <w:spacing w:before="0" w:after="0"/>
              <w:jc w:val="center"/>
              <w:rPr>
                <w:rFonts w:cs="Arial"/>
                <w:color w:val="000000"/>
                <w:szCs w:val="22"/>
              </w:rPr>
            </w:pPr>
            <w:r w:rsidRPr="00867E8C">
              <w:rPr>
                <w:rFonts w:cs="Arial"/>
                <w:color w:val="000000"/>
                <w:szCs w:val="22"/>
              </w:rPr>
              <w:t>1.76</w:t>
            </w:r>
          </w:p>
        </w:tc>
      </w:tr>
      <w:tr w:rsidR="009F33B9" w:rsidRPr="00867E8C" w14:paraId="2B20FADF" w14:textId="77777777" w:rsidTr="00FC3D7F">
        <w:trPr>
          <w:trHeight w:val="276"/>
          <w:jc w:val="center"/>
        </w:trPr>
        <w:tc>
          <w:tcPr>
            <w:tcW w:w="0" w:type="auto"/>
            <w:vMerge/>
            <w:vAlign w:val="center"/>
            <w:hideMark/>
          </w:tcPr>
          <w:p w14:paraId="35E4907B"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1C878B43" w14:textId="77777777" w:rsidR="009F33B9" w:rsidRPr="00867E8C" w:rsidRDefault="009F33B9" w:rsidP="005D3108">
            <w:pPr>
              <w:spacing w:before="0" w:after="0"/>
              <w:jc w:val="center"/>
              <w:rPr>
                <w:rFonts w:cs="Arial"/>
                <w:color w:val="000000"/>
                <w:szCs w:val="22"/>
              </w:rPr>
            </w:pPr>
            <w:r w:rsidRPr="00867E8C">
              <w:rPr>
                <w:rFonts w:cs="Arial"/>
                <w:color w:val="000000"/>
                <w:szCs w:val="22"/>
              </w:rPr>
              <w:t>RD2</w:t>
            </w:r>
          </w:p>
        </w:tc>
        <w:tc>
          <w:tcPr>
            <w:tcW w:w="1084" w:type="dxa"/>
            <w:shd w:val="clear" w:color="auto" w:fill="F3F9FA"/>
            <w:vAlign w:val="center"/>
            <w:hideMark/>
          </w:tcPr>
          <w:p w14:paraId="16F6553F" w14:textId="77777777" w:rsidR="009F33B9" w:rsidRPr="00867E8C" w:rsidRDefault="009F33B9" w:rsidP="005D3108">
            <w:pPr>
              <w:spacing w:before="0" w:after="0"/>
              <w:jc w:val="center"/>
              <w:rPr>
                <w:rFonts w:cs="Arial"/>
                <w:color w:val="000000"/>
                <w:szCs w:val="22"/>
              </w:rPr>
            </w:pPr>
            <w:r w:rsidRPr="00867E8C">
              <w:rPr>
                <w:rFonts w:cs="Arial"/>
                <w:color w:val="000000"/>
                <w:szCs w:val="22"/>
              </w:rPr>
              <w:t>0.63</w:t>
            </w:r>
          </w:p>
        </w:tc>
        <w:tc>
          <w:tcPr>
            <w:tcW w:w="971" w:type="dxa"/>
            <w:shd w:val="clear" w:color="auto" w:fill="F3F9FA"/>
            <w:vAlign w:val="center"/>
            <w:hideMark/>
          </w:tcPr>
          <w:p w14:paraId="03310571" w14:textId="77777777" w:rsidR="009F33B9" w:rsidRPr="00867E8C" w:rsidRDefault="009F33B9" w:rsidP="005D3108">
            <w:pPr>
              <w:spacing w:before="0" w:after="0"/>
              <w:jc w:val="center"/>
              <w:rPr>
                <w:rFonts w:cs="Arial"/>
                <w:color w:val="000000"/>
                <w:szCs w:val="22"/>
              </w:rPr>
            </w:pPr>
            <w:r w:rsidRPr="00867E8C">
              <w:rPr>
                <w:rFonts w:cs="Arial"/>
                <w:color w:val="000000"/>
                <w:szCs w:val="22"/>
              </w:rPr>
              <w:t>1.41</w:t>
            </w:r>
          </w:p>
        </w:tc>
        <w:tc>
          <w:tcPr>
            <w:tcW w:w="1362" w:type="dxa"/>
            <w:shd w:val="clear" w:color="auto" w:fill="F3F9FA"/>
            <w:vAlign w:val="center"/>
            <w:hideMark/>
          </w:tcPr>
          <w:p w14:paraId="0AAA7255" w14:textId="77777777" w:rsidR="009F33B9" w:rsidRPr="00867E8C" w:rsidRDefault="009F33B9" w:rsidP="005D3108">
            <w:pPr>
              <w:spacing w:before="0" w:after="0"/>
              <w:jc w:val="center"/>
              <w:rPr>
                <w:rFonts w:cs="Arial"/>
                <w:color w:val="000000"/>
                <w:szCs w:val="22"/>
              </w:rPr>
            </w:pPr>
            <w:r w:rsidRPr="00867E8C">
              <w:rPr>
                <w:rFonts w:cs="Arial"/>
                <w:color w:val="000000"/>
                <w:szCs w:val="22"/>
              </w:rPr>
              <w:t>0.63</w:t>
            </w:r>
          </w:p>
        </w:tc>
        <w:tc>
          <w:tcPr>
            <w:tcW w:w="1244" w:type="dxa"/>
            <w:shd w:val="clear" w:color="auto" w:fill="F3F9FA"/>
            <w:vAlign w:val="center"/>
            <w:hideMark/>
          </w:tcPr>
          <w:p w14:paraId="47F0D5C9" w14:textId="77777777" w:rsidR="009F33B9" w:rsidRPr="00867E8C" w:rsidRDefault="009F33B9" w:rsidP="005D3108">
            <w:pPr>
              <w:spacing w:before="0" w:after="0"/>
              <w:jc w:val="center"/>
              <w:rPr>
                <w:rFonts w:cs="Arial"/>
                <w:color w:val="000000"/>
                <w:szCs w:val="22"/>
              </w:rPr>
            </w:pPr>
            <w:r w:rsidRPr="00867E8C">
              <w:rPr>
                <w:rFonts w:cs="Arial"/>
                <w:color w:val="000000"/>
                <w:szCs w:val="22"/>
              </w:rPr>
              <w:t>93.17</w:t>
            </w:r>
          </w:p>
        </w:tc>
        <w:tc>
          <w:tcPr>
            <w:tcW w:w="1340" w:type="dxa"/>
            <w:shd w:val="clear" w:color="auto" w:fill="F3F9FA"/>
            <w:vAlign w:val="center"/>
            <w:hideMark/>
          </w:tcPr>
          <w:p w14:paraId="7D46659C" w14:textId="77777777" w:rsidR="009F33B9" w:rsidRPr="00867E8C" w:rsidRDefault="009F33B9" w:rsidP="005D3108">
            <w:pPr>
              <w:spacing w:before="0" w:after="0"/>
              <w:jc w:val="center"/>
              <w:rPr>
                <w:rFonts w:cs="Arial"/>
                <w:color w:val="000000"/>
                <w:szCs w:val="22"/>
              </w:rPr>
            </w:pPr>
            <w:r w:rsidRPr="00867E8C">
              <w:rPr>
                <w:rFonts w:cs="Arial"/>
                <w:color w:val="000000"/>
                <w:szCs w:val="22"/>
              </w:rPr>
              <w:t>2.13</w:t>
            </w:r>
          </w:p>
        </w:tc>
        <w:tc>
          <w:tcPr>
            <w:tcW w:w="1195" w:type="dxa"/>
            <w:shd w:val="clear" w:color="auto" w:fill="F3F9FA"/>
            <w:noWrap/>
            <w:vAlign w:val="center"/>
            <w:hideMark/>
          </w:tcPr>
          <w:p w14:paraId="10B50E48" w14:textId="77777777" w:rsidR="009F33B9" w:rsidRPr="00867E8C" w:rsidRDefault="009F33B9" w:rsidP="005D3108">
            <w:pPr>
              <w:spacing w:before="0" w:after="0"/>
              <w:jc w:val="center"/>
              <w:rPr>
                <w:rFonts w:cs="Arial"/>
                <w:color w:val="000000"/>
                <w:szCs w:val="22"/>
              </w:rPr>
            </w:pPr>
            <w:r w:rsidRPr="00867E8C">
              <w:rPr>
                <w:rFonts w:cs="Arial"/>
                <w:color w:val="000000"/>
                <w:szCs w:val="22"/>
              </w:rPr>
              <w:t>114.00</w:t>
            </w:r>
          </w:p>
        </w:tc>
        <w:tc>
          <w:tcPr>
            <w:tcW w:w="1267" w:type="dxa"/>
            <w:shd w:val="clear" w:color="auto" w:fill="F3F9FA"/>
            <w:vAlign w:val="center"/>
          </w:tcPr>
          <w:p w14:paraId="0CF19655" w14:textId="77777777" w:rsidR="009F33B9" w:rsidRPr="00867E8C" w:rsidRDefault="009F33B9" w:rsidP="005D3108">
            <w:pPr>
              <w:spacing w:before="0" w:after="0"/>
              <w:jc w:val="center"/>
              <w:rPr>
                <w:rFonts w:cs="Arial"/>
                <w:color w:val="000000"/>
                <w:szCs w:val="22"/>
              </w:rPr>
            </w:pPr>
            <w:r w:rsidRPr="00867E8C">
              <w:rPr>
                <w:rFonts w:cs="Arial"/>
                <w:color w:val="000000"/>
                <w:szCs w:val="22"/>
              </w:rPr>
              <w:t>2.60</w:t>
            </w:r>
          </w:p>
        </w:tc>
      </w:tr>
      <w:tr w:rsidR="009F33B9" w:rsidRPr="00867E8C" w14:paraId="74EC7F2F" w14:textId="77777777" w:rsidTr="00FC3D7F">
        <w:trPr>
          <w:trHeight w:val="276"/>
          <w:jc w:val="center"/>
        </w:trPr>
        <w:tc>
          <w:tcPr>
            <w:tcW w:w="0" w:type="auto"/>
            <w:vMerge/>
            <w:vAlign w:val="center"/>
            <w:hideMark/>
          </w:tcPr>
          <w:p w14:paraId="2B44F522" w14:textId="77777777" w:rsidR="009F33B9" w:rsidRPr="00867E8C" w:rsidRDefault="009F33B9" w:rsidP="005D3108">
            <w:pPr>
              <w:spacing w:before="0" w:after="0"/>
              <w:rPr>
                <w:rFonts w:cs="Arial"/>
                <w:color w:val="000000"/>
                <w:szCs w:val="22"/>
              </w:rPr>
            </w:pPr>
          </w:p>
        </w:tc>
        <w:tc>
          <w:tcPr>
            <w:tcW w:w="705" w:type="dxa"/>
            <w:shd w:val="clear" w:color="auto" w:fill="F3F9FA"/>
            <w:vAlign w:val="center"/>
            <w:hideMark/>
          </w:tcPr>
          <w:p w14:paraId="0F7CF511" w14:textId="77777777" w:rsidR="009F33B9" w:rsidRPr="00867E8C" w:rsidRDefault="009F33B9" w:rsidP="005D3108">
            <w:pPr>
              <w:spacing w:before="0" w:after="0"/>
              <w:jc w:val="center"/>
              <w:rPr>
                <w:rFonts w:cs="Arial"/>
                <w:color w:val="000000"/>
                <w:szCs w:val="22"/>
              </w:rPr>
            </w:pPr>
            <w:r w:rsidRPr="00867E8C">
              <w:rPr>
                <w:rFonts w:cs="Arial"/>
                <w:color w:val="000000"/>
                <w:szCs w:val="22"/>
              </w:rPr>
              <w:t>UG1</w:t>
            </w:r>
          </w:p>
        </w:tc>
        <w:tc>
          <w:tcPr>
            <w:tcW w:w="1084" w:type="dxa"/>
            <w:shd w:val="clear" w:color="auto" w:fill="F3F9FA"/>
            <w:vAlign w:val="center"/>
            <w:hideMark/>
          </w:tcPr>
          <w:p w14:paraId="47D24D3D" w14:textId="77777777" w:rsidR="009F33B9" w:rsidRPr="00867E8C" w:rsidRDefault="009F33B9" w:rsidP="005D3108">
            <w:pPr>
              <w:spacing w:before="0" w:after="0"/>
              <w:jc w:val="center"/>
              <w:rPr>
                <w:rFonts w:cs="Arial"/>
                <w:color w:val="000000"/>
                <w:szCs w:val="22"/>
              </w:rPr>
            </w:pPr>
            <w:r w:rsidRPr="00867E8C">
              <w:rPr>
                <w:rFonts w:cs="Arial"/>
                <w:color w:val="000000"/>
                <w:szCs w:val="22"/>
              </w:rPr>
              <w:t>0.70</w:t>
            </w:r>
          </w:p>
        </w:tc>
        <w:tc>
          <w:tcPr>
            <w:tcW w:w="971" w:type="dxa"/>
            <w:shd w:val="clear" w:color="auto" w:fill="F3F9FA"/>
            <w:vAlign w:val="center"/>
            <w:hideMark/>
          </w:tcPr>
          <w:p w14:paraId="69EA029C" w14:textId="77777777" w:rsidR="009F33B9" w:rsidRPr="00867E8C" w:rsidRDefault="009F33B9" w:rsidP="005D3108">
            <w:pPr>
              <w:spacing w:before="0" w:after="0"/>
              <w:jc w:val="center"/>
              <w:rPr>
                <w:rFonts w:cs="Arial"/>
                <w:color w:val="000000"/>
                <w:szCs w:val="22"/>
              </w:rPr>
            </w:pPr>
            <w:r w:rsidRPr="00867E8C">
              <w:rPr>
                <w:rFonts w:cs="Arial"/>
                <w:color w:val="000000"/>
                <w:szCs w:val="22"/>
              </w:rPr>
              <w:t>1.41</w:t>
            </w:r>
          </w:p>
        </w:tc>
        <w:tc>
          <w:tcPr>
            <w:tcW w:w="1362" w:type="dxa"/>
            <w:shd w:val="clear" w:color="auto" w:fill="F3F9FA"/>
            <w:vAlign w:val="center"/>
            <w:hideMark/>
          </w:tcPr>
          <w:p w14:paraId="517318A0" w14:textId="77777777" w:rsidR="009F33B9" w:rsidRPr="00867E8C" w:rsidRDefault="009F33B9" w:rsidP="005D3108">
            <w:pPr>
              <w:spacing w:before="0" w:after="0"/>
              <w:jc w:val="center"/>
              <w:rPr>
                <w:rFonts w:cs="Arial"/>
                <w:color w:val="000000"/>
                <w:szCs w:val="22"/>
              </w:rPr>
            </w:pPr>
            <w:r w:rsidRPr="00867E8C">
              <w:rPr>
                <w:rFonts w:cs="Arial"/>
                <w:color w:val="000000"/>
                <w:szCs w:val="22"/>
              </w:rPr>
              <w:t>0.70</w:t>
            </w:r>
          </w:p>
        </w:tc>
        <w:tc>
          <w:tcPr>
            <w:tcW w:w="1244" w:type="dxa"/>
            <w:shd w:val="clear" w:color="auto" w:fill="F3F9FA"/>
            <w:vAlign w:val="center"/>
            <w:hideMark/>
          </w:tcPr>
          <w:p w14:paraId="478498ED" w14:textId="77777777" w:rsidR="009F33B9" w:rsidRPr="00867E8C" w:rsidRDefault="009F33B9" w:rsidP="005D3108">
            <w:pPr>
              <w:spacing w:before="0" w:after="0"/>
              <w:jc w:val="center"/>
              <w:rPr>
                <w:rFonts w:cs="Arial"/>
                <w:color w:val="000000"/>
                <w:szCs w:val="22"/>
              </w:rPr>
            </w:pPr>
            <w:r w:rsidRPr="00867E8C">
              <w:rPr>
                <w:rFonts w:cs="Arial"/>
                <w:color w:val="000000"/>
                <w:szCs w:val="22"/>
              </w:rPr>
              <w:t>144.00</w:t>
            </w:r>
          </w:p>
        </w:tc>
        <w:tc>
          <w:tcPr>
            <w:tcW w:w="1340" w:type="dxa"/>
            <w:shd w:val="clear" w:color="auto" w:fill="F3F9FA"/>
            <w:vAlign w:val="center"/>
            <w:hideMark/>
          </w:tcPr>
          <w:p w14:paraId="44EB9E07" w14:textId="77777777" w:rsidR="009F33B9" w:rsidRPr="00867E8C" w:rsidRDefault="009F33B9" w:rsidP="005D3108">
            <w:pPr>
              <w:spacing w:before="0" w:after="0"/>
              <w:jc w:val="center"/>
              <w:rPr>
                <w:rFonts w:cs="Arial"/>
                <w:color w:val="000000"/>
                <w:szCs w:val="22"/>
              </w:rPr>
            </w:pPr>
            <w:r w:rsidRPr="00867E8C">
              <w:rPr>
                <w:rFonts w:cs="Arial"/>
                <w:color w:val="000000"/>
                <w:szCs w:val="22"/>
              </w:rPr>
              <w:t>3.29</w:t>
            </w:r>
          </w:p>
        </w:tc>
        <w:tc>
          <w:tcPr>
            <w:tcW w:w="1195" w:type="dxa"/>
            <w:shd w:val="clear" w:color="auto" w:fill="F3F9FA"/>
            <w:noWrap/>
            <w:vAlign w:val="center"/>
            <w:hideMark/>
          </w:tcPr>
          <w:p w14:paraId="1E1A5BE5" w14:textId="77777777" w:rsidR="009F33B9" w:rsidRPr="00867E8C" w:rsidRDefault="009F33B9" w:rsidP="005D3108">
            <w:pPr>
              <w:spacing w:before="0" w:after="0"/>
              <w:jc w:val="center"/>
              <w:rPr>
                <w:rFonts w:cs="Arial"/>
                <w:color w:val="000000"/>
                <w:szCs w:val="22"/>
              </w:rPr>
            </w:pPr>
            <w:r w:rsidRPr="00867E8C">
              <w:rPr>
                <w:rFonts w:cs="Arial"/>
                <w:color w:val="000000"/>
                <w:szCs w:val="22"/>
              </w:rPr>
              <w:t>118.50</w:t>
            </w:r>
          </w:p>
        </w:tc>
        <w:tc>
          <w:tcPr>
            <w:tcW w:w="1267" w:type="dxa"/>
            <w:shd w:val="clear" w:color="auto" w:fill="F3F9FA"/>
            <w:vAlign w:val="center"/>
          </w:tcPr>
          <w:p w14:paraId="74442280" w14:textId="77777777" w:rsidR="009F33B9" w:rsidRPr="00867E8C" w:rsidRDefault="009F33B9" w:rsidP="005D3108">
            <w:pPr>
              <w:spacing w:before="0" w:after="0"/>
              <w:jc w:val="center"/>
              <w:rPr>
                <w:rFonts w:cs="Arial"/>
                <w:color w:val="000000"/>
                <w:szCs w:val="22"/>
              </w:rPr>
            </w:pPr>
            <w:r w:rsidRPr="00867E8C">
              <w:rPr>
                <w:rFonts w:cs="Arial"/>
                <w:color w:val="000000"/>
                <w:szCs w:val="22"/>
              </w:rPr>
              <w:t>2.71</w:t>
            </w:r>
          </w:p>
        </w:tc>
      </w:tr>
      <w:tr w:rsidR="009F33B9" w:rsidRPr="00867E8C" w14:paraId="542DF6AE" w14:textId="77777777" w:rsidTr="00FC3D7F">
        <w:trPr>
          <w:trHeight w:val="276"/>
          <w:jc w:val="center"/>
        </w:trPr>
        <w:tc>
          <w:tcPr>
            <w:tcW w:w="0" w:type="auto"/>
            <w:vMerge/>
            <w:tcBorders>
              <w:bottom w:val="single" w:sz="4" w:space="0" w:color="auto"/>
            </w:tcBorders>
            <w:vAlign w:val="center"/>
            <w:hideMark/>
          </w:tcPr>
          <w:p w14:paraId="2FD8237D" w14:textId="77777777" w:rsidR="009F33B9" w:rsidRPr="00867E8C" w:rsidRDefault="009F33B9" w:rsidP="005D3108">
            <w:pPr>
              <w:spacing w:before="0" w:after="0"/>
              <w:rPr>
                <w:rFonts w:cs="Arial"/>
                <w:color w:val="000000"/>
                <w:szCs w:val="22"/>
              </w:rPr>
            </w:pPr>
          </w:p>
        </w:tc>
        <w:tc>
          <w:tcPr>
            <w:tcW w:w="705" w:type="dxa"/>
            <w:tcBorders>
              <w:bottom w:val="single" w:sz="4" w:space="0" w:color="auto"/>
            </w:tcBorders>
            <w:shd w:val="clear" w:color="auto" w:fill="F3F9FA"/>
            <w:vAlign w:val="center"/>
            <w:hideMark/>
          </w:tcPr>
          <w:p w14:paraId="11D63E2A" w14:textId="77777777" w:rsidR="009F33B9" w:rsidRPr="00867E8C" w:rsidRDefault="009F33B9" w:rsidP="005D3108">
            <w:pPr>
              <w:spacing w:before="0" w:after="0"/>
              <w:jc w:val="center"/>
              <w:rPr>
                <w:rFonts w:cs="Arial"/>
                <w:color w:val="000000"/>
                <w:szCs w:val="22"/>
              </w:rPr>
            </w:pPr>
            <w:r w:rsidRPr="00867E8C">
              <w:rPr>
                <w:rFonts w:cs="Arial"/>
                <w:color w:val="000000"/>
                <w:szCs w:val="22"/>
              </w:rPr>
              <w:t>UG2</w:t>
            </w:r>
          </w:p>
        </w:tc>
        <w:tc>
          <w:tcPr>
            <w:tcW w:w="1084" w:type="dxa"/>
            <w:tcBorders>
              <w:bottom w:val="single" w:sz="4" w:space="0" w:color="auto"/>
            </w:tcBorders>
            <w:shd w:val="clear" w:color="auto" w:fill="F3F9FA"/>
            <w:vAlign w:val="center"/>
            <w:hideMark/>
          </w:tcPr>
          <w:p w14:paraId="631B9D3C" w14:textId="77777777" w:rsidR="009F33B9" w:rsidRPr="00867E8C" w:rsidRDefault="009F33B9" w:rsidP="005D3108">
            <w:pPr>
              <w:spacing w:before="0" w:after="0"/>
              <w:jc w:val="center"/>
              <w:rPr>
                <w:rFonts w:cs="Arial"/>
                <w:color w:val="000000"/>
                <w:szCs w:val="22"/>
              </w:rPr>
            </w:pPr>
            <w:r w:rsidRPr="00867E8C">
              <w:rPr>
                <w:rFonts w:cs="Arial"/>
                <w:color w:val="000000"/>
                <w:szCs w:val="22"/>
              </w:rPr>
              <w:t>0.64</w:t>
            </w:r>
          </w:p>
        </w:tc>
        <w:tc>
          <w:tcPr>
            <w:tcW w:w="971" w:type="dxa"/>
            <w:tcBorders>
              <w:bottom w:val="single" w:sz="4" w:space="0" w:color="auto"/>
            </w:tcBorders>
            <w:shd w:val="clear" w:color="auto" w:fill="F3F9FA"/>
            <w:vAlign w:val="center"/>
            <w:hideMark/>
          </w:tcPr>
          <w:p w14:paraId="356BE7AE" w14:textId="77777777" w:rsidR="009F33B9" w:rsidRPr="00867E8C" w:rsidRDefault="009F33B9" w:rsidP="005D3108">
            <w:pPr>
              <w:spacing w:before="0" w:after="0"/>
              <w:jc w:val="center"/>
              <w:rPr>
                <w:rFonts w:cs="Arial"/>
                <w:color w:val="000000"/>
                <w:szCs w:val="22"/>
              </w:rPr>
            </w:pPr>
            <w:r w:rsidRPr="00867E8C">
              <w:rPr>
                <w:rFonts w:cs="Arial"/>
                <w:color w:val="000000"/>
                <w:szCs w:val="22"/>
              </w:rPr>
              <w:t>1.47</w:t>
            </w:r>
          </w:p>
        </w:tc>
        <w:tc>
          <w:tcPr>
            <w:tcW w:w="1362" w:type="dxa"/>
            <w:tcBorders>
              <w:bottom w:val="single" w:sz="4" w:space="0" w:color="auto"/>
            </w:tcBorders>
            <w:shd w:val="clear" w:color="auto" w:fill="F3F9FA"/>
            <w:vAlign w:val="center"/>
            <w:hideMark/>
          </w:tcPr>
          <w:p w14:paraId="07A3D2BC" w14:textId="77777777" w:rsidR="009F33B9" w:rsidRPr="00867E8C" w:rsidRDefault="009F33B9" w:rsidP="005D3108">
            <w:pPr>
              <w:spacing w:before="0" w:after="0"/>
              <w:jc w:val="center"/>
              <w:rPr>
                <w:rFonts w:cs="Arial"/>
                <w:color w:val="000000"/>
                <w:szCs w:val="22"/>
              </w:rPr>
            </w:pPr>
            <w:r w:rsidRPr="00867E8C">
              <w:rPr>
                <w:rFonts w:cs="Arial"/>
                <w:color w:val="000000"/>
                <w:szCs w:val="22"/>
              </w:rPr>
              <w:t>0.64</w:t>
            </w:r>
          </w:p>
        </w:tc>
        <w:tc>
          <w:tcPr>
            <w:tcW w:w="1244" w:type="dxa"/>
            <w:tcBorders>
              <w:bottom w:val="single" w:sz="4" w:space="0" w:color="auto"/>
            </w:tcBorders>
            <w:shd w:val="clear" w:color="auto" w:fill="F3F9FA"/>
            <w:vAlign w:val="center"/>
            <w:hideMark/>
          </w:tcPr>
          <w:p w14:paraId="32D82594" w14:textId="77777777" w:rsidR="009F33B9" w:rsidRPr="00867E8C" w:rsidRDefault="009F33B9" w:rsidP="005D3108">
            <w:pPr>
              <w:spacing w:before="0" w:after="0"/>
              <w:jc w:val="center"/>
              <w:rPr>
                <w:rFonts w:cs="Arial"/>
                <w:color w:val="000000"/>
                <w:szCs w:val="22"/>
              </w:rPr>
            </w:pPr>
            <w:r w:rsidRPr="00867E8C">
              <w:rPr>
                <w:rFonts w:cs="Arial"/>
                <w:color w:val="000000"/>
                <w:szCs w:val="22"/>
              </w:rPr>
              <w:t>105.83</w:t>
            </w:r>
          </w:p>
        </w:tc>
        <w:tc>
          <w:tcPr>
            <w:tcW w:w="1340" w:type="dxa"/>
            <w:tcBorders>
              <w:bottom w:val="single" w:sz="4" w:space="0" w:color="auto"/>
            </w:tcBorders>
            <w:shd w:val="clear" w:color="auto" w:fill="F3F9FA"/>
            <w:vAlign w:val="center"/>
            <w:hideMark/>
          </w:tcPr>
          <w:p w14:paraId="292669D8" w14:textId="77777777" w:rsidR="009F33B9" w:rsidRPr="00867E8C" w:rsidRDefault="009F33B9" w:rsidP="005D3108">
            <w:pPr>
              <w:spacing w:before="0" w:after="0"/>
              <w:jc w:val="center"/>
              <w:rPr>
                <w:rFonts w:cs="Arial"/>
                <w:color w:val="000000"/>
                <w:szCs w:val="22"/>
              </w:rPr>
            </w:pPr>
            <w:r w:rsidRPr="00867E8C">
              <w:rPr>
                <w:rFonts w:cs="Arial"/>
                <w:color w:val="000000"/>
                <w:szCs w:val="22"/>
              </w:rPr>
              <w:t>2.41</w:t>
            </w:r>
          </w:p>
        </w:tc>
        <w:tc>
          <w:tcPr>
            <w:tcW w:w="1195" w:type="dxa"/>
            <w:tcBorders>
              <w:bottom w:val="single" w:sz="4" w:space="0" w:color="auto"/>
            </w:tcBorders>
            <w:shd w:val="clear" w:color="auto" w:fill="F3F9FA"/>
            <w:noWrap/>
            <w:vAlign w:val="center"/>
            <w:hideMark/>
          </w:tcPr>
          <w:p w14:paraId="41B75D75" w14:textId="77777777" w:rsidR="009F33B9" w:rsidRPr="00867E8C" w:rsidRDefault="009F33B9" w:rsidP="005D3108">
            <w:pPr>
              <w:spacing w:before="0" w:after="0"/>
              <w:jc w:val="center"/>
              <w:rPr>
                <w:rFonts w:cs="Arial"/>
                <w:color w:val="000000"/>
                <w:szCs w:val="22"/>
              </w:rPr>
            </w:pPr>
            <w:r w:rsidRPr="00867E8C">
              <w:rPr>
                <w:rFonts w:cs="Arial"/>
                <w:color w:val="000000"/>
                <w:szCs w:val="22"/>
              </w:rPr>
              <w:t>51.50</w:t>
            </w:r>
          </w:p>
        </w:tc>
        <w:tc>
          <w:tcPr>
            <w:tcW w:w="1267" w:type="dxa"/>
            <w:tcBorders>
              <w:bottom w:val="single" w:sz="4" w:space="0" w:color="auto"/>
            </w:tcBorders>
            <w:shd w:val="clear" w:color="auto" w:fill="F3F9FA"/>
            <w:vAlign w:val="center"/>
          </w:tcPr>
          <w:p w14:paraId="3289311D" w14:textId="77777777" w:rsidR="009F33B9" w:rsidRPr="00867E8C" w:rsidRDefault="009F33B9" w:rsidP="005D3108">
            <w:pPr>
              <w:spacing w:before="0" w:after="0"/>
              <w:jc w:val="center"/>
              <w:rPr>
                <w:rFonts w:cs="Arial"/>
                <w:color w:val="000000"/>
                <w:szCs w:val="22"/>
              </w:rPr>
            </w:pPr>
            <w:r w:rsidRPr="00867E8C">
              <w:rPr>
                <w:rFonts w:cs="Arial"/>
                <w:color w:val="000000"/>
                <w:szCs w:val="22"/>
              </w:rPr>
              <w:t>1.18</w:t>
            </w:r>
          </w:p>
        </w:tc>
      </w:tr>
    </w:tbl>
    <w:p w14:paraId="1F403135" w14:textId="77777777" w:rsidR="00273002" w:rsidRPr="00867E8C" w:rsidRDefault="00273002" w:rsidP="00273002">
      <w:pPr>
        <w:rPr>
          <w:rFonts w:cs="Arial"/>
          <w:color w:val="000000"/>
          <w:szCs w:val="22"/>
        </w:rPr>
      </w:pPr>
    </w:p>
    <w:p w14:paraId="7CAC7FE3" w14:textId="682CA5F1" w:rsidR="00273002" w:rsidRPr="00867E8C" w:rsidRDefault="003D70D6" w:rsidP="00273002">
      <w:pPr>
        <w:keepNext/>
        <w:jc w:val="center"/>
        <w:rPr>
          <w:rFonts w:cs="Arial"/>
          <w:szCs w:val="22"/>
        </w:rPr>
      </w:pPr>
      <w:r w:rsidRPr="00867E8C">
        <w:rPr>
          <w:rFonts w:cs="Arial"/>
          <w:noProof/>
          <w:szCs w:val="22"/>
          <w:lang w:eastAsia="en-AU"/>
        </w:rPr>
        <w:drawing>
          <wp:inline distT="0" distB="0" distL="0" distR="0" wp14:anchorId="13E6FB93" wp14:editId="31600572">
            <wp:extent cx="3594476" cy="1090242"/>
            <wp:effectExtent l="0" t="0" r="6350" b="0"/>
            <wp:docPr id="234" name="Picture 234" descr="Bar chart showing annual daytime tidal exposure (total hours) and long-term median of intertidal reef seagrass meadows at Archer Point, Cape York NRM region from 2011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CY_reef_daytime_exposure_2016.png"/>
                    <pic:cNvPicPr/>
                  </pic:nvPicPr>
                  <pic:blipFill>
                    <a:blip r:embed="rId252">
                      <a:extLst>
                        <a:ext uri="{28A0092B-C50C-407E-A947-70E740481C1C}">
                          <a14:useLocalDpi xmlns:a14="http://schemas.microsoft.com/office/drawing/2010/main" val="0"/>
                        </a:ext>
                      </a:extLst>
                    </a:blip>
                    <a:stretch>
                      <a:fillRect/>
                    </a:stretch>
                  </pic:blipFill>
                  <pic:spPr>
                    <a:xfrm>
                      <a:off x="0" y="0"/>
                      <a:ext cx="3594476" cy="1090242"/>
                    </a:xfrm>
                    <a:prstGeom prst="rect">
                      <a:avLst/>
                    </a:prstGeom>
                  </pic:spPr>
                </pic:pic>
              </a:graphicData>
            </a:graphic>
          </wp:inline>
        </w:drawing>
      </w:r>
    </w:p>
    <w:p w14:paraId="00B32C2B" w14:textId="4EDD7BEC" w:rsidR="00273002" w:rsidRPr="00867E8C" w:rsidRDefault="00273002" w:rsidP="00273002">
      <w:pPr>
        <w:rPr>
          <w:rFonts w:cs="Arial"/>
          <w:i/>
          <w:vanish/>
          <w:szCs w:val="22"/>
          <w:specVanish/>
        </w:rPr>
      </w:pPr>
      <w:bookmarkStart w:id="906" w:name="_Ref409958445"/>
      <w:bookmarkStart w:id="907" w:name="_Toc431493956"/>
      <w:bookmarkStart w:id="908" w:name="_Toc38634195"/>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91</w:t>
      </w:r>
      <w:r w:rsidR="00C506C7" w:rsidRPr="00867E8C">
        <w:rPr>
          <w:rFonts w:cs="Arial"/>
          <w:noProof/>
          <w:szCs w:val="22"/>
        </w:rPr>
        <w:fldChar w:fldCharType="end"/>
      </w:r>
      <w:bookmarkEnd w:id="906"/>
      <w:r w:rsidRPr="00867E8C">
        <w:rPr>
          <w:rFonts w:cs="Arial"/>
          <w:szCs w:val="22"/>
        </w:rPr>
        <w:t xml:space="preserve">. </w:t>
      </w:r>
      <w:r w:rsidRPr="00867E8C">
        <w:rPr>
          <w:rFonts w:cs="Arial"/>
          <w:i/>
          <w:szCs w:val="22"/>
        </w:rPr>
        <w:t>Annual daytime tidal exposure (total hours) and long-term median (dashed line) of intertidal reef seagrass meadows at Archer Point, Cape York NRM region; 2011</w:t>
      </w:r>
      <w:r w:rsidR="005C4C83" w:rsidRPr="00867E8C">
        <w:rPr>
          <w:rFonts w:cs="Arial"/>
          <w:i/>
          <w:szCs w:val="22"/>
        </w:rPr>
        <w:t>–</w:t>
      </w:r>
      <w:r w:rsidRPr="00867E8C">
        <w:rPr>
          <w:rFonts w:cs="Arial"/>
          <w:i/>
          <w:szCs w:val="22"/>
        </w:rPr>
        <w:t>201</w:t>
      </w:r>
      <w:r w:rsidR="009F33B9" w:rsidRPr="00867E8C">
        <w:rPr>
          <w:rFonts w:cs="Arial"/>
          <w:i/>
          <w:szCs w:val="22"/>
        </w:rPr>
        <w:t>9</w:t>
      </w:r>
      <w:bookmarkEnd w:id="907"/>
      <w:bookmarkEnd w:id="908"/>
    </w:p>
    <w:p w14:paraId="74B2151B" w14:textId="0E07B6E2" w:rsidR="00273002" w:rsidRPr="00867E8C" w:rsidRDefault="00273002" w:rsidP="00273002">
      <w:pPr>
        <w:rPr>
          <w:rFonts w:cs="Arial"/>
          <w:szCs w:val="22"/>
        </w:rPr>
      </w:pPr>
      <w:r w:rsidRPr="00867E8C">
        <w:rPr>
          <w:rFonts w:cs="Arial"/>
          <w:i/>
          <w:szCs w:val="22"/>
        </w:rPr>
        <w:t>.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 NB: Meadow heights have not yet been determined in th</w:t>
      </w:r>
      <w:r w:rsidR="000B1F60" w:rsidRPr="00867E8C">
        <w:rPr>
          <w:rFonts w:cs="Arial"/>
          <w:i/>
          <w:szCs w:val="22"/>
        </w:rPr>
        <w:t>e far northern Cape York sites.</w:t>
      </w:r>
    </w:p>
    <w:p w14:paraId="6EE0A272" w14:textId="77777777" w:rsidR="00273002" w:rsidRPr="00867E8C" w:rsidRDefault="00273002" w:rsidP="00273002">
      <w:pPr>
        <w:rPr>
          <w:rFonts w:cs="Arial"/>
          <w:szCs w:val="22"/>
        </w:rPr>
      </w:pPr>
    </w:p>
    <w:p w14:paraId="3AC4DB89" w14:textId="5E4AFAC7" w:rsidR="00273002" w:rsidRPr="00867E8C" w:rsidRDefault="003D70D6" w:rsidP="00273002">
      <w:pPr>
        <w:keepNext/>
        <w:jc w:val="center"/>
        <w:rPr>
          <w:rFonts w:cs="Arial"/>
          <w:szCs w:val="22"/>
        </w:rPr>
      </w:pPr>
      <w:r w:rsidRPr="00867E8C">
        <w:rPr>
          <w:rFonts w:cs="Arial"/>
          <w:noProof/>
          <w:szCs w:val="22"/>
          <w:lang w:eastAsia="en-AU"/>
        </w:rPr>
        <w:drawing>
          <wp:inline distT="0" distB="0" distL="0" distR="0" wp14:anchorId="7D837A3B" wp14:editId="33BF0458">
            <wp:extent cx="5735981" cy="2469198"/>
            <wp:effectExtent l="0" t="0" r="0" b="7620"/>
            <wp:docPr id="32" name="Picture 32" descr="Set of bar graphs showing annual daytime tidal exposure and long-term median of intertidal reef seagrass meadows in the Wet Tropics NRM region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WT_reef_daytime_exposure_2016.png"/>
                    <pic:cNvPicPr/>
                  </pic:nvPicPr>
                  <pic:blipFill>
                    <a:blip r:embed="rId253">
                      <a:extLst>
                        <a:ext uri="{28A0092B-C50C-407E-A947-70E740481C1C}">
                          <a14:useLocalDpi xmlns:a14="http://schemas.microsoft.com/office/drawing/2010/main" val="0"/>
                        </a:ext>
                      </a:extLst>
                    </a:blip>
                    <a:stretch>
                      <a:fillRect/>
                    </a:stretch>
                  </pic:blipFill>
                  <pic:spPr>
                    <a:xfrm>
                      <a:off x="0" y="0"/>
                      <a:ext cx="5735981" cy="2469198"/>
                    </a:xfrm>
                    <a:prstGeom prst="rect">
                      <a:avLst/>
                    </a:prstGeom>
                  </pic:spPr>
                </pic:pic>
              </a:graphicData>
            </a:graphic>
          </wp:inline>
        </w:drawing>
      </w:r>
    </w:p>
    <w:p w14:paraId="2D26F4CE" w14:textId="045EBFC3" w:rsidR="00273002" w:rsidRPr="00867E8C" w:rsidRDefault="00273002" w:rsidP="00273002">
      <w:pPr>
        <w:rPr>
          <w:rFonts w:cs="Arial"/>
          <w:i/>
          <w:vanish/>
          <w:szCs w:val="22"/>
          <w:specVanish/>
        </w:rPr>
      </w:pPr>
      <w:bookmarkStart w:id="909" w:name="_Ref410218142"/>
      <w:bookmarkStart w:id="910" w:name="_Toc431493957"/>
      <w:bookmarkStart w:id="911" w:name="_Toc38634196"/>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92</w:t>
      </w:r>
      <w:r w:rsidR="00C506C7" w:rsidRPr="00867E8C">
        <w:rPr>
          <w:rFonts w:cs="Arial"/>
          <w:noProof/>
          <w:szCs w:val="22"/>
        </w:rPr>
        <w:fldChar w:fldCharType="end"/>
      </w:r>
      <w:bookmarkEnd w:id="909"/>
      <w:r w:rsidRPr="00867E8C">
        <w:rPr>
          <w:rFonts w:cs="Arial"/>
          <w:szCs w:val="22"/>
        </w:rPr>
        <w:t xml:space="preserve">. </w:t>
      </w:r>
      <w:r w:rsidRPr="00867E8C">
        <w:rPr>
          <w:rFonts w:cs="Arial"/>
          <w:i/>
          <w:szCs w:val="22"/>
        </w:rPr>
        <w:t>Annual daytime tidal exposure (total hours) and long-term median (dashed line) of intertidal reef seagrass meadows in the Wet Tropics NRM region; 1999</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10"/>
      <w:bookmarkEnd w:id="911"/>
      <w:r w:rsidRPr="00867E8C">
        <w:rPr>
          <w:rFonts w:cs="Arial"/>
          <w:i/>
          <w:vanish/>
          <w:szCs w:val="22"/>
          <w:specVanish/>
        </w:rPr>
        <w:t xml:space="preserve"> </w:t>
      </w:r>
    </w:p>
    <w:p w14:paraId="4A8A5B1A" w14:textId="54796E76" w:rsidR="00273002" w:rsidRPr="00867E8C" w:rsidRDefault="00273002" w:rsidP="00273002">
      <w:pPr>
        <w:rPr>
          <w:rFonts w:cs="Arial"/>
          <w:szCs w:val="22"/>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w:t>
      </w:r>
      <w:r w:rsidRPr="00867E8C">
        <w:rPr>
          <w:rFonts w:cs="Arial"/>
          <w:i/>
          <w:szCs w:val="22"/>
        </w:rPr>
        <w:lastRenderedPageBreak/>
        <w:t xml:space="preserve">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p>
    <w:p w14:paraId="38D5CD3C" w14:textId="77777777" w:rsidR="00273002" w:rsidRPr="00867E8C" w:rsidRDefault="00273002" w:rsidP="00273002">
      <w:pPr>
        <w:rPr>
          <w:rFonts w:cs="Arial"/>
          <w:szCs w:val="22"/>
        </w:rPr>
      </w:pPr>
    </w:p>
    <w:p w14:paraId="7D2F5A00" w14:textId="5015B1A2" w:rsidR="00273002" w:rsidRPr="00867E8C" w:rsidRDefault="003D70D6" w:rsidP="00273002">
      <w:pPr>
        <w:keepNext/>
        <w:jc w:val="center"/>
        <w:rPr>
          <w:rFonts w:cs="Arial"/>
          <w:szCs w:val="22"/>
        </w:rPr>
      </w:pPr>
      <w:r w:rsidRPr="00867E8C">
        <w:rPr>
          <w:rFonts w:cs="Arial"/>
          <w:noProof/>
          <w:szCs w:val="22"/>
          <w:lang w:eastAsia="en-AU"/>
        </w:rPr>
        <w:drawing>
          <wp:inline distT="0" distB="0" distL="0" distR="0" wp14:anchorId="6B4C6260" wp14:editId="579BA57F">
            <wp:extent cx="5759448" cy="1679114"/>
            <wp:effectExtent l="0" t="0" r="0" b="0"/>
            <wp:docPr id="58" name="Picture 58" descr="Set of bar graphs showing annual daytime tidal exposure and long-term median of intertidal coastal seagrass meadows in the Wet Tropics NRM region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T_coast_daytime_exposure_2016.png"/>
                    <pic:cNvPicPr/>
                  </pic:nvPicPr>
                  <pic:blipFill>
                    <a:blip r:embed="rId254">
                      <a:extLst>
                        <a:ext uri="{28A0092B-C50C-407E-A947-70E740481C1C}">
                          <a14:useLocalDpi xmlns:a14="http://schemas.microsoft.com/office/drawing/2010/main" val="0"/>
                        </a:ext>
                      </a:extLst>
                    </a:blip>
                    <a:stretch>
                      <a:fillRect/>
                    </a:stretch>
                  </pic:blipFill>
                  <pic:spPr>
                    <a:xfrm>
                      <a:off x="0" y="0"/>
                      <a:ext cx="5759448" cy="1679114"/>
                    </a:xfrm>
                    <a:prstGeom prst="rect">
                      <a:avLst/>
                    </a:prstGeom>
                  </pic:spPr>
                </pic:pic>
              </a:graphicData>
            </a:graphic>
          </wp:inline>
        </w:drawing>
      </w:r>
    </w:p>
    <w:p w14:paraId="1C9C9EB9" w14:textId="3BE1C76A" w:rsidR="00273002" w:rsidRPr="00867E8C" w:rsidRDefault="00273002" w:rsidP="00273002">
      <w:pPr>
        <w:rPr>
          <w:rFonts w:cs="Arial"/>
          <w:i/>
          <w:vanish/>
          <w:szCs w:val="22"/>
          <w:specVanish/>
        </w:rPr>
      </w:pPr>
      <w:bookmarkStart w:id="912" w:name="_Ref410218196"/>
      <w:bookmarkStart w:id="913" w:name="_Toc431493958"/>
      <w:bookmarkStart w:id="914" w:name="_Toc38634197"/>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93</w:t>
      </w:r>
      <w:r w:rsidR="00C506C7" w:rsidRPr="00867E8C">
        <w:rPr>
          <w:rFonts w:cs="Arial"/>
          <w:noProof/>
          <w:szCs w:val="22"/>
        </w:rPr>
        <w:fldChar w:fldCharType="end"/>
      </w:r>
      <w:bookmarkEnd w:id="912"/>
      <w:r w:rsidRPr="00867E8C">
        <w:rPr>
          <w:rFonts w:cs="Arial"/>
          <w:szCs w:val="22"/>
        </w:rPr>
        <w:t xml:space="preserve">. </w:t>
      </w:r>
      <w:r w:rsidRPr="00867E8C">
        <w:rPr>
          <w:rFonts w:cs="Arial"/>
          <w:i/>
          <w:szCs w:val="22"/>
        </w:rPr>
        <w:t>Annual daytime tidal exposure (total hours) and long-term median (dashed line) of intertidal coastal seagrass meadows in Wet Tropics NRM region; 1999</w:t>
      </w:r>
      <w:r w:rsidR="0043389D"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13"/>
      <w:bookmarkEnd w:id="914"/>
      <w:r w:rsidRPr="00867E8C">
        <w:rPr>
          <w:rFonts w:cs="Arial"/>
          <w:i/>
          <w:vanish/>
          <w:szCs w:val="22"/>
          <w:specVanish/>
        </w:rPr>
        <w:t xml:space="preserve"> </w:t>
      </w:r>
    </w:p>
    <w:p w14:paraId="3F81E843" w14:textId="294C506B" w:rsidR="00273002" w:rsidRPr="00867E8C" w:rsidRDefault="00273002" w:rsidP="00273002">
      <w:pPr>
        <w:rPr>
          <w:rFonts w:cs="Arial"/>
          <w:szCs w:val="22"/>
        </w:rPr>
      </w:pPr>
      <w:r w:rsidRPr="00867E8C">
        <w:rPr>
          <w:rFonts w:cs="Arial"/>
          <w:i/>
          <w:szCs w:val="22"/>
        </w:rPr>
        <w:t xml:space="preserve">  Year is June</w:t>
      </w:r>
      <w:r w:rsidR="0043389D"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 xml:space="preserve">. </w:t>
      </w:r>
    </w:p>
    <w:p w14:paraId="36164BCA" w14:textId="77777777" w:rsidR="00273002" w:rsidRPr="00867E8C" w:rsidRDefault="00273002" w:rsidP="00273002">
      <w:pPr>
        <w:rPr>
          <w:rFonts w:cs="Arial"/>
          <w:szCs w:val="22"/>
        </w:rPr>
      </w:pPr>
    </w:p>
    <w:p w14:paraId="10664B7E" w14:textId="2507F8CF" w:rsidR="00273002" w:rsidRPr="00867E8C" w:rsidRDefault="003D70D6" w:rsidP="00273002">
      <w:pPr>
        <w:keepNext/>
        <w:jc w:val="center"/>
        <w:rPr>
          <w:rFonts w:cs="Arial"/>
          <w:szCs w:val="22"/>
        </w:rPr>
      </w:pPr>
      <w:r w:rsidRPr="00867E8C">
        <w:rPr>
          <w:rFonts w:cs="Arial"/>
          <w:noProof/>
          <w:szCs w:val="22"/>
          <w:lang w:eastAsia="en-AU"/>
        </w:rPr>
        <w:drawing>
          <wp:inline distT="0" distB="0" distL="0" distR="0" wp14:anchorId="3DE0DAB7" wp14:editId="4B0D5B33">
            <wp:extent cx="5759448" cy="1679114"/>
            <wp:effectExtent l="0" t="0" r="0" b="0"/>
            <wp:docPr id="10152" name="Picture 10152" descr="Set of bar graphs showing annual daytime tidal exposure and long-term median of intertidal coastal seagrass meadows in the Burdekin NRM region from 2000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 name="B_coast_daytime_exposure_2016.png"/>
                    <pic:cNvPicPr/>
                  </pic:nvPicPr>
                  <pic:blipFill>
                    <a:blip r:embed="rId255">
                      <a:extLst>
                        <a:ext uri="{28A0092B-C50C-407E-A947-70E740481C1C}">
                          <a14:useLocalDpi xmlns:a14="http://schemas.microsoft.com/office/drawing/2010/main" val="0"/>
                        </a:ext>
                      </a:extLst>
                    </a:blip>
                    <a:stretch>
                      <a:fillRect/>
                    </a:stretch>
                  </pic:blipFill>
                  <pic:spPr>
                    <a:xfrm>
                      <a:off x="0" y="0"/>
                      <a:ext cx="5759448" cy="1679114"/>
                    </a:xfrm>
                    <a:prstGeom prst="rect">
                      <a:avLst/>
                    </a:prstGeom>
                  </pic:spPr>
                </pic:pic>
              </a:graphicData>
            </a:graphic>
          </wp:inline>
        </w:drawing>
      </w:r>
    </w:p>
    <w:p w14:paraId="3F6AE2B6" w14:textId="75885781" w:rsidR="00273002" w:rsidRPr="00867E8C" w:rsidRDefault="00273002" w:rsidP="00273002">
      <w:pPr>
        <w:rPr>
          <w:rFonts w:cs="Arial"/>
          <w:i/>
          <w:vanish/>
          <w:szCs w:val="22"/>
          <w:specVanish/>
        </w:rPr>
      </w:pPr>
      <w:bookmarkStart w:id="915" w:name="_Ref410287502"/>
      <w:bookmarkStart w:id="916" w:name="_Toc431493959"/>
      <w:bookmarkStart w:id="917" w:name="_Toc38634198"/>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94</w:t>
      </w:r>
      <w:r w:rsidR="00C506C7" w:rsidRPr="00867E8C">
        <w:rPr>
          <w:rFonts w:cs="Arial"/>
          <w:noProof/>
          <w:szCs w:val="22"/>
        </w:rPr>
        <w:fldChar w:fldCharType="end"/>
      </w:r>
      <w:bookmarkEnd w:id="915"/>
      <w:r w:rsidRPr="00867E8C">
        <w:rPr>
          <w:rFonts w:cs="Arial"/>
          <w:szCs w:val="22"/>
        </w:rPr>
        <w:t xml:space="preserve">. </w:t>
      </w:r>
      <w:r w:rsidRPr="00867E8C">
        <w:rPr>
          <w:rFonts w:cs="Arial"/>
          <w:i/>
          <w:szCs w:val="22"/>
        </w:rPr>
        <w:t>Annual daytime tidal exposure (total hours) and long-term median (dashed line) of intertidal coastal seagrass meadows in Burdekin NRM region; 2000</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16"/>
      <w:bookmarkEnd w:id="917"/>
      <w:r w:rsidRPr="00867E8C">
        <w:rPr>
          <w:rFonts w:cs="Arial"/>
          <w:i/>
          <w:szCs w:val="22"/>
        </w:rPr>
        <w:t xml:space="preserve"> </w:t>
      </w:r>
    </w:p>
    <w:p w14:paraId="028833F7" w14:textId="5B6E1EDF" w:rsidR="00273002" w:rsidRPr="00867E8C" w:rsidRDefault="00273002" w:rsidP="00273002">
      <w:pPr>
        <w:rPr>
          <w:rFonts w:cs="Arial"/>
          <w:szCs w:val="22"/>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w:t>
      </w:r>
      <w:r w:rsidRPr="00867E8C">
        <w:rPr>
          <w:rFonts w:cs="Arial"/>
          <w:szCs w:val="22"/>
        </w:rPr>
        <w:t xml:space="preserve"> </w:t>
      </w:r>
    </w:p>
    <w:p w14:paraId="3E3E4806" w14:textId="77777777" w:rsidR="00273002" w:rsidRPr="00867E8C" w:rsidRDefault="00273002" w:rsidP="00273002">
      <w:pPr>
        <w:rPr>
          <w:rFonts w:cs="Arial"/>
          <w:szCs w:val="22"/>
        </w:rPr>
      </w:pPr>
    </w:p>
    <w:p w14:paraId="765DD7FC" w14:textId="56584EDE" w:rsidR="00273002" w:rsidRPr="00867E8C" w:rsidRDefault="003D70D6" w:rsidP="00273002">
      <w:pPr>
        <w:keepNext/>
        <w:jc w:val="center"/>
        <w:rPr>
          <w:rFonts w:cs="Arial"/>
          <w:szCs w:val="22"/>
        </w:rPr>
      </w:pPr>
      <w:r w:rsidRPr="00867E8C">
        <w:rPr>
          <w:rFonts w:cs="Arial"/>
          <w:noProof/>
          <w:szCs w:val="22"/>
          <w:lang w:eastAsia="en-AU"/>
        </w:rPr>
        <w:lastRenderedPageBreak/>
        <w:drawing>
          <wp:inline distT="0" distB="0" distL="0" distR="0" wp14:anchorId="14D67F35" wp14:editId="4B6DA63A">
            <wp:extent cx="5741318" cy="906523"/>
            <wp:effectExtent l="0" t="0" r="0" b="8255"/>
            <wp:docPr id="10175" name="Picture 10175" descr="Set of bar graphs showing annual daytime tidal exposure and long-term median of intertidal reef seagrass meadows in the Burdekin NRM region from 2000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 name="B_reef_daytime_exposure_2016.png"/>
                    <pic:cNvPicPr/>
                  </pic:nvPicPr>
                  <pic:blipFill>
                    <a:blip r:embed="rId256">
                      <a:extLst>
                        <a:ext uri="{28A0092B-C50C-407E-A947-70E740481C1C}">
                          <a14:useLocalDpi xmlns:a14="http://schemas.microsoft.com/office/drawing/2010/main" val="0"/>
                        </a:ext>
                      </a:extLst>
                    </a:blip>
                    <a:stretch>
                      <a:fillRect/>
                    </a:stretch>
                  </pic:blipFill>
                  <pic:spPr>
                    <a:xfrm>
                      <a:off x="0" y="0"/>
                      <a:ext cx="5741318" cy="906523"/>
                    </a:xfrm>
                    <a:prstGeom prst="rect">
                      <a:avLst/>
                    </a:prstGeom>
                  </pic:spPr>
                </pic:pic>
              </a:graphicData>
            </a:graphic>
          </wp:inline>
        </w:drawing>
      </w:r>
    </w:p>
    <w:p w14:paraId="0933CC2C" w14:textId="6C1EF779" w:rsidR="00273002" w:rsidRPr="00867E8C" w:rsidRDefault="00273002" w:rsidP="00273002">
      <w:pPr>
        <w:rPr>
          <w:rFonts w:cs="Arial"/>
          <w:i/>
          <w:vanish/>
          <w:szCs w:val="22"/>
          <w:specVanish/>
        </w:rPr>
      </w:pPr>
      <w:bookmarkStart w:id="918" w:name="_Ref410287782"/>
      <w:bookmarkStart w:id="919" w:name="_Toc431493960"/>
      <w:bookmarkStart w:id="920" w:name="_Toc38634199"/>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95</w:t>
      </w:r>
      <w:r w:rsidR="00C506C7" w:rsidRPr="00867E8C">
        <w:rPr>
          <w:rFonts w:cs="Arial"/>
          <w:noProof/>
          <w:szCs w:val="22"/>
        </w:rPr>
        <w:fldChar w:fldCharType="end"/>
      </w:r>
      <w:bookmarkEnd w:id="918"/>
      <w:r w:rsidRPr="00867E8C">
        <w:rPr>
          <w:rFonts w:cs="Arial"/>
          <w:szCs w:val="22"/>
        </w:rPr>
        <w:t xml:space="preserve">. </w:t>
      </w:r>
      <w:r w:rsidRPr="00867E8C">
        <w:rPr>
          <w:rFonts w:cs="Arial"/>
          <w:i/>
          <w:szCs w:val="22"/>
        </w:rPr>
        <w:t>Annual daytime tidal exposure (total hours) and long-term median (dashed line) of intertidal reef seagrass meadows in Burdekin NRM region; 2000</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19"/>
      <w:bookmarkEnd w:id="920"/>
      <w:r w:rsidRPr="00867E8C">
        <w:rPr>
          <w:rFonts w:cs="Arial"/>
          <w:i/>
          <w:szCs w:val="22"/>
        </w:rPr>
        <w:t xml:space="preserve"> </w:t>
      </w:r>
    </w:p>
    <w:p w14:paraId="232C5D92" w14:textId="3D4A1620" w:rsidR="00273002" w:rsidRPr="00867E8C" w:rsidRDefault="00273002" w:rsidP="00273002">
      <w:pPr>
        <w:rPr>
          <w:rFonts w:cs="Arial"/>
          <w:szCs w:val="22"/>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 xml:space="preserve">. </w:t>
      </w:r>
    </w:p>
    <w:p w14:paraId="780E7C9B" w14:textId="77777777" w:rsidR="00273002" w:rsidRPr="00867E8C" w:rsidRDefault="00273002" w:rsidP="00273002">
      <w:pPr>
        <w:rPr>
          <w:rFonts w:cs="Arial"/>
          <w:szCs w:val="22"/>
        </w:rPr>
      </w:pPr>
    </w:p>
    <w:p w14:paraId="5ECF4CF4" w14:textId="49D94573" w:rsidR="00273002" w:rsidRPr="00867E8C" w:rsidRDefault="00FC62FD" w:rsidP="00273002">
      <w:pPr>
        <w:keepNext/>
        <w:jc w:val="center"/>
        <w:rPr>
          <w:rFonts w:cs="Arial"/>
          <w:szCs w:val="22"/>
        </w:rPr>
      </w:pPr>
      <w:r w:rsidRPr="00867E8C">
        <w:rPr>
          <w:rFonts w:cs="Arial"/>
          <w:noProof/>
          <w:szCs w:val="22"/>
          <w:lang w:eastAsia="en-AU"/>
        </w:rPr>
        <w:drawing>
          <wp:inline distT="0" distB="0" distL="0" distR="0" wp14:anchorId="2F4A33CE" wp14:editId="58CFF267">
            <wp:extent cx="5757531" cy="2477229"/>
            <wp:effectExtent l="0" t="0" r="0" b="0"/>
            <wp:docPr id="85" name="Picture 85" descr="Set of bar graphs showing annual daytime tidal exposure and long-term median of intertidal seagrass meadows in the Mackay Whitsunday NRM region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MW_daytime_exposure_2016.png"/>
                    <pic:cNvPicPr/>
                  </pic:nvPicPr>
                  <pic:blipFill>
                    <a:blip r:embed="rId257">
                      <a:extLst>
                        <a:ext uri="{28A0092B-C50C-407E-A947-70E740481C1C}">
                          <a14:useLocalDpi xmlns:a14="http://schemas.microsoft.com/office/drawing/2010/main" val="0"/>
                        </a:ext>
                      </a:extLst>
                    </a:blip>
                    <a:stretch>
                      <a:fillRect/>
                    </a:stretch>
                  </pic:blipFill>
                  <pic:spPr>
                    <a:xfrm>
                      <a:off x="0" y="0"/>
                      <a:ext cx="5757531" cy="2477229"/>
                    </a:xfrm>
                    <a:prstGeom prst="rect">
                      <a:avLst/>
                    </a:prstGeom>
                  </pic:spPr>
                </pic:pic>
              </a:graphicData>
            </a:graphic>
          </wp:inline>
        </w:drawing>
      </w:r>
    </w:p>
    <w:p w14:paraId="51C81637" w14:textId="17EACC4B" w:rsidR="00273002" w:rsidRPr="00867E8C" w:rsidRDefault="00273002" w:rsidP="00273002">
      <w:pPr>
        <w:rPr>
          <w:rFonts w:cs="Arial"/>
          <w:i/>
          <w:vanish/>
          <w:szCs w:val="22"/>
          <w:specVanish/>
        </w:rPr>
      </w:pPr>
      <w:bookmarkStart w:id="921" w:name="_Ref410297244"/>
      <w:bookmarkStart w:id="922" w:name="_Toc431493961"/>
      <w:bookmarkStart w:id="923" w:name="_Toc38634200"/>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96</w:t>
      </w:r>
      <w:r w:rsidR="00C506C7" w:rsidRPr="00867E8C">
        <w:rPr>
          <w:rFonts w:cs="Arial"/>
          <w:noProof/>
          <w:szCs w:val="22"/>
        </w:rPr>
        <w:fldChar w:fldCharType="end"/>
      </w:r>
      <w:bookmarkEnd w:id="921"/>
      <w:r w:rsidRPr="00867E8C">
        <w:rPr>
          <w:rFonts w:cs="Arial"/>
          <w:szCs w:val="22"/>
        </w:rPr>
        <w:t xml:space="preserve">. </w:t>
      </w:r>
      <w:r w:rsidRPr="00867E8C">
        <w:rPr>
          <w:rFonts w:cs="Arial"/>
          <w:i/>
          <w:szCs w:val="22"/>
        </w:rPr>
        <w:t xml:space="preserve">Annual daytime tidal exposure (total hours) and long-term median (dashed line) of intertidal estuarine (a, b) coastal (c, d) and reef (e, f) seagrass meadows in </w:t>
      </w:r>
      <w:r w:rsidR="00B72AC4">
        <w:rPr>
          <w:rFonts w:cs="Arial"/>
          <w:i/>
          <w:szCs w:val="22"/>
        </w:rPr>
        <w:t>Mackay–Whitsunday</w:t>
      </w:r>
      <w:r w:rsidRPr="00867E8C">
        <w:rPr>
          <w:rFonts w:cs="Arial"/>
          <w:i/>
          <w:szCs w:val="22"/>
        </w:rPr>
        <w:t xml:space="preserve"> NRM region; 1999</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22"/>
      <w:bookmarkEnd w:id="923"/>
      <w:r w:rsidRPr="00867E8C">
        <w:rPr>
          <w:rFonts w:cs="Arial"/>
          <w:i/>
          <w:vanish/>
          <w:szCs w:val="22"/>
          <w:specVanish/>
        </w:rPr>
        <w:t xml:space="preserve"> </w:t>
      </w:r>
    </w:p>
    <w:p w14:paraId="04091333" w14:textId="0FCECE34" w:rsidR="00273002" w:rsidRPr="00867E8C" w:rsidRDefault="00273002" w:rsidP="00273002">
      <w:pPr>
        <w:rPr>
          <w:rFonts w:cs="Arial"/>
          <w:szCs w:val="22"/>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w:t>
      </w:r>
      <w:r w:rsidRPr="00867E8C">
        <w:rPr>
          <w:rFonts w:cs="Arial"/>
          <w:szCs w:val="22"/>
        </w:rPr>
        <w:t xml:space="preserve"> </w:t>
      </w:r>
    </w:p>
    <w:p w14:paraId="6B324F7C" w14:textId="77777777" w:rsidR="00273002" w:rsidRPr="00867E8C" w:rsidRDefault="00273002" w:rsidP="00273002">
      <w:pPr>
        <w:rPr>
          <w:rFonts w:cs="Arial"/>
          <w:szCs w:val="22"/>
        </w:rPr>
      </w:pPr>
    </w:p>
    <w:p w14:paraId="04203E96" w14:textId="081719B3" w:rsidR="00273002" w:rsidRPr="00867E8C" w:rsidRDefault="00FC62FD" w:rsidP="00273002">
      <w:pPr>
        <w:keepNext/>
        <w:jc w:val="center"/>
        <w:rPr>
          <w:rFonts w:cs="Arial"/>
          <w:szCs w:val="22"/>
        </w:rPr>
      </w:pPr>
      <w:r w:rsidRPr="00867E8C">
        <w:rPr>
          <w:rFonts w:cs="Arial"/>
          <w:noProof/>
          <w:szCs w:val="22"/>
          <w:lang w:eastAsia="en-AU"/>
        </w:rPr>
        <w:lastRenderedPageBreak/>
        <w:drawing>
          <wp:inline distT="0" distB="0" distL="0" distR="0" wp14:anchorId="7941A29E" wp14:editId="0B38227E">
            <wp:extent cx="5756084" cy="2481596"/>
            <wp:effectExtent l="0" t="0" r="0" b="0"/>
            <wp:docPr id="86" name="Picture 86" descr="Set of bar graphs showing annual daytime tidal exposure and long-term median of intertidal seagrass meadows in the Fitzroy NRM region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F_daytime_exposure_2016.png"/>
                    <pic:cNvPicPr/>
                  </pic:nvPicPr>
                  <pic:blipFill>
                    <a:blip r:embed="rId258">
                      <a:extLst>
                        <a:ext uri="{28A0092B-C50C-407E-A947-70E740481C1C}">
                          <a14:useLocalDpi xmlns:a14="http://schemas.microsoft.com/office/drawing/2010/main" val="0"/>
                        </a:ext>
                      </a:extLst>
                    </a:blip>
                    <a:stretch>
                      <a:fillRect/>
                    </a:stretch>
                  </pic:blipFill>
                  <pic:spPr>
                    <a:xfrm>
                      <a:off x="0" y="0"/>
                      <a:ext cx="5756084" cy="2481596"/>
                    </a:xfrm>
                    <a:prstGeom prst="rect">
                      <a:avLst/>
                    </a:prstGeom>
                  </pic:spPr>
                </pic:pic>
              </a:graphicData>
            </a:graphic>
          </wp:inline>
        </w:drawing>
      </w:r>
    </w:p>
    <w:p w14:paraId="640DC1C1" w14:textId="6B370D96" w:rsidR="00273002" w:rsidRPr="00867E8C" w:rsidRDefault="00273002" w:rsidP="00273002">
      <w:pPr>
        <w:rPr>
          <w:rFonts w:cs="Arial"/>
          <w:i/>
          <w:vanish/>
          <w:szCs w:val="22"/>
          <w:specVanish/>
        </w:rPr>
      </w:pPr>
      <w:bookmarkStart w:id="924" w:name="_Ref410305493"/>
      <w:bookmarkStart w:id="925" w:name="_Toc431493962"/>
      <w:bookmarkStart w:id="926" w:name="_Toc38634201"/>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97</w:t>
      </w:r>
      <w:r w:rsidR="00C506C7" w:rsidRPr="00867E8C">
        <w:rPr>
          <w:rFonts w:cs="Arial"/>
          <w:noProof/>
          <w:szCs w:val="22"/>
        </w:rPr>
        <w:fldChar w:fldCharType="end"/>
      </w:r>
      <w:bookmarkEnd w:id="924"/>
      <w:r w:rsidRPr="00867E8C">
        <w:rPr>
          <w:rFonts w:cs="Arial"/>
          <w:szCs w:val="22"/>
        </w:rPr>
        <w:t xml:space="preserve">. </w:t>
      </w:r>
      <w:r w:rsidRPr="00867E8C">
        <w:rPr>
          <w:rFonts w:cs="Arial"/>
          <w:i/>
          <w:szCs w:val="22"/>
        </w:rPr>
        <w:t>Annual daytime tidal exposure (total hours) and long-term median (dashed line) of intertidal estuarine (a, b) coastal (c, d) and reef (e, f) seagrass meadows in the Fitzroy NRM region; 1999</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25"/>
      <w:bookmarkEnd w:id="926"/>
      <w:r w:rsidRPr="00867E8C">
        <w:rPr>
          <w:rFonts w:cs="Arial"/>
          <w:i/>
          <w:szCs w:val="22"/>
        </w:rPr>
        <w:t xml:space="preserve"> </w:t>
      </w:r>
    </w:p>
    <w:p w14:paraId="7ECEEAF7" w14:textId="72D09A0F" w:rsidR="00273002" w:rsidRPr="00867E8C" w:rsidRDefault="00273002" w:rsidP="00273002">
      <w:pPr>
        <w:rPr>
          <w:rFonts w:cs="Arial"/>
          <w:szCs w:val="22"/>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w:t>
      </w:r>
      <w:r w:rsidRPr="00867E8C">
        <w:rPr>
          <w:rFonts w:cs="Arial"/>
          <w:szCs w:val="22"/>
        </w:rPr>
        <w:t xml:space="preserve"> </w:t>
      </w:r>
    </w:p>
    <w:p w14:paraId="63190E79" w14:textId="77777777" w:rsidR="00273002" w:rsidRPr="00867E8C" w:rsidRDefault="00273002" w:rsidP="00273002">
      <w:pPr>
        <w:rPr>
          <w:rFonts w:cs="Arial"/>
          <w:szCs w:val="22"/>
        </w:rPr>
      </w:pPr>
    </w:p>
    <w:p w14:paraId="534D24D4" w14:textId="1FA1F078" w:rsidR="00273002" w:rsidRPr="00867E8C" w:rsidRDefault="00FC62FD" w:rsidP="00273002">
      <w:pPr>
        <w:keepNext/>
        <w:jc w:val="center"/>
        <w:rPr>
          <w:rFonts w:cs="Arial"/>
          <w:szCs w:val="22"/>
        </w:rPr>
      </w:pPr>
      <w:r w:rsidRPr="00867E8C">
        <w:rPr>
          <w:rFonts w:cs="Arial"/>
          <w:noProof/>
          <w:szCs w:val="22"/>
          <w:lang w:eastAsia="en-AU"/>
        </w:rPr>
        <w:drawing>
          <wp:inline distT="0" distB="0" distL="0" distR="0" wp14:anchorId="2292E2AB" wp14:editId="0B22202B">
            <wp:extent cx="5719321" cy="1686134"/>
            <wp:effectExtent l="0" t="0" r="0" b="9525"/>
            <wp:docPr id="87" name="Picture 87" descr="Set of bar graphs showing annual daytime tidal exposure and long-term median of intertidal seagrass meadows in the Burnett Mary NRM region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BM_daytime_exposure_2016.png"/>
                    <pic:cNvPicPr/>
                  </pic:nvPicPr>
                  <pic:blipFill>
                    <a:blip r:embed="rId259">
                      <a:extLst>
                        <a:ext uri="{28A0092B-C50C-407E-A947-70E740481C1C}">
                          <a14:useLocalDpi xmlns:a14="http://schemas.microsoft.com/office/drawing/2010/main" val="0"/>
                        </a:ext>
                      </a:extLst>
                    </a:blip>
                    <a:stretch>
                      <a:fillRect/>
                    </a:stretch>
                  </pic:blipFill>
                  <pic:spPr>
                    <a:xfrm>
                      <a:off x="0" y="0"/>
                      <a:ext cx="5719321" cy="1686134"/>
                    </a:xfrm>
                    <a:prstGeom prst="rect">
                      <a:avLst/>
                    </a:prstGeom>
                  </pic:spPr>
                </pic:pic>
              </a:graphicData>
            </a:graphic>
          </wp:inline>
        </w:drawing>
      </w:r>
    </w:p>
    <w:p w14:paraId="518AAFEF" w14:textId="26CFA900" w:rsidR="00273002" w:rsidRPr="00867E8C" w:rsidRDefault="00273002" w:rsidP="00273002">
      <w:pPr>
        <w:rPr>
          <w:rFonts w:cs="Arial"/>
          <w:i/>
          <w:vanish/>
          <w:szCs w:val="22"/>
          <w:specVanish/>
        </w:rPr>
      </w:pPr>
      <w:bookmarkStart w:id="927" w:name="_Ref410309889"/>
      <w:bookmarkStart w:id="928" w:name="_Toc431493963"/>
      <w:bookmarkStart w:id="929" w:name="_Toc38634202"/>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98</w:t>
      </w:r>
      <w:r w:rsidR="00C506C7" w:rsidRPr="00867E8C">
        <w:rPr>
          <w:rFonts w:cs="Arial"/>
          <w:noProof/>
          <w:szCs w:val="22"/>
        </w:rPr>
        <w:fldChar w:fldCharType="end"/>
      </w:r>
      <w:bookmarkEnd w:id="927"/>
      <w:r w:rsidRPr="00867E8C">
        <w:rPr>
          <w:rFonts w:cs="Arial"/>
          <w:szCs w:val="22"/>
        </w:rPr>
        <w:t xml:space="preserve">. </w:t>
      </w:r>
      <w:r w:rsidRPr="00867E8C">
        <w:rPr>
          <w:rFonts w:cs="Arial"/>
          <w:i/>
          <w:szCs w:val="22"/>
        </w:rPr>
        <w:t xml:space="preserve">Annual daytime tidal exposure (total hours) and long-term median (dashed line) of intertidal estuarine seagrass meadows in the </w:t>
      </w:r>
      <w:r w:rsidR="00B72AC4">
        <w:rPr>
          <w:rFonts w:cs="Arial"/>
          <w:i/>
          <w:szCs w:val="22"/>
        </w:rPr>
        <w:t>Burnett–Mary</w:t>
      </w:r>
      <w:r w:rsidRPr="00867E8C">
        <w:rPr>
          <w:rFonts w:cs="Arial"/>
          <w:i/>
          <w:szCs w:val="22"/>
        </w:rPr>
        <w:t xml:space="preserve"> NRM region; 1999</w:t>
      </w:r>
      <w:r w:rsidR="005C4C83" w:rsidRPr="00867E8C">
        <w:rPr>
          <w:rFonts w:cs="Arial"/>
          <w:i/>
          <w:szCs w:val="22"/>
        </w:rPr>
        <w:t>–</w:t>
      </w:r>
      <w:r w:rsidRPr="00867E8C">
        <w:rPr>
          <w:rFonts w:cs="Arial"/>
          <w:i/>
          <w:szCs w:val="22"/>
        </w:rPr>
        <w:t>201</w:t>
      </w:r>
      <w:r w:rsidR="009F33B9" w:rsidRPr="00867E8C">
        <w:rPr>
          <w:rFonts w:cs="Arial"/>
          <w:i/>
          <w:szCs w:val="22"/>
        </w:rPr>
        <w:t>9</w:t>
      </w:r>
      <w:r w:rsidRPr="00867E8C">
        <w:rPr>
          <w:rFonts w:cs="Arial"/>
          <w:i/>
          <w:szCs w:val="22"/>
        </w:rPr>
        <w:t>.</w:t>
      </w:r>
      <w:bookmarkEnd w:id="928"/>
      <w:bookmarkEnd w:id="929"/>
      <w:r w:rsidRPr="00867E8C">
        <w:rPr>
          <w:rFonts w:cs="Arial"/>
          <w:i/>
          <w:vanish/>
          <w:szCs w:val="22"/>
          <w:specVanish/>
        </w:rPr>
        <w:t xml:space="preserve"> </w:t>
      </w:r>
    </w:p>
    <w:p w14:paraId="508C3246" w14:textId="3F6AE2D3" w:rsidR="00273002" w:rsidRPr="00867E8C" w:rsidRDefault="00273002" w:rsidP="00273002">
      <w:pPr>
        <w:rPr>
          <w:rFonts w:cs="Arial"/>
          <w:szCs w:val="22"/>
          <w:lang w:val="en-GB"/>
        </w:rPr>
      </w:pPr>
      <w:r w:rsidRPr="00867E8C">
        <w:rPr>
          <w:rFonts w:cs="Arial"/>
          <w:i/>
          <w:szCs w:val="22"/>
        </w:rPr>
        <w:t xml:space="preserve">  Year is June</w:t>
      </w:r>
      <w:r w:rsidR="005C4C83" w:rsidRPr="00867E8C">
        <w:rPr>
          <w:rFonts w:cs="Arial"/>
          <w:i/>
          <w:szCs w:val="22"/>
        </w:rPr>
        <w:t>–</w:t>
      </w:r>
      <w:r w:rsidRPr="00867E8C">
        <w:rPr>
          <w:rFonts w:cs="Arial"/>
          <w:i/>
          <w:szCs w:val="22"/>
        </w:rPr>
        <w:t xml:space="preserve">May. For tidal exposure (when intertidal banks become exposed at a low tide) height at each site, see </w:t>
      </w:r>
      <w:r w:rsidRPr="00867E8C">
        <w:rPr>
          <w:rFonts w:cs="Arial"/>
          <w:i/>
          <w:szCs w:val="22"/>
        </w:rPr>
        <w:fldChar w:fldCharType="begin"/>
      </w:r>
      <w:r w:rsidRPr="00867E8C">
        <w:rPr>
          <w:rFonts w:cs="Arial"/>
          <w:i/>
          <w:szCs w:val="22"/>
        </w:rPr>
        <w:instrText xml:space="preserve"> REF _Ref409806677 \h  \* MERGEFORMAT </w:instrText>
      </w:r>
      <w:r w:rsidRPr="00867E8C">
        <w:rPr>
          <w:rFonts w:cs="Arial"/>
          <w:i/>
          <w:szCs w:val="22"/>
        </w:rPr>
      </w:r>
      <w:r w:rsidRPr="00867E8C">
        <w:rPr>
          <w:rFonts w:cs="Arial"/>
          <w:i/>
          <w:szCs w:val="22"/>
        </w:rPr>
        <w:fldChar w:fldCharType="separate"/>
      </w:r>
      <w:r w:rsidR="0067675D" w:rsidRPr="0067675D">
        <w:rPr>
          <w:rFonts w:cs="Arial"/>
          <w:i/>
          <w:szCs w:val="22"/>
        </w:rPr>
        <w:t xml:space="preserve">Table </w:t>
      </w:r>
      <w:r w:rsidR="0067675D" w:rsidRPr="0067675D">
        <w:rPr>
          <w:rFonts w:cs="Arial"/>
          <w:i/>
          <w:noProof/>
          <w:szCs w:val="22"/>
        </w:rPr>
        <w:t>19</w:t>
      </w:r>
      <w:r w:rsidRPr="00867E8C">
        <w:rPr>
          <w:rFonts w:cs="Arial"/>
          <w:i/>
          <w:szCs w:val="22"/>
        </w:rPr>
        <w:fldChar w:fldCharType="end"/>
      </w:r>
      <w:r w:rsidRPr="00867E8C">
        <w:rPr>
          <w:rFonts w:cs="Arial"/>
          <w:i/>
          <w:szCs w:val="22"/>
        </w:rPr>
        <w:t>. Observed tidal heights courtesy Maritime Safety Queensland, 201</w:t>
      </w:r>
      <w:r w:rsidR="009F33B9" w:rsidRPr="00867E8C">
        <w:rPr>
          <w:rFonts w:cs="Arial"/>
          <w:i/>
          <w:szCs w:val="22"/>
        </w:rPr>
        <w:t>9</w:t>
      </w:r>
      <w:r w:rsidRPr="00867E8C">
        <w:rPr>
          <w:rFonts w:cs="Arial"/>
          <w:i/>
          <w:szCs w:val="22"/>
        </w:rPr>
        <w:t xml:space="preserve">. </w:t>
      </w:r>
    </w:p>
    <w:p w14:paraId="2D718817" w14:textId="77777777" w:rsidR="00273002" w:rsidRPr="00867E8C" w:rsidRDefault="00273002" w:rsidP="00273002">
      <w:pPr>
        <w:rPr>
          <w:rFonts w:cs="Arial"/>
          <w:szCs w:val="22"/>
        </w:rPr>
      </w:pPr>
    </w:p>
    <w:p w14:paraId="777E99F7" w14:textId="77777777" w:rsidR="00273002" w:rsidRPr="00867E8C" w:rsidRDefault="00273002" w:rsidP="00273002">
      <w:pPr>
        <w:rPr>
          <w:rFonts w:cs="Arial"/>
          <w:color w:val="000000"/>
          <w:szCs w:val="22"/>
        </w:rPr>
      </w:pPr>
    </w:p>
    <w:p w14:paraId="4EE5A119" w14:textId="77777777" w:rsidR="00273002" w:rsidRPr="00867E8C" w:rsidRDefault="00273002">
      <w:pPr>
        <w:rPr>
          <w:rFonts w:cs="Arial"/>
          <w:color w:val="000000"/>
          <w:szCs w:val="22"/>
        </w:rPr>
      </w:pPr>
      <w:r w:rsidRPr="00867E8C">
        <w:rPr>
          <w:rFonts w:cs="Arial"/>
          <w:color w:val="000000"/>
          <w:szCs w:val="22"/>
        </w:rPr>
        <w:br w:type="page"/>
      </w:r>
    </w:p>
    <w:p w14:paraId="5A622C66" w14:textId="6C809A04" w:rsidR="002E6139" w:rsidRPr="00867E8C" w:rsidRDefault="001A2360" w:rsidP="001A2360">
      <w:pPr>
        <w:pStyle w:val="Heading3"/>
        <w:numPr>
          <w:ilvl w:val="0"/>
          <w:numId w:val="0"/>
        </w:numPr>
      </w:pPr>
      <w:bookmarkStart w:id="930" w:name="_Toc37775141"/>
      <w:bookmarkStart w:id="931" w:name="_Toc43987124"/>
      <w:r>
        <w:lastRenderedPageBreak/>
        <w:t>A3.1.2</w:t>
      </w:r>
      <w:r>
        <w:tab/>
      </w:r>
      <w:r w:rsidR="002E6139" w:rsidRPr="00867E8C">
        <w:t>Light at seagrass canopy</w:t>
      </w:r>
      <w:bookmarkEnd w:id="930"/>
      <w:bookmarkEnd w:id="931"/>
    </w:p>
    <w:p w14:paraId="26BE4E84" w14:textId="77777777" w:rsidR="00800B15" w:rsidRPr="00867E8C" w:rsidRDefault="00800B15" w:rsidP="00800B15">
      <w:pPr>
        <w:rPr>
          <w:rFonts w:cs="Arial"/>
          <w:szCs w:val="22"/>
          <w:lang w:eastAsia="x-none"/>
        </w:rPr>
      </w:pPr>
    </w:p>
    <w:p w14:paraId="034E299D" w14:textId="1AEE410D" w:rsidR="002E6139" w:rsidRPr="00867E8C" w:rsidRDefault="00205CE6" w:rsidP="002E6139">
      <w:pPr>
        <w:keepNext/>
        <w:jc w:val="center"/>
        <w:rPr>
          <w:rFonts w:cs="Arial"/>
          <w:szCs w:val="22"/>
        </w:rPr>
      </w:pPr>
      <w:r w:rsidRPr="00867E8C">
        <w:rPr>
          <w:rFonts w:cs="Arial"/>
          <w:noProof/>
          <w:szCs w:val="22"/>
          <w:lang w:eastAsia="en-AU"/>
        </w:rPr>
        <w:drawing>
          <wp:inline distT="0" distB="0" distL="0" distR="0" wp14:anchorId="4142460C" wp14:editId="3AC14B11">
            <wp:extent cx="5454000" cy="5652000"/>
            <wp:effectExtent l="0" t="0" r="0" b="6350"/>
            <wp:docPr id="564" name="Picture 564" descr="Panel of 5 line plots showing daily light (28-day rolling average) at each Cape York location from 2012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CY DL and 28d av by site.eps"/>
                    <pic:cNvPicPr/>
                  </pic:nvPicPr>
                  <pic:blipFill>
                    <a:blip r:embed="rId260"/>
                    <a:stretch>
                      <a:fillRect/>
                    </a:stretch>
                  </pic:blipFill>
                  <pic:spPr>
                    <a:xfrm>
                      <a:off x="0" y="0"/>
                      <a:ext cx="5454000" cy="5652000"/>
                    </a:xfrm>
                    <a:prstGeom prst="rect">
                      <a:avLst/>
                    </a:prstGeom>
                  </pic:spPr>
                </pic:pic>
              </a:graphicData>
            </a:graphic>
          </wp:inline>
        </w:drawing>
      </w:r>
    </w:p>
    <w:p w14:paraId="3A2A060B" w14:textId="03DCCC66" w:rsidR="002E6139" w:rsidRPr="00867E8C" w:rsidRDefault="002E6139" w:rsidP="002E6139">
      <w:pPr>
        <w:rPr>
          <w:rFonts w:cs="Arial"/>
          <w:i/>
          <w:vanish/>
          <w:szCs w:val="22"/>
        </w:rPr>
      </w:pPr>
      <w:bookmarkStart w:id="932" w:name="_Ref410207664"/>
      <w:bookmarkStart w:id="933" w:name="_Toc431493972"/>
      <w:bookmarkStart w:id="934" w:name="_Toc38634203"/>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99</w:t>
      </w:r>
      <w:r w:rsidR="00C506C7" w:rsidRPr="00867E8C">
        <w:rPr>
          <w:rFonts w:cs="Arial"/>
          <w:noProof/>
          <w:szCs w:val="22"/>
        </w:rPr>
        <w:fldChar w:fldCharType="end"/>
      </w:r>
      <w:bookmarkEnd w:id="932"/>
      <w:r w:rsidRPr="00867E8C">
        <w:rPr>
          <w:rFonts w:cs="Arial"/>
          <w:szCs w:val="22"/>
        </w:rPr>
        <w:t xml:space="preserve">. </w:t>
      </w:r>
      <w:r w:rsidR="00205CE6" w:rsidRPr="00867E8C">
        <w:rPr>
          <w:rFonts w:cs="Arial"/>
          <w:i/>
          <w:szCs w:val="22"/>
        </w:rPr>
        <w:t>Daily light and 28-day rolling average</w:t>
      </w:r>
      <w:r w:rsidRPr="00867E8C">
        <w:rPr>
          <w:rFonts w:cs="Arial"/>
          <w:i/>
          <w:szCs w:val="22"/>
        </w:rPr>
        <w:t xml:space="preserve"> at Cape York locations</w:t>
      </w:r>
      <w:bookmarkEnd w:id="933"/>
      <w:r w:rsidRPr="00867E8C">
        <w:rPr>
          <w:rFonts w:cs="Arial"/>
          <w:i/>
          <w:szCs w:val="22"/>
        </w:rPr>
        <w:t>.</w:t>
      </w:r>
      <w:bookmarkEnd w:id="934"/>
      <w:r w:rsidRPr="00867E8C">
        <w:rPr>
          <w:rFonts w:cs="Arial"/>
          <w:szCs w:val="22"/>
          <w:lang w:val="en-GB"/>
        </w:rPr>
        <w:t xml:space="preserve"> </w:t>
      </w:r>
    </w:p>
    <w:p w14:paraId="6DD6DAA4" w14:textId="77777777" w:rsidR="00800B15" w:rsidRPr="00867E8C" w:rsidRDefault="00800B15" w:rsidP="002E6139">
      <w:pPr>
        <w:rPr>
          <w:rFonts w:cs="Arial"/>
          <w:szCs w:val="22"/>
          <w:lang w:val="en-GB"/>
        </w:rPr>
      </w:pPr>
    </w:p>
    <w:p w14:paraId="3FF470B8" w14:textId="63B03BA2" w:rsidR="002E6139" w:rsidRPr="00867E8C" w:rsidRDefault="00205CE6" w:rsidP="002E6139">
      <w:pPr>
        <w:keepNext/>
        <w:jc w:val="center"/>
        <w:rPr>
          <w:rFonts w:cs="Arial"/>
          <w:noProof/>
          <w:szCs w:val="22"/>
          <w:lang w:eastAsia="en-AU"/>
        </w:rPr>
      </w:pPr>
      <w:r w:rsidRPr="00867E8C">
        <w:rPr>
          <w:rFonts w:cs="Arial"/>
          <w:noProof/>
          <w:szCs w:val="22"/>
          <w:lang w:eastAsia="en-AU"/>
        </w:rPr>
        <w:lastRenderedPageBreak/>
        <w:drawing>
          <wp:inline distT="0" distB="0" distL="0" distR="0" wp14:anchorId="7AEC9216" wp14:editId="4365D6D5">
            <wp:extent cx="5454000" cy="5572800"/>
            <wp:effectExtent l="0" t="0" r="0" b="8890"/>
            <wp:docPr id="565" name="Picture 565" descr="Panel of five graphs showing daily light and 28-day rolling average for locations in the northern Wet Tropics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WT DL and 28d av each site.eps"/>
                    <pic:cNvPicPr/>
                  </pic:nvPicPr>
                  <pic:blipFill>
                    <a:blip r:embed="rId261"/>
                    <a:stretch>
                      <a:fillRect/>
                    </a:stretch>
                  </pic:blipFill>
                  <pic:spPr>
                    <a:xfrm>
                      <a:off x="0" y="0"/>
                      <a:ext cx="5454000" cy="5572800"/>
                    </a:xfrm>
                    <a:prstGeom prst="rect">
                      <a:avLst/>
                    </a:prstGeom>
                  </pic:spPr>
                </pic:pic>
              </a:graphicData>
            </a:graphic>
          </wp:inline>
        </w:drawing>
      </w:r>
    </w:p>
    <w:p w14:paraId="35A580D1" w14:textId="004B81DF" w:rsidR="002E6139" w:rsidRPr="00867E8C" w:rsidRDefault="002E6139" w:rsidP="002E6139">
      <w:pPr>
        <w:rPr>
          <w:rFonts w:cs="Arial"/>
          <w:i/>
          <w:vanish/>
          <w:color w:val="000000"/>
          <w:szCs w:val="22"/>
        </w:rPr>
      </w:pPr>
      <w:bookmarkStart w:id="935" w:name="_Ref410218392"/>
      <w:bookmarkStart w:id="936" w:name="_Toc431493973"/>
      <w:bookmarkStart w:id="937" w:name="_Toc38634204"/>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100</w:t>
      </w:r>
      <w:r w:rsidR="00C506C7" w:rsidRPr="00867E8C">
        <w:rPr>
          <w:rFonts w:cs="Arial"/>
          <w:noProof/>
          <w:szCs w:val="22"/>
        </w:rPr>
        <w:fldChar w:fldCharType="end"/>
      </w:r>
      <w:bookmarkEnd w:id="935"/>
      <w:r w:rsidRPr="00867E8C">
        <w:rPr>
          <w:rFonts w:cs="Arial"/>
          <w:szCs w:val="22"/>
        </w:rPr>
        <w:t xml:space="preserve">. </w:t>
      </w:r>
      <w:bookmarkEnd w:id="936"/>
      <w:r w:rsidRPr="00867E8C">
        <w:rPr>
          <w:rFonts w:cs="Arial"/>
          <w:i/>
          <w:color w:val="000000"/>
          <w:szCs w:val="22"/>
        </w:rPr>
        <w:t>Daily light (yellow line) and 28-day rolling average (orange, bold line) for locations in the northern Wet Tropics.</w:t>
      </w:r>
      <w:bookmarkEnd w:id="937"/>
    </w:p>
    <w:p w14:paraId="2A54AB90" w14:textId="77777777" w:rsidR="00800B15" w:rsidRPr="00867E8C" w:rsidRDefault="00800B15" w:rsidP="002E6139">
      <w:pPr>
        <w:rPr>
          <w:rFonts w:cs="Arial"/>
          <w:i/>
          <w:color w:val="000000"/>
          <w:szCs w:val="22"/>
        </w:rPr>
      </w:pPr>
    </w:p>
    <w:p w14:paraId="56AD5403" w14:textId="7D01FE24" w:rsidR="002E6139" w:rsidRPr="00867E8C" w:rsidRDefault="00205CE6" w:rsidP="002E6139">
      <w:pPr>
        <w:jc w:val="center"/>
        <w:rPr>
          <w:rFonts w:cs="Arial"/>
          <w:noProof/>
          <w:szCs w:val="22"/>
          <w:lang w:eastAsia="en-AU"/>
        </w:rPr>
      </w:pPr>
      <w:r w:rsidRPr="00867E8C">
        <w:rPr>
          <w:rFonts w:cs="Arial"/>
          <w:noProof/>
          <w:szCs w:val="22"/>
          <w:lang w:eastAsia="en-AU"/>
        </w:rPr>
        <w:lastRenderedPageBreak/>
        <w:drawing>
          <wp:inline distT="0" distB="0" distL="0" distR="0" wp14:anchorId="507FB193" wp14:editId="7522584F">
            <wp:extent cx="5454000" cy="2293200"/>
            <wp:effectExtent l="0" t="0" r="0" b="0"/>
            <wp:docPr id="566" name="Picture 566" descr="Panel of two graphs showing daily light and 28-day rolling average for locations in the southern Wet Tropics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WT S DL and 28d av each site.eps"/>
                    <pic:cNvPicPr/>
                  </pic:nvPicPr>
                  <pic:blipFill rotWithShape="1">
                    <a:blip r:embed="rId262"/>
                    <a:srcRect b="7657"/>
                    <a:stretch/>
                  </pic:blipFill>
                  <pic:spPr bwMode="auto">
                    <a:xfrm>
                      <a:off x="0" y="0"/>
                      <a:ext cx="5454000" cy="2293200"/>
                    </a:xfrm>
                    <a:prstGeom prst="rect">
                      <a:avLst/>
                    </a:prstGeom>
                    <a:ln>
                      <a:noFill/>
                    </a:ln>
                    <a:extLst>
                      <a:ext uri="{53640926-AAD7-44D8-BBD7-CCE9431645EC}">
                        <a14:shadowObscured xmlns:a14="http://schemas.microsoft.com/office/drawing/2010/main"/>
                      </a:ext>
                    </a:extLst>
                  </pic:spPr>
                </pic:pic>
              </a:graphicData>
            </a:graphic>
          </wp:inline>
        </w:drawing>
      </w:r>
    </w:p>
    <w:p w14:paraId="1BDAAFF1" w14:textId="0EC012FA" w:rsidR="002E6139" w:rsidRPr="00867E8C" w:rsidRDefault="002E6139" w:rsidP="00DD3BAE">
      <w:pPr>
        <w:rPr>
          <w:rFonts w:cs="Arial"/>
          <w:i/>
          <w:vanish/>
          <w:color w:val="000000"/>
          <w:szCs w:val="22"/>
        </w:rPr>
      </w:pPr>
      <w:bookmarkStart w:id="938" w:name="_Ref410218397"/>
      <w:bookmarkStart w:id="939" w:name="_Toc431493974"/>
      <w:bookmarkStart w:id="940" w:name="_Toc38634205"/>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101</w:t>
      </w:r>
      <w:r w:rsidR="00C506C7" w:rsidRPr="00867E8C">
        <w:rPr>
          <w:rFonts w:cs="Arial"/>
          <w:noProof/>
          <w:szCs w:val="22"/>
        </w:rPr>
        <w:fldChar w:fldCharType="end"/>
      </w:r>
      <w:bookmarkEnd w:id="938"/>
      <w:r w:rsidRPr="00867E8C">
        <w:rPr>
          <w:rFonts w:cs="Arial"/>
          <w:szCs w:val="22"/>
        </w:rPr>
        <w:t xml:space="preserve">. </w:t>
      </w:r>
      <w:r w:rsidRPr="00867E8C">
        <w:rPr>
          <w:rFonts w:cs="Arial"/>
          <w:i/>
          <w:color w:val="000000"/>
          <w:szCs w:val="22"/>
        </w:rPr>
        <w:t>Daily light (yellow line) and 28-day rolling average (orange, bold line) for locations in the southern Wet Tropics</w:t>
      </w:r>
      <w:bookmarkEnd w:id="939"/>
      <w:r w:rsidRPr="00867E8C">
        <w:rPr>
          <w:rFonts w:cs="Arial"/>
          <w:i/>
          <w:color w:val="000000"/>
          <w:szCs w:val="22"/>
        </w:rPr>
        <w:t>.</w:t>
      </w:r>
      <w:bookmarkEnd w:id="940"/>
      <w:r w:rsidRPr="00867E8C">
        <w:rPr>
          <w:rFonts w:cs="Arial"/>
          <w:i/>
          <w:color w:val="000000"/>
          <w:szCs w:val="22"/>
        </w:rPr>
        <w:t xml:space="preserve"> </w:t>
      </w:r>
    </w:p>
    <w:p w14:paraId="2F9C79E8" w14:textId="77777777" w:rsidR="002E6139" w:rsidRPr="00867E8C" w:rsidRDefault="002E6139" w:rsidP="00DD3BAE">
      <w:pPr>
        <w:rPr>
          <w:rFonts w:cs="Arial"/>
          <w:szCs w:val="22"/>
        </w:rPr>
      </w:pPr>
    </w:p>
    <w:p w14:paraId="20FD8C74" w14:textId="17FF4CB1" w:rsidR="002E6139" w:rsidRPr="00867E8C" w:rsidRDefault="00807383" w:rsidP="002E6139">
      <w:pPr>
        <w:jc w:val="center"/>
        <w:rPr>
          <w:rFonts w:cs="Arial"/>
          <w:szCs w:val="22"/>
        </w:rPr>
      </w:pPr>
      <w:r w:rsidRPr="00867E8C">
        <w:rPr>
          <w:rFonts w:cs="Arial"/>
          <w:noProof/>
          <w:szCs w:val="22"/>
          <w:lang w:eastAsia="en-AU"/>
        </w:rPr>
        <w:lastRenderedPageBreak/>
        <w:drawing>
          <wp:inline distT="0" distB="0" distL="0" distR="0" wp14:anchorId="382DF1CD" wp14:editId="527546E4">
            <wp:extent cx="5454000" cy="6044400"/>
            <wp:effectExtent l="0" t="0" r="0" b="0"/>
            <wp:docPr id="558" name="Picture 558" descr="Panel of six graphs showing daily light and 28-day rolling average for locations in the Burdekin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Burdekin sites combined_CC-01.png"/>
                    <pic:cNvPicPr/>
                  </pic:nvPicPr>
                  <pic:blipFill rotWithShape="1">
                    <a:blip r:embed="rId263"/>
                    <a:srcRect b="29218"/>
                    <a:stretch/>
                  </pic:blipFill>
                  <pic:spPr bwMode="auto">
                    <a:xfrm>
                      <a:off x="0" y="0"/>
                      <a:ext cx="5454000" cy="6044400"/>
                    </a:xfrm>
                    <a:prstGeom prst="rect">
                      <a:avLst/>
                    </a:prstGeom>
                    <a:ln>
                      <a:noFill/>
                    </a:ln>
                    <a:extLst>
                      <a:ext uri="{53640926-AAD7-44D8-BBD7-CCE9431645EC}">
                        <a14:shadowObscured xmlns:a14="http://schemas.microsoft.com/office/drawing/2010/main"/>
                      </a:ext>
                    </a:extLst>
                  </pic:spPr>
                </pic:pic>
              </a:graphicData>
            </a:graphic>
          </wp:inline>
        </w:drawing>
      </w:r>
    </w:p>
    <w:p w14:paraId="7B3122F1" w14:textId="7FE85AC5" w:rsidR="002E6139" w:rsidRPr="00867E8C" w:rsidRDefault="002E6139" w:rsidP="002E6139">
      <w:pPr>
        <w:rPr>
          <w:rFonts w:cs="Arial"/>
          <w:vanish/>
          <w:color w:val="000000"/>
          <w:szCs w:val="22"/>
        </w:rPr>
      </w:pPr>
      <w:bookmarkStart w:id="941" w:name="_Ref410288144"/>
      <w:bookmarkStart w:id="942" w:name="_Toc431493978"/>
      <w:bookmarkStart w:id="943" w:name="_Toc38634206"/>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102</w:t>
      </w:r>
      <w:r w:rsidR="00C506C7" w:rsidRPr="00867E8C">
        <w:rPr>
          <w:rFonts w:cs="Arial"/>
          <w:noProof/>
          <w:szCs w:val="22"/>
        </w:rPr>
        <w:fldChar w:fldCharType="end"/>
      </w:r>
      <w:bookmarkEnd w:id="941"/>
      <w:r w:rsidRPr="00867E8C">
        <w:rPr>
          <w:rFonts w:cs="Arial"/>
          <w:szCs w:val="22"/>
        </w:rPr>
        <w:t xml:space="preserve">. </w:t>
      </w:r>
      <w:r w:rsidRPr="00867E8C">
        <w:rPr>
          <w:rFonts w:cs="Arial"/>
          <w:i/>
          <w:color w:val="000000"/>
          <w:szCs w:val="22"/>
        </w:rPr>
        <w:t>Daily light (yellow line) and 28-day rolling average (orange, bold line) at locations in the Burdekin region</w:t>
      </w:r>
      <w:bookmarkEnd w:id="942"/>
      <w:r w:rsidRPr="00867E8C">
        <w:rPr>
          <w:rFonts w:cs="Arial"/>
          <w:i/>
          <w:color w:val="000000"/>
          <w:szCs w:val="22"/>
        </w:rPr>
        <w:t>.</w:t>
      </w:r>
      <w:bookmarkEnd w:id="943"/>
      <w:r w:rsidRPr="00867E8C">
        <w:rPr>
          <w:rFonts w:cs="Arial"/>
          <w:i/>
          <w:color w:val="000000"/>
          <w:szCs w:val="22"/>
        </w:rPr>
        <w:t xml:space="preserve">  </w:t>
      </w:r>
    </w:p>
    <w:p w14:paraId="56370971" w14:textId="77777777" w:rsidR="00800B15" w:rsidRPr="00867E8C" w:rsidRDefault="00800B15" w:rsidP="002E6139">
      <w:pPr>
        <w:rPr>
          <w:rFonts w:cs="Arial"/>
          <w:szCs w:val="22"/>
          <w:lang w:val="en-GB"/>
        </w:rPr>
      </w:pPr>
    </w:p>
    <w:p w14:paraId="334A326B" w14:textId="799436B5" w:rsidR="002E6139" w:rsidRPr="00867E8C" w:rsidRDefault="00205CE6" w:rsidP="002E6139">
      <w:pPr>
        <w:keepNext/>
        <w:jc w:val="center"/>
        <w:rPr>
          <w:rFonts w:cs="Arial"/>
          <w:color w:val="000000"/>
          <w:szCs w:val="22"/>
        </w:rPr>
      </w:pPr>
      <w:r w:rsidRPr="00867E8C">
        <w:rPr>
          <w:rFonts w:cs="Arial"/>
          <w:noProof/>
          <w:color w:val="000000"/>
          <w:szCs w:val="22"/>
          <w:lang w:eastAsia="en-AU"/>
        </w:rPr>
        <w:lastRenderedPageBreak/>
        <w:drawing>
          <wp:inline distT="0" distB="0" distL="0" distR="0" wp14:anchorId="4603C91F" wp14:editId="05D8E833">
            <wp:extent cx="5454000" cy="4485600"/>
            <wp:effectExtent l="0" t="0" r="0" b="0"/>
            <wp:docPr id="568" name="Picture 568" descr="Panel of four graphs showing daily light and 28-day rolling average for locations in the Mackay Whitsunda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MW DL and 28d av each site.eps"/>
                    <pic:cNvPicPr/>
                  </pic:nvPicPr>
                  <pic:blipFill>
                    <a:blip r:embed="rId264"/>
                    <a:stretch>
                      <a:fillRect/>
                    </a:stretch>
                  </pic:blipFill>
                  <pic:spPr>
                    <a:xfrm>
                      <a:off x="0" y="0"/>
                      <a:ext cx="5454000" cy="4485600"/>
                    </a:xfrm>
                    <a:prstGeom prst="rect">
                      <a:avLst/>
                    </a:prstGeom>
                  </pic:spPr>
                </pic:pic>
              </a:graphicData>
            </a:graphic>
          </wp:inline>
        </w:drawing>
      </w:r>
    </w:p>
    <w:p w14:paraId="407D01FF" w14:textId="1E32D7EE" w:rsidR="002E6139" w:rsidRPr="00867E8C" w:rsidRDefault="002E6139" w:rsidP="002E6139">
      <w:pPr>
        <w:rPr>
          <w:rFonts w:cs="Arial"/>
          <w:vanish/>
          <w:color w:val="000000"/>
          <w:szCs w:val="22"/>
          <w:specVanish/>
        </w:rPr>
      </w:pPr>
      <w:bookmarkStart w:id="944" w:name="_Ref410298084"/>
      <w:bookmarkStart w:id="945" w:name="_Toc431493981"/>
      <w:bookmarkStart w:id="946" w:name="_Toc38634207"/>
      <w:r w:rsidRPr="00867E8C">
        <w:rPr>
          <w:rFonts w:cs="Arial"/>
          <w:color w:val="000000"/>
          <w:szCs w:val="22"/>
          <w:lang w:val="en-GB"/>
        </w:rPr>
        <w:t xml:space="preserve">Figure </w:t>
      </w:r>
      <w:r w:rsidR="0073595B" w:rsidRPr="00867E8C">
        <w:rPr>
          <w:rFonts w:cs="Arial"/>
          <w:color w:val="000000"/>
          <w:szCs w:val="22"/>
          <w:lang w:val="en-GB"/>
        </w:rPr>
        <w:fldChar w:fldCharType="begin"/>
      </w:r>
      <w:r w:rsidR="0073595B" w:rsidRPr="00867E8C">
        <w:rPr>
          <w:rFonts w:cs="Arial"/>
          <w:color w:val="000000"/>
          <w:szCs w:val="22"/>
          <w:lang w:val="en-GB"/>
        </w:rPr>
        <w:instrText xml:space="preserve"> SEQ Figure \* ARABIC </w:instrText>
      </w:r>
      <w:r w:rsidR="0073595B" w:rsidRPr="00867E8C">
        <w:rPr>
          <w:rFonts w:cs="Arial"/>
          <w:color w:val="000000"/>
          <w:szCs w:val="22"/>
          <w:lang w:val="en-GB"/>
        </w:rPr>
        <w:fldChar w:fldCharType="separate"/>
      </w:r>
      <w:r w:rsidR="0067675D">
        <w:rPr>
          <w:rFonts w:cs="Arial"/>
          <w:noProof/>
          <w:color w:val="000000"/>
          <w:szCs w:val="22"/>
          <w:lang w:val="en-GB"/>
        </w:rPr>
        <w:t>103</w:t>
      </w:r>
      <w:r w:rsidR="0073595B" w:rsidRPr="00867E8C">
        <w:rPr>
          <w:rFonts w:cs="Arial"/>
          <w:color w:val="000000"/>
          <w:szCs w:val="22"/>
          <w:lang w:val="en-GB"/>
        </w:rPr>
        <w:fldChar w:fldCharType="end"/>
      </w:r>
      <w:bookmarkEnd w:id="944"/>
      <w:r w:rsidRPr="00867E8C">
        <w:rPr>
          <w:rFonts w:cs="Arial"/>
          <w:color w:val="000000"/>
          <w:szCs w:val="22"/>
          <w:lang w:val="en-GB"/>
        </w:rPr>
        <w:t>.</w:t>
      </w:r>
      <w:r w:rsidRPr="00867E8C">
        <w:rPr>
          <w:rFonts w:cs="Arial"/>
          <w:i/>
          <w:color w:val="000000"/>
          <w:szCs w:val="22"/>
        </w:rPr>
        <w:t xml:space="preserve"> Daily light (yellow line) and 28-day rolling average (orange, bold line) at </w:t>
      </w:r>
      <w:r w:rsidR="00B72AC4">
        <w:rPr>
          <w:rFonts w:cs="Arial"/>
          <w:i/>
          <w:color w:val="000000"/>
          <w:szCs w:val="22"/>
        </w:rPr>
        <w:t>Mackay–Whitsunday</w:t>
      </w:r>
      <w:r w:rsidRPr="00867E8C">
        <w:rPr>
          <w:rFonts w:cs="Arial"/>
          <w:i/>
          <w:color w:val="000000"/>
          <w:szCs w:val="22"/>
        </w:rPr>
        <w:t xml:space="preserve"> habitats.</w:t>
      </w:r>
      <w:bookmarkEnd w:id="945"/>
      <w:bookmarkEnd w:id="946"/>
      <w:r w:rsidRPr="00867E8C">
        <w:rPr>
          <w:rFonts w:cs="Arial"/>
          <w:color w:val="000000"/>
          <w:szCs w:val="22"/>
        </w:rPr>
        <w:t xml:space="preserve"> </w:t>
      </w:r>
    </w:p>
    <w:p w14:paraId="16C26649" w14:textId="261C8A8E" w:rsidR="002E6139" w:rsidRPr="00867E8C" w:rsidRDefault="002E6139" w:rsidP="002E6139">
      <w:pPr>
        <w:rPr>
          <w:rFonts w:cs="Arial"/>
          <w:color w:val="000000"/>
          <w:szCs w:val="22"/>
        </w:rPr>
      </w:pPr>
    </w:p>
    <w:p w14:paraId="4F0B01E0" w14:textId="23F09025" w:rsidR="002E6139" w:rsidRPr="00867E8C" w:rsidRDefault="00205CE6" w:rsidP="002E6139">
      <w:pPr>
        <w:keepNext/>
        <w:jc w:val="center"/>
        <w:rPr>
          <w:rFonts w:cs="Arial"/>
          <w:color w:val="000000"/>
          <w:szCs w:val="22"/>
        </w:rPr>
      </w:pPr>
      <w:r w:rsidRPr="00867E8C">
        <w:rPr>
          <w:rFonts w:cs="Arial"/>
          <w:noProof/>
          <w:color w:val="000000"/>
          <w:szCs w:val="22"/>
          <w:lang w:eastAsia="en-AU"/>
        </w:rPr>
        <w:lastRenderedPageBreak/>
        <w:drawing>
          <wp:inline distT="0" distB="0" distL="0" distR="0" wp14:anchorId="5ED6913E" wp14:editId="7B308890">
            <wp:extent cx="5454000" cy="3502800"/>
            <wp:effectExtent l="0" t="0" r="0" b="2540"/>
            <wp:docPr id="569" name="Picture 569" descr="Panel of three graphs showing daily light and 28-day rolling average for locations in the Fitzro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F DL and 28d av each site.eps"/>
                    <pic:cNvPicPr/>
                  </pic:nvPicPr>
                  <pic:blipFill>
                    <a:blip r:embed="rId265"/>
                    <a:stretch>
                      <a:fillRect/>
                    </a:stretch>
                  </pic:blipFill>
                  <pic:spPr>
                    <a:xfrm>
                      <a:off x="0" y="0"/>
                      <a:ext cx="5454000" cy="3502800"/>
                    </a:xfrm>
                    <a:prstGeom prst="rect">
                      <a:avLst/>
                    </a:prstGeom>
                  </pic:spPr>
                </pic:pic>
              </a:graphicData>
            </a:graphic>
          </wp:inline>
        </w:drawing>
      </w:r>
    </w:p>
    <w:p w14:paraId="4E5CCA55" w14:textId="21D335F5" w:rsidR="00222918" w:rsidRPr="00867E8C" w:rsidRDefault="002E6139" w:rsidP="00222918">
      <w:pPr>
        <w:rPr>
          <w:rFonts w:cs="Arial"/>
          <w:i/>
          <w:vanish/>
          <w:color w:val="000000"/>
          <w:szCs w:val="22"/>
        </w:rPr>
      </w:pPr>
      <w:bookmarkStart w:id="947" w:name="_Ref410307245"/>
      <w:bookmarkStart w:id="948" w:name="_Toc431493982"/>
      <w:bookmarkStart w:id="949" w:name="_Toc38634208"/>
      <w:r w:rsidRPr="00867E8C">
        <w:rPr>
          <w:rFonts w:cs="Arial"/>
          <w:color w:val="000000"/>
          <w:szCs w:val="22"/>
        </w:rPr>
        <w:t xml:space="preserve">Figure </w:t>
      </w:r>
      <w:r w:rsidR="0073595B" w:rsidRPr="00867E8C">
        <w:rPr>
          <w:rFonts w:cs="Arial"/>
          <w:color w:val="000000"/>
          <w:szCs w:val="22"/>
        </w:rPr>
        <w:fldChar w:fldCharType="begin"/>
      </w:r>
      <w:r w:rsidR="0073595B" w:rsidRPr="00867E8C">
        <w:rPr>
          <w:rFonts w:cs="Arial"/>
          <w:color w:val="000000"/>
          <w:szCs w:val="22"/>
        </w:rPr>
        <w:instrText xml:space="preserve"> SEQ Figure \* ARABIC </w:instrText>
      </w:r>
      <w:r w:rsidR="0073595B" w:rsidRPr="00867E8C">
        <w:rPr>
          <w:rFonts w:cs="Arial"/>
          <w:color w:val="000000"/>
          <w:szCs w:val="22"/>
        </w:rPr>
        <w:fldChar w:fldCharType="separate"/>
      </w:r>
      <w:r w:rsidR="0067675D">
        <w:rPr>
          <w:rFonts w:cs="Arial"/>
          <w:noProof/>
          <w:color w:val="000000"/>
          <w:szCs w:val="22"/>
        </w:rPr>
        <w:t>104</w:t>
      </w:r>
      <w:r w:rsidR="0073595B" w:rsidRPr="00867E8C">
        <w:rPr>
          <w:rFonts w:cs="Arial"/>
          <w:color w:val="000000"/>
          <w:szCs w:val="22"/>
        </w:rPr>
        <w:fldChar w:fldCharType="end"/>
      </w:r>
      <w:bookmarkEnd w:id="947"/>
      <w:r w:rsidRPr="00867E8C">
        <w:rPr>
          <w:rFonts w:cs="Arial"/>
          <w:color w:val="000000"/>
          <w:szCs w:val="22"/>
        </w:rPr>
        <w:t xml:space="preserve">. </w:t>
      </w:r>
      <w:r w:rsidRPr="00867E8C">
        <w:rPr>
          <w:rFonts w:cs="Arial"/>
          <w:i/>
          <w:color w:val="000000"/>
          <w:szCs w:val="22"/>
        </w:rPr>
        <w:t xml:space="preserve">Daily light (yellow line) and 28-day rolling average (orange, bold line) </w:t>
      </w:r>
      <w:bookmarkEnd w:id="948"/>
      <w:r w:rsidR="00222918" w:rsidRPr="00867E8C">
        <w:rPr>
          <w:rFonts w:cs="Arial"/>
          <w:i/>
          <w:color w:val="000000"/>
          <w:szCs w:val="22"/>
        </w:rPr>
        <w:t>at monitoring locations in the Fitzroy NRM region.</w:t>
      </w:r>
      <w:bookmarkEnd w:id="949"/>
      <w:r w:rsidR="00222918" w:rsidRPr="00867E8C">
        <w:rPr>
          <w:rFonts w:cs="Arial"/>
          <w:i/>
          <w:color w:val="000000"/>
          <w:szCs w:val="22"/>
        </w:rPr>
        <w:t xml:space="preserve"> </w:t>
      </w:r>
    </w:p>
    <w:p w14:paraId="58CAF5DF" w14:textId="40F138F2" w:rsidR="002E6139" w:rsidRPr="00867E8C" w:rsidRDefault="002E6139" w:rsidP="005C65C8">
      <w:pPr>
        <w:rPr>
          <w:rFonts w:cs="Arial"/>
          <w:color w:val="000000"/>
          <w:szCs w:val="22"/>
        </w:rPr>
      </w:pPr>
    </w:p>
    <w:p w14:paraId="37502158" w14:textId="065C337B" w:rsidR="00205CE6" w:rsidRPr="00867E8C" w:rsidRDefault="00205CE6" w:rsidP="002E6139">
      <w:pPr>
        <w:keepNext/>
        <w:jc w:val="center"/>
        <w:rPr>
          <w:rFonts w:cs="Arial"/>
          <w:szCs w:val="22"/>
        </w:rPr>
      </w:pPr>
      <w:r w:rsidRPr="00867E8C">
        <w:rPr>
          <w:rFonts w:cs="Arial"/>
          <w:noProof/>
          <w:szCs w:val="22"/>
          <w:lang w:eastAsia="en-AU"/>
        </w:rPr>
        <w:lastRenderedPageBreak/>
        <w:drawing>
          <wp:inline distT="0" distB="0" distL="0" distR="0" wp14:anchorId="1A2FA052" wp14:editId="129A0788">
            <wp:extent cx="5602021" cy="4665133"/>
            <wp:effectExtent l="0" t="0" r="0" b="2540"/>
            <wp:docPr id="571" name="Picture 571" descr="Panel of four graphs showing daily light and 28-day rolling average for locations in the Burnett Mary NRM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BM Dl and 28d av each site.eps"/>
                    <pic:cNvPicPr/>
                  </pic:nvPicPr>
                  <pic:blipFill>
                    <a:blip r:embed="rId266"/>
                    <a:stretch>
                      <a:fillRect/>
                    </a:stretch>
                  </pic:blipFill>
                  <pic:spPr>
                    <a:xfrm>
                      <a:off x="0" y="0"/>
                      <a:ext cx="5648963" cy="4704225"/>
                    </a:xfrm>
                    <a:prstGeom prst="rect">
                      <a:avLst/>
                    </a:prstGeom>
                  </pic:spPr>
                </pic:pic>
              </a:graphicData>
            </a:graphic>
          </wp:inline>
        </w:drawing>
      </w:r>
    </w:p>
    <w:p w14:paraId="31A5F580" w14:textId="19E8DC24" w:rsidR="001268E0" w:rsidRPr="00CB093C" w:rsidRDefault="002E6139" w:rsidP="00222918">
      <w:pPr>
        <w:rPr>
          <w:rFonts w:cs="Arial"/>
          <w:i/>
          <w:vanish/>
          <w:color w:val="000000"/>
          <w:szCs w:val="22"/>
        </w:rPr>
      </w:pPr>
      <w:bookmarkStart w:id="950" w:name="_Ref410310520"/>
      <w:bookmarkStart w:id="951" w:name="_Toc431493983"/>
      <w:bookmarkStart w:id="952" w:name="_Toc38634209"/>
      <w:r w:rsidRPr="00867E8C">
        <w:rPr>
          <w:rFonts w:cs="Arial"/>
          <w:color w:val="000000"/>
          <w:szCs w:val="22"/>
          <w:lang w:val="en-GB"/>
        </w:rPr>
        <w:t xml:space="preserve">Figure </w:t>
      </w:r>
      <w:r w:rsidR="0073595B" w:rsidRPr="00867E8C">
        <w:rPr>
          <w:rFonts w:cs="Arial"/>
          <w:color w:val="000000"/>
          <w:szCs w:val="22"/>
          <w:lang w:val="en-GB"/>
        </w:rPr>
        <w:fldChar w:fldCharType="begin"/>
      </w:r>
      <w:r w:rsidR="0073595B" w:rsidRPr="00867E8C">
        <w:rPr>
          <w:rFonts w:cs="Arial"/>
          <w:color w:val="000000"/>
          <w:szCs w:val="22"/>
          <w:lang w:val="en-GB"/>
        </w:rPr>
        <w:instrText xml:space="preserve"> SEQ Figure \* ARABIC </w:instrText>
      </w:r>
      <w:r w:rsidR="0073595B" w:rsidRPr="00867E8C">
        <w:rPr>
          <w:rFonts w:cs="Arial"/>
          <w:color w:val="000000"/>
          <w:szCs w:val="22"/>
          <w:lang w:val="en-GB"/>
        </w:rPr>
        <w:fldChar w:fldCharType="separate"/>
      </w:r>
      <w:r w:rsidR="0067675D">
        <w:rPr>
          <w:rFonts w:cs="Arial"/>
          <w:noProof/>
          <w:color w:val="000000"/>
          <w:szCs w:val="22"/>
          <w:lang w:val="en-GB"/>
        </w:rPr>
        <w:t>105</w:t>
      </w:r>
      <w:r w:rsidR="0073595B" w:rsidRPr="00867E8C">
        <w:rPr>
          <w:rFonts w:cs="Arial"/>
          <w:color w:val="000000"/>
          <w:szCs w:val="22"/>
          <w:lang w:val="en-GB"/>
        </w:rPr>
        <w:fldChar w:fldCharType="end"/>
      </w:r>
      <w:bookmarkEnd w:id="950"/>
      <w:r w:rsidRPr="00867E8C">
        <w:rPr>
          <w:rFonts w:cs="Arial"/>
          <w:color w:val="000000"/>
          <w:szCs w:val="22"/>
          <w:lang w:val="en-GB"/>
        </w:rPr>
        <w:t xml:space="preserve">. </w:t>
      </w:r>
      <w:r w:rsidRPr="00867E8C">
        <w:rPr>
          <w:rFonts w:cs="Arial"/>
          <w:i/>
          <w:color w:val="000000"/>
          <w:szCs w:val="22"/>
        </w:rPr>
        <w:t xml:space="preserve">Daily light (yellow line) and 28-day rolling average (orange, bold line) at monitoring locations in the </w:t>
      </w:r>
      <w:r w:rsidR="00B72AC4">
        <w:rPr>
          <w:rFonts w:cs="Arial"/>
          <w:i/>
          <w:color w:val="000000"/>
          <w:szCs w:val="22"/>
        </w:rPr>
        <w:t>Burnett–Mary</w:t>
      </w:r>
      <w:r w:rsidRPr="00867E8C">
        <w:rPr>
          <w:rFonts w:cs="Arial"/>
          <w:i/>
          <w:color w:val="000000"/>
          <w:szCs w:val="22"/>
        </w:rPr>
        <w:t xml:space="preserve"> NRM </w:t>
      </w:r>
      <w:bookmarkEnd w:id="951"/>
      <w:r w:rsidRPr="00867E8C">
        <w:rPr>
          <w:rFonts w:cs="Arial"/>
          <w:i/>
          <w:color w:val="000000"/>
          <w:szCs w:val="22"/>
        </w:rPr>
        <w:t>region.</w:t>
      </w:r>
      <w:bookmarkEnd w:id="952"/>
      <w:r w:rsidRPr="00867E8C">
        <w:rPr>
          <w:rFonts w:cs="Arial"/>
          <w:i/>
          <w:color w:val="000000"/>
          <w:szCs w:val="22"/>
        </w:rPr>
        <w:t xml:space="preserve"> </w:t>
      </w:r>
      <w:r w:rsidR="001268E0" w:rsidRPr="00867E8C">
        <w:rPr>
          <w:rFonts w:cs="Arial"/>
          <w:color w:val="000000"/>
          <w:szCs w:val="22"/>
          <w:lang w:val="en-GB"/>
        </w:rPr>
        <w:br w:type="page"/>
      </w:r>
    </w:p>
    <w:p w14:paraId="46C7EF90" w14:textId="0057C871" w:rsidR="00D93689" w:rsidRPr="00CB093C" w:rsidRDefault="001A2360" w:rsidP="001A2360">
      <w:pPr>
        <w:pStyle w:val="Heading2"/>
        <w:numPr>
          <w:ilvl w:val="0"/>
          <w:numId w:val="0"/>
        </w:numPr>
      </w:pPr>
      <w:bookmarkStart w:id="953" w:name="_Toc37775142"/>
      <w:bookmarkStart w:id="954" w:name="_Toc43987125"/>
      <w:r>
        <w:t>A3.2</w:t>
      </w:r>
      <w:r>
        <w:tab/>
      </w:r>
      <w:r w:rsidR="00D93689" w:rsidRPr="00CB093C">
        <w:t xml:space="preserve">Seagrass </w:t>
      </w:r>
      <w:r w:rsidR="00AD77B7" w:rsidRPr="00CB093C">
        <w:t>habitat condition</w:t>
      </w:r>
      <w:bookmarkEnd w:id="953"/>
      <w:r>
        <w:t xml:space="preserve">: </w:t>
      </w:r>
      <w:r w:rsidRPr="001A2360">
        <w:t>Sediments composition</w:t>
      </w:r>
      <w:bookmarkEnd w:id="954"/>
    </w:p>
    <w:p w14:paraId="62714448" w14:textId="77777777" w:rsidR="007A38EA" w:rsidRPr="00867E8C" w:rsidRDefault="007A38EA" w:rsidP="007A38EA">
      <w:pPr>
        <w:rPr>
          <w:rFonts w:cs="Arial"/>
          <w:szCs w:val="22"/>
          <w:lang w:eastAsia="x-none"/>
        </w:rPr>
      </w:pPr>
    </w:p>
    <w:p w14:paraId="3466DFED" w14:textId="729E888D" w:rsidR="00035FDC" w:rsidRPr="00867E8C" w:rsidRDefault="00207564"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46E98ED2" wp14:editId="70B6AF24">
            <wp:extent cx="3959968" cy="6777090"/>
            <wp:effectExtent l="0" t="0" r="2540" b="5080"/>
            <wp:docPr id="38" name="Picture 38" descr="Set of bar graphs showing sediment grain size composition at reef habitat monitoring sites in the Cape York region each monitoring event from 2003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Y_sediment_reef_2016.png"/>
                    <pic:cNvPicPr/>
                  </pic:nvPicPr>
                  <pic:blipFill>
                    <a:blip r:embed="rId267">
                      <a:extLst>
                        <a:ext uri="{28A0092B-C50C-407E-A947-70E740481C1C}">
                          <a14:useLocalDpi xmlns:a14="http://schemas.microsoft.com/office/drawing/2010/main" val="0"/>
                        </a:ext>
                      </a:extLst>
                    </a:blip>
                    <a:stretch>
                      <a:fillRect/>
                    </a:stretch>
                  </pic:blipFill>
                  <pic:spPr>
                    <a:xfrm>
                      <a:off x="0" y="0"/>
                      <a:ext cx="3959968" cy="6777090"/>
                    </a:xfrm>
                    <a:prstGeom prst="rect">
                      <a:avLst/>
                    </a:prstGeom>
                  </pic:spPr>
                </pic:pic>
              </a:graphicData>
            </a:graphic>
          </wp:inline>
        </w:drawing>
      </w:r>
    </w:p>
    <w:p w14:paraId="69A95CF7" w14:textId="1956A523" w:rsidR="00035FDC" w:rsidRPr="00867E8C" w:rsidRDefault="00035FDC" w:rsidP="00035FDC">
      <w:pPr>
        <w:rPr>
          <w:rFonts w:cs="Arial"/>
          <w:i/>
          <w:vanish/>
          <w:szCs w:val="22"/>
          <w:specVanish/>
        </w:rPr>
      </w:pPr>
      <w:bookmarkStart w:id="955" w:name="_Ref511130629"/>
      <w:bookmarkStart w:id="956" w:name="_Toc38634210"/>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106</w:t>
      </w:r>
      <w:r w:rsidR="00C506C7" w:rsidRPr="00867E8C">
        <w:rPr>
          <w:rFonts w:cs="Arial"/>
          <w:noProof/>
          <w:szCs w:val="22"/>
        </w:rPr>
        <w:fldChar w:fldCharType="end"/>
      </w:r>
      <w:bookmarkEnd w:id="955"/>
      <w:r w:rsidRPr="00867E8C">
        <w:rPr>
          <w:rFonts w:cs="Arial"/>
          <w:szCs w:val="22"/>
        </w:rPr>
        <w:t xml:space="preserve">. </w:t>
      </w:r>
      <w:r w:rsidRPr="00867E8C">
        <w:rPr>
          <w:rFonts w:cs="Arial"/>
          <w:i/>
          <w:szCs w:val="22"/>
        </w:rPr>
        <w:t>Sediment grain size composition at reef habitat monitoring sites in the Cape York region, 2003</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56"/>
    </w:p>
    <w:p w14:paraId="21604FB7" w14:textId="0395D508" w:rsidR="00035FDC" w:rsidRPr="00867E8C" w:rsidRDefault="00035FDC" w:rsidP="00035FDC">
      <w:pPr>
        <w:rPr>
          <w:rFonts w:cs="Arial"/>
          <w:i/>
          <w:szCs w:val="22"/>
        </w:rPr>
      </w:pPr>
      <w:r w:rsidRPr="00867E8C">
        <w:rPr>
          <w:rFonts w:cs="Arial"/>
          <w:i/>
          <w:szCs w:val="22"/>
        </w:rPr>
        <w:t xml:space="preserve"> Dashed line is the </w:t>
      </w:r>
      <w:r w:rsidR="003158FC" w:rsidRPr="00867E8C">
        <w:rPr>
          <w:rFonts w:cs="Arial"/>
          <w:i/>
          <w:szCs w:val="22"/>
        </w:rPr>
        <w:t>Reef</w:t>
      </w:r>
      <w:r w:rsidRPr="00867E8C">
        <w:rPr>
          <w:rFonts w:cs="Arial"/>
          <w:i/>
          <w:szCs w:val="22"/>
        </w:rPr>
        <w:t xml:space="preserve"> long-term average proportion of mud.</w:t>
      </w:r>
    </w:p>
    <w:p w14:paraId="06DEED1C" w14:textId="77777777" w:rsidR="00035FDC" w:rsidRPr="00867E8C" w:rsidRDefault="00035FDC" w:rsidP="00035FDC">
      <w:pPr>
        <w:rPr>
          <w:rFonts w:cs="Arial"/>
          <w:i/>
          <w:szCs w:val="22"/>
        </w:rPr>
      </w:pPr>
    </w:p>
    <w:p w14:paraId="6C9C0503" w14:textId="77777777" w:rsidR="005672CD" w:rsidRPr="00867E8C" w:rsidRDefault="005672CD" w:rsidP="00035FDC">
      <w:pPr>
        <w:rPr>
          <w:rFonts w:cs="Arial"/>
          <w:i/>
          <w:color w:val="000000"/>
          <w:szCs w:val="22"/>
        </w:rPr>
      </w:pPr>
    </w:p>
    <w:p w14:paraId="3879226D" w14:textId="77777777" w:rsidR="005672CD" w:rsidRPr="00867E8C" w:rsidRDefault="005672CD" w:rsidP="00035FDC">
      <w:pPr>
        <w:rPr>
          <w:rFonts w:cs="Arial"/>
          <w:i/>
          <w:color w:val="000000"/>
          <w:szCs w:val="22"/>
        </w:rPr>
      </w:pPr>
    </w:p>
    <w:p w14:paraId="1A2A7D73" w14:textId="77777777" w:rsidR="005672CD" w:rsidRPr="00867E8C" w:rsidRDefault="005672CD" w:rsidP="00035FDC">
      <w:pPr>
        <w:rPr>
          <w:rFonts w:cs="Arial"/>
          <w:i/>
          <w:color w:val="000000"/>
          <w:szCs w:val="22"/>
        </w:rPr>
      </w:pPr>
    </w:p>
    <w:p w14:paraId="6B1B740D" w14:textId="77777777" w:rsidR="005672CD" w:rsidRPr="00867E8C" w:rsidRDefault="005672CD" w:rsidP="00035FDC">
      <w:pPr>
        <w:rPr>
          <w:rFonts w:cs="Arial"/>
          <w:i/>
          <w:color w:val="000000"/>
          <w:szCs w:val="22"/>
        </w:rPr>
      </w:pPr>
    </w:p>
    <w:p w14:paraId="313B058B" w14:textId="218F3A89" w:rsidR="00035FDC" w:rsidRPr="00867E8C" w:rsidRDefault="004006AB" w:rsidP="00035FDC">
      <w:pPr>
        <w:keepNext/>
        <w:widowControl w:val="0"/>
        <w:jc w:val="center"/>
        <w:rPr>
          <w:rFonts w:cs="Arial"/>
          <w:szCs w:val="22"/>
          <w:lang w:val="en-GB"/>
        </w:rPr>
      </w:pPr>
      <w:r w:rsidRPr="00867E8C">
        <w:rPr>
          <w:rFonts w:cs="Arial"/>
          <w:noProof/>
          <w:szCs w:val="22"/>
          <w:lang w:eastAsia="en-AU"/>
        </w:rPr>
        <w:drawing>
          <wp:inline distT="0" distB="0" distL="0" distR="0" wp14:anchorId="0EC55D22" wp14:editId="44B16A73">
            <wp:extent cx="4319446" cy="5097882"/>
            <wp:effectExtent l="0" t="0" r="5080" b="7620"/>
            <wp:docPr id="57" name="Picture 57" descr="Set of bar graphs showing sediment grain size composition at coastal habitat monitoring sites in the Cape York region each monitoring event from 2013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Y_sediment_coast_2016.png"/>
                    <pic:cNvPicPr/>
                  </pic:nvPicPr>
                  <pic:blipFill>
                    <a:blip r:embed="rId268">
                      <a:extLst>
                        <a:ext uri="{28A0092B-C50C-407E-A947-70E740481C1C}">
                          <a14:useLocalDpi xmlns:a14="http://schemas.microsoft.com/office/drawing/2010/main" val="0"/>
                        </a:ext>
                      </a:extLst>
                    </a:blip>
                    <a:stretch>
                      <a:fillRect/>
                    </a:stretch>
                  </pic:blipFill>
                  <pic:spPr>
                    <a:xfrm>
                      <a:off x="0" y="0"/>
                      <a:ext cx="4319446" cy="5097882"/>
                    </a:xfrm>
                    <a:prstGeom prst="rect">
                      <a:avLst/>
                    </a:prstGeom>
                  </pic:spPr>
                </pic:pic>
              </a:graphicData>
            </a:graphic>
          </wp:inline>
        </w:drawing>
      </w:r>
    </w:p>
    <w:p w14:paraId="40506C14" w14:textId="5F38F285" w:rsidR="00035FDC" w:rsidRPr="00867E8C" w:rsidRDefault="00035FDC" w:rsidP="00035FDC">
      <w:pPr>
        <w:rPr>
          <w:rFonts w:cs="Arial"/>
          <w:i/>
          <w:vanish/>
          <w:szCs w:val="22"/>
          <w:specVanish/>
        </w:rPr>
      </w:pPr>
      <w:bookmarkStart w:id="957" w:name="_Ref511130634"/>
      <w:bookmarkStart w:id="958" w:name="_Toc38634211"/>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107</w:t>
      </w:r>
      <w:r w:rsidR="00C506C7" w:rsidRPr="00867E8C">
        <w:rPr>
          <w:rFonts w:cs="Arial"/>
          <w:noProof/>
          <w:szCs w:val="22"/>
        </w:rPr>
        <w:fldChar w:fldCharType="end"/>
      </w:r>
      <w:bookmarkEnd w:id="957"/>
      <w:r w:rsidRPr="00867E8C">
        <w:rPr>
          <w:rFonts w:cs="Arial"/>
          <w:szCs w:val="22"/>
        </w:rPr>
        <w:t xml:space="preserve">. </w:t>
      </w:r>
      <w:r w:rsidRPr="00867E8C">
        <w:rPr>
          <w:rFonts w:cs="Arial"/>
          <w:i/>
          <w:szCs w:val="22"/>
        </w:rPr>
        <w:t>Sediment grain size composition at coastal habitat monitoring sites in the Cape York region, 201</w:t>
      </w:r>
      <w:r w:rsidR="005C4C83" w:rsidRPr="00867E8C">
        <w:rPr>
          <w:rFonts w:cs="Arial"/>
          <w:i/>
          <w:szCs w:val="22"/>
        </w:rPr>
        <w:t>0</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58"/>
    </w:p>
    <w:p w14:paraId="684F1926" w14:textId="20C41376"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3D84B77F" w14:textId="77777777" w:rsidR="00035FDC" w:rsidRPr="00867E8C" w:rsidRDefault="00035FDC" w:rsidP="00035FDC">
      <w:pPr>
        <w:rPr>
          <w:rFonts w:cs="Arial"/>
          <w:szCs w:val="22"/>
          <w:lang w:val="en-GB"/>
        </w:rPr>
      </w:pPr>
    </w:p>
    <w:p w14:paraId="2780642C" w14:textId="77777777" w:rsidR="00035FDC" w:rsidRPr="00867E8C" w:rsidRDefault="00035FDC" w:rsidP="00035FDC">
      <w:pPr>
        <w:rPr>
          <w:rFonts w:cs="Arial"/>
          <w:color w:val="000000"/>
          <w:szCs w:val="22"/>
          <w:lang w:val="en-GB"/>
        </w:rPr>
      </w:pPr>
    </w:p>
    <w:p w14:paraId="038FA815" w14:textId="77777777" w:rsidR="00035FDC" w:rsidRPr="00867E8C" w:rsidRDefault="00035FDC" w:rsidP="00035FDC">
      <w:pPr>
        <w:rPr>
          <w:rFonts w:cs="Arial"/>
          <w:color w:val="000000"/>
          <w:szCs w:val="22"/>
          <w:lang w:val="en-GB"/>
        </w:rPr>
      </w:pPr>
    </w:p>
    <w:p w14:paraId="173FF74F" w14:textId="77777777" w:rsidR="005672CD" w:rsidRPr="00867E8C" w:rsidRDefault="005672CD" w:rsidP="00035FDC">
      <w:pPr>
        <w:rPr>
          <w:rFonts w:cs="Arial"/>
          <w:color w:val="000000"/>
          <w:szCs w:val="22"/>
          <w:lang w:val="en-GB"/>
        </w:rPr>
      </w:pPr>
    </w:p>
    <w:p w14:paraId="0BFF4A6C" w14:textId="77777777" w:rsidR="005672CD" w:rsidRPr="00867E8C" w:rsidRDefault="005672CD" w:rsidP="00035FDC">
      <w:pPr>
        <w:rPr>
          <w:rFonts w:cs="Arial"/>
          <w:color w:val="000000"/>
          <w:szCs w:val="22"/>
          <w:lang w:val="en-GB"/>
        </w:rPr>
      </w:pPr>
    </w:p>
    <w:p w14:paraId="5BD6D7F7" w14:textId="77777777" w:rsidR="005672CD" w:rsidRPr="00867E8C" w:rsidRDefault="005672CD" w:rsidP="00035FDC">
      <w:pPr>
        <w:rPr>
          <w:rFonts w:cs="Arial"/>
          <w:color w:val="000000"/>
          <w:szCs w:val="22"/>
          <w:lang w:val="en-GB"/>
        </w:rPr>
      </w:pPr>
    </w:p>
    <w:p w14:paraId="5C280A8D" w14:textId="77777777" w:rsidR="005672CD" w:rsidRPr="00867E8C" w:rsidRDefault="005672CD" w:rsidP="00035FDC">
      <w:pPr>
        <w:rPr>
          <w:rFonts w:cs="Arial"/>
          <w:color w:val="000000"/>
          <w:szCs w:val="22"/>
          <w:lang w:val="en-GB"/>
        </w:rPr>
      </w:pPr>
    </w:p>
    <w:p w14:paraId="0729ABAD" w14:textId="77777777" w:rsidR="005672CD" w:rsidRPr="00867E8C" w:rsidRDefault="005672CD" w:rsidP="00035FDC">
      <w:pPr>
        <w:rPr>
          <w:rFonts w:cs="Arial"/>
          <w:color w:val="000000"/>
          <w:szCs w:val="22"/>
          <w:lang w:val="en-GB"/>
        </w:rPr>
      </w:pPr>
    </w:p>
    <w:p w14:paraId="64ABC744" w14:textId="77777777" w:rsidR="005672CD" w:rsidRPr="00867E8C" w:rsidRDefault="005672CD" w:rsidP="00035FDC">
      <w:pPr>
        <w:rPr>
          <w:rFonts w:cs="Arial"/>
          <w:color w:val="000000"/>
          <w:szCs w:val="22"/>
          <w:lang w:val="en-GB"/>
        </w:rPr>
      </w:pPr>
    </w:p>
    <w:p w14:paraId="2D08571E" w14:textId="77777777" w:rsidR="005672CD" w:rsidRPr="00867E8C" w:rsidRDefault="005672CD" w:rsidP="00035FDC">
      <w:pPr>
        <w:rPr>
          <w:rFonts w:cs="Arial"/>
          <w:color w:val="000000"/>
          <w:szCs w:val="22"/>
          <w:lang w:val="en-GB"/>
        </w:rPr>
      </w:pPr>
    </w:p>
    <w:p w14:paraId="3402E474" w14:textId="77777777" w:rsidR="005672CD" w:rsidRPr="00867E8C" w:rsidRDefault="005672CD" w:rsidP="00035FDC">
      <w:pPr>
        <w:rPr>
          <w:rFonts w:cs="Arial"/>
          <w:color w:val="000000"/>
          <w:szCs w:val="22"/>
          <w:lang w:val="en-GB"/>
        </w:rPr>
      </w:pPr>
    </w:p>
    <w:p w14:paraId="6E0305B6" w14:textId="77777777" w:rsidR="005672CD" w:rsidRPr="00867E8C" w:rsidRDefault="005672CD" w:rsidP="00035FDC">
      <w:pPr>
        <w:rPr>
          <w:rFonts w:cs="Arial"/>
          <w:color w:val="000000"/>
          <w:szCs w:val="22"/>
          <w:lang w:val="en-GB"/>
        </w:rPr>
      </w:pPr>
    </w:p>
    <w:p w14:paraId="04FF1394" w14:textId="77777777" w:rsidR="005672CD" w:rsidRPr="00867E8C" w:rsidRDefault="005672CD" w:rsidP="00035FDC">
      <w:pPr>
        <w:rPr>
          <w:rFonts w:cs="Arial"/>
          <w:color w:val="000000"/>
          <w:szCs w:val="22"/>
          <w:lang w:val="en-GB"/>
        </w:rPr>
      </w:pPr>
    </w:p>
    <w:p w14:paraId="392FD4AB" w14:textId="16561BA8" w:rsidR="00035FDC" w:rsidRPr="00867E8C" w:rsidRDefault="004006AB"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006FAEE9" wp14:editId="6B0C5AFA">
            <wp:extent cx="4320000" cy="5024284"/>
            <wp:effectExtent l="0" t="0" r="4445" b="5080"/>
            <wp:docPr id="59" name="Picture 59" descr="Set of bar graphs showing sediment grain size composition at coastal habitat monitoring sites in the Wet Tropics region each monitoring event from 2001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WT_sediment_coast_2016.png"/>
                    <pic:cNvPicPr/>
                  </pic:nvPicPr>
                  <pic:blipFill>
                    <a:blip r:embed="rId269">
                      <a:extLst>
                        <a:ext uri="{28A0092B-C50C-407E-A947-70E740481C1C}">
                          <a14:useLocalDpi xmlns:a14="http://schemas.microsoft.com/office/drawing/2010/main" val="0"/>
                        </a:ext>
                      </a:extLst>
                    </a:blip>
                    <a:stretch>
                      <a:fillRect/>
                    </a:stretch>
                  </pic:blipFill>
                  <pic:spPr>
                    <a:xfrm>
                      <a:off x="0" y="0"/>
                      <a:ext cx="4320000" cy="5024284"/>
                    </a:xfrm>
                    <a:prstGeom prst="rect">
                      <a:avLst/>
                    </a:prstGeom>
                  </pic:spPr>
                </pic:pic>
              </a:graphicData>
            </a:graphic>
          </wp:inline>
        </w:drawing>
      </w:r>
    </w:p>
    <w:p w14:paraId="7AFE6FF2" w14:textId="16F91B21" w:rsidR="00035FDC" w:rsidRPr="00867E8C" w:rsidRDefault="00035FDC" w:rsidP="00035FDC">
      <w:pPr>
        <w:rPr>
          <w:rFonts w:cs="Arial"/>
          <w:i/>
          <w:vanish/>
          <w:szCs w:val="22"/>
          <w:specVanish/>
        </w:rPr>
      </w:pPr>
      <w:bookmarkStart w:id="959" w:name="_Ref511131260"/>
      <w:bookmarkStart w:id="960" w:name="_Toc38634212"/>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108</w:t>
      </w:r>
      <w:r w:rsidR="00C506C7" w:rsidRPr="00867E8C">
        <w:rPr>
          <w:rFonts w:cs="Arial"/>
          <w:noProof/>
          <w:szCs w:val="22"/>
        </w:rPr>
        <w:fldChar w:fldCharType="end"/>
      </w:r>
      <w:bookmarkEnd w:id="959"/>
      <w:r w:rsidRPr="00867E8C">
        <w:rPr>
          <w:rFonts w:cs="Arial"/>
          <w:szCs w:val="22"/>
        </w:rPr>
        <w:t xml:space="preserve">.  </w:t>
      </w:r>
      <w:r w:rsidRPr="00867E8C">
        <w:rPr>
          <w:rFonts w:cs="Arial"/>
          <w:i/>
          <w:szCs w:val="22"/>
        </w:rPr>
        <w:t>Sediment grain size composition at intertidal coastal habitat monitoring sites in the Wet Tropics region, 2001</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60"/>
    </w:p>
    <w:p w14:paraId="0E19903A" w14:textId="22197617"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05BEB78C" w14:textId="77777777" w:rsidR="00035FDC" w:rsidRPr="00867E8C" w:rsidRDefault="00035FDC" w:rsidP="00035FDC">
      <w:pPr>
        <w:rPr>
          <w:rFonts w:cs="Arial"/>
          <w:szCs w:val="22"/>
          <w:lang w:val="en-GB"/>
        </w:rPr>
      </w:pPr>
    </w:p>
    <w:p w14:paraId="489EBD00" w14:textId="77777777" w:rsidR="005672CD" w:rsidRPr="00867E8C" w:rsidRDefault="005672CD" w:rsidP="00035FDC">
      <w:pPr>
        <w:rPr>
          <w:rFonts w:cs="Arial"/>
          <w:color w:val="000000"/>
          <w:szCs w:val="22"/>
          <w:lang w:val="en-GB"/>
        </w:rPr>
      </w:pPr>
    </w:p>
    <w:p w14:paraId="0CC59799" w14:textId="77777777" w:rsidR="005672CD" w:rsidRPr="00867E8C" w:rsidRDefault="005672CD" w:rsidP="00035FDC">
      <w:pPr>
        <w:rPr>
          <w:rFonts w:cs="Arial"/>
          <w:color w:val="000000"/>
          <w:szCs w:val="22"/>
          <w:lang w:val="en-GB"/>
        </w:rPr>
      </w:pPr>
    </w:p>
    <w:p w14:paraId="13557FF5" w14:textId="77777777" w:rsidR="005672CD" w:rsidRPr="00867E8C" w:rsidRDefault="005672CD" w:rsidP="00035FDC">
      <w:pPr>
        <w:rPr>
          <w:rFonts w:cs="Arial"/>
          <w:color w:val="000000"/>
          <w:szCs w:val="22"/>
          <w:lang w:val="en-GB"/>
        </w:rPr>
      </w:pPr>
    </w:p>
    <w:p w14:paraId="521A9665" w14:textId="77777777" w:rsidR="005672CD" w:rsidRPr="00867E8C" w:rsidRDefault="005672CD" w:rsidP="00035FDC">
      <w:pPr>
        <w:rPr>
          <w:rFonts w:cs="Arial"/>
          <w:color w:val="000000"/>
          <w:szCs w:val="22"/>
          <w:lang w:val="en-GB"/>
        </w:rPr>
      </w:pPr>
    </w:p>
    <w:p w14:paraId="610889F7" w14:textId="77777777" w:rsidR="005672CD" w:rsidRPr="00867E8C" w:rsidRDefault="005672CD" w:rsidP="00035FDC">
      <w:pPr>
        <w:rPr>
          <w:rFonts w:cs="Arial"/>
          <w:color w:val="000000"/>
          <w:szCs w:val="22"/>
          <w:lang w:val="en-GB"/>
        </w:rPr>
      </w:pPr>
    </w:p>
    <w:p w14:paraId="1FA1AA70" w14:textId="77777777" w:rsidR="005672CD" w:rsidRPr="00867E8C" w:rsidRDefault="005672CD" w:rsidP="00035FDC">
      <w:pPr>
        <w:rPr>
          <w:rFonts w:cs="Arial"/>
          <w:color w:val="000000"/>
          <w:szCs w:val="22"/>
          <w:lang w:val="en-GB"/>
        </w:rPr>
      </w:pPr>
    </w:p>
    <w:p w14:paraId="18145F22" w14:textId="77777777" w:rsidR="005672CD" w:rsidRPr="00867E8C" w:rsidRDefault="005672CD" w:rsidP="00035FDC">
      <w:pPr>
        <w:rPr>
          <w:rFonts w:cs="Arial"/>
          <w:color w:val="000000"/>
          <w:szCs w:val="22"/>
          <w:lang w:val="en-GB"/>
        </w:rPr>
      </w:pPr>
    </w:p>
    <w:p w14:paraId="60926A06" w14:textId="77777777" w:rsidR="005672CD" w:rsidRPr="00867E8C" w:rsidRDefault="005672CD" w:rsidP="00035FDC">
      <w:pPr>
        <w:rPr>
          <w:rFonts w:cs="Arial"/>
          <w:color w:val="000000"/>
          <w:szCs w:val="22"/>
          <w:lang w:val="en-GB"/>
        </w:rPr>
      </w:pPr>
    </w:p>
    <w:p w14:paraId="6BFA5DBD" w14:textId="77777777" w:rsidR="005672CD" w:rsidRPr="00867E8C" w:rsidRDefault="005672CD" w:rsidP="00035FDC">
      <w:pPr>
        <w:rPr>
          <w:rFonts w:cs="Arial"/>
          <w:color w:val="000000"/>
          <w:szCs w:val="22"/>
          <w:lang w:val="en-GB"/>
        </w:rPr>
      </w:pPr>
    </w:p>
    <w:p w14:paraId="7EEB1BA2" w14:textId="77777777" w:rsidR="005672CD" w:rsidRPr="00867E8C" w:rsidRDefault="005672CD" w:rsidP="00035FDC">
      <w:pPr>
        <w:rPr>
          <w:rFonts w:cs="Arial"/>
          <w:color w:val="000000"/>
          <w:szCs w:val="22"/>
          <w:lang w:val="en-GB"/>
        </w:rPr>
      </w:pPr>
    </w:p>
    <w:p w14:paraId="1C901F59" w14:textId="77777777" w:rsidR="005672CD" w:rsidRPr="00867E8C" w:rsidRDefault="005672CD" w:rsidP="00035FDC">
      <w:pPr>
        <w:rPr>
          <w:rFonts w:cs="Arial"/>
          <w:color w:val="000000"/>
          <w:szCs w:val="22"/>
          <w:lang w:val="en-GB"/>
        </w:rPr>
      </w:pPr>
    </w:p>
    <w:p w14:paraId="47CE5E2E" w14:textId="77777777" w:rsidR="005672CD" w:rsidRPr="00867E8C" w:rsidRDefault="005672CD" w:rsidP="00035FDC">
      <w:pPr>
        <w:rPr>
          <w:rFonts w:cs="Arial"/>
          <w:color w:val="000000"/>
          <w:szCs w:val="22"/>
          <w:lang w:val="en-GB"/>
        </w:rPr>
      </w:pPr>
    </w:p>
    <w:p w14:paraId="00942B5D" w14:textId="378A1ED3" w:rsidR="00035FDC" w:rsidRPr="00867E8C" w:rsidRDefault="004006AB"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48CD471D" wp14:editId="79945715">
            <wp:extent cx="4319508" cy="6214980"/>
            <wp:effectExtent l="0" t="0" r="5080" b="0"/>
            <wp:docPr id="60" name="Picture 60" descr="Set of bar graphs showing sediment grain size composition at intertidal reef habitat monitoring sites in the Wet Tropics region each monitoring event from 2001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WT_sediment_reef_2016.png"/>
                    <pic:cNvPicPr/>
                  </pic:nvPicPr>
                  <pic:blipFill>
                    <a:blip r:embed="rId270">
                      <a:extLst>
                        <a:ext uri="{28A0092B-C50C-407E-A947-70E740481C1C}">
                          <a14:useLocalDpi xmlns:a14="http://schemas.microsoft.com/office/drawing/2010/main" val="0"/>
                        </a:ext>
                      </a:extLst>
                    </a:blip>
                    <a:stretch>
                      <a:fillRect/>
                    </a:stretch>
                  </pic:blipFill>
                  <pic:spPr>
                    <a:xfrm>
                      <a:off x="0" y="0"/>
                      <a:ext cx="4319508" cy="6214980"/>
                    </a:xfrm>
                    <a:prstGeom prst="rect">
                      <a:avLst/>
                    </a:prstGeom>
                  </pic:spPr>
                </pic:pic>
              </a:graphicData>
            </a:graphic>
          </wp:inline>
        </w:drawing>
      </w:r>
    </w:p>
    <w:p w14:paraId="4F50366C" w14:textId="7010F386" w:rsidR="00035FDC" w:rsidRPr="00867E8C" w:rsidRDefault="00035FDC" w:rsidP="00035FDC">
      <w:pPr>
        <w:rPr>
          <w:rFonts w:cs="Arial"/>
          <w:i/>
          <w:vanish/>
          <w:szCs w:val="22"/>
          <w:specVanish/>
        </w:rPr>
      </w:pPr>
      <w:bookmarkStart w:id="961" w:name="_Ref511131261"/>
      <w:bookmarkStart w:id="962" w:name="_Toc38634213"/>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109</w:t>
      </w:r>
      <w:r w:rsidR="00C506C7" w:rsidRPr="00867E8C">
        <w:rPr>
          <w:rFonts w:cs="Arial"/>
          <w:noProof/>
          <w:szCs w:val="22"/>
        </w:rPr>
        <w:fldChar w:fldCharType="end"/>
      </w:r>
      <w:bookmarkEnd w:id="961"/>
      <w:r w:rsidRPr="00867E8C">
        <w:rPr>
          <w:rFonts w:cs="Arial"/>
          <w:szCs w:val="22"/>
        </w:rPr>
        <w:t xml:space="preserve">.  </w:t>
      </w:r>
      <w:r w:rsidRPr="00867E8C">
        <w:rPr>
          <w:rFonts w:cs="Arial"/>
          <w:i/>
          <w:szCs w:val="22"/>
        </w:rPr>
        <w:t>Sediment grain size composition at intertidal reef habitat monitoring sites in the Wet Tropics region, 2001</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62"/>
    </w:p>
    <w:p w14:paraId="5344AA72" w14:textId="73028445"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0C4BBB39" w14:textId="77777777" w:rsidR="00035FDC" w:rsidRPr="00867E8C" w:rsidRDefault="00035FDC" w:rsidP="00035FDC">
      <w:pPr>
        <w:rPr>
          <w:rFonts w:cs="Arial"/>
          <w:szCs w:val="22"/>
          <w:lang w:val="en-GB"/>
        </w:rPr>
      </w:pPr>
    </w:p>
    <w:p w14:paraId="52FFDCE8" w14:textId="77777777" w:rsidR="005672CD" w:rsidRPr="00867E8C" w:rsidRDefault="005672CD" w:rsidP="00035FDC">
      <w:pPr>
        <w:rPr>
          <w:rFonts w:cs="Arial"/>
          <w:color w:val="000000"/>
          <w:szCs w:val="22"/>
          <w:lang w:val="en-GB"/>
        </w:rPr>
      </w:pPr>
    </w:p>
    <w:p w14:paraId="3CCA9416" w14:textId="77777777" w:rsidR="005672CD" w:rsidRPr="00867E8C" w:rsidRDefault="005672CD" w:rsidP="00035FDC">
      <w:pPr>
        <w:rPr>
          <w:rFonts w:cs="Arial"/>
          <w:color w:val="000000"/>
          <w:szCs w:val="22"/>
          <w:lang w:val="en-GB"/>
        </w:rPr>
      </w:pPr>
    </w:p>
    <w:p w14:paraId="429FE7BC" w14:textId="77777777" w:rsidR="005672CD" w:rsidRPr="00867E8C" w:rsidRDefault="005672CD" w:rsidP="00035FDC">
      <w:pPr>
        <w:rPr>
          <w:rFonts w:cs="Arial"/>
          <w:color w:val="000000"/>
          <w:szCs w:val="22"/>
          <w:lang w:val="en-GB"/>
        </w:rPr>
      </w:pPr>
    </w:p>
    <w:p w14:paraId="0B89E5AD" w14:textId="77777777" w:rsidR="005672CD" w:rsidRPr="00867E8C" w:rsidRDefault="005672CD" w:rsidP="00035FDC">
      <w:pPr>
        <w:rPr>
          <w:rFonts w:cs="Arial"/>
          <w:color w:val="000000"/>
          <w:szCs w:val="22"/>
          <w:lang w:val="en-GB"/>
        </w:rPr>
      </w:pPr>
    </w:p>
    <w:p w14:paraId="443CD12C" w14:textId="77777777" w:rsidR="005672CD" w:rsidRPr="00867E8C" w:rsidRDefault="005672CD" w:rsidP="00035FDC">
      <w:pPr>
        <w:rPr>
          <w:rFonts w:cs="Arial"/>
          <w:color w:val="000000"/>
          <w:szCs w:val="22"/>
          <w:lang w:val="en-GB"/>
        </w:rPr>
      </w:pPr>
    </w:p>
    <w:p w14:paraId="6C316F15" w14:textId="77777777" w:rsidR="005672CD" w:rsidRPr="00867E8C" w:rsidRDefault="005672CD" w:rsidP="00035FDC">
      <w:pPr>
        <w:rPr>
          <w:rFonts w:cs="Arial"/>
          <w:color w:val="000000"/>
          <w:szCs w:val="22"/>
          <w:lang w:val="en-GB"/>
        </w:rPr>
      </w:pPr>
    </w:p>
    <w:p w14:paraId="3F7F5A43" w14:textId="77777777" w:rsidR="005672CD" w:rsidRPr="00867E8C" w:rsidRDefault="005672CD" w:rsidP="00035FDC">
      <w:pPr>
        <w:rPr>
          <w:rFonts w:cs="Arial"/>
          <w:color w:val="000000"/>
          <w:szCs w:val="22"/>
          <w:lang w:val="en-GB"/>
        </w:rPr>
      </w:pPr>
    </w:p>
    <w:p w14:paraId="505A2B16" w14:textId="0722FE98" w:rsidR="00035FDC" w:rsidRPr="00867E8C" w:rsidRDefault="00E7638A" w:rsidP="00035FDC">
      <w:pPr>
        <w:keepNext/>
        <w:widowControl w:val="0"/>
        <w:jc w:val="center"/>
        <w:rPr>
          <w:rFonts w:cs="Arial"/>
          <w:szCs w:val="22"/>
          <w:lang w:val="en-GB"/>
        </w:rPr>
      </w:pPr>
      <w:r w:rsidRPr="00867E8C">
        <w:rPr>
          <w:rFonts w:cs="Arial"/>
          <w:noProof/>
          <w:szCs w:val="22"/>
          <w:lang w:eastAsia="en-AU"/>
        </w:rPr>
        <w:drawing>
          <wp:inline distT="0" distB="0" distL="0" distR="0" wp14:anchorId="648DB0E2" wp14:editId="36C655EB">
            <wp:extent cx="3959999" cy="3628655"/>
            <wp:effectExtent l="0" t="0" r="2540" b="0"/>
            <wp:docPr id="61" name="Picture 61" descr="Set of bar graphs showing sediment grain size composition at subtidal reef habitat monitoring sites in the Wet Tropics region each monitoring event from 2008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WT_sediment_subtidal_2016.png"/>
                    <pic:cNvPicPr/>
                  </pic:nvPicPr>
                  <pic:blipFill>
                    <a:blip r:embed="rId271">
                      <a:extLst>
                        <a:ext uri="{28A0092B-C50C-407E-A947-70E740481C1C}">
                          <a14:useLocalDpi xmlns:a14="http://schemas.microsoft.com/office/drawing/2010/main" val="0"/>
                        </a:ext>
                      </a:extLst>
                    </a:blip>
                    <a:stretch>
                      <a:fillRect/>
                    </a:stretch>
                  </pic:blipFill>
                  <pic:spPr>
                    <a:xfrm>
                      <a:off x="0" y="0"/>
                      <a:ext cx="3959999" cy="3628655"/>
                    </a:xfrm>
                    <a:prstGeom prst="rect">
                      <a:avLst/>
                    </a:prstGeom>
                  </pic:spPr>
                </pic:pic>
              </a:graphicData>
            </a:graphic>
          </wp:inline>
        </w:drawing>
      </w:r>
    </w:p>
    <w:p w14:paraId="2E33B95E" w14:textId="07533B0B" w:rsidR="00035FDC" w:rsidRPr="00867E8C" w:rsidRDefault="00035FDC" w:rsidP="00035FDC">
      <w:pPr>
        <w:rPr>
          <w:rFonts w:cs="Arial"/>
          <w:i/>
          <w:vanish/>
          <w:szCs w:val="22"/>
          <w:specVanish/>
        </w:rPr>
      </w:pPr>
      <w:bookmarkStart w:id="963" w:name="_Ref511131267"/>
      <w:bookmarkStart w:id="964" w:name="_Toc38634214"/>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110</w:t>
      </w:r>
      <w:r w:rsidR="00C506C7" w:rsidRPr="00867E8C">
        <w:rPr>
          <w:rFonts w:cs="Arial"/>
          <w:noProof/>
          <w:szCs w:val="22"/>
        </w:rPr>
        <w:fldChar w:fldCharType="end"/>
      </w:r>
      <w:bookmarkEnd w:id="963"/>
      <w:r w:rsidRPr="00867E8C">
        <w:rPr>
          <w:rFonts w:cs="Arial"/>
          <w:szCs w:val="22"/>
        </w:rPr>
        <w:t xml:space="preserve">.  </w:t>
      </w:r>
      <w:r w:rsidRPr="00867E8C">
        <w:rPr>
          <w:rFonts w:cs="Arial"/>
          <w:i/>
          <w:szCs w:val="22"/>
        </w:rPr>
        <w:t>Sediment grain size composition at subtidal reef habitat monitoring sites in the Wet Tropics region, 2008</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64"/>
    </w:p>
    <w:p w14:paraId="115B24D7" w14:textId="0D3CEF93"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70A10FD7" w14:textId="77777777" w:rsidR="00035FDC" w:rsidRPr="00867E8C" w:rsidRDefault="00035FDC" w:rsidP="00035FDC">
      <w:pPr>
        <w:rPr>
          <w:rFonts w:cs="Arial"/>
          <w:szCs w:val="22"/>
          <w:lang w:val="en-GB"/>
        </w:rPr>
      </w:pPr>
    </w:p>
    <w:p w14:paraId="13B689E5" w14:textId="77777777" w:rsidR="005672CD" w:rsidRPr="00867E8C" w:rsidRDefault="005672CD" w:rsidP="00035FDC">
      <w:pPr>
        <w:rPr>
          <w:rFonts w:cs="Arial"/>
          <w:szCs w:val="22"/>
          <w:lang w:val="en-GB"/>
        </w:rPr>
      </w:pPr>
    </w:p>
    <w:p w14:paraId="5CD4C997" w14:textId="77777777" w:rsidR="005672CD" w:rsidRPr="00867E8C" w:rsidRDefault="005672CD" w:rsidP="00035FDC">
      <w:pPr>
        <w:rPr>
          <w:rFonts w:cs="Arial"/>
          <w:color w:val="000000"/>
          <w:szCs w:val="22"/>
          <w:lang w:val="en-GB"/>
        </w:rPr>
      </w:pPr>
    </w:p>
    <w:p w14:paraId="6A4696EC" w14:textId="77777777" w:rsidR="005672CD" w:rsidRPr="00867E8C" w:rsidRDefault="005672CD" w:rsidP="00035FDC">
      <w:pPr>
        <w:rPr>
          <w:rFonts w:cs="Arial"/>
          <w:color w:val="000000"/>
          <w:szCs w:val="22"/>
          <w:lang w:val="en-GB"/>
        </w:rPr>
      </w:pPr>
    </w:p>
    <w:p w14:paraId="3118B93F" w14:textId="77777777" w:rsidR="005672CD" w:rsidRPr="00867E8C" w:rsidRDefault="005672CD" w:rsidP="00035FDC">
      <w:pPr>
        <w:rPr>
          <w:rFonts w:cs="Arial"/>
          <w:color w:val="000000"/>
          <w:szCs w:val="22"/>
          <w:lang w:val="en-GB"/>
        </w:rPr>
      </w:pPr>
    </w:p>
    <w:p w14:paraId="1C8773BD" w14:textId="77777777" w:rsidR="005672CD" w:rsidRPr="00867E8C" w:rsidRDefault="005672CD" w:rsidP="00035FDC">
      <w:pPr>
        <w:rPr>
          <w:rFonts w:cs="Arial"/>
          <w:color w:val="000000"/>
          <w:szCs w:val="22"/>
          <w:lang w:val="en-GB"/>
        </w:rPr>
      </w:pPr>
    </w:p>
    <w:p w14:paraId="136FE8F0" w14:textId="77777777" w:rsidR="005672CD" w:rsidRPr="00867E8C" w:rsidRDefault="005672CD" w:rsidP="00035FDC">
      <w:pPr>
        <w:rPr>
          <w:rFonts w:cs="Arial"/>
          <w:color w:val="000000"/>
          <w:szCs w:val="22"/>
          <w:lang w:val="en-GB"/>
        </w:rPr>
      </w:pPr>
    </w:p>
    <w:p w14:paraId="4747F968" w14:textId="77777777" w:rsidR="005672CD" w:rsidRPr="00867E8C" w:rsidRDefault="005672CD" w:rsidP="00035FDC">
      <w:pPr>
        <w:rPr>
          <w:rFonts w:cs="Arial"/>
          <w:color w:val="000000"/>
          <w:szCs w:val="22"/>
          <w:lang w:val="en-GB"/>
        </w:rPr>
      </w:pPr>
    </w:p>
    <w:p w14:paraId="2F37E9CB" w14:textId="77777777" w:rsidR="005672CD" w:rsidRPr="00867E8C" w:rsidRDefault="005672CD" w:rsidP="00035FDC">
      <w:pPr>
        <w:rPr>
          <w:rFonts w:cs="Arial"/>
          <w:color w:val="000000"/>
          <w:szCs w:val="22"/>
          <w:lang w:val="en-GB"/>
        </w:rPr>
      </w:pPr>
    </w:p>
    <w:p w14:paraId="0F10D083" w14:textId="77777777" w:rsidR="005672CD" w:rsidRPr="00867E8C" w:rsidRDefault="005672CD" w:rsidP="00035FDC">
      <w:pPr>
        <w:rPr>
          <w:rFonts w:cs="Arial"/>
          <w:color w:val="000000"/>
          <w:szCs w:val="22"/>
          <w:lang w:val="en-GB"/>
        </w:rPr>
      </w:pPr>
    </w:p>
    <w:p w14:paraId="131BFB2C" w14:textId="77777777" w:rsidR="005672CD" w:rsidRPr="00867E8C" w:rsidRDefault="005672CD" w:rsidP="00035FDC">
      <w:pPr>
        <w:rPr>
          <w:rFonts w:cs="Arial"/>
          <w:color w:val="000000"/>
          <w:szCs w:val="22"/>
          <w:lang w:val="en-GB"/>
        </w:rPr>
      </w:pPr>
    </w:p>
    <w:p w14:paraId="337F88B3" w14:textId="77777777" w:rsidR="005672CD" w:rsidRPr="00867E8C" w:rsidRDefault="005672CD" w:rsidP="00035FDC">
      <w:pPr>
        <w:rPr>
          <w:rFonts w:cs="Arial"/>
          <w:color w:val="000000"/>
          <w:szCs w:val="22"/>
          <w:lang w:val="en-GB"/>
        </w:rPr>
      </w:pPr>
    </w:p>
    <w:p w14:paraId="3EABF9F8" w14:textId="77777777" w:rsidR="005672CD" w:rsidRPr="00867E8C" w:rsidRDefault="005672CD" w:rsidP="00035FDC">
      <w:pPr>
        <w:rPr>
          <w:rFonts w:cs="Arial"/>
          <w:color w:val="000000"/>
          <w:szCs w:val="22"/>
          <w:lang w:val="en-GB"/>
        </w:rPr>
      </w:pPr>
    </w:p>
    <w:p w14:paraId="66A168BF" w14:textId="77777777" w:rsidR="005672CD" w:rsidRPr="00867E8C" w:rsidRDefault="005672CD" w:rsidP="00035FDC">
      <w:pPr>
        <w:rPr>
          <w:rFonts w:cs="Arial"/>
          <w:color w:val="000000"/>
          <w:szCs w:val="22"/>
          <w:lang w:val="en-GB"/>
        </w:rPr>
      </w:pPr>
    </w:p>
    <w:p w14:paraId="593C566E" w14:textId="77777777" w:rsidR="005672CD" w:rsidRPr="00867E8C" w:rsidRDefault="005672CD" w:rsidP="00035FDC">
      <w:pPr>
        <w:rPr>
          <w:rFonts w:cs="Arial"/>
          <w:color w:val="000000"/>
          <w:szCs w:val="22"/>
          <w:lang w:val="en-GB"/>
        </w:rPr>
      </w:pPr>
    </w:p>
    <w:p w14:paraId="7ACC9B24" w14:textId="77777777" w:rsidR="005672CD" w:rsidRPr="00867E8C" w:rsidRDefault="005672CD" w:rsidP="00035FDC">
      <w:pPr>
        <w:rPr>
          <w:rFonts w:cs="Arial"/>
          <w:color w:val="000000"/>
          <w:szCs w:val="22"/>
          <w:lang w:val="en-GB"/>
        </w:rPr>
      </w:pPr>
    </w:p>
    <w:p w14:paraId="1668A479" w14:textId="77777777" w:rsidR="005672CD" w:rsidRPr="00867E8C" w:rsidRDefault="005672CD" w:rsidP="00035FDC">
      <w:pPr>
        <w:rPr>
          <w:rFonts w:cs="Arial"/>
          <w:color w:val="000000"/>
          <w:szCs w:val="22"/>
          <w:lang w:val="en-GB"/>
        </w:rPr>
      </w:pPr>
    </w:p>
    <w:p w14:paraId="477A7B1E" w14:textId="77777777" w:rsidR="005672CD" w:rsidRPr="00867E8C" w:rsidRDefault="005672CD" w:rsidP="00035FDC">
      <w:pPr>
        <w:rPr>
          <w:rFonts w:cs="Arial"/>
          <w:color w:val="000000"/>
          <w:szCs w:val="22"/>
          <w:lang w:val="en-GB"/>
        </w:rPr>
      </w:pPr>
    </w:p>
    <w:p w14:paraId="6DE98CBC" w14:textId="0E5EFD23" w:rsidR="00035FDC" w:rsidRPr="00867E8C" w:rsidRDefault="00E7638A"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6D21E30F" wp14:editId="272996E6">
            <wp:extent cx="3958221" cy="4640735"/>
            <wp:effectExtent l="0" t="0" r="4445" b="7620"/>
            <wp:docPr id="62" name="Picture 62" descr="Set of bar graphs showing sediment grain size composition at coastal habitat monitoring sites in the Burdekin region each monitoring event from 2001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B_sediment_coast_2016.png"/>
                    <pic:cNvPicPr/>
                  </pic:nvPicPr>
                  <pic:blipFill>
                    <a:blip r:embed="rId272">
                      <a:extLst>
                        <a:ext uri="{28A0092B-C50C-407E-A947-70E740481C1C}">
                          <a14:useLocalDpi xmlns:a14="http://schemas.microsoft.com/office/drawing/2010/main" val="0"/>
                        </a:ext>
                      </a:extLst>
                    </a:blip>
                    <a:stretch>
                      <a:fillRect/>
                    </a:stretch>
                  </pic:blipFill>
                  <pic:spPr>
                    <a:xfrm>
                      <a:off x="0" y="0"/>
                      <a:ext cx="3958221" cy="4640735"/>
                    </a:xfrm>
                    <a:prstGeom prst="rect">
                      <a:avLst/>
                    </a:prstGeom>
                  </pic:spPr>
                </pic:pic>
              </a:graphicData>
            </a:graphic>
          </wp:inline>
        </w:drawing>
      </w:r>
    </w:p>
    <w:p w14:paraId="33C8FC36" w14:textId="0E7BA2C5" w:rsidR="00035FDC" w:rsidRPr="00867E8C" w:rsidRDefault="00035FDC" w:rsidP="00035FDC">
      <w:pPr>
        <w:rPr>
          <w:rFonts w:cs="Arial"/>
          <w:i/>
          <w:vanish/>
          <w:szCs w:val="22"/>
          <w:specVanish/>
        </w:rPr>
      </w:pPr>
      <w:bookmarkStart w:id="965" w:name="_Ref511131469"/>
      <w:bookmarkStart w:id="966" w:name="_Toc38634215"/>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111</w:t>
      </w:r>
      <w:r w:rsidR="00C506C7" w:rsidRPr="00867E8C">
        <w:rPr>
          <w:rFonts w:cs="Arial"/>
          <w:noProof/>
          <w:szCs w:val="22"/>
        </w:rPr>
        <w:fldChar w:fldCharType="end"/>
      </w:r>
      <w:bookmarkEnd w:id="965"/>
      <w:r w:rsidRPr="00867E8C">
        <w:rPr>
          <w:rFonts w:cs="Arial"/>
          <w:szCs w:val="22"/>
        </w:rPr>
        <w:t xml:space="preserve">. </w:t>
      </w:r>
      <w:r w:rsidRPr="00867E8C">
        <w:rPr>
          <w:rFonts w:cs="Arial"/>
          <w:i/>
          <w:szCs w:val="22"/>
        </w:rPr>
        <w:t>Sediment grain size composition at intertidal coastal habitat monitoring sites in the Burdekin region, 2001</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66"/>
    </w:p>
    <w:p w14:paraId="40807D75" w14:textId="543C39AC"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1C59C32E" w14:textId="26F73FE7" w:rsidR="00035FDC" w:rsidRPr="00867E8C" w:rsidRDefault="00E7638A"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765B54E9" wp14:editId="5233A753">
            <wp:extent cx="3959998" cy="2507461"/>
            <wp:effectExtent l="0" t="0" r="2540" b="7620"/>
            <wp:docPr id="527" name="Picture 527" descr="Set of bar graphs showing sediment grain size composition at intertidal reef habitat monitoring sites in the Burdekin region each monitoring event from 2004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B_sediment_reef_2016.png"/>
                    <pic:cNvPicPr/>
                  </pic:nvPicPr>
                  <pic:blipFill>
                    <a:blip r:embed="rId273">
                      <a:extLst>
                        <a:ext uri="{28A0092B-C50C-407E-A947-70E740481C1C}">
                          <a14:useLocalDpi xmlns:a14="http://schemas.microsoft.com/office/drawing/2010/main" val="0"/>
                        </a:ext>
                      </a:extLst>
                    </a:blip>
                    <a:stretch>
                      <a:fillRect/>
                    </a:stretch>
                  </pic:blipFill>
                  <pic:spPr>
                    <a:xfrm>
                      <a:off x="0" y="0"/>
                      <a:ext cx="3959998" cy="2507461"/>
                    </a:xfrm>
                    <a:prstGeom prst="rect">
                      <a:avLst/>
                    </a:prstGeom>
                  </pic:spPr>
                </pic:pic>
              </a:graphicData>
            </a:graphic>
          </wp:inline>
        </w:drawing>
      </w:r>
    </w:p>
    <w:p w14:paraId="3AA16EBD" w14:textId="24C11586" w:rsidR="00035FDC" w:rsidRPr="00867E8C" w:rsidRDefault="00035FDC" w:rsidP="00035FDC">
      <w:pPr>
        <w:rPr>
          <w:rFonts w:cs="Arial"/>
          <w:i/>
          <w:vanish/>
          <w:szCs w:val="22"/>
          <w:specVanish/>
        </w:rPr>
      </w:pPr>
      <w:bookmarkStart w:id="967" w:name="_Ref511131488"/>
      <w:bookmarkStart w:id="968" w:name="_Toc38634216"/>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112</w:t>
      </w:r>
      <w:r w:rsidR="00C506C7" w:rsidRPr="00867E8C">
        <w:rPr>
          <w:rFonts w:cs="Arial"/>
          <w:noProof/>
          <w:szCs w:val="22"/>
        </w:rPr>
        <w:fldChar w:fldCharType="end"/>
      </w:r>
      <w:bookmarkEnd w:id="967"/>
      <w:r w:rsidRPr="00867E8C">
        <w:rPr>
          <w:rFonts w:cs="Arial"/>
          <w:szCs w:val="22"/>
        </w:rPr>
        <w:t xml:space="preserve">. </w:t>
      </w:r>
      <w:r w:rsidRPr="00867E8C">
        <w:rPr>
          <w:rFonts w:cs="Arial"/>
          <w:i/>
          <w:szCs w:val="22"/>
        </w:rPr>
        <w:t>Sediment grain size composition at intertidal reef habitat monitoring sites in the Burdekin region, 2004</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68"/>
    </w:p>
    <w:p w14:paraId="5E2216E2" w14:textId="551F58BC"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5CD4CE37" w14:textId="77777777" w:rsidR="00035FDC" w:rsidRPr="00867E8C" w:rsidRDefault="00035FDC" w:rsidP="00035FDC">
      <w:pPr>
        <w:rPr>
          <w:rFonts w:cs="Arial"/>
          <w:szCs w:val="22"/>
          <w:lang w:val="en-GB"/>
        </w:rPr>
      </w:pPr>
    </w:p>
    <w:p w14:paraId="6AF80652" w14:textId="77777777" w:rsidR="00035FDC" w:rsidRPr="00867E8C" w:rsidRDefault="00035FDC" w:rsidP="00035FDC">
      <w:pPr>
        <w:rPr>
          <w:rFonts w:cs="Arial"/>
          <w:szCs w:val="22"/>
          <w:lang w:val="en-GB"/>
        </w:rPr>
      </w:pPr>
    </w:p>
    <w:p w14:paraId="481758AC" w14:textId="77777777" w:rsidR="00035FDC" w:rsidRPr="00867E8C" w:rsidRDefault="00035FDC" w:rsidP="00035FDC">
      <w:pPr>
        <w:rPr>
          <w:rFonts w:cs="Arial"/>
          <w:szCs w:val="22"/>
          <w:lang w:val="en-GB"/>
        </w:rPr>
      </w:pPr>
    </w:p>
    <w:p w14:paraId="42B19314" w14:textId="4820F0B8" w:rsidR="00035FDC" w:rsidRPr="00867E8C" w:rsidRDefault="00E7638A" w:rsidP="00035FDC">
      <w:pPr>
        <w:keepNext/>
        <w:widowControl w:val="0"/>
        <w:jc w:val="center"/>
        <w:rPr>
          <w:rFonts w:cs="Arial"/>
          <w:szCs w:val="22"/>
          <w:lang w:val="en-GB"/>
        </w:rPr>
      </w:pPr>
      <w:r w:rsidRPr="00867E8C">
        <w:rPr>
          <w:rFonts w:cs="Arial"/>
          <w:noProof/>
          <w:szCs w:val="22"/>
          <w:lang w:eastAsia="en-AU"/>
        </w:rPr>
        <w:drawing>
          <wp:inline distT="0" distB="0" distL="0" distR="0" wp14:anchorId="32BF92B8" wp14:editId="786976A4">
            <wp:extent cx="3959997" cy="1406004"/>
            <wp:effectExtent l="0" t="0" r="2540" b="3810"/>
            <wp:docPr id="533" name="Picture 533" descr="Set of bar graphs showing sediment grain size composition at subtidal reef habitat monitoring sites in the Burdekin region each monitoring event from 2010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B_sediment_subtidal_2016.png"/>
                    <pic:cNvPicPr/>
                  </pic:nvPicPr>
                  <pic:blipFill>
                    <a:blip r:embed="rId274">
                      <a:extLst>
                        <a:ext uri="{28A0092B-C50C-407E-A947-70E740481C1C}">
                          <a14:useLocalDpi xmlns:a14="http://schemas.microsoft.com/office/drawing/2010/main" val="0"/>
                        </a:ext>
                      </a:extLst>
                    </a:blip>
                    <a:stretch>
                      <a:fillRect/>
                    </a:stretch>
                  </pic:blipFill>
                  <pic:spPr>
                    <a:xfrm>
                      <a:off x="0" y="0"/>
                      <a:ext cx="3959997" cy="1406004"/>
                    </a:xfrm>
                    <a:prstGeom prst="rect">
                      <a:avLst/>
                    </a:prstGeom>
                  </pic:spPr>
                </pic:pic>
              </a:graphicData>
            </a:graphic>
          </wp:inline>
        </w:drawing>
      </w:r>
    </w:p>
    <w:p w14:paraId="316442E1" w14:textId="5B9E68CA" w:rsidR="00035FDC" w:rsidRPr="00867E8C" w:rsidRDefault="00035FDC" w:rsidP="00035FDC">
      <w:pPr>
        <w:rPr>
          <w:rFonts w:cs="Arial"/>
          <w:i/>
          <w:vanish/>
          <w:szCs w:val="22"/>
          <w:specVanish/>
        </w:rPr>
      </w:pPr>
      <w:bookmarkStart w:id="969" w:name="_Ref511131496"/>
      <w:bookmarkStart w:id="970" w:name="_Toc38634217"/>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113</w:t>
      </w:r>
      <w:r w:rsidR="00C506C7" w:rsidRPr="00867E8C">
        <w:rPr>
          <w:rFonts w:cs="Arial"/>
          <w:noProof/>
          <w:szCs w:val="22"/>
        </w:rPr>
        <w:fldChar w:fldCharType="end"/>
      </w:r>
      <w:bookmarkEnd w:id="969"/>
      <w:r w:rsidRPr="00867E8C">
        <w:rPr>
          <w:rFonts w:cs="Arial"/>
          <w:szCs w:val="22"/>
        </w:rPr>
        <w:t xml:space="preserve">.  </w:t>
      </w:r>
      <w:r w:rsidRPr="00867E8C">
        <w:rPr>
          <w:rFonts w:cs="Arial"/>
          <w:i/>
          <w:szCs w:val="22"/>
        </w:rPr>
        <w:t>Sediment grain size composition at subtidal reef habitat monitoring sites in the Burdekin region, 2010</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70"/>
    </w:p>
    <w:p w14:paraId="6E6678B1" w14:textId="34F22E0A"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6C311F06" w14:textId="77777777" w:rsidR="00035FDC" w:rsidRPr="00867E8C" w:rsidRDefault="00035FDC" w:rsidP="00035FDC">
      <w:pPr>
        <w:rPr>
          <w:rFonts w:cs="Arial"/>
          <w:szCs w:val="22"/>
          <w:lang w:val="en-GB"/>
        </w:rPr>
      </w:pPr>
    </w:p>
    <w:p w14:paraId="33802BC8" w14:textId="00940673" w:rsidR="00035FDC" w:rsidRPr="00867E8C" w:rsidRDefault="00E7638A"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49C82D5D" wp14:editId="321EBC87">
            <wp:extent cx="3959157" cy="2509199"/>
            <wp:effectExtent l="0" t="0" r="3810" b="5715"/>
            <wp:docPr id="535" name="Picture 535" descr="Set of bar graphs showing sediment grain size composition at estuary habitat monitoring sites in the Mackay Whitsunday region each monitoring event from 2005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MW_sediment_estuary_2016.png"/>
                    <pic:cNvPicPr/>
                  </pic:nvPicPr>
                  <pic:blipFill>
                    <a:blip r:embed="rId275">
                      <a:extLst>
                        <a:ext uri="{28A0092B-C50C-407E-A947-70E740481C1C}">
                          <a14:useLocalDpi xmlns:a14="http://schemas.microsoft.com/office/drawing/2010/main" val="0"/>
                        </a:ext>
                      </a:extLst>
                    </a:blip>
                    <a:stretch>
                      <a:fillRect/>
                    </a:stretch>
                  </pic:blipFill>
                  <pic:spPr>
                    <a:xfrm>
                      <a:off x="0" y="0"/>
                      <a:ext cx="3959157" cy="2509199"/>
                    </a:xfrm>
                    <a:prstGeom prst="rect">
                      <a:avLst/>
                    </a:prstGeom>
                  </pic:spPr>
                </pic:pic>
              </a:graphicData>
            </a:graphic>
          </wp:inline>
        </w:drawing>
      </w:r>
    </w:p>
    <w:p w14:paraId="571C6235" w14:textId="5BC43A70" w:rsidR="00035FDC" w:rsidRPr="00867E8C" w:rsidRDefault="00035FDC" w:rsidP="00035FDC">
      <w:pPr>
        <w:rPr>
          <w:rFonts w:cs="Arial"/>
          <w:i/>
          <w:vanish/>
          <w:szCs w:val="22"/>
          <w:specVanish/>
        </w:rPr>
      </w:pPr>
      <w:bookmarkStart w:id="971" w:name="_Ref511131656"/>
      <w:bookmarkStart w:id="972" w:name="_Toc38634218"/>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114</w:t>
      </w:r>
      <w:r w:rsidR="00C506C7" w:rsidRPr="00867E8C">
        <w:rPr>
          <w:rFonts w:cs="Arial"/>
          <w:noProof/>
          <w:szCs w:val="22"/>
        </w:rPr>
        <w:fldChar w:fldCharType="end"/>
      </w:r>
      <w:bookmarkEnd w:id="971"/>
      <w:r w:rsidRPr="00867E8C">
        <w:rPr>
          <w:rFonts w:cs="Arial"/>
          <w:szCs w:val="22"/>
        </w:rPr>
        <w:t xml:space="preserve">.  </w:t>
      </w:r>
      <w:r w:rsidRPr="00867E8C">
        <w:rPr>
          <w:rFonts w:cs="Arial"/>
          <w:i/>
          <w:szCs w:val="22"/>
        </w:rPr>
        <w:t xml:space="preserve">Sediment grain size composition at intertidal estuary habitat monitoring sites in the </w:t>
      </w:r>
      <w:r w:rsidR="00B72AC4">
        <w:rPr>
          <w:rFonts w:cs="Arial"/>
          <w:i/>
          <w:szCs w:val="22"/>
        </w:rPr>
        <w:t>Mackay–Whitsunday</w:t>
      </w:r>
      <w:r w:rsidRPr="00867E8C">
        <w:rPr>
          <w:rFonts w:cs="Arial"/>
          <w:i/>
          <w:szCs w:val="22"/>
        </w:rPr>
        <w:t xml:space="preserve"> region, 2005</w:t>
      </w:r>
      <w:r w:rsidR="00126725"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72"/>
    </w:p>
    <w:p w14:paraId="76F08130" w14:textId="3D9F498C"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03990AE6" w14:textId="77777777" w:rsidR="00035FDC" w:rsidRPr="00867E8C" w:rsidRDefault="00035FDC" w:rsidP="00035FDC">
      <w:pPr>
        <w:rPr>
          <w:rFonts w:cs="Arial"/>
          <w:szCs w:val="22"/>
          <w:lang w:val="en-GB"/>
        </w:rPr>
      </w:pPr>
    </w:p>
    <w:p w14:paraId="2143C1CB" w14:textId="77777777" w:rsidR="00035FDC" w:rsidRPr="00867E8C" w:rsidRDefault="00035FDC" w:rsidP="00035FDC">
      <w:pPr>
        <w:rPr>
          <w:rFonts w:cs="Arial"/>
          <w:color w:val="000000"/>
          <w:szCs w:val="22"/>
          <w:lang w:val="en-GB"/>
        </w:rPr>
      </w:pPr>
    </w:p>
    <w:p w14:paraId="40DBAB64" w14:textId="77777777" w:rsidR="00D676C3" w:rsidRPr="00867E8C" w:rsidRDefault="00D676C3" w:rsidP="00035FDC">
      <w:pPr>
        <w:rPr>
          <w:rFonts w:cs="Arial"/>
          <w:color w:val="000000"/>
          <w:szCs w:val="22"/>
          <w:lang w:val="en-GB"/>
        </w:rPr>
      </w:pPr>
    </w:p>
    <w:p w14:paraId="464AF8B0" w14:textId="77777777" w:rsidR="00D676C3" w:rsidRPr="00867E8C" w:rsidRDefault="00D676C3" w:rsidP="00035FDC">
      <w:pPr>
        <w:rPr>
          <w:rFonts w:cs="Arial"/>
          <w:color w:val="000000"/>
          <w:szCs w:val="22"/>
          <w:lang w:val="en-GB"/>
        </w:rPr>
      </w:pPr>
    </w:p>
    <w:p w14:paraId="45335E37" w14:textId="77777777" w:rsidR="00D676C3" w:rsidRPr="00867E8C" w:rsidRDefault="00D676C3" w:rsidP="00035FDC">
      <w:pPr>
        <w:rPr>
          <w:rFonts w:cs="Arial"/>
          <w:color w:val="000000"/>
          <w:szCs w:val="22"/>
          <w:lang w:val="en-GB"/>
        </w:rPr>
      </w:pPr>
    </w:p>
    <w:p w14:paraId="5EB23B7F" w14:textId="77777777" w:rsidR="00D676C3" w:rsidRPr="00867E8C" w:rsidRDefault="00D676C3" w:rsidP="00035FDC">
      <w:pPr>
        <w:rPr>
          <w:rFonts w:cs="Arial"/>
          <w:color w:val="000000"/>
          <w:szCs w:val="22"/>
          <w:lang w:val="en-GB"/>
        </w:rPr>
      </w:pPr>
    </w:p>
    <w:p w14:paraId="76A156F8" w14:textId="77777777" w:rsidR="00D676C3" w:rsidRPr="00867E8C" w:rsidRDefault="00D676C3" w:rsidP="00035FDC">
      <w:pPr>
        <w:rPr>
          <w:rFonts w:cs="Arial"/>
          <w:color w:val="000000"/>
          <w:szCs w:val="22"/>
          <w:lang w:val="en-GB"/>
        </w:rPr>
      </w:pPr>
    </w:p>
    <w:p w14:paraId="26924E26" w14:textId="77777777" w:rsidR="00D676C3" w:rsidRPr="00867E8C" w:rsidRDefault="00D676C3" w:rsidP="00035FDC">
      <w:pPr>
        <w:rPr>
          <w:rFonts w:cs="Arial"/>
          <w:color w:val="000000"/>
          <w:szCs w:val="22"/>
          <w:lang w:val="en-GB"/>
        </w:rPr>
      </w:pPr>
    </w:p>
    <w:p w14:paraId="55CCCA6A" w14:textId="77777777" w:rsidR="00D676C3" w:rsidRPr="00867E8C" w:rsidRDefault="00D676C3" w:rsidP="00035FDC">
      <w:pPr>
        <w:rPr>
          <w:rFonts w:cs="Arial"/>
          <w:color w:val="000000"/>
          <w:szCs w:val="22"/>
          <w:lang w:val="en-GB"/>
        </w:rPr>
      </w:pPr>
    </w:p>
    <w:p w14:paraId="2C7E30B5" w14:textId="77777777" w:rsidR="00D676C3" w:rsidRPr="00867E8C" w:rsidRDefault="00D676C3" w:rsidP="00035FDC">
      <w:pPr>
        <w:rPr>
          <w:rFonts w:cs="Arial"/>
          <w:color w:val="000000"/>
          <w:szCs w:val="22"/>
          <w:lang w:val="en-GB"/>
        </w:rPr>
      </w:pPr>
    </w:p>
    <w:p w14:paraId="001F4E53" w14:textId="77777777" w:rsidR="00D676C3" w:rsidRPr="00867E8C" w:rsidRDefault="00D676C3" w:rsidP="00035FDC">
      <w:pPr>
        <w:rPr>
          <w:rFonts w:cs="Arial"/>
          <w:color w:val="000000"/>
          <w:szCs w:val="22"/>
          <w:lang w:val="en-GB"/>
        </w:rPr>
      </w:pPr>
    </w:p>
    <w:p w14:paraId="4C0C6CF7" w14:textId="77777777" w:rsidR="00D676C3" w:rsidRPr="00867E8C" w:rsidRDefault="00D676C3" w:rsidP="00035FDC">
      <w:pPr>
        <w:rPr>
          <w:rFonts w:cs="Arial"/>
          <w:color w:val="000000"/>
          <w:szCs w:val="22"/>
          <w:lang w:val="en-GB"/>
        </w:rPr>
      </w:pPr>
    </w:p>
    <w:p w14:paraId="590F1026" w14:textId="77777777" w:rsidR="00D676C3" w:rsidRPr="00867E8C" w:rsidRDefault="00D676C3" w:rsidP="00035FDC">
      <w:pPr>
        <w:rPr>
          <w:rFonts w:cs="Arial"/>
          <w:color w:val="000000"/>
          <w:szCs w:val="22"/>
          <w:lang w:val="en-GB"/>
        </w:rPr>
      </w:pPr>
    </w:p>
    <w:p w14:paraId="3F6E50FA" w14:textId="56160C2E" w:rsidR="00035FDC" w:rsidRPr="00867E8C" w:rsidRDefault="00C46CF9"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26DE13A9" wp14:editId="45BDBF56">
            <wp:extent cx="3959985" cy="4674285"/>
            <wp:effectExtent l="0" t="0" r="2540" b="0"/>
            <wp:docPr id="539" name="Picture 539" descr="Set of bar graphs showing sediment grain size composition at coastal habitat monitoring sites in the Mackay Whitsunday region each monitoring event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MW_sediment_coast_2016.png"/>
                    <pic:cNvPicPr/>
                  </pic:nvPicPr>
                  <pic:blipFill>
                    <a:blip r:embed="rId276">
                      <a:extLst>
                        <a:ext uri="{28A0092B-C50C-407E-A947-70E740481C1C}">
                          <a14:useLocalDpi xmlns:a14="http://schemas.microsoft.com/office/drawing/2010/main" val="0"/>
                        </a:ext>
                      </a:extLst>
                    </a:blip>
                    <a:stretch>
                      <a:fillRect/>
                    </a:stretch>
                  </pic:blipFill>
                  <pic:spPr>
                    <a:xfrm>
                      <a:off x="0" y="0"/>
                      <a:ext cx="3959985" cy="4674285"/>
                    </a:xfrm>
                    <a:prstGeom prst="rect">
                      <a:avLst/>
                    </a:prstGeom>
                  </pic:spPr>
                </pic:pic>
              </a:graphicData>
            </a:graphic>
          </wp:inline>
        </w:drawing>
      </w:r>
    </w:p>
    <w:p w14:paraId="0625648F" w14:textId="4076A03B" w:rsidR="00035FDC" w:rsidRPr="00867E8C" w:rsidRDefault="00035FDC" w:rsidP="00035FDC">
      <w:pPr>
        <w:rPr>
          <w:rFonts w:cs="Arial"/>
          <w:i/>
          <w:vanish/>
          <w:szCs w:val="22"/>
          <w:specVanish/>
        </w:rPr>
      </w:pPr>
      <w:bookmarkStart w:id="973" w:name="_Ref511131673"/>
      <w:bookmarkStart w:id="974" w:name="_Toc38634219"/>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115</w:t>
      </w:r>
      <w:r w:rsidR="00C506C7" w:rsidRPr="00867E8C">
        <w:rPr>
          <w:rFonts w:cs="Arial"/>
          <w:noProof/>
          <w:szCs w:val="22"/>
        </w:rPr>
        <w:fldChar w:fldCharType="end"/>
      </w:r>
      <w:bookmarkEnd w:id="973"/>
      <w:r w:rsidRPr="00867E8C">
        <w:rPr>
          <w:rFonts w:cs="Arial"/>
          <w:szCs w:val="22"/>
        </w:rPr>
        <w:t xml:space="preserve">.  </w:t>
      </w:r>
      <w:r w:rsidRPr="00867E8C">
        <w:rPr>
          <w:rFonts w:cs="Arial"/>
          <w:i/>
          <w:szCs w:val="22"/>
        </w:rPr>
        <w:t xml:space="preserve">Sediment grain size composition at intertidal coastal habitat monitoring sites in the </w:t>
      </w:r>
      <w:r w:rsidR="00B72AC4">
        <w:rPr>
          <w:rFonts w:cs="Arial"/>
          <w:i/>
          <w:szCs w:val="22"/>
        </w:rPr>
        <w:t>Mackay–Whitsunday</w:t>
      </w:r>
      <w:r w:rsidRPr="00867E8C">
        <w:rPr>
          <w:rFonts w:cs="Arial"/>
          <w:i/>
          <w:szCs w:val="22"/>
        </w:rPr>
        <w:t xml:space="preserve"> region, 1999</w:t>
      </w:r>
      <w:r w:rsidR="003158FC" w:rsidRPr="00867E8C">
        <w:rPr>
          <w:rFonts w:cs="Arial"/>
          <w:i/>
          <w:szCs w:val="22"/>
        </w:rPr>
        <w:t>–2</w:t>
      </w:r>
      <w:r w:rsidR="005C4C83" w:rsidRPr="00867E8C">
        <w:rPr>
          <w:rFonts w:cs="Arial"/>
          <w:i/>
          <w:szCs w:val="22"/>
        </w:rPr>
        <w:t>0</w:t>
      </w:r>
      <w:r w:rsidRPr="00867E8C">
        <w:rPr>
          <w:rFonts w:cs="Arial"/>
          <w:i/>
          <w:szCs w:val="22"/>
        </w:rPr>
        <w:t>1</w:t>
      </w:r>
      <w:r w:rsidR="00B42346" w:rsidRPr="00867E8C">
        <w:rPr>
          <w:rFonts w:cs="Arial"/>
          <w:i/>
          <w:szCs w:val="22"/>
        </w:rPr>
        <w:t>9</w:t>
      </w:r>
      <w:r w:rsidRPr="00867E8C">
        <w:rPr>
          <w:rFonts w:cs="Arial"/>
          <w:i/>
          <w:szCs w:val="22"/>
        </w:rPr>
        <w:t>.</w:t>
      </w:r>
      <w:bookmarkEnd w:id="974"/>
    </w:p>
    <w:p w14:paraId="638F7E57" w14:textId="6DD37A37"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12EEB8E2" w14:textId="7762D7B1" w:rsidR="00035FDC" w:rsidRPr="00867E8C" w:rsidRDefault="00C46CF9"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25F9A1E1" wp14:editId="41B89C5D">
            <wp:extent cx="3959998" cy="2507461"/>
            <wp:effectExtent l="0" t="0" r="2540" b="7620"/>
            <wp:docPr id="540" name="Picture 540" descr="Set of bar graphs showing sediment grain size composition at intertidal reef habitat monitoring sites in the Mackay Whitsunday region each monitoring event from 2007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HM_sediment_reef_2016.png"/>
                    <pic:cNvPicPr/>
                  </pic:nvPicPr>
                  <pic:blipFill>
                    <a:blip r:embed="rId277">
                      <a:extLst>
                        <a:ext uri="{28A0092B-C50C-407E-A947-70E740481C1C}">
                          <a14:useLocalDpi xmlns:a14="http://schemas.microsoft.com/office/drawing/2010/main" val="0"/>
                        </a:ext>
                      </a:extLst>
                    </a:blip>
                    <a:stretch>
                      <a:fillRect/>
                    </a:stretch>
                  </pic:blipFill>
                  <pic:spPr>
                    <a:xfrm>
                      <a:off x="0" y="0"/>
                      <a:ext cx="3959998" cy="2507461"/>
                    </a:xfrm>
                    <a:prstGeom prst="rect">
                      <a:avLst/>
                    </a:prstGeom>
                  </pic:spPr>
                </pic:pic>
              </a:graphicData>
            </a:graphic>
          </wp:inline>
        </w:drawing>
      </w:r>
    </w:p>
    <w:p w14:paraId="6B377171" w14:textId="2804455B" w:rsidR="00035FDC" w:rsidRPr="00867E8C" w:rsidRDefault="00035FDC" w:rsidP="00035FDC">
      <w:pPr>
        <w:rPr>
          <w:rFonts w:cs="Arial"/>
          <w:i/>
          <w:vanish/>
          <w:szCs w:val="22"/>
          <w:specVanish/>
        </w:rPr>
      </w:pPr>
      <w:bookmarkStart w:id="975" w:name="_Ref511131682"/>
      <w:bookmarkStart w:id="976" w:name="_Toc38634220"/>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116</w:t>
      </w:r>
      <w:r w:rsidR="00C506C7" w:rsidRPr="00867E8C">
        <w:rPr>
          <w:rFonts w:cs="Arial"/>
          <w:noProof/>
          <w:szCs w:val="22"/>
        </w:rPr>
        <w:fldChar w:fldCharType="end"/>
      </w:r>
      <w:bookmarkEnd w:id="975"/>
      <w:r w:rsidRPr="00867E8C">
        <w:rPr>
          <w:rFonts w:cs="Arial"/>
          <w:szCs w:val="22"/>
        </w:rPr>
        <w:t xml:space="preserve">.  </w:t>
      </w:r>
      <w:r w:rsidRPr="00867E8C">
        <w:rPr>
          <w:rFonts w:cs="Arial"/>
          <w:i/>
          <w:szCs w:val="22"/>
        </w:rPr>
        <w:t xml:space="preserve">Sediment grain size composition at intertidal reef habitat monitoring sites in the </w:t>
      </w:r>
      <w:r w:rsidR="00B72AC4">
        <w:rPr>
          <w:rFonts w:cs="Arial"/>
          <w:i/>
          <w:szCs w:val="22"/>
        </w:rPr>
        <w:t>Mackay–Whitsunday</w:t>
      </w:r>
      <w:r w:rsidRPr="00867E8C">
        <w:rPr>
          <w:rFonts w:cs="Arial"/>
          <w:i/>
          <w:szCs w:val="22"/>
        </w:rPr>
        <w:t xml:space="preserve"> region, 2007</w:t>
      </w:r>
      <w:r w:rsidR="003158FC" w:rsidRPr="00867E8C">
        <w:rPr>
          <w:rFonts w:cs="Arial"/>
          <w:i/>
          <w:szCs w:val="22"/>
        </w:rPr>
        <w:t>–20</w:t>
      </w:r>
      <w:r w:rsidRPr="00867E8C">
        <w:rPr>
          <w:rFonts w:cs="Arial"/>
          <w:i/>
          <w:szCs w:val="22"/>
        </w:rPr>
        <w:t>1</w:t>
      </w:r>
      <w:r w:rsidR="00B42346" w:rsidRPr="00867E8C">
        <w:rPr>
          <w:rFonts w:cs="Arial"/>
          <w:i/>
          <w:szCs w:val="22"/>
        </w:rPr>
        <w:t>9</w:t>
      </w:r>
      <w:r w:rsidRPr="00867E8C">
        <w:rPr>
          <w:rFonts w:cs="Arial"/>
          <w:i/>
          <w:szCs w:val="22"/>
        </w:rPr>
        <w:t>.</w:t>
      </w:r>
      <w:bookmarkEnd w:id="976"/>
    </w:p>
    <w:p w14:paraId="4907F6DC" w14:textId="77C3935B"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519624AC" w14:textId="77777777" w:rsidR="00035FDC" w:rsidRPr="00867E8C" w:rsidRDefault="00035FDC" w:rsidP="00035FDC">
      <w:pPr>
        <w:rPr>
          <w:rFonts w:cs="Arial"/>
          <w:szCs w:val="22"/>
        </w:rPr>
      </w:pPr>
    </w:p>
    <w:p w14:paraId="0809B0A8" w14:textId="77777777" w:rsidR="00035FDC" w:rsidRPr="00867E8C" w:rsidRDefault="00035FDC" w:rsidP="00035FDC">
      <w:pPr>
        <w:rPr>
          <w:rFonts w:cs="Arial"/>
          <w:color w:val="000000"/>
          <w:szCs w:val="22"/>
          <w:lang w:val="en-GB"/>
        </w:rPr>
      </w:pPr>
    </w:p>
    <w:p w14:paraId="76CACC28" w14:textId="1F7741AA" w:rsidR="00035FDC" w:rsidRPr="00867E8C" w:rsidRDefault="00C46CF9" w:rsidP="00035FDC">
      <w:pPr>
        <w:keepNext/>
        <w:widowControl w:val="0"/>
        <w:jc w:val="center"/>
        <w:rPr>
          <w:rFonts w:cs="Arial"/>
          <w:szCs w:val="22"/>
          <w:lang w:val="en-GB"/>
        </w:rPr>
      </w:pPr>
      <w:r w:rsidRPr="00867E8C">
        <w:rPr>
          <w:rFonts w:cs="Arial"/>
          <w:noProof/>
          <w:szCs w:val="22"/>
          <w:lang w:eastAsia="en-AU"/>
        </w:rPr>
        <w:drawing>
          <wp:inline distT="0" distB="0" distL="0" distR="0" wp14:anchorId="3D1EEA01" wp14:editId="2B27251C">
            <wp:extent cx="3959157" cy="2509199"/>
            <wp:effectExtent l="0" t="0" r="3810" b="5715"/>
            <wp:docPr id="541" name="Picture 541" descr="Set of bar graphs showing sediment grain size composition at estaury habitat monitoring sites in the Fitzroy region each monitoring event from 2005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F_sediment_estuary_2016.png"/>
                    <pic:cNvPicPr/>
                  </pic:nvPicPr>
                  <pic:blipFill>
                    <a:blip r:embed="rId278">
                      <a:extLst>
                        <a:ext uri="{28A0092B-C50C-407E-A947-70E740481C1C}">
                          <a14:useLocalDpi xmlns:a14="http://schemas.microsoft.com/office/drawing/2010/main" val="0"/>
                        </a:ext>
                      </a:extLst>
                    </a:blip>
                    <a:stretch>
                      <a:fillRect/>
                    </a:stretch>
                  </pic:blipFill>
                  <pic:spPr>
                    <a:xfrm>
                      <a:off x="0" y="0"/>
                      <a:ext cx="3959157" cy="2509199"/>
                    </a:xfrm>
                    <a:prstGeom prst="rect">
                      <a:avLst/>
                    </a:prstGeom>
                  </pic:spPr>
                </pic:pic>
              </a:graphicData>
            </a:graphic>
          </wp:inline>
        </w:drawing>
      </w:r>
    </w:p>
    <w:p w14:paraId="5D072466" w14:textId="754797AD" w:rsidR="00035FDC" w:rsidRPr="00867E8C" w:rsidRDefault="00035FDC" w:rsidP="00035FDC">
      <w:pPr>
        <w:rPr>
          <w:rFonts w:cs="Arial"/>
          <w:i/>
          <w:vanish/>
          <w:szCs w:val="22"/>
          <w:specVanish/>
        </w:rPr>
      </w:pPr>
      <w:bookmarkStart w:id="977" w:name="_Ref511131821"/>
      <w:bookmarkStart w:id="978" w:name="_Toc38634221"/>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117</w:t>
      </w:r>
      <w:r w:rsidR="00C506C7" w:rsidRPr="00867E8C">
        <w:rPr>
          <w:rFonts w:cs="Arial"/>
          <w:noProof/>
          <w:szCs w:val="22"/>
        </w:rPr>
        <w:fldChar w:fldCharType="end"/>
      </w:r>
      <w:bookmarkEnd w:id="977"/>
      <w:r w:rsidRPr="00867E8C">
        <w:rPr>
          <w:rFonts w:cs="Arial"/>
          <w:szCs w:val="22"/>
        </w:rPr>
        <w:t xml:space="preserve">.  </w:t>
      </w:r>
      <w:r w:rsidRPr="00867E8C">
        <w:rPr>
          <w:rFonts w:cs="Arial"/>
          <w:i/>
          <w:szCs w:val="22"/>
        </w:rPr>
        <w:t>Sediment grain size composition at intertidal estuary habitat monitoring sites in the Fitzroy region, 2005</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78"/>
    </w:p>
    <w:p w14:paraId="760C3F48" w14:textId="0216D1FD"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4EE4B261" w14:textId="77777777" w:rsidR="00035FDC" w:rsidRPr="00867E8C" w:rsidRDefault="00035FDC" w:rsidP="00035FDC">
      <w:pPr>
        <w:rPr>
          <w:rFonts w:cs="Arial"/>
          <w:szCs w:val="22"/>
          <w:lang w:val="en-GB"/>
        </w:rPr>
      </w:pPr>
    </w:p>
    <w:p w14:paraId="369C0B94" w14:textId="0CE69C0E" w:rsidR="00035FDC" w:rsidRPr="00867E8C" w:rsidRDefault="00C46CF9"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05FD70A0" wp14:editId="72BA1542">
            <wp:extent cx="3959941" cy="2512799"/>
            <wp:effectExtent l="0" t="0" r="2540" b="1905"/>
            <wp:docPr id="542" name="Picture 542" descr="Set of bar graphs showing sediment grain size composition at coastal habitat monitoring sites in the Fitzroy region each monitoring event from 2005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F_sediment_coast_2016.png"/>
                    <pic:cNvPicPr/>
                  </pic:nvPicPr>
                  <pic:blipFill>
                    <a:blip r:embed="rId279">
                      <a:extLst>
                        <a:ext uri="{28A0092B-C50C-407E-A947-70E740481C1C}">
                          <a14:useLocalDpi xmlns:a14="http://schemas.microsoft.com/office/drawing/2010/main" val="0"/>
                        </a:ext>
                      </a:extLst>
                    </a:blip>
                    <a:stretch>
                      <a:fillRect/>
                    </a:stretch>
                  </pic:blipFill>
                  <pic:spPr>
                    <a:xfrm>
                      <a:off x="0" y="0"/>
                      <a:ext cx="3959941" cy="2512799"/>
                    </a:xfrm>
                    <a:prstGeom prst="rect">
                      <a:avLst/>
                    </a:prstGeom>
                  </pic:spPr>
                </pic:pic>
              </a:graphicData>
            </a:graphic>
          </wp:inline>
        </w:drawing>
      </w:r>
    </w:p>
    <w:p w14:paraId="1B750C87" w14:textId="1A714D40" w:rsidR="00035FDC" w:rsidRPr="00867E8C" w:rsidRDefault="00035FDC" w:rsidP="00035FDC">
      <w:pPr>
        <w:rPr>
          <w:rFonts w:cs="Arial"/>
          <w:i/>
          <w:vanish/>
          <w:szCs w:val="22"/>
          <w:specVanish/>
        </w:rPr>
      </w:pPr>
      <w:bookmarkStart w:id="979" w:name="_Ref511131832"/>
      <w:bookmarkStart w:id="980" w:name="_Toc38634222"/>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118</w:t>
      </w:r>
      <w:r w:rsidR="00C506C7" w:rsidRPr="00867E8C">
        <w:rPr>
          <w:rFonts w:cs="Arial"/>
          <w:noProof/>
          <w:szCs w:val="22"/>
        </w:rPr>
        <w:fldChar w:fldCharType="end"/>
      </w:r>
      <w:bookmarkEnd w:id="979"/>
      <w:r w:rsidRPr="00867E8C">
        <w:rPr>
          <w:rFonts w:cs="Arial"/>
          <w:szCs w:val="22"/>
        </w:rPr>
        <w:t xml:space="preserve">.  </w:t>
      </w:r>
      <w:r w:rsidRPr="00867E8C">
        <w:rPr>
          <w:rFonts w:cs="Arial"/>
          <w:i/>
          <w:szCs w:val="22"/>
        </w:rPr>
        <w:t>Sediment grain size composition at intertidal coastal habitat monitoring sites in the Fitzroy region, 2005</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80"/>
    </w:p>
    <w:p w14:paraId="746E4FC3" w14:textId="6B00E9C4"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46F6D8EF" w14:textId="77777777" w:rsidR="00035FDC" w:rsidRPr="00867E8C" w:rsidRDefault="00035FDC" w:rsidP="00035FDC">
      <w:pPr>
        <w:rPr>
          <w:rFonts w:cs="Arial"/>
          <w:szCs w:val="22"/>
          <w:lang w:val="en-GB"/>
        </w:rPr>
      </w:pPr>
    </w:p>
    <w:p w14:paraId="31EB58A6" w14:textId="77777777" w:rsidR="00D676C3" w:rsidRPr="00867E8C" w:rsidRDefault="00D676C3" w:rsidP="00035FDC">
      <w:pPr>
        <w:rPr>
          <w:rFonts w:cs="Arial"/>
          <w:color w:val="000000"/>
          <w:szCs w:val="22"/>
          <w:lang w:val="en-GB"/>
        </w:rPr>
      </w:pPr>
    </w:p>
    <w:p w14:paraId="2CB49FCA" w14:textId="77777777" w:rsidR="00D676C3" w:rsidRPr="00867E8C" w:rsidRDefault="00D676C3" w:rsidP="00035FDC">
      <w:pPr>
        <w:rPr>
          <w:rFonts w:cs="Arial"/>
          <w:color w:val="000000"/>
          <w:szCs w:val="22"/>
          <w:lang w:val="en-GB"/>
        </w:rPr>
      </w:pPr>
    </w:p>
    <w:p w14:paraId="2862C6CD" w14:textId="77777777" w:rsidR="00D676C3" w:rsidRPr="00867E8C" w:rsidRDefault="00D676C3" w:rsidP="00035FDC">
      <w:pPr>
        <w:rPr>
          <w:rFonts w:cs="Arial"/>
          <w:color w:val="000000"/>
          <w:szCs w:val="22"/>
          <w:lang w:val="en-GB"/>
        </w:rPr>
      </w:pPr>
    </w:p>
    <w:p w14:paraId="707165B6" w14:textId="77777777" w:rsidR="00D676C3" w:rsidRPr="00867E8C" w:rsidRDefault="00D676C3" w:rsidP="00035FDC">
      <w:pPr>
        <w:rPr>
          <w:rFonts w:cs="Arial"/>
          <w:color w:val="000000"/>
          <w:szCs w:val="22"/>
          <w:lang w:val="en-GB"/>
        </w:rPr>
      </w:pPr>
    </w:p>
    <w:p w14:paraId="4957DCA5" w14:textId="77777777" w:rsidR="00D676C3" w:rsidRPr="00867E8C" w:rsidRDefault="00D676C3" w:rsidP="00035FDC">
      <w:pPr>
        <w:rPr>
          <w:rFonts w:cs="Arial"/>
          <w:color w:val="000000"/>
          <w:szCs w:val="22"/>
          <w:lang w:val="en-GB"/>
        </w:rPr>
      </w:pPr>
    </w:p>
    <w:p w14:paraId="4AB88493" w14:textId="77777777" w:rsidR="00D676C3" w:rsidRPr="00867E8C" w:rsidRDefault="00D676C3" w:rsidP="00035FDC">
      <w:pPr>
        <w:rPr>
          <w:rFonts w:cs="Arial"/>
          <w:color w:val="000000"/>
          <w:szCs w:val="22"/>
          <w:lang w:val="en-GB"/>
        </w:rPr>
      </w:pPr>
    </w:p>
    <w:p w14:paraId="23C2E50E" w14:textId="77777777" w:rsidR="00D676C3" w:rsidRPr="00867E8C" w:rsidRDefault="00D676C3" w:rsidP="00035FDC">
      <w:pPr>
        <w:rPr>
          <w:rFonts w:cs="Arial"/>
          <w:color w:val="000000"/>
          <w:szCs w:val="22"/>
          <w:lang w:val="en-GB"/>
        </w:rPr>
      </w:pPr>
    </w:p>
    <w:p w14:paraId="06DA01E9" w14:textId="77777777" w:rsidR="00D676C3" w:rsidRPr="00867E8C" w:rsidRDefault="00D676C3" w:rsidP="00035FDC">
      <w:pPr>
        <w:rPr>
          <w:rFonts w:cs="Arial"/>
          <w:color w:val="000000"/>
          <w:szCs w:val="22"/>
          <w:lang w:val="en-GB"/>
        </w:rPr>
      </w:pPr>
    </w:p>
    <w:p w14:paraId="7488077B" w14:textId="77777777" w:rsidR="00D676C3" w:rsidRPr="00867E8C" w:rsidRDefault="00D676C3" w:rsidP="00035FDC">
      <w:pPr>
        <w:rPr>
          <w:rFonts w:cs="Arial"/>
          <w:color w:val="000000"/>
          <w:szCs w:val="22"/>
          <w:lang w:val="en-GB"/>
        </w:rPr>
      </w:pPr>
    </w:p>
    <w:p w14:paraId="2193F099" w14:textId="77777777" w:rsidR="00D676C3" w:rsidRPr="00867E8C" w:rsidRDefault="00D676C3" w:rsidP="00035FDC">
      <w:pPr>
        <w:rPr>
          <w:rFonts w:cs="Arial"/>
          <w:color w:val="000000"/>
          <w:szCs w:val="22"/>
          <w:lang w:val="en-GB"/>
        </w:rPr>
      </w:pPr>
    </w:p>
    <w:p w14:paraId="06ED34A6" w14:textId="11DEC636" w:rsidR="00035FDC" w:rsidRPr="00867E8C" w:rsidRDefault="006157A5"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2A66D2B8" wp14:editId="7E6528A8">
            <wp:extent cx="3959998" cy="2507461"/>
            <wp:effectExtent l="0" t="0" r="2540" b="7620"/>
            <wp:docPr id="543" name="Picture 543" descr="Set of bar graphs showing sediment grain size composition at intertidal reef habitat monitoring sites in the Fitzroy region each monitoring event from 2007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F_sediment_reef_2016.png"/>
                    <pic:cNvPicPr/>
                  </pic:nvPicPr>
                  <pic:blipFill>
                    <a:blip r:embed="rId280">
                      <a:extLst>
                        <a:ext uri="{28A0092B-C50C-407E-A947-70E740481C1C}">
                          <a14:useLocalDpi xmlns:a14="http://schemas.microsoft.com/office/drawing/2010/main" val="0"/>
                        </a:ext>
                      </a:extLst>
                    </a:blip>
                    <a:stretch>
                      <a:fillRect/>
                    </a:stretch>
                  </pic:blipFill>
                  <pic:spPr>
                    <a:xfrm>
                      <a:off x="0" y="0"/>
                      <a:ext cx="3959998" cy="2507461"/>
                    </a:xfrm>
                    <a:prstGeom prst="rect">
                      <a:avLst/>
                    </a:prstGeom>
                  </pic:spPr>
                </pic:pic>
              </a:graphicData>
            </a:graphic>
          </wp:inline>
        </w:drawing>
      </w:r>
    </w:p>
    <w:p w14:paraId="55098664" w14:textId="46D4688C" w:rsidR="00035FDC" w:rsidRPr="00867E8C" w:rsidRDefault="00035FDC" w:rsidP="00035FDC">
      <w:pPr>
        <w:rPr>
          <w:rFonts w:cs="Arial"/>
          <w:i/>
          <w:vanish/>
          <w:szCs w:val="22"/>
          <w:specVanish/>
        </w:rPr>
      </w:pPr>
      <w:bookmarkStart w:id="981" w:name="_Ref511131835"/>
      <w:bookmarkStart w:id="982" w:name="_Toc38634223"/>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119</w:t>
      </w:r>
      <w:r w:rsidR="00C506C7" w:rsidRPr="00867E8C">
        <w:rPr>
          <w:rFonts w:cs="Arial"/>
          <w:noProof/>
          <w:szCs w:val="22"/>
        </w:rPr>
        <w:fldChar w:fldCharType="end"/>
      </w:r>
      <w:bookmarkEnd w:id="981"/>
      <w:r w:rsidRPr="00867E8C">
        <w:rPr>
          <w:rFonts w:cs="Arial"/>
          <w:szCs w:val="22"/>
        </w:rPr>
        <w:t xml:space="preserve">.  </w:t>
      </w:r>
      <w:r w:rsidRPr="00867E8C">
        <w:rPr>
          <w:rFonts w:cs="Arial"/>
          <w:i/>
          <w:szCs w:val="22"/>
        </w:rPr>
        <w:t>Sediment grain size composition at intertidal reef habitat monitoring sites in the Fitzroy region, 2007</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82"/>
    </w:p>
    <w:p w14:paraId="69758C1B" w14:textId="48966FB4" w:rsidR="00035FDC" w:rsidRPr="00867E8C" w:rsidRDefault="00035FDC" w:rsidP="00035FDC">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5D8CE995" w14:textId="5E76EEE1" w:rsidR="00035FDC" w:rsidRPr="00867E8C" w:rsidRDefault="006157A5" w:rsidP="00035FDC">
      <w:pPr>
        <w:keepNext/>
        <w:widowControl w:val="0"/>
        <w:jc w:val="center"/>
        <w:rPr>
          <w:rFonts w:cs="Arial"/>
          <w:szCs w:val="22"/>
          <w:lang w:val="en-GB"/>
        </w:rPr>
      </w:pPr>
      <w:r w:rsidRPr="00867E8C">
        <w:rPr>
          <w:rFonts w:cs="Arial"/>
          <w:noProof/>
          <w:szCs w:val="22"/>
          <w:lang w:eastAsia="en-AU"/>
        </w:rPr>
        <w:lastRenderedPageBreak/>
        <w:drawing>
          <wp:inline distT="0" distB="0" distL="0" distR="0" wp14:anchorId="13B70748" wp14:editId="4ED9D807">
            <wp:extent cx="3959999" cy="4667461"/>
            <wp:effectExtent l="0" t="0" r="2540" b="0"/>
            <wp:docPr id="80" name="Picture 80" descr="Set of bar graphs showing sediment grain size composition at estuary habitat monitoring sites in the Burnett Mary region each monitoring event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BM_sediment_estuary_2016.png"/>
                    <pic:cNvPicPr/>
                  </pic:nvPicPr>
                  <pic:blipFill>
                    <a:blip r:embed="rId281">
                      <a:extLst>
                        <a:ext uri="{28A0092B-C50C-407E-A947-70E740481C1C}">
                          <a14:useLocalDpi xmlns:a14="http://schemas.microsoft.com/office/drawing/2010/main" val="0"/>
                        </a:ext>
                      </a:extLst>
                    </a:blip>
                    <a:stretch>
                      <a:fillRect/>
                    </a:stretch>
                  </pic:blipFill>
                  <pic:spPr>
                    <a:xfrm>
                      <a:off x="0" y="0"/>
                      <a:ext cx="3959999" cy="4667461"/>
                    </a:xfrm>
                    <a:prstGeom prst="rect">
                      <a:avLst/>
                    </a:prstGeom>
                  </pic:spPr>
                </pic:pic>
              </a:graphicData>
            </a:graphic>
          </wp:inline>
        </w:drawing>
      </w:r>
    </w:p>
    <w:p w14:paraId="01E9EA0D" w14:textId="5F8B4EAE" w:rsidR="00035FDC" w:rsidRPr="00867E8C" w:rsidRDefault="00035FDC" w:rsidP="00035FDC">
      <w:pPr>
        <w:rPr>
          <w:rFonts w:cs="Arial"/>
          <w:i/>
          <w:vanish/>
          <w:szCs w:val="22"/>
          <w:specVanish/>
        </w:rPr>
      </w:pPr>
      <w:bookmarkStart w:id="983" w:name="_Ref461779411"/>
      <w:bookmarkStart w:id="984" w:name="_Toc38634224"/>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120</w:t>
      </w:r>
      <w:r w:rsidR="00C506C7" w:rsidRPr="00867E8C">
        <w:rPr>
          <w:rFonts w:cs="Arial"/>
          <w:noProof/>
          <w:szCs w:val="22"/>
        </w:rPr>
        <w:fldChar w:fldCharType="end"/>
      </w:r>
      <w:bookmarkEnd w:id="983"/>
      <w:r w:rsidRPr="00867E8C">
        <w:rPr>
          <w:rFonts w:cs="Arial"/>
          <w:szCs w:val="22"/>
        </w:rPr>
        <w:t xml:space="preserve">.  </w:t>
      </w:r>
      <w:r w:rsidRPr="00867E8C">
        <w:rPr>
          <w:rFonts w:cs="Arial"/>
          <w:i/>
          <w:szCs w:val="22"/>
        </w:rPr>
        <w:t xml:space="preserve">Sediment grain size composition at intertidal estuary habitat monitoring sites in the </w:t>
      </w:r>
      <w:r w:rsidR="00B72AC4">
        <w:rPr>
          <w:rFonts w:cs="Arial"/>
          <w:i/>
          <w:szCs w:val="22"/>
        </w:rPr>
        <w:t>Burnett–Mary</w:t>
      </w:r>
      <w:r w:rsidRPr="00867E8C">
        <w:rPr>
          <w:rFonts w:cs="Arial"/>
          <w:i/>
          <w:szCs w:val="22"/>
        </w:rPr>
        <w:t xml:space="preserve"> region, 1999</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84"/>
    </w:p>
    <w:p w14:paraId="05C49DF0" w14:textId="40851BE4" w:rsidR="00035FDC" w:rsidRPr="00867E8C" w:rsidRDefault="00035FDC" w:rsidP="00035FDC">
      <w:pPr>
        <w:rPr>
          <w:rFonts w:cs="Arial"/>
          <w:i/>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5FF0963A" w14:textId="0D74897B" w:rsidR="00B8016C" w:rsidRPr="00867E8C" w:rsidRDefault="00B8016C" w:rsidP="00035FDC">
      <w:pPr>
        <w:rPr>
          <w:rFonts w:cs="Arial"/>
          <w:szCs w:val="22"/>
        </w:rPr>
      </w:pPr>
    </w:p>
    <w:p w14:paraId="74580CF2" w14:textId="77777777" w:rsidR="005A2405" w:rsidRPr="00867E8C" w:rsidRDefault="00B8016C" w:rsidP="005A2405">
      <w:pPr>
        <w:keepNext/>
        <w:jc w:val="center"/>
        <w:rPr>
          <w:rFonts w:cs="Arial"/>
          <w:szCs w:val="22"/>
        </w:rPr>
      </w:pPr>
      <w:r w:rsidRPr="00867E8C">
        <w:rPr>
          <w:rFonts w:cs="Arial"/>
          <w:noProof/>
          <w:szCs w:val="22"/>
          <w:lang w:eastAsia="en-AU"/>
        </w:rPr>
        <w:lastRenderedPageBreak/>
        <w:drawing>
          <wp:inline distT="0" distB="0" distL="0" distR="0" wp14:anchorId="0E613A8B" wp14:editId="2E8FA8FE">
            <wp:extent cx="3959159" cy="2509199"/>
            <wp:effectExtent l="0" t="0" r="3810" b="5715"/>
            <wp:docPr id="8" name="Picture 8" descr="Set of bar graphs showing sediment grain size composition at coastal habitat monitoring sites in the Burnett Mary region each monitoring event from 1999 t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_sediment_coast_2017.png"/>
                    <pic:cNvPicPr/>
                  </pic:nvPicPr>
                  <pic:blipFill>
                    <a:blip r:embed="rId282">
                      <a:extLst>
                        <a:ext uri="{28A0092B-C50C-407E-A947-70E740481C1C}">
                          <a14:useLocalDpi xmlns:a14="http://schemas.microsoft.com/office/drawing/2010/main" val="0"/>
                        </a:ext>
                      </a:extLst>
                    </a:blip>
                    <a:stretch>
                      <a:fillRect/>
                    </a:stretch>
                  </pic:blipFill>
                  <pic:spPr>
                    <a:xfrm>
                      <a:off x="0" y="0"/>
                      <a:ext cx="3959159" cy="2509199"/>
                    </a:xfrm>
                    <a:prstGeom prst="rect">
                      <a:avLst/>
                    </a:prstGeom>
                  </pic:spPr>
                </pic:pic>
              </a:graphicData>
            </a:graphic>
          </wp:inline>
        </w:drawing>
      </w:r>
    </w:p>
    <w:p w14:paraId="1B814D12" w14:textId="0EF5193F" w:rsidR="005A2405" w:rsidRPr="00867E8C" w:rsidRDefault="005A2405" w:rsidP="005A2405">
      <w:pPr>
        <w:rPr>
          <w:rFonts w:cs="Arial"/>
          <w:i/>
          <w:vanish/>
          <w:szCs w:val="22"/>
          <w:specVanish/>
        </w:rPr>
      </w:pPr>
      <w:bookmarkStart w:id="985" w:name="_Ref511132115"/>
      <w:bookmarkStart w:id="986" w:name="_Toc38634225"/>
      <w:r w:rsidRPr="00867E8C">
        <w:rPr>
          <w:rFonts w:cs="Arial"/>
          <w:szCs w:val="22"/>
        </w:rPr>
        <w:t xml:space="preserve">Figure </w:t>
      </w:r>
      <w:r w:rsidR="00C506C7" w:rsidRPr="00867E8C">
        <w:rPr>
          <w:rFonts w:cs="Arial"/>
          <w:noProof/>
          <w:szCs w:val="22"/>
        </w:rPr>
        <w:fldChar w:fldCharType="begin"/>
      </w:r>
      <w:r w:rsidR="00C506C7" w:rsidRPr="00867E8C">
        <w:rPr>
          <w:rFonts w:cs="Arial"/>
          <w:noProof/>
          <w:szCs w:val="22"/>
        </w:rPr>
        <w:instrText xml:space="preserve"> SEQ Figure \* ARABIC </w:instrText>
      </w:r>
      <w:r w:rsidR="00C506C7" w:rsidRPr="00867E8C">
        <w:rPr>
          <w:rFonts w:cs="Arial"/>
          <w:noProof/>
          <w:szCs w:val="22"/>
        </w:rPr>
        <w:fldChar w:fldCharType="separate"/>
      </w:r>
      <w:r w:rsidR="0067675D">
        <w:rPr>
          <w:rFonts w:cs="Arial"/>
          <w:noProof/>
          <w:szCs w:val="22"/>
        </w:rPr>
        <w:t>121</w:t>
      </w:r>
      <w:r w:rsidR="00C506C7" w:rsidRPr="00867E8C">
        <w:rPr>
          <w:rFonts w:cs="Arial"/>
          <w:noProof/>
          <w:szCs w:val="22"/>
        </w:rPr>
        <w:fldChar w:fldCharType="end"/>
      </w:r>
      <w:bookmarkEnd w:id="985"/>
      <w:r w:rsidRPr="00867E8C">
        <w:rPr>
          <w:rFonts w:cs="Arial"/>
          <w:szCs w:val="22"/>
        </w:rPr>
        <w:t xml:space="preserve">. </w:t>
      </w:r>
      <w:r w:rsidRPr="00867E8C">
        <w:rPr>
          <w:rFonts w:cs="Arial"/>
          <w:i/>
          <w:szCs w:val="22"/>
        </w:rPr>
        <w:t xml:space="preserve">Sediment grain size composition at intertidal coastal habitat monitoring sites in the </w:t>
      </w:r>
      <w:r w:rsidR="00B72AC4">
        <w:rPr>
          <w:rFonts w:cs="Arial"/>
          <w:i/>
          <w:szCs w:val="22"/>
        </w:rPr>
        <w:t>Burnett–Mary</w:t>
      </w:r>
      <w:r w:rsidRPr="00867E8C">
        <w:rPr>
          <w:rFonts w:cs="Arial"/>
          <w:i/>
          <w:szCs w:val="22"/>
        </w:rPr>
        <w:t xml:space="preserve"> region, 1999</w:t>
      </w:r>
      <w:r w:rsidR="005C4C83" w:rsidRPr="00867E8C">
        <w:rPr>
          <w:rFonts w:cs="Arial"/>
          <w:i/>
          <w:szCs w:val="22"/>
        </w:rPr>
        <w:t>–</w:t>
      </w:r>
      <w:r w:rsidRPr="00867E8C">
        <w:rPr>
          <w:rFonts w:cs="Arial"/>
          <w:i/>
          <w:szCs w:val="22"/>
        </w:rPr>
        <w:t>201</w:t>
      </w:r>
      <w:r w:rsidR="00B42346" w:rsidRPr="00867E8C">
        <w:rPr>
          <w:rFonts w:cs="Arial"/>
          <w:i/>
          <w:szCs w:val="22"/>
        </w:rPr>
        <w:t>9</w:t>
      </w:r>
      <w:r w:rsidRPr="00867E8C">
        <w:rPr>
          <w:rFonts w:cs="Arial"/>
          <w:i/>
          <w:szCs w:val="22"/>
        </w:rPr>
        <w:t>.</w:t>
      </w:r>
      <w:bookmarkEnd w:id="986"/>
    </w:p>
    <w:p w14:paraId="4ACAF266" w14:textId="080D7B41" w:rsidR="00B8016C" w:rsidRPr="00867E8C" w:rsidRDefault="005A2405" w:rsidP="005A2405">
      <w:pPr>
        <w:rPr>
          <w:rFonts w:cs="Arial"/>
          <w:szCs w:val="22"/>
        </w:rPr>
      </w:pPr>
      <w:r w:rsidRPr="00867E8C">
        <w:rPr>
          <w:rFonts w:cs="Arial"/>
          <w:i/>
          <w:szCs w:val="22"/>
        </w:rPr>
        <w:t xml:space="preserve"> Dashed line is the </w:t>
      </w:r>
      <w:r w:rsidR="00F206BF" w:rsidRPr="00867E8C">
        <w:rPr>
          <w:rFonts w:cs="Arial"/>
          <w:i/>
          <w:szCs w:val="22"/>
        </w:rPr>
        <w:t>Reef</w:t>
      </w:r>
      <w:r w:rsidRPr="00867E8C">
        <w:rPr>
          <w:rFonts w:cs="Arial"/>
          <w:i/>
          <w:szCs w:val="22"/>
        </w:rPr>
        <w:t xml:space="preserve"> long-term average proportion of mud.</w:t>
      </w:r>
    </w:p>
    <w:p w14:paraId="52DB7EC2" w14:textId="77777777" w:rsidR="00B8016C" w:rsidRPr="00867E8C" w:rsidRDefault="00B8016C" w:rsidP="00035FDC">
      <w:pPr>
        <w:rPr>
          <w:rFonts w:cs="Arial"/>
          <w:szCs w:val="22"/>
        </w:rPr>
      </w:pPr>
    </w:p>
    <w:p w14:paraId="6AC2D854" w14:textId="77777777" w:rsidR="00902825" w:rsidRPr="00867E8C" w:rsidRDefault="00902825">
      <w:pPr>
        <w:rPr>
          <w:rFonts w:cs="Arial"/>
          <w:color w:val="000000"/>
          <w:szCs w:val="22"/>
        </w:rPr>
      </w:pPr>
      <w:r w:rsidRPr="00867E8C">
        <w:rPr>
          <w:rFonts w:cs="Arial"/>
          <w:color w:val="000000"/>
          <w:szCs w:val="22"/>
        </w:rPr>
        <w:br w:type="page"/>
      </w:r>
    </w:p>
    <w:p w14:paraId="126652D7" w14:textId="77777777" w:rsidR="00620C8B" w:rsidRPr="00CB093C" w:rsidRDefault="00620C8B" w:rsidP="00DD3376">
      <w:pPr>
        <w:pStyle w:val="Heading1"/>
        <w:numPr>
          <w:ilvl w:val="0"/>
          <w:numId w:val="6"/>
        </w:numPr>
      </w:pPr>
      <w:bookmarkStart w:id="987" w:name="_Ref511310034"/>
      <w:bookmarkStart w:id="988" w:name="_Toc37775144"/>
      <w:bookmarkStart w:id="989" w:name="_Toc43987126"/>
      <w:r w:rsidRPr="00CB093C">
        <w:lastRenderedPageBreak/>
        <w:t>Results of statistical analysis</w:t>
      </w:r>
      <w:bookmarkEnd w:id="987"/>
      <w:bookmarkEnd w:id="988"/>
      <w:bookmarkEnd w:id="989"/>
    </w:p>
    <w:p w14:paraId="7A84B32E" w14:textId="77777777" w:rsidR="00902825" w:rsidRPr="00867E8C" w:rsidRDefault="00902825" w:rsidP="00902825">
      <w:pPr>
        <w:rPr>
          <w:rFonts w:cs="Arial"/>
          <w:szCs w:val="22"/>
        </w:rPr>
      </w:pPr>
    </w:p>
    <w:p w14:paraId="53A68886" w14:textId="77777777" w:rsidR="00306220" w:rsidRPr="00867E8C" w:rsidRDefault="00306220" w:rsidP="00306220">
      <w:pPr>
        <w:spacing w:before="240" w:after="240"/>
        <w:rPr>
          <w:rFonts w:cs="Arial"/>
        </w:rPr>
      </w:pPr>
    </w:p>
    <w:p w14:paraId="36D061AF" w14:textId="77777777" w:rsidR="00306220" w:rsidRPr="00867E8C" w:rsidRDefault="00306220" w:rsidP="00306220">
      <w:pPr>
        <w:rPr>
          <w:rFonts w:cs="Arial"/>
          <w:color w:val="000000"/>
          <w:szCs w:val="22"/>
        </w:rPr>
        <w:sectPr w:rsidR="00306220" w:rsidRPr="00867E8C" w:rsidSect="0085398A">
          <w:headerReference w:type="even" r:id="rId283"/>
          <w:headerReference w:type="default" r:id="rId284"/>
          <w:footerReference w:type="even" r:id="rId285"/>
          <w:footerReference w:type="default" r:id="rId286"/>
          <w:headerReference w:type="first" r:id="rId287"/>
          <w:footerReference w:type="first" r:id="rId288"/>
          <w:pgSz w:w="11906" w:h="16838"/>
          <w:pgMar w:top="1135" w:right="1440" w:bottom="1440" w:left="1440" w:header="708" w:footer="708" w:gutter="0"/>
          <w:cols w:space="708"/>
          <w:docGrid w:linePitch="360"/>
        </w:sectPr>
      </w:pPr>
    </w:p>
    <w:p w14:paraId="4C5502CC" w14:textId="4DCC21FA" w:rsidR="00BB7DFF" w:rsidRPr="00867E8C" w:rsidRDefault="00BB7DFF" w:rsidP="00BB7DFF">
      <w:pPr>
        <w:jc w:val="center"/>
        <w:rPr>
          <w:rFonts w:cs="Arial"/>
          <w:i/>
          <w:iCs/>
          <w:vanish/>
          <w:color w:val="000000"/>
          <w:szCs w:val="22"/>
          <w:specVanish/>
        </w:rPr>
      </w:pPr>
      <w:bookmarkStart w:id="990" w:name="_Ref511310045"/>
      <w:bookmarkStart w:id="991" w:name="_Toc516053482"/>
      <w:bookmarkStart w:id="992" w:name="_Toc37787072"/>
      <w:bookmarkStart w:id="993" w:name="_Toc47600694"/>
      <w:r w:rsidRPr="00867E8C">
        <w:rPr>
          <w:rFonts w:cs="Arial"/>
          <w:szCs w:val="22"/>
        </w:rPr>
        <w:lastRenderedPageBreak/>
        <w:t xml:space="preserve">Table </w:t>
      </w:r>
      <w:r w:rsidRPr="00867E8C">
        <w:rPr>
          <w:rFonts w:cs="Arial"/>
          <w:szCs w:val="22"/>
        </w:rPr>
        <w:fldChar w:fldCharType="begin"/>
      </w:r>
      <w:r w:rsidRPr="00867E8C">
        <w:rPr>
          <w:rFonts w:cs="Arial"/>
          <w:szCs w:val="22"/>
        </w:rPr>
        <w:instrText xml:space="preserve"> SEQ Table \* ARABIC </w:instrText>
      </w:r>
      <w:r w:rsidRPr="00867E8C">
        <w:rPr>
          <w:rFonts w:cs="Arial"/>
          <w:szCs w:val="22"/>
        </w:rPr>
        <w:fldChar w:fldCharType="separate"/>
      </w:r>
      <w:r w:rsidR="0067675D">
        <w:rPr>
          <w:rFonts w:cs="Arial"/>
          <w:noProof/>
          <w:szCs w:val="22"/>
        </w:rPr>
        <w:t>20</w:t>
      </w:r>
      <w:r w:rsidRPr="00867E8C">
        <w:rPr>
          <w:rFonts w:cs="Arial"/>
          <w:szCs w:val="22"/>
        </w:rPr>
        <w:fldChar w:fldCharType="end"/>
      </w:r>
      <w:bookmarkEnd w:id="990"/>
      <w:r w:rsidRPr="00867E8C">
        <w:rPr>
          <w:rFonts w:cs="Arial"/>
          <w:szCs w:val="22"/>
        </w:rPr>
        <w:t xml:space="preserve">. </w:t>
      </w:r>
      <w:bookmarkStart w:id="994" w:name="_Toc487023257"/>
      <w:r w:rsidRPr="00867E8C">
        <w:rPr>
          <w:rFonts w:cs="Arial"/>
          <w:i/>
          <w:szCs w:val="22"/>
        </w:rPr>
        <w:t>Results of</w:t>
      </w:r>
      <w:r w:rsidRPr="00867E8C">
        <w:rPr>
          <w:rFonts w:cs="Arial"/>
          <w:szCs w:val="22"/>
        </w:rPr>
        <w:t xml:space="preserve"> </w:t>
      </w:r>
      <w:r w:rsidRPr="00867E8C">
        <w:rPr>
          <w:rFonts w:cs="Arial"/>
          <w:i/>
          <w:szCs w:val="22"/>
        </w:rPr>
        <w:t>Mann­Kendall analysis to assess if there was a significant trend (decline or increase) over time in seagrass abundance (</w:t>
      </w:r>
      <w:r w:rsidR="007F7222">
        <w:rPr>
          <w:rFonts w:cs="Arial"/>
          <w:i/>
          <w:szCs w:val="22"/>
        </w:rPr>
        <w:t>per cent</w:t>
      </w:r>
      <w:r w:rsidRPr="00867E8C">
        <w:rPr>
          <w:rFonts w:cs="Arial"/>
          <w:i/>
          <w:szCs w:val="22"/>
        </w:rPr>
        <w:t xml:space="preserve"> cover).</w:t>
      </w:r>
      <w:bookmarkEnd w:id="991"/>
      <w:bookmarkEnd w:id="992"/>
      <w:bookmarkEnd w:id="993"/>
      <w:bookmarkEnd w:id="994"/>
    </w:p>
    <w:p w14:paraId="745936BB" w14:textId="77777777" w:rsidR="00BB7DFF" w:rsidRPr="00867E8C" w:rsidRDefault="00BB7DFF" w:rsidP="00BB7DFF">
      <w:pPr>
        <w:keepNext/>
        <w:jc w:val="center"/>
        <w:rPr>
          <w:rFonts w:cs="Arial"/>
          <w:szCs w:val="22"/>
        </w:rPr>
      </w:pPr>
      <w:r w:rsidRPr="00867E8C">
        <w:rPr>
          <w:rFonts w:cs="Arial"/>
          <w:i/>
          <w:szCs w:val="22"/>
        </w:rPr>
        <w:t>The reported output of the tests performed are Kendall’s tau coefficient (Kendall-τ), the two-sided p-value (significant at α = 0.05 in bold), the Sen’s slope (showing the sign and strength of the trend – including confidence intervals if significant) and the long-term trend.</w:t>
      </w:r>
    </w:p>
    <w:tbl>
      <w:tblPr>
        <w:tblW w:w="12984" w:type="dxa"/>
        <w:jc w:val="center"/>
        <w:tblLayout w:type="fixed"/>
        <w:tblLook w:val="04A0" w:firstRow="1" w:lastRow="0" w:firstColumn="1" w:lastColumn="0" w:noHBand="0" w:noVBand="1"/>
      </w:tblPr>
      <w:tblGrid>
        <w:gridCol w:w="2028"/>
        <w:gridCol w:w="1874"/>
        <w:gridCol w:w="720"/>
        <w:gridCol w:w="1078"/>
        <w:gridCol w:w="1068"/>
        <w:gridCol w:w="519"/>
        <w:gridCol w:w="1078"/>
        <w:gridCol w:w="1076"/>
        <w:gridCol w:w="2475"/>
        <w:gridCol w:w="1068"/>
      </w:tblGrid>
      <w:tr w:rsidR="00017050" w:rsidRPr="00867E8C" w14:paraId="6CE88734" w14:textId="77777777" w:rsidTr="00867E8C">
        <w:trPr>
          <w:cantSplit/>
          <w:trHeight w:val="312"/>
          <w:tblHeader/>
          <w:jc w:val="center"/>
        </w:trPr>
        <w:tc>
          <w:tcPr>
            <w:tcW w:w="2028" w:type="dxa"/>
            <w:tcBorders>
              <w:top w:val="single" w:sz="4" w:space="0" w:color="auto"/>
              <w:bottom w:val="single" w:sz="4" w:space="0" w:color="auto"/>
            </w:tcBorders>
            <w:shd w:val="clear" w:color="000000" w:fill="C0C0C0"/>
            <w:noWrap/>
            <w:vAlign w:val="center"/>
            <w:hideMark/>
          </w:tcPr>
          <w:p w14:paraId="48BD7A9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NRM region</w:t>
            </w:r>
          </w:p>
        </w:tc>
        <w:tc>
          <w:tcPr>
            <w:tcW w:w="1874" w:type="dxa"/>
            <w:tcBorders>
              <w:top w:val="single" w:sz="4" w:space="0" w:color="auto"/>
              <w:bottom w:val="single" w:sz="4" w:space="0" w:color="auto"/>
            </w:tcBorders>
            <w:shd w:val="clear" w:color="000000" w:fill="C0C0C0"/>
            <w:noWrap/>
            <w:vAlign w:val="center"/>
            <w:hideMark/>
          </w:tcPr>
          <w:p w14:paraId="2814EB3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Habitat</w:t>
            </w:r>
          </w:p>
        </w:tc>
        <w:tc>
          <w:tcPr>
            <w:tcW w:w="720" w:type="dxa"/>
            <w:tcBorders>
              <w:top w:val="single" w:sz="4" w:space="0" w:color="auto"/>
              <w:bottom w:val="single" w:sz="4" w:space="0" w:color="auto"/>
            </w:tcBorders>
            <w:shd w:val="clear" w:color="000000" w:fill="C0C0C0"/>
            <w:noWrap/>
            <w:vAlign w:val="center"/>
            <w:hideMark/>
          </w:tcPr>
          <w:p w14:paraId="458F85B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Site</w:t>
            </w:r>
          </w:p>
        </w:tc>
        <w:tc>
          <w:tcPr>
            <w:tcW w:w="1078" w:type="dxa"/>
            <w:tcBorders>
              <w:top w:val="single" w:sz="4" w:space="0" w:color="auto"/>
              <w:bottom w:val="single" w:sz="4" w:space="0" w:color="auto"/>
            </w:tcBorders>
            <w:shd w:val="clear" w:color="000000" w:fill="C0C0C0"/>
            <w:vAlign w:val="center"/>
          </w:tcPr>
          <w:p w14:paraId="2E09082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First Year</w:t>
            </w:r>
          </w:p>
        </w:tc>
        <w:tc>
          <w:tcPr>
            <w:tcW w:w="1068" w:type="dxa"/>
            <w:tcBorders>
              <w:top w:val="single" w:sz="4" w:space="0" w:color="auto"/>
              <w:bottom w:val="single" w:sz="4" w:space="0" w:color="auto"/>
            </w:tcBorders>
            <w:shd w:val="clear" w:color="000000" w:fill="C0C0C0"/>
            <w:vAlign w:val="center"/>
          </w:tcPr>
          <w:p w14:paraId="2B89CD9B"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Last Year</w:t>
            </w:r>
          </w:p>
        </w:tc>
        <w:tc>
          <w:tcPr>
            <w:tcW w:w="519" w:type="dxa"/>
            <w:tcBorders>
              <w:top w:val="single" w:sz="4" w:space="0" w:color="auto"/>
              <w:bottom w:val="single" w:sz="4" w:space="0" w:color="auto"/>
            </w:tcBorders>
            <w:shd w:val="clear" w:color="000000" w:fill="C0C0C0"/>
            <w:vAlign w:val="center"/>
          </w:tcPr>
          <w:p w14:paraId="60A17133" w14:textId="77777777" w:rsidR="00017050" w:rsidRPr="00867E8C" w:rsidRDefault="00017050" w:rsidP="00B8623B">
            <w:pPr>
              <w:spacing w:before="0" w:after="0"/>
              <w:contextualSpacing/>
              <w:jc w:val="center"/>
              <w:rPr>
                <w:rFonts w:asciiTheme="minorHAnsi" w:hAnsiTheme="minorHAnsi" w:cstheme="minorHAnsi"/>
                <w:b/>
                <w:i/>
                <w:color w:val="000000"/>
                <w:sz w:val="20"/>
                <w:szCs w:val="20"/>
              </w:rPr>
            </w:pPr>
            <w:r w:rsidRPr="00867E8C">
              <w:rPr>
                <w:rFonts w:asciiTheme="minorHAnsi" w:hAnsiTheme="minorHAnsi" w:cstheme="minorHAnsi"/>
                <w:b/>
                <w:i/>
                <w:color w:val="000000"/>
                <w:sz w:val="20"/>
                <w:szCs w:val="20"/>
              </w:rPr>
              <w:t>n</w:t>
            </w:r>
          </w:p>
        </w:tc>
        <w:tc>
          <w:tcPr>
            <w:tcW w:w="1078" w:type="dxa"/>
            <w:tcBorders>
              <w:top w:val="single" w:sz="4" w:space="0" w:color="auto"/>
              <w:bottom w:val="single" w:sz="4" w:space="0" w:color="auto"/>
            </w:tcBorders>
            <w:shd w:val="clear" w:color="000000" w:fill="C0C0C0"/>
            <w:noWrap/>
            <w:vAlign w:val="center"/>
            <w:hideMark/>
          </w:tcPr>
          <w:p w14:paraId="2C808CB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i/>
                <w:color w:val="000000"/>
                <w:sz w:val="20"/>
                <w:szCs w:val="20"/>
              </w:rPr>
              <w:t>Kendall-τ</w:t>
            </w:r>
          </w:p>
        </w:tc>
        <w:tc>
          <w:tcPr>
            <w:tcW w:w="1076" w:type="dxa"/>
            <w:tcBorders>
              <w:top w:val="single" w:sz="4" w:space="0" w:color="auto"/>
              <w:bottom w:val="single" w:sz="4" w:space="0" w:color="auto"/>
            </w:tcBorders>
            <w:shd w:val="clear" w:color="000000" w:fill="C0C0C0"/>
            <w:noWrap/>
            <w:vAlign w:val="center"/>
            <w:hideMark/>
          </w:tcPr>
          <w:p w14:paraId="5AA3247E" w14:textId="77777777" w:rsidR="00017050" w:rsidRPr="00867E8C" w:rsidRDefault="00017050" w:rsidP="00B8623B">
            <w:pPr>
              <w:spacing w:before="0" w:after="0"/>
              <w:contextualSpacing/>
              <w:jc w:val="center"/>
              <w:rPr>
                <w:rFonts w:asciiTheme="minorHAnsi" w:hAnsiTheme="minorHAnsi" w:cstheme="minorHAnsi"/>
                <w:b/>
                <w:i/>
                <w:color w:val="000000"/>
                <w:sz w:val="20"/>
                <w:szCs w:val="20"/>
              </w:rPr>
            </w:pPr>
            <w:r w:rsidRPr="00867E8C">
              <w:rPr>
                <w:rFonts w:asciiTheme="minorHAnsi" w:hAnsiTheme="minorHAnsi" w:cstheme="minorHAnsi"/>
                <w:b/>
                <w:i/>
                <w:color w:val="000000"/>
                <w:sz w:val="20"/>
                <w:szCs w:val="20"/>
              </w:rPr>
              <w:t>p</w:t>
            </w:r>
          </w:p>
          <w:p w14:paraId="3FBBD1B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16"/>
                <w:szCs w:val="16"/>
              </w:rPr>
              <w:t>(2-sided)</w:t>
            </w:r>
          </w:p>
        </w:tc>
        <w:tc>
          <w:tcPr>
            <w:tcW w:w="2475" w:type="dxa"/>
            <w:tcBorders>
              <w:top w:val="single" w:sz="4" w:space="0" w:color="auto"/>
              <w:bottom w:val="single" w:sz="4" w:space="0" w:color="auto"/>
            </w:tcBorders>
            <w:shd w:val="clear" w:color="000000" w:fill="C0C0C0"/>
            <w:noWrap/>
            <w:vAlign w:val="center"/>
            <w:hideMark/>
          </w:tcPr>
          <w:p w14:paraId="2369081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Sen’s slope</w:t>
            </w:r>
          </w:p>
          <w:p w14:paraId="0F680D16" w14:textId="77777777" w:rsidR="00017050" w:rsidRPr="00867E8C" w:rsidRDefault="00017050" w:rsidP="00B8623B">
            <w:pPr>
              <w:spacing w:before="0" w:after="0"/>
              <w:contextualSpacing/>
              <w:jc w:val="center"/>
              <w:rPr>
                <w:rFonts w:asciiTheme="minorHAnsi" w:hAnsiTheme="minorHAnsi" w:cstheme="minorHAnsi"/>
                <w:color w:val="000000"/>
                <w:sz w:val="16"/>
                <w:szCs w:val="16"/>
              </w:rPr>
            </w:pPr>
            <w:r w:rsidRPr="00867E8C">
              <w:rPr>
                <w:rFonts w:asciiTheme="minorHAnsi" w:hAnsiTheme="minorHAnsi" w:cstheme="minorHAnsi"/>
                <w:color w:val="000000"/>
                <w:sz w:val="16"/>
                <w:szCs w:val="16"/>
              </w:rPr>
              <w:t>(confidence interval)</w:t>
            </w:r>
          </w:p>
        </w:tc>
        <w:tc>
          <w:tcPr>
            <w:tcW w:w="1068" w:type="dxa"/>
            <w:tcBorders>
              <w:top w:val="single" w:sz="4" w:space="0" w:color="auto"/>
              <w:bottom w:val="single" w:sz="4" w:space="0" w:color="auto"/>
            </w:tcBorders>
            <w:shd w:val="clear" w:color="000000" w:fill="C0C0C0"/>
            <w:noWrap/>
            <w:vAlign w:val="center"/>
            <w:hideMark/>
          </w:tcPr>
          <w:p w14:paraId="25CAB759"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trend</w:t>
            </w:r>
          </w:p>
        </w:tc>
      </w:tr>
      <w:tr w:rsidR="00867E8C" w:rsidRPr="00867E8C" w14:paraId="421B8F4B" w14:textId="77777777" w:rsidTr="00867E8C">
        <w:trPr>
          <w:cantSplit/>
          <w:trHeight w:val="312"/>
          <w:jc w:val="center"/>
        </w:trPr>
        <w:tc>
          <w:tcPr>
            <w:tcW w:w="2028" w:type="dxa"/>
            <w:vMerge w:val="restart"/>
            <w:tcBorders>
              <w:top w:val="single" w:sz="4" w:space="0" w:color="auto"/>
            </w:tcBorders>
            <w:shd w:val="clear" w:color="auto" w:fill="E7F3F4"/>
            <w:noWrap/>
            <w:vAlign w:val="center"/>
          </w:tcPr>
          <w:p w14:paraId="2F97C6B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Cape York</w:t>
            </w:r>
          </w:p>
        </w:tc>
        <w:tc>
          <w:tcPr>
            <w:tcW w:w="1874" w:type="dxa"/>
            <w:vMerge w:val="restart"/>
            <w:tcBorders>
              <w:top w:val="single" w:sz="4" w:space="0" w:color="auto"/>
            </w:tcBorders>
            <w:shd w:val="clear" w:color="auto" w:fill="E7F3F4"/>
            <w:noWrap/>
            <w:vAlign w:val="center"/>
            <w:hideMark/>
          </w:tcPr>
          <w:p w14:paraId="6CAFE30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E7F3F4"/>
            <w:noWrap/>
            <w:vAlign w:val="center"/>
            <w:hideMark/>
          </w:tcPr>
          <w:p w14:paraId="32A651E0"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BY1</w:t>
            </w:r>
          </w:p>
        </w:tc>
        <w:tc>
          <w:tcPr>
            <w:tcW w:w="1078" w:type="dxa"/>
            <w:tcBorders>
              <w:top w:val="single" w:sz="4" w:space="0" w:color="auto"/>
            </w:tcBorders>
            <w:shd w:val="clear" w:color="auto" w:fill="E7F3F4"/>
            <w:vAlign w:val="center"/>
          </w:tcPr>
          <w:p w14:paraId="319FC46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tcBorders>
            <w:shd w:val="clear" w:color="auto" w:fill="E7F3F4"/>
            <w:vAlign w:val="center"/>
          </w:tcPr>
          <w:p w14:paraId="593FA9C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7A61B7E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11</w:t>
            </w:r>
          </w:p>
        </w:tc>
        <w:tc>
          <w:tcPr>
            <w:tcW w:w="1078" w:type="dxa"/>
            <w:tcBorders>
              <w:top w:val="single" w:sz="4" w:space="0" w:color="auto"/>
            </w:tcBorders>
            <w:shd w:val="clear" w:color="auto" w:fill="E7F3F4"/>
            <w:noWrap/>
            <w:vAlign w:val="center"/>
            <w:hideMark/>
          </w:tcPr>
          <w:p w14:paraId="11D9B72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0.273</w:t>
            </w:r>
          </w:p>
        </w:tc>
        <w:tc>
          <w:tcPr>
            <w:tcW w:w="1076" w:type="dxa"/>
            <w:tcBorders>
              <w:top w:val="single" w:sz="4" w:space="0" w:color="auto"/>
            </w:tcBorders>
            <w:shd w:val="clear" w:color="auto" w:fill="E7F3F4"/>
            <w:noWrap/>
            <w:vAlign w:val="center"/>
            <w:hideMark/>
          </w:tcPr>
          <w:p w14:paraId="6853DB2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0.2757</w:t>
            </w:r>
          </w:p>
        </w:tc>
        <w:tc>
          <w:tcPr>
            <w:tcW w:w="2475" w:type="dxa"/>
            <w:tcBorders>
              <w:top w:val="single" w:sz="4" w:space="0" w:color="auto"/>
            </w:tcBorders>
            <w:shd w:val="clear" w:color="auto" w:fill="E7F3F4"/>
            <w:noWrap/>
            <w:vAlign w:val="center"/>
            <w:hideMark/>
          </w:tcPr>
          <w:p w14:paraId="740C849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0.793</w:t>
            </w:r>
          </w:p>
        </w:tc>
        <w:tc>
          <w:tcPr>
            <w:tcW w:w="1068" w:type="dxa"/>
            <w:tcBorders>
              <w:top w:val="single" w:sz="4" w:space="0" w:color="auto"/>
            </w:tcBorders>
            <w:shd w:val="clear" w:color="auto" w:fill="E7F3F4"/>
            <w:noWrap/>
            <w:vAlign w:val="center"/>
          </w:tcPr>
          <w:p w14:paraId="1F48ACD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1C17BEE3" w14:textId="77777777" w:rsidTr="00867E8C">
        <w:trPr>
          <w:cantSplit/>
          <w:trHeight w:val="312"/>
          <w:jc w:val="center"/>
        </w:trPr>
        <w:tc>
          <w:tcPr>
            <w:tcW w:w="2028" w:type="dxa"/>
            <w:vMerge/>
            <w:shd w:val="clear" w:color="auto" w:fill="E7F3F4"/>
            <w:noWrap/>
            <w:vAlign w:val="center"/>
          </w:tcPr>
          <w:p w14:paraId="36550C4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E7F3F4"/>
            <w:noWrap/>
            <w:vAlign w:val="center"/>
            <w:hideMark/>
          </w:tcPr>
          <w:p w14:paraId="77C41BE9"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396FB4FA"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BY2</w:t>
            </w:r>
          </w:p>
        </w:tc>
        <w:tc>
          <w:tcPr>
            <w:tcW w:w="1078" w:type="dxa"/>
            <w:tcBorders>
              <w:bottom w:val="single" w:sz="4" w:space="0" w:color="auto"/>
            </w:tcBorders>
            <w:shd w:val="clear" w:color="auto" w:fill="E7F3F4"/>
            <w:vAlign w:val="center"/>
          </w:tcPr>
          <w:p w14:paraId="0D7EB410"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2012</w:t>
            </w:r>
          </w:p>
        </w:tc>
        <w:tc>
          <w:tcPr>
            <w:tcW w:w="1068" w:type="dxa"/>
            <w:tcBorders>
              <w:bottom w:val="single" w:sz="4" w:space="0" w:color="auto"/>
            </w:tcBorders>
            <w:shd w:val="clear" w:color="auto" w:fill="E7F3F4"/>
            <w:vAlign w:val="center"/>
          </w:tcPr>
          <w:p w14:paraId="50CE8A1A"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2018</w:t>
            </w:r>
          </w:p>
        </w:tc>
        <w:tc>
          <w:tcPr>
            <w:tcW w:w="519" w:type="dxa"/>
            <w:tcBorders>
              <w:bottom w:val="single" w:sz="4" w:space="0" w:color="auto"/>
            </w:tcBorders>
            <w:shd w:val="clear" w:color="auto" w:fill="E7F3F4"/>
            <w:vAlign w:val="center"/>
          </w:tcPr>
          <w:p w14:paraId="1E94DB71"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11</w:t>
            </w:r>
          </w:p>
        </w:tc>
        <w:tc>
          <w:tcPr>
            <w:tcW w:w="1078" w:type="dxa"/>
            <w:tcBorders>
              <w:bottom w:val="single" w:sz="4" w:space="0" w:color="auto"/>
            </w:tcBorders>
            <w:shd w:val="clear" w:color="auto" w:fill="E7F3F4"/>
            <w:noWrap/>
            <w:vAlign w:val="center"/>
            <w:hideMark/>
          </w:tcPr>
          <w:p w14:paraId="4FB34947"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0.445</w:t>
            </w:r>
          </w:p>
        </w:tc>
        <w:tc>
          <w:tcPr>
            <w:tcW w:w="1076" w:type="dxa"/>
            <w:tcBorders>
              <w:bottom w:val="single" w:sz="4" w:space="0" w:color="auto"/>
            </w:tcBorders>
            <w:shd w:val="clear" w:color="auto" w:fill="E7F3F4"/>
            <w:noWrap/>
            <w:vAlign w:val="center"/>
            <w:hideMark/>
          </w:tcPr>
          <w:p w14:paraId="2C0F10B8" w14:textId="77777777"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0.062</w:t>
            </w:r>
          </w:p>
        </w:tc>
        <w:tc>
          <w:tcPr>
            <w:tcW w:w="2475" w:type="dxa"/>
            <w:tcBorders>
              <w:bottom w:val="single" w:sz="4" w:space="0" w:color="auto"/>
            </w:tcBorders>
            <w:shd w:val="clear" w:color="auto" w:fill="E7F3F4"/>
            <w:noWrap/>
            <w:vAlign w:val="center"/>
            <w:hideMark/>
          </w:tcPr>
          <w:p w14:paraId="59013A35" w14:textId="53E90191" w:rsidR="00867E8C" w:rsidRPr="00867E8C" w:rsidRDefault="00867E8C"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0.898</w:t>
            </w:r>
          </w:p>
        </w:tc>
        <w:tc>
          <w:tcPr>
            <w:tcW w:w="1068" w:type="dxa"/>
            <w:tcBorders>
              <w:bottom w:val="single" w:sz="4" w:space="0" w:color="auto"/>
            </w:tcBorders>
            <w:shd w:val="clear" w:color="auto" w:fill="E7F3F4"/>
            <w:noWrap/>
            <w:vAlign w:val="center"/>
          </w:tcPr>
          <w:p w14:paraId="1F22FB84"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867E8C" w:rsidRPr="00867E8C" w14:paraId="7B0FF9C4" w14:textId="77777777" w:rsidTr="00867E8C">
        <w:trPr>
          <w:cantSplit/>
          <w:trHeight w:val="312"/>
          <w:jc w:val="center"/>
        </w:trPr>
        <w:tc>
          <w:tcPr>
            <w:tcW w:w="2028" w:type="dxa"/>
            <w:vMerge/>
            <w:shd w:val="clear" w:color="auto" w:fill="E7F3F4"/>
            <w:noWrap/>
            <w:vAlign w:val="center"/>
          </w:tcPr>
          <w:p w14:paraId="5602CC5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E7F3F4"/>
            <w:noWrap/>
            <w:vAlign w:val="center"/>
          </w:tcPr>
          <w:p w14:paraId="44657F6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E7F3F4"/>
            <w:noWrap/>
            <w:vAlign w:val="center"/>
            <w:hideMark/>
          </w:tcPr>
          <w:p w14:paraId="04D5071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SR1</w:t>
            </w:r>
          </w:p>
        </w:tc>
        <w:tc>
          <w:tcPr>
            <w:tcW w:w="1078" w:type="dxa"/>
            <w:tcBorders>
              <w:top w:val="single" w:sz="4" w:space="0" w:color="auto"/>
            </w:tcBorders>
            <w:shd w:val="clear" w:color="auto" w:fill="E7F3F4"/>
            <w:vAlign w:val="center"/>
          </w:tcPr>
          <w:p w14:paraId="7B7E603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tcBorders>
            <w:shd w:val="clear" w:color="auto" w:fill="E7F3F4"/>
            <w:vAlign w:val="center"/>
          </w:tcPr>
          <w:p w14:paraId="3A3EDE4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18E2F73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9</w:t>
            </w:r>
          </w:p>
        </w:tc>
        <w:tc>
          <w:tcPr>
            <w:tcW w:w="1078" w:type="dxa"/>
            <w:tcBorders>
              <w:top w:val="single" w:sz="4" w:space="0" w:color="auto"/>
            </w:tcBorders>
            <w:shd w:val="clear" w:color="auto" w:fill="E7F3F4"/>
            <w:noWrap/>
            <w:vAlign w:val="center"/>
            <w:hideMark/>
          </w:tcPr>
          <w:p w14:paraId="5633624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tcBorders>
            <w:shd w:val="clear" w:color="auto" w:fill="E7F3F4"/>
            <w:noWrap/>
            <w:vAlign w:val="center"/>
            <w:hideMark/>
          </w:tcPr>
          <w:p w14:paraId="0C4F3C4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0.251</w:t>
            </w:r>
          </w:p>
        </w:tc>
        <w:tc>
          <w:tcPr>
            <w:tcW w:w="2475" w:type="dxa"/>
            <w:tcBorders>
              <w:top w:val="single" w:sz="4" w:space="0" w:color="auto"/>
            </w:tcBorders>
            <w:shd w:val="clear" w:color="auto" w:fill="E7F3F4"/>
            <w:noWrap/>
            <w:vAlign w:val="center"/>
            <w:hideMark/>
          </w:tcPr>
          <w:p w14:paraId="56C93A60"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-0.697</w:t>
            </w:r>
          </w:p>
        </w:tc>
        <w:tc>
          <w:tcPr>
            <w:tcW w:w="1068" w:type="dxa"/>
            <w:tcBorders>
              <w:top w:val="single" w:sz="4" w:space="0" w:color="auto"/>
            </w:tcBorders>
            <w:shd w:val="clear" w:color="auto" w:fill="E7F3F4"/>
            <w:noWrap/>
            <w:vAlign w:val="center"/>
            <w:hideMark/>
          </w:tcPr>
          <w:p w14:paraId="00D15E0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70617F42" w14:textId="77777777" w:rsidTr="00867E8C">
        <w:trPr>
          <w:cantSplit/>
          <w:trHeight w:val="312"/>
          <w:jc w:val="center"/>
        </w:trPr>
        <w:tc>
          <w:tcPr>
            <w:tcW w:w="2028" w:type="dxa"/>
            <w:vMerge/>
            <w:shd w:val="clear" w:color="auto" w:fill="E7F3F4"/>
            <w:noWrap/>
            <w:vAlign w:val="center"/>
          </w:tcPr>
          <w:p w14:paraId="2EEDD74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7567B22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262A5E55"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SR2</w:t>
            </w:r>
          </w:p>
        </w:tc>
        <w:tc>
          <w:tcPr>
            <w:tcW w:w="1078" w:type="dxa"/>
            <w:tcBorders>
              <w:bottom w:val="single" w:sz="4" w:space="0" w:color="auto"/>
            </w:tcBorders>
            <w:shd w:val="clear" w:color="auto" w:fill="E7F3F4"/>
            <w:vAlign w:val="center"/>
          </w:tcPr>
          <w:p w14:paraId="4271A68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bottom w:val="single" w:sz="4" w:space="0" w:color="auto"/>
            </w:tcBorders>
            <w:shd w:val="clear" w:color="auto" w:fill="E7F3F4"/>
            <w:vAlign w:val="center"/>
          </w:tcPr>
          <w:p w14:paraId="1D0ED6C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E7F3F4"/>
            <w:vAlign w:val="center"/>
          </w:tcPr>
          <w:p w14:paraId="5D5321B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9</w:t>
            </w:r>
          </w:p>
        </w:tc>
        <w:tc>
          <w:tcPr>
            <w:tcW w:w="1078" w:type="dxa"/>
            <w:tcBorders>
              <w:bottom w:val="single" w:sz="4" w:space="0" w:color="auto"/>
            </w:tcBorders>
            <w:shd w:val="clear" w:color="auto" w:fill="E7F3F4"/>
            <w:noWrap/>
            <w:vAlign w:val="center"/>
            <w:hideMark/>
          </w:tcPr>
          <w:p w14:paraId="5940EF2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0.222</w:t>
            </w:r>
          </w:p>
        </w:tc>
        <w:tc>
          <w:tcPr>
            <w:tcW w:w="1076" w:type="dxa"/>
            <w:tcBorders>
              <w:bottom w:val="single" w:sz="4" w:space="0" w:color="auto"/>
            </w:tcBorders>
            <w:shd w:val="clear" w:color="auto" w:fill="E7F3F4"/>
            <w:noWrap/>
            <w:vAlign w:val="center"/>
            <w:hideMark/>
          </w:tcPr>
          <w:p w14:paraId="2B2463B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0.466</w:t>
            </w:r>
          </w:p>
        </w:tc>
        <w:tc>
          <w:tcPr>
            <w:tcW w:w="2475" w:type="dxa"/>
            <w:tcBorders>
              <w:bottom w:val="single" w:sz="4" w:space="0" w:color="auto"/>
            </w:tcBorders>
            <w:shd w:val="clear" w:color="auto" w:fill="E7F3F4"/>
            <w:noWrap/>
            <w:vAlign w:val="center"/>
            <w:hideMark/>
          </w:tcPr>
          <w:p w14:paraId="2E116F0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0.261</w:t>
            </w:r>
          </w:p>
        </w:tc>
        <w:tc>
          <w:tcPr>
            <w:tcW w:w="1068" w:type="dxa"/>
            <w:tcBorders>
              <w:bottom w:val="single" w:sz="4" w:space="0" w:color="auto"/>
            </w:tcBorders>
            <w:shd w:val="clear" w:color="auto" w:fill="E7F3F4"/>
            <w:noWrap/>
            <w:vAlign w:val="center"/>
            <w:hideMark/>
          </w:tcPr>
          <w:p w14:paraId="6DDDC87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321D5297" w14:textId="77777777" w:rsidTr="00867E8C">
        <w:trPr>
          <w:cantSplit/>
          <w:trHeight w:val="312"/>
          <w:jc w:val="center"/>
        </w:trPr>
        <w:tc>
          <w:tcPr>
            <w:tcW w:w="2028" w:type="dxa"/>
            <w:vMerge/>
            <w:shd w:val="clear" w:color="auto" w:fill="E7F3F4"/>
            <w:noWrap/>
            <w:vAlign w:val="center"/>
          </w:tcPr>
          <w:p w14:paraId="675BFFF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tcBorders>
            <w:shd w:val="clear" w:color="auto" w:fill="E7F3F4"/>
            <w:noWrap/>
            <w:vAlign w:val="center"/>
          </w:tcPr>
          <w:p w14:paraId="4F784DD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subtidal</w:t>
            </w:r>
          </w:p>
        </w:tc>
        <w:tc>
          <w:tcPr>
            <w:tcW w:w="720" w:type="dxa"/>
            <w:tcBorders>
              <w:top w:val="single" w:sz="4" w:space="0" w:color="auto"/>
            </w:tcBorders>
            <w:shd w:val="clear" w:color="auto" w:fill="E7F3F4"/>
            <w:noWrap/>
            <w:vAlign w:val="center"/>
          </w:tcPr>
          <w:p w14:paraId="5550505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LR1</w:t>
            </w:r>
          </w:p>
        </w:tc>
        <w:tc>
          <w:tcPr>
            <w:tcW w:w="1078" w:type="dxa"/>
            <w:tcBorders>
              <w:top w:val="single" w:sz="4" w:space="0" w:color="auto"/>
            </w:tcBorders>
            <w:shd w:val="clear" w:color="auto" w:fill="E7F3F4"/>
            <w:vAlign w:val="center"/>
          </w:tcPr>
          <w:p w14:paraId="0527A5E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top w:val="single" w:sz="4" w:space="0" w:color="auto"/>
            </w:tcBorders>
            <w:shd w:val="clear" w:color="auto" w:fill="E7F3F4"/>
            <w:vAlign w:val="center"/>
          </w:tcPr>
          <w:p w14:paraId="5D153A0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519" w:type="dxa"/>
            <w:tcBorders>
              <w:top w:val="single" w:sz="4" w:space="0" w:color="auto"/>
            </w:tcBorders>
            <w:shd w:val="clear" w:color="auto" w:fill="E7F3F4"/>
            <w:vAlign w:val="center"/>
          </w:tcPr>
          <w:p w14:paraId="126022F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top w:val="single" w:sz="4" w:space="0" w:color="auto"/>
            </w:tcBorders>
            <w:shd w:val="clear" w:color="auto" w:fill="E7F3F4"/>
            <w:noWrap/>
            <w:vAlign w:val="center"/>
          </w:tcPr>
          <w:p w14:paraId="0D294FD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tcBorders>
            <w:shd w:val="clear" w:color="auto" w:fill="E7F3F4"/>
            <w:noWrap/>
            <w:vAlign w:val="center"/>
          </w:tcPr>
          <w:p w14:paraId="04E7DDB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1.0000</w:t>
            </w:r>
          </w:p>
        </w:tc>
        <w:tc>
          <w:tcPr>
            <w:tcW w:w="2475" w:type="dxa"/>
            <w:tcBorders>
              <w:top w:val="single" w:sz="4" w:space="0" w:color="auto"/>
            </w:tcBorders>
            <w:shd w:val="clear" w:color="auto" w:fill="E7F3F4"/>
            <w:noWrap/>
            <w:vAlign w:val="center"/>
          </w:tcPr>
          <w:p w14:paraId="4E3198A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-3.376</w:t>
            </w:r>
          </w:p>
        </w:tc>
        <w:tc>
          <w:tcPr>
            <w:tcW w:w="1068" w:type="dxa"/>
            <w:tcBorders>
              <w:top w:val="single" w:sz="4" w:space="0" w:color="auto"/>
            </w:tcBorders>
            <w:shd w:val="clear" w:color="auto" w:fill="E7F3F4"/>
            <w:noWrap/>
            <w:vAlign w:val="center"/>
          </w:tcPr>
          <w:p w14:paraId="5FBB5E4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71C4BDAE" w14:textId="77777777" w:rsidTr="00867E8C">
        <w:trPr>
          <w:cantSplit/>
          <w:trHeight w:val="312"/>
          <w:jc w:val="center"/>
        </w:trPr>
        <w:tc>
          <w:tcPr>
            <w:tcW w:w="2028" w:type="dxa"/>
            <w:vMerge/>
            <w:shd w:val="clear" w:color="auto" w:fill="E7F3F4"/>
            <w:noWrap/>
            <w:vAlign w:val="center"/>
          </w:tcPr>
          <w:p w14:paraId="29F6418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673D77C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tcPr>
          <w:p w14:paraId="3C288739"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LR2</w:t>
            </w:r>
          </w:p>
        </w:tc>
        <w:tc>
          <w:tcPr>
            <w:tcW w:w="1078" w:type="dxa"/>
            <w:tcBorders>
              <w:bottom w:val="single" w:sz="4" w:space="0" w:color="auto"/>
            </w:tcBorders>
            <w:shd w:val="clear" w:color="auto" w:fill="E7F3F4"/>
            <w:vAlign w:val="center"/>
          </w:tcPr>
          <w:p w14:paraId="79D87A8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bottom w:val="single" w:sz="4" w:space="0" w:color="auto"/>
            </w:tcBorders>
            <w:shd w:val="clear" w:color="auto" w:fill="E7F3F4"/>
            <w:vAlign w:val="center"/>
          </w:tcPr>
          <w:p w14:paraId="00E2AC8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519" w:type="dxa"/>
            <w:tcBorders>
              <w:bottom w:val="single" w:sz="4" w:space="0" w:color="auto"/>
            </w:tcBorders>
            <w:shd w:val="clear" w:color="auto" w:fill="E7F3F4"/>
            <w:vAlign w:val="center"/>
          </w:tcPr>
          <w:p w14:paraId="13014BC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bottom w:val="single" w:sz="4" w:space="0" w:color="auto"/>
            </w:tcBorders>
            <w:shd w:val="clear" w:color="auto" w:fill="E7F3F4"/>
            <w:noWrap/>
            <w:vAlign w:val="center"/>
          </w:tcPr>
          <w:p w14:paraId="33C5B70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-1.000</w:t>
            </w:r>
          </w:p>
        </w:tc>
        <w:tc>
          <w:tcPr>
            <w:tcW w:w="1076" w:type="dxa"/>
            <w:tcBorders>
              <w:bottom w:val="single" w:sz="4" w:space="0" w:color="auto"/>
            </w:tcBorders>
            <w:shd w:val="clear" w:color="auto" w:fill="E7F3F4"/>
            <w:noWrap/>
            <w:vAlign w:val="center"/>
          </w:tcPr>
          <w:p w14:paraId="430AD4A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0.2963</w:t>
            </w:r>
          </w:p>
        </w:tc>
        <w:tc>
          <w:tcPr>
            <w:tcW w:w="2475" w:type="dxa"/>
            <w:tcBorders>
              <w:bottom w:val="single" w:sz="4" w:space="0" w:color="auto"/>
            </w:tcBorders>
            <w:shd w:val="clear" w:color="auto" w:fill="E7F3F4"/>
            <w:noWrap/>
            <w:vAlign w:val="center"/>
          </w:tcPr>
          <w:p w14:paraId="118C013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-16.635</w:t>
            </w:r>
          </w:p>
        </w:tc>
        <w:tc>
          <w:tcPr>
            <w:tcW w:w="1068" w:type="dxa"/>
            <w:tcBorders>
              <w:bottom w:val="single" w:sz="4" w:space="0" w:color="auto"/>
            </w:tcBorders>
            <w:shd w:val="clear" w:color="auto" w:fill="E7F3F4"/>
            <w:noWrap/>
            <w:vAlign w:val="center"/>
          </w:tcPr>
          <w:p w14:paraId="4317592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4CBFD87F" w14:textId="77777777" w:rsidTr="00867E8C">
        <w:trPr>
          <w:cantSplit/>
          <w:trHeight w:val="312"/>
          <w:jc w:val="center"/>
        </w:trPr>
        <w:tc>
          <w:tcPr>
            <w:tcW w:w="2028" w:type="dxa"/>
            <w:vMerge/>
            <w:shd w:val="clear" w:color="auto" w:fill="E7F3F4"/>
            <w:noWrap/>
            <w:vAlign w:val="center"/>
          </w:tcPr>
          <w:p w14:paraId="23ADAE1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bottom w:val="single" w:sz="4" w:space="0" w:color="auto"/>
            </w:tcBorders>
            <w:shd w:val="clear" w:color="auto" w:fill="E7F3F4"/>
            <w:noWrap/>
            <w:vAlign w:val="center"/>
            <w:hideMark/>
          </w:tcPr>
          <w:p w14:paraId="58FCF8E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intertidal</w:t>
            </w:r>
          </w:p>
        </w:tc>
        <w:tc>
          <w:tcPr>
            <w:tcW w:w="720" w:type="dxa"/>
            <w:tcBorders>
              <w:top w:val="single" w:sz="4" w:space="0" w:color="auto"/>
            </w:tcBorders>
            <w:shd w:val="clear" w:color="auto" w:fill="E7F3F4"/>
            <w:noWrap/>
            <w:vAlign w:val="center"/>
            <w:hideMark/>
          </w:tcPr>
          <w:p w14:paraId="7BE4BCFB"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AP1</w:t>
            </w:r>
          </w:p>
        </w:tc>
        <w:tc>
          <w:tcPr>
            <w:tcW w:w="1078" w:type="dxa"/>
            <w:tcBorders>
              <w:top w:val="single" w:sz="4" w:space="0" w:color="auto"/>
            </w:tcBorders>
            <w:shd w:val="clear" w:color="auto" w:fill="E7F3F4"/>
            <w:vAlign w:val="center"/>
          </w:tcPr>
          <w:p w14:paraId="1132E2F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2003</w:t>
            </w:r>
          </w:p>
        </w:tc>
        <w:tc>
          <w:tcPr>
            <w:tcW w:w="1068" w:type="dxa"/>
            <w:tcBorders>
              <w:top w:val="single" w:sz="4" w:space="0" w:color="auto"/>
            </w:tcBorders>
            <w:shd w:val="clear" w:color="auto" w:fill="E7F3F4"/>
            <w:vAlign w:val="center"/>
          </w:tcPr>
          <w:p w14:paraId="683917D5"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519" w:type="dxa"/>
            <w:tcBorders>
              <w:top w:val="single" w:sz="4" w:space="0" w:color="auto"/>
            </w:tcBorders>
            <w:shd w:val="clear" w:color="auto" w:fill="E7F3F4"/>
            <w:vAlign w:val="center"/>
          </w:tcPr>
          <w:p w14:paraId="71542FE0"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35</w:t>
            </w:r>
          </w:p>
        </w:tc>
        <w:tc>
          <w:tcPr>
            <w:tcW w:w="1078" w:type="dxa"/>
            <w:tcBorders>
              <w:top w:val="single" w:sz="4" w:space="0" w:color="auto"/>
            </w:tcBorders>
            <w:shd w:val="clear" w:color="auto" w:fill="E7F3F4"/>
            <w:noWrap/>
            <w:vAlign w:val="center"/>
            <w:hideMark/>
          </w:tcPr>
          <w:p w14:paraId="45BD9AFD"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-0.459</w:t>
            </w:r>
          </w:p>
        </w:tc>
        <w:tc>
          <w:tcPr>
            <w:tcW w:w="1076" w:type="dxa"/>
            <w:tcBorders>
              <w:top w:val="single" w:sz="4" w:space="0" w:color="auto"/>
            </w:tcBorders>
            <w:shd w:val="clear" w:color="auto" w:fill="E7F3F4"/>
            <w:noWrap/>
            <w:vAlign w:val="center"/>
            <w:hideMark/>
          </w:tcPr>
          <w:p w14:paraId="15EFA412"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0.0001</w:t>
            </w:r>
          </w:p>
        </w:tc>
        <w:tc>
          <w:tcPr>
            <w:tcW w:w="2475" w:type="dxa"/>
            <w:tcBorders>
              <w:top w:val="single" w:sz="4" w:space="0" w:color="auto"/>
            </w:tcBorders>
            <w:shd w:val="clear" w:color="auto" w:fill="E7F3F4"/>
            <w:noWrap/>
            <w:vAlign w:val="center"/>
            <w:hideMark/>
          </w:tcPr>
          <w:p w14:paraId="2575F6F2"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-0.533</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(-0.763 to -0.283)</w:t>
            </w:r>
          </w:p>
        </w:tc>
        <w:tc>
          <w:tcPr>
            <w:tcW w:w="1068" w:type="dxa"/>
            <w:tcBorders>
              <w:top w:val="single" w:sz="4" w:space="0" w:color="auto"/>
            </w:tcBorders>
            <w:shd w:val="clear" w:color="auto" w:fill="E7F3F4"/>
            <w:noWrap/>
            <w:vAlign w:val="center"/>
            <w:hideMark/>
          </w:tcPr>
          <w:p w14:paraId="398F626E"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867E8C" w:rsidRPr="00867E8C" w14:paraId="7DACF8AF" w14:textId="77777777" w:rsidTr="00867E8C">
        <w:trPr>
          <w:cantSplit/>
          <w:trHeight w:val="312"/>
          <w:jc w:val="center"/>
        </w:trPr>
        <w:tc>
          <w:tcPr>
            <w:tcW w:w="2028" w:type="dxa"/>
            <w:vMerge/>
            <w:shd w:val="clear" w:color="auto" w:fill="E7F3F4"/>
            <w:noWrap/>
            <w:vAlign w:val="center"/>
          </w:tcPr>
          <w:p w14:paraId="76E1655D"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3FFA89D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0986A3B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AP2</w:t>
            </w:r>
          </w:p>
        </w:tc>
        <w:tc>
          <w:tcPr>
            <w:tcW w:w="1078" w:type="dxa"/>
            <w:tcBorders>
              <w:bottom w:val="single" w:sz="4" w:space="0" w:color="auto"/>
            </w:tcBorders>
            <w:shd w:val="clear" w:color="auto" w:fill="E7F3F4"/>
            <w:vAlign w:val="center"/>
          </w:tcPr>
          <w:p w14:paraId="0D42AC0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E7F3F4"/>
            <w:vAlign w:val="center"/>
          </w:tcPr>
          <w:p w14:paraId="51CF0DA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519" w:type="dxa"/>
            <w:tcBorders>
              <w:bottom w:val="single" w:sz="4" w:space="0" w:color="auto"/>
            </w:tcBorders>
            <w:shd w:val="clear" w:color="auto" w:fill="E7F3F4"/>
            <w:vAlign w:val="center"/>
          </w:tcPr>
          <w:p w14:paraId="0F4C33A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24</w:t>
            </w:r>
          </w:p>
        </w:tc>
        <w:tc>
          <w:tcPr>
            <w:tcW w:w="1078" w:type="dxa"/>
            <w:tcBorders>
              <w:bottom w:val="single" w:sz="4" w:space="0" w:color="auto"/>
            </w:tcBorders>
            <w:shd w:val="clear" w:color="auto" w:fill="E7F3F4"/>
            <w:noWrap/>
            <w:vAlign w:val="center"/>
            <w:hideMark/>
          </w:tcPr>
          <w:p w14:paraId="7965B7D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-0.022</w:t>
            </w:r>
          </w:p>
        </w:tc>
        <w:tc>
          <w:tcPr>
            <w:tcW w:w="1076" w:type="dxa"/>
            <w:tcBorders>
              <w:bottom w:val="single" w:sz="4" w:space="0" w:color="auto"/>
            </w:tcBorders>
            <w:shd w:val="clear" w:color="auto" w:fill="E7F3F4"/>
            <w:noWrap/>
            <w:vAlign w:val="center"/>
            <w:hideMark/>
          </w:tcPr>
          <w:p w14:paraId="4E4BE70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0.9013</w:t>
            </w:r>
          </w:p>
        </w:tc>
        <w:tc>
          <w:tcPr>
            <w:tcW w:w="2475" w:type="dxa"/>
            <w:tcBorders>
              <w:bottom w:val="single" w:sz="4" w:space="0" w:color="auto"/>
            </w:tcBorders>
            <w:shd w:val="clear" w:color="auto" w:fill="E7F3F4"/>
            <w:noWrap/>
            <w:vAlign w:val="center"/>
            <w:hideMark/>
          </w:tcPr>
          <w:p w14:paraId="50EB3C6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-0.030</w:t>
            </w:r>
          </w:p>
        </w:tc>
        <w:tc>
          <w:tcPr>
            <w:tcW w:w="1068" w:type="dxa"/>
            <w:tcBorders>
              <w:bottom w:val="single" w:sz="4" w:space="0" w:color="auto"/>
            </w:tcBorders>
            <w:shd w:val="clear" w:color="auto" w:fill="E7F3F4"/>
            <w:noWrap/>
            <w:vAlign w:val="center"/>
            <w:hideMark/>
          </w:tcPr>
          <w:p w14:paraId="6B78359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3DDD53F0" w14:textId="77777777" w:rsidTr="00867E8C">
        <w:trPr>
          <w:cantSplit/>
          <w:trHeight w:val="312"/>
          <w:jc w:val="center"/>
        </w:trPr>
        <w:tc>
          <w:tcPr>
            <w:tcW w:w="2028" w:type="dxa"/>
            <w:vMerge/>
            <w:shd w:val="clear" w:color="auto" w:fill="E7F3F4"/>
            <w:noWrap/>
            <w:vAlign w:val="center"/>
          </w:tcPr>
          <w:p w14:paraId="6FCD442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hideMark/>
          </w:tcPr>
          <w:p w14:paraId="30BBE89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E7F3F4"/>
            <w:noWrap/>
            <w:vAlign w:val="center"/>
            <w:hideMark/>
          </w:tcPr>
          <w:p w14:paraId="33D644F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FR1</w:t>
            </w:r>
          </w:p>
        </w:tc>
        <w:tc>
          <w:tcPr>
            <w:tcW w:w="1078" w:type="dxa"/>
            <w:tcBorders>
              <w:top w:val="single" w:sz="4" w:space="0" w:color="auto"/>
            </w:tcBorders>
            <w:shd w:val="clear" w:color="auto" w:fill="E7F3F4"/>
            <w:vAlign w:val="center"/>
          </w:tcPr>
          <w:p w14:paraId="3E20915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tcBorders>
            <w:shd w:val="clear" w:color="auto" w:fill="E7F3F4"/>
            <w:vAlign w:val="center"/>
          </w:tcPr>
          <w:p w14:paraId="0274C01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53FA64D5"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10</w:t>
            </w:r>
          </w:p>
        </w:tc>
        <w:tc>
          <w:tcPr>
            <w:tcW w:w="1078" w:type="dxa"/>
            <w:tcBorders>
              <w:top w:val="single" w:sz="4" w:space="0" w:color="auto"/>
            </w:tcBorders>
            <w:shd w:val="clear" w:color="auto" w:fill="E7F3F4"/>
            <w:noWrap/>
            <w:vAlign w:val="center"/>
            <w:hideMark/>
          </w:tcPr>
          <w:p w14:paraId="47FB32D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-0.225</w:t>
            </w:r>
          </w:p>
        </w:tc>
        <w:tc>
          <w:tcPr>
            <w:tcW w:w="1076" w:type="dxa"/>
            <w:tcBorders>
              <w:top w:val="single" w:sz="4" w:space="0" w:color="auto"/>
            </w:tcBorders>
            <w:shd w:val="clear" w:color="auto" w:fill="E7F3F4"/>
            <w:noWrap/>
            <w:vAlign w:val="center"/>
            <w:hideMark/>
          </w:tcPr>
          <w:p w14:paraId="0ADA75C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0.419</w:t>
            </w:r>
          </w:p>
        </w:tc>
        <w:tc>
          <w:tcPr>
            <w:tcW w:w="2475" w:type="dxa"/>
            <w:tcBorders>
              <w:top w:val="single" w:sz="4" w:space="0" w:color="auto"/>
            </w:tcBorders>
            <w:shd w:val="clear" w:color="auto" w:fill="E7F3F4"/>
            <w:noWrap/>
            <w:vAlign w:val="center"/>
            <w:hideMark/>
          </w:tcPr>
          <w:p w14:paraId="79E5A0B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-0.212</w:t>
            </w:r>
          </w:p>
        </w:tc>
        <w:tc>
          <w:tcPr>
            <w:tcW w:w="1068" w:type="dxa"/>
            <w:tcBorders>
              <w:top w:val="single" w:sz="4" w:space="0" w:color="auto"/>
            </w:tcBorders>
            <w:shd w:val="clear" w:color="auto" w:fill="E7F3F4"/>
            <w:noWrap/>
            <w:vAlign w:val="center"/>
          </w:tcPr>
          <w:p w14:paraId="79549B7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3AF9A08C" w14:textId="77777777" w:rsidTr="00867E8C">
        <w:trPr>
          <w:cantSplit/>
          <w:trHeight w:val="312"/>
          <w:jc w:val="center"/>
        </w:trPr>
        <w:tc>
          <w:tcPr>
            <w:tcW w:w="2028" w:type="dxa"/>
            <w:vMerge/>
            <w:shd w:val="clear" w:color="auto" w:fill="E7F3F4"/>
            <w:noWrap/>
            <w:vAlign w:val="center"/>
          </w:tcPr>
          <w:p w14:paraId="6EE9F61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2092399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24B7B43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FR2</w:t>
            </w:r>
          </w:p>
        </w:tc>
        <w:tc>
          <w:tcPr>
            <w:tcW w:w="1078" w:type="dxa"/>
            <w:tcBorders>
              <w:bottom w:val="single" w:sz="4" w:space="0" w:color="auto"/>
            </w:tcBorders>
            <w:shd w:val="clear" w:color="auto" w:fill="E7F3F4"/>
            <w:vAlign w:val="center"/>
          </w:tcPr>
          <w:p w14:paraId="3689667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bottom w:val="single" w:sz="4" w:space="0" w:color="auto"/>
            </w:tcBorders>
            <w:shd w:val="clear" w:color="auto" w:fill="E7F3F4"/>
            <w:vAlign w:val="center"/>
          </w:tcPr>
          <w:p w14:paraId="502CBDD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E7F3F4"/>
            <w:vAlign w:val="center"/>
          </w:tcPr>
          <w:p w14:paraId="5F7AEBE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9</w:t>
            </w:r>
          </w:p>
        </w:tc>
        <w:tc>
          <w:tcPr>
            <w:tcW w:w="1078" w:type="dxa"/>
            <w:tcBorders>
              <w:bottom w:val="single" w:sz="4" w:space="0" w:color="auto"/>
            </w:tcBorders>
            <w:shd w:val="clear" w:color="auto" w:fill="E7F3F4"/>
            <w:noWrap/>
            <w:vAlign w:val="center"/>
            <w:hideMark/>
          </w:tcPr>
          <w:p w14:paraId="09B96CE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-0.444</w:t>
            </w:r>
          </w:p>
        </w:tc>
        <w:tc>
          <w:tcPr>
            <w:tcW w:w="1076" w:type="dxa"/>
            <w:tcBorders>
              <w:bottom w:val="single" w:sz="4" w:space="0" w:color="auto"/>
            </w:tcBorders>
            <w:shd w:val="clear" w:color="auto" w:fill="E7F3F4"/>
            <w:noWrap/>
            <w:vAlign w:val="center"/>
            <w:hideMark/>
          </w:tcPr>
          <w:p w14:paraId="29941EF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0.118</w:t>
            </w:r>
          </w:p>
        </w:tc>
        <w:tc>
          <w:tcPr>
            <w:tcW w:w="2475" w:type="dxa"/>
            <w:tcBorders>
              <w:bottom w:val="single" w:sz="4" w:space="0" w:color="auto"/>
            </w:tcBorders>
            <w:shd w:val="clear" w:color="auto" w:fill="E7F3F4"/>
            <w:noWrap/>
            <w:vAlign w:val="center"/>
            <w:hideMark/>
          </w:tcPr>
          <w:p w14:paraId="3275521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-1.621</w:t>
            </w:r>
          </w:p>
        </w:tc>
        <w:tc>
          <w:tcPr>
            <w:tcW w:w="1068" w:type="dxa"/>
            <w:tcBorders>
              <w:bottom w:val="single" w:sz="4" w:space="0" w:color="auto"/>
            </w:tcBorders>
            <w:shd w:val="clear" w:color="auto" w:fill="E7F3F4"/>
            <w:noWrap/>
            <w:vAlign w:val="center"/>
          </w:tcPr>
          <w:p w14:paraId="59DAD3B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5586E51B" w14:textId="77777777" w:rsidTr="00867E8C">
        <w:trPr>
          <w:cantSplit/>
          <w:trHeight w:val="312"/>
          <w:jc w:val="center"/>
        </w:trPr>
        <w:tc>
          <w:tcPr>
            <w:tcW w:w="2028" w:type="dxa"/>
            <w:vMerge/>
            <w:shd w:val="clear" w:color="auto" w:fill="E7F3F4"/>
            <w:noWrap/>
            <w:vAlign w:val="center"/>
          </w:tcPr>
          <w:p w14:paraId="1590FF1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7697D6B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E7F3F4"/>
            <w:noWrap/>
            <w:vAlign w:val="center"/>
            <w:hideMark/>
          </w:tcPr>
          <w:p w14:paraId="3A155338"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ST1</w:t>
            </w:r>
          </w:p>
        </w:tc>
        <w:tc>
          <w:tcPr>
            <w:tcW w:w="1078" w:type="dxa"/>
            <w:tcBorders>
              <w:top w:val="single" w:sz="4" w:space="0" w:color="auto"/>
            </w:tcBorders>
            <w:shd w:val="clear" w:color="auto" w:fill="E7F3F4"/>
            <w:vAlign w:val="center"/>
          </w:tcPr>
          <w:p w14:paraId="5F26674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tcBorders>
            <w:shd w:val="clear" w:color="auto" w:fill="E7F3F4"/>
            <w:vAlign w:val="center"/>
          </w:tcPr>
          <w:p w14:paraId="5F550A20"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5C7246B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11</w:t>
            </w:r>
          </w:p>
        </w:tc>
        <w:tc>
          <w:tcPr>
            <w:tcW w:w="1078" w:type="dxa"/>
            <w:tcBorders>
              <w:top w:val="single" w:sz="4" w:space="0" w:color="auto"/>
            </w:tcBorders>
            <w:shd w:val="clear" w:color="auto" w:fill="E7F3F4"/>
            <w:noWrap/>
            <w:vAlign w:val="center"/>
            <w:hideMark/>
          </w:tcPr>
          <w:p w14:paraId="270FB333"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0.600</w:t>
            </w:r>
          </w:p>
        </w:tc>
        <w:tc>
          <w:tcPr>
            <w:tcW w:w="1076" w:type="dxa"/>
            <w:tcBorders>
              <w:top w:val="single" w:sz="4" w:space="0" w:color="auto"/>
            </w:tcBorders>
            <w:shd w:val="clear" w:color="auto" w:fill="E7F3F4"/>
            <w:noWrap/>
            <w:vAlign w:val="center"/>
            <w:hideMark/>
          </w:tcPr>
          <w:p w14:paraId="205A6167"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0.013</w:t>
            </w:r>
          </w:p>
        </w:tc>
        <w:tc>
          <w:tcPr>
            <w:tcW w:w="2475" w:type="dxa"/>
            <w:tcBorders>
              <w:top w:val="single" w:sz="4" w:space="0" w:color="auto"/>
            </w:tcBorders>
            <w:shd w:val="clear" w:color="auto" w:fill="E7F3F4"/>
            <w:noWrap/>
            <w:vAlign w:val="center"/>
            <w:hideMark/>
          </w:tcPr>
          <w:p w14:paraId="465776E6"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 xml:space="preserve">0.666 </w:t>
            </w:r>
            <w:r w:rsidRPr="00867E8C">
              <w:rPr>
                <w:rFonts w:asciiTheme="minorHAnsi" w:hAnsiTheme="minorHAnsi" w:cstheme="minorHAnsi"/>
                <w:b/>
                <w:color w:val="000000"/>
                <w:sz w:val="16"/>
                <w:szCs w:val="16"/>
              </w:rPr>
              <w:t>(</w:t>
            </w:r>
            <w:r w:rsidRPr="00867E8C">
              <w:rPr>
                <w:rFonts w:asciiTheme="minorHAnsi" w:hAnsiTheme="minorHAnsi" w:cstheme="minorHAnsi"/>
                <w:color w:val="000000"/>
                <w:sz w:val="16"/>
                <w:szCs w:val="16"/>
              </w:rPr>
              <w:t>0.121 to 1.137)</w:t>
            </w:r>
          </w:p>
        </w:tc>
        <w:tc>
          <w:tcPr>
            <w:tcW w:w="1068" w:type="dxa"/>
            <w:tcBorders>
              <w:top w:val="single" w:sz="4" w:space="0" w:color="auto"/>
            </w:tcBorders>
            <w:shd w:val="clear" w:color="auto" w:fill="E7F3F4"/>
            <w:noWrap/>
            <w:vAlign w:val="center"/>
          </w:tcPr>
          <w:p w14:paraId="24791E2A"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Increase</w:t>
            </w:r>
          </w:p>
        </w:tc>
      </w:tr>
      <w:tr w:rsidR="00867E8C" w:rsidRPr="00867E8C" w14:paraId="6A6099E7" w14:textId="77777777" w:rsidTr="00867E8C">
        <w:trPr>
          <w:cantSplit/>
          <w:trHeight w:val="312"/>
          <w:jc w:val="center"/>
        </w:trPr>
        <w:tc>
          <w:tcPr>
            <w:tcW w:w="2028" w:type="dxa"/>
            <w:vMerge/>
            <w:shd w:val="clear" w:color="auto" w:fill="E7F3F4"/>
            <w:noWrap/>
            <w:vAlign w:val="center"/>
          </w:tcPr>
          <w:p w14:paraId="3310315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0F4101F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4BF42449"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ST2</w:t>
            </w:r>
          </w:p>
        </w:tc>
        <w:tc>
          <w:tcPr>
            <w:tcW w:w="1078" w:type="dxa"/>
            <w:tcBorders>
              <w:bottom w:val="single" w:sz="4" w:space="0" w:color="auto"/>
            </w:tcBorders>
            <w:shd w:val="clear" w:color="auto" w:fill="E7F3F4"/>
            <w:vAlign w:val="center"/>
          </w:tcPr>
          <w:p w14:paraId="7020E50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bottom w:val="single" w:sz="4" w:space="0" w:color="auto"/>
            </w:tcBorders>
            <w:shd w:val="clear" w:color="auto" w:fill="E7F3F4"/>
            <w:vAlign w:val="center"/>
          </w:tcPr>
          <w:p w14:paraId="38FF159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E7F3F4"/>
            <w:vAlign w:val="center"/>
          </w:tcPr>
          <w:p w14:paraId="2CEBDF7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11</w:t>
            </w:r>
          </w:p>
        </w:tc>
        <w:tc>
          <w:tcPr>
            <w:tcW w:w="1078" w:type="dxa"/>
            <w:tcBorders>
              <w:bottom w:val="single" w:sz="4" w:space="0" w:color="auto"/>
            </w:tcBorders>
            <w:shd w:val="clear" w:color="auto" w:fill="E7F3F4"/>
            <w:noWrap/>
            <w:vAlign w:val="center"/>
            <w:hideMark/>
          </w:tcPr>
          <w:p w14:paraId="6FE83550"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0.697</w:t>
            </w:r>
          </w:p>
        </w:tc>
        <w:tc>
          <w:tcPr>
            <w:tcW w:w="1076" w:type="dxa"/>
            <w:tcBorders>
              <w:bottom w:val="single" w:sz="4" w:space="0" w:color="auto"/>
            </w:tcBorders>
            <w:shd w:val="clear" w:color="auto" w:fill="E7F3F4"/>
            <w:noWrap/>
            <w:vAlign w:val="center"/>
            <w:hideMark/>
          </w:tcPr>
          <w:p w14:paraId="3A52258A"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0.004</w:t>
            </w:r>
          </w:p>
        </w:tc>
        <w:tc>
          <w:tcPr>
            <w:tcW w:w="2475" w:type="dxa"/>
            <w:tcBorders>
              <w:bottom w:val="single" w:sz="4" w:space="0" w:color="auto"/>
            </w:tcBorders>
            <w:shd w:val="clear" w:color="auto" w:fill="E7F3F4"/>
            <w:noWrap/>
            <w:vAlign w:val="center"/>
            <w:hideMark/>
          </w:tcPr>
          <w:p w14:paraId="7C76F320"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 xml:space="preserve">0.709 </w:t>
            </w:r>
            <w:r w:rsidRPr="00867E8C">
              <w:rPr>
                <w:rFonts w:asciiTheme="minorHAnsi" w:hAnsiTheme="minorHAnsi" w:cstheme="minorHAnsi"/>
                <w:color w:val="000000"/>
                <w:sz w:val="16"/>
                <w:szCs w:val="16"/>
              </w:rPr>
              <w:t>(0.465 to 1.065)</w:t>
            </w:r>
          </w:p>
        </w:tc>
        <w:tc>
          <w:tcPr>
            <w:tcW w:w="1068" w:type="dxa"/>
            <w:tcBorders>
              <w:bottom w:val="single" w:sz="4" w:space="0" w:color="auto"/>
            </w:tcBorders>
            <w:shd w:val="clear" w:color="auto" w:fill="E7F3F4"/>
            <w:noWrap/>
            <w:vAlign w:val="center"/>
            <w:hideMark/>
          </w:tcPr>
          <w:p w14:paraId="7A5A0437"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increase</w:t>
            </w:r>
          </w:p>
        </w:tc>
      </w:tr>
      <w:tr w:rsidR="00867E8C" w:rsidRPr="00867E8C" w14:paraId="3F008F5B" w14:textId="77777777" w:rsidTr="00867E8C">
        <w:trPr>
          <w:cantSplit/>
          <w:trHeight w:val="312"/>
          <w:jc w:val="center"/>
        </w:trPr>
        <w:tc>
          <w:tcPr>
            <w:tcW w:w="2028" w:type="dxa"/>
            <w:vMerge/>
            <w:shd w:val="clear" w:color="auto" w:fill="E7F3F4"/>
            <w:noWrap/>
            <w:vAlign w:val="center"/>
          </w:tcPr>
          <w:p w14:paraId="16FD30B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0A43021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bottom w:val="single" w:sz="4" w:space="0" w:color="auto"/>
            </w:tcBorders>
            <w:shd w:val="clear" w:color="auto" w:fill="E7F3F4"/>
            <w:noWrap/>
            <w:vAlign w:val="center"/>
            <w:hideMark/>
          </w:tcPr>
          <w:p w14:paraId="47B356B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YY1</w:t>
            </w:r>
          </w:p>
        </w:tc>
        <w:tc>
          <w:tcPr>
            <w:tcW w:w="1078" w:type="dxa"/>
            <w:tcBorders>
              <w:top w:val="single" w:sz="4" w:space="0" w:color="auto"/>
              <w:bottom w:val="single" w:sz="4" w:space="0" w:color="auto"/>
            </w:tcBorders>
            <w:shd w:val="clear" w:color="auto" w:fill="E7F3F4"/>
            <w:vAlign w:val="center"/>
          </w:tcPr>
          <w:p w14:paraId="46126CB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bottom w:val="single" w:sz="4" w:space="0" w:color="auto"/>
            </w:tcBorders>
            <w:shd w:val="clear" w:color="auto" w:fill="E7F3F4"/>
            <w:vAlign w:val="center"/>
          </w:tcPr>
          <w:p w14:paraId="4BE1983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2014</w:t>
            </w:r>
          </w:p>
        </w:tc>
        <w:tc>
          <w:tcPr>
            <w:tcW w:w="519" w:type="dxa"/>
            <w:tcBorders>
              <w:top w:val="single" w:sz="4" w:space="0" w:color="auto"/>
              <w:bottom w:val="single" w:sz="4" w:space="0" w:color="auto"/>
            </w:tcBorders>
            <w:shd w:val="clear" w:color="auto" w:fill="E7F3F4"/>
            <w:vAlign w:val="center"/>
          </w:tcPr>
          <w:p w14:paraId="2898AFB3"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top w:val="single" w:sz="4" w:space="0" w:color="auto"/>
              <w:bottom w:val="single" w:sz="4" w:space="0" w:color="auto"/>
            </w:tcBorders>
            <w:shd w:val="clear" w:color="auto" w:fill="E7F3F4"/>
            <w:noWrap/>
            <w:vAlign w:val="center"/>
            <w:hideMark/>
          </w:tcPr>
          <w:p w14:paraId="0499315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bottom w:val="single" w:sz="4" w:space="0" w:color="auto"/>
            </w:tcBorders>
            <w:shd w:val="clear" w:color="auto" w:fill="E7F3F4"/>
            <w:noWrap/>
            <w:vAlign w:val="center"/>
            <w:hideMark/>
          </w:tcPr>
          <w:p w14:paraId="0406526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1.0000</w:t>
            </w:r>
          </w:p>
        </w:tc>
        <w:tc>
          <w:tcPr>
            <w:tcW w:w="2475" w:type="dxa"/>
            <w:tcBorders>
              <w:top w:val="single" w:sz="4" w:space="0" w:color="auto"/>
              <w:bottom w:val="single" w:sz="4" w:space="0" w:color="auto"/>
            </w:tcBorders>
            <w:shd w:val="clear" w:color="auto" w:fill="E7F3F4"/>
            <w:noWrap/>
            <w:vAlign w:val="center"/>
            <w:hideMark/>
          </w:tcPr>
          <w:p w14:paraId="01945965"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1.045</w:t>
            </w:r>
          </w:p>
        </w:tc>
        <w:tc>
          <w:tcPr>
            <w:tcW w:w="1068" w:type="dxa"/>
            <w:tcBorders>
              <w:top w:val="single" w:sz="4" w:space="0" w:color="auto"/>
              <w:bottom w:val="single" w:sz="4" w:space="0" w:color="auto"/>
            </w:tcBorders>
            <w:shd w:val="clear" w:color="auto" w:fill="E7F3F4"/>
            <w:noWrap/>
            <w:vAlign w:val="center"/>
          </w:tcPr>
          <w:p w14:paraId="3336239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07BEEC33" w14:textId="77777777" w:rsidTr="00867E8C">
        <w:trPr>
          <w:cantSplit/>
          <w:trHeight w:val="312"/>
          <w:jc w:val="center"/>
        </w:trPr>
        <w:tc>
          <w:tcPr>
            <w:tcW w:w="2028" w:type="dxa"/>
            <w:vMerge/>
            <w:shd w:val="clear" w:color="auto" w:fill="E7F3F4"/>
            <w:noWrap/>
            <w:vAlign w:val="center"/>
          </w:tcPr>
          <w:p w14:paraId="1388752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val="restart"/>
            <w:shd w:val="clear" w:color="auto" w:fill="E7F3F4"/>
            <w:noWrap/>
            <w:vAlign w:val="center"/>
          </w:tcPr>
          <w:p w14:paraId="7504431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subtidal</w:t>
            </w:r>
          </w:p>
        </w:tc>
        <w:tc>
          <w:tcPr>
            <w:tcW w:w="720" w:type="dxa"/>
            <w:tcBorders>
              <w:top w:val="single" w:sz="4" w:space="0" w:color="auto"/>
            </w:tcBorders>
            <w:shd w:val="clear" w:color="auto" w:fill="E7F3F4"/>
            <w:noWrap/>
            <w:vAlign w:val="center"/>
          </w:tcPr>
          <w:p w14:paraId="3F8DEFD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FG1</w:t>
            </w:r>
          </w:p>
        </w:tc>
        <w:tc>
          <w:tcPr>
            <w:tcW w:w="1078" w:type="dxa"/>
            <w:tcBorders>
              <w:top w:val="single" w:sz="4" w:space="0" w:color="auto"/>
            </w:tcBorders>
            <w:shd w:val="clear" w:color="auto" w:fill="E7F3F4"/>
            <w:vAlign w:val="center"/>
          </w:tcPr>
          <w:p w14:paraId="4335FC8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2016</w:t>
            </w:r>
          </w:p>
        </w:tc>
        <w:tc>
          <w:tcPr>
            <w:tcW w:w="1068" w:type="dxa"/>
            <w:tcBorders>
              <w:top w:val="single" w:sz="4" w:space="0" w:color="auto"/>
            </w:tcBorders>
            <w:shd w:val="clear" w:color="auto" w:fill="E7F3F4"/>
            <w:vAlign w:val="center"/>
          </w:tcPr>
          <w:p w14:paraId="09253AC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744BE00B"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top w:val="single" w:sz="4" w:space="0" w:color="auto"/>
            </w:tcBorders>
            <w:shd w:val="clear" w:color="auto" w:fill="E7F3F4"/>
            <w:noWrap/>
            <w:vAlign w:val="center"/>
          </w:tcPr>
          <w:p w14:paraId="1DDEEF59"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1076" w:type="dxa"/>
            <w:tcBorders>
              <w:top w:val="single" w:sz="4" w:space="0" w:color="auto"/>
            </w:tcBorders>
            <w:shd w:val="clear" w:color="auto" w:fill="E7F3F4"/>
            <w:noWrap/>
            <w:vAlign w:val="center"/>
          </w:tcPr>
          <w:p w14:paraId="0C90EBC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0.296</w:t>
            </w:r>
          </w:p>
        </w:tc>
        <w:tc>
          <w:tcPr>
            <w:tcW w:w="2475" w:type="dxa"/>
            <w:tcBorders>
              <w:top w:val="single" w:sz="4" w:space="0" w:color="auto"/>
            </w:tcBorders>
            <w:shd w:val="clear" w:color="auto" w:fill="E7F3F4"/>
            <w:noWrap/>
            <w:vAlign w:val="center"/>
          </w:tcPr>
          <w:p w14:paraId="2EB2A90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13.020</w:t>
            </w:r>
          </w:p>
        </w:tc>
        <w:tc>
          <w:tcPr>
            <w:tcW w:w="1068" w:type="dxa"/>
            <w:tcBorders>
              <w:top w:val="single" w:sz="4" w:space="0" w:color="auto"/>
            </w:tcBorders>
            <w:shd w:val="clear" w:color="auto" w:fill="E7F3F4"/>
            <w:noWrap/>
            <w:vAlign w:val="center"/>
          </w:tcPr>
          <w:p w14:paraId="170A7889"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2FCECDD9" w14:textId="77777777" w:rsidTr="00867E8C">
        <w:trPr>
          <w:cantSplit/>
          <w:trHeight w:val="312"/>
          <w:jc w:val="center"/>
        </w:trPr>
        <w:tc>
          <w:tcPr>
            <w:tcW w:w="2028" w:type="dxa"/>
            <w:vMerge/>
            <w:shd w:val="clear" w:color="auto" w:fill="E7F3F4"/>
            <w:noWrap/>
            <w:vAlign w:val="center"/>
          </w:tcPr>
          <w:p w14:paraId="42781E7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1536A9EF"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tcPr>
          <w:p w14:paraId="6D21E759"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FG2</w:t>
            </w:r>
          </w:p>
        </w:tc>
        <w:tc>
          <w:tcPr>
            <w:tcW w:w="1078" w:type="dxa"/>
            <w:tcBorders>
              <w:bottom w:val="single" w:sz="4" w:space="0" w:color="auto"/>
            </w:tcBorders>
            <w:shd w:val="clear" w:color="auto" w:fill="E7F3F4"/>
            <w:vAlign w:val="center"/>
          </w:tcPr>
          <w:p w14:paraId="48B54402"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2016</w:t>
            </w:r>
          </w:p>
        </w:tc>
        <w:tc>
          <w:tcPr>
            <w:tcW w:w="1068" w:type="dxa"/>
            <w:tcBorders>
              <w:bottom w:val="single" w:sz="4" w:space="0" w:color="auto"/>
            </w:tcBorders>
            <w:shd w:val="clear" w:color="auto" w:fill="E7F3F4"/>
            <w:vAlign w:val="center"/>
          </w:tcPr>
          <w:p w14:paraId="6CFED22C"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E7F3F4"/>
            <w:vAlign w:val="center"/>
          </w:tcPr>
          <w:p w14:paraId="06D1CCD6"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bottom w:val="single" w:sz="4" w:space="0" w:color="auto"/>
            </w:tcBorders>
            <w:shd w:val="clear" w:color="auto" w:fill="E7F3F4"/>
            <w:noWrap/>
            <w:vAlign w:val="center"/>
          </w:tcPr>
          <w:p w14:paraId="39ABE21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1076" w:type="dxa"/>
            <w:tcBorders>
              <w:bottom w:val="single" w:sz="4" w:space="0" w:color="auto"/>
            </w:tcBorders>
            <w:shd w:val="clear" w:color="auto" w:fill="E7F3F4"/>
            <w:noWrap/>
            <w:vAlign w:val="center"/>
          </w:tcPr>
          <w:p w14:paraId="120E717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0.296</w:t>
            </w:r>
          </w:p>
        </w:tc>
        <w:tc>
          <w:tcPr>
            <w:tcW w:w="2475" w:type="dxa"/>
            <w:tcBorders>
              <w:bottom w:val="single" w:sz="4" w:space="0" w:color="auto"/>
            </w:tcBorders>
            <w:shd w:val="clear" w:color="auto" w:fill="E7F3F4"/>
            <w:noWrap/>
            <w:vAlign w:val="center"/>
          </w:tcPr>
          <w:p w14:paraId="4F23B088"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11.260</w:t>
            </w:r>
          </w:p>
        </w:tc>
        <w:tc>
          <w:tcPr>
            <w:tcW w:w="1068" w:type="dxa"/>
            <w:tcBorders>
              <w:bottom w:val="single" w:sz="4" w:space="0" w:color="auto"/>
            </w:tcBorders>
            <w:shd w:val="clear" w:color="auto" w:fill="E7F3F4"/>
            <w:noWrap/>
            <w:vAlign w:val="center"/>
          </w:tcPr>
          <w:p w14:paraId="2738242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867E8C" w:rsidRPr="00867E8C" w14:paraId="6F7CF2BB" w14:textId="77777777" w:rsidTr="00867E8C">
        <w:trPr>
          <w:cantSplit/>
          <w:trHeight w:val="312"/>
          <w:jc w:val="center"/>
        </w:trPr>
        <w:tc>
          <w:tcPr>
            <w:tcW w:w="2028" w:type="dxa"/>
            <w:vMerge/>
            <w:tcBorders>
              <w:bottom w:val="single" w:sz="4" w:space="0" w:color="auto"/>
            </w:tcBorders>
            <w:shd w:val="clear" w:color="auto" w:fill="E7F3F4"/>
            <w:noWrap/>
            <w:vAlign w:val="center"/>
          </w:tcPr>
          <w:p w14:paraId="2BBBB8B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5BAA8891"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38460A14"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71FD6E3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2003</w:t>
            </w:r>
          </w:p>
        </w:tc>
        <w:tc>
          <w:tcPr>
            <w:tcW w:w="1068" w:type="dxa"/>
            <w:tcBorders>
              <w:top w:val="single" w:sz="4" w:space="0" w:color="auto"/>
              <w:bottom w:val="single" w:sz="4" w:space="0" w:color="auto"/>
            </w:tcBorders>
            <w:shd w:val="clear" w:color="auto" w:fill="D9D9D9" w:themeFill="background1" w:themeFillShade="D9"/>
            <w:vAlign w:val="center"/>
          </w:tcPr>
          <w:p w14:paraId="227A22BA"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bottom w:val="single" w:sz="4" w:space="0" w:color="auto"/>
            </w:tcBorders>
            <w:shd w:val="clear" w:color="auto" w:fill="D9D9D9" w:themeFill="background1" w:themeFillShade="D9"/>
            <w:vAlign w:val="center"/>
          </w:tcPr>
          <w:p w14:paraId="4292FF07"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37</w:t>
            </w:r>
          </w:p>
        </w:tc>
        <w:tc>
          <w:tcPr>
            <w:tcW w:w="1078" w:type="dxa"/>
            <w:tcBorders>
              <w:top w:val="single" w:sz="4" w:space="0" w:color="auto"/>
              <w:bottom w:val="single" w:sz="4" w:space="0" w:color="auto"/>
            </w:tcBorders>
            <w:shd w:val="clear" w:color="auto" w:fill="D9D9D9" w:themeFill="background1" w:themeFillShade="D9"/>
            <w:noWrap/>
            <w:vAlign w:val="center"/>
          </w:tcPr>
          <w:p w14:paraId="1C4E97FF"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-0.351</w:t>
            </w:r>
          </w:p>
        </w:tc>
        <w:tc>
          <w:tcPr>
            <w:tcW w:w="1076" w:type="dxa"/>
            <w:tcBorders>
              <w:top w:val="single" w:sz="4" w:space="0" w:color="auto"/>
              <w:bottom w:val="single" w:sz="4" w:space="0" w:color="auto"/>
            </w:tcBorders>
            <w:shd w:val="clear" w:color="auto" w:fill="D9D9D9" w:themeFill="background1" w:themeFillShade="D9"/>
            <w:noWrap/>
            <w:vAlign w:val="center"/>
          </w:tcPr>
          <w:p w14:paraId="0E29CD0F"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0.002</w:t>
            </w:r>
          </w:p>
        </w:tc>
        <w:tc>
          <w:tcPr>
            <w:tcW w:w="2475" w:type="dxa"/>
            <w:tcBorders>
              <w:top w:val="single" w:sz="4" w:space="0" w:color="auto"/>
              <w:bottom w:val="single" w:sz="4" w:space="0" w:color="auto"/>
            </w:tcBorders>
            <w:shd w:val="clear" w:color="auto" w:fill="D9D9D9" w:themeFill="background1" w:themeFillShade="D9"/>
            <w:noWrap/>
            <w:vAlign w:val="center"/>
          </w:tcPr>
          <w:p w14:paraId="74AC6D7F" w14:textId="77777777" w:rsidR="00867E8C" w:rsidRPr="00867E8C" w:rsidRDefault="00867E8C"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 xml:space="preserve">-0.289 </w:t>
            </w:r>
            <w:r w:rsidRPr="00867E8C">
              <w:rPr>
                <w:rFonts w:asciiTheme="minorHAnsi" w:hAnsiTheme="minorHAnsi" w:cstheme="minorHAnsi"/>
                <w:color w:val="000000"/>
                <w:sz w:val="16"/>
                <w:szCs w:val="16"/>
              </w:rPr>
              <w:t>(-0.428 to -0.083)</w:t>
            </w:r>
          </w:p>
        </w:tc>
        <w:tc>
          <w:tcPr>
            <w:tcW w:w="1068" w:type="dxa"/>
            <w:tcBorders>
              <w:top w:val="single" w:sz="4" w:space="0" w:color="auto"/>
              <w:bottom w:val="single" w:sz="4" w:space="0" w:color="auto"/>
            </w:tcBorders>
            <w:shd w:val="clear" w:color="auto" w:fill="D9D9D9" w:themeFill="background1" w:themeFillShade="D9"/>
            <w:noWrap/>
            <w:vAlign w:val="center"/>
          </w:tcPr>
          <w:p w14:paraId="15F1920E" w14:textId="77777777" w:rsidR="00867E8C" w:rsidRPr="00867E8C" w:rsidRDefault="00867E8C"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4B634E90" w14:textId="77777777" w:rsidTr="00867E8C">
        <w:trPr>
          <w:cantSplit/>
          <w:trHeight w:val="312"/>
          <w:jc w:val="center"/>
        </w:trPr>
        <w:tc>
          <w:tcPr>
            <w:tcW w:w="2028" w:type="dxa"/>
            <w:vMerge w:val="restart"/>
            <w:tcBorders>
              <w:top w:val="single" w:sz="4" w:space="0" w:color="auto"/>
            </w:tcBorders>
            <w:shd w:val="clear" w:color="auto" w:fill="F3F9FA"/>
            <w:noWrap/>
            <w:vAlign w:val="center"/>
            <w:hideMark/>
          </w:tcPr>
          <w:p w14:paraId="2778F35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Wet Tropics</w:t>
            </w:r>
          </w:p>
        </w:tc>
        <w:tc>
          <w:tcPr>
            <w:tcW w:w="1874" w:type="dxa"/>
            <w:vMerge w:val="restart"/>
            <w:tcBorders>
              <w:top w:val="single" w:sz="4" w:space="0" w:color="auto"/>
            </w:tcBorders>
            <w:shd w:val="clear" w:color="auto" w:fill="F3F9FA"/>
            <w:noWrap/>
            <w:vAlign w:val="center"/>
            <w:hideMark/>
          </w:tcPr>
          <w:p w14:paraId="661CDAF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F3F9FA"/>
            <w:noWrap/>
            <w:vAlign w:val="center"/>
            <w:hideMark/>
          </w:tcPr>
          <w:p w14:paraId="7C09786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LB1</w:t>
            </w:r>
          </w:p>
        </w:tc>
        <w:tc>
          <w:tcPr>
            <w:tcW w:w="1078" w:type="dxa"/>
            <w:tcBorders>
              <w:top w:val="single" w:sz="4" w:space="0" w:color="auto"/>
            </w:tcBorders>
            <w:shd w:val="clear" w:color="auto" w:fill="F3F9FA"/>
            <w:vAlign w:val="center"/>
          </w:tcPr>
          <w:p w14:paraId="125C90C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top w:val="single" w:sz="4" w:space="0" w:color="auto"/>
            </w:tcBorders>
            <w:shd w:val="clear" w:color="auto" w:fill="F3F9FA"/>
            <w:vAlign w:val="center"/>
          </w:tcPr>
          <w:p w14:paraId="042B3DA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09E7C4F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42</w:t>
            </w:r>
          </w:p>
        </w:tc>
        <w:tc>
          <w:tcPr>
            <w:tcW w:w="1078" w:type="dxa"/>
            <w:tcBorders>
              <w:top w:val="single" w:sz="4" w:space="0" w:color="auto"/>
            </w:tcBorders>
            <w:shd w:val="clear" w:color="auto" w:fill="F3F9FA"/>
            <w:noWrap/>
            <w:vAlign w:val="center"/>
            <w:hideMark/>
          </w:tcPr>
          <w:p w14:paraId="1B7D220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-0.541</w:t>
            </w:r>
          </w:p>
        </w:tc>
        <w:tc>
          <w:tcPr>
            <w:tcW w:w="1076" w:type="dxa"/>
            <w:tcBorders>
              <w:top w:val="single" w:sz="4" w:space="0" w:color="auto"/>
            </w:tcBorders>
            <w:shd w:val="clear" w:color="auto" w:fill="F3F9FA"/>
            <w:noWrap/>
            <w:vAlign w:val="center"/>
            <w:hideMark/>
          </w:tcPr>
          <w:p w14:paraId="2A8E897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&lt;0.001</w:t>
            </w:r>
          </w:p>
        </w:tc>
        <w:tc>
          <w:tcPr>
            <w:tcW w:w="2475" w:type="dxa"/>
            <w:tcBorders>
              <w:top w:val="single" w:sz="4" w:space="0" w:color="auto"/>
            </w:tcBorders>
            <w:shd w:val="clear" w:color="auto" w:fill="F3F9FA"/>
            <w:noWrap/>
            <w:vAlign w:val="center"/>
            <w:hideMark/>
          </w:tcPr>
          <w:p w14:paraId="393D1CF5"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-0.040</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(-0.118 to -0.005)</w:t>
            </w:r>
          </w:p>
        </w:tc>
        <w:tc>
          <w:tcPr>
            <w:tcW w:w="1068" w:type="dxa"/>
            <w:tcBorders>
              <w:top w:val="single" w:sz="4" w:space="0" w:color="auto"/>
            </w:tcBorders>
            <w:shd w:val="clear" w:color="auto" w:fill="F3F9FA"/>
            <w:noWrap/>
            <w:vAlign w:val="center"/>
            <w:hideMark/>
          </w:tcPr>
          <w:p w14:paraId="788CC4B5"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16112ECC" w14:textId="77777777" w:rsidTr="00867E8C">
        <w:trPr>
          <w:cantSplit/>
          <w:trHeight w:val="312"/>
          <w:jc w:val="center"/>
        </w:trPr>
        <w:tc>
          <w:tcPr>
            <w:tcW w:w="2028" w:type="dxa"/>
            <w:vMerge/>
            <w:shd w:val="clear" w:color="auto" w:fill="F3F9FA"/>
            <w:noWrap/>
            <w:vAlign w:val="center"/>
          </w:tcPr>
          <w:p w14:paraId="3BC9B91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44CD70F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187422A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LB2</w:t>
            </w:r>
          </w:p>
        </w:tc>
        <w:tc>
          <w:tcPr>
            <w:tcW w:w="1078" w:type="dxa"/>
            <w:tcBorders>
              <w:bottom w:val="single" w:sz="4" w:space="0" w:color="auto"/>
            </w:tcBorders>
            <w:shd w:val="clear" w:color="auto" w:fill="F3F9FA"/>
            <w:vAlign w:val="center"/>
          </w:tcPr>
          <w:p w14:paraId="3A632A5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F3F9FA"/>
            <w:vAlign w:val="center"/>
          </w:tcPr>
          <w:p w14:paraId="095CA0E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419682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41</w:t>
            </w:r>
          </w:p>
        </w:tc>
        <w:tc>
          <w:tcPr>
            <w:tcW w:w="1078" w:type="dxa"/>
            <w:tcBorders>
              <w:bottom w:val="single" w:sz="4" w:space="0" w:color="auto"/>
            </w:tcBorders>
            <w:shd w:val="clear" w:color="auto" w:fill="F3F9FA"/>
            <w:noWrap/>
            <w:vAlign w:val="center"/>
            <w:hideMark/>
          </w:tcPr>
          <w:p w14:paraId="462AC93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-0.395</w:t>
            </w:r>
          </w:p>
        </w:tc>
        <w:tc>
          <w:tcPr>
            <w:tcW w:w="1076" w:type="dxa"/>
            <w:tcBorders>
              <w:bottom w:val="single" w:sz="4" w:space="0" w:color="auto"/>
            </w:tcBorders>
            <w:shd w:val="clear" w:color="auto" w:fill="F3F9FA"/>
            <w:noWrap/>
            <w:vAlign w:val="center"/>
            <w:hideMark/>
          </w:tcPr>
          <w:p w14:paraId="727554F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0.001</w:t>
            </w:r>
          </w:p>
        </w:tc>
        <w:tc>
          <w:tcPr>
            <w:tcW w:w="2475" w:type="dxa"/>
            <w:tcBorders>
              <w:bottom w:val="single" w:sz="4" w:space="0" w:color="auto"/>
            </w:tcBorders>
            <w:shd w:val="clear" w:color="auto" w:fill="F3F9FA"/>
            <w:noWrap/>
            <w:vAlign w:val="center"/>
            <w:hideMark/>
          </w:tcPr>
          <w:p w14:paraId="1A4A2EE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-0.042</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(-0.098 to 0)</w:t>
            </w:r>
          </w:p>
        </w:tc>
        <w:tc>
          <w:tcPr>
            <w:tcW w:w="1068" w:type="dxa"/>
            <w:tcBorders>
              <w:bottom w:val="single" w:sz="4" w:space="0" w:color="auto"/>
            </w:tcBorders>
            <w:shd w:val="clear" w:color="auto" w:fill="F3F9FA"/>
            <w:noWrap/>
            <w:vAlign w:val="center"/>
            <w:hideMark/>
          </w:tcPr>
          <w:p w14:paraId="2AF50D6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4139C074" w14:textId="77777777" w:rsidTr="00867E8C">
        <w:trPr>
          <w:cantSplit/>
          <w:trHeight w:val="312"/>
          <w:jc w:val="center"/>
        </w:trPr>
        <w:tc>
          <w:tcPr>
            <w:tcW w:w="2028" w:type="dxa"/>
            <w:vMerge/>
            <w:shd w:val="clear" w:color="auto" w:fill="F3F9FA"/>
            <w:noWrap/>
            <w:vAlign w:val="center"/>
          </w:tcPr>
          <w:p w14:paraId="2C3D08E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3C8C242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hideMark/>
          </w:tcPr>
          <w:p w14:paraId="6753742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YP1</w:t>
            </w:r>
          </w:p>
        </w:tc>
        <w:tc>
          <w:tcPr>
            <w:tcW w:w="1078" w:type="dxa"/>
            <w:tcBorders>
              <w:top w:val="single" w:sz="4" w:space="0" w:color="auto"/>
            </w:tcBorders>
            <w:shd w:val="clear" w:color="auto" w:fill="F3F9FA"/>
            <w:vAlign w:val="center"/>
          </w:tcPr>
          <w:p w14:paraId="079D19A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top w:val="single" w:sz="4" w:space="0" w:color="auto"/>
            </w:tcBorders>
            <w:shd w:val="clear" w:color="auto" w:fill="F3F9FA"/>
            <w:vAlign w:val="center"/>
          </w:tcPr>
          <w:p w14:paraId="30ECCDD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07A18C3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73</w:t>
            </w:r>
          </w:p>
        </w:tc>
        <w:tc>
          <w:tcPr>
            <w:tcW w:w="1078" w:type="dxa"/>
            <w:tcBorders>
              <w:top w:val="single" w:sz="4" w:space="0" w:color="auto"/>
            </w:tcBorders>
            <w:shd w:val="clear" w:color="auto" w:fill="F3F9FA"/>
            <w:noWrap/>
            <w:vAlign w:val="center"/>
            <w:hideMark/>
          </w:tcPr>
          <w:p w14:paraId="5B8D156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0.119</w:t>
            </w:r>
          </w:p>
        </w:tc>
        <w:tc>
          <w:tcPr>
            <w:tcW w:w="1076" w:type="dxa"/>
            <w:tcBorders>
              <w:top w:val="single" w:sz="4" w:space="0" w:color="auto"/>
            </w:tcBorders>
            <w:shd w:val="clear" w:color="auto" w:fill="F3F9FA"/>
            <w:noWrap/>
            <w:vAlign w:val="center"/>
            <w:hideMark/>
          </w:tcPr>
          <w:p w14:paraId="4E7A570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0.139</w:t>
            </w:r>
          </w:p>
        </w:tc>
        <w:tc>
          <w:tcPr>
            <w:tcW w:w="2475" w:type="dxa"/>
            <w:tcBorders>
              <w:top w:val="single" w:sz="4" w:space="0" w:color="auto"/>
            </w:tcBorders>
            <w:shd w:val="clear" w:color="auto" w:fill="F3F9FA"/>
            <w:noWrap/>
            <w:vAlign w:val="center"/>
            <w:hideMark/>
          </w:tcPr>
          <w:p w14:paraId="466955C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0.090</w:t>
            </w:r>
          </w:p>
        </w:tc>
        <w:tc>
          <w:tcPr>
            <w:tcW w:w="1068" w:type="dxa"/>
            <w:tcBorders>
              <w:top w:val="single" w:sz="4" w:space="0" w:color="auto"/>
            </w:tcBorders>
            <w:shd w:val="clear" w:color="auto" w:fill="F3F9FA"/>
            <w:noWrap/>
            <w:vAlign w:val="center"/>
          </w:tcPr>
          <w:p w14:paraId="520C69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6CA22C32" w14:textId="77777777" w:rsidTr="00867E8C">
        <w:trPr>
          <w:cantSplit/>
          <w:trHeight w:val="312"/>
          <w:jc w:val="center"/>
        </w:trPr>
        <w:tc>
          <w:tcPr>
            <w:tcW w:w="2028" w:type="dxa"/>
            <w:vMerge/>
            <w:shd w:val="clear" w:color="auto" w:fill="F3F9FA"/>
            <w:noWrap/>
            <w:vAlign w:val="center"/>
          </w:tcPr>
          <w:p w14:paraId="5F98FC8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0B1BBCF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422C992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YP2</w:t>
            </w:r>
          </w:p>
        </w:tc>
        <w:tc>
          <w:tcPr>
            <w:tcW w:w="1078" w:type="dxa"/>
            <w:tcBorders>
              <w:bottom w:val="single" w:sz="4" w:space="0" w:color="auto"/>
            </w:tcBorders>
            <w:shd w:val="clear" w:color="auto" w:fill="F3F9FA"/>
            <w:vAlign w:val="center"/>
          </w:tcPr>
          <w:p w14:paraId="43FD70E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2001</w:t>
            </w:r>
          </w:p>
        </w:tc>
        <w:tc>
          <w:tcPr>
            <w:tcW w:w="1068" w:type="dxa"/>
            <w:tcBorders>
              <w:bottom w:val="single" w:sz="4" w:space="0" w:color="auto"/>
            </w:tcBorders>
            <w:shd w:val="clear" w:color="auto" w:fill="F3F9FA"/>
            <w:vAlign w:val="center"/>
          </w:tcPr>
          <w:p w14:paraId="6CE1E73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316F64B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69</w:t>
            </w:r>
          </w:p>
        </w:tc>
        <w:tc>
          <w:tcPr>
            <w:tcW w:w="1078" w:type="dxa"/>
            <w:tcBorders>
              <w:bottom w:val="single" w:sz="4" w:space="0" w:color="auto"/>
            </w:tcBorders>
            <w:shd w:val="clear" w:color="auto" w:fill="F3F9FA"/>
            <w:noWrap/>
            <w:vAlign w:val="center"/>
            <w:hideMark/>
          </w:tcPr>
          <w:p w14:paraId="1977D4E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0.083</w:t>
            </w:r>
          </w:p>
        </w:tc>
        <w:tc>
          <w:tcPr>
            <w:tcW w:w="1076" w:type="dxa"/>
            <w:tcBorders>
              <w:bottom w:val="single" w:sz="4" w:space="0" w:color="auto"/>
            </w:tcBorders>
            <w:shd w:val="clear" w:color="auto" w:fill="F3F9FA"/>
            <w:noWrap/>
            <w:vAlign w:val="center"/>
            <w:hideMark/>
          </w:tcPr>
          <w:p w14:paraId="252FE85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0.315</w:t>
            </w:r>
          </w:p>
        </w:tc>
        <w:tc>
          <w:tcPr>
            <w:tcW w:w="2475" w:type="dxa"/>
            <w:tcBorders>
              <w:bottom w:val="single" w:sz="4" w:space="0" w:color="auto"/>
            </w:tcBorders>
            <w:shd w:val="clear" w:color="auto" w:fill="F3F9FA"/>
            <w:noWrap/>
            <w:vAlign w:val="center"/>
            <w:hideMark/>
          </w:tcPr>
          <w:p w14:paraId="39F0B7C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0.042</w:t>
            </w:r>
          </w:p>
        </w:tc>
        <w:tc>
          <w:tcPr>
            <w:tcW w:w="1068" w:type="dxa"/>
            <w:tcBorders>
              <w:bottom w:val="single" w:sz="4" w:space="0" w:color="auto"/>
            </w:tcBorders>
            <w:shd w:val="clear" w:color="auto" w:fill="F3F9FA"/>
            <w:noWrap/>
            <w:vAlign w:val="center"/>
          </w:tcPr>
          <w:p w14:paraId="62C64DC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76BD8937" w14:textId="77777777" w:rsidTr="00867E8C">
        <w:trPr>
          <w:cantSplit/>
          <w:trHeight w:val="312"/>
          <w:jc w:val="center"/>
        </w:trPr>
        <w:tc>
          <w:tcPr>
            <w:tcW w:w="2028" w:type="dxa"/>
            <w:vMerge/>
            <w:shd w:val="clear" w:color="auto" w:fill="F3F9FA"/>
            <w:noWrap/>
            <w:vAlign w:val="center"/>
          </w:tcPr>
          <w:p w14:paraId="24866BC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shd w:val="clear" w:color="auto" w:fill="F3F9FA"/>
            <w:noWrap/>
            <w:vAlign w:val="center"/>
          </w:tcPr>
          <w:p w14:paraId="53E0B3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subtidal</w:t>
            </w:r>
          </w:p>
        </w:tc>
        <w:tc>
          <w:tcPr>
            <w:tcW w:w="720" w:type="dxa"/>
            <w:tcBorders>
              <w:top w:val="single" w:sz="4" w:space="0" w:color="auto"/>
            </w:tcBorders>
            <w:shd w:val="clear" w:color="auto" w:fill="F3F9FA"/>
            <w:noWrap/>
            <w:vAlign w:val="center"/>
          </w:tcPr>
          <w:p w14:paraId="6E415DF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MS1</w:t>
            </w:r>
          </w:p>
        </w:tc>
        <w:tc>
          <w:tcPr>
            <w:tcW w:w="1078" w:type="dxa"/>
            <w:tcBorders>
              <w:top w:val="single" w:sz="4" w:space="0" w:color="auto"/>
            </w:tcBorders>
            <w:shd w:val="clear" w:color="auto" w:fill="F3F9FA"/>
            <w:vAlign w:val="center"/>
          </w:tcPr>
          <w:p w14:paraId="5CBFF7E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top w:val="single" w:sz="4" w:space="0" w:color="auto"/>
            </w:tcBorders>
            <w:shd w:val="clear" w:color="auto" w:fill="F3F9FA"/>
            <w:vAlign w:val="center"/>
          </w:tcPr>
          <w:p w14:paraId="4B95FA8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53BA2F2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top w:val="single" w:sz="4" w:space="0" w:color="auto"/>
            </w:tcBorders>
            <w:shd w:val="clear" w:color="auto" w:fill="F3F9FA"/>
            <w:noWrap/>
            <w:vAlign w:val="center"/>
          </w:tcPr>
          <w:p w14:paraId="28AF673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tcBorders>
            <w:shd w:val="clear" w:color="auto" w:fill="F3F9FA"/>
            <w:noWrap/>
            <w:vAlign w:val="center"/>
          </w:tcPr>
          <w:p w14:paraId="6C16D15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2475" w:type="dxa"/>
            <w:tcBorders>
              <w:top w:val="single" w:sz="4" w:space="0" w:color="auto"/>
            </w:tcBorders>
            <w:shd w:val="clear" w:color="auto" w:fill="F3F9FA"/>
            <w:noWrap/>
            <w:vAlign w:val="center"/>
          </w:tcPr>
          <w:p w14:paraId="4268D65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6.222</w:t>
            </w:r>
          </w:p>
        </w:tc>
        <w:tc>
          <w:tcPr>
            <w:tcW w:w="1068" w:type="dxa"/>
            <w:tcBorders>
              <w:top w:val="single" w:sz="4" w:space="0" w:color="auto"/>
            </w:tcBorders>
            <w:shd w:val="clear" w:color="auto" w:fill="F3F9FA"/>
            <w:noWrap/>
            <w:vAlign w:val="center"/>
          </w:tcPr>
          <w:p w14:paraId="4AF366D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56BC624D" w14:textId="77777777" w:rsidTr="00867E8C">
        <w:trPr>
          <w:cantSplit/>
          <w:trHeight w:val="312"/>
          <w:jc w:val="center"/>
        </w:trPr>
        <w:tc>
          <w:tcPr>
            <w:tcW w:w="2028" w:type="dxa"/>
            <w:vMerge/>
            <w:shd w:val="clear" w:color="auto" w:fill="F3F9FA"/>
            <w:noWrap/>
            <w:vAlign w:val="center"/>
          </w:tcPr>
          <w:p w14:paraId="604602E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78E9745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2F20F81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MS2</w:t>
            </w:r>
          </w:p>
        </w:tc>
        <w:tc>
          <w:tcPr>
            <w:tcW w:w="1078" w:type="dxa"/>
            <w:tcBorders>
              <w:bottom w:val="single" w:sz="4" w:space="0" w:color="auto"/>
            </w:tcBorders>
            <w:shd w:val="clear" w:color="auto" w:fill="F3F9FA"/>
            <w:vAlign w:val="center"/>
          </w:tcPr>
          <w:p w14:paraId="1EDA2CC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bottom w:val="single" w:sz="4" w:space="0" w:color="auto"/>
            </w:tcBorders>
            <w:shd w:val="clear" w:color="auto" w:fill="F3F9FA"/>
            <w:vAlign w:val="center"/>
          </w:tcPr>
          <w:p w14:paraId="32F383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430A0B0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bottom w:val="single" w:sz="4" w:space="0" w:color="auto"/>
            </w:tcBorders>
            <w:shd w:val="clear" w:color="auto" w:fill="F3F9FA"/>
            <w:noWrap/>
            <w:vAlign w:val="center"/>
          </w:tcPr>
          <w:p w14:paraId="73566A8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bottom w:val="single" w:sz="4" w:space="0" w:color="auto"/>
            </w:tcBorders>
            <w:shd w:val="clear" w:color="auto" w:fill="F3F9FA"/>
            <w:noWrap/>
            <w:vAlign w:val="center"/>
          </w:tcPr>
          <w:p w14:paraId="5541AC7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2475" w:type="dxa"/>
            <w:tcBorders>
              <w:bottom w:val="single" w:sz="4" w:space="0" w:color="auto"/>
            </w:tcBorders>
            <w:shd w:val="clear" w:color="auto" w:fill="F3F9FA"/>
            <w:noWrap/>
            <w:vAlign w:val="center"/>
          </w:tcPr>
          <w:p w14:paraId="5382089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1.889</w:t>
            </w:r>
          </w:p>
        </w:tc>
        <w:tc>
          <w:tcPr>
            <w:tcW w:w="1068" w:type="dxa"/>
            <w:tcBorders>
              <w:bottom w:val="single" w:sz="4" w:space="0" w:color="auto"/>
            </w:tcBorders>
            <w:shd w:val="clear" w:color="auto" w:fill="F3F9FA"/>
            <w:noWrap/>
            <w:vAlign w:val="center"/>
          </w:tcPr>
          <w:p w14:paraId="3E90DEB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7898C0AE" w14:textId="77777777" w:rsidTr="00867E8C">
        <w:trPr>
          <w:cantSplit/>
          <w:trHeight w:val="312"/>
          <w:jc w:val="center"/>
        </w:trPr>
        <w:tc>
          <w:tcPr>
            <w:tcW w:w="2028" w:type="dxa"/>
            <w:vMerge/>
            <w:shd w:val="clear" w:color="auto" w:fill="F3F9FA"/>
            <w:noWrap/>
            <w:vAlign w:val="center"/>
          </w:tcPr>
          <w:p w14:paraId="141405A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tcBorders>
            <w:shd w:val="clear" w:color="auto" w:fill="F3F9FA"/>
            <w:noWrap/>
            <w:vAlign w:val="center"/>
            <w:hideMark/>
          </w:tcPr>
          <w:p w14:paraId="5F2AB8A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intertidal</w:t>
            </w:r>
          </w:p>
        </w:tc>
        <w:tc>
          <w:tcPr>
            <w:tcW w:w="720" w:type="dxa"/>
            <w:tcBorders>
              <w:top w:val="single" w:sz="4" w:space="0" w:color="auto"/>
            </w:tcBorders>
            <w:shd w:val="clear" w:color="auto" w:fill="F3F9FA"/>
            <w:noWrap/>
            <w:vAlign w:val="center"/>
            <w:hideMark/>
          </w:tcPr>
          <w:p w14:paraId="04FAD3B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DI1</w:t>
            </w:r>
          </w:p>
        </w:tc>
        <w:tc>
          <w:tcPr>
            <w:tcW w:w="1078" w:type="dxa"/>
            <w:tcBorders>
              <w:top w:val="single" w:sz="4" w:space="0" w:color="auto"/>
            </w:tcBorders>
            <w:shd w:val="clear" w:color="auto" w:fill="F3F9FA"/>
            <w:vAlign w:val="center"/>
          </w:tcPr>
          <w:p w14:paraId="259895F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top w:val="single" w:sz="4" w:space="0" w:color="auto"/>
            </w:tcBorders>
            <w:shd w:val="clear" w:color="auto" w:fill="F3F9FA"/>
            <w:vAlign w:val="center"/>
          </w:tcPr>
          <w:p w14:paraId="69BD8B4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F3F9FA"/>
            <w:vAlign w:val="center"/>
          </w:tcPr>
          <w:p w14:paraId="27941FB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33</w:t>
            </w:r>
          </w:p>
        </w:tc>
        <w:tc>
          <w:tcPr>
            <w:tcW w:w="1078" w:type="dxa"/>
            <w:tcBorders>
              <w:top w:val="single" w:sz="4" w:space="0" w:color="auto"/>
            </w:tcBorders>
            <w:shd w:val="clear" w:color="auto" w:fill="F3F9FA"/>
            <w:noWrap/>
            <w:vAlign w:val="center"/>
            <w:hideMark/>
          </w:tcPr>
          <w:p w14:paraId="7892A1C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-0.182</w:t>
            </w:r>
          </w:p>
        </w:tc>
        <w:tc>
          <w:tcPr>
            <w:tcW w:w="1076" w:type="dxa"/>
            <w:tcBorders>
              <w:top w:val="single" w:sz="4" w:space="0" w:color="auto"/>
            </w:tcBorders>
            <w:shd w:val="clear" w:color="auto" w:fill="F3F9FA"/>
            <w:noWrap/>
            <w:vAlign w:val="center"/>
            <w:hideMark/>
          </w:tcPr>
          <w:p w14:paraId="2C551C6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0.141</w:t>
            </w:r>
          </w:p>
        </w:tc>
        <w:tc>
          <w:tcPr>
            <w:tcW w:w="2475" w:type="dxa"/>
            <w:tcBorders>
              <w:top w:val="single" w:sz="4" w:space="0" w:color="auto"/>
            </w:tcBorders>
            <w:shd w:val="clear" w:color="auto" w:fill="F3F9FA"/>
            <w:noWrap/>
            <w:vAlign w:val="center"/>
            <w:hideMark/>
          </w:tcPr>
          <w:p w14:paraId="582F251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-0.130</w:t>
            </w:r>
          </w:p>
        </w:tc>
        <w:tc>
          <w:tcPr>
            <w:tcW w:w="1068" w:type="dxa"/>
            <w:tcBorders>
              <w:top w:val="single" w:sz="4" w:space="0" w:color="auto"/>
            </w:tcBorders>
            <w:shd w:val="clear" w:color="auto" w:fill="F3F9FA"/>
            <w:noWrap/>
            <w:vAlign w:val="center"/>
          </w:tcPr>
          <w:p w14:paraId="23AE810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6CABB9E3" w14:textId="77777777" w:rsidTr="00867E8C">
        <w:trPr>
          <w:cantSplit/>
          <w:trHeight w:val="312"/>
          <w:jc w:val="center"/>
        </w:trPr>
        <w:tc>
          <w:tcPr>
            <w:tcW w:w="2028" w:type="dxa"/>
            <w:vMerge/>
            <w:shd w:val="clear" w:color="auto" w:fill="F3F9FA"/>
            <w:noWrap/>
            <w:vAlign w:val="center"/>
          </w:tcPr>
          <w:p w14:paraId="1724DCE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7C3C6AE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34DE14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DI2</w:t>
            </w:r>
          </w:p>
        </w:tc>
        <w:tc>
          <w:tcPr>
            <w:tcW w:w="1078" w:type="dxa"/>
            <w:tcBorders>
              <w:bottom w:val="single" w:sz="4" w:space="0" w:color="auto"/>
            </w:tcBorders>
            <w:shd w:val="clear" w:color="auto" w:fill="F3F9FA"/>
            <w:vAlign w:val="center"/>
          </w:tcPr>
          <w:p w14:paraId="46D6CA5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bottom w:val="single" w:sz="4" w:space="0" w:color="auto"/>
            </w:tcBorders>
            <w:shd w:val="clear" w:color="auto" w:fill="F3F9FA"/>
            <w:vAlign w:val="center"/>
          </w:tcPr>
          <w:p w14:paraId="391DC63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F3F9FA"/>
            <w:vAlign w:val="center"/>
          </w:tcPr>
          <w:p w14:paraId="464B39C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33</w:t>
            </w:r>
          </w:p>
        </w:tc>
        <w:tc>
          <w:tcPr>
            <w:tcW w:w="1078" w:type="dxa"/>
            <w:tcBorders>
              <w:bottom w:val="single" w:sz="4" w:space="0" w:color="auto"/>
            </w:tcBorders>
            <w:shd w:val="clear" w:color="auto" w:fill="F3F9FA"/>
            <w:noWrap/>
            <w:vAlign w:val="center"/>
            <w:hideMark/>
          </w:tcPr>
          <w:p w14:paraId="4EF4476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-0.150</w:t>
            </w:r>
          </w:p>
        </w:tc>
        <w:tc>
          <w:tcPr>
            <w:tcW w:w="1076" w:type="dxa"/>
            <w:tcBorders>
              <w:bottom w:val="single" w:sz="4" w:space="0" w:color="auto"/>
            </w:tcBorders>
            <w:shd w:val="clear" w:color="auto" w:fill="F3F9FA"/>
            <w:noWrap/>
            <w:vAlign w:val="center"/>
            <w:hideMark/>
          </w:tcPr>
          <w:p w14:paraId="0C65336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0.227</w:t>
            </w:r>
          </w:p>
        </w:tc>
        <w:tc>
          <w:tcPr>
            <w:tcW w:w="2475" w:type="dxa"/>
            <w:tcBorders>
              <w:bottom w:val="single" w:sz="4" w:space="0" w:color="auto"/>
            </w:tcBorders>
            <w:shd w:val="clear" w:color="auto" w:fill="F3F9FA"/>
            <w:noWrap/>
            <w:vAlign w:val="center"/>
            <w:hideMark/>
          </w:tcPr>
          <w:p w14:paraId="21710A1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-0.128</w:t>
            </w:r>
          </w:p>
        </w:tc>
        <w:tc>
          <w:tcPr>
            <w:tcW w:w="1068" w:type="dxa"/>
            <w:tcBorders>
              <w:bottom w:val="single" w:sz="4" w:space="0" w:color="auto"/>
            </w:tcBorders>
            <w:shd w:val="clear" w:color="auto" w:fill="F3F9FA"/>
            <w:noWrap/>
            <w:vAlign w:val="center"/>
          </w:tcPr>
          <w:p w14:paraId="089C3BB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B176B08" w14:textId="77777777" w:rsidTr="00867E8C">
        <w:trPr>
          <w:cantSplit/>
          <w:trHeight w:val="312"/>
          <w:jc w:val="center"/>
        </w:trPr>
        <w:tc>
          <w:tcPr>
            <w:tcW w:w="2028" w:type="dxa"/>
            <w:vMerge/>
            <w:shd w:val="clear" w:color="auto" w:fill="F3F9FA"/>
            <w:noWrap/>
            <w:vAlign w:val="center"/>
          </w:tcPr>
          <w:p w14:paraId="1307349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1678AFA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hideMark/>
          </w:tcPr>
          <w:p w14:paraId="2EF7D27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GI1</w:t>
            </w:r>
          </w:p>
        </w:tc>
        <w:tc>
          <w:tcPr>
            <w:tcW w:w="1078" w:type="dxa"/>
            <w:tcBorders>
              <w:top w:val="single" w:sz="4" w:space="0" w:color="auto"/>
            </w:tcBorders>
            <w:shd w:val="clear" w:color="auto" w:fill="F3F9FA"/>
            <w:vAlign w:val="center"/>
          </w:tcPr>
          <w:p w14:paraId="745110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2001</w:t>
            </w:r>
          </w:p>
        </w:tc>
        <w:tc>
          <w:tcPr>
            <w:tcW w:w="1068" w:type="dxa"/>
            <w:tcBorders>
              <w:top w:val="single" w:sz="4" w:space="0" w:color="auto"/>
            </w:tcBorders>
            <w:shd w:val="clear" w:color="auto" w:fill="F3F9FA"/>
            <w:vAlign w:val="center"/>
          </w:tcPr>
          <w:p w14:paraId="64E14B6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3216FE0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70</w:t>
            </w:r>
          </w:p>
        </w:tc>
        <w:tc>
          <w:tcPr>
            <w:tcW w:w="1078" w:type="dxa"/>
            <w:tcBorders>
              <w:top w:val="single" w:sz="4" w:space="0" w:color="auto"/>
            </w:tcBorders>
            <w:shd w:val="clear" w:color="auto" w:fill="F3F9FA"/>
            <w:noWrap/>
            <w:vAlign w:val="center"/>
            <w:hideMark/>
          </w:tcPr>
          <w:p w14:paraId="371CD259"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-0.094</w:t>
            </w:r>
          </w:p>
        </w:tc>
        <w:tc>
          <w:tcPr>
            <w:tcW w:w="1076" w:type="dxa"/>
            <w:tcBorders>
              <w:top w:val="single" w:sz="4" w:space="0" w:color="auto"/>
            </w:tcBorders>
            <w:shd w:val="clear" w:color="auto" w:fill="F3F9FA"/>
            <w:noWrap/>
            <w:vAlign w:val="center"/>
            <w:hideMark/>
          </w:tcPr>
          <w:p w14:paraId="67BE7ED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0.250</w:t>
            </w:r>
          </w:p>
        </w:tc>
        <w:tc>
          <w:tcPr>
            <w:tcW w:w="2475" w:type="dxa"/>
            <w:tcBorders>
              <w:top w:val="single" w:sz="4" w:space="0" w:color="auto"/>
            </w:tcBorders>
            <w:shd w:val="clear" w:color="auto" w:fill="F3F9FA"/>
            <w:noWrap/>
            <w:vAlign w:val="center"/>
            <w:hideMark/>
          </w:tcPr>
          <w:p w14:paraId="1213F3A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-0.058</w:t>
            </w:r>
          </w:p>
        </w:tc>
        <w:tc>
          <w:tcPr>
            <w:tcW w:w="1068" w:type="dxa"/>
            <w:tcBorders>
              <w:top w:val="single" w:sz="4" w:space="0" w:color="auto"/>
            </w:tcBorders>
            <w:shd w:val="clear" w:color="auto" w:fill="F3F9FA"/>
            <w:noWrap/>
            <w:vAlign w:val="center"/>
            <w:hideMark/>
          </w:tcPr>
          <w:p w14:paraId="22769AA5"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4CED1DE6" w14:textId="77777777" w:rsidTr="00867E8C">
        <w:trPr>
          <w:cantSplit/>
          <w:trHeight w:val="312"/>
          <w:jc w:val="center"/>
        </w:trPr>
        <w:tc>
          <w:tcPr>
            <w:tcW w:w="2028" w:type="dxa"/>
            <w:vMerge/>
            <w:shd w:val="clear" w:color="auto" w:fill="F3F9FA"/>
            <w:noWrap/>
            <w:vAlign w:val="center"/>
          </w:tcPr>
          <w:p w14:paraId="0C71E98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091793F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6893401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GI2</w:t>
            </w:r>
          </w:p>
        </w:tc>
        <w:tc>
          <w:tcPr>
            <w:tcW w:w="1078" w:type="dxa"/>
            <w:tcBorders>
              <w:bottom w:val="single" w:sz="4" w:space="0" w:color="auto"/>
            </w:tcBorders>
            <w:shd w:val="clear" w:color="auto" w:fill="F3F9FA"/>
            <w:vAlign w:val="center"/>
          </w:tcPr>
          <w:p w14:paraId="740FA83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F3F9FA"/>
            <w:vAlign w:val="center"/>
          </w:tcPr>
          <w:p w14:paraId="17B6619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4AC9A1B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56</w:t>
            </w:r>
          </w:p>
        </w:tc>
        <w:tc>
          <w:tcPr>
            <w:tcW w:w="1078" w:type="dxa"/>
            <w:tcBorders>
              <w:bottom w:val="single" w:sz="4" w:space="0" w:color="auto"/>
            </w:tcBorders>
            <w:shd w:val="clear" w:color="auto" w:fill="F3F9FA"/>
            <w:noWrap/>
            <w:vAlign w:val="center"/>
            <w:hideMark/>
          </w:tcPr>
          <w:p w14:paraId="344D992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-0.015</w:t>
            </w:r>
          </w:p>
        </w:tc>
        <w:tc>
          <w:tcPr>
            <w:tcW w:w="1076" w:type="dxa"/>
            <w:tcBorders>
              <w:bottom w:val="single" w:sz="4" w:space="0" w:color="auto"/>
            </w:tcBorders>
            <w:shd w:val="clear" w:color="auto" w:fill="F3F9FA"/>
            <w:noWrap/>
            <w:vAlign w:val="center"/>
            <w:hideMark/>
          </w:tcPr>
          <w:p w14:paraId="1FF89B4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0.876</w:t>
            </w:r>
          </w:p>
        </w:tc>
        <w:tc>
          <w:tcPr>
            <w:tcW w:w="2475" w:type="dxa"/>
            <w:tcBorders>
              <w:bottom w:val="single" w:sz="4" w:space="0" w:color="auto"/>
            </w:tcBorders>
            <w:shd w:val="clear" w:color="auto" w:fill="F3F9FA"/>
            <w:noWrap/>
            <w:vAlign w:val="center"/>
            <w:hideMark/>
          </w:tcPr>
          <w:p w14:paraId="1F6991D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-0.016</w:t>
            </w:r>
          </w:p>
        </w:tc>
        <w:tc>
          <w:tcPr>
            <w:tcW w:w="1068" w:type="dxa"/>
            <w:tcBorders>
              <w:bottom w:val="single" w:sz="4" w:space="0" w:color="auto"/>
            </w:tcBorders>
            <w:shd w:val="clear" w:color="auto" w:fill="F3F9FA"/>
            <w:noWrap/>
            <w:vAlign w:val="center"/>
          </w:tcPr>
          <w:p w14:paraId="300BBA0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58949CC" w14:textId="77777777" w:rsidTr="00867E8C">
        <w:trPr>
          <w:cantSplit/>
          <w:trHeight w:val="312"/>
          <w:jc w:val="center"/>
        </w:trPr>
        <w:tc>
          <w:tcPr>
            <w:tcW w:w="2028" w:type="dxa"/>
            <w:vMerge/>
            <w:shd w:val="clear" w:color="auto" w:fill="F3F9FA"/>
            <w:noWrap/>
            <w:vAlign w:val="center"/>
          </w:tcPr>
          <w:p w14:paraId="3FA0DB9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1915244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bottom w:val="single" w:sz="4" w:space="0" w:color="auto"/>
            </w:tcBorders>
            <w:shd w:val="clear" w:color="auto" w:fill="F3F9FA"/>
            <w:noWrap/>
            <w:vAlign w:val="center"/>
            <w:hideMark/>
          </w:tcPr>
          <w:p w14:paraId="5B1E356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GO1</w:t>
            </w:r>
          </w:p>
        </w:tc>
        <w:tc>
          <w:tcPr>
            <w:tcW w:w="1078" w:type="dxa"/>
            <w:tcBorders>
              <w:top w:val="single" w:sz="4" w:space="0" w:color="auto"/>
              <w:bottom w:val="single" w:sz="4" w:space="0" w:color="auto"/>
            </w:tcBorders>
            <w:shd w:val="clear" w:color="auto" w:fill="F3F9FA"/>
            <w:vAlign w:val="center"/>
          </w:tcPr>
          <w:p w14:paraId="30F46AD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tcBorders>
              <w:top w:val="single" w:sz="4" w:space="0" w:color="auto"/>
              <w:bottom w:val="single" w:sz="4" w:space="0" w:color="auto"/>
            </w:tcBorders>
            <w:shd w:val="clear" w:color="auto" w:fill="F3F9FA"/>
            <w:vAlign w:val="center"/>
          </w:tcPr>
          <w:p w14:paraId="2BB2B40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2016</w:t>
            </w:r>
          </w:p>
        </w:tc>
        <w:tc>
          <w:tcPr>
            <w:tcW w:w="519" w:type="dxa"/>
            <w:tcBorders>
              <w:top w:val="single" w:sz="4" w:space="0" w:color="auto"/>
              <w:bottom w:val="single" w:sz="4" w:space="0" w:color="auto"/>
            </w:tcBorders>
            <w:shd w:val="clear" w:color="auto" w:fill="F3F9FA"/>
            <w:vAlign w:val="center"/>
          </w:tcPr>
          <w:p w14:paraId="01B27F0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7</w:t>
            </w:r>
          </w:p>
        </w:tc>
        <w:tc>
          <w:tcPr>
            <w:tcW w:w="1078" w:type="dxa"/>
            <w:tcBorders>
              <w:top w:val="single" w:sz="4" w:space="0" w:color="auto"/>
              <w:bottom w:val="single" w:sz="4" w:space="0" w:color="auto"/>
            </w:tcBorders>
            <w:shd w:val="clear" w:color="auto" w:fill="F3F9FA"/>
            <w:noWrap/>
            <w:vAlign w:val="center"/>
            <w:hideMark/>
          </w:tcPr>
          <w:p w14:paraId="37BF6E9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-0.429</w:t>
            </w:r>
          </w:p>
        </w:tc>
        <w:tc>
          <w:tcPr>
            <w:tcW w:w="1076" w:type="dxa"/>
            <w:tcBorders>
              <w:top w:val="single" w:sz="4" w:space="0" w:color="auto"/>
              <w:bottom w:val="single" w:sz="4" w:space="0" w:color="auto"/>
            </w:tcBorders>
            <w:shd w:val="clear" w:color="auto" w:fill="F3F9FA"/>
            <w:noWrap/>
            <w:vAlign w:val="center"/>
            <w:hideMark/>
          </w:tcPr>
          <w:p w14:paraId="4602117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0.2296</w:t>
            </w:r>
          </w:p>
        </w:tc>
        <w:tc>
          <w:tcPr>
            <w:tcW w:w="2475" w:type="dxa"/>
            <w:tcBorders>
              <w:top w:val="single" w:sz="4" w:space="0" w:color="auto"/>
              <w:bottom w:val="single" w:sz="4" w:space="0" w:color="auto"/>
            </w:tcBorders>
            <w:shd w:val="clear" w:color="auto" w:fill="F3F9FA"/>
            <w:noWrap/>
            <w:vAlign w:val="center"/>
            <w:hideMark/>
          </w:tcPr>
          <w:p w14:paraId="5864C9B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-1.682</w:t>
            </w:r>
          </w:p>
        </w:tc>
        <w:tc>
          <w:tcPr>
            <w:tcW w:w="1068" w:type="dxa"/>
            <w:tcBorders>
              <w:top w:val="single" w:sz="4" w:space="0" w:color="auto"/>
              <w:bottom w:val="single" w:sz="4" w:space="0" w:color="auto"/>
            </w:tcBorders>
            <w:shd w:val="clear" w:color="auto" w:fill="F3F9FA"/>
            <w:noWrap/>
            <w:vAlign w:val="center"/>
          </w:tcPr>
          <w:p w14:paraId="2D9B2FE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2AC68091" w14:textId="77777777" w:rsidTr="00867E8C">
        <w:trPr>
          <w:cantSplit/>
          <w:trHeight w:val="312"/>
          <w:jc w:val="center"/>
        </w:trPr>
        <w:tc>
          <w:tcPr>
            <w:tcW w:w="2028" w:type="dxa"/>
            <w:vMerge/>
            <w:shd w:val="clear" w:color="auto" w:fill="F3F9FA"/>
            <w:noWrap/>
            <w:vAlign w:val="center"/>
          </w:tcPr>
          <w:p w14:paraId="6EE0D64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428919F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bottom w:val="single" w:sz="4" w:space="0" w:color="auto"/>
            </w:tcBorders>
            <w:shd w:val="clear" w:color="auto" w:fill="F3F9FA"/>
            <w:noWrap/>
            <w:vAlign w:val="center"/>
            <w:hideMark/>
          </w:tcPr>
          <w:p w14:paraId="20B6E1B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LI1</w:t>
            </w:r>
          </w:p>
        </w:tc>
        <w:tc>
          <w:tcPr>
            <w:tcW w:w="1078" w:type="dxa"/>
            <w:tcBorders>
              <w:top w:val="single" w:sz="4" w:space="0" w:color="auto"/>
              <w:bottom w:val="single" w:sz="4" w:space="0" w:color="auto"/>
            </w:tcBorders>
            <w:shd w:val="clear" w:color="auto" w:fill="F3F9FA"/>
            <w:vAlign w:val="center"/>
          </w:tcPr>
          <w:p w14:paraId="22FEFFE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tcBorders>
              <w:top w:val="single" w:sz="4" w:space="0" w:color="auto"/>
              <w:bottom w:val="single" w:sz="4" w:space="0" w:color="auto"/>
            </w:tcBorders>
            <w:shd w:val="clear" w:color="auto" w:fill="F3F9FA"/>
            <w:vAlign w:val="center"/>
          </w:tcPr>
          <w:p w14:paraId="2BAC1E8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bottom w:val="single" w:sz="4" w:space="0" w:color="auto"/>
            </w:tcBorders>
            <w:shd w:val="clear" w:color="auto" w:fill="F3F9FA"/>
            <w:vAlign w:val="center"/>
          </w:tcPr>
          <w:p w14:paraId="051B0FB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38</w:t>
            </w:r>
          </w:p>
        </w:tc>
        <w:tc>
          <w:tcPr>
            <w:tcW w:w="1078" w:type="dxa"/>
            <w:tcBorders>
              <w:top w:val="single" w:sz="4" w:space="0" w:color="auto"/>
              <w:bottom w:val="single" w:sz="4" w:space="0" w:color="auto"/>
            </w:tcBorders>
            <w:shd w:val="clear" w:color="auto" w:fill="F3F9FA"/>
            <w:noWrap/>
            <w:vAlign w:val="center"/>
            <w:hideMark/>
          </w:tcPr>
          <w:p w14:paraId="7A3577B9"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-0.431</w:t>
            </w:r>
          </w:p>
        </w:tc>
        <w:tc>
          <w:tcPr>
            <w:tcW w:w="1076" w:type="dxa"/>
            <w:tcBorders>
              <w:top w:val="single" w:sz="4" w:space="0" w:color="auto"/>
              <w:bottom w:val="single" w:sz="4" w:space="0" w:color="auto"/>
            </w:tcBorders>
            <w:shd w:val="clear" w:color="auto" w:fill="F3F9FA"/>
            <w:noWrap/>
            <w:vAlign w:val="center"/>
            <w:hideMark/>
          </w:tcPr>
          <w:p w14:paraId="703EFB8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&lt;0.001</w:t>
            </w:r>
          </w:p>
        </w:tc>
        <w:tc>
          <w:tcPr>
            <w:tcW w:w="2475" w:type="dxa"/>
            <w:tcBorders>
              <w:top w:val="single" w:sz="4" w:space="0" w:color="auto"/>
              <w:bottom w:val="single" w:sz="4" w:space="0" w:color="auto"/>
            </w:tcBorders>
            <w:shd w:val="clear" w:color="auto" w:fill="F3F9FA"/>
            <w:noWrap/>
            <w:vAlign w:val="center"/>
            <w:hideMark/>
          </w:tcPr>
          <w:p w14:paraId="3B4445A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 xml:space="preserve">-0.164 </w:t>
            </w:r>
            <w:r w:rsidRPr="00867E8C">
              <w:rPr>
                <w:rFonts w:asciiTheme="minorHAnsi" w:hAnsiTheme="minorHAnsi" w:cstheme="minorHAnsi"/>
                <w:b/>
                <w:color w:val="000000"/>
                <w:sz w:val="16"/>
                <w:szCs w:val="16"/>
              </w:rPr>
              <w:t>(</w:t>
            </w:r>
            <w:r w:rsidRPr="00867E8C">
              <w:rPr>
                <w:rFonts w:asciiTheme="minorHAnsi" w:hAnsiTheme="minorHAnsi" w:cstheme="minorHAnsi"/>
                <w:color w:val="000000"/>
                <w:sz w:val="16"/>
                <w:szCs w:val="16"/>
              </w:rPr>
              <w:t>-0.269 to -0.077)</w:t>
            </w:r>
          </w:p>
        </w:tc>
        <w:tc>
          <w:tcPr>
            <w:tcW w:w="1068" w:type="dxa"/>
            <w:tcBorders>
              <w:top w:val="single" w:sz="4" w:space="0" w:color="auto"/>
              <w:bottom w:val="single" w:sz="4" w:space="0" w:color="auto"/>
            </w:tcBorders>
            <w:shd w:val="clear" w:color="auto" w:fill="F3F9FA"/>
            <w:noWrap/>
            <w:vAlign w:val="center"/>
            <w:hideMark/>
          </w:tcPr>
          <w:p w14:paraId="453203B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154EB66D" w14:textId="77777777" w:rsidTr="00867E8C">
        <w:trPr>
          <w:cantSplit/>
          <w:trHeight w:val="312"/>
          <w:jc w:val="center"/>
        </w:trPr>
        <w:tc>
          <w:tcPr>
            <w:tcW w:w="2028" w:type="dxa"/>
            <w:vMerge/>
            <w:shd w:val="clear" w:color="auto" w:fill="F3F9FA"/>
            <w:noWrap/>
            <w:vAlign w:val="center"/>
          </w:tcPr>
          <w:p w14:paraId="1C3F0DC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bottom w:val="single" w:sz="4" w:space="0" w:color="auto"/>
            </w:tcBorders>
            <w:shd w:val="clear" w:color="auto" w:fill="F3F9FA"/>
            <w:noWrap/>
            <w:vAlign w:val="center"/>
            <w:hideMark/>
          </w:tcPr>
          <w:p w14:paraId="3A00294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subtidal</w:t>
            </w:r>
          </w:p>
        </w:tc>
        <w:tc>
          <w:tcPr>
            <w:tcW w:w="720" w:type="dxa"/>
            <w:tcBorders>
              <w:top w:val="single" w:sz="4" w:space="0" w:color="auto"/>
            </w:tcBorders>
            <w:shd w:val="clear" w:color="auto" w:fill="F3F9FA"/>
            <w:noWrap/>
            <w:vAlign w:val="center"/>
            <w:hideMark/>
          </w:tcPr>
          <w:p w14:paraId="333BE25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DI3</w:t>
            </w:r>
          </w:p>
        </w:tc>
        <w:tc>
          <w:tcPr>
            <w:tcW w:w="1078" w:type="dxa"/>
            <w:tcBorders>
              <w:top w:val="single" w:sz="4" w:space="0" w:color="auto"/>
            </w:tcBorders>
            <w:shd w:val="clear" w:color="auto" w:fill="F3F9FA"/>
            <w:vAlign w:val="center"/>
          </w:tcPr>
          <w:p w14:paraId="1B678FE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tcBorders>
              <w:top w:val="single" w:sz="4" w:space="0" w:color="auto"/>
            </w:tcBorders>
            <w:shd w:val="clear" w:color="auto" w:fill="F3F9FA"/>
            <w:vAlign w:val="center"/>
          </w:tcPr>
          <w:p w14:paraId="6F09734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58975DA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42</w:t>
            </w:r>
          </w:p>
        </w:tc>
        <w:tc>
          <w:tcPr>
            <w:tcW w:w="1078" w:type="dxa"/>
            <w:tcBorders>
              <w:top w:val="single" w:sz="4" w:space="0" w:color="auto"/>
            </w:tcBorders>
            <w:shd w:val="clear" w:color="auto" w:fill="F3F9FA"/>
            <w:noWrap/>
            <w:vAlign w:val="center"/>
            <w:hideMark/>
          </w:tcPr>
          <w:p w14:paraId="41EFBB3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-0.171</w:t>
            </w:r>
          </w:p>
        </w:tc>
        <w:tc>
          <w:tcPr>
            <w:tcW w:w="1076" w:type="dxa"/>
            <w:tcBorders>
              <w:top w:val="single" w:sz="4" w:space="0" w:color="auto"/>
            </w:tcBorders>
            <w:shd w:val="clear" w:color="auto" w:fill="F3F9FA"/>
            <w:noWrap/>
            <w:vAlign w:val="center"/>
            <w:hideMark/>
          </w:tcPr>
          <w:p w14:paraId="24EECD2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0.115</w:t>
            </w:r>
          </w:p>
        </w:tc>
        <w:tc>
          <w:tcPr>
            <w:tcW w:w="2475" w:type="dxa"/>
            <w:tcBorders>
              <w:top w:val="single" w:sz="4" w:space="0" w:color="auto"/>
            </w:tcBorders>
            <w:shd w:val="clear" w:color="auto" w:fill="F3F9FA"/>
            <w:noWrap/>
            <w:vAlign w:val="center"/>
            <w:hideMark/>
          </w:tcPr>
          <w:p w14:paraId="784141A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-0.019</w:t>
            </w:r>
          </w:p>
        </w:tc>
        <w:tc>
          <w:tcPr>
            <w:tcW w:w="1068" w:type="dxa"/>
            <w:tcBorders>
              <w:top w:val="single" w:sz="4" w:space="0" w:color="auto"/>
            </w:tcBorders>
            <w:shd w:val="clear" w:color="auto" w:fill="F3F9FA"/>
            <w:noWrap/>
            <w:vAlign w:val="center"/>
            <w:hideMark/>
          </w:tcPr>
          <w:p w14:paraId="7A7FD65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47B378D7" w14:textId="77777777" w:rsidTr="00867E8C">
        <w:trPr>
          <w:cantSplit/>
          <w:trHeight w:val="312"/>
          <w:jc w:val="center"/>
        </w:trPr>
        <w:tc>
          <w:tcPr>
            <w:tcW w:w="2028" w:type="dxa"/>
            <w:vMerge/>
            <w:shd w:val="clear" w:color="auto" w:fill="F3F9FA"/>
            <w:noWrap/>
            <w:vAlign w:val="center"/>
          </w:tcPr>
          <w:p w14:paraId="07B93FF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hideMark/>
          </w:tcPr>
          <w:p w14:paraId="68D72AA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shd w:val="clear" w:color="auto" w:fill="F3F9FA"/>
            <w:noWrap/>
            <w:vAlign w:val="center"/>
            <w:hideMark/>
          </w:tcPr>
          <w:p w14:paraId="218B957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GI3</w:t>
            </w:r>
          </w:p>
        </w:tc>
        <w:tc>
          <w:tcPr>
            <w:tcW w:w="1078" w:type="dxa"/>
            <w:shd w:val="clear" w:color="auto" w:fill="F3F9FA"/>
            <w:vAlign w:val="center"/>
          </w:tcPr>
          <w:p w14:paraId="02F2DA4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shd w:val="clear" w:color="auto" w:fill="F3F9FA"/>
            <w:vAlign w:val="center"/>
          </w:tcPr>
          <w:p w14:paraId="39AD28B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shd w:val="clear" w:color="auto" w:fill="F3F9FA"/>
            <w:vAlign w:val="center"/>
          </w:tcPr>
          <w:p w14:paraId="42FFDA8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41</w:t>
            </w:r>
          </w:p>
        </w:tc>
        <w:tc>
          <w:tcPr>
            <w:tcW w:w="1078" w:type="dxa"/>
            <w:shd w:val="clear" w:color="auto" w:fill="F3F9FA"/>
            <w:noWrap/>
            <w:vAlign w:val="center"/>
            <w:hideMark/>
          </w:tcPr>
          <w:p w14:paraId="6C6F936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-0.398</w:t>
            </w:r>
          </w:p>
        </w:tc>
        <w:tc>
          <w:tcPr>
            <w:tcW w:w="1076" w:type="dxa"/>
            <w:shd w:val="clear" w:color="auto" w:fill="F3F9FA"/>
            <w:noWrap/>
            <w:vAlign w:val="center"/>
            <w:hideMark/>
          </w:tcPr>
          <w:p w14:paraId="0F75F9B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&lt;0.001</w:t>
            </w:r>
          </w:p>
        </w:tc>
        <w:tc>
          <w:tcPr>
            <w:tcW w:w="2475" w:type="dxa"/>
            <w:shd w:val="clear" w:color="auto" w:fill="F3F9FA"/>
            <w:noWrap/>
            <w:vAlign w:val="center"/>
            <w:hideMark/>
          </w:tcPr>
          <w:p w14:paraId="3BFA60C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-0.589</w:t>
            </w:r>
            <w:r w:rsidRPr="00867E8C">
              <w:rPr>
                <w:rFonts w:asciiTheme="minorHAnsi" w:hAnsiTheme="minorHAnsi" w:cstheme="minorHAnsi"/>
                <w:b/>
                <w:color w:val="000000"/>
                <w:sz w:val="16"/>
                <w:szCs w:val="16"/>
              </w:rPr>
              <w:t xml:space="preserve"> </w:t>
            </w:r>
            <w:r w:rsidRPr="00867E8C">
              <w:rPr>
                <w:rFonts w:asciiTheme="minorHAnsi" w:hAnsiTheme="minorHAnsi" w:cstheme="minorHAnsi"/>
                <w:color w:val="000000"/>
                <w:sz w:val="16"/>
                <w:szCs w:val="16"/>
              </w:rPr>
              <w:t>(-0.846 to -0.332)</w:t>
            </w:r>
          </w:p>
        </w:tc>
        <w:tc>
          <w:tcPr>
            <w:tcW w:w="1068" w:type="dxa"/>
            <w:shd w:val="clear" w:color="auto" w:fill="F3F9FA"/>
            <w:noWrap/>
            <w:vAlign w:val="center"/>
          </w:tcPr>
          <w:p w14:paraId="0F5EECE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359E8F06" w14:textId="77777777" w:rsidTr="00867E8C">
        <w:trPr>
          <w:cantSplit/>
          <w:trHeight w:val="312"/>
          <w:jc w:val="center"/>
        </w:trPr>
        <w:tc>
          <w:tcPr>
            <w:tcW w:w="2028" w:type="dxa"/>
            <w:vMerge/>
            <w:shd w:val="clear" w:color="auto" w:fill="F3F9FA"/>
            <w:noWrap/>
            <w:vAlign w:val="center"/>
          </w:tcPr>
          <w:p w14:paraId="4B2FB3E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hideMark/>
          </w:tcPr>
          <w:p w14:paraId="0015C96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5EDBA95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LI2</w:t>
            </w:r>
          </w:p>
        </w:tc>
        <w:tc>
          <w:tcPr>
            <w:tcW w:w="1078" w:type="dxa"/>
            <w:tcBorders>
              <w:bottom w:val="single" w:sz="4" w:space="0" w:color="auto"/>
            </w:tcBorders>
            <w:shd w:val="clear" w:color="auto" w:fill="F3F9FA"/>
            <w:vAlign w:val="center"/>
          </w:tcPr>
          <w:p w14:paraId="2BFC484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tcBorders>
              <w:bottom w:val="single" w:sz="4" w:space="0" w:color="auto"/>
            </w:tcBorders>
            <w:shd w:val="clear" w:color="auto" w:fill="F3F9FA"/>
            <w:vAlign w:val="center"/>
          </w:tcPr>
          <w:p w14:paraId="086E5CF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0CF1ED1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38</w:t>
            </w:r>
          </w:p>
        </w:tc>
        <w:tc>
          <w:tcPr>
            <w:tcW w:w="1078" w:type="dxa"/>
            <w:tcBorders>
              <w:bottom w:val="single" w:sz="4" w:space="0" w:color="auto"/>
            </w:tcBorders>
            <w:shd w:val="clear" w:color="auto" w:fill="F3F9FA"/>
            <w:noWrap/>
            <w:vAlign w:val="center"/>
            <w:hideMark/>
          </w:tcPr>
          <w:p w14:paraId="38205D8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0.103</w:t>
            </w:r>
          </w:p>
        </w:tc>
        <w:tc>
          <w:tcPr>
            <w:tcW w:w="1076" w:type="dxa"/>
            <w:tcBorders>
              <w:bottom w:val="single" w:sz="4" w:space="0" w:color="auto"/>
            </w:tcBorders>
            <w:shd w:val="clear" w:color="auto" w:fill="F3F9FA"/>
            <w:noWrap/>
            <w:vAlign w:val="center"/>
            <w:hideMark/>
          </w:tcPr>
          <w:p w14:paraId="4CB0A7E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0.372</w:t>
            </w:r>
          </w:p>
        </w:tc>
        <w:tc>
          <w:tcPr>
            <w:tcW w:w="2475" w:type="dxa"/>
            <w:tcBorders>
              <w:bottom w:val="single" w:sz="4" w:space="0" w:color="auto"/>
            </w:tcBorders>
            <w:shd w:val="clear" w:color="auto" w:fill="F3F9FA"/>
            <w:noWrap/>
            <w:vAlign w:val="center"/>
            <w:hideMark/>
          </w:tcPr>
          <w:p w14:paraId="302755E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0.062</w:t>
            </w:r>
          </w:p>
        </w:tc>
        <w:tc>
          <w:tcPr>
            <w:tcW w:w="1068" w:type="dxa"/>
            <w:tcBorders>
              <w:bottom w:val="single" w:sz="4" w:space="0" w:color="auto"/>
            </w:tcBorders>
            <w:shd w:val="clear" w:color="auto" w:fill="F3F9FA"/>
            <w:noWrap/>
            <w:vAlign w:val="center"/>
            <w:hideMark/>
          </w:tcPr>
          <w:p w14:paraId="7016CC0A"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3206CA07" w14:textId="77777777" w:rsidTr="00867E8C">
        <w:trPr>
          <w:cantSplit/>
          <w:trHeight w:val="312"/>
          <w:jc w:val="center"/>
        </w:trPr>
        <w:tc>
          <w:tcPr>
            <w:tcW w:w="2028" w:type="dxa"/>
            <w:tcBorders>
              <w:bottom w:val="single" w:sz="4" w:space="0" w:color="auto"/>
            </w:tcBorders>
            <w:shd w:val="clear" w:color="auto" w:fill="F3F9FA"/>
            <w:noWrap/>
            <w:vAlign w:val="center"/>
          </w:tcPr>
          <w:p w14:paraId="1EE1A88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520B2A9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116DE41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3FD4C65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top w:val="single" w:sz="4" w:space="0" w:color="auto"/>
              <w:bottom w:val="single" w:sz="4" w:space="0" w:color="auto"/>
            </w:tcBorders>
            <w:shd w:val="clear" w:color="auto" w:fill="D9D9D9" w:themeFill="background1" w:themeFillShade="D9"/>
            <w:vAlign w:val="center"/>
          </w:tcPr>
          <w:p w14:paraId="60C8B11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bottom w:val="single" w:sz="4" w:space="0" w:color="auto"/>
            </w:tcBorders>
            <w:shd w:val="clear" w:color="auto" w:fill="D9D9D9" w:themeFill="background1" w:themeFillShade="D9"/>
            <w:vAlign w:val="center"/>
          </w:tcPr>
          <w:p w14:paraId="0E3FC5B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80</w:t>
            </w:r>
          </w:p>
        </w:tc>
        <w:tc>
          <w:tcPr>
            <w:tcW w:w="1078" w:type="dxa"/>
            <w:tcBorders>
              <w:top w:val="single" w:sz="4" w:space="0" w:color="auto"/>
              <w:bottom w:val="single" w:sz="4" w:space="0" w:color="auto"/>
            </w:tcBorders>
            <w:shd w:val="clear" w:color="auto" w:fill="D9D9D9" w:themeFill="background1" w:themeFillShade="D9"/>
            <w:noWrap/>
            <w:vAlign w:val="center"/>
          </w:tcPr>
          <w:p w14:paraId="3F917E1C" w14:textId="77777777" w:rsidR="00017050" w:rsidRPr="00867E8C" w:rsidRDefault="00017050"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-0.141</w:t>
            </w:r>
          </w:p>
        </w:tc>
        <w:tc>
          <w:tcPr>
            <w:tcW w:w="1076" w:type="dxa"/>
            <w:tcBorders>
              <w:top w:val="single" w:sz="4" w:space="0" w:color="auto"/>
              <w:bottom w:val="single" w:sz="4" w:space="0" w:color="auto"/>
            </w:tcBorders>
            <w:shd w:val="clear" w:color="auto" w:fill="D9D9D9" w:themeFill="background1" w:themeFillShade="D9"/>
            <w:noWrap/>
            <w:vAlign w:val="center"/>
          </w:tcPr>
          <w:p w14:paraId="4B9FD695" w14:textId="77777777" w:rsidR="00017050" w:rsidRPr="00867E8C" w:rsidRDefault="00017050"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0.0072</w:t>
            </w:r>
          </w:p>
        </w:tc>
        <w:tc>
          <w:tcPr>
            <w:tcW w:w="2475" w:type="dxa"/>
            <w:tcBorders>
              <w:top w:val="single" w:sz="4" w:space="0" w:color="auto"/>
              <w:bottom w:val="single" w:sz="4" w:space="0" w:color="auto"/>
            </w:tcBorders>
            <w:shd w:val="clear" w:color="auto" w:fill="D9D9D9" w:themeFill="background1" w:themeFillShade="D9"/>
            <w:noWrap/>
            <w:vAlign w:val="center"/>
          </w:tcPr>
          <w:p w14:paraId="4DF7E6DF" w14:textId="77777777" w:rsidR="00017050" w:rsidRPr="00867E8C" w:rsidRDefault="00017050"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-0.082</w:t>
            </w:r>
          </w:p>
        </w:tc>
        <w:tc>
          <w:tcPr>
            <w:tcW w:w="1068" w:type="dxa"/>
            <w:tcBorders>
              <w:top w:val="single" w:sz="4" w:space="0" w:color="auto"/>
              <w:bottom w:val="single" w:sz="4" w:space="0" w:color="auto"/>
            </w:tcBorders>
            <w:shd w:val="clear" w:color="auto" w:fill="D9D9D9" w:themeFill="background1" w:themeFillShade="D9"/>
            <w:noWrap/>
            <w:vAlign w:val="center"/>
          </w:tcPr>
          <w:p w14:paraId="3A60E38F" w14:textId="77777777" w:rsidR="00017050" w:rsidRPr="00867E8C" w:rsidRDefault="00017050"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color w:val="000000"/>
                <w:sz w:val="20"/>
                <w:szCs w:val="20"/>
              </w:rPr>
              <w:t>no trend</w:t>
            </w:r>
          </w:p>
        </w:tc>
      </w:tr>
      <w:tr w:rsidR="00017050" w:rsidRPr="00867E8C" w14:paraId="7317440E" w14:textId="77777777" w:rsidTr="00867E8C">
        <w:trPr>
          <w:cantSplit/>
          <w:trHeight w:val="312"/>
          <w:jc w:val="center"/>
        </w:trPr>
        <w:tc>
          <w:tcPr>
            <w:tcW w:w="2028" w:type="dxa"/>
            <w:vMerge w:val="restart"/>
            <w:tcBorders>
              <w:top w:val="single" w:sz="4" w:space="0" w:color="auto"/>
            </w:tcBorders>
            <w:shd w:val="clear" w:color="auto" w:fill="E7F3F4"/>
            <w:noWrap/>
            <w:vAlign w:val="center"/>
            <w:hideMark/>
          </w:tcPr>
          <w:p w14:paraId="498149A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Burdekin</w:t>
            </w:r>
          </w:p>
        </w:tc>
        <w:tc>
          <w:tcPr>
            <w:tcW w:w="1874" w:type="dxa"/>
            <w:vMerge w:val="restart"/>
            <w:tcBorders>
              <w:top w:val="single" w:sz="4" w:space="0" w:color="auto"/>
            </w:tcBorders>
            <w:shd w:val="clear" w:color="auto" w:fill="E7F3F4"/>
            <w:noWrap/>
            <w:vAlign w:val="center"/>
            <w:hideMark/>
          </w:tcPr>
          <w:p w14:paraId="7FF3871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E7F3F4"/>
            <w:noWrap/>
            <w:vAlign w:val="center"/>
            <w:hideMark/>
          </w:tcPr>
          <w:p w14:paraId="3C91C3F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BB1</w:t>
            </w:r>
          </w:p>
        </w:tc>
        <w:tc>
          <w:tcPr>
            <w:tcW w:w="1078" w:type="dxa"/>
            <w:tcBorders>
              <w:top w:val="single" w:sz="4" w:space="0" w:color="auto"/>
            </w:tcBorders>
            <w:shd w:val="clear" w:color="auto" w:fill="E7F3F4"/>
            <w:vAlign w:val="center"/>
          </w:tcPr>
          <w:p w14:paraId="3F17891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2002</w:t>
            </w:r>
          </w:p>
        </w:tc>
        <w:tc>
          <w:tcPr>
            <w:tcW w:w="1068" w:type="dxa"/>
            <w:tcBorders>
              <w:top w:val="single" w:sz="4" w:space="0" w:color="auto"/>
            </w:tcBorders>
            <w:shd w:val="clear" w:color="auto" w:fill="E7F3F4"/>
            <w:vAlign w:val="center"/>
          </w:tcPr>
          <w:p w14:paraId="04F3E1B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E7F3F4"/>
            <w:vAlign w:val="center"/>
          </w:tcPr>
          <w:p w14:paraId="1B2734E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62</w:t>
            </w:r>
          </w:p>
        </w:tc>
        <w:tc>
          <w:tcPr>
            <w:tcW w:w="1078" w:type="dxa"/>
            <w:tcBorders>
              <w:top w:val="single" w:sz="4" w:space="0" w:color="auto"/>
            </w:tcBorders>
            <w:shd w:val="clear" w:color="auto" w:fill="E7F3F4"/>
            <w:noWrap/>
            <w:vAlign w:val="center"/>
            <w:hideMark/>
          </w:tcPr>
          <w:p w14:paraId="4A261CD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0.052</w:t>
            </w:r>
          </w:p>
        </w:tc>
        <w:tc>
          <w:tcPr>
            <w:tcW w:w="1076" w:type="dxa"/>
            <w:tcBorders>
              <w:top w:val="single" w:sz="4" w:space="0" w:color="auto"/>
            </w:tcBorders>
            <w:shd w:val="clear" w:color="auto" w:fill="E7F3F4"/>
            <w:noWrap/>
            <w:vAlign w:val="center"/>
            <w:hideMark/>
          </w:tcPr>
          <w:p w14:paraId="332D85E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0.552</w:t>
            </w:r>
          </w:p>
        </w:tc>
        <w:tc>
          <w:tcPr>
            <w:tcW w:w="2475" w:type="dxa"/>
            <w:tcBorders>
              <w:top w:val="single" w:sz="4" w:space="0" w:color="auto"/>
            </w:tcBorders>
            <w:shd w:val="clear" w:color="auto" w:fill="E7F3F4"/>
            <w:noWrap/>
            <w:vAlign w:val="center"/>
            <w:hideMark/>
          </w:tcPr>
          <w:p w14:paraId="7475C26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0.056</w:t>
            </w:r>
          </w:p>
        </w:tc>
        <w:tc>
          <w:tcPr>
            <w:tcW w:w="1068" w:type="dxa"/>
            <w:tcBorders>
              <w:top w:val="single" w:sz="4" w:space="0" w:color="auto"/>
            </w:tcBorders>
            <w:shd w:val="clear" w:color="auto" w:fill="E7F3F4"/>
            <w:noWrap/>
            <w:vAlign w:val="center"/>
          </w:tcPr>
          <w:p w14:paraId="64B0F0E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2229CE0F" w14:textId="77777777" w:rsidTr="00867E8C">
        <w:trPr>
          <w:cantSplit/>
          <w:trHeight w:val="312"/>
          <w:jc w:val="center"/>
        </w:trPr>
        <w:tc>
          <w:tcPr>
            <w:tcW w:w="2028" w:type="dxa"/>
            <w:vMerge/>
            <w:shd w:val="clear" w:color="auto" w:fill="E7F3F4"/>
            <w:noWrap/>
            <w:vAlign w:val="center"/>
          </w:tcPr>
          <w:p w14:paraId="5E9AC16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E7F3F4"/>
            <w:noWrap/>
            <w:vAlign w:val="center"/>
          </w:tcPr>
          <w:p w14:paraId="71F9561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shd w:val="clear" w:color="auto" w:fill="E7F3F4"/>
            <w:noWrap/>
            <w:vAlign w:val="center"/>
            <w:hideMark/>
          </w:tcPr>
          <w:p w14:paraId="0569995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SB1</w:t>
            </w:r>
          </w:p>
        </w:tc>
        <w:tc>
          <w:tcPr>
            <w:tcW w:w="1078" w:type="dxa"/>
            <w:shd w:val="clear" w:color="auto" w:fill="E7F3F4"/>
            <w:vAlign w:val="center"/>
          </w:tcPr>
          <w:p w14:paraId="3F2D3D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2001</w:t>
            </w:r>
          </w:p>
        </w:tc>
        <w:tc>
          <w:tcPr>
            <w:tcW w:w="1068" w:type="dxa"/>
            <w:shd w:val="clear" w:color="auto" w:fill="E7F3F4"/>
            <w:vAlign w:val="center"/>
          </w:tcPr>
          <w:p w14:paraId="45AEAA2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shd w:val="clear" w:color="auto" w:fill="E7F3F4"/>
            <w:vAlign w:val="center"/>
          </w:tcPr>
          <w:p w14:paraId="58C3A02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68</w:t>
            </w:r>
          </w:p>
        </w:tc>
        <w:tc>
          <w:tcPr>
            <w:tcW w:w="1078" w:type="dxa"/>
            <w:shd w:val="clear" w:color="auto" w:fill="E7F3F4"/>
            <w:noWrap/>
            <w:vAlign w:val="center"/>
            <w:hideMark/>
          </w:tcPr>
          <w:p w14:paraId="63E47C5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-0.039</w:t>
            </w:r>
          </w:p>
        </w:tc>
        <w:tc>
          <w:tcPr>
            <w:tcW w:w="1076" w:type="dxa"/>
            <w:shd w:val="clear" w:color="auto" w:fill="E7F3F4"/>
            <w:noWrap/>
            <w:vAlign w:val="center"/>
            <w:hideMark/>
          </w:tcPr>
          <w:p w14:paraId="4F82227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0.641</w:t>
            </w:r>
          </w:p>
        </w:tc>
        <w:tc>
          <w:tcPr>
            <w:tcW w:w="2475" w:type="dxa"/>
            <w:shd w:val="clear" w:color="auto" w:fill="E7F3F4"/>
            <w:noWrap/>
            <w:vAlign w:val="center"/>
            <w:hideMark/>
          </w:tcPr>
          <w:p w14:paraId="4E701BE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-0.030</w:t>
            </w:r>
          </w:p>
        </w:tc>
        <w:tc>
          <w:tcPr>
            <w:tcW w:w="1068" w:type="dxa"/>
            <w:shd w:val="clear" w:color="auto" w:fill="E7F3F4"/>
            <w:noWrap/>
            <w:vAlign w:val="center"/>
            <w:hideMark/>
          </w:tcPr>
          <w:p w14:paraId="3DEC028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54940165" w14:textId="77777777" w:rsidTr="00867E8C">
        <w:trPr>
          <w:cantSplit/>
          <w:trHeight w:val="312"/>
          <w:jc w:val="center"/>
        </w:trPr>
        <w:tc>
          <w:tcPr>
            <w:tcW w:w="2028" w:type="dxa"/>
            <w:vMerge/>
            <w:shd w:val="clear" w:color="auto" w:fill="E7F3F4"/>
            <w:noWrap/>
            <w:vAlign w:val="center"/>
          </w:tcPr>
          <w:p w14:paraId="38D2E73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E7F3F4"/>
            <w:noWrap/>
            <w:vAlign w:val="center"/>
          </w:tcPr>
          <w:p w14:paraId="0DFC498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229D63C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SB2</w:t>
            </w:r>
          </w:p>
        </w:tc>
        <w:tc>
          <w:tcPr>
            <w:tcW w:w="1078" w:type="dxa"/>
            <w:tcBorders>
              <w:bottom w:val="single" w:sz="4" w:space="0" w:color="auto"/>
            </w:tcBorders>
            <w:shd w:val="clear" w:color="auto" w:fill="E7F3F4"/>
            <w:vAlign w:val="center"/>
          </w:tcPr>
          <w:p w14:paraId="0B09E22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2001</w:t>
            </w:r>
          </w:p>
        </w:tc>
        <w:tc>
          <w:tcPr>
            <w:tcW w:w="1068" w:type="dxa"/>
            <w:tcBorders>
              <w:bottom w:val="single" w:sz="4" w:space="0" w:color="auto"/>
            </w:tcBorders>
            <w:shd w:val="clear" w:color="auto" w:fill="E7F3F4"/>
            <w:vAlign w:val="center"/>
          </w:tcPr>
          <w:p w14:paraId="1535944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E7F3F4"/>
            <w:vAlign w:val="center"/>
          </w:tcPr>
          <w:p w14:paraId="43859A9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67</w:t>
            </w:r>
          </w:p>
        </w:tc>
        <w:tc>
          <w:tcPr>
            <w:tcW w:w="1078" w:type="dxa"/>
            <w:tcBorders>
              <w:bottom w:val="single" w:sz="4" w:space="0" w:color="auto"/>
            </w:tcBorders>
            <w:shd w:val="clear" w:color="auto" w:fill="E7F3F4"/>
            <w:noWrap/>
            <w:vAlign w:val="center"/>
            <w:hideMark/>
          </w:tcPr>
          <w:p w14:paraId="778975CA"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-0.189</w:t>
            </w:r>
          </w:p>
        </w:tc>
        <w:tc>
          <w:tcPr>
            <w:tcW w:w="1076" w:type="dxa"/>
            <w:tcBorders>
              <w:bottom w:val="single" w:sz="4" w:space="0" w:color="auto"/>
            </w:tcBorders>
            <w:shd w:val="clear" w:color="auto" w:fill="E7F3F4"/>
            <w:noWrap/>
            <w:vAlign w:val="center"/>
            <w:hideMark/>
          </w:tcPr>
          <w:p w14:paraId="6F78B0C7"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0.024</w:t>
            </w:r>
          </w:p>
        </w:tc>
        <w:tc>
          <w:tcPr>
            <w:tcW w:w="2475" w:type="dxa"/>
            <w:tcBorders>
              <w:bottom w:val="single" w:sz="4" w:space="0" w:color="auto"/>
            </w:tcBorders>
            <w:shd w:val="clear" w:color="auto" w:fill="E7F3F4"/>
            <w:noWrap/>
            <w:vAlign w:val="center"/>
            <w:hideMark/>
          </w:tcPr>
          <w:p w14:paraId="0422BFC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bCs/>
                <w:color w:val="000000"/>
                <w:sz w:val="20"/>
                <w:szCs w:val="20"/>
              </w:rPr>
              <w:t>-0.176</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(-0.342 to -0.022)</w:t>
            </w:r>
          </w:p>
        </w:tc>
        <w:tc>
          <w:tcPr>
            <w:tcW w:w="1068" w:type="dxa"/>
            <w:tcBorders>
              <w:bottom w:val="single" w:sz="4" w:space="0" w:color="auto"/>
            </w:tcBorders>
            <w:shd w:val="clear" w:color="auto" w:fill="E7F3F4"/>
            <w:noWrap/>
            <w:vAlign w:val="center"/>
            <w:hideMark/>
          </w:tcPr>
          <w:p w14:paraId="4424D88A"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decrease</w:t>
            </w:r>
          </w:p>
        </w:tc>
      </w:tr>
      <w:tr w:rsidR="00017050" w:rsidRPr="00867E8C" w14:paraId="182C80E4" w14:textId="77777777" w:rsidTr="00867E8C">
        <w:trPr>
          <w:cantSplit/>
          <w:trHeight w:val="312"/>
          <w:jc w:val="center"/>
        </w:trPr>
        <w:tc>
          <w:tcPr>
            <w:tcW w:w="2028" w:type="dxa"/>
            <w:vMerge/>
            <w:shd w:val="clear" w:color="auto" w:fill="E7F3F4"/>
            <w:noWrap/>
            <w:vAlign w:val="center"/>
          </w:tcPr>
          <w:p w14:paraId="4D0662A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E7F3F4"/>
            <w:noWrap/>
            <w:vAlign w:val="center"/>
          </w:tcPr>
          <w:p w14:paraId="0904384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E7F3F4"/>
            <w:noWrap/>
            <w:vAlign w:val="center"/>
            <w:hideMark/>
          </w:tcPr>
          <w:p w14:paraId="01F0B75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JR1</w:t>
            </w:r>
          </w:p>
        </w:tc>
        <w:tc>
          <w:tcPr>
            <w:tcW w:w="1078" w:type="dxa"/>
            <w:tcBorders>
              <w:top w:val="single" w:sz="4" w:space="0" w:color="auto"/>
            </w:tcBorders>
            <w:shd w:val="clear" w:color="auto" w:fill="E7F3F4"/>
            <w:vAlign w:val="center"/>
          </w:tcPr>
          <w:p w14:paraId="0AB573F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top w:val="single" w:sz="4" w:space="0" w:color="auto"/>
            </w:tcBorders>
            <w:shd w:val="clear" w:color="auto" w:fill="E7F3F4"/>
            <w:vAlign w:val="center"/>
          </w:tcPr>
          <w:p w14:paraId="6E2FC1B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E7F3F4"/>
            <w:vAlign w:val="center"/>
          </w:tcPr>
          <w:p w14:paraId="3928B17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15</w:t>
            </w:r>
          </w:p>
        </w:tc>
        <w:tc>
          <w:tcPr>
            <w:tcW w:w="1078" w:type="dxa"/>
            <w:tcBorders>
              <w:top w:val="single" w:sz="4" w:space="0" w:color="auto"/>
            </w:tcBorders>
            <w:shd w:val="clear" w:color="auto" w:fill="E7F3F4"/>
            <w:noWrap/>
            <w:vAlign w:val="center"/>
            <w:hideMark/>
          </w:tcPr>
          <w:p w14:paraId="692DF5BA"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0.276</w:t>
            </w:r>
          </w:p>
        </w:tc>
        <w:tc>
          <w:tcPr>
            <w:tcW w:w="1076" w:type="dxa"/>
            <w:tcBorders>
              <w:top w:val="single" w:sz="4" w:space="0" w:color="auto"/>
            </w:tcBorders>
            <w:shd w:val="clear" w:color="auto" w:fill="E7F3F4"/>
            <w:noWrap/>
            <w:vAlign w:val="center"/>
            <w:hideMark/>
          </w:tcPr>
          <w:p w14:paraId="2338E14D"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0.166</w:t>
            </w:r>
          </w:p>
        </w:tc>
        <w:tc>
          <w:tcPr>
            <w:tcW w:w="2475" w:type="dxa"/>
            <w:tcBorders>
              <w:top w:val="single" w:sz="4" w:space="0" w:color="auto"/>
            </w:tcBorders>
            <w:shd w:val="clear" w:color="auto" w:fill="E7F3F4"/>
            <w:noWrap/>
            <w:vAlign w:val="center"/>
            <w:hideMark/>
          </w:tcPr>
          <w:p w14:paraId="5827FCB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1.939</w:t>
            </w:r>
          </w:p>
        </w:tc>
        <w:tc>
          <w:tcPr>
            <w:tcW w:w="1068" w:type="dxa"/>
            <w:tcBorders>
              <w:top w:val="single" w:sz="4" w:space="0" w:color="auto"/>
            </w:tcBorders>
            <w:shd w:val="clear" w:color="auto" w:fill="E7F3F4"/>
            <w:noWrap/>
            <w:vAlign w:val="center"/>
            <w:hideMark/>
          </w:tcPr>
          <w:p w14:paraId="11161B9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677A0EE8" w14:textId="77777777" w:rsidTr="00867E8C">
        <w:trPr>
          <w:cantSplit/>
          <w:trHeight w:val="312"/>
          <w:jc w:val="center"/>
        </w:trPr>
        <w:tc>
          <w:tcPr>
            <w:tcW w:w="2028" w:type="dxa"/>
            <w:vMerge/>
            <w:shd w:val="clear" w:color="auto" w:fill="E7F3F4"/>
            <w:noWrap/>
            <w:vAlign w:val="center"/>
          </w:tcPr>
          <w:p w14:paraId="7E595DE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457548A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3F711CBD"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JR2</w:t>
            </w:r>
          </w:p>
        </w:tc>
        <w:tc>
          <w:tcPr>
            <w:tcW w:w="1078" w:type="dxa"/>
            <w:tcBorders>
              <w:bottom w:val="single" w:sz="4" w:space="0" w:color="auto"/>
            </w:tcBorders>
            <w:shd w:val="clear" w:color="auto" w:fill="E7F3F4"/>
            <w:vAlign w:val="center"/>
          </w:tcPr>
          <w:p w14:paraId="716851F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2012</w:t>
            </w:r>
          </w:p>
        </w:tc>
        <w:tc>
          <w:tcPr>
            <w:tcW w:w="1068" w:type="dxa"/>
            <w:tcBorders>
              <w:bottom w:val="single" w:sz="4" w:space="0" w:color="auto"/>
            </w:tcBorders>
            <w:shd w:val="clear" w:color="auto" w:fill="E7F3F4"/>
            <w:vAlign w:val="center"/>
          </w:tcPr>
          <w:p w14:paraId="4A1DE36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E7F3F4"/>
            <w:vAlign w:val="center"/>
          </w:tcPr>
          <w:p w14:paraId="77AA8C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14</w:t>
            </w:r>
          </w:p>
        </w:tc>
        <w:tc>
          <w:tcPr>
            <w:tcW w:w="1078" w:type="dxa"/>
            <w:tcBorders>
              <w:bottom w:val="single" w:sz="4" w:space="0" w:color="auto"/>
            </w:tcBorders>
            <w:shd w:val="clear" w:color="auto" w:fill="E7F3F4"/>
            <w:noWrap/>
            <w:vAlign w:val="center"/>
            <w:hideMark/>
          </w:tcPr>
          <w:p w14:paraId="64EE945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0.538</w:t>
            </w:r>
          </w:p>
        </w:tc>
        <w:tc>
          <w:tcPr>
            <w:tcW w:w="1076" w:type="dxa"/>
            <w:tcBorders>
              <w:bottom w:val="single" w:sz="4" w:space="0" w:color="auto"/>
            </w:tcBorders>
            <w:shd w:val="clear" w:color="auto" w:fill="E7F3F4"/>
            <w:noWrap/>
            <w:vAlign w:val="center"/>
            <w:hideMark/>
          </w:tcPr>
          <w:p w14:paraId="2FBD482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0.009</w:t>
            </w:r>
          </w:p>
        </w:tc>
        <w:tc>
          <w:tcPr>
            <w:tcW w:w="2475" w:type="dxa"/>
            <w:tcBorders>
              <w:bottom w:val="single" w:sz="4" w:space="0" w:color="auto"/>
            </w:tcBorders>
            <w:shd w:val="clear" w:color="auto" w:fill="E7F3F4"/>
            <w:noWrap/>
            <w:vAlign w:val="center"/>
            <w:hideMark/>
          </w:tcPr>
          <w:p w14:paraId="0B85369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3.006</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(1.288 to 5.233)</w:t>
            </w:r>
          </w:p>
        </w:tc>
        <w:tc>
          <w:tcPr>
            <w:tcW w:w="1068" w:type="dxa"/>
            <w:tcBorders>
              <w:bottom w:val="single" w:sz="4" w:space="0" w:color="auto"/>
            </w:tcBorders>
            <w:shd w:val="clear" w:color="auto" w:fill="E7F3F4"/>
            <w:noWrap/>
            <w:vAlign w:val="center"/>
            <w:hideMark/>
          </w:tcPr>
          <w:p w14:paraId="108C0A7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increase</w:t>
            </w:r>
          </w:p>
        </w:tc>
      </w:tr>
      <w:tr w:rsidR="00017050" w:rsidRPr="00867E8C" w14:paraId="2AA5348B" w14:textId="77777777" w:rsidTr="00867E8C">
        <w:trPr>
          <w:cantSplit/>
          <w:trHeight w:val="312"/>
          <w:jc w:val="center"/>
        </w:trPr>
        <w:tc>
          <w:tcPr>
            <w:tcW w:w="2028" w:type="dxa"/>
            <w:vMerge/>
            <w:shd w:val="clear" w:color="auto" w:fill="E7F3F4"/>
            <w:noWrap/>
            <w:vAlign w:val="center"/>
          </w:tcPr>
          <w:p w14:paraId="509AC36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tcBorders>
            <w:shd w:val="clear" w:color="auto" w:fill="E7F3F4"/>
            <w:noWrap/>
            <w:vAlign w:val="center"/>
            <w:hideMark/>
          </w:tcPr>
          <w:p w14:paraId="5C47408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intertidal</w:t>
            </w:r>
          </w:p>
        </w:tc>
        <w:tc>
          <w:tcPr>
            <w:tcW w:w="720" w:type="dxa"/>
            <w:tcBorders>
              <w:top w:val="single" w:sz="4" w:space="0" w:color="auto"/>
            </w:tcBorders>
            <w:shd w:val="clear" w:color="auto" w:fill="E7F3F4"/>
            <w:noWrap/>
            <w:vAlign w:val="center"/>
            <w:hideMark/>
          </w:tcPr>
          <w:p w14:paraId="34843DE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MI1</w:t>
            </w:r>
          </w:p>
        </w:tc>
        <w:tc>
          <w:tcPr>
            <w:tcW w:w="1078" w:type="dxa"/>
            <w:tcBorders>
              <w:top w:val="single" w:sz="4" w:space="0" w:color="auto"/>
            </w:tcBorders>
            <w:shd w:val="clear" w:color="auto" w:fill="E7F3F4"/>
            <w:vAlign w:val="center"/>
          </w:tcPr>
          <w:p w14:paraId="5047E1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top w:val="single" w:sz="4" w:space="0" w:color="auto"/>
            </w:tcBorders>
            <w:shd w:val="clear" w:color="auto" w:fill="E7F3F4"/>
            <w:vAlign w:val="center"/>
          </w:tcPr>
          <w:p w14:paraId="70A5744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E7F3F4"/>
            <w:vAlign w:val="center"/>
          </w:tcPr>
          <w:p w14:paraId="166ACA9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55</w:t>
            </w:r>
          </w:p>
        </w:tc>
        <w:tc>
          <w:tcPr>
            <w:tcW w:w="1078" w:type="dxa"/>
            <w:tcBorders>
              <w:top w:val="single" w:sz="4" w:space="0" w:color="auto"/>
            </w:tcBorders>
            <w:shd w:val="clear" w:color="auto" w:fill="E7F3F4"/>
            <w:noWrap/>
            <w:vAlign w:val="center"/>
            <w:hideMark/>
          </w:tcPr>
          <w:p w14:paraId="19EBEEE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-0.110</w:t>
            </w:r>
          </w:p>
        </w:tc>
        <w:tc>
          <w:tcPr>
            <w:tcW w:w="1076" w:type="dxa"/>
            <w:tcBorders>
              <w:top w:val="single" w:sz="4" w:space="0" w:color="auto"/>
            </w:tcBorders>
            <w:shd w:val="clear" w:color="auto" w:fill="E7F3F4"/>
            <w:noWrap/>
            <w:vAlign w:val="center"/>
            <w:hideMark/>
          </w:tcPr>
          <w:p w14:paraId="0B3A110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0.240</w:t>
            </w:r>
          </w:p>
        </w:tc>
        <w:tc>
          <w:tcPr>
            <w:tcW w:w="2475" w:type="dxa"/>
            <w:tcBorders>
              <w:top w:val="single" w:sz="4" w:space="0" w:color="auto"/>
            </w:tcBorders>
            <w:shd w:val="clear" w:color="auto" w:fill="E7F3F4"/>
            <w:noWrap/>
            <w:vAlign w:val="center"/>
            <w:hideMark/>
          </w:tcPr>
          <w:p w14:paraId="4DAB2675"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-0.152</w:t>
            </w:r>
          </w:p>
        </w:tc>
        <w:tc>
          <w:tcPr>
            <w:tcW w:w="1068" w:type="dxa"/>
            <w:tcBorders>
              <w:top w:val="single" w:sz="4" w:space="0" w:color="auto"/>
            </w:tcBorders>
            <w:shd w:val="clear" w:color="auto" w:fill="E7F3F4"/>
            <w:noWrap/>
            <w:vAlign w:val="center"/>
            <w:hideMark/>
          </w:tcPr>
          <w:p w14:paraId="39EF413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2896097E" w14:textId="77777777" w:rsidTr="00867E8C">
        <w:trPr>
          <w:cantSplit/>
          <w:trHeight w:val="312"/>
          <w:jc w:val="center"/>
        </w:trPr>
        <w:tc>
          <w:tcPr>
            <w:tcW w:w="2028" w:type="dxa"/>
            <w:vMerge/>
            <w:shd w:val="clear" w:color="auto" w:fill="E7F3F4"/>
            <w:noWrap/>
            <w:vAlign w:val="center"/>
          </w:tcPr>
          <w:p w14:paraId="1EDD8B5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E7F3F4"/>
            <w:noWrap/>
            <w:vAlign w:val="center"/>
          </w:tcPr>
          <w:p w14:paraId="34386AF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736B789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MI2</w:t>
            </w:r>
          </w:p>
        </w:tc>
        <w:tc>
          <w:tcPr>
            <w:tcW w:w="1078" w:type="dxa"/>
            <w:tcBorders>
              <w:bottom w:val="single" w:sz="4" w:space="0" w:color="auto"/>
            </w:tcBorders>
            <w:shd w:val="clear" w:color="auto" w:fill="E7F3F4"/>
            <w:vAlign w:val="center"/>
          </w:tcPr>
          <w:p w14:paraId="7CFD246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E7F3F4"/>
            <w:vAlign w:val="center"/>
          </w:tcPr>
          <w:p w14:paraId="166B23A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E7F3F4"/>
            <w:vAlign w:val="center"/>
          </w:tcPr>
          <w:p w14:paraId="2744284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53</w:t>
            </w:r>
          </w:p>
        </w:tc>
        <w:tc>
          <w:tcPr>
            <w:tcW w:w="1078" w:type="dxa"/>
            <w:tcBorders>
              <w:bottom w:val="single" w:sz="4" w:space="0" w:color="auto"/>
            </w:tcBorders>
            <w:shd w:val="clear" w:color="auto" w:fill="E7F3F4"/>
            <w:noWrap/>
            <w:vAlign w:val="center"/>
            <w:hideMark/>
          </w:tcPr>
          <w:p w14:paraId="7CC9AE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-0.177</w:t>
            </w:r>
          </w:p>
        </w:tc>
        <w:tc>
          <w:tcPr>
            <w:tcW w:w="1076" w:type="dxa"/>
            <w:tcBorders>
              <w:bottom w:val="single" w:sz="4" w:space="0" w:color="auto"/>
            </w:tcBorders>
            <w:shd w:val="clear" w:color="auto" w:fill="E7F3F4"/>
            <w:noWrap/>
            <w:vAlign w:val="center"/>
            <w:hideMark/>
          </w:tcPr>
          <w:p w14:paraId="6026A0B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0.062</w:t>
            </w:r>
          </w:p>
        </w:tc>
        <w:tc>
          <w:tcPr>
            <w:tcW w:w="2475" w:type="dxa"/>
            <w:tcBorders>
              <w:bottom w:val="single" w:sz="4" w:space="0" w:color="auto"/>
            </w:tcBorders>
            <w:shd w:val="clear" w:color="auto" w:fill="E7F3F4"/>
            <w:noWrap/>
            <w:vAlign w:val="center"/>
            <w:hideMark/>
          </w:tcPr>
          <w:p w14:paraId="44F008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-0.328</w:t>
            </w:r>
          </w:p>
        </w:tc>
        <w:tc>
          <w:tcPr>
            <w:tcW w:w="1068" w:type="dxa"/>
            <w:tcBorders>
              <w:bottom w:val="single" w:sz="4" w:space="0" w:color="auto"/>
            </w:tcBorders>
            <w:shd w:val="clear" w:color="auto" w:fill="E7F3F4"/>
            <w:noWrap/>
            <w:vAlign w:val="center"/>
            <w:hideMark/>
          </w:tcPr>
          <w:p w14:paraId="47948A9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504B372B" w14:textId="77777777" w:rsidTr="00867E8C">
        <w:trPr>
          <w:cantSplit/>
          <w:trHeight w:val="312"/>
          <w:jc w:val="center"/>
        </w:trPr>
        <w:tc>
          <w:tcPr>
            <w:tcW w:w="2028" w:type="dxa"/>
            <w:vMerge/>
            <w:shd w:val="clear" w:color="auto" w:fill="E7F3F4"/>
            <w:noWrap/>
            <w:vAlign w:val="center"/>
          </w:tcPr>
          <w:p w14:paraId="1EF6EE8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E7F3F4"/>
            <w:noWrap/>
            <w:vAlign w:val="center"/>
          </w:tcPr>
          <w:p w14:paraId="022A97E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subtidal</w:t>
            </w:r>
          </w:p>
        </w:tc>
        <w:tc>
          <w:tcPr>
            <w:tcW w:w="720" w:type="dxa"/>
            <w:tcBorders>
              <w:top w:val="single" w:sz="4" w:space="0" w:color="auto"/>
              <w:bottom w:val="single" w:sz="4" w:space="0" w:color="auto"/>
            </w:tcBorders>
            <w:shd w:val="clear" w:color="auto" w:fill="E7F3F4"/>
            <w:noWrap/>
            <w:vAlign w:val="center"/>
            <w:hideMark/>
          </w:tcPr>
          <w:p w14:paraId="3711417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MI3</w:t>
            </w:r>
          </w:p>
        </w:tc>
        <w:tc>
          <w:tcPr>
            <w:tcW w:w="1078" w:type="dxa"/>
            <w:tcBorders>
              <w:top w:val="single" w:sz="4" w:space="0" w:color="auto"/>
              <w:bottom w:val="single" w:sz="4" w:space="0" w:color="auto"/>
            </w:tcBorders>
            <w:shd w:val="clear" w:color="auto" w:fill="E7F3F4"/>
            <w:vAlign w:val="center"/>
          </w:tcPr>
          <w:p w14:paraId="2C0A65C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2008</w:t>
            </w:r>
          </w:p>
        </w:tc>
        <w:tc>
          <w:tcPr>
            <w:tcW w:w="1068" w:type="dxa"/>
            <w:tcBorders>
              <w:top w:val="single" w:sz="4" w:space="0" w:color="auto"/>
              <w:bottom w:val="single" w:sz="4" w:space="0" w:color="auto"/>
            </w:tcBorders>
            <w:shd w:val="clear" w:color="auto" w:fill="E7F3F4"/>
            <w:vAlign w:val="center"/>
          </w:tcPr>
          <w:p w14:paraId="25F050F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bottom w:val="single" w:sz="4" w:space="0" w:color="auto"/>
            </w:tcBorders>
            <w:shd w:val="clear" w:color="auto" w:fill="E7F3F4"/>
            <w:vAlign w:val="center"/>
          </w:tcPr>
          <w:p w14:paraId="0F5E4E3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45</w:t>
            </w:r>
          </w:p>
        </w:tc>
        <w:tc>
          <w:tcPr>
            <w:tcW w:w="1078" w:type="dxa"/>
            <w:tcBorders>
              <w:top w:val="single" w:sz="4" w:space="0" w:color="auto"/>
              <w:bottom w:val="single" w:sz="4" w:space="0" w:color="auto"/>
            </w:tcBorders>
            <w:shd w:val="clear" w:color="auto" w:fill="E7F3F4"/>
            <w:noWrap/>
            <w:vAlign w:val="center"/>
            <w:hideMark/>
          </w:tcPr>
          <w:p w14:paraId="2FEABECA"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0.123</w:t>
            </w:r>
          </w:p>
        </w:tc>
        <w:tc>
          <w:tcPr>
            <w:tcW w:w="1076" w:type="dxa"/>
            <w:tcBorders>
              <w:top w:val="single" w:sz="4" w:space="0" w:color="auto"/>
              <w:bottom w:val="single" w:sz="4" w:space="0" w:color="auto"/>
            </w:tcBorders>
            <w:shd w:val="clear" w:color="auto" w:fill="E7F3F4"/>
            <w:noWrap/>
            <w:vAlign w:val="center"/>
            <w:hideMark/>
          </w:tcPr>
          <w:p w14:paraId="5BA6111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0.237</w:t>
            </w:r>
          </w:p>
        </w:tc>
        <w:tc>
          <w:tcPr>
            <w:tcW w:w="2475" w:type="dxa"/>
            <w:tcBorders>
              <w:top w:val="single" w:sz="4" w:space="0" w:color="auto"/>
              <w:bottom w:val="single" w:sz="4" w:space="0" w:color="auto"/>
            </w:tcBorders>
            <w:shd w:val="clear" w:color="auto" w:fill="E7F3F4"/>
            <w:noWrap/>
            <w:vAlign w:val="center"/>
            <w:hideMark/>
          </w:tcPr>
          <w:p w14:paraId="0CE9902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0.267</w:t>
            </w:r>
          </w:p>
        </w:tc>
        <w:tc>
          <w:tcPr>
            <w:tcW w:w="1068" w:type="dxa"/>
            <w:tcBorders>
              <w:top w:val="single" w:sz="4" w:space="0" w:color="auto"/>
              <w:bottom w:val="single" w:sz="4" w:space="0" w:color="auto"/>
            </w:tcBorders>
            <w:shd w:val="clear" w:color="auto" w:fill="E7F3F4"/>
            <w:noWrap/>
            <w:vAlign w:val="center"/>
            <w:hideMark/>
          </w:tcPr>
          <w:p w14:paraId="774C9709"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5B52D517" w14:textId="77777777" w:rsidTr="00867E8C">
        <w:trPr>
          <w:cantSplit/>
          <w:trHeight w:val="312"/>
          <w:jc w:val="center"/>
        </w:trPr>
        <w:tc>
          <w:tcPr>
            <w:tcW w:w="2028" w:type="dxa"/>
            <w:tcBorders>
              <w:bottom w:val="single" w:sz="4" w:space="0" w:color="auto"/>
            </w:tcBorders>
            <w:shd w:val="clear" w:color="auto" w:fill="E7F3F4"/>
            <w:noWrap/>
            <w:vAlign w:val="center"/>
          </w:tcPr>
          <w:p w14:paraId="7090530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6BCED8C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79607B4D"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05672DC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2001</w:t>
            </w:r>
          </w:p>
        </w:tc>
        <w:tc>
          <w:tcPr>
            <w:tcW w:w="1068" w:type="dxa"/>
            <w:tcBorders>
              <w:top w:val="single" w:sz="4" w:space="0" w:color="auto"/>
              <w:bottom w:val="single" w:sz="4" w:space="0" w:color="auto"/>
            </w:tcBorders>
            <w:shd w:val="clear" w:color="auto" w:fill="D9D9D9" w:themeFill="background1" w:themeFillShade="D9"/>
            <w:vAlign w:val="center"/>
          </w:tcPr>
          <w:p w14:paraId="625458C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bottom w:val="single" w:sz="4" w:space="0" w:color="auto"/>
            </w:tcBorders>
            <w:shd w:val="clear" w:color="auto" w:fill="D9D9D9" w:themeFill="background1" w:themeFillShade="D9"/>
            <w:vAlign w:val="center"/>
          </w:tcPr>
          <w:p w14:paraId="58DDAAB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74</w:t>
            </w:r>
          </w:p>
        </w:tc>
        <w:tc>
          <w:tcPr>
            <w:tcW w:w="1078" w:type="dxa"/>
            <w:tcBorders>
              <w:top w:val="single" w:sz="4" w:space="0" w:color="auto"/>
              <w:bottom w:val="single" w:sz="4" w:space="0" w:color="auto"/>
            </w:tcBorders>
            <w:shd w:val="clear" w:color="auto" w:fill="D9D9D9" w:themeFill="background1" w:themeFillShade="D9"/>
            <w:noWrap/>
            <w:vAlign w:val="center"/>
          </w:tcPr>
          <w:p w14:paraId="4AEA4C8D"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0.000</w:t>
            </w:r>
          </w:p>
        </w:tc>
        <w:tc>
          <w:tcPr>
            <w:tcW w:w="1076" w:type="dxa"/>
            <w:tcBorders>
              <w:top w:val="single" w:sz="4" w:space="0" w:color="auto"/>
              <w:bottom w:val="single" w:sz="4" w:space="0" w:color="auto"/>
            </w:tcBorders>
            <w:shd w:val="clear" w:color="auto" w:fill="D9D9D9" w:themeFill="background1" w:themeFillShade="D9"/>
            <w:noWrap/>
            <w:vAlign w:val="center"/>
          </w:tcPr>
          <w:p w14:paraId="1987878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1</w:t>
            </w:r>
          </w:p>
        </w:tc>
        <w:tc>
          <w:tcPr>
            <w:tcW w:w="2475" w:type="dxa"/>
            <w:tcBorders>
              <w:top w:val="single" w:sz="4" w:space="0" w:color="auto"/>
              <w:bottom w:val="single" w:sz="4" w:space="0" w:color="auto"/>
            </w:tcBorders>
            <w:shd w:val="clear" w:color="auto" w:fill="D9D9D9" w:themeFill="background1" w:themeFillShade="D9"/>
            <w:noWrap/>
            <w:vAlign w:val="center"/>
          </w:tcPr>
          <w:p w14:paraId="7F680D4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0.000</w:t>
            </w:r>
          </w:p>
        </w:tc>
        <w:tc>
          <w:tcPr>
            <w:tcW w:w="1068" w:type="dxa"/>
            <w:tcBorders>
              <w:top w:val="single" w:sz="4" w:space="0" w:color="auto"/>
              <w:bottom w:val="single" w:sz="4" w:space="0" w:color="auto"/>
            </w:tcBorders>
            <w:shd w:val="clear" w:color="auto" w:fill="D9D9D9" w:themeFill="background1" w:themeFillShade="D9"/>
            <w:noWrap/>
            <w:vAlign w:val="center"/>
          </w:tcPr>
          <w:p w14:paraId="55D1591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089A7158" w14:textId="77777777" w:rsidTr="00867E8C">
        <w:trPr>
          <w:cantSplit/>
          <w:trHeight w:val="312"/>
          <w:jc w:val="center"/>
        </w:trPr>
        <w:tc>
          <w:tcPr>
            <w:tcW w:w="2028" w:type="dxa"/>
            <w:vMerge w:val="restart"/>
            <w:tcBorders>
              <w:top w:val="single" w:sz="4" w:space="0" w:color="auto"/>
            </w:tcBorders>
            <w:shd w:val="clear" w:color="auto" w:fill="F3F9FA"/>
            <w:noWrap/>
            <w:vAlign w:val="center"/>
          </w:tcPr>
          <w:p w14:paraId="13C5AD1F" w14:textId="43AFB1CD" w:rsidR="00017050" w:rsidRPr="00867E8C" w:rsidRDefault="00B72AC4" w:rsidP="00B8623B">
            <w:pPr>
              <w:spacing w:before="0" w:after="0"/>
              <w:contextualSpacing/>
              <w:jc w:val="center"/>
              <w:rPr>
                <w:rFonts w:asciiTheme="minorHAnsi" w:hAnsiTheme="minorHAnsi" w:cstheme="minorHAnsi"/>
                <w:color w:val="000000"/>
                <w:sz w:val="20"/>
                <w:szCs w:val="20"/>
              </w:rPr>
            </w:pPr>
            <w:r>
              <w:rPr>
                <w:rFonts w:asciiTheme="minorHAnsi" w:hAnsiTheme="minorHAnsi" w:cstheme="minorHAnsi"/>
                <w:color w:val="000000"/>
                <w:sz w:val="20"/>
                <w:szCs w:val="20"/>
              </w:rPr>
              <w:t>Mackay–Whitsunday</w:t>
            </w:r>
          </w:p>
        </w:tc>
        <w:tc>
          <w:tcPr>
            <w:tcW w:w="1874" w:type="dxa"/>
            <w:tcBorders>
              <w:top w:val="single" w:sz="4" w:space="0" w:color="auto"/>
            </w:tcBorders>
            <w:shd w:val="clear" w:color="auto" w:fill="F3F9FA"/>
            <w:noWrap/>
            <w:vAlign w:val="center"/>
            <w:hideMark/>
          </w:tcPr>
          <w:p w14:paraId="218F48F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estuarine intertidal</w:t>
            </w:r>
          </w:p>
        </w:tc>
        <w:tc>
          <w:tcPr>
            <w:tcW w:w="720" w:type="dxa"/>
            <w:tcBorders>
              <w:top w:val="single" w:sz="4" w:space="0" w:color="auto"/>
            </w:tcBorders>
            <w:shd w:val="clear" w:color="auto" w:fill="F3F9FA"/>
            <w:noWrap/>
            <w:vAlign w:val="center"/>
            <w:hideMark/>
          </w:tcPr>
          <w:p w14:paraId="10EF093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SI1</w:t>
            </w:r>
          </w:p>
        </w:tc>
        <w:tc>
          <w:tcPr>
            <w:tcW w:w="1078" w:type="dxa"/>
            <w:tcBorders>
              <w:top w:val="single" w:sz="4" w:space="0" w:color="auto"/>
            </w:tcBorders>
            <w:shd w:val="clear" w:color="auto" w:fill="F3F9FA"/>
            <w:vAlign w:val="center"/>
          </w:tcPr>
          <w:p w14:paraId="3D425D6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top w:val="single" w:sz="4" w:space="0" w:color="auto"/>
            </w:tcBorders>
            <w:shd w:val="clear" w:color="auto" w:fill="F3F9FA"/>
            <w:vAlign w:val="center"/>
          </w:tcPr>
          <w:p w14:paraId="3604FB2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7823C16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33</w:t>
            </w:r>
          </w:p>
        </w:tc>
        <w:tc>
          <w:tcPr>
            <w:tcW w:w="1078" w:type="dxa"/>
            <w:tcBorders>
              <w:top w:val="single" w:sz="4" w:space="0" w:color="auto"/>
            </w:tcBorders>
            <w:shd w:val="clear" w:color="auto" w:fill="F3F9FA"/>
            <w:noWrap/>
            <w:vAlign w:val="center"/>
            <w:hideMark/>
          </w:tcPr>
          <w:p w14:paraId="0EBED1F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-0.250</w:t>
            </w:r>
          </w:p>
        </w:tc>
        <w:tc>
          <w:tcPr>
            <w:tcW w:w="1076" w:type="dxa"/>
            <w:tcBorders>
              <w:top w:val="single" w:sz="4" w:space="0" w:color="auto"/>
            </w:tcBorders>
            <w:shd w:val="clear" w:color="auto" w:fill="F3F9FA"/>
            <w:noWrap/>
            <w:vAlign w:val="center"/>
            <w:hideMark/>
          </w:tcPr>
          <w:p w14:paraId="498A239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0.042</w:t>
            </w:r>
          </w:p>
        </w:tc>
        <w:tc>
          <w:tcPr>
            <w:tcW w:w="2475" w:type="dxa"/>
            <w:tcBorders>
              <w:top w:val="single" w:sz="4" w:space="0" w:color="auto"/>
            </w:tcBorders>
            <w:shd w:val="clear" w:color="auto" w:fill="F3F9FA"/>
            <w:noWrap/>
            <w:vAlign w:val="center"/>
            <w:hideMark/>
          </w:tcPr>
          <w:p w14:paraId="5383FB1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-0.285</w:t>
            </w:r>
          </w:p>
        </w:tc>
        <w:tc>
          <w:tcPr>
            <w:tcW w:w="1068" w:type="dxa"/>
            <w:tcBorders>
              <w:top w:val="single" w:sz="4" w:space="0" w:color="auto"/>
            </w:tcBorders>
            <w:shd w:val="clear" w:color="auto" w:fill="F3F9FA"/>
            <w:noWrap/>
            <w:vAlign w:val="center"/>
          </w:tcPr>
          <w:p w14:paraId="0943C99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26755679" w14:textId="77777777" w:rsidTr="00867E8C">
        <w:trPr>
          <w:cantSplit/>
          <w:trHeight w:val="312"/>
          <w:jc w:val="center"/>
        </w:trPr>
        <w:tc>
          <w:tcPr>
            <w:tcW w:w="2028" w:type="dxa"/>
            <w:vMerge/>
            <w:shd w:val="clear" w:color="auto" w:fill="F3F9FA"/>
            <w:noWrap/>
            <w:vAlign w:val="center"/>
          </w:tcPr>
          <w:p w14:paraId="27FAE04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bottom w:val="single" w:sz="4" w:space="0" w:color="auto"/>
            </w:tcBorders>
            <w:shd w:val="clear" w:color="auto" w:fill="F3F9FA"/>
            <w:noWrap/>
            <w:vAlign w:val="center"/>
            <w:hideMark/>
          </w:tcPr>
          <w:p w14:paraId="5E7A330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1104280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SI2</w:t>
            </w:r>
          </w:p>
        </w:tc>
        <w:tc>
          <w:tcPr>
            <w:tcW w:w="1078" w:type="dxa"/>
            <w:tcBorders>
              <w:bottom w:val="single" w:sz="4" w:space="0" w:color="auto"/>
            </w:tcBorders>
            <w:shd w:val="clear" w:color="auto" w:fill="F3F9FA"/>
            <w:vAlign w:val="center"/>
          </w:tcPr>
          <w:p w14:paraId="677F520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F3F9FA"/>
            <w:vAlign w:val="center"/>
          </w:tcPr>
          <w:p w14:paraId="1A7AC21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7273D2C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28</w:t>
            </w:r>
          </w:p>
        </w:tc>
        <w:tc>
          <w:tcPr>
            <w:tcW w:w="1078" w:type="dxa"/>
            <w:tcBorders>
              <w:bottom w:val="single" w:sz="4" w:space="0" w:color="auto"/>
            </w:tcBorders>
            <w:shd w:val="clear" w:color="auto" w:fill="F3F9FA"/>
            <w:noWrap/>
            <w:vAlign w:val="center"/>
            <w:hideMark/>
          </w:tcPr>
          <w:p w14:paraId="6069020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-0.037</w:t>
            </w:r>
          </w:p>
        </w:tc>
        <w:tc>
          <w:tcPr>
            <w:tcW w:w="1076" w:type="dxa"/>
            <w:tcBorders>
              <w:bottom w:val="single" w:sz="4" w:space="0" w:color="auto"/>
            </w:tcBorders>
            <w:shd w:val="clear" w:color="auto" w:fill="F3F9FA"/>
            <w:noWrap/>
            <w:vAlign w:val="center"/>
            <w:hideMark/>
          </w:tcPr>
          <w:p w14:paraId="377F2D7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0.797</w:t>
            </w:r>
          </w:p>
        </w:tc>
        <w:tc>
          <w:tcPr>
            <w:tcW w:w="2475" w:type="dxa"/>
            <w:tcBorders>
              <w:bottom w:val="single" w:sz="4" w:space="0" w:color="auto"/>
            </w:tcBorders>
            <w:shd w:val="clear" w:color="auto" w:fill="F3F9FA"/>
            <w:noWrap/>
            <w:vAlign w:val="center"/>
            <w:hideMark/>
          </w:tcPr>
          <w:p w14:paraId="24FF27A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-0.037</w:t>
            </w:r>
          </w:p>
        </w:tc>
        <w:tc>
          <w:tcPr>
            <w:tcW w:w="1068" w:type="dxa"/>
            <w:tcBorders>
              <w:bottom w:val="single" w:sz="4" w:space="0" w:color="auto"/>
            </w:tcBorders>
            <w:shd w:val="clear" w:color="auto" w:fill="F3F9FA"/>
            <w:noWrap/>
            <w:vAlign w:val="center"/>
          </w:tcPr>
          <w:p w14:paraId="6BA14F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E69584B" w14:textId="77777777" w:rsidTr="00867E8C">
        <w:trPr>
          <w:cantSplit/>
          <w:trHeight w:val="312"/>
          <w:jc w:val="center"/>
        </w:trPr>
        <w:tc>
          <w:tcPr>
            <w:tcW w:w="2028" w:type="dxa"/>
            <w:vMerge/>
            <w:shd w:val="clear" w:color="auto" w:fill="F3F9FA"/>
            <w:noWrap/>
            <w:vAlign w:val="center"/>
          </w:tcPr>
          <w:p w14:paraId="7E8324D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tcBorders>
            <w:shd w:val="clear" w:color="auto" w:fill="F3F9FA"/>
            <w:noWrap/>
            <w:vAlign w:val="center"/>
            <w:hideMark/>
          </w:tcPr>
          <w:p w14:paraId="08283CF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F3F9FA"/>
            <w:noWrap/>
            <w:vAlign w:val="center"/>
            <w:hideMark/>
          </w:tcPr>
          <w:p w14:paraId="0AB8B8D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MP2</w:t>
            </w:r>
          </w:p>
        </w:tc>
        <w:tc>
          <w:tcPr>
            <w:tcW w:w="1078" w:type="dxa"/>
            <w:tcBorders>
              <w:top w:val="single" w:sz="4" w:space="0" w:color="auto"/>
            </w:tcBorders>
            <w:shd w:val="clear" w:color="auto" w:fill="F3F9FA"/>
            <w:vAlign w:val="center"/>
          </w:tcPr>
          <w:p w14:paraId="6B96C38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top w:val="single" w:sz="4" w:space="0" w:color="auto"/>
            </w:tcBorders>
            <w:shd w:val="clear" w:color="auto" w:fill="F3F9FA"/>
            <w:vAlign w:val="center"/>
          </w:tcPr>
          <w:p w14:paraId="11D8D6B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46B1B9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40</w:t>
            </w:r>
          </w:p>
        </w:tc>
        <w:tc>
          <w:tcPr>
            <w:tcW w:w="1078" w:type="dxa"/>
            <w:tcBorders>
              <w:top w:val="single" w:sz="4" w:space="0" w:color="auto"/>
            </w:tcBorders>
            <w:shd w:val="clear" w:color="auto" w:fill="F3F9FA"/>
            <w:noWrap/>
            <w:vAlign w:val="center"/>
            <w:hideMark/>
          </w:tcPr>
          <w:p w14:paraId="2B27D08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0.194</w:t>
            </w:r>
          </w:p>
        </w:tc>
        <w:tc>
          <w:tcPr>
            <w:tcW w:w="1076" w:type="dxa"/>
            <w:tcBorders>
              <w:top w:val="single" w:sz="4" w:space="0" w:color="auto"/>
            </w:tcBorders>
            <w:shd w:val="clear" w:color="auto" w:fill="F3F9FA"/>
            <w:noWrap/>
            <w:vAlign w:val="center"/>
            <w:hideMark/>
          </w:tcPr>
          <w:p w14:paraId="3177AC6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0.081</w:t>
            </w:r>
          </w:p>
        </w:tc>
        <w:tc>
          <w:tcPr>
            <w:tcW w:w="2475" w:type="dxa"/>
            <w:tcBorders>
              <w:top w:val="single" w:sz="4" w:space="0" w:color="auto"/>
            </w:tcBorders>
            <w:shd w:val="clear" w:color="auto" w:fill="F3F9FA"/>
            <w:noWrap/>
            <w:vAlign w:val="center"/>
            <w:hideMark/>
          </w:tcPr>
          <w:p w14:paraId="571CB6D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0.166</w:t>
            </w:r>
          </w:p>
        </w:tc>
        <w:tc>
          <w:tcPr>
            <w:tcW w:w="1068" w:type="dxa"/>
            <w:tcBorders>
              <w:top w:val="single" w:sz="4" w:space="0" w:color="auto"/>
            </w:tcBorders>
            <w:shd w:val="clear" w:color="auto" w:fill="F3F9FA"/>
            <w:noWrap/>
            <w:vAlign w:val="center"/>
          </w:tcPr>
          <w:p w14:paraId="039F396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1B9D1EF1" w14:textId="77777777" w:rsidTr="00867E8C">
        <w:trPr>
          <w:cantSplit/>
          <w:trHeight w:val="312"/>
          <w:jc w:val="center"/>
        </w:trPr>
        <w:tc>
          <w:tcPr>
            <w:tcW w:w="2028" w:type="dxa"/>
            <w:vMerge/>
            <w:shd w:val="clear" w:color="auto" w:fill="F3F9FA"/>
            <w:noWrap/>
            <w:vAlign w:val="center"/>
          </w:tcPr>
          <w:p w14:paraId="7A6CFA1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41C3B4E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0BFED1E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MP3</w:t>
            </w:r>
          </w:p>
        </w:tc>
        <w:tc>
          <w:tcPr>
            <w:tcW w:w="1078" w:type="dxa"/>
            <w:tcBorders>
              <w:bottom w:val="single" w:sz="4" w:space="0" w:color="auto"/>
            </w:tcBorders>
            <w:shd w:val="clear" w:color="auto" w:fill="F3F9FA"/>
            <w:vAlign w:val="center"/>
          </w:tcPr>
          <w:p w14:paraId="49C7BDF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bottom w:val="single" w:sz="4" w:space="0" w:color="auto"/>
            </w:tcBorders>
            <w:shd w:val="clear" w:color="auto" w:fill="F3F9FA"/>
            <w:vAlign w:val="center"/>
          </w:tcPr>
          <w:p w14:paraId="0ED0BE2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791A86F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38</w:t>
            </w:r>
          </w:p>
        </w:tc>
        <w:tc>
          <w:tcPr>
            <w:tcW w:w="1078" w:type="dxa"/>
            <w:tcBorders>
              <w:bottom w:val="single" w:sz="4" w:space="0" w:color="auto"/>
            </w:tcBorders>
            <w:shd w:val="clear" w:color="auto" w:fill="F3F9FA"/>
            <w:noWrap/>
            <w:vAlign w:val="center"/>
            <w:hideMark/>
          </w:tcPr>
          <w:p w14:paraId="09B8E4E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0.021</w:t>
            </w:r>
          </w:p>
        </w:tc>
        <w:tc>
          <w:tcPr>
            <w:tcW w:w="1076" w:type="dxa"/>
            <w:tcBorders>
              <w:bottom w:val="single" w:sz="4" w:space="0" w:color="auto"/>
            </w:tcBorders>
            <w:shd w:val="clear" w:color="auto" w:fill="F3F9FA"/>
            <w:noWrap/>
            <w:vAlign w:val="center"/>
            <w:hideMark/>
          </w:tcPr>
          <w:p w14:paraId="153197A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0.860</w:t>
            </w:r>
          </w:p>
        </w:tc>
        <w:tc>
          <w:tcPr>
            <w:tcW w:w="2475" w:type="dxa"/>
            <w:tcBorders>
              <w:bottom w:val="single" w:sz="4" w:space="0" w:color="auto"/>
            </w:tcBorders>
            <w:shd w:val="clear" w:color="auto" w:fill="F3F9FA"/>
            <w:noWrap/>
            <w:vAlign w:val="center"/>
            <w:hideMark/>
          </w:tcPr>
          <w:p w14:paraId="2A92DA0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0.015</w:t>
            </w:r>
          </w:p>
        </w:tc>
        <w:tc>
          <w:tcPr>
            <w:tcW w:w="1068" w:type="dxa"/>
            <w:tcBorders>
              <w:bottom w:val="single" w:sz="4" w:space="0" w:color="auto"/>
            </w:tcBorders>
            <w:shd w:val="clear" w:color="auto" w:fill="F3F9FA"/>
            <w:noWrap/>
            <w:vAlign w:val="center"/>
          </w:tcPr>
          <w:p w14:paraId="5EC3E1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5C67BE90" w14:textId="77777777" w:rsidTr="00867E8C">
        <w:trPr>
          <w:cantSplit/>
          <w:trHeight w:val="312"/>
          <w:jc w:val="center"/>
        </w:trPr>
        <w:tc>
          <w:tcPr>
            <w:tcW w:w="2028" w:type="dxa"/>
            <w:vMerge/>
            <w:shd w:val="clear" w:color="auto" w:fill="F3F9FA"/>
            <w:noWrap/>
            <w:vAlign w:val="center"/>
          </w:tcPr>
          <w:p w14:paraId="75B8C30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4C1E448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hideMark/>
          </w:tcPr>
          <w:p w14:paraId="40379B0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PI2</w:t>
            </w:r>
          </w:p>
        </w:tc>
        <w:tc>
          <w:tcPr>
            <w:tcW w:w="1078" w:type="dxa"/>
            <w:tcBorders>
              <w:top w:val="single" w:sz="4" w:space="0" w:color="auto"/>
            </w:tcBorders>
            <w:shd w:val="clear" w:color="auto" w:fill="F3F9FA"/>
            <w:vAlign w:val="center"/>
          </w:tcPr>
          <w:p w14:paraId="304326E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top w:val="single" w:sz="4" w:space="0" w:color="auto"/>
            </w:tcBorders>
            <w:shd w:val="clear" w:color="auto" w:fill="F3F9FA"/>
            <w:vAlign w:val="center"/>
          </w:tcPr>
          <w:p w14:paraId="1B38FB3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740AFBE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56</w:t>
            </w:r>
          </w:p>
        </w:tc>
        <w:tc>
          <w:tcPr>
            <w:tcW w:w="1078" w:type="dxa"/>
            <w:tcBorders>
              <w:top w:val="single" w:sz="4" w:space="0" w:color="auto"/>
            </w:tcBorders>
            <w:shd w:val="clear" w:color="auto" w:fill="F3F9FA"/>
            <w:noWrap/>
            <w:vAlign w:val="center"/>
            <w:hideMark/>
          </w:tcPr>
          <w:p w14:paraId="646F5F6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-0.331</w:t>
            </w:r>
          </w:p>
        </w:tc>
        <w:tc>
          <w:tcPr>
            <w:tcW w:w="1076" w:type="dxa"/>
            <w:tcBorders>
              <w:top w:val="single" w:sz="4" w:space="0" w:color="auto"/>
            </w:tcBorders>
            <w:shd w:val="clear" w:color="auto" w:fill="F3F9FA"/>
            <w:noWrap/>
            <w:vAlign w:val="center"/>
            <w:hideMark/>
          </w:tcPr>
          <w:p w14:paraId="1FAAF39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&lt;0.001</w:t>
            </w:r>
          </w:p>
        </w:tc>
        <w:tc>
          <w:tcPr>
            <w:tcW w:w="2475" w:type="dxa"/>
            <w:tcBorders>
              <w:top w:val="single" w:sz="4" w:space="0" w:color="auto"/>
            </w:tcBorders>
            <w:shd w:val="clear" w:color="auto" w:fill="F3F9FA"/>
            <w:noWrap/>
            <w:vAlign w:val="center"/>
            <w:hideMark/>
          </w:tcPr>
          <w:p w14:paraId="7C4EC7A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-0.302</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(-0.485 to -0.153)</w:t>
            </w:r>
          </w:p>
        </w:tc>
        <w:tc>
          <w:tcPr>
            <w:tcW w:w="1068" w:type="dxa"/>
            <w:tcBorders>
              <w:top w:val="single" w:sz="4" w:space="0" w:color="auto"/>
            </w:tcBorders>
            <w:shd w:val="clear" w:color="auto" w:fill="F3F9FA"/>
            <w:noWrap/>
            <w:vAlign w:val="center"/>
            <w:hideMark/>
          </w:tcPr>
          <w:p w14:paraId="754E6AE5"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65D7C7AD" w14:textId="77777777" w:rsidTr="00867E8C">
        <w:trPr>
          <w:cantSplit/>
          <w:trHeight w:val="312"/>
          <w:jc w:val="center"/>
        </w:trPr>
        <w:tc>
          <w:tcPr>
            <w:tcW w:w="2028" w:type="dxa"/>
            <w:vMerge/>
            <w:shd w:val="clear" w:color="auto" w:fill="F3F9FA"/>
            <w:noWrap/>
            <w:vAlign w:val="center"/>
          </w:tcPr>
          <w:p w14:paraId="13067F6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7B51FA7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1301961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PI3</w:t>
            </w:r>
          </w:p>
        </w:tc>
        <w:tc>
          <w:tcPr>
            <w:tcW w:w="1078" w:type="dxa"/>
            <w:tcBorders>
              <w:bottom w:val="single" w:sz="4" w:space="0" w:color="auto"/>
            </w:tcBorders>
            <w:shd w:val="clear" w:color="auto" w:fill="F3F9FA"/>
            <w:vAlign w:val="center"/>
          </w:tcPr>
          <w:p w14:paraId="3EE7F6D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bottom w:val="single" w:sz="4" w:space="0" w:color="auto"/>
            </w:tcBorders>
            <w:shd w:val="clear" w:color="auto" w:fill="F3F9FA"/>
            <w:vAlign w:val="center"/>
          </w:tcPr>
          <w:p w14:paraId="63F5E4C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6B55BEF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56</w:t>
            </w:r>
          </w:p>
        </w:tc>
        <w:tc>
          <w:tcPr>
            <w:tcW w:w="1078" w:type="dxa"/>
            <w:tcBorders>
              <w:bottom w:val="single" w:sz="4" w:space="0" w:color="auto"/>
            </w:tcBorders>
            <w:shd w:val="clear" w:color="auto" w:fill="F3F9FA"/>
            <w:noWrap/>
            <w:vAlign w:val="center"/>
            <w:hideMark/>
          </w:tcPr>
          <w:p w14:paraId="538BF76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-0.173</w:t>
            </w:r>
          </w:p>
        </w:tc>
        <w:tc>
          <w:tcPr>
            <w:tcW w:w="1076" w:type="dxa"/>
            <w:tcBorders>
              <w:bottom w:val="single" w:sz="4" w:space="0" w:color="auto"/>
            </w:tcBorders>
            <w:shd w:val="clear" w:color="auto" w:fill="F3F9FA"/>
            <w:noWrap/>
            <w:vAlign w:val="center"/>
            <w:hideMark/>
          </w:tcPr>
          <w:p w14:paraId="3B9FE77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0.060</w:t>
            </w:r>
          </w:p>
        </w:tc>
        <w:tc>
          <w:tcPr>
            <w:tcW w:w="2475" w:type="dxa"/>
            <w:tcBorders>
              <w:bottom w:val="single" w:sz="4" w:space="0" w:color="auto"/>
            </w:tcBorders>
            <w:shd w:val="clear" w:color="auto" w:fill="F3F9FA"/>
            <w:noWrap/>
            <w:vAlign w:val="center"/>
            <w:hideMark/>
          </w:tcPr>
          <w:p w14:paraId="007EA18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-0.135</w:t>
            </w:r>
          </w:p>
        </w:tc>
        <w:tc>
          <w:tcPr>
            <w:tcW w:w="1068" w:type="dxa"/>
            <w:tcBorders>
              <w:bottom w:val="single" w:sz="4" w:space="0" w:color="auto"/>
            </w:tcBorders>
            <w:shd w:val="clear" w:color="auto" w:fill="F3F9FA"/>
            <w:noWrap/>
            <w:vAlign w:val="center"/>
            <w:hideMark/>
          </w:tcPr>
          <w:p w14:paraId="1507C33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5BA4A96" w14:textId="77777777" w:rsidTr="00867E8C">
        <w:trPr>
          <w:cantSplit/>
          <w:trHeight w:val="312"/>
          <w:jc w:val="center"/>
        </w:trPr>
        <w:tc>
          <w:tcPr>
            <w:tcW w:w="2028" w:type="dxa"/>
            <w:vMerge/>
            <w:shd w:val="clear" w:color="auto" w:fill="F3F9FA"/>
            <w:noWrap/>
            <w:vAlign w:val="center"/>
          </w:tcPr>
          <w:p w14:paraId="221428E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7A71069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tcPr>
          <w:p w14:paraId="5D17D52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CV1</w:t>
            </w:r>
          </w:p>
        </w:tc>
        <w:tc>
          <w:tcPr>
            <w:tcW w:w="1078" w:type="dxa"/>
            <w:tcBorders>
              <w:top w:val="single" w:sz="4" w:space="0" w:color="auto"/>
            </w:tcBorders>
            <w:shd w:val="clear" w:color="auto" w:fill="F3F9FA"/>
            <w:vAlign w:val="center"/>
          </w:tcPr>
          <w:p w14:paraId="76593FD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1068" w:type="dxa"/>
            <w:tcBorders>
              <w:top w:val="single" w:sz="4" w:space="0" w:color="auto"/>
            </w:tcBorders>
            <w:shd w:val="clear" w:color="auto" w:fill="F3F9FA"/>
            <w:vAlign w:val="center"/>
          </w:tcPr>
          <w:p w14:paraId="58F1F80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F3F9FA"/>
            <w:vAlign w:val="center"/>
          </w:tcPr>
          <w:p w14:paraId="55C64E0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top w:val="single" w:sz="4" w:space="0" w:color="auto"/>
            </w:tcBorders>
            <w:shd w:val="clear" w:color="auto" w:fill="F3F9FA"/>
            <w:noWrap/>
            <w:vAlign w:val="center"/>
          </w:tcPr>
          <w:p w14:paraId="33AD83E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0.667</w:t>
            </w:r>
          </w:p>
        </w:tc>
        <w:tc>
          <w:tcPr>
            <w:tcW w:w="1076" w:type="dxa"/>
            <w:tcBorders>
              <w:top w:val="single" w:sz="4" w:space="0" w:color="auto"/>
            </w:tcBorders>
            <w:shd w:val="clear" w:color="auto" w:fill="F3F9FA"/>
            <w:noWrap/>
            <w:vAlign w:val="center"/>
          </w:tcPr>
          <w:p w14:paraId="22A9B7F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0.308</w:t>
            </w:r>
          </w:p>
        </w:tc>
        <w:tc>
          <w:tcPr>
            <w:tcW w:w="2475" w:type="dxa"/>
            <w:tcBorders>
              <w:top w:val="single" w:sz="4" w:space="0" w:color="auto"/>
            </w:tcBorders>
            <w:shd w:val="clear" w:color="auto" w:fill="F3F9FA"/>
            <w:noWrap/>
            <w:vAlign w:val="center"/>
          </w:tcPr>
          <w:p w14:paraId="64044FE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1.934</w:t>
            </w:r>
          </w:p>
        </w:tc>
        <w:tc>
          <w:tcPr>
            <w:tcW w:w="1068" w:type="dxa"/>
            <w:tcBorders>
              <w:top w:val="single" w:sz="4" w:space="0" w:color="auto"/>
            </w:tcBorders>
            <w:shd w:val="clear" w:color="auto" w:fill="F3F9FA"/>
            <w:noWrap/>
            <w:vAlign w:val="center"/>
          </w:tcPr>
          <w:p w14:paraId="147A5FC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EA1505D" w14:textId="77777777" w:rsidTr="00867E8C">
        <w:trPr>
          <w:cantSplit/>
          <w:trHeight w:val="312"/>
          <w:jc w:val="center"/>
        </w:trPr>
        <w:tc>
          <w:tcPr>
            <w:tcW w:w="2028" w:type="dxa"/>
            <w:vMerge/>
            <w:shd w:val="clear" w:color="auto" w:fill="F3F9FA"/>
            <w:noWrap/>
            <w:vAlign w:val="center"/>
          </w:tcPr>
          <w:p w14:paraId="46CC33C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22EB70F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3D58E65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CV2</w:t>
            </w:r>
          </w:p>
        </w:tc>
        <w:tc>
          <w:tcPr>
            <w:tcW w:w="1078" w:type="dxa"/>
            <w:tcBorders>
              <w:bottom w:val="single" w:sz="4" w:space="0" w:color="auto"/>
            </w:tcBorders>
            <w:shd w:val="clear" w:color="auto" w:fill="F3F9FA"/>
            <w:vAlign w:val="center"/>
          </w:tcPr>
          <w:p w14:paraId="16890C5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1068" w:type="dxa"/>
            <w:tcBorders>
              <w:bottom w:val="single" w:sz="4" w:space="0" w:color="auto"/>
            </w:tcBorders>
            <w:shd w:val="clear" w:color="auto" w:fill="F3F9FA"/>
            <w:vAlign w:val="center"/>
          </w:tcPr>
          <w:p w14:paraId="22AC428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F3F9FA"/>
            <w:vAlign w:val="center"/>
          </w:tcPr>
          <w:p w14:paraId="4581CAE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bottom w:val="single" w:sz="4" w:space="0" w:color="auto"/>
            </w:tcBorders>
            <w:shd w:val="clear" w:color="auto" w:fill="F3F9FA"/>
            <w:noWrap/>
            <w:vAlign w:val="center"/>
          </w:tcPr>
          <w:p w14:paraId="1F50E14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w:t>
            </w:r>
          </w:p>
        </w:tc>
        <w:tc>
          <w:tcPr>
            <w:tcW w:w="1076" w:type="dxa"/>
            <w:tcBorders>
              <w:bottom w:val="single" w:sz="4" w:space="0" w:color="auto"/>
            </w:tcBorders>
            <w:shd w:val="clear" w:color="auto" w:fill="F3F9FA"/>
            <w:noWrap/>
            <w:vAlign w:val="center"/>
          </w:tcPr>
          <w:p w14:paraId="7CDFE5F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2475" w:type="dxa"/>
            <w:tcBorders>
              <w:bottom w:val="single" w:sz="4" w:space="0" w:color="auto"/>
            </w:tcBorders>
            <w:shd w:val="clear" w:color="auto" w:fill="F3F9FA"/>
            <w:noWrap/>
            <w:vAlign w:val="center"/>
          </w:tcPr>
          <w:p w14:paraId="348722C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0.360</w:t>
            </w:r>
          </w:p>
        </w:tc>
        <w:tc>
          <w:tcPr>
            <w:tcW w:w="1068" w:type="dxa"/>
            <w:tcBorders>
              <w:bottom w:val="single" w:sz="4" w:space="0" w:color="auto"/>
            </w:tcBorders>
            <w:shd w:val="clear" w:color="auto" w:fill="F3F9FA"/>
            <w:noWrap/>
            <w:vAlign w:val="center"/>
          </w:tcPr>
          <w:p w14:paraId="3F4D2C1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6FF66E6" w14:textId="77777777" w:rsidTr="00867E8C">
        <w:trPr>
          <w:cantSplit/>
          <w:trHeight w:val="312"/>
          <w:jc w:val="center"/>
        </w:trPr>
        <w:tc>
          <w:tcPr>
            <w:tcW w:w="2028" w:type="dxa"/>
            <w:vMerge/>
            <w:shd w:val="clear" w:color="auto" w:fill="F3F9FA"/>
            <w:noWrap/>
            <w:vAlign w:val="center"/>
          </w:tcPr>
          <w:p w14:paraId="5D94C9B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shd w:val="clear" w:color="auto" w:fill="F3F9FA"/>
            <w:noWrap/>
            <w:vAlign w:val="center"/>
          </w:tcPr>
          <w:p w14:paraId="300C3C3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subtidal</w:t>
            </w:r>
          </w:p>
        </w:tc>
        <w:tc>
          <w:tcPr>
            <w:tcW w:w="720" w:type="dxa"/>
            <w:tcBorders>
              <w:top w:val="single" w:sz="4" w:space="0" w:color="auto"/>
            </w:tcBorders>
            <w:shd w:val="clear" w:color="auto" w:fill="F3F9FA"/>
            <w:noWrap/>
            <w:vAlign w:val="center"/>
          </w:tcPr>
          <w:p w14:paraId="606EDAA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NB1</w:t>
            </w:r>
          </w:p>
        </w:tc>
        <w:tc>
          <w:tcPr>
            <w:tcW w:w="1078" w:type="dxa"/>
            <w:tcBorders>
              <w:top w:val="single" w:sz="4" w:space="0" w:color="auto"/>
            </w:tcBorders>
            <w:shd w:val="clear" w:color="auto" w:fill="F3F9FA"/>
            <w:vAlign w:val="center"/>
          </w:tcPr>
          <w:p w14:paraId="17C810B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top w:val="single" w:sz="4" w:space="0" w:color="auto"/>
            </w:tcBorders>
            <w:shd w:val="clear" w:color="auto" w:fill="F3F9FA"/>
            <w:vAlign w:val="center"/>
          </w:tcPr>
          <w:p w14:paraId="7137001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F3F9FA"/>
            <w:vAlign w:val="center"/>
          </w:tcPr>
          <w:p w14:paraId="660B85F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top w:val="single" w:sz="4" w:space="0" w:color="auto"/>
            </w:tcBorders>
            <w:shd w:val="clear" w:color="auto" w:fill="F3F9FA"/>
            <w:noWrap/>
            <w:vAlign w:val="center"/>
          </w:tcPr>
          <w:p w14:paraId="631F284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tcBorders>
            <w:shd w:val="clear" w:color="auto" w:fill="F3F9FA"/>
            <w:noWrap/>
            <w:vAlign w:val="center"/>
          </w:tcPr>
          <w:p w14:paraId="3D58F39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0.734</w:t>
            </w:r>
          </w:p>
        </w:tc>
        <w:tc>
          <w:tcPr>
            <w:tcW w:w="2475" w:type="dxa"/>
            <w:tcBorders>
              <w:top w:val="single" w:sz="4" w:space="0" w:color="auto"/>
            </w:tcBorders>
            <w:shd w:val="clear" w:color="auto" w:fill="F3F9FA"/>
            <w:noWrap/>
            <w:vAlign w:val="center"/>
          </w:tcPr>
          <w:p w14:paraId="188528B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-7.082</w:t>
            </w:r>
          </w:p>
        </w:tc>
        <w:tc>
          <w:tcPr>
            <w:tcW w:w="1068" w:type="dxa"/>
            <w:tcBorders>
              <w:top w:val="single" w:sz="4" w:space="0" w:color="auto"/>
            </w:tcBorders>
            <w:shd w:val="clear" w:color="auto" w:fill="F3F9FA"/>
            <w:noWrap/>
            <w:vAlign w:val="center"/>
          </w:tcPr>
          <w:p w14:paraId="4776E36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E12FD47" w14:textId="77777777" w:rsidTr="00867E8C">
        <w:trPr>
          <w:cantSplit/>
          <w:trHeight w:val="312"/>
          <w:jc w:val="center"/>
        </w:trPr>
        <w:tc>
          <w:tcPr>
            <w:tcW w:w="2028" w:type="dxa"/>
            <w:vMerge/>
            <w:shd w:val="clear" w:color="auto" w:fill="F3F9FA"/>
            <w:noWrap/>
            <w:vAlign w:val="center"/>
          </w:tcPr>
          <w:p w14:paraId="7F1B560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56C0278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24B94FE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NB2</w:t>
            </w:r>
          </w:p>
        </w:tc>
        <w:tc>
          <w:tcPr>
            <w:tcW w:w="1078" w:type="dxa"/>
            <w:tcBorders>
              <w:bottom w:val="single" w:sz="4" w:space="0" w:color="auto"/>
            </w:tcBorders>
            <w:shd w:val="clear" w:color="auto" w:fill="F3F9FA"/>
            <w:vAlign w:val="center"/>
          </w:tcPr>
          <w:p w14:paraId="743BB71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bottom w:val="single" w:sz="4" w:space="0" w:color="auto"/>
            </w:tcBorders>
            <w:shd w:val="clear" w:color="auto" w:fill="F3F9FA"/>
            <w:vAlign w:val="center"/>
          </w:tcPr>
          <w:p w14:paraId="31EC13E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F3F9FA"/>
            <w:vAlign w:val="center"/>
          </w:tcPr>
          <w:p w14:paraId="48C5167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bottom w:val="single" w:sz="4" w:space="0" w:color="auto"/>
            </w:tcBorders>
            <w:shd w:val="clear" w:color="auto" w:fill="F3F9FA"/>
            <w:noWrap/>
            <w:vAlign w:val="center"/>
          </w:tcPr>
          <w:p w14:paraId="4BFC4D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0.667</w:t>
            </w:r>
          </w:p>
        </w:tc>
        <w:tc>
          <w:tcPr>
            <w:tcW w:w="1076" w:type="dxa"/>
            <w:tcBorders>
              <w:bottom w:val="single" w:sz="4" w:space="0" w:color="auto"/>
            </w:tcBorders>
            <w:shd w:val="clear" w:color="auto" w:fill="F3F9FA"/>
            <w:noWrap/>
            <w:vAlign w:val="center"/>
          </w:tcPr>
          <w:p w14:paraId="2924691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0.308</w:t>
            </w:r>
          </w:p>
        </w:tc>
        <w:tc>
          <w:tcPr>
            <w:tcW w:w="2475" w:type="dxa"/>
            <w:tcBorders>
              <w:bottom w:val="single" w:sz="4" w:space="0" w:color="auto"/>
            </w:tcBorders>
            <w:shd w:val="clear" w:color="auto" w:fill="F3F9FA"/>
            <w:noWrap/>
            <w:vAlign w:val="center"/>
          </w:tcPr>
          <w:p w14:paraId="74E0D6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3.887</w:t>
            </w:r>
          </w:p>
        </w:tc>
        <w:tc>
          <w:tcPr>
            <w:tcW w:w="1068" w:type="dxa"/>
            <w:tcBorders>
              <w:bottom w:val="single" w:sz="4" w:space="0" w:color="auto"/>
            </w:tcBorders>
            <w:shd w:val="clear" w:color="auto" w:fill="F3F9FA"/>
            <w:noWrap/>
            <w:vAlign w:val="center"/>
          </w:tcPr>
          <w:p w14:paraId="70948DD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4A5AD66F" w14:textId="77777777" w:rsidTr="00867E8C">
        <w:trPr>
          <w:cantSplit/>
          <w:trHeight w:val="312"/>
          <w:jc w:val="center"/>
        </w:trPr>
        <w:tc>
          <w:tcPr>
            <w:tcW w:w="2028" w:type="dxa"/>
            <w:vMerge/>
            <w:shd w:val="clear" w:color="auto" w:fill="F3F9FA"/>
            <w:noWrap/>
            <w:vAlign w:val="center"/>
          </w:tcPr>
          <w:p w14:paraId="098B43D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tcBorders>
              <w:top w:val="single" w:sz="4" w:space="0" w:color="auto"/>
            </w:tcBorders>
            <w:shd w:val="clear" w:color="auto" w:fill="F3F9FA"/>
            <w:noWrap/>
            <w:vAlign w:val="center"/>
            <w:hideMark/>
          </w:tcPr>
          <w:p w14:paraId="3EB7628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intertidal</w:t>
            </w:r>
          </w:p>
        </w:tc>
        <w:tc>
          <w:tcPr>
            <w:tcW w:w="720" w:type="dxa"/>
            <w:tcBorders>
              <w:top w:val="single" w:sz="4" w:space="0" w:color="auto"/>
            </w:tcBorders>
            <w:shd w:val="clear" w:color="auto" w:fill="F3F9FA"/>
            <w:noWrap/>
            <w:vAlign w:val="center"/>
            <w:hideMark/>
          </w:tcPr>
          <w:p w14:paraId="1C4BCEC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HB1</w:t>
            </w:r>
          </w:p>
        </w:tc>
        <w:tc>
          <w:tcPr>
            <w:tcW w:w="1078" w:type="dxa"/>
            <w:tcBorders>
              <w:top w:val="single" w:sz="4" w:space="0" w:color="auto"/>
            </w:tcBorders>
            <w:shd w:val="clear" w:color="auto" w:fill="F3F9FA"/>
            <w:vAlign w:val="center"/>
          </w:tcPr>
          <w:p w14:paraId="23496EA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top w:val="single" w:sz="4" w:space="0" w:color="auto"/>
            </w:tcBorders>
            <w:shd w:val="clear" w:color="auto" w:fill="F3F9FA"/>
            <w:vAlign w:val="center"/>
          </w:tcPr>
          <w:p w14:paraId="5327EBB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3D8BAC6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42</w:t>
            </w:r>
          </w:p>
        </w:tc>
        <w:tc>
          <w:tcPr>
            <w:tcW w:w="1078" w:type="dxa"/>
            <w:tcBorders>
              <w:top w:val="single" w:sz="4" w:space="0" w:color="auto"/>
            </w:tcBorders>
            <w:shd w:val="clear" w:color="auto" w:fill="F3F9FA"/>
            <w:noWrap/>
            <w:vAlign w:val="center"/>
            <w:hideMark/>
          </w:tcPr>
          <w:p w14:paraId="3261666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-0.329</w:t>
            </w:r>
          </w:p>
        </w:tc>
        <w:tc>
          <w:tcPr>
            <w:tcW w:w="1076" w:type="dxa"/>
            <w:tcBorders>
              <w:top w:val="single" w:sz="4" w:space="0" w:color="auto"/>
            </w:tcBorders>
            <w:shd w:val="clear" w:color="auto" w:fill="F3F9FA"/>
            <w:noWrap/>
            <w:vAlign w:val="center"/>
            <w:hideMark/>
          </w:tcPr>
          <w:p w14:paraId="5DA22A6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0.002</w:t>
            </w:r>
          </w:p>
        </w:tc>
        <w:tc>
          <w:tcPr>
            <w:tcW w:w="2475" w:type="dxa"/>
            <w:tcBorders>
              <w:top w:val="single" w:sz="4" w:space="0" w:color="auto"/>
            </w:tcBorders>
            <w:shd w:val="clear" w:color="auto" w:fill="F3F9FA"/>
            <w:noWrap/>
            <w:vAlign w:val="center"/>
            <w:hideMark/>
          </w:tcPr>
          <w:p w14:paraId="31407E1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-0.212</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(-0.333 to -0.086)</w:t>
            </w:r>
          </w:p>
        </w:tc>
        <w:tc>
          <w:tcPr>
            <w:tcW w:w="1068" w:type="dxa"/>
            <w:tcBorders>
              <w:top w:val="single" w:sz="4" w:space="0" w:color="auto"/>
            </w:tcBorders>
            <w:shd w:val="clear" w:color="auto" w:fill="F3F9FA"/>
            <w:noWrap/>
            <w:vAlign w:val="center"/>
            <w:hideMark/>
          </w:tcPr>
          <w:p w14:paraId="1233053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0D2C91B7" w14:textId="77777777" w:rsidTr="00867E8C">
        <w:trPr>
          <w:cantSplit/>
          <w:trHeight w:val="312"/>
          <w:jc w:val="center"/>
        </w:trPr>
        <w:tc>
          <w:tcPr>
            <w:tcW w:w="2028" w:type="dxa"/>
            <w:vMerge/>
            <w:shd w:val="clear" w:color="auto" w:fill="F3F9FA"/>
            <w:noWrap/>
            <w:vAlign w:val="center"/>
          </w:tcPr>
          <w:p w14:paraId="19E12B8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6E50A82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274F912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HB2</w:t>
            </w:r>
          </w:p>
        </w:tc>
        <w:tc>
          <w:tcPr>
            <w:tcW w:w="1078" w:type="dxa"/>
            <w:tcBorders>
              <w:bottom w:val="single" w:sz="4" w:space="0" w:color="auto"/>
            </w:tcBorders>
            <w:shd w:val="clear" w:color="auto" w:fill="F3F9FA"/>
            <w:vAlign w:val="center"/>
          </w:tcPr>
          <w:p w14:paraId="3281170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2000</w:t>
            </w:r>
          </w:p>
        </w:tc>
        <w:tc>
          <w:tcPr>
            <w:tcW w:w="1068" w:type="dxa"/>
            <w:tcBorders>
              <w:bottom w:val="single" w:sz="4" w:space="0" w:color="auto"/>
            </w:tcBorders>
            <w:shd w:val="clear" w:color="auto" w:fill="F3F9FA"/>
            <w:vAlign w:val="center"/>
          </w:tcPr>
          <w:p w14:paraId="1D5D63C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22C982E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41</w:t>
            </w:r>
          </w:p>
        </w:tc>
        <w:tc>
          <w:tcPr>
            <w:tcW w:w="1078" w:type="dxa"/>
            <w:tcBorders>
              <w:bottom w:val="single" w:sz="4" w:space="0" w:color="auto"/>
            </w:tcBorders>
            <w:shd w:val="clear" w:color="auto" w:fill="F3F9FA"/>
            <w:noWrap/>
            <w:vAlign w:val="center"/>
            <w:hideMark/>
          </w:tcPr>
          <w:p w14:paraId="27B018A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-0.066</w:t>
            </w:r>
          </w:p>
        </w:tc>
        <w:tc>
          <w:tcPr>
            <w:tcW w:w="1076" w:type="dxa"/>
            <w:tcBorders>
              <w:bottom w:val="single" w:sz="4" w:space="0" w:color="auto"/>
            </w:tcBorders>
            <w:shd w:val="clear" w:color="auto" w:fill="F3F9FA"/>
            <w:noWrap/>
            <w:vAlign w:val="center"/>
            <w:hideMark/>
          </w:tcPr>
          <w:p w14:paraId="29ADDF9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0.552</w:t>
            </w:r>
          </w:p>
        </w:tc>
        <w:tc>
          <w:tcPr>
            <w:tcW w:w="2475" w:type="dxa"/>
            <w:tcBorders>
              <w:bottom w:val="single" w:sz="4" w:space="0" w:color="auto"/>
            </w:tcBorders>
            <w:shd w:val="clear" w:color="auto" w:fill="F3F9FA"/>
            <w:noWrap/>
            <w:vAlign w:val="center"/>
            <w:hideMark/>
          </w:tcPr>
          <w:p w14:paraId="0E67441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-0.044</w:t>
            </w:r>
          </w:p>
        </w:tc>
        <w:tc>
          <w:tcPr>
            <w:tcW w:w="1068" w:type="dxa"/>
            <w:tcBorders>
              <w:bottom w:val="single" w:sz="4" w:space="0" w:color="auto"/>
            </w:tcBorders>
            <w:shd w:val="clear" w:color="auto" w:fill="F3F9FA"/>
            <w:noWrap/>
            <w:vAlign w:val="center"/>
            <w:hideMark/>
          </w:tcPr>
          <w:p w14:paraId="2AAB6AC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2917AA62" w14:textId="77777777" w:rsidTr="00867E8C">
        <w:trPr>
          <w:cantSplit/>
          <w:trHeight w:val="312"/>
          <w:jc w:val="center"/>
        </w:trPr>
        <w:tc>
          <w:tcPr>
            <w:tcW w:w="2028" w:type="dxa"/>
            <w:vMerge/>
            <w:shd w:val="clear" w:color="auto" w:fill="F3F9FA"/>
            <w:noWrap/>
            <w:vAlign w:val="center"/>
          </w:tcPr>
          <w:p w14:paraId="01DED42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5C7D984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hideMark/>
          </w:tcPr>
          <w:p w14:paraId="59470FB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HM1</w:t>
            </w:r>
          </w:p>
        </w:tc>
        <w:tc>
          <w:tcPr>
            <w:tcW w:w="1078" w:type="dxa"/>
            <w:tcBorders>
              <w:top w:val="single" w:sz="4" w:space="0" w:color="auto"/>
            </w:tcBorders>
            <w:shd w:val="clear" w:color="auto" w:fill="F3F9FA"/>
            <w:vAlign w:val="center"/>
          </w:tcPr>
          <w:p w14:paraId="1633CED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top w:val="single" w:sz="4" w:space="0" w:color="auto"/>
            </w:tcBorders>
            <w:shd w:val="clear" w:color="auto" w:fill="F3F9FA"/>
            <w:vAlign w:val="center"/>
          </w:tcPr>
          <w:p w14:paraId="5C93717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1F73B34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25</w:t>
            </w:r>
          </w:p>
        </w:tc>
        <w:tc>
          <w:tcPr>
            <w:tcW w:w="1078" w:type="dxa"/>
            <w:tcBorders>
              <w:top w:val="single" w:sz="4" w:space="0" w:color="auto"/>
            </w:tcBorders>
            <w:shd w:val="clear" w:color="auto" w:fill="F3F9FA"/>
            <w:noWrap/>
            <w:vAlign w:val="center"/>
            <w:hideMark/>
          </w:tcPr>
          <w:p w14:paraId="34B1594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-0.540</w:t>
            </w:r>
          </w:p>
        </w:tc>
        <w:tc>
          <w:tcPr>
            <w:tcW w:w="1076" w:type="dxa"/>
            <w:tcBorders>
              <w:top w:val="single" w:sz="4" w:space="0" w:color="auto"/>
            </w:tcBorders>
            <w:shd w:val="clear" w:color="auto" w:fill="F3F9FA"/>
            <w:noWrap/>
            <w:vAlign w:val="center"/>
            <w:hideMark/>
          </w:tcPr>
          <w:p w14:paraId="12B9B76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&lt;0.001</w:t>
            </w:r>
          </w:p>
        </w:tc>
        <w:tc>
          <w:tcPr>
            <w:tcW w:w="2475" w:type="dxa"/>
            <w:tcBorders>
              <w:top w:val="single" w:sz="4" w:space="0" w:color="auto"/>
            </w:tcBorders>
            <w:shd w:val="clear" w:color="auto" w:fill="F3F9FA"/>
            <w:noWrap/>
            <w:vAlign w:val="center"/>
            <w:hideMark/>
          </w:tcPr>
          <w:p w14:paraId="79BDCB5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-0.266</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(-0.424 to -0.140)</w:t>
            </w:r>
          </w:p>
        </w:tc>
        <w:tc>
          <w:tcPr>
            <w:tcW w:w="1068" w:type="dxa"/>
            <w:tcBorders>
              <w:top w:val="single" w:sz="4" w:space="0" w:color="auto"/>
            </w:tcBorders>
            <w:shd w:val="clear" w:color="auto" w:fill="F3F9FA"/>
            <w:noWrap/>
            <w:vAlign w:val="center"/>
            <w:hideMark/>
          </w:tcPr>
          <w:p w14:paraId="012FFD5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3BF54EC9" w14:textId="77777777" w:rsidTr="00867E8C">
        <w:trPr>
          <w:cantSplit/>
          <w:trHeight w:val="312"/>
          <w:jc w:val="center"/>
        </w:trPr>
        <w:tc>
          <w:tcPr>
            <w:tcW w:w="2028" w:type="dxa"/>
            <w:vMerge/>
            <w:shd w:val="clear" w:color="auto" w:fill="F3F9FA"/>
            <w:noWrap/>
            <w:vAlign w:val="center"/>
          </w:tcPr>
          <w:p w14:paraId="0BF0440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1B6E780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77FF7E91"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HM2</w:t>
            </w:r>
          </w:p>
        </w:tc>
        <w:tc>
          <w:tcPr>
            <w:tcW w:w="1078" w:type="dxa"/>
            <w:tcBorders>
              <w:bottom w:val="single" w:sz="4" w:space="0" w:color="auto"/>
            </w:tcBorders>
            <w:shd w:val="clear" w:color="auto" w:fill="F3F9FA"/>
            <w:vAlign w:val="center"/>
          </w:tcPr>
          <w:p w14:paraId="1FA776F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bottom w:val="single" w:sz="4" w:space="0" w:color="auto"/>
            </w:tcBorders>
            <w:shd w:val="clear" w:color="auto" w:fill="F3F9FA"/>
            <w:vAlign w:val="center"/>
          </w:tcPr>
          <w:p w14:paraId="768B2AA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53F05BD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24</w:t>
            </w:r>
          </w:p>
        </w:tc>
        <w:tc>
          <w:tcPr>
            <w:tcW w:w="1078" w:type="dxa"/>
            <w:tcBorders>
              <w:bottom w:val="single" w:sz="4" w:space="0" w:color="auto"/>
            </w:tcBorders>
            <w:shd w:val="clear" w:color="auto" w:fill="F3F9FA"/>
            <w:noWrap/>
            <w:vAlign w:val="center"/>
            <w:hideMark/>
          </w:tcPr>
          <w:p w14:paraId="46FFA3F7"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-0.339</w:t>
            </w:r>
          </w:p>
        </w:tc>
        <w:tc>
          <w:tcPr>
            <w:tcW w:w="1076" w:type="dxa"/>
            <w:tcBorders>
              <w:bottom w:val="single" w:sz="4" w:space="0" w:color="auto"/>
            </w:tcBorders>
            <w:shd w:val="clear" w:color="auto" w:fill="F3F9FA"/>
            <w:noWrap/>
            <w:vAlign w:val="center"/>
            <w:hideMark/>
          </w:tcPr>
          <w:p w14:paraId="58420D4D"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0.022</w:t>
            </w:r>
          </w:p>
        </w:tc>
        <w:tc>
          <w:tcPr>
            <w:tcW w:w="2475" w:type="dxa"/>
            <w:tcBorders>
              <w:bottom w:val="single" w:sz="4" w:space="0" w:color="auto"/>
            </w:tcBorders>
            <w:shd w:val="clear" w:color="auto" w:fill="F3F9FA"/>
            <w:noWrap/>
            <w:vAlign w:val="center"/>
            <w:hideMark/>
          </w:tcPr>
          <w:p w14:paraId="7905234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bCs/>
                <w:color w:val="000000"/>
                <w:sz w:val="20"/>
                <w:szCs w:val="20"/>
              </w:rPr>
              <w:t>-0.133</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(-0.323 to -0.023)</w:t>
            </w:r>
          </w:p>
        </w:tc>
        <w:tc>
          <w:tcPr>
            <w:tcW w:w="1068" w:type="dxa"/>
            <w:tcBorders>
              <w:bottom w:val="single" w:sz="4" w:space="0" w:color="auto"/>
            </w:tcBorders>
            <w:shd w:val="clear" w:color="auto" w:fill="F3F9FA"/>
            <w:noWrap/>
            <w:vAlign w:val="center"/>
          </w:tcPr>
          <w:p w14:paraId="55265E1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4DF1109D" w14:textId="77777777" w:rsidTr="00867E8C">
        <w:trPr>
          <w:cantSplit/>
          <w:trHeight w:val="312"/>
          <w:jc w:val="center"/>
        </w:trPr>
        <w:tc>
          <w:tcPr>
            <w:tcW w:w="2028" w:type="dxa"/>
            <w:vMerge/>
            <w:shd w:val="clear" w:color="auto" w:fill="F3F9FA"/>
            <w:noWrap/>
            <w:vAlign w:val="center"/>
          </w:tcPr>
          <w:p w14:paraId="4CDC3D1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val="restart"/>
            <w:shd w:val="clear" w:color="auto" w:fill="F3F9FA"/>
            <w:noWrap/>
            <w:vAlign w:val="center"/>
          </w:tcPr>
          <w:p w14:paraId="3820DE3F" w14:textId="2CEE0200"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subtidal</w:t>
            </w:r>
          </w:p>
        </w:tc>
        <w:tc>
          <w:tcPr>
            <w:tcW w:w="720" w:type="dxa"/>
            <w:tcBorders>
              <w:top w:val="single" w:sz="4" w:space="0" w:color="auto"/>
            </w:tcBorders>
            <w:shd w:val="clear" w:color="auto" w:fill="F3F9FA"/>
            <w:noWrap/>
            <w:vAlign w:val="center"/>
          </w:tcPr>
          <w:p w14:paraId="5FFADB8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TO1</w:t>
            </w:r>
          </w:p>
        </w:tc>
        <w:tc>
          <w:tcPr>
            <w:tcW w:w="1078" w:type="dxa"/>
            <w:tcBorders>
              <w:top w:val="single" w:sz="4" w:space="0" w:color="auto"/>
            </w:tcBorders>
            <w:shd w:val="clear" w:color="auto" w:fill="F3F9FA"/>
            <w:vAlign w:val="center"/>
          </w:tcPr>
          <w:p w14:paraId="35C465D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top w:val="single" w:sz="4" w:space="0" w:color="auto"/>
            </w:tcBorders>
            <w:shd w:val="clear" w:color="auto" w:fill="F3F9FA"/>
            <w:vAlign w:val="center"/>
          </w:tcPr>
          <w:p w14:paraId="4A83D1D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F3F9FA"/>
            <w:vAlign w:val="center"/>
          </w:tcPr>
          <w:p w14:paraId="3E1695D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top w:val="single" w:sz="4" w:space="0" w:color="auto"/>
            </w:tcBorders>
            <w:shd w:val="clear" w:color="auto" w:fill="F3F9FA"/>
            <w:noWrap/>
            <w:vAlign w:val="center"/>
          </w:tcPr>
          <w:p w14:paraId="037F972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-0.667</w:t>
            </w:r>
          </w:p>
        </w:tc>
        <w:tc>
          <w:tcPr>
            <w:tcW w:w="1076" w:type="dxa"/>
            <w:tcBorders>
              <w:top w:val="single" w:sz="4" w:space="0" w:color="auto"/>
            </w:tcBorders>
            <w:shd w:val="clear" w:color="auto" w:fill="F3F9FA"/>
            <w:noWrap/>
            <w:vAlign w:val="center"/>
          </w:tcPr>
          <w:p w14:paraId="50D572A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0.308</w:t>
            </w:r>
          </w:p>
        </w:tc>
        <w:tc>
          <w:tcPr>
            <w:tcW w:w="2475" w:type="dxa"/>
            <w:tcBorders>
              <w:top w:val="single" w:sz="4" w:space="0" w:color="auto"/>
            </w:tcBorders>
            <w:shd w:val="clear" w:color="auto" w:fill="F3F9FA"/>
            <w:noWrap/>
            <w:vAlign w:val="center"/>
          </w:tcPr>
          <w:p w14:paraId="279D3EB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-5.524</w:t>
            </w:r>
          </w:p>
        </w:tc>
        <w:tc>
          <w:tcPr>
            <w:tcW w:w="1068" w:type="dxa"/>
            <w:tcBorders>
              <w:top w:val="single" w:sz="4" w:space="0" w:color="auto"/>
            </w:tcBorders>
            <w:shd w:val="clear" w:color="auto" w:fill="F3F9FA"/>
            <w:noWrap/>
            <w:vAlign w:val="center"/>
          </w:tcPr>
          <w:p w14:paraId="567B296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4148F8DA" w14:textId="77777777" w:rsidTr="00867E8C">
        <w:trPr>
          <w:cantSplit/>
          <w:trHeight w:val="312"/>
          <w:jc w:val="center"/>
        </w:trPr>
        <w:tc>
          <w:tcPr>
            <w:tcW w:w="2028" w:type="dxa"/>
            <w:vMerge/>
            <w:shd w:val="clear" w:color="auto" w:fill="F3F9FA"/>
            <w:noWrap/>
            <w:vAlign w:val="center"/>
          </w:tcPr>
          <w:p w14:paraId="341744F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7BBD306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23F6277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TO2</w:t>
            </w:r>
          </w:p>
        </w:tc>
        <w:tc>
          <w:tcPr>
            <w:tcW w:w="1078" w:type="dxa"/>
            <w:tcBorders>
              <w:bottom w:val="single" w:sz="4" w:space="0" w:color="auto"/>
            </w:tcBorders>
            <w:shd w:val="clear" w:color="auto" w:fill="F3F9FA"/>
            <w:vAlign w:val="center"/>
          </w:tcPr>
          <w:p w14:paraId="3554266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2015</w:t>
            </w:r>
          </w:p>
        </w:tc>
        <w:tc>
          <w:tcPr>
            <w:tcW w:w="1068" w:type="dxa"/>
            <w:tcBorders>
              <w:bottom w:val="single" w:sz="4" w:space="0" w:color="auto"/>
            </w:tcBorders>
            <w:shd w:val="clear" w:color="auto" w:fill="F3F9FA"/>
            <w:vAlign w:val="center"/>
          </w:tcPr>
          <w:p w14:paraId="7851AC5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F3F9FA"/>
            <w:vAlign w:val="center"/>
          </w:tcPr>
          <w:p w14:paraId="704D293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bottom w:val="single" w:sz="4" w:space="0" w:color="auto"/>
            </w:tcBorders>
            <w:shd w:val="clear" w:color="auto" w:fill="F3F9FA"/>
            <w:noWrap/>
            <w:vAlign w:val="center"/>
          </w:tcPr>
          <w:p w14:paraId="5B3247C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-0.667</w:t>
            </w:r>
          </w:p>
        </w:tc>
        <w:tc>
          <w:tcPr>
            <w:tcW w:w="1076" w:type="dxa"/>
            <w:tcBorders>
              <w:bottom w:val="single" w:sz="4" w:space="0" w:color="auto"/>
            </w:tcBorders>
            <w:shd w:val="clear" w:color="auto" w:fill="F3F9FA"/>
            <w:noWrap/>
            <w:vAlign w:val="center"/>
          </w:tcPr>
          <w:p w14:paraId="32F90E7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0.308</w:t>
            </w:r>
          </w:p>
        </w:tc>
        <w:tc>
          <w:tcPr>
            <w:tcW w:w="2475" w:type="dxa"/>
            <w:tcBorders>
              <w:bottom w:val="single" w:sz="4" w:space="0" w:color="auto"/>
            </w:tcBorders>
            <w:shd w:val="clear" w:color="auto" w:fill="F3F9FA"/>
            <w:noWrap/>
            <w:vAlign w:val="center"/>
          </w:tcPr>
          <w:p w14:paraId="17AD9FC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-2.969</w:t>
            </w:r>
          </w:p>
        </w:tc>
        <w:tc>
          <w:tcPr>
            <w:tcW w:w="1068" w:type="dxa"/>
            <w:tcBorders>
              <w:bottom w:val="single" w:sz="4" w:space="0" w:color="auto"/>
            </w:tcBorders>
            <w:shd w:val="clear" w:color="auto" w:fill="F3F9FA"/>
            <w:noWrap/>
            <w:vAlign w:val="center"/>
          </w:tcPr>
          <w:p w14:paraId="7AD7BBB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1EB13F8" w14:textId="77777777" w:rsidTr="00867E8C">
        <w:trPr>
          <w:cantSplit/>
          <w:trHeight w:val="312"/>
          <w:jc w:val="center"/>
        </w:trPr>
        <w:tc>
          <w:tcPr>
            <w:tcW w:w="2028" w:type="dxa"/>
            <w:vMerge/>
            <w:shd w:val="clear" w:color="auto" w:fill="F3F9FA"/>
            <w:noWrap/>
            <w:vAlign w:val="center"/>
          </w:tcPr>
          <w:p w14:paraId="277FA4D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66E3267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tcPr>
          <w:p w14:paraId="334882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LN1</w:t>
            </w:r>
          </w:p>
        </w:tc>
        <w:tc>
          <w:tcPr>
            <w:tcW w:w="1078" w:type="dxa"/>
            <w:tcBorders>
              <w:top w:val="single" w:sz="4" w:space="0" w:color="auto"/>
            </w:tcBorders>
            <w:shd w:val="clear" w:color="auto" w:fill="F3F9FA"/>
            <w:vAlign w:val="center"/>
          </w:tcPr>
          <w:p w14:paraId="7FC5E9D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1068" w:type="dxa"/>
            <w:tcBorders>
              <w:top w:val="single" w:sz="4" w:space="0" w:color="auto"/>
            </w:tcBorders>
            <w:shd w:val="clear" w:color="auto" w:fill="F3F9FA"/>
            <w:vAlign w:val="center"/>
          </w:tcPr>
          <w:p w14:paraId="66A9A06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147C20A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top w:val="single" w:sz="4" w:space="0" w:color="auto"/>
            </w:tcBorders>
            <w:shd w:val="clear" w:color="auto" w:fill="F3F9FA"/>
            <w:noWrap/>
            <w:vAlign w:val="center"/>
          </w:tcPr>
          <w:p w14:paraId="78FE9E0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top w:val="single" w:sz="4" w:space="0" w:color="auto"/>
            </w:tcBorders>
            <w:shd w:val="clear" w:color="auto" w:fill="F3F9FA"/>
            <w:noWrap/>
            <w:vAlign w:val="center"/>
          </w:tcPr>
          <w:p w14:paraId="5B02800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0.734</w:t>
            </w:r>
          </w:p>
        </w:tc>
        <w:tc>
          <w:tcPr>
            <w:tcW w:w="2475" w:type="dxa"/>
            <w:tcBorders>
              <w:top w:val="single" w:sz="4" w:space="0" w:color="auto"/>
            </w:tcBorders>
            <w:shd w:val="clear" w:color="auto" w:fill="F3F9FA"/>
            <w:noWrap/>
            <w:vAlign w:val="center"/>
          </w:tcPr>
          <w:p w14:paraId="09F6CA5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1.221</w:t>
            </w:r>
          </w:p>
        </w:tc>
        <w:tc>
          <w:tcPr>
            <w:tcW w:w="1068" w:type="dxa"/>
            <w:tcBorders>
              <w:top w:val="single" w:sz="4" w:space="0" w:color="auto"/>
            </w:tcBorders>
            <w:shd w:val="clear" w:color="auto" w:fill="F3F9FA"/>
            <w:noWrap/>
            <w:vAlign w:val="center"/>
          </w:tcPr>
          <w:p w14:paraId="5BBD22C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213A7CA4" w14:textId="77777777" w:rsidTr="00867E8C">
        <w:trPr>
          <w:cantSplit/>
          <w:trHeight w:val="312"/>
          <w:jc w:val="center"/>
        </w:trPr>
        <w:tc>
          <w:tcPr>
            <w:tcW w:w="2028" w:type="dxa"/>
            <w:vMerge/>
            <w:shd w:val="clear" w:color="auto" w:fill="F3F9FA"/>
            <w:noWrap/>
            <w:vAlign w:val="center"/>
          </w:tcPr>
          <w:p w14:paraId="3269BA0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1D1198F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472571E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LN2</w:t>
            </w:r>
          </w:p>
        </w:tc>
        <w:tc>
          <w:tcPr>
            <w:tcW w:w="1078" w:type="dxa"/>
            <w:tcBorders>
              <w:bottom w:val="single" w:sz="4" w:space="0" w:color="auto"/>
            </w:tcBorders>
            <w:shd w:val="clear" w:color="auto" w:fill="F3F9FA"/>
            <w:vAlign w:val="center"/>
          </w:tcPr>
          <w:p w14:paraId="02906E2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1068" w:type="dxa"/>
            <w:tcBorders>
              <w:bottom w:val="single" w:sz="4" w:space="0" w:color="auto"/>
            </w:tcBorders>
            <w:shd w:val="clear" w:color="auto" w:fill="F3F9FA"/>
            <w:vAlign w:val="center"/>
          </w:tcPr>
          <w:p w14:paraId="79DEE54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770F7C9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w:t>
            </w:r>
          </w:p>
        </w:tc>
        <w:tc>
          <w:tcPr>
            <w:tcW w:w="1078" w:type="dxa"/>
            <w:tcBorders>
              <w:bottom w:val="single" w:sz="4" w:space="0" w:color="auto"/>
            </w:tcBorders>
            <w:shd w:val="clear" w:color="auto" w:fill="F3F9FA"/>
            <w:noWrap/>
            <w:vAlign w:val="center"/>
          </w:tcPr>
          <w:p w14:paraId="282C621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bottom w:val="single" w:sz="4" w:space="0" w:color="auto"/>
            </w:tcBorders>
            <w:shd w:val="clear" w:color="auto" w:fill="F3F9FA"/>
            <w:noWrap/>
            <w:vAlign w:val="center"/>
          </w:tcPr>
          <w:p w14:paraId="49BBB1B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w:t>
            </w:r>
          </w:p>
        </w:tc>
        <w:tc>
          <w:tcPr>
            <w:tcW w:w="2475" w:type="dxa"/>
            <w:tcBorders>
              <w:bottom w:val="single" w:sz="4" w:space="0" w:color="auto"/>
            </w:tcBorders>
            <w:shd w:val="clear" w:color="auto" w:fill="F3F9FA"/>
            <w:noWrap/>
            <w:vAlign w:val="center"/>
          </w:tcPr>
          <w:p w14:paraId="409EB85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0.276</w:t>
            </w:r>
          </w:p>
        </w:tc>
        <w:tc>
          <w:tcPr>
            <w:tcW w:w="1068" w:type="dxa"/>
            <w:tcBorders>
              <w:bottom w:val="single" w:sz="4" w:space="0" w:color="auto"/>
            </w:tcBorders>
            <w:shd w:val="clear" w:color="auto" w:fill="F3F9FA"/>
            <w:noWrap/>
            <w:vAlign w:val="center"/>
          </w:tcPr>
          <w:p w14:paraId="2413A8A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1C0E3062" w14:textId="77777777" w:rsidTr="00867E8C">
        <w:trPr>
          <w:cantSplit/>
          <w:trHeight w:val="312"/>
          <w:jc w:val="center"/>
        </w:trPr>
        <w:tc>
          <w:tcPr>
            <w:tcW w:w="2028" w:type="dxa"/>
            <w:vMerge/>
            <w:tcBorders>
              <w:bottom w:val="single" w:sz="4" w:space="0" w:color="auto"/>
            </w:tcBorders>
            <w:shd w:val="clear" w:color="auto" w:fill="F3F9FA"/>
            <w:noWrap/>
            <w:vAlign w:val="center"/>
          </w:tcPr>
          <w:p w14:paraId="5BCC753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4DB9D6C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6D71B70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3E86A75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top w:val="single" w:sz="4" w:space="0" w:color="auto"/>
              <w:bottom w:val="single" w:sz="4" w:space="0" w:color="auto"/>
            </w:tcBorders>
            <w:shd w:val="clear" w:color="auto" w:fill="D9D9D9" w:themeFill="background1" w:themeFillShade="D9"/>
            <w:vAlign w:val="center"/>
          </w:tcPr>
          <w:p w14:paraId="4ECE5F6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bottom w:val="single" w:sz="4" w:space="0" w:color="auto"/>
            </w:tcBorders>
            <w:shd w:val="clear" w:color="auto" w:fill="D9D9D9" w:themeFill="background1" w:themeFillShade="D9"/>
            <w:vAlign w:val="center"/>
          </w:tcPr>
          <w:p w14:paraId="5E2E4E4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64</w:t>
            </w:r>
          </w:p>
        </w:tc>
        <w:tc>
          <w:tcPr>
            <w:tcW w:w="1078" w:type="dxa"/>
            <w:tcBorders>
              <w:top w:val="single" w:sz="4" w:space="0" w:color="auto"/>
              <w:bottom w:val="single" w:sz="4" w:space="0" w:color="auto"/>
            </w:tcBorders>
            <w:shd w:val="clear" w:color="auto" w:fill="D9D9D9" w:themeFill="background1" w:themeFillShade="D9"/>
            <w:noWrap/>
            <w:vAlign w:val="center"/>
          </w:tcPr>
          <w:p w14:paraId="317ECB0C"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-0.409</w:t>
            </w:r>
          </w:p>
        </w:tc>
        <w:tc>
          <w:tcPr>
            <w:tcW w:w="1076" w:type="dxa"/>
            <w:tcBorders>
              <w:top w:val="single" w:sz="4" w:space="0" w:color="auto"/>
              <w:bottom w:val="single" w:sz="4" w:space="0" w:color="auto"/>
            </w:tcBorders>
            <w:shd w:val="clear" w:color="auto" w:fill="D9D9D9" w:themeFill="background1" w:themeFillShade="D9"/>
            <w:noWrap/>
            <w:vAlign w:val="center"/>
          </w:tcPr>
          <w:p w14:paraId="6840547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&lt;0.001</w:t>
            </w:r>
          </w:p>
        </w:tc>
        <w:tc>
          <w:tcPr>
            <w:tcW w:w="2475" w:type="dxa"/>
            <w:tcBorders>
              <w:top w:val="single" w:sz="4" w:space="0" w:color="auto"/>
              <w:bottom w:val="single" w:sz="4" w:space="0" w:color="auto"/>
            </w:tcBorders>
            <w:shd w:val="clear" w:color="auto" w:fill="D9D9D9" w:themeFill="background1" w:themeFillShade="D9"/>
            <w:noWrap/>
            <w:vAlign w:val="center"/>
          </w:tcPr>
          <w:p w14:paraId="06F6240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-0.190</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(-0.261 to -0.121)</w:t>
            </w:r>
          </w:p>
        </w:tc>
        <w:tc>
          <w:tcPr>
            <w:tcW w:w="1068" w:type="dxa"/>
            <w:tcBorders>
              <w:top w:val="single" w:sz="4" w:space="0" w:color="auto"/>
              <w:bottom w:val="single" w:sz="4" w:space="0" w:color="auto"/>
            </w:tcBorders>
            <w:shd w:val="clear" w:color="auto" w:fill="D9D9D9" w:themeFill="background1" w:themeFillShade="D9"/>
            <w:noWrap/>
            <w:vAlign w:val="center"/>
          </w:tcPr>
          <w:p w14:paraId="2BD16B4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15417024" w14:textId="77777777" w:rsidTr="00867E8C">
        <w:trPr>
          <w:cantSplit/>
          <w:trHeight w:val="312"/>
          <w:jc w:val="center"/>
        </w:trPr>
        <w:tc>
          <w:tcPr>
            <w:tcW w:w="2028" w:type="dxa"/>
            <w:vMerge w:val="restart"/>
            <w:tcBorders>
              <w:top w:val="single" w:sz="4" w:space="0" w:color="auto"/>
            </w:tcBorders>
            <w:shd w:val="clear" w:color="auto" w:fill="E7F3F4"/>
            <w:noWrap/>
            <w:vAlign w:val="center"/>
            <w:hideMark/>
          </w:tcPr>
          <w:p w14:paraId="6762D70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p w14:paraId="55E0D11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p w14:paraId="2CC1F7C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Fitzroy</w:t>
            </w:r>
          </w:p>
        </w:tc>
        <w:tc>
          <w:tcPr>
            <w:tcW w:w="1874" w:type="dxa"/>
            <w:tcBorders>
              <w:top w:val="single" w:sz="4" w:space="0" w:color="auto"/>
            </w:tcBorders>
            <w:shd w:val="clear" w:color="auto" w:fill="E7F3F4"/>
            <w:noWrap/>
            <w:vAlign w:val="center"/>
            <w:hideMark/>
          </w:tcPr>
          <w:p w14:paraId="284B95B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estuarine intertidal</w:t>
            </w:r>
          </w:p>
        </w:tc>
        <w:tc>
          <w:tcPr>
            <w:tcW w:w="720" w:type="dxa"/>
            <w:tcBorders>
              <w:top w:val="single" w:sz="4" w:space="0" w:color="auto"/>
            </w:tcBorders>
            <w:shd w:val="clear" w:color="auto" w:fill="E7F3F4"/>
            <w:noWrap/>
            <w:vAlign w:val="center"/>
            <w:hideMark/>
          </w:tcPr>
          <w:p w14:paraId="76BC4494"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GH1</w:t>
            </w:r>
          </w:p>
        </w:tc>
        <w:tc>
          <w:tcPr>
            <w:tcW w:w="1078" w:type="dxa"/>
            <w:tcBorders>
              <w:top w:val="single" w:sz="4" w:space="0" w:color="auto"/>
            </w:tcBorders>
            <w:shd w:val="clear" w:color="auto" w:fill="E7F3F4"/>
            <w:vAlign w:val="center"/>
          </w:tcPr>
          <w:p w14:paraId="2F9FE89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top w:val="single" w:sz="4" w:space="0" w:color="auto"/>
            </w:tcBorders>
            <w:shd w:val="clear" w:color="auto" w:fill="E7F3F4"/>
            <w:vAlign w:val="center"/>
          </w:tcPr>
          <w:p w14:paraId="24A9AD7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E7F3F4"/>
            <w:vAlign w:val="center"/>
          </w:tcPr>
          <w:p w14:paraId="1C7056D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35</w:t>
            </w:r>
          </w:p>
        </w:tc>
        <w:tc>
          <w:tcPr>
            <w:tcW w:w="1078" w:type="dxa"/>
            <w:tcBorders>
              <w:top w:val="single" w:sz="4" w:space="0" w:color="auto"/>
            </w:tcBorders>
            <w:shd w:val="clear" w:color="auto" w:fill="E7F3F4"/>
            <w:noWrap/>
            <w:vAlign w:val="center"/>
            <w:hideMark/>
          </w:tcPr>
          <w:p w14:paraId="1CC0612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-0.388</w:t>
            </w:r>
          </w:p>
        </w:tc>
        <w:tc>
          <w:tcPr>
            <w:tcW w:w="1076" w:type="dxa"/>
            <w:tcBorders>
              <w:top w:val="single" w:sz="4" w:space="0" w:color="auto"/>
            </w:tcBorders>
            <w:shd w:val="clear" w:color="auto" w:fill="E7F3F4"/>
            <w:noWrap/>
            <w:vAlign w:val="center"/>
            <w:hideMark/>
          </w:tcPr>
          <w:p w14:paraId="1B5CEAD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0.001</w:t>
            </w:r>
          </w:p>
        </w:tc>
        <w:tc>
          <w:tcPr>
            <w:tcW w:w="2475" w:type="dxa"/>
            <w:tcBorders>
              <w:top w:val="single" w:sz="4" w:space="0" w:color="auto"/>
            </w:tcBorders>
            <w:shd w:val="clear" w:color="auto" w:fill="E7F3F4"/>
            <w:noWrap/>
            <w:vAlign w:val="center"/>
            <w:hideMark/>
          </w:tcPr>
          <w:p w14:paraId="56AA1EB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-0.733</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(-1.127 to -0.267)</w:t>
            </w:r>
          </w:p>
        </w:tc>
        <w:tc>
          <w:tcPr>
            <w:tcW w:w="1068" w:type="dxa"/>
            <w:tcBorders>
              <w:top w:val="single" w:sz="4" w:space="0" w:color="auto"/>
            </w:tcBorders>
            <w:shd w:val="clear" w:color="auto" w:fill="E7F3F4"/>
            <w:noWrap/>
            <w:vAlign w:val="center"/>
          </w:tcPr>
          <w:p w14:paraId="5769E9F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0F14C468" w14:textId="77777777" w:rsidTr="00867E8C">
        <w:trPr>
          <w:cantSplit/>
          <w:trHeight w:val="312"/>
          <w:jc w:val="center"/>
        </w:trPr>
        <w:tc>
          <w:tcPr>
            <w:tcW w:w="2028" w:type="dxa"/>
            <w:vMerge/>
            <w:shd w:val="clear" w:color="auto" w:fill="E7F3F4"/>
            <w:noWrap/>
            <w:vAlign w:val="center"/>
          </w:tcPr>
          <w:p w14:paraId="0A77CC8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bottom w:val="single" w:sz="4" w:space="0" w:color="auto"/>
            </w:tcBorders>
            <w:shd w:val="clear" w:color="auto" w:fill="E7F3F4"/>
            <w:noWrap/>
            <w:vAlign w:val="center"/>
            <w:hideMark/>
          </w:tcPr>
          <w:p w14:paraId="30EE1A6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3977C6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GH2</w:t>
            </w:r>
          </w:p>
        </w:tc>
        <w:tc>
          <w:tcPr>
            <w:tcW w:w="1078" w:type="dxa"/>
            <w:tcBorders>
              <w:bottom w:val="single" w:sz="4" w:space="0" w:color="auto"/>
            </w:tcBorders>
            <w:shd w:val="clear" w:color="auto" w:fill="E7F3F4"/>
            <w:vAlign w:val="center"/>
          </w:tcPr>
          <w:p w14:paraId="4309B11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2005</w:t>
            </w:r>
          </w:p>
        </w:tc>
        <w:tc>
          <w:tcPr>
            <w:tcW w:w="1068" w:type="dxa"/>
            <w:tcBorders>
              <w:bottom w:val="single" w:sz="4" w:space="0" w:color="auto"/>
            </w:tcBorders>
            <w:shd w:val="clear" w:color="auto" w:fill="E7F3F4"/>
            <w:vAlign w:val="center"/>
          </w:tcPr>
          <w:p w14:paraId="65DCC32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E7F3F4"/>
            <w:vAlign w:val="center"/>
          </w:tcPr>
          <w:p w14:paraId="6138C28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35</w:t>
            </w:r>
          </w:p>
        </w:tc>
        <w:tc>
          <w:tcPr>
            <w:tcW w:w="1078" w:type="dxa"/>
            <w:tcBorders>
              <w:bottom w:val="single" w:sz="4" w:space="0" w:color="auto"/>
            </w:tcBorders>
            <w:shd w:val="clear" w:color="auto" w:fill="E7F3F4"/>
            <w:noWrap/>
            <w:vAlign w:val="center"/>
            <w:hideMark/>
          </w:tcPr>
          <w:p w14:paraId="598AC64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-0.008</w:t>
            </w:r>
          </w:p>
        </w:tc>
        <w:tc>
          <w:tcPr>
            <w:tcW w:w="1076" w:type="dxa"/>
            <w:tcBorders>
              <w:bottom w:val="single" w:sz="4" w:space="0" w:color="auto"/>
            </w:tcBorders>
            <w:shd w:val="clear" w:color="auto" w:fill="E7F3F4"/>
            <w:noWrap/>
            <w:vAlign w:val="center"/>
            <w:hideMark/>
          </w:tcPr>
          <w:p w14:paraId="3BE63FF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0.955</w:t>
            </w:r>
          </w:p>
        </w:tc>
        <w:tc>
          <w:tcPr>
            <w:tcW w:w="2475" w:type="dxa"/>
            <w:tcBorders>
              <w:bottom w:val="single" w:sz="4" w:space="0" w:color="auto"/>
            </w:tcBorders>
            <w:shd w:val="clear" w:color="auto" w:fill="E7F3F4"/>
            <w:noWrap/>
            <w:vAlign w:val="center"/>
            <w:hideMark/>
          </w:tcPr>
          <w:p w14:paraId="0B31490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0.016</w:t>
            </w:r>
          </w:p>
        </w:tc>
        <w:tc>
          <w:tcPr>
            <w:tcW w:w="1068" w:type="dxa"/>
            <w:tcBorders>
              <w:bottom w:val="single" w:sz="4" w:space="0" w:color="auto"/>
            </w:tcBorders>
            <w:shd w:val="clear" w:color="auto" w:fill="E7F3F4"/>
            <w:noWrap/>
            <w:vAlign w:val="center"/>
          </w:tcPr>
          <w:p w14:paraId="7CCAE73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D43392B" w14:textId="77777777" w:rsidTr="00867E8C">
        <w:trPr>
          <w:cantSplit/>
          <w:trHeight w:val="312"/>
          <w:jc w:val="center"/>
        </w:trPr>
        <w:tc>
          <w:tcPr>
            <w:tcW w:w="2028" w:type="dxa"/>
            <w:vMerge/>
            <w:shd w:val="clear" w:color="auto" w:fill="E7F3F4"/>
            <w:noWrap/>
            <w:vAlign w:val="center"/>
          </w:tcPr>
          <w:p w14:paraId="2ABF8FD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tcBorders>
            <w:shd w:val="clear" w:color="auto" w:fill="E7F3F4"/>
            <w:noWrap/>
            <w:vAlign w:val="center"/>
            <w:hideMark/>
          </w:tcPr>
          <w:p w14:paraId="11FDFE9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E7F3F4"/>
            <w:noWrap/>
            <w:vAlign w:val="center"/>
            <w:hideMark/>
          </w:tcPr>
          <w:p w14:paraId="581C349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RC1</w:t>
            </w:r>
          </w:p>
        </w:tc>
        <w:tc>
          <w:tcPr>
            <w:tcW w:w="1078" w:type="dxa"/>
            <w:tcBorders>
              <w:top w:val="single" w:sz="4" w:space="0" w:color="auto"/>
            </w:tcBorders>
            <w:shd w:val="clear" w:color="auto" w:fill="E7F3F4"/>
            <w:vAlign w:val="center"/>
          </w:tcPr>
          <w:p w14:paraId="4D19F02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2002</w:t>
            </w:r>
          </w:p>
        </w:tc>
        <w:tc>
          <w:tcPr>
            <w:tcW w:w="1068" w:type="dxa"/>
            <w:tcBorders>
              <w:top w:val="single" w:sz="4" w:space="0" w:color="auto"/>
            </w:tcBorders>
            <w:shd w:val="clear" w:color="auto" w:fill="E7F3F4"/>
            <w:vAlign w:val="center"/>
          </w:tcPr>
          <w:p w14:paraId="771FC31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tcBorders>
            <w:shd w:val="clear" w:color="auto" w:fill="E7F3F4"/>
            <w:vAlign w:val="center"/>
          </w:tcPr>
          <w:p w14:paraId="188C33E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35</w:t>
            </w:r>
          </w:p>
        </w:tc>
        <w:tc>
          <w:tcPr>
            <w:tcW w:w="1078" w:type="dxa"/>
            <w:tcBorders>
              <w:top w:val="single" w:sz="4" w:space="0" w:color="auto"/>
            </w:tcBorders>
            <w:shd w:val="clear" w:color="auto" w:fill="E7F3F4"/>
            <w:noWrap/>
            <w:vAlign w:val="center"/>
            <w:hideMark/>
          </w:tcPr>
          <w:p w14:paraId="55B00A2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-0.013</w:t>
            </w:r>
          </w:p>
        </w:tc>
        <w:tc>
          <w:tcPr>
            <w:tcW w:w="1076" w:type="dxa"/>
            <w:tcBorders>
              <w:top w:val="single" w:sz="4" w:space="0" w:color="auto"/>
            </w:tcBorders>
            <w:shd w:val="clear" w:color="auto" w:fill="E7F3F4"/>
            <w:noWrap/>
            <w:vAlign w:val="center"/>
            <w:hideMark/>
          </w:tcPr>
          <w:p w14:paraId="5D82167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0.921</w:t>
            </w:r>
          </w:p>
        </w:tc>
        <w:tc>
          <w:tcPr>
            <w:tcW w:w="2475" w:type="dxa"/>
            <w:tcBorders>
              <w:top w:val="single" w:sz="4" w:space="0" w:color="auto"/>
            </w:tcBorders>
            <w:shd w:val="clear" w:color="auto" w:fill="E7F3F4"/>
            <w:noWrap/>
            <w:vAlign w:val="center"/>
            <w:hideMark/>
          </w:tcPr>
          <w:p w14:paraId="62A5AC9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-0.022</w:t>
            </w:r>
          </w:p>
        </w:tc>
        <w:tc>
          <w:tcPr>
            <w:tcW w:w="1068" w:type="dxa"/>
            <w:tcBorders>
              <w:top w:val="single" w:sz="4" w:space="0" w:color="auto"/>
            </w:tcBorders>
            <w:shd w:val="clear" w:color="auto" w:fill="E7F3F4"/>
            <w:noWrap/>
            <w:vAlign w:val="center"/>
          </w:tcPr>
          <w:p w14:paraId="08DA643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F72E3F9" w14:textId="77777777" w:rsidTr="00867E8C">
        <w:trPr>
          <w:cantSplit/>
          <w:trHeight w:val="312"/>
          <w:jc w:val="center"/>
        </w:trPr>
        <w:tc>
          <w:tcPr>
            <w:tcW w:w="2028" w:type="dxa"/>
            <w:vMerge/>
            <w:shd w:val="clear" w:color="auto" w:fill="E7F3F4"/>
            <w:noWrap/>
            <w:vAlign w:val="center"/>
          </w:tcPr>
          <w:p w14:paraId="56F5006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bottom w:val="single" w:sz="4" w:space="0" w:color="auto"/>
            </w:tcBorders>
            <w:shd w:val="clear" w:color="auto" w:fill="E7F3F4"/>
            <w:noWrap/>
            <w:vAlign w:val="center"/>
          </w:tcPr>
          <w:p w14:paraId="101CA0A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354C9DA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WH1</w:t>
            </w:r>
          </w:p>
        </w:tc>
        <w:tc>
          <w:tcPr>
            <w:tcW w:w="1078" w:type="dxa"/>
            <w:tcBorders>
              <w:bottom w:val="single" w:sz="4" w:space="0" w:color="auto"/>
            </w:tcBorders>
            <w:shd w:val="clear" w:color="auto" w:fill="E7F3F4"/>
            <w:vAlign w:val="center"/>
          </w:tcPr>
          <w:p w14:paraId="57481DB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2002</w:t>
            </w:r>
          </w:p>
        </w:tc>
        <w:tc>
          <w:tcPr>
            <w:tcW w:w="1068" w:type="dxa"/>
            <w:tcBorders>
              <w:bottom w:val="single" w:sz="4" w:space="0" w:color="auto"/>
            </w:tcBorders>
            <w:shd w:val="clear" w:color="auto" w:fill="E7F3F4"/>
            <w:vAlign w:val="center"/>
          </w:tcPr>
          <w:p w14:paraId="04A851A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bottom w:val="single" w:sz="4" w:space="0" w:color="auto"/>
            </w:tcBorders>
            <w:shd w:val="clear" w:color="auto" w:fill="E7F3F4"/>
            <w:vAlign w:val="center"/>
          </w:tcPr>
          <w:p w14:paraId="4851C75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36</w:t>
            </w:r>
          </w:p>
        </w:tc>
        <w:tc>
          <w:tcPr>
            <w:tcW w:w="1078" w:type="dxa"/>
            <w:tcBorders>
              <w:bottom w:val="single" w:sz="4" w:space="0" w:color="auto"/>
            </w:tcBorders>
            <w:shd w:val="clear" w:color="auto" w:fill="E7F3F4"/>
            <w:noWrap/>
            <w:vAlign w:val="center"/>
            <w:hideMark/>
          </w:tcPr>
          <w:p w14:paraId="0459339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0.006</w:t>
            </w:r>
          </w:p>
        </w:tc>
        <w:tc>
          <w:tcPr>
            <w:tcW w:w="1076" w:type="dxa"/>
            <w:tcBorders>
              <w:bottom w:val="single" w:sz="4" w:space="0" w:color="auto"/>
            </w:tcBorders>
            <w:shd w:val="clear" w:color="auto" w:fill="E7F3F4"/>
            <w:noWrap/>
            <w:vAlign w:val="center"/>
            <w:hideMark/>
          </w:tcPr>
          <w:p w14:paraId="6D1DF42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0.967</w:t>
            </w:r>
          </w:p>
        </w:tc>
        <w:tc>
          <w:tcPr>
            <w:tcW w:w="2475" w:type="dxa"/>
            <w:tcBorders>
              <w:bottom w:val="single" w:sz="4" w:space="0" w:color="auto"/>
            </w:tcBorders>
            <w:shd w:val="clear" w:color="auto" w:fill="E7F3F4"/>
            <w:noWrap/>
            <w:vAlign w:val="center"/>
            <w:hideMark/>
          </w:tcPr>
          <w:p w14:paraId="312CB8D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0.003</w:t>
            </w:r>
          </w:p>
        </w:tc>
        <w:tc>
          <w:tcPr>
            <w:tcW w:w="1068" w:type="dxa"/>
            <w:tcBorders>
              <w:bottom w:val="single" w:sz="4" w:space="0" w:color="auto"/>
            </w:tcBorders>
            <w:shd w:val="clear" w:color="auto" w:fill="E7F3F4"/>
            <w:noWrap/>
            <w:vAlign w:val="center"/>
          </w:tcPr>
          <w:p w14:paraId="1BBBD1F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F336C1D" w14:textId="77777777" w:rsidTr="00867E8C">
        <w:trPr>
          <w:cantSplit/>
          <w:trHeight w:val="312"/>
          <w:jc w:val="center"/>
        </w:trPr>
        <w:tc>
          <w:tcPr>
            <w:tcW w:w="2028" w:type="dxa"/>
            <w:vMerge/>
            <w:shd w:val="clear" w:color="auto" w:fill="E7F3F4"/>
            <w:noWrap/>
            <w:vAlign w:val="center"/>
          </w:tcPr>
          <w:p w14:paraId="45A088D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tcBorders>
            <w:shd w:val="clear" w:color="auto" w:fill="E7F3F4"/>
            <w:noWrap/>
            <w:vAlign w:val="center"/>
            <w:hideMark/>
          </w:tcPr>
          <w:p w14:paraId="3AAF9C7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reef intertidal</w:t>
            </w:r>
          </w:p>
        </w:tc>
        <w:tc>
          <w:tcPr>
            <w:tcW w:w="720" w:type="dxa"/>
            <w:tcBorders>
              <w:top w:val="single" w:sz="4" w:space="0" w:color="auto"/>
            </w:tcBorders>
            <w:shd w:val="clear" w:color="auto" w:fill="E7F3F4"/>
            <w:noWrap/>
            <w:vAlign w:val="center"/>
            <w:hideMark/>
          </w:tcPr>
          <w:p w14:paraId="7E11753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GK1</w:t>
            </w:r>
          </w:p>
        </w:tc>
        <w:tc>
          <w:tcPr>
            <w:tcW w:w="1078" w:type="dxa"/>
            <w:tcBorders>
              <w:top w:val="single" w:sz="4" w:space="0" w:color="auto"/>
            </w:tcBorders>
            <w:shd w:val="clear" w:color="auto" w:fill="E7F3F4"/>
            <w:vAlign w:val="center"/>
          </w:tcPr>
          <w:p w14:paraId="7EC99FF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top w:val="single" w:sz="4" w:space="0" w:color="auto"/>
            </w:tcBorders>
            <w:shd w:val="clear" w:color="auto" w:fill="E7F3F4"/>
            <w:vAlign w:val="center"/>
          </w:tcPr>
          <w:p w14:paraId="180B4F9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E7F3F4"/>
            <w:vAlign w:val="center"/>
          </w:tcPr>
          <w:p w14:paraId="04F9A4A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21</w:t>
            </w:r>
          </w:p>
        </w:tc>
        <w:tc>
          <w:tcPr>
            <w:tcW w:w="1078" w:type="dxa"/>
            <w:tcBorders>
              <w:top w:val="single" w:sz="4" w:space="0" w:color="auto"/>
            </w:tcBorders>
            <w:shd w:val="clear" w:color="auto" w:fill="E7F3F4"/>
            <w:noWrap/>
            <w:vAlign w:val="center"/>
            <w:hideMark/>
          </w:tcPr>
          <w:p w14:paraId="782F89F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-0.377</w:t>
            </w:r>
          </w:p>
        </w:tc>
        <w:tc>
          <w:tcPr>
            <w:tcW w:w="1076" w:type="dxa"/>
            <w:tcBorders>
              <w:top w:val="single" w:sz="4" w:space="0" w:color="auto"/>
            </w:tcBorders>
            <w:shd w:val="clear" w:color="auto" w:fill="E7F3F4"/>
            <w:noWrap/>
            <w:vAlign w:val="center"/>
            <w:hideMark/>
          </w:tcPr>
          <w:p w14:paraId="52CCB20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0.018</w:t>
            </w:r>
          </w:p>
        </w:tc>
        <w:tc>
          <w:tcPr>
            <w:tcW w:w="2475" w:type="dxa"/>
            <w:tcBorders>
              <w:top w:val="single" w:sz="4" w:space="0" w:color="auto"/>
            </w:tcBorders>
            <w:shd w:val="clear" w:color="auto" w:fill="E7F3F4"/>
            <w:noWrap/>
            <w:vAlign w:val="center"/>
            <w:hideMark/>
          </w:tcPr>
          <w:p w14:paraId="11D5B22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-0.108</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(-0.219 to -0.031)</w:t>
            </w:r>
          </w:p>
        </w:tc>
        <w:tc>
          <w:tcPr>
            <w:tcW w:w="1068" w:type="dxa"/>
            <w:tcBorders>
              <w:top w:val="single" w:sz="4" w:space="0" w:color="auto"/>
            </w:tcBorders>
            <w:shd w:val="clear" w:color="auto" w:fill="E7F3F4"/>
            <w:noWrap/>
            <w:vAlign w:val="center"/>
          </w:tcPr>
          <w:p w14:paraId="4E2010D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decrease</w:t>
            </w:r>
          </w:p>
        </w:tc>
      </w:tr>
      <w:tr w:rsidR="00017050" w:rsidRPr="00867E8C" w14:paraId="2CBFCE1D" w14:textId="77777777" w:rsidTr="00867E8C">
        <w:trPr>
          <w:cantSplit/>
          <w:trHeight w:val="312"/>
          <w:jc w:val="center"/>
        </w:trPr>
        <w:tc>
          <w:tcPr>
            <w:tcW w:w="2028" w:type="dxa"/>
            <w:vMerge/>
            <w:shd w:val="clear" w:color="auto" w:fill="E7F3F4"/>
            <w:noWrap/>
            <w:vAlign w:val="center"/>
          </w:tcPr>
          <w:p w14:paraId="32C7641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bottom w:val="single" w:sz="4" w:space="0" w:color="auto"/>
            </w:tcBorders>
            <w:shd w:val="clear" w:color="auto" w:fill="E7F3F4"/>
            <w:noWrap/>
            <w:vAlign w:val="center"/>
            <w:hideMark/>
          </w:tcPr>
          <w:p w14:paraId="26585C4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E7F3F4"/>
            <w:noWrap/>
            <w:vAlign w:val="center"/>
            <w:hideMark/>
          </w:tcPr>
          <w:p w14:paraId="26D86B3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GK2</w:t>
            </w:r>
          </w:p>
        </w:tc>
        <w:tc>
          <w:tcPr>
            <w:tcW w:w="1078" w:type="dxa"/>
            <w:tcBorders>
              <w:bottom w:val="single" w:sz="4" w:space="0" w:color="auto"/>
            </w:tcBorders>
            <w:shd w:val="clear" w:color="auto" w:fill="E7F3F4"/>
            <w:vAlign w:val="center"/>
          </w:tcPr>
          <w:p w14:paraId="579677B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bottom w:val="single" w:sz="4" w:space="0" w:color="auto"/>
            </w:tcBorders>
            <w:shd w:val="clear" w:color="auto" w:fill="E7F3F4"/>
            <w:vAlign w:val="center"/>
          </w:tcPr>
          <w:p w14:paraId="427AC98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E7F3F4"/>
            <w:vAlign w:val="center"/>
          </w:tcPr>
          <w:p w14:paraId="7B91D5B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21</w:t>
            </w:r>
          </w:p>
        </w:tc>
        <w:tc>
          <w:tcPr>
            <w:tcW w:w="1078" w:type="dxa"/>
            <w:tcBorders>
              <w:bottom w:val="single" w:sz="4" w:space="0" w:color="auto"/>
            </w:tcBorders>
            <w:shd w:val="clear" w:color="auto" w:fill="E7F3F4"/>
            <w:noWrap/>
            <w:vAlign w:val="center"/>
            <w:hideMark/>
          </w:tcPr>
          <w:p w14:paraId="24BFFA7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-0.038</w:t>
            </w:r>
          </w:p>
        </w:tc>
        <w:tc>
          <w:tcPr>
            <w:tcW w:w="1076" w:type="dxa"/>
            <w:tcBorders>
              <w:bottom w:val="single" w:sz="4" w:space="0" w:color="auto"/>
            </w:tcBorders>
            <w:shd w:val="clear" w:color="auto" w:fill="E7F3F4"/>
            <w:noWrap/>
            <w:vAlign w:val="center"/>
            <w:hideMark/>
          </w:tcPr>
          <w:p w14:paraId="73F850D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0.833</w:t>
            </w:r>
          </w:p>
        </w:tc>
        <w:tc>
          <w:tcPr>
            <w:tcW w:w="2475" w:type="dxa"/>
            <w:tcBorders>
              <w:bottom w:val="single" w:sz="4" w:space="0" w:color="auto"/>
            </w:tcBorders>
            <w:shd w:val="clear" w:color="auto" w:fill="E7F3F4"/>
            <w:noWrap/>
            <w:vAlign w:val="center"/>
            <w:hideMark/>
          </w:tcPr>
          <w:p w14:paraId="1841348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-0.009</w:t>
            </w:r>
          </w:p>
        </w:tc>
        <w:tc>
          <w:tcPr>
            <w:tcW w:w="1068" w:type="dxa"/>
            <w:tcBorders>
              <w:bottom w:val="single" w:sz="4" w:space="0" w:color="auto"/>
            </w:tcBorders>
            <w:shd w:val="clear" w:color="auto" w:fill="E7F3F4"/>
            <w:noWrap/>
            <w:vAlign w:val="center"/>
          </w:tcPr>
          <w:p w14:paraId="1887CC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1EF7C7AD" w14:textId="77777777" w:rsidTr="00867E8C">
        <w:trPr>
          <w:cantSplit/>
          <w:trHeight w:val="312"/>
          <w:jc w:val="center"/>
        </w:trPr>
        <w:tc>
          <w:tcPr>
            <w:tcW w:w="2028" w:type="dxa"/>
            <w:vMerge/>
            <w:tcBorders>
              <w:bottom w:val="single" w:sz="4" w:space="0" w:color="auto"/>
            </w:tcBorders>
            <w:shd w:val="clear" w:color="auto" w:fill="E7F3F4"/>
            <w:noWrap/>
            <w:vAlign w:val="center"/>
          </w:tcPr>
          <w:p w14:paraId="5552F6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6AC8FB5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3B5E8E4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3584D54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2002</w:t>
            </w:r>
          </w:p>
        </w:tc>
        <w:tc>
          <w:tcPr>
            <w:tcW w:w="1068" w:type="dxa"/>
            <w:tcBorders>
              <w:top w:val="single" w:sz="4" w:space="0" w:color="auto"/>
              <w:bottom w:val="single" w:sz="4" w:space="0" w:color="auto"/>
            </w:tcBorders>
            <w:shd w:val="clear" w:color="auto" w:fill="D9D9D9" w:themeFill="background1" w:themeFillShade="D9"/>
            <w:vAlign w:val="center"/>
          </w:tcPr>
          <w:p w14:paraId="43F76B1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2018</w:t>
            </w:r>
          </w:p>
        </w:tc>
        <w:tc>
          <w:tcPr>
            <w:tcW w:w="519" w:type="dxa"/>
            <w:tcBorders>
              <w:top w:val="single" w:sz="4" w:space="0" w:color="auto"/>
              <w:bottom w:val="single" w:sz="4" w:space="0" w:color="auto"/>
            </w:tcBorders>
            <w:shd w:val="clear" w:color="auto" w:fill="D9D9D9" w:themeFill="background1" w:themeFillShade="D9"/>
            <w:vAlign w:val="center"/>
          </w:tcPr>
          <w:p w14:paraId="05D56C0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47</w:t>
            </w:r>
          </w:p>
        </w:tc>
        <w:tc>
          <w:tcPr>
            <w:tcW w:w="1078" w:type="dxa"/>
            <w:tcBorders>
              <w:top w:val="single" w:sz="4" w:space="0" w:color="auto"/>
              <w:bottom w:val="single" w:sz="4" w:space="0" w:color="auto"/>
            </w:tcBorders>
            <w:shd w:val="clear" w:color="auto" w:fill="D9D9D9" w:themeFill="background1" w:themeFillShade="D9"/>
            <w:noWrap/>
            <w:vAlign w:val="center"/>
          </w:tcPr>
          <w:p w14:paraId="679E850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-0.300</w:t>
            </w:r>
          </w:p>
        </w:tc>
        <w:tc>
          <w:tcPr>
            <w:tcW w:w="1076" w:type="dxa"/>
            <w:tcBorders>
              <w:top w:val="single" w:sz="4" w:space="0" w:color="auto"/>
              <w:bottom w:val="single" w:sz="4" w:space="0" w:color="auto"/>
            </w:tcBorders>
            <w:shd w:val="clear" w:color="auto" w:fill="D9D9D9" w:themeFill="background1" w:themeFillShade="D9"/>
            <w:noWrap/>
            <w:vAlign w:val="center"/>
          </w:tcPr>
          <w:p w14:paraId="476390F3"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0.003</w:t>
            </w:r>
          </w:p>
        </w:tc>
        <w:tc>
          <w:tcPr>
            <w:tcW w:w="2475" w:type="dxa"/>
            <w:tcBorders>
              <w:top w:val="single" w:sz="4" w:space="0" w:color="auto"/>
              <w:bottom w:val="single" w:sz="4" w:space="0" w:color="auto"/>
            </w:tcBorders>
            <w:shd w:val="clear" w:color="auto" w:fill="D9D9D9" w:themeFill="background1" w:themeFillShade="D9"/>
            <w:noWrap/>
            <w:vAlign w:val="center"/>
          </w:tcPr>
          <w:p w14:paraId="51BCA7D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b/>
                <w:color w:val="000000"/>
                <w:sz w:val="20"/>
                <w:szCs w:val="20"/>
              </w:rPr>
              <w:t>-0.183</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 -0.306 to -0.078)</w:t>
            </w:r>
          </w:p>
        </w:tc>
        <w:tc>
          <w:tcPr>
            <w:tcW w:w="1068" w:type="dxa"/>
            <w:tcBorders>
              <w:top w:val="single" w:sz="4" w:space="0" w:color="auto"/>
              <w:bottom w:val="single" w:sz="4" w:space="0" w:color="auto"/>
            </w:tcBorders>
            <w:shd w:val="clear" w:color="auto" w:fill="D9D9D9" w:themeFill="background1" w:themeFillShade="D9"/>
            <w:noWrap/>
            <w:vAlign w:val="center"/>
          </w:tcPr>
          <w:p w14:paraId="4D7F128F"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0D6D8EA4" w14:textId="77777777" w:rsidTr="00867E8C">
        <w:trPr>
          <w:cantSplit/>
          <w:trHeight w:val="312"/>
          <w:jc w:val="center"/>
        </w:trPr>
        <w:tc>
          <w:tcPr>
            <w:tcW w:w="2028" w:type="dxa"/>
            <w:vMerge w:val="restart"/>
            <w:tcBorders>
              <w:top w:val="single" w:sz="4" w:space="0" w:color="auto"/>
            </w:tcBorders>
            <w:shd w:val="clear" w:color="auto" w:fill="F3F9FA"/>
            <w:noWrap/>
            <w:vAlign w:val="center"/>
            <w:hideMark/>
          </w:tcPr>
          <w:p w14:paraId="22B3F584" w14:textId="252808D8" w:rsidR="00017050" w:rsidRPr="00867E8C" w:rsidRDefault="00B72AC4" w:rsidP="00B8623B">
            <w:pPr>
              <w:spacing w:before="0" w:after="0"/>
              <w:contextualSpacing/>
              <w:jc w:val="center"/>
              <w:rPr>
                <w:rFonts w:asciiTheme="minorHAnsi" w:hAnsiTheme="minorHAnsi" w:cstheme="minorHAnsi"/>
                <w:color w:val="000000"/>
                <w:sz w:val="20"/>
                <w:szCs w:val="20"/>
              </w:rPr>
            </w:pPr>
            <w:r>
              <w:rPr>
                <w:rFonts w:asciiTheme="minorHAnsi" w:hAnsiTheme="minorHAnsi" w:cstheme="minorHAnsi"/>
                <w:color w:val="000000"/>
                <w:sz w:val="20"/>
                <w:szCs w:val="20"/>
              </w:rPr>
              <w:t>Burnett–Mary</w:t>
            </w:r>
          </w:p>
        </w:tc>
        <w:tc>
          <w:tcPr>
            <w:tcW w:w="1874" w:type="dxa"/>
            <w:vMerge w:val="restart"/>
            <w:tcBorders>
              <w:top w:val="single" w:sz="4" w:space="0" w:color="auto"/>
            </w:tcBorders>
            <w:shd w:val="clear" w:color="auto" w:fill="F3F9FA"/>
            <w:noWrap/>
            <w:vAlign w:val="center"/>
            <w:hideMark/>
          </w:tcPr>
          <w:p w14:paraId="6CDE8F3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estuarine intertidal</w:t>
            </w:r>
          </w:p>
        </w:tc>
        <w:tc>
          <w:tcPr>
            <w:tcW w:w="720" w:type="dxa"/>
            <w:tcBorders>
              <w:top w:val="single" w:sz="4" w:space="0" w:color="auto"/>
            </w:tcBorders>
            <w:shd w:val="clear" w:color="auto" w:fill="F3F9FA"/>
            <w:noWrap/>
            <w:vAlign w:val="center"/>
            <w:hideMark/>
          </w:tcPr>
          <w:p w14:paraId="3129D92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RD1</w:t>
            </w:r>
          </w:p>
        </w:tc>
        <w:tc>
          <w:tcPr>
            <w:tcW w:w="1078" w:type="dxa"/>
            <w:tcBorders>
              <w:top w:val="single" w:sz="4" w:space="0" w:color="auto"/>
            </w:tcBorders>
            <w:shd w:val="clear" w:color="auto" w:fill="F3F9FA"/>
            <w:vAlign w:val="center"/>
          </w:tcPr>
          <w:p w14:paraId="2D7D47E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tcBorders>
              <w:top w:val="single" w:sz="4" w:space="0" w:color="auto"/>
            </w:tcBorders>
            <w:shd w:val="clear" w:color="auto" w:fill="F3F9FA"/>
            <w:vAlign w:val="center"/>
          </w:tcPr>
          <w:p w14:paraId="3A3B1C8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08C1BA0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30</w:t>
            </w:r>
          </w:p>
        </w:tc>
        <w:tc>
          <w:tcPr>
            <w:tcW w:w="1078" w:type="dxa"/>
            <w:tcBorders>
              <w:top w:val="single" w:sz="4" w:space="0" w:color="auto"/>
            </w:tcBorders>
            <w:shd w:val="clear" w:color="auto" w:fill="F3F9FA"/>
            <w:noWrap/>
            <w:vAlign w:val="center"/>
            <w:hideMark/>
          </w:tcPr>
          <w:p w14:paraId="0B09D89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0.049</w:t>
            </w:r>
          </w:p>
        </w:tc>
        <w:tc>
          <w:tcPr>
            <w:tcW w:w="1076" w:type="dxa"/>
            <w:tcBorders>
              <w:top w:val="single" w:sz="4" w:space="0" w:color="auto"/>
            </w:tcBorders>
            <w:shd w:val="clear" w:color="auto" w:fill="F3F9FA"/>
            <w:noWrap/>
            <w:vAlign w:val="center"/>
            <w:hideMark/>
          </w:tcPr>
          <w:p w14:paraId="13C5CD2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0.721</w:t>
            </w:r>
          </w:p>
        </w:tc>
        <w:tc>
          <w:tcPr>
            <w:tcW w:w="2475" w:type="dxa"/>
            <w:tcBorders>
              <w:top w:val="single" w:sz="4" w:space="0" w:color="auto"/>
            </w:tcBorders>
            <w:shd w:val="clear" w:color="auto" w:fill="F3F9FA"/>
            <w:noWrap/>
            <w:vAlign w:val="center"/>
            <w:hideMark/>
          </w:tcPr>
          <w:p w14:paraId="265B230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0.002</w:t>
            </w:r>
          </w:p>
        </w:tc>
        <w:tc>
          <w:tcPr>
            <w:tcW w:w="1068" w:type="dxa"/>
            <w:tcBorders>
              <w:top w:val="single" w:sz="4" w:space="0" w:color="auto"/>
            </w:tcBorders>
            <w:shd w:val="clear" w:color="auto" w:fill="F3F9FA"/>
            <w:noWrap/>
            <w:vAlign w:val="center"/>
          </w:tcPr>
          <w:p w14:paraId="115BE50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3FD529B7" w14:textId="77777777" w:rsidTr="00867E8C">
        <w:trPr>
          <w:cantSplit/>
          <w:trHeight w:val="312"/>
          <w:jc w:val="center"/>
        </w:trPr>
        <w:tc>
          <w:tcPr>
            <w:tcW w:w="2028" w:type="dxa"/>
            <w:vMerge/>
            <w:shd w:val="clear" w:color="auto" w:fill="F3F9FA"/>
            <w:noWrap/>
            <w:vAlign w:val="center"/>
          </w:tcPr>
          <w:p w14:paraId="3F05E84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60AD605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shd w:val="clear" w:color="auto" w:fill="F3F9FA"/>
            <w:noWrap/>
            <w:vAlign w:val="center"/>
            <w:hideMark/>
          </w:tcPr>
          <w:p w14:paraId="76567E7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RD2</w:t>
            </w:r>
          </w:p>
        </w:tc>
        <w:tc>
          <w:tcPr>
            <w:tcW w:w="1078" w:type="dxa"/>
            <w:shd w:val="clear" w:color="auto" w:fill="F3F9FA"/>
            <w:vAlign w:val="center"/>
          </w:tcPr>
          <w:p w14:paraId="6F3E7B4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2007</w:t>
            </w:r>
          </w:p>
        </w:tc>
        <w:tc>
          <w:tcPr>
            <w:tcW w:w="1068" w:type="dxa"/>
            <w:shd w:val="clear" w:color="auto" w:fill="F3F9FA"/>
            <w:vAlign w:val="center"/>
          </w:tcPr>
          <w:p w14:paraId="4B0C9AA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519" w:type="dxa"/>
            <w:shd w:val="clear" w:color="auto" w:fill="F3F9FA"/>
            <w:vAlign w:val="center"/>
          </w:tcPr>
          <w:p w14:paraId="3D94D6C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28</w:t>
            </w:r>
          </w:p>
        </w:tc>
        <w:tc>
          <w:tcPr>
            <w:tcW w:w="1078" w:type="dxa"/>
            <w:shd w:val="clear" w:color="auto" w:fill="F3F9FA"/>
            <w:noWrap/>
            <w:vAlign w:val="center"/>
            <w:hideMark/>
          </w:tcPr>
          <w:p w14:paraId="11FF4970"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-0.409</w:t>
            </w:r>
          </w:p>
        </w:tc>
        <w:tc>
          <w:tcPr>
            <w:tcW w:w="1076" w:type="dxa"/>
            <w:shd w:val="clear" w:color="auto" w:fill="F3F9FA"/>
            <w:noWrap/>
            <w:vAlign w:val="center"/>
            <w:hideMark/>
          </w:tcPr>
          <w:p w14:paraId="09B0FE52"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0.003</w:t>
            </w:r>
          </w:p>
        </w:tc>
        <w:tc>
          <w:tcPr>
            <w:tcW w:w="2475" w:type="dxa"/>
            <w:shd w:val="clear" w:color="auto" w:fill="F3F9FA"/>
            <w:noWrap/>
            <w:vAlign w:val="center"/>
            <w:hideMark/>
          </w:tcPr>
          <w:p w14:paraId="66193ED8"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bCs/>
                <w:color w:val="000000"/>
                <w:sz w:val="20"/>
                <w:szCs w:val="20"/>
              </w:rPr>
              <w:t>-0.009</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(-0.096 to -0.001)</w:t>
            </w:r>
          </w:p>
        </w:tc>
        <w:tc>
          <w:tcPr>
            <w:tcW w:w="1068" w:type="dxa"/>
            <w:shd w:val="clear" w:color="auto" w:fill="F3F9FA"/>
            <w:noWrap/>
            <w:vAlign w:val="center"/>
            <w:hideMark/>
          </w:tcPr>
          <w:p w14:paraId="718CC10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decrease</w:t>
            </w:r>
          </w:p>
        </w:tc>
      </w:tr>
      <w:tr w:rsidR="00017050" w:rsidRPr="00867E8C" w14:paraId="1AD8345E" w14:textId="77777777" w:rsidTr="00867E8C">
        <w:trPr>
          <w:cantSplit/>
          <w:trHeight w:val="312"/>
          <w:jc w:val="center"/>
        </w:trPr>
        <w:tc>
          <w:tcPr>
            <w:tcW w:w="2028" w:type="dxa"/>
            <w:vMerge/>
            <w:shd w:val="clear" w:color="auto" w:fill="F3F9FA"/>
            <w:noWrap/>
            <w:vAlign w:val="center"/>
          </w:tcPr>
          <w:p w14:paraId="6FAE301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0878B230"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tcPr>
          <w:p w14:paraId="19589369" w14:textId="77777777" w:rsidR="00017050" w:rsidRPr="00867E8C" w:rsidRDefault="00017050" w:rsidP="00B8623B">
            <w:pPr>
              <w:spacing w:before="0" w:after="0"/>
              <w:contextualSpacing/>
              <w:jc w:val="center"/>
              <w:rPr>
                <w:rFonts w:asciiTheme="minorHAnsi" w:hAnsiTheme="minorHAnsi" w:cstheme="minorHAnsi"/>
                <w:bCs/>
                <w:color w:val="000000"/>
                <w:sz w:val="20"/>
                <w:szCs w:val="20"/>
              </w:rPr>
            </w:pPr>
            <w:r w:rsidRPr="00867E8C">
              <w:rPr>
                <w:rFonts w:asciiTheme="minorHAnsi" w:hAnsiTheme="minorHAnsi" w:cstheme="minorHAnsi"/>
                <w:bCs/>
                <w:color w:val="000000"/>
                <w:sz w:val="20"/>
                <w:szCs w:val="20"/>
              </w:rPr>
              <w:t>RD3</w:t>
            </w:r>
          </w:p>
        </w:tc>
        <w:tc>
          <w:tcPr>
            <w:tcW w:w="1078" w:type="dxa"/>
            <w:tcBorders>
              <w:bottom w:val="single" w:sz="4" w:space="0" w:color="auto"/>
            </w:tcBorders>
            <w:shd w:val="clear" w:color="auto" w:fill="F3F9FA"/>
            <w:vAlign w:val="center"/>
          </w:tcPr>
          <w:p w14:paraId="761BF0E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2017</w:t>
            </w:r>
          </w:p>
        </w:tc>
        <w:tc>
          <w:tcPr>
            <w:tcW w:w="1068" w:type="dxa"/>
            <w:tcBorders>
              <w:bottom w:val="single" w:sz="4" w:space="0" w:color="auto"/>
            </w:tcBorders>
            <w:shd w:val="clear" w:color="auto" w:fill="F3F9FA"/>
            <w:vAlign w:val="center"/>
          </w:tcPr>
          <w:p w14:paraId="28F6560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0D4FA26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4</w:t>
            </w:r>
          </w:p>
        </w:tc>
        <w:tc>
          <w:tcPr>
            <w:tcW w:w="1078" w:type="dxa"/>
            <w:tcBorders>
              <w:bottom w:val="single" w:sz="4" w:space="0" w:color="auto"/>
            </w:tcBorders>
            <w:shd w:val="clear" w:color="auto" w:fill="F3F9FA"/>
            <w:noWrap/>
            <w:vAlign w:val="center"/>
          </w:tcPr>
          <w:p w14:paraId="43167BB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-0.333</w:t>
            </w:r>
          </w:p>
        </w:tc>
        <w:tc>
          <w:tcPr>
            <w:tcW w:w="1076" w:type="dxa"/>
            <w:tcBorders>
              <w:bottom w:val="single" w:sz="4" w:space="0" w:color="auto"/>
            </w:tcBorders>
            <w:shd w:val="clear" w:color="auto" w:fill="F3F9FA"/>
            <w:noWrap/>
            <w:vAlign w:val="center"/>
          </w:tcPr>
          <w:p w14:paraId="509633E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0.734</w:t>
            </w:r>
          </w:p>
        </w:tc>
        <w:tc>
          <w:tcPr>
            <w:tcW w:w="2475" w:type="dxa"/>
            <w:tcBorders>
              <w:bottom w:val="single" w:sz="4" w:space="0" w:color="auto"/>
            </w:tcBorders>
            <w:shd w:val="clear" w:color="auto" w:fill="F3F9FA"/>
            <w:noWrap/>
            <w:vAlign w:val="center"/>
          </w:tcPr>
          <w:p w14:paraId="2D52769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-0.936</w:t>
            </w:r>
          </w:p>
        </w:tc>
        <w:tc>
          <w:tcPr>
            <w:tcW w:w="1068" w:type="dxa"/>
            <w:tcBorders>
              <w:bottom w:val="single" w:sz="4" w:space="0" w:color="auto"/>
            </w:tcBorders>
            <w:shd w:val="clear" w:color="auto" w:fill="F3F9FA"/>
            <w:noWrap/>
            <w:vAlign w:val="center"/>
          </w:tcPr>
          <w:p w14:paraId="4F9B7B5B"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r w:rsidR="00017050" w:rsidRPr="00867E8C" w14:paraId="1D8C00C7" w14:textId="77777777" w:rsidTr="00867E8C">
        <w:trPr>
          <w:cantSplit/>
          <w:trHeight w:val="312"/>
          <w:jc w:val="center"/>
        </w:trPr>
        <w:tc>
          <w:tcPr>
            <w:tcW w:w="2028" w:type="dxa"/>
            <w:vMerge/>
            <w:shd w:val="clear" w:color="auto" w:fill="F3F9FA"/>
            <w:noWrap/>
            <w:vAlign w:val="center"/>
          </w:tcPr>
          <w:p w14:paraId="735DB99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shd w:val="clear" w:color="auto" w:fill="F3F9FA"/>
            <w:noWrap/>
            <w:vAlign w:val="center"/>
          </w:tcPr>
          <w:p w14:paraId="6DA6901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top w:val="single" w:sz="4" w:space="0" w:color="auto"/>
            </w:tcBorders>
            <w:shd w:val="clear" w:color="auto" w:fill="F3F9FA"/>
            <w:noWrap/>
            <w:vAlign w:val="center"/>
            <w:hideMark/>
          </w:tcPr>
          <w:p w14:paraId="29F32E2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UG1</w:t>
            </w:r>
          </w:p>
        </w:tc>
        <w:tc>
          <w:tcPr>
            <w:tcW w:w="1078" w:type="dxa"/>
            <w:tcBorders>
              <w:top w:val="single" w:sz="4" w:space="0" w:color="auto"/>
            </w:tcBorders>
            <w:shd w:val="clear" w:color="auto" w:fill="F3F9FA"/>
            <w:vAlign w:val="center"/>
          </w:tcPr>
          <w:p w14:paraId="713E7FF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1998</w:t>
            </w:r>
          </w:p>
        </w:tc>
        <w:tc>
          <w:tcPr>
            <w:tcW w:w="1068" w:type="dxa"/>
            <w:tcBorders>
              <w:top w:val="single" w:sz="4" w:space="0" w:color="auto"/>
            </w:tcBorders>
            <w:shd w:val="clear" w:color="auto" w:fill="F3F9FA"/>
            <w:vAlign w:val="center"/>
          </w:tcPr>
          <w:p w14:paraId="05C0BD05"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4E200D9B"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61</w:t>
            </w:r>
          </w:p>
        </w:tc>
        <w:tc>
          <w:tcPr>
            <w:tcW w:w="1078" w:type="dxa"/>
            <w:tcBorders>
              <w:top w:val="single" w:sz="4" w:space="0" w:color="auto"/>
            </w:tcBorders>
            <w:shd w:val="clear" w:color="auto" w:fill="F3F9FA"/>
            <w:noWrap/>
            <w:vAlign w:val="center"/>
            <w:hideMark/>
          </w:tcPr>
          <w:p w14:paraId="3EB6D44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0.153</w:t>
            </w:r>
          </w:p>
        </w:tc>
        <w:tc>
          <w:tcPr>
            <w:tcW w:w="1076" w:type="dxa"/>
            <w:tcBorders>
              <w:top w:val="single" w:sz="4" w:space="0" w:color="auto"/>
            </w:tcBorders>
            <w:shd w:val="clear" w:color="auto" w:fill="F3F9FA"/>
            <w:noWrap/>
            <w:vAlign w:val="center"/>
            <w:hideMark/>
          </w:tcPr>
          <w:p w14:paraId="06FA103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0.086</w:t>
            </w:r>
          </w:p>
        </w:tc>
        <w:tc>
          <w:tcPr>
            <w:tcW w:w="2475" w:type="dxa"/>
            <w:tcBorders>
              <w:top w:val="single" w:sz="4" w:space="0" w:color="auto"/>
            </w:tcBorders>
            <w:shd w:val="clear" w:color="auto" w:fill="F3F9FA"/>
            <w:noWrap/>
            <w:vAlign w:val="center"/>
            <w:hideMark/>
          </w:tcPr>
          <w:p w14:paraId="424BF95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0.013</w:t>
            </w:r>
          </w:p>
        </w:tc>
        <w:tc>
          <w:tcPr>
            <w:tcW w:w="1068" w:type="dxa"/>
            <w:tcBorders>
              <w:top w:val="single" w:sz="4" w:space="0" w:color="auto"/>
            </w:tcBorders>
            <w:shd w:val="clear" w:color="auto" w:fill="F3F9FA"/>
            <w:noWrap/>
            <w:vAlign w:val="center"/>
            <w:hideMark/>
          </w:tcPr>
          <w:p w14:paraId="77A8B09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6AA6E572" w14:textId="77777777" w:rsidTr="00867E8C">
        <w:trPr>
          <w:cantSplit/>
          <w:trHeight w:val="312"/>
          <w:jc w:val="center"/>
        </w:trPr>
        <w:tc>
          <w:tcPr>
            <w:tcW w:w="2028" w:type="dxa"/>
            <w:vMerge/>
            <w:shd w:val="clear" w:color="auto" w:fill="F3F9FA"/>
            <w:noWrap/>
            <w:vAlign w:val="center"/>
          </w:tcPr>
          <w:p w14:paraId="1F069D7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vMerge/>
            <w:tcBorders>
              <w:bottom w:val="single" w:sz="4" w:space="0" w:color="auto"/>
            </w:tcBorders>
            <w:shd w:val="clear" w:color="auto" w:fill="F3F9FA"/>
            <w:noWrap/>
            <w:vAlign w:val="center"/>
          </w:tcPr>
          <w:p w14:paraId="5BD2FF5F"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489BBB00"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UG2</w:t>
            </w:r>
          </w:p>
        </w:tc>
        <w:tc>
          <w:tcPr>
            <w:tcW w:w="1078" w:type="dxa"/>
            <w:tcBorders>
              <w:bottom w:val="single" w:sz="4" w:space="0" w:color="auto"/>
            </w:tcBorders>
            <w:shd w:val="clear" w:color="auto" w:fill="F3F9FA"/>
            <w:vAlign w:val="center"/>
          </w:tcPr>
          <w:p w14:paraId="1961C08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bottom w:val="single" w:sz="4" w:space="0" w:color="auto"/>
            </w:tcBorders>
            <w:shd w:val="clear" w:color="auto" w:fill="F3F9FA"/>
            <w:vAlign w:val="center"/>
          </w:tcPr>
          <w:p w14:paraId="5623A02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2FC30ED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57</w:t>
            </w:r>
          </w:p>
        </w:tc>
        <w:tc>
          <w:tcPr>
            <w:tcW w:w="1078" w:type="dxa"/>
            <w:tcBorders>
              <w:bottom w:val="single" w:sz="4" w:space="0" w:color="auto"/>
            </w:tcBorders>
            <w:shd w:val="clear" w:color="auto" w:fill="F3F9FA"/>
            <w:noWrap/>
            <w:vAlign w:val="center"/>
            <w:hideMark/>
          </w:tcPr>
          <w:p w14:paraId="691C594A"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0.283</w:t>
            </w:r>
          </w:p>
        </w:tc>
        <w:tc>
          <w:tcPr>
            <w:tcW w:w="1076" w:type="dxa"/>
            <w:tcBorders>
              <w:bottom w:val="single" w:sz="4" w:space="0" w:color="auto"/>
            </w:tcBorders>
            <w:shd w:val="clear" w:color="auto" w:fill="F3F9FA"/>
            <w:noWrap/>
            <w:vAlign w:val="center"/>
            <w:hideMark/>
          </w:tcPr>
          <w:p w14:paraId="7F9A6543"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0.002</w:t>
            </w:r>
          </w:p>
        </w:tc>
        <w:tc>
          <w:tcPr>
            <w:tcW w:w="2475" w:type="dxa"/>
            <w:tcBorders>
              <w:bottom w:val="single" w:sz="4" w:space="0" w:color="auto"/>
            </w:tcBorders>
            <w:shd w:val="clear" w:color="auto" w:fill="F3F9FA"/>
            <w:noWrap/>
            <w:vAlign w:val="center"/>
            <w:hideMark/>
          </w:tcPr>
          <w:p w14:paraId="612BC56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bCs/>
                <w:color w:val="000000"/>
                <w:sz w:val="20"/>
                <w:szCs w:val="20"/>
              </w:rPr>
              <w:t>0.088</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(0.015 to 0.265)</w:t>
            </w:r>
          </w:p>
        </w:tc>
        <w:tc>
          <w:tcPr>
            <w:tcW w:w="1068" w:type="dxa"/>
            <w:tcBorders>
              <w:bottom w:val="single" w:sz="4" w:space="0" w:color="auto"/>
            </w:tcBorders>
            <w:shd w:val="clear" w:color="auto" w:fill="F3F9FA"/>
            <w:noWrap/>
            <w:vAlign w:val="center"/>
            <w:hideMark/>
          </w:tcPr>
          <w:p w14:paraId="6742042B"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increase</w:t>
            </w:r>
          </w:p>
        </w:tc>
      </w:tr>
      <w:tr w:rsidR="00017050" w:rsidRPr="00867E8C" w14:paraId="6CADAD42" w14:textId="77777777" w:rsidTr="00867E8C">
        <w:trPr>
          <w:cantSplit/>
          <w:trHeight w:val="312"/>
          <w:jc w:val="center"/>
        </w:trPr>
        <w:tc>
          <w:tcPr>
            <w:tcW w:w="2028" w:type="dxa"/>
            <w:vMerge/>
            <w:shd w:val="clear" w:color="auto" w:fill="F3F9FA"/>
            <w:noWrap/>
            <w:vAlign w:val="center"/>
          </w:tcPr>
          <w:p w14:paraId="1FBD41F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tcBorders>
            <w:shd w:val="clear" w:color="auto" w:fill="F3F9FA"/>
            <w:noWrap/>
            <w:vAlign w:val="center"/>
            <w:hideMark/>
          </w:tcPr>
          <w:p w14:paraId="3A98B517"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coastal intertidal</w:t>
            </w:r>
          </w:p>
        </w:tc>
        <w:tc>
          <w:tcPr>
            <w:tcW w:w="720" w:type="dxa"/>
            <w:tcBorders>
              <w:top w:val="single" w:sz="4" w:space="0" w:color="auto"/>
            </w:tcBorders>
            <w:shd w:val="clear" w:color="auto" w:fill="F3F9FA"/>
            <w:noWrap/>
            <w:vAlign w:val="center"/>
            <w:hideMark/>
          </w:tcPr>
          <w:p w14:paraId="0F67FFB6"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BH1</w:t>
            </w:r>
          </w:p>
        </w:tc>
        <w:tc>
          <w:tcPr>
            <w:tcW w:w="1078" w:type="dxa"/>
            <w:tcBorders>
              <w:top w:val="single" w:sz="4" w:space="0" w:color="auto"/>
            </w:tcBorders>
            <w:shd w:val="clear" w:color="auto" w:fill="F3F9FA"/>
            <w:vAlign w:val="center"/>
          </w:tcPr>
          <w:p w14:paraId="23C9A01E"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top w:val="single" w:sz="4" w:space="0" w:color="auto"/>
            </w:tcBorders>
            <w:shd w:val="clear" w:color="auto" w:fill="F3F9FA"/>
            <w:vAlign w:val="center"/>
          </w:tcPr>
          <w:p w14:paraId="09105ED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tcBorders>
            <w:shd w:val="clear" w:color="auto" w:fill="F3F9FA"/>
            <w:vAlign w:val="center"/>
          </w:tcPr>
          <w:p w14:paraId="5412291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52</w:t>
            </w:r>
          </w:p>
        </w:tc>
        <w:tc>
          <w:tcPr>
            <w:tcW w:w="1078" w:type="dxa"/>
            <w:tcBorders>
              <w:top w:val="single" w:sz="4" w:space="0" w:color="auto"/>
            </w:tcBorders>
            <w:shd w:val="clear" w:color="auto" w:fill="F3F9FA"/>
            <w:noWrap/>
            <w:vAlign w:val="center"/>
            <w:hideMark/>
          </w:tcPr>
          <w:p w14:paraId="57BEC41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0.078</w:t>
            </w:r>
          </w:p>
        </w:tc>
        <w:tc>
          <w:tcPr>
            <w:tcW w:w="1076" w:type="dxa"/>
            <w:tcBorders>
              <w:top w:val="single" w:sz="4" w:space="0" w:color="auto"/>
            </w:tcBorders>
            <w:shd w:val="clear" w:color="auto" w:fill="F3F9FA"/>
            <w:noWrap/>
            <w:vAlign w:val="center"/>
            <w:hideMark/>
          </w:tcPr>
          <w:p w14:paraId="4C75D922"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0.416</w:t>
            </w:r>
          </w:p>
        </w:tc>
        <w:tc>
          <w:tcPr>
            <w:tcW w:w="2475" w:type="dxa"/>
            <w:tcBorders>
              <w:top w:val="single" w:sz="4" w:space="0" w:color="auto"/>
            </w:tcBorders>
            <w:shd w:val="clear" w:color="auto" w:fill="F3F9FA"/>
            <w:noWrap/>
            <w:vAlign w:val="center"/>
            <w:hideMark/>
          </w:tcPr>
          <w:p w14:paraId="6017D65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0.038</w:t>
            </w:r>
          </w:p>
        </w:tc>
        <w:tc>
          <w:tcPr>
            <w:tcW w:w="1068" w:type="dxa"/>
            <w:tcBorders>
              <w:top w:val="single" w:sz="4" w:space="0" w:color="auto"/>
            </w:tcBorders>
            <w:shd w:val="clear" w:color="auto" w:fill="F3F9FA"/>
            <w:noWrap/>
            <w:vAlign w:val="center"/>
            <w:hideMark/>
          </w:tcPr>
          <w:p w14:paraId="0D861A5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no trend</w:t>
            </w:r>
          </w:p>
        </w:tc>
      </w:tr>
      <w:tr w:rsidR="00017050" w:rsidRPr="00867E8C" w14:paraId="0447275C" w14:textId="77777777" w:rsidTr="00867E8C">
        <w:trPr>
          <w:cantSplit/>
          <w:trHeight w:val="312"/>
          <w:jc w:val="center"/>
        </w:trPr>
        <w:tc>
          <w:tcPr>
            <w:tcW w:w="2028" w:type="dxa"/>
            <w:vMerge/>
            <w:shd w:val="clear" w:color="auto" w:fill="F3F9FA"/>
            <w:noWrap/>
            <w:vAlign w:val="center"/>
          </w:tcPr>
          <w:p w14:paraId="5DDCB084"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bottom w:val="single" w:sz="4" w:space="0" w:color="auto"/>
            </w:tcBorders>
            <w:shd w:val="clear" w:color="auto" w:fill="F3F9FA"/>
            <w:noWrap/>
            <w:vAlign w:val="center"/>
            <w:hideMark/>
          </w:tcPr>
          <w:p w14:paraId="766C956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720" w:type="dxa"/>
            <w:tcBorders>
              <w:bottom w:val="single" w:sz="4" w:space="0" w:color="auto"/>
            </w:tcBorders>
            <w:shd w:val="clear" w:color="auto" w:fill="F3F9FA"/>
            <w:noWrap/>
            <w:vAlign w:val="center"/>
            <w:hideMark/>
          </w:tcPr>
          <w:p w14:paraId="3EABE436"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BH3</w:t>
            </w:r>
          </w:p>
        </w:tc>
        <w:tc>
          <w:tcPr>
            <w:tcW w:w="1078" w:type="dxa"/>
            <w:tcBorders>
              <w:bottom w:val="single" w:sz="4" w:space="0" w:color="auto"/>
            </w:tcBorders>
            <w:shd w:val="clear" w:color="auto" w:fill="F3F9FA"/>
            <w:vAlign w:val="center"/>
          </w:tcPr>
          <w:p w14:paraId="635EBF29"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1999</w:t>
            </w:r>
          </w:p>
        </w:tc>
        <w:tc>
          <w:tcPr>
            <w:tcW w:w="1068" w:type="dxa"/>
            <w:tcBorders>
              <w:bottom w:val="single" w:sz="4" w:space="0" w:color="auto"/>
            </w:tcBorders>
            <w:shd w:val="clear" w:color="auto" w:fill="F3F9FA"/>
            <w:vAlign w:val="center"/>
          </w:tcPr>
          <w:p w14:paraId="44D8760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bottom w:val="single" w:sz="4" w:space="0" w:color="auto"/>
            </w:tcBorders>
            <w:shd w:val="clear" w:color="auto" w:fill="F3F9FA"/>
            <w:vAlign w:val="center"/>
          </w:tcPr>
          <w:p w14:paraId="3F3537E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50</w:t>
            </w:r>
          </w:p>
        </w:tc>
        <w:tc>
          <w:tcPr>
            <w:tcW w:w="1078" w:type="dxa"/>
            <w:tcBorders>
              <w:bottom w:val="single" w:sz="4" w:space="0" w:color="auto"/>
            </w:tcBorders>
            <w:shd w:val="clear" w:color="auto" w:fill="F3F9FA"/>
            <w:noWrap/>
            <w:vAlign w:val="center"/>
            <w:hideMark/>
          </w:tcPr>
          <w:p w14:paraId="77AF2DDA"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0.381</w:t>
            </w:r>
          </w:p>
        </w:tc>
        <w:tc>
          <w:tcPr>
            <w:tcW w:w="1076" w:type="dxa"/>
            <w:tcBorders>
              <w:bottom w:val="single" w:sz="4" w:space="0" w:color="auto"/>
            </w:tcBorders>
            <w:shd w:val="clear" w:color="auto" w:fill="F3F9FA"/>
            <w:noWrap/>
            <w:vAlign w:val="center"/>
            <w:hideMark/>
          </w:tcPr>
          <w:p w14:paraId="167EEB39" w14:textId="77777777" w:rsidR="00017050" w:rsidRPr="00867E8C" w:rsidRDefault="00017050" w:rsidP="00B8623B">
            <w:pPr>
              <w:spacing w:before="0" w:after="0"/>
              <w:contextualSpacing/>
              <w:jc w:val="center"/>
              <w:rPr>
                <w:rFonts w:asciiTheme="minorHAnsi" w:hAnsiTheme="minorHAnsi" w:cstheme="minorHAnsi"/>
                <w:b/>
                <w:bCs/>
                <w:color w:val="000000"/>
                <w:sz w:val="20"/>
                <w:szCs w:val="20"/>
              </w:rPr>
            </w:pPr>
            <w:r w:rsidRPr="00867E8C">
              <w:rPr>
                <w:rFonts w:asciiTheme="minorHAnsi" w:hAnsiTheme="minorHAnsi" w:cstheme="minorHAnsi"/>
                <w:b/>
                <w:bCs/>
                <w:color w:val="000000"/>
                <w:sz w:val="20"/>
                <w:szCs w:val="20"/>
              </w:rPr>
              <w:t>&lt;0.001</w:t>
            </w:r>
          </w:p>
        </w:tc>
        <w:tc>
          <w:tcPr>
            <w:tcW w:w="2475" w:type="dxa"/>
            <w:tcBorders>
              <w:bottom w:val="single" w:sz="4" w:space="0" w:color="auto"/>
            </w:tcBorders>
            <w:shd w:val="clear" w:color="auto" w:fill="F3F9FA"/>
            <w:noWrap/>
            <w:vAlign w:val="center"/>
            <w:hideMark/>
          </w:tcPr>
          <w:p w14:paraId="1E12BA4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bCs/>
                <w:color w:val="000000"/>
                <w:sz w:val="20"/>
                <w:szCs w:val="20"/>
              </w:rPr>
              <w:t>0.176</w:t>
            </w:r>
            <w:r w:rsidRPr="00867E8C">
              <w:rPr>
                <w:rFonts w:asciiTheme="minorHAnsi" w:hAnsiTheme="minorHAnsi" w:cstheme="minorHAnsi"/>
                <w:color w:val="000000"/>
                <w:sz w:val="20"/>
                <w:szCs w:val="20"/>
              </w:rPr>
              <w:t xml:space="preserve"> </w:t>
            </w:r>
            <w:r w:rsidRPr="00867E8C">
              <w:rPr>
                <w:rFonts w:asciiTheme="minorHAnsi" w:hAnsiTheme="minorHAnsi" w:cstheme="minorHAnsi"/>
                <w:color w:val="000000"/>
                <w:sz w:val="16"/>
                <w:szCs w:val="16"/>
              </w:rPr>
              <w:t>(0.099 to 0.253)</w:t>
            </w:r>
          </w:p>
        </w:tc>
        <w:tc>
          <w:tcPr>
            <w:tcW w:w="1068" w:type="dxa"/>
            <w:tcBorders>
              <w:bottom w:val="single" w:sz="4" w:space="0" w:color="auto"/>
            </w:tcBorders>
            <w:shd w:val="clear" w:color="auto" w:fill="F3F9FA"/>
            <w:noWrap/>
            <w:vAlign w:val="center"/>
            <w:hideMark/>
          </w:tcPr>
          <w:p w14:paraId="4F803391"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b/>
                <w:color w:val="000000"/>
                <w:sz w:val="20"/>
                <w:szCs w:val="20"/>
              </w:rPr>
              <w:t>increase</w:t>
            </w:r>
          </w:p>
        </w:tc>
      </w:tr>
      <w:tr w:rsidR="00017050" w:rsidRPr="00867E8C" w14:paraId="043CE0EE" w14:textId="77777777" w:rsidTr="00867E8C">
        <w:trPr>
          <w:cantSplit/>
          <w:trHeight w:val="312"/>
          <w:jc w:val="center"/>
        </w:trPr>
        <w:tc>
          <w:tcPr>
            <w:tcW w:w="2028" w:type="dxa"/>
            <w:vMerge/>
            <w:tcBorders>
              <w:bottom w:val="single" w:sz="4" w:space="0" w:color="auto"/>
            </w:tcBorders>
            <w:shd w:val="clear" w:color="auto" w:fill="F3F9FA"/>
            <w:noWrap/>
            <w:vAlign w:val="center"/>
          </w:tcPr>
          <w:p w14:paraId="38BD9431"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p>
        </w:tc>
        <w:tc>
          <w:tcPr>
            <w:tcW w:w="1874" w:type="dxa"/>
            <w:tcBorders>
              <w:top w:val="single" w:sz="4" w:space="0" w:color="auto"/>
              <w:bottom w:val="single" w:sz="4" w:space="0" w:color="auto"/>
            </w:tcBorders>
            <w:shd w:val="clear" w:color="auto" w:fill="D9D9D9" w:themeFill="background1" w:themeFillShade="D9"/>
            <w:noWrap/>
            <w:vAlign w:val="center"/>
          </w:tcPr>
          <w:p w14:paraId="5BEAF63D"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pooled</w:t>
            </w:r>
          </w:p>
        </w:tc>
        <w:tc>
          <w:tcPr>
            <w:tcW w:w="720" w:type="dxa"/>
            <w:tcBorders>
              <w:top w:val="single" w:sz="4" w:space="0" w:color="auto"/>
              <w:bottom w:val="single" w:sz="4" w:space="0" w:color="auto"/>
            </w:tcBorders>
            <w:shd w:val="clear" w:color="auto" w:fill="D9D9D9" w:themeFill="background1" w:themeFillShade="D9"/>
            <w:noWrap/>
            <w:vAlign w:val="center"/>
          </w:tcPr>
          <w:p w14:paraId="5FF5653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p>
        </w:tc>
        <w:tc>
          <w:tcPr>
            <w:tcW w:w="1078" w:type="dxa"/>
            <w:tcBorders>
              <w:top w:val="single" w:sz="4" w:space="0" w:color="auto"/>
              <w:bottom w:val="single" w:sz="4" w:space="0" w:color="auto"/>
            </w:tcBorders>
            <w:shd w:val="clear" w:color="auto" w:fill="D9D9D9" w:themeFill="background1" w:themeFillShade="D9"/>
            <w:vAlign w:val="center"/>
          </w:tcPr>
          <w:p w14:paraId="6438CDC3"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1998</w:t>
            </w:r>
          </w:p>
        </w:tc>
        <w:tc>
          <w:tcPr>
            <w:tcW w:w="1068" w:type="dxa"/>
            <w:tcBorders>
              <w:top w:val="single" w:sz="4" w:space="0" w:color="auto"/>
              <w:bottom w:val="single" w:sz="4" w:space="0" w:color="auto"/>
            </w:tcBorders>
            <w:shd w:val="clear" w:color="auto" w:fill="D9D9D9" w:themeFill="background1" w:themeFillShade="D9"/>
            <w:vAlign w:val="center"/>
          </w:tcPr>
          <w:p w14:paraId="723AA96C"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2019</w:t>
            </w:r>
          </w:p>
        </w:tc>
        <w:tc>
          <w:tcPr>
            <w:tcW w:w="519" w:type="dxa"/>
            <w:tcBorders>
              <w:top w:val="single" w:sz="4" w:space="0" w:color="auto"/>
              <w:bottom w:val="single" w:sz="4" w:space="0" w:color="auto"/>
            </w:tcBorders>
            <w:shd w:val="clear" w:color="auto" w:fill="D9D9D9" w:themeFill="background1" w:themeFillShade="D9"/>
            <w:vAlign w:val="center"/>
          </w:tcPr>
          <w:p w14:paraId="4F82908A"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80</w:t>
            </w:r>
          </w:p>
        </w:tc>
        <w:tc>
          <w:tcPr>
            <w:tcW w:w="1078" w:type="dxa"/>
            <w:tcBorders>
              <w:top w:val="single" w:sz="4" w:space="0" w:color="auto"/>
              <w:bottom w:val="single" w:sz="4" w:space="0" w:color="auto"/>
            </w:tcBorders>
            <w:shd w:val="clear" w:color="auto" w:fill="D9D9D9" w:themeFill="background1" w:themeFillShade="D9"/>
            <w:noWrap/>
            <w:vAlign w:val="center"/>
          </w:tcPr>
          <w:p w14:paraId="5EEFE528" w14:textId="77777777" w:rsidR="00017050" w:rsidRPr="00867E8C" w:rsidRDefault="00017050" w:rsidP="00B8623B">
            <w:pPr>
              <w:spacing w:before="0" w:after="0"/>
              <w:contextualSpacing/>
              <w:jc w:val="center"/>
              <w:rPr>
                <w:rFonts w:asciiTheme="minorHAnsi" w:hAnsiTheme="minorHAnsi" w:cstheme="minorHAnsi"/>
                <w:color w:val="000000"/>
                <w:sz w:val="20"/>
                <w:szCs w:val="20"/>
              </w:rPr>
            </w:pPr>
            <w:r w:rsidRPr="00867E8C">
              <w:rPr>
                <w:rFonts w:asciiTheme="minorHAnsi" w:hAnsiTheme="minorHAnsi" w:cstheme="minorHAnsi"/>
                <w:color w:val="000000"/>
                <w:sz w:val="20"/>
                <w:szCs w:val="20"/>
              </w:rPr>
              <w:t>0.033</w:t>
            </w:r>
          </w:p>
        </w:tc>
        <w:tc>
          <w:tcPr>
            <w:tcW w:w="1076" w:type="dxa"/>
            <w:tcBorders>
              <w:top w:val="single" w:sz="4" w:space="0" w:color="auto"/>
              <w:bottom w:val="single" w:sz="4" w:space="0" w:color="auto"/>
            </w:tcBorders>
            <w:shd w:val="clear" w:color="auto" w:fill="D9D9D9" w:themeFill="background1" w:themeFillShade="D9"/>
            <w:noWrap/>
            <w:vAlign w:val="center"/>
          </w:tcPr>
          <w:p w14:paraId="3437265E"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0.683</w:t>
            </w:r>
          </w:p>
        </w:tc>
        <w:tc>
          <w:tcPr>
            <w:tcW w:w="2475" w:type="dxa"/>
            <w:tcBorders>
              <w:top w:val="single" w:sz="4" w:space="0" w:color="auto"/>
              <w:bottom w:val="single" w:sz="4" w:space="0" w:color="auto"/>
            </w:tcBorders>
            <w:shd w:val="clear" w:color="auto" w:fill="D9D9D9" w:themeFill="background1" w:themeFillShade="D9"/>
            <w:noWrap/>
            <w:vAlign w:val="center"/>
          </w:tcPr>
          <w:p w14:paraId="42C7C122"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0.011</w:t>
            </w:r>
          </w:p>
        </w:tc>
        <w:tc>
          <w:tcPr>
            <w:tcW w:w="1068" w:type="dxa"/>
            <w:tcBorders>
              <w:top w:val="single" w:sz="4" w:space="0" w:color="auto"/>
              <w:bottom w:val="single" w:sz="4" w:space="0" w:color="auto"/>
            </w:tcBorders>
            <w:shd w:val="clear" w:color="auto" w:fill="D9D9D9" w:themeFill="background1" w:themeFillShade="D9"/>
            <w:noWrap/>
            <w:vAlign w:val="center"/>
          </w:tcPr>
          <w:p w14:paraId="04491F27" w14:textId="77777777" w:rsidR="00017050" w:rsidRPr="00867E8C" w:rsidRDefault="00017050" w:rsidP="00B8623B">
            <w:pPr>
              <w:spacing w:before="0" w:after="0"/>
              <w:contextualSpacing/>
              <w:jc w:val="center"/>
              <w:rPr>
                <w:rFonts w:asciiTheme="minorHAnsi" w:hAnsiTheme="minorHAnsi" w:cstheme="minorHAnsi"/>
                <w:b/>
                <w:color w:val="000000"/>
                <w:sz w:val="20"/>
                <w:szCs w:val="20"/>
              </w:rPr>
            </w:pPr>
            <w:r w:rsidRPr="00867E8C">
              <w:rPr>
                <w:rFonts w:asciiTheme="minorHAnsi" w:hAnsiTheme="minorHAnsi" w:cstheme="minorHAnsi"/>
                <w:color w:val="000000"/>
                <w:sz w:val="20"/>
                <w:szCs w:val="20"/>
              </w:rPr>
              <w:t>no trend</w:t>
            </w:r>
          </w:p>
        </w:tc>
      </w:tr>
    </w:tbl>
    <w:p w14:paraId="2E8DC20F" w14:textId="38F83AD0" w:rsidR="00017050" w:rsidRPr="00867E8C" w:rsidRDefault="00017050" w:rsidP="00017050">
      <w:pPr>
        <w:rPr>
          <w:rFonts w:cs="Arial"/>
          <w:szCs w:val="22"/>
        </w:rPr>
      </w:pPr>
    </w:p>
    <w:sectPr w:rsidR="00017050" w:rsidRPr="00867E8C" w:rsidSect="0085398A">
      <w:headerReference w:type="even" r:id="rId289"/>
      <w:headerReference w:type="default" r:id="rId290"/>
      <w:footerReference w:type="even" r:id="rId291"/>
      <w:footerReference w:type="default" r:id="rId292"/>
      <w:headerReference w:type="first" r:id="rId293"/>
      <w:footerReference w:type="first" r:id="rId294"/>
      <w:pgSz w:w="16838" w:h="11906" w:orient="landscape" w:code="9"/>
      <w:pgMar w:top="1418"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46D812" w16cid:durableId="2227237F"/>
  <w16cid:commentId w16cid:paraId="77B46C35" w16cid:durableId="2211FBEC"/>
  <w16cid:commentId w16cid:paraId="17D60AF3" w16cid:durableId="2211FBF0"/>
  <w16cid:commentId w16cid:paraId="6C5EC384" w16cid:durableId="22272909"/>
  <w16cid:commentId w16cid:paraId="0AB4D6B0" w16cid:durableId="2211FBF3"/>
  <w16cid:commentId w16cid:paraId="7B31BAAE" w16cid:durableId="22272B29"/>
  <w16cid:commentId w16cid:paraId="4EC2A069" w16cid:durableId="2211FBF5"/>
  <w16cid:commentId w16cid:paraId="3249AB59" w16cid:durableId="22272D4E"/>
  <w16cid:commentId w16cid:paraId="633A8757" w16cid:durableId="221DD352"/>
  <w16cid:commentId w16cid:paraId="2E201152" w16cid:durableId="2211FBFC"/>
  <w16cid:commentId w16cid:paraId="42078BDC" w16cid:durableId="221DBDD7"/>
  <w16cid:commentId w16cid:paraId="48850D4C" w16cid:durableId="2211FBFE"/>
  <w16cid:commentId w16cid:paraId="05D8645D" w16cid:durableId="221DC18F"/>
  <w16cid:commentId w16cid:paraId="22BFCC0F" w16cid:durableId="2211FC00"/>
  <w16cid:commentId w16cid:paraId="601D5969" w16cid:durableId="221DCEA4"/>
  <w16cid:commentId w16cid:paraId="1B03ABA5" w16cid:durableId="222DCFCF"/>
  <w16cid:commentId w16cid:paraId="345227DA" w16cid:durableId="2211FC01"/>
  <w16cid:commentId w16cid:paraId="588912FC" w16cid:durableId="221DCF65"/>
  <w16cid:commentId w16cid:paraId="305FF5F4" w16cid:durableId="2211FC02"/>
  <w16cid:commentId w16cid:paraId="67CB06F2" w16cid:durableId="221DD07E"/>
  <w16cid:commentId w16cid:paraId="4C03FB6B" w16cid:durableId="2211FC03"/>
  <w16cid:commentId w16cid:paraId="73819D59" w16cid:durableId="221DD6EA"/>
  <w16cid:commentId w16cid:paraId="547D8C76" w16cid:durableId="2211FC07"/>
  <w16cid:commentId w16cid:paraId="5DE0D56A" w16cid:durableId="2211FC08"/>
  <w16cid:commentId w16cid:paraId="582A0F81" w16cid:durableId="22233CC6"/>
  <w16cid:commentId w16cid:paraId="723ED17E" w16cid:durableId="2211FC0E"/>
  <w16cid:commentId w16cid:paraId="6F15E771" w16cid:durableId="22232622"/>
  <w16cid:commentId w16cid:paraId="5FC8EDAA" w16cid:durableId="2211FC0F"/>
  <w16cid:commentId w16cid:paraId="36627F25" w16cid:durableId="222326C0"/>
  <w16cid:commentId w16cid:paraId="38AE29C6" w16cid:durableId="2211FC10"/>
  <w16cid:commentId w16cid:paraId="3FF29AD5" w16cid:durableId="2211FC11"/>
  <w16cid:commentId w16cid:paraId="2CBDA7A7" w16cid:durableId="22234134"/>
  <w16cid:commentId w16cid:paraId="35A874E2" w16cid:durableId="2211FC12"/>
  <w16cid:commentId w16cid:paraId="5DA7F86B" w16cid:durableId="222341A4"/>
  <w16cid:commentId w16cid:paraId="55C83A71" w16cid:durableId="2211FC16"/>
  <w16cid:commentId w16cid:paraId="5286005D" w16cid:durableId="2211FC18"/>
  <w16cid:commentId w16cid:paraId="0FB2AB41" w16cid:durableId="22246CFF"/>
  <w16cid:commentId w16cid:paraId="3AEB3EB9" w16cid:durableId="222475A2"/>
  <w16cid:commentId w16cid:paraId="06E288F7" w16cid:durableId="222498B5"/>
  <w16cid:commentId w16cid:paraId="50879585" w16cid:durableId="2211FC1F"/>
  <w16cid:commentId w16cid:paraId="0AB48EA3" w16cid:durableId="2225ECF3"/>
  <w16cid:commentId w16cid:paraId="34611939" w16cid:durableId="2225B60F"/>
  <w16cid:commentId w16cid:paraId="126CF442" w16cid:durableId="2225B5F6"/>
  <w16cid:commentId w16cid:paraId="496DB2FD" w16cid:durableId="2225DC0B"/>
  <w16cid:commentId w16cid:paraId="735C515D" w16cid:durableId="2225DDE6"/>
  <w16cid:commentId w16cid:paraId="54D094EE" w16cid:durableId="2219E1C1"/>
  <w16cid:commentId w16cid:paraId="60EE63DF" w16cid:durableId="22148475"/>
  <w16cid:commentId w16cid:paraId="347A540E" w16cid:durableId="2219E1E9"/>
  <w16cid:commentId w16cid:paraId="632E706D" w16cid:durableId="221496F6"/>
  <w16cid:commentId w16cid:paraId="2C6D8859" w16cid:durableId="222EF1FC"/>
  <w16cid:commentId w16cid:paraId="7109A202" w16cid:durableId="2211FC48"/>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BABC9" w14:textId="77777777" w:rsidR="0067675D" w:rsidRDefault="0067675D">
      <w:r>
        <w:separator/>
      </w:r>
    </w:p>
  </w:endnote>
  <w:endnote w:type="continuationSeparator" w:id="0">
    <w:p w14:paraId="372A7797" w14:textId="77777777" w:rsidR="0067675D" w:rsidRDefault="0067675D">
      <w:r>
        <w:continuationSeparator/>
      </w:r>
    </w:p>
  </w:endnote>
  <w:endnote w:type="continuationNotice" w:id="1">
    <w:p w14:paraId="2C149976" w14:textId="77777777" w:rsidR="0067675D" w:rsidRDefault="006767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32CC2" w14:textId="4BE6A51D"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0948E21A" w14:textId="77777777" w:rsidR="0067675D" w:rsidRDefault="0067675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45A86" w14:textId="77777777" w:rsidR="00D91B0F" w:rsidRDefault="00D91B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516D3" w14:textId="77777777" w:rsidR="00D91B0F" w:rsidRDefault="00D91B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E326F"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31D199F3" w14:textId="77777777" w:rsidR="0067675D" w:rsidRDefault="0067675D"/>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A7475" w14:textId="641DB891"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D91B0F">
      <w:rPr>
        <w:rFonts w:ascii="Gill Sans MT" w:hAnsi="Gill Sans MT"/>
        <w:noProof/>
        <w:sz w:val="20"/>
        <w:szCs w:val="20"/>
        <w:lang w:val="en-GB"/>
      </w:rPr>
      <w:t>8</w:t>
    </w:r>
    <w:r w:rsidRPr="004D7C5C">
      <w:rPr>
        <w:rFonts w:ascii="Gill Sans MT" w:hAnsi="Gill Sans MT"/>
        <w:noProof/>
        <w:sz w:val="20"/>
        <w:szCs w:val="20"/>
        <w:lang w:val="en-GB"/>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30ECA" w14:textId="77777777" w:rsidR="0067675D" w:rsidRDefault="0067675D"/>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68BC3"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520C72F5" w14:textId="77777777" w:rsidR="0067675D" w:rsidRDefault="0067675D"/>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2E76C" w14:textId="3E8642EF"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24</w:t>
    </w:r>
    <w:r w:rsidRPr="004D7C5C">
      <w:rPr>
        <w:rFonts w:ascii="Gill Sans MT" w:hAnsi="Gill Sans MT"/>
        <w:noProof/>
        <w:sz w:val="20"/>
        <w:szCs w:val="20"/>
        <w:lang w:val="en-GB"/>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16024" w14:textId="77777777" w:rsidR="0067675D" w:rsidRDefault="0067675D"/>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9ED7"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64016AD5" w14:textId="77777777" w:rsidR="0067675D" w:rsidRDefault="0067675D"/>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C0E79" w14:textId="12DE4801"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25</w:t>
    </w:r>
    <w:r w:rsidRPr="004D7C5C">
      <w:rPr>
        <w:rFonts w:ascii="Gill Sans MT" w:hAnsi="Gill Sans MT"/>
        <w:noProof/>
        <w:sz w:val="20"/>
        <w:szCs w:val="20"/>
        <w:lang w:val="en-GB"/>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02E09" w14:textId="77777777" w:rsidR="0067675D" w:rsidRDefault="0067675D"/>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988B5"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1F5E7946" w14:textId="77777777" w:rsidR="0067675D" w:rsidRDefault="0067675D"/>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B802D" w14:textId="4828E0BC"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26</w:t>
    </w:r>
    <w:r w:rsidRPr="004D7C5C">
      <w:rPr>
        <w:rFonts w:ascii="Gill Sans MT" w:hAnsi="Gill Sans MT"/>
        <w:noProof/>
        <w:sz w:val="20"/>
        <w:szCs w:val="20"/>
        <w:lang w:val="en-GB"/>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7DC3" w14:textId="77777777" w:rsidR="0067675D" w:rsidRDefault="0067675D"/>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B0559"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53A8F149" w14:textId="77777777" w:rsidR="0067675D" w:rsidRDefault="0067675D"/>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8DB18" w14:textId="764F9C1E"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30</w:t>
    </w:r>
    <w:r w:rsidRPr="004D7C5C">
      <w:rPr>
        <w:rFonts w:ascii="Gill Sans MT" w:hAnsi="Gill Sans MT"/>
        <w:noProof/>
        <w:sz w:val="20"/>
        <w:szCs w:val="20"/>
        <w:lang w:val="en-GB"/>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F43CA" w14:textId="77777777" w:rsidR="0067675D" w:rsidRDefault="0067675D"/>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9C6CB"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596C4B09" w14:textId="77777777" w:rsidR="0067675D" w:rsidRDefault="0067675D"/>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D9065" w14:textId="391E25E9"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35</w:t>
    </w:r>
    <w:r w:rsidRPr="004D7C5C">
      <w:rPr>
        <w:rFonts w:ascii="Gill Sans MT" w:hAnsi="Gill Sans MT"/>
        <w:noProof/>
        <w:sz w:val="20"/>
        <w:szCs w:val="20"/>
        <w:lang w:val="en-GB"/>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3B28" w14:textId="77777777" w:rsidR="0067675D" w:rsidRDefault="0067675D"/>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EEC29"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4D769425" w14:textId="77777777" w:rsidR="0067675D" w:rsidRDefault="0067675D"/>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B068A" w14:textId="702EE55E" w:rsidR="0067675D" w:rsidRPr="004D7C5C"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130</w:t>
    </w:r>
    <w:r w:rsidRPr="004D7C5C">
      <w:rPr>
        <w:rFonts w:ascii="Gill Sans MT" w:hAnsi="Gill Sans MT"/>
        <w:noProof/>
        <w:sz w:val="20"/>
        <w:szCs w:val="20"/>
        <w:lang w:val="en-GB"/>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29B" w14:textId="77777777" w:rsidR="0067675D" w:rsidRDefault="0067675D"/>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FFE67"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247F91F5" w14:textId="77777777" w:rsidR="0067675D" w:rsidRDefault="0067675D"/>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BBBEB" w14:textId="4EABA710" w:rsidR="0067675D" w:rsidRPr="00326054"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146</w:t>
    </w:r>
    <w:r w:rsidRPr="004D7C5C">
      <w:rPr>
        <w:rFonts w:ascii="Gill Sans MT" w:hAnsi="Gill Sans MT"/>
        <w:noProof/>
        <w:sz w:val="20"/>
        <w:szCs w:val="20"/>
        <w:lang w:val="en-GB"/>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05B0D" w14:textId="77777777" w:rsidR="0067675D" w:rsidRDefault="0067675D"/>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FE2D"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0EA2D01A" w14:textId="77777777" w:rsidR="0067675D" w:rsidRDefault="0067675D"/>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4A34C" w14:textId="3B741402" w:rsidR="0067675D" w:rsidRPr="00326054"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163</w:t>
    </w:r>
    <w:r w:rsidRPr="004D7C5C">
      <w:rPr>
        <w:rFonts w:ascii="Gill Sans MT" w:hAnsi="Gill Sans MT"/>
        <w:noProof/>
        <w:sz w:val="20"/>
        <w:szCs w:val="20"/>
        <w:lang w:val="en-GB"/>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27390" w14:textId="77777777" w:rsidR="0067675D" w:rsidRDefault="0067675D"/>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F56D"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049D4C64" w14:textId="77777777" w:rsidR="0067675D" w:rsidRDefault="0067675D"/>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DB792" w14:textId="2EB756E2" w:rsidR="0067675D" w:rsidRPr="00326054" w:rsidRDefault="0067675D" w:rsidP="00942CAB">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164</w:t>
    </w:r>
    <w:r w:rsidRPr="004D7C5C">
      <w:rPr>
        <w:rFonts w:ascii="Gill Sans MT" w:hAnsi="Gill Sans MT"/>
        <w:noProof/>
        <w:sz w:val="20"/>
        <w:szCs w:val="20"/>
        <w:lang w:val="en-GB"/>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72ECE" w14:textId="77777777" w:rsidR="0067675D" w:rsidRDefault="0067675D"/>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D6597"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729F10A5" w14:textId="77777777" w:rsidR="0067675D" w:rsidRDefault="0067675D"/>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7F0C1" w14:textId="319F27FE"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166</w:t>
    </w:r>
    <w:r w:rsidRPr="004D7C5C">
      <w:rPr>
        <w:rFonts w:ascii="Gill Sans MT" w:hAnsi="Gill Sans MT"/>
        <w:noProof/>
        <w:sz w:val="20"/>
        <w:szCs w:val="20"/>
        <w:lang w:val="en-GB"/>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3F1E1" w14:textId="77777777" w:rsidR="0067675D" w:rsidRDefault="0067675D"/>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62948"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631A8CBD" w14:textId="77777777" w:rsidR="0067675D" w:rsidRDefault="0067675D"/>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AE66A" w14:textId="775945FF"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5C672B">
      <w:rPr>
        <w:rFonts w:ascii="Gill Sans MT" w:hAnsi="Gill Sans MT"/>
        <w:noProof/>
        <w:sz w:val="20"/>
        <w:szCs w:val="20"/>
        <w:lang w:val="en-GB"/>
      </w:rPr>
      <w:t>167</w:t>
    </w:r>
    <w:r w:rsidRPr="004D7C5C">
      <w:rPr>
        <w:rFonts w:ascii="Gill Sans MT" w:hAnsi="Gill Sans MT"/>
        <w:noProof/>
        <w:sz w:val="20"/>
        <w:szCs w:val="20"/>
        <w:lang w:val="en-GB"/>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1B04" w14:textId="77777777" w:rsidR="0067675D" w:rsidRDefault="0067675D"/>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D23C0"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3791467B" w14:textId="77777777" w:rsidR="0067675D" w:rsidRDefault="0067675D"/>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720BA" w14:textId="246D952D"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172</w:t>
    </w:r>
    <w:r w:rsidRPr="004D7C5C">
      <w:rPr>
        <w:rFonts w:ascii="Gill Sans MT" w:hAnsi="Gill Sans MT"/>
        <w:noProof/>
        <w:sz w:val="20"/>
        <w:szCs w:val="20"/>
        <w:lang w:val="en-GB"/>
      </w:rP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518A8" w14:textId="77777777" w:rsidR="0067675D" w:rsidRDefault="0067675D"/>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4D155"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6D7F7E52" w14:textId="77777777" w:rsidR="0067675D" w:rsidRDefault="0067675D"/>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FCEF" w14:textId="01C901C3"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179</w:t>
    </w:r>
    <w:r w:rsidRPr="004D7C5C">
      <w:rPr>
        <w:rFonts w:ascii="Gill Sans MT" w:hAnsi="Gill Sans MT"/>
        <w:noProof/>
        <w:sz w:val="20"/>
        <w:szCs w:val="20"/>
        <w:lang w:val="en-GB"/>
      </w:rP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8D51D" w14:textId="77777777" w:rsidR="0067675D" w:rsidRDefault="0067675D"/>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69BE"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0BB795FD" w14:textId="77777777" w:rsidR="0067675D" w:rsidRDefault="0067675D"/>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1FE0E" w14:textId="3CFEC4B5"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180</w:t>
    </w:r>
    <w:r w:rsidRPr="004D7C5C">
      <w:rPr>
        <w:rFonts w:ascii="Gill Sans MT" w:hAnsi="Gill Sans MT"/>
        <w:noProof/>
        <w:sz w:val="20"/>
        <w:szCs w:val="20"/>
        <w:lang w:val="en-GB"/>
      </w:rPr>
      <w:fldChar w:fldCharType="end"/>
    </w: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2CA78" w14:textId="77777777" w:rsidR="0067675D" w:rsidRDefault="0067675D"/>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1C22D"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6902F26A" w14:textId="77777777" w:rsidR="0067675D" w:rsidRDefault="0067675D"/>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73A34" w14:textId="42F910EA"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182</w:t>
    </w:r>
    <w:r w:rsidRPr="004D7C5C">
      <w:rPr>
        <w:rFonts w:ascii="Gill Sans MT" w:hAnsi="Gill Sans MT"/>
        <w:noProof/>
        <w:sz w:val="20"/>
        <w:szCs w:val="20"/>
        <w:lang w:val="en-GB"/>
      </w:rPr>
      <w:fldChar w:fldCharType="end"/>
    </w: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06CDC" w14:textId="77777777" w:rsidR="0067675D" w:rsidRDefault="0067675D"/>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4C9CF"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1E0EBD14" w14:textId="77777777" w:rsidR="0067675D" w:rsidRDefault="0067675D"/>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0A0E4" w14:textId="0EF142E2"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203</w:t>
    </w:r>
    <w:r w:rsidRPr="004D7C5C">
      <w:rPr>
        <w:rFonts w:ascii="Gill Sans MT" w:hAnsi="Gill Sans MT"/>
        <w:noProof/>
        <w:sz w:val="20"/>
        <w:szCs w:val="20"/>
        <w:lang w:val="en-GB"/>
      </w:rPr>
      <w:fldChar w:fldCharType="end"/>
    </w: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82BD" w14:textId="77777777" w:rsidR="0067675D" w:rsidRDefault="0067675D"/>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6B299" w14:textId="77777777" w:rsidR="0067675D" w:rsidRDefault="0067675D" w:rsidP="00034AD4">
    <w:pPr>
      <w:framePr w:wrap="around" w:vAnchor="text" w:hAnchor="margin" w:xAlign="center" w:y="1"/>
    </w:pPr>
    <w:r>
      <w:fldChar w:fldCharType="begin"/>
    </w:r>
    <w:r>
      <w:instrText xml:space="preserve">PAGE  </w:instrText>
    </w:r>
    <w:r>
      <w:fldChar w:fldCharType="separate"/>
    </w:r>
    <w:r>
      <w:rPr>
        <w:noProof/>
      </w:rPr>
      <w:t>ccii</w:t>
    </w:r>
    <w:r>
      <w:fldChar w:fldCharType="end"/>
    </w:r>
  </w:p>
  <w:p w14:paraId="228E61BA" w14:textId="77777777" w:rsidR="0067675D" w:rsidRDefault="0067675D"/>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2058D" w14:textId="1103B919" w:rsidR="0067675D" w:rsidRPr="00326054" w:rsidRDefault="0067675D" w:rsidP="0085398A">
    <w:pPr>
      <w:pBdr>
        <w:top w:val="single" w:sz="18" w:space="1" w:color="91DC41"/>
      </w:pBdr>
      <w:tabs>
        <w:tab w:val="center" w:pos="4153"/>
        <w:tab w:val="right" w:pos="8306"/>
      </w:tabs>
      <w:spacing w:line="320" w:lineRule="exact"/>
      <w:ind w:right="47"/>
      <w:jc w:val="center"/>
      <w:rPr>
        <w:rFonts w:ascii="Gill Sans MT" w:hAnsi="Gill Sans MT"/>
        <w:sz w:val="20"/>
        <w:szCs w:val="20"/>
        <w:lang w:val="en-GB"/>
      </w:rPr>
    </w:pPr>
    <w:r w:rsidRPr="004D7C5C">
      <w:rPr>
        <w:rFonts w:ascii="Gill Sans MT" w:hAnsi="Gill Sans MT"/>
        <w:sz w:val="20"/>
        <w:szCs w:val="20"/>
        <w:lang w:val="en-GB"/>
      </w:rPr>
      <w:fldChar w:fldCharType="begin"/>
    </w:r>
    <w:r w:rsidRPr="004D7C5C">
      <w:rPr>
        <w:rFonts w:ascii="Gill Sans MT" w:hAnsi="Gill Sans MT"/>
        <w:sz w:val="20"/>
        <w:szCs w:val="20"/>
        <w:lang w:val="en-GB"/>
      </w:rPr>
      <w:instrText xml:space="preserve"> PAGE   \* MERGEFORMAT </w:instrText>
    </w:r>
    <w:r w:rsidRPr="004D7C5C">
      <w:rPr>
        <w:rFonts w:ascii="Gill Sans MT" w:hAnsi="Gill Sans MT"/>
        <w:sz w:val="20"/>
        <w:szCs w:val="20"/>
        <w:lang w:val="en-GB"/>
      </w:rPr>
      <w:fldChar w:fldCharType="separate"/>
    </w:r>
    <w:r w:rsidR="0077023A">
      <w:rPr>
        <w:rFonts w:ascii="Gill Sans MT" w:hAnsi="Gill Sans MT"/>
        <w:noProof/>
        <w:sz w:val="20"/>
        <w:szCs w:val="20"/>
        <w:lang w:val="en-GB"/>
      </w:rPr>
      <w:t>206</w:t>
    </w:r>
    <w:r w:rsidRPr="004D7C5C">
      <w:rPr>
        <w:rFonts w:ascii="Gill Sans MT" w:hAnsi="Gill Sans MT"/>
        <w:noProof/>
        <w:sz w:val="20"/>
        <w:szCs w:val="20"/>
        <w:lang w:val="en-GB"/>
      </w:rPr>
      <w:fldChar w:fldCharType="end"/>
    </w: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C45D9" w14:textId="77777777" w:rsidR="0067675D" w:rsidRDefault="0067675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A71CD" w14:textId="77777777" w:rsidR="0067675D" w:rsidRDefault="0067675D">
      <w:r>
        <w:separator/>
      </w:r>
    </w:p>
  </w:footnote>
  <w:footnote w:type="continuationSeparator" w:id="0">
    <w:p w14:paraId="1A9CBB3C" w14:textId="77777777" w:rsidR="0067675D" w:rsidRDefault="0067675D">
      <w:r>
        <w:continuationSeparator/>
      </w:r>
    </w:p>
  </w:footnote>
  <w:footnote w:type="continuationNotice" w:id="1">
    <w:p w14:paraId="4C115B72" w14:textId="77777777" w:rsidR="0067675D" w:rsidRDefault="0067675D"/>
  </w:footnote>
  <w:footnote w:id="2">
    <w:p w14:paraId="087B36AB" w14:textId="77777777" w:rsidR="0067675D" w:rsidRPr="00810A38" w:rsidRDefault="0067675D" w:rsidP="00D355BA">
      <w:pPr>
        <w:pStyle w:val="FootnoteText"/>
        <w:rPr>
          <w:rFonts w:ascii="Arial" w:hAnsi="Arial" w:cs="Arial"/>
          <w:lang w:val="en-US"/>
        </w:rPr>
      </w:pPr>
      <w:r>
        <w:rPr>
          <w:rStyle w:val="FootnoteReference"/>
        </w:rPr>
        <w:footnoteRef/>
      </w:r>
      <w:r>
        <w:t xml:space="preserve"> </w:t>
      </w:r>
      <w:r w:rsidRPr="00810A38">
        <w:rPr>
          <w:rFonts w:ascii="Arial" w:hAnsi="Arial" w:cs="Arial"/>
        </w:rPr>
        <w:t xml:space="preserve">A foundation species is the dominant primary producer in an ecosystem both in terms of abundance and influence, playing central roles in sustaining ecosystem services (Angelini et al. 2011). For the seagrass habitats assessed in this study, the foundation seagrass species were those species which typified the habitats both in abundance and structure when the meadow was considered in its steady state (opportunistic or persistent) (Kilminster et al. 2015). The foundation species were all di-meristematic leaf-replacing forms from the following families: </w:t>
      </w:r>
      <w:r w:rsidRPr="00810A38">
        <w:rPr>
          <w:rFonts w:ascii="Arial" w:hAnsi="Arial" w:cs="Arial"/>
          <w:i/>
        </w:rPr>
        <w:t>Cymodocea, Enhalus, Halodule, Thalassia</w:t>
      </w:r>
      <w:r w:rsidRPr="00810A38">
        <w:rPr>
          <w:rFonts w:ascii="Arial" w:hAnsi="Arial" w:cs="Arial"/>
        </w:rPr>
        <w:t xml:space="preserve"> and </w:t>
      </w:r>
      <w:r w:rsidRPr="00810A38">
        <w:rPr>
          <w:rFonts w:ascii="Arial" w:hAnsi="Arial" w:cs="Arial"/>
          <w:i/>
        </w:rPr>
        <w:t>Zostera</w:t>
      </w:r>
      <w:r w:rsidRPr="00810A38">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8072D" w14:textId="77777777" w:rsidR="0067675D" w:rsidRDefault="00D91B0F">
    <w:r>
      <w:rPr>
        <w:noProof/>
      </w:rPr>
      <w:pict w14:anchorId="662A6A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58" o:spid="_x0000_s2060" type="#_x0000_t136" alt="" style="position:absolute;margin-left:0;margin-top:0;width:573.7pt;height:86.05pt;rotation:315;z-index:-251658239;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D9638" w14:textId="77777777" w:rsidR="00D91B0F" w:rsidRDefault="00D91B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16C8D" w14:textId="77777777" w:rsidR="0067675D" w:rsidRDefault="00D91B0F">
    <w:r>
      <w:rPr>
        <w:noProof/>
      </w:rPr>
      <w:pict w14:anchorId="2C2D9B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57" o:spid="_x0000_s2059" type="#_x0000_t136" alt="" style="position:absolute;margin-left:0;margin-top:0;width:573.7pt;height:86.05pt;rotation:315;z-index:-251658240;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3D4C7" w14:textId="77777777" w:rsidR="0067675D" w:rsidRDefault="00D91B0F">
    <w:r>
      <w:rPr>
        <w:noProof/>
      </w:rPr>
      <w:pict w14:anchorId="652F96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64" o:spid="_x0000_s2058" type="#_x0000_t136" alt="" style="position:absolute;margin-left:0;margin-top:0;width:573.7pt;height:86.05pt;rotation:315;z-index:-251658236;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FCC6E" w14:textId="59D7F6DE" w:rsidR="0067675D" w:rsidRPr="005A5A65" w:rsidRDefault="0067675D" w:rsidP="00942CAB">
    <w:pPr>
      <w:pBdr>
        <w:bottom w:val="single" w:sz="18" w:space="1" w:color="91DC41"/>
      </w:pBdr>
      <w:tabs>
        <w:tab w:val="right" w:pos="9064"/>
      </w:tabs>
      <w:jc w:val="both"/>
      <w:rPr>
        <w:rFonts w:cs="Arial"/>
        <w:sz w:val="18"/>
        <w:szCs w:val="20"/>
      </w:rPr>
    </w:pPr>
    <w:r w:rsidRPr="005A5A65">
      <w:rPr>
        <w:rFonts w:cs="Arial"/>
        <w:sz w:val="18"/>
        <w:szCs w:val="20"/>
      </w:rPr>
      <w:t>Marine Monitoring Program</w:t>
    </w:r>
    <w:r>
      <w:rPr>
        <w:rFonts w:cs="Arial"/>
        <w:sz w:val="18"/>
        <w:szCs w:val="20"/>
      </w:rPr>
      <w:tab/>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21B8F" w14:textId="77777777" w:rsidR="0067675D" w:rsidRDefault="00D91B0F">
    <w:r>
      <w:rPr>
        <w:noProof/>
      </w:rPr>
      <w:pict w14:anchorId="5699EB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63" o:spid="_x0000_s2057" type="#_x0000_t136" alt="" style="position:absolute;margin-left:0;margin-top:0;width:573.7pt;height:86.05pt;rotation:315;z-index:-251658237;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78A7C" w14:textId="77777777" w:rsidR="0067675D" w:rsidRDefault="00D91B0F">
    <w:r>
      <w:rPr>
        <w:noProof/>
      </w:rPr>
      <w:pict w14:anchorId="7B5A14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6" type="#_x0000_t136" alt="" style="position:absolute;margin-left:0;margin-top:0;width:573.7pt;height:86.05pt;rotation:315;z-index:-251646962;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52AEC" w14:textId="77777777" w:rsidR="0067675D" w:rsidRPr="005A5A65" w:rsidRDefault="0067675D" w:rsidP="00942CAB">
    <w:pPr>
      <w:pBdr>
        <w:bottom w:val="single" w:sz="18" w:space="1" w:color="91DC41"/>
      </w:pBdr>
      <w:tabs>
        <w:tab w:val="right" w:pos="9064"/>
      </w:tabs>
      <w:jc w:val="both"/>
      <w:rPr>
        <w:rFonts w:cs="Arial"/>
        <w:sz w:val="18"/>
        <w:szCs w:val="20"/>
      </w:rPr>
    </w:pPr>
    <w:r w:rsidRPr="005A5A65">
      <w:rPr>
        <w:rFonts w:cs="Arial"/>
        <w:sz w:val="18"/>
        <w:szCs w:val="20"/>
      </w:rPr>
      <w:t>Marine Monitoring Program</w:t>
    </w:r>
    <w:r>
      <w:rPr>
        <w:rFonts w:cs="Arial"/>
        <w:sz w:val="18"/>
        <w:szCs w:val="20"/>
      </w:rPr>
      <w:tab/>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4D6D4" w14:textId="77777777" w:rsidR="0067675D" w:rsidRDefault="00D91B0F">
    <w:r>
      <w:rPr>
        <w:noProof/>
      </w:rPr>
      <w:pict w14:anchorId="408184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5" type="#_x0000_t136" alt="" style="position:absolute;margin-left:0;margin-top:0;width:573.7pt;height:86.05pt;rotation:315;z-index:-251649010;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341C" w14:textId="77777777" w:rsidR="0067675D" w:rsidRDefault="00D91B0F">
    <w:r>
      <w:rPr>
        <w:noProof/>
      </w:rPr>
      <w:pict w14:anchorId="336B41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8" type="#_x0000_t136" alt="" style="position:absolute;margin-left:0;margin-top:0;width:573.7pt;height:86.05pt;rotation:315;z-index:-251642866;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177E8" w14:textId="77777777" w:rsidR="0067675D" w:rsidRPr="005A5A65" w:rsidRDefault="0067675D" w:rsidP="00942CAB">
    <w:pPr>
      <w:pBdr>
        <w:bottom w:val="single" w:sz="18" w:space="1" w:color="91DC41"/>
      </w:pBdr>
      <w:tabs>
        <w:tab w:val="right" w:pos="9064"/>
      </w:tabs>
      <w:jc w:val="both"/>
      <w:rPr>
        <w:rFonts w:cs="Arial"/>
        <w:sz w:val="18"/>
        <w:szCs w:val="20"/>
      </w:rPr>
    </w:pPr>
    <w:r w:rsidRPr="005A5A65">
      <w:rPr>
        <w:rFonts w:cs="Arial"/>
        <w:sz w:val="18"/>
        <w:szCs w:val="20"/>
      </w:rPr>
      <w:t>Marine Monitoring Program</w:t>
    </w:r>
    <w:r>
      <w:rPr>
        <w:rFonts w:cs="Arial"/>
        <w:sz w:val="18"/>
        <w:szCs w:val="20"/>
      </w:rPr>
      <w:tab/>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8CF29" w14:textId="77777777" w:rsidR="0067675D" w:rsidRDefault="00D91B0F">
    <w:r>
      <w:rPr>
        <w:noProof/>
      </w:rPr>
      <w:pict w14:anchorId="537D2A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7" type="#_x0000_t136" alt="" style="position:absolute;margin-left:0;margin-top:0;width:573.7pt;height:86.05pt;rotation:315;z-index:-251644914;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20525" w14:textId="77777777" w:rsidR="0067675D" w:rsidRDefault="00D91B0F">
    <w:r>
      <w:rPr>
        <w:noProof/>
      </w:rPr>
      <w:pict w14:anchorId="580EC0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67" o:spid="_x0000_s2056" type="#_x0000_t136" alt="" style="position:absolute;margin-left:0;margin-top:0;width:573.7pt;height:86.05pt;rotation:315;z-index:-251658228;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34CB4" w14:textId="77777777" w:rsidR="0067675D" w:rsidRDefault="00D91B0F">
    <w:r>
      <w:rPr>
        <w:noProof/>
      </w:rPr>
      <w:pict w14:anchorId="7782D0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66" o:spid="_x0000_s2055" type="#_x0000_t136" alt="" style="position:absolute;margin-left:0;margin-top:0;width:573.7pt;height:86.05pt;rotation:315;z-index:-251658229;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1F6E8" w14:textId="7A85009C" w:rsidR="0067675D" w:rsidRDefault="0067675D">
    <w:r>
      <w:rPr>
        <w:noProof/>
        <w:lang w:eastAsia="en-AU"/>
      </w:rPr>
      <mc:AlternateContent>
        <mc:Choice Requires="wps">
          <w:drawing>
            <wp:anchor distT="0" distB="0" distL="114300" distR="114300" simplePos="0" relativeHeight="251658254" behindDoc="1" locked="0" layoutInCell="0" allowOverlap="1" wp14:anchorId="482237DD" wp14:editId="62E807ED">
              <wp:simplePos x="0" y="0"/>
              <wp:positionH relativeFrom="margin">
                <wp:align>center</wp:align>
              </wp:positionH>
              <wp:positionV relativeFrom="margin">
                <wp:align>center</wp:align>
              </wp:positionV>
              <wp:extent cx="7285990" cy="106680"/>
              <wp:effectExtent l="0" t="2133600" r="0" b="2164715"/>
              <wp:wrapNone/>
              <wp:docPr id="51" name="WordArt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0D8D0C"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82237DD" id="_x0000_t202" coordsize="21600,21600" o:spt="202" path="m,l,21600r21600,l21600,xe">
              <v:stroke joinstyle="miter"/>
              <v:path gradientshapeok="t" o:connecttype="rect"/>
            </v:shapetype>
            <v:shape id="WordArt 32" o:spid="_x0000_s1026" type="#_x0000_t202" style="position:absolute;margin-left:0;margin-top:0;width:573.7pt;height:8.4pt;rotation:-45;z-index:-25165822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eYhgIAAP0EAAAOAAAAZHJzL2Uyb0RvYy54bWysVMtu2zAQvBfoPxC8O3pUdiwhcpCXe0nb&#10;AHGRMy1SFluJy5K0JSPov3dJKa/2UhT1gaaWq9nZnaHOzoeuJQdhrARV0uQkpkSoCrhUu5J+3axn&#10;S0qsY4qzFpQo6VFYer56/+6s14VIoYGWC0MQRNmi1yVtnNNFFNmqER2zJ6CFwsMaTMccPppdxA3r&#10;Eb1rozSOF1EPhmsDlbAWo9fjIV0F/LoWlftS11Y40pYUubmwmrBu/RqtzlixM0w3spposH9g0TGp&#10;sOgz1DVzjOyN/AOqk5UBC7U7qaCLoK5lJUIP2E0S/9bNfcO0CL3gcKx+HpP9f7DV58OdIZKXdJ5Q&#10;oliHGj3gSC+MIx9SP55e2wKz7jXmueESBpQ5tGr1LVTfLVFw1TC1ExfGQN8IxpGex5rCoYnNUSNw&#10;iG7E4G64RCUSDx+9wh+LWV9p238Cjq+wvYNQbahNRwz415Z57H8hjBMkyAilPT7LiQVIhcHTdDnP&#10;czyq8CyJF4tl0DtihQfzamlj3UcBHfGbkhq0S0Blh1vrPLmXFJ+OwBifdqO8j3mSZvFlms/Wi+Xp&#10;LFtn81l+Gi9ncZJf5os4y7Pr9U8PmmRFIzkX6lYq8WS1JPs7KSfTjyYJZiN9SfN5Og98LbSSr2Xb&#10;em7W7LZXrSEH5j0/jmrs5U2agb3iGGeF1+xm2jsm23EfvWUchoEDePoPgwjieb1G5dywHRDRK7oF&#10;fkQZe7xZJbU/9swItMS+uwIkhT6oDXSTz/yzp+E12AwPzOhJDofl7tqnmxU08Xk7PvmU8W8I1LV4&#10;YbFXMg+mGDudkif9RtQwG32BhlrLIO4Lz8mGeMdCe9P3wF/i188h6+WrtfoFAAD//wMAUEsDBBQA&#10;BgAIAAAAIQB+gV+u2wAAAAUBAAAPAAAAZHJzL2Rvd25yZXYueG1sTI9Bb8IwDIXvk/gPkZF2Gykb&#10;YqhritCqHTgC086mMW23xClNSst+/cIu28V61rPe+5ytR2vEhTrfOFYwnyUgiEunG64UvB/eHlYg&#10;fEDWaByTgit5WOeTuwxT7Qbe0WUfKhFD2KeooA6hTaX0ZU0W/cy1xNE7uc5iiGtXSd3hEMOtkY9J&#10;spQWG44NNbb0WlP5te+tAv19urZPw3DYbndFfzZNUdDHp1L303HzAiLQGP6O4YYf0SGPTEfXs/bC&#10;KIiPhN958+aL5wWIY1TLFcg8k//p8x8AAAD//wMAUEsBAi0AFAAGAAgAAAAhALaDOJL+AAAA4QEA&#10;ABMAAAAAAAAAAAAAAAAAAAAAAFtDb250ZW50X1R5cGVzXS54bWxQSwECLQAUAAYACAAAACEAOP0h&#10;/9YAAACUAQAACwAAAAAAAAAAAAAAAAAvAQAAX3JlbHMvLnJlbHNQSwECLQAUAAYACAAAACEAMmfX&#10;mIYCAAD9BAAADgAAAAAAAAAAAAAAAAAuAgAAZHJzL2Uyb0RvYy54bWxQSwECLQAUAAYACAAAACEA&#10;foFfrtsAAAAFAQAADwAAAAAAAAAAAAAAAADgBAAAZHJzL2Rvd25yZXYueG1sUEsFBgAAAAAEAAQA&#10;8wAAAOgFAAAAAA==&#10;" o:allowincell="f" filled="f" stroked="f">
              <v:stroke joinstyle="round"/>
              <o:lock v:ext="edit" shapetype="t"/>
              <v:textbox style="mso-fit-shape-to-text:t">
                <w:txbxContent>
                  <w:p w14:paraId="390D8D0C"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FB8DE" w14:textId="624CDEA9" w:rsidR="0067675D" w:rsidRPr="005A5A65"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B6FE7" w14:textId="18F10471" w:rsidR="0067675D" w:rsidRDefault="0067675D">
    <w:r>
      <w:rPr>
        <w:noProof/>
        <w:lang w:eastAsia="en-AU"/>
      </w:rPr>
      <mc:AlternateContent>
        <mc:Choice Requires="wps">
          <w:drawing>
            <wp:anchor distT="0" distB="0" distL="114300" distR="114300" simplePos="0" relativeHeight="251658253" behindDoc="1" locked="0" layoutInCell="0" allowOverlap="1" wp14:anchorId="63C5F67E" wp14:editId="5D9E3200">
              <wp:simplePos x="0" y="0"/>
              <wp:positionH relativeFrom="margin">
                <wp:align>center</wp:align>
              </wp:positionH>
              <wp:positionV relativeFrom="margin">
                <wp:align>center</wp:align>
              </wp:positionV>
              <wp:extent cx="7285990" cy="106680"/>
              <wp:effectExtent l="0" t="2133600" r="0" b="2164715"/>
              <wp:wrapNone/>
              <wp:docPr id="47"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5D0699"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C5F67E" id="_x0000_t202" coordsize="21600,21600" o:spt="202" path="m,l,21600r21600,l21600,xe">
              <v:stroke joinstyle="miter"/>
              <v:path gradientshapeok="t" o:connecttype="rect"/>
            </v:shapetype>
            <v:shape id="WordArt 31" o:spid="_x0000_s1027" type="#_x0000_t202" style="position:absolute;margin-left:0;margin-top:0;width:573.7pt;height:8.4pt;rotation:-45;z-index:-25165822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N78iwIAAAQFAAAOAAAAZHJzL2Uyb0RvYy54bWysVE2P0zAQvSPxHyzfu0lK+pFo09V+lcsC&#10;K23Rnt3YaQyJbWy3SYX474wnadmFC0L0kNrjyZt5855zedW3DTkI66RWBU0uYkqEKjWXalfQz5v1&#10;ZEmJ80xx1mglCnoUjl6t3r657EwuprrWDReWAIhyeWcKWntv8ihyZS1a5i60EQoOK21b5mFrdxG3&#10;rAP0tommcTyPOm25sboUzkH0bjikK8SvKlH6T1XlhCdNQaE3j0+Lz214RqtLlu8sM7UsxzbYP3TR&#10;Mqmg6BnqjnlG9lb+AdXK0mqnK39R6jbSVSVLgRyATRL/xuapZkYgFxiOM+cxuf8HW348PFoieUHT&#10;BSWKtaDRM4z02nryLgnj6YzLIevJQJ7vb3QPMiNVZx50+dURpW9rpnbi2lrd1YJxaC8BrDGMJDZH&#10;A8AY3Yje33MJSiB89AJ/KOZCpW33QXN4he29xmp9ZVtidXhtmcXhh2GYIIGOQNrjWU4oQEoILqbL&#10;WZbBUQlnSTyfL1HviOUBLKhlrPPvhW5JWBTUgl0QlR0enAfukHpKCekADPFxNcj7PUumaXwzzSbr&#10;+XIxSdfpbJIt4uUkTrKbbB6nWXq3/hFAkzSvJedCPUglTlZL0r+TcjT9YBI0G+kKms2mM+zX6Uby&#10;tWya0Juzu+1tY8mBBc8Poxq4vEqzeq842j9odj+uPZPNsI5ed4zDgAGc/nEQKF7Qa1DO99sevXQ2&#10;zlbzI6jZwQUrqPu2Z1aAM/btrYbewA6V1e1ot7AP7YeBb/pnZs2oioeqj83pgqE0IW/HR7sy/gWA&#10;2gbuLVAmM/TGQHhMHmUcUHFE5hp8tZaocTDg0CdwCxu4ashy/CyEu/xyj1m/Pl6rnwAAAP//AwBQ&#10;SwMEFAAGAAgAAAAhAH6BX67bAAAABQEAAA8AAABkcnMvZG93bnJldi54bWxMj0FvwjAMhe+T+A+R&#10;kXYbKRtiqGuK0KodOALTzqYxbbfEKU1Ky379wi7bxXrWs977nK1Ha8SFOt84VjCfJSCIS6cbrhS8&#10;H94eViB8QNZoHJOCK3lY55O7DFPtBt7RZR8qEUPYp6igDqFNpfRlTRb9zLXE0Tu5zmKIa1dJ3eEQ&#10;w62Rj0mylBYbjg01tvRaU/m1760C/X26tk/DcNhud0V/Nk1R0MenUvfTcfMCItAY/o7hhh/RIY9M&#10;R9ez9sIoiI+E33nz5ovnBYhjVMsVyDyT/+nzHwAAAP//AwBQSwECLQAUAAYACAAAACEAtoM4kv4A&#10;AADhAQAAEwAAAAAAAAAAAAAAAAAAAAAAW0NvbnRlbnRfVHlwZXNdLnhtbFBLAQItABQABgAIAAAA&#10;IQA4/SH/1gAAAJQBAAALAAAAAAAAAAAAAAAAAC8BAABfcmVscy8ucmVsc1BLAQItABQABgAIAAAA&#10;IQB5FN78iwIAAAQFAAAOAAAAAAAAAAAAAAAAAC4CAABkcnMvZTJvRG9jLnhtbFBLAQItABQABgAI&#10;AAAAIQB+gV+u2wAAAAUBAAAPAAAAAAAAAAAAAAAAAOUEAABkcnMvZG93bnJldi54bWxQSwUGAAAA&#10;AAQABADzAAAA7QUAAAAA&#10;" o:allowincell="f" filled="f" stroked="f">
              <v:stroke joinstyle="round"/>
              <o:lock v:ext="edit" shapetype="t"/>
              <v:textbox style="mso-fit-shape-to-text:t">
                <w:txbxContent>
                  <w:p w14:paraId="795D0699"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99A2C" w14:textId="77777777" w:rsidR="0067675D" w:rsidRDefault="0067675D">
    <w:r>
      <w:rPr>
        <w:noProof/>
        <w:lang w:eastAsia="en-AU"/>
      </w:rPr>
      <mc:AlternateContent>
        <mc:Choice Requires="wps">
          <w:drawing>
            <wp:anchor distT="0" distB="0" distL="114300" distR="114300" simplePos="0" relativeHeight="251677710" behindDoc="1" locked="0" layoutInCell="0" allowOverlap="1" wp14:anchorId="6E2C68C4" wp14:editId="38BC1ECA">
              <wp:simplePos x="0" y="0"/>
              <wp:positionH relativeFrom="margin">
                <wp:align>center</wp:align>
              </wp:positionH>
              <wp:positionV relativeFrom="margin">
                <wp:align>center</wp:align>
              </wp:positionV>
              <wp:extent cx="7285990" cy="106680"/>
              <wp:effectExtent l="0" t="2133600" r="0" b="2164715"/>
              <wp:wrapNone/>
              <wp:docPr id="33" name="WordArt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BE77FD"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68C4" id="_x0000_t202" coordsize="21600,21600" o:spt="202" path="m,l,21600r21600,l21600,xe">
              <v:stroke joinstyle="miter"/>
              <v:path gradientshapeok="t" o:connecttype="rect"/>
            </v:shapetype>
            <v:shape id="_x0000_s1028" type="#_x0000_t202" style="position:absolute;margin-left:0;margin-top:0;width:573.7pt;height:8.4pt;rotation:-45;z-index:-25163877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YftiwIAAAQFAAAOAAAAZHJzL2Uyb0RvYy54bWysVMtu2zAQvBfoPxC8O3pEdiwhcmAncS9p&#10;GyAucqZFymIrPkrSloyi/94lJTtJeymK+kBTy9Xs7M5Q1ze9aNGBGcuVLHFyEWPEZKUol7sSf9ms&#10;J3OMrCOSklZJVuIjs/hm8f7ddacLlqpGtZQZBCDSFp0uceOcLqLIVg0TxF4ozSQc1soI4uDR7CJq&#10;SAfooo3SOJ5FnTJUG1UxayF6NxziRcCva1a5z3VtmUNtiYGbC6sJ69av0eKaFDtDdMOrkQb5BxaC&#10;cAlFz1B3xBG0N/wPKMEro6yq3UWlRKTqmlcs9ADdJPFv3Tw1RLPQCwzH6vOY7P+DrT4dHg3itMSX&#10;lxhJIkCjZxjp0jh0mfrxdNoWkPWkIc/1K9WDzKFVqx9U9c0iqW4bIndsaYzqGkYo0EsAawyHJjZH&#10;DcAhumG9u6cclEg8fPQKfyhmfaVt91FReIXsnQrV+toIZJR/bZ7H/hfCMEEEjEDa41lOKIAqCF6l&#10;82mew1EFZ0k8m82D3hEpPJhXSxvrPjAlkN+U2IBdAio5PFjnyb2k+HQAhvi4G+T9kSdpFq/SfLKe&#10;za8m2TqbTvKreD6Jk3yVz+Isz+7WPz1okhUNp5TJBy7ZyWpJ9ndSjqYfTBLMhroS59N0Gvha1XK6&#10;5m3ruVmz2962Bh2I9/wwqqGXN2lG7SWFOCm8Zvfj3hHeDvvoLeMwDBjA6T8MIojn9RqUc/22D146&#10;G2er6BHU7OCCldh+3xPDwBl7cauAG9ihNkqMdvPPno2XYtM/E6NHVRxUfWxPFyxI4/N2dLQroV8B&#10;SLRwb6FlNA3eGBoek0cZB9QwIr0EX6150NgbcOA5uhGuWuhy/Cz4u/z6OWS9fLwWvwAAAP//AwBQ&#10;SwMEFAAGAAgAAAAhAH6BX67bAAAABQEAAA8AAABkcnMvZG93bnJldi54bWxMj0FvwjAMhe+T+A+R&#10;kXYbKRtiqGuK0KodOALTzqYxbbfEKU1Ky379wi7bxXrWs977nK1Ha8SFOt84VjCfJSCIS6cbrhS8&#10;H94eViB8QNZoHJOCK3lY55O7DFPtBt7RZR8qEUPYp6igDqFNpfRlTRb9zLXE0Tu5zmKIa1dJ3eEQ&#10;w62Rj0mylBYbjg01tvRaU/m1760C/X26tk/DcNhud0V/Nk1R0MenUvfTcfMCItAY/o7hhh/RIY9M&#10;R9ez9sIoiI+E33nz5ovnBYhjVMsVyDyT/+nzHwAAAP//AwBQSwECLQAUAAYACAAAACEAtoM4kv4A&#10;AADhAQAAEwAAAAAAAAAAAAAAAAAAAAAAW0NvbnRlbnRfVHlwZXNdLnhtbFBLAQItABQABgAIAAAA&#10;IQA4/SH/1gAAAJQBAAALAAAAAAAAAAAAAAAAAC8BAABfcmVscy8ucmVsc1BLAQItABQABgAIAAAA&#10;IQBUtYftiwIAAAQFAAAOAAAAAAAAAAAAAAAAAC4CAABkcnMvZTJvRG9jLnhtbFBLAQItABQABgAI&#10;AAAAIQB+gV+u2wAAAAUBAAAPAAAAAAAAAAAAAAAAAOUEAABkcnMvZG93bnJldi54bWxQSwUGAAAA&#10;AAQABADzAAAA7QUAAAAA&#10;" o:allowincell="f" filled="f" stroked="f">
              <v:stroke joinstyle="round"/>
              <o:lock v:ext="edit" shapetype="t"/>
              <v:textbox style="mso-fit-shape-to-text:t">
                <w:txbxContent>
                  <w:p w14:paraId="6ABE77FD"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53BE" w14:textId="77777777" w:rsidR="0067675D" w:rsidRPr="005A5A65"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B0220" w14:textId="77777777" w:rsidR="0067675D" w:rsidRDefault="0067675D">
    <w:r>
      <w:rPr>
        <w:noProof/>
        <w:lang w:eastAsia="en-AU"/>
      </w:rPr>
      <mc:AlternateContent>
        <mc:Choice Requires="wps">
          <w:drawing>
            <wp:anchor distT="0" distB="0" distL="114300" distR="114300" simplePos="0" relativeHeight="251675662" behindDoc="1" locked="0" layoutInCell="0" allowOverlap="1" wp14:anchorId="29BD5487" wp14:editId="5F607CC8">
              <wp:simplePos x="0" y="0"/>
              <wp:positionH relativeFrom="margin">
                <wp:align>center</wp:align>
              </wp:positionH>
              <wp:positionV relativeFrom="margin">
                <wp:align>center</wp:align>
              </wp:positionV>
              <wp:extent cx="7285990" cy="106680"/>
              <wp:effectExtent l="0" t="2133600" r="0" b="2164715"/>
              <wp:wrapNone/>
              <wp:docPr id="21"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B46468"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9BD5487" id="_x0000_t202" coordsize="21600,21600" o:spt="202" path="m,l,21600r21600,l21600,xe">
              <v:stroke joinstyle="miter"/>
              <v:path gradientshapeok="t" o:connecttype="rect"/>
            </v:shapetype>
            <v:shape id="_x0000_s1029" type="#_x0000_t202" style="position:absolute;margin-left:0;margin-top:0;width:573.7pt;height:8.4pt;rotation:-45;z-index:-25164081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UaKjAIAAAQFAAAOAAAAZHJzL2Uyb0RvYy54bWysVMtu2zAQvBfoPxC8O3pEdiwhcpBH3Uva&#10;BoiLnGmRsthKJEvSloyi/97lSk6T9lIU9UEml6vZnZ2hLq+GriUHYZ3UqqTJWUyJUJXmUu1K+nmz&#10;ni0pcZ4pzlqtREmPwtGr1ds3l70pRKob3XJhCYAoV/SmpI33pogiVzWiY+5MG6HgsNa2Yx62dhdx&#10;y3pA79oojeNF1GvLjdWVcA6id+MhXSF+XYvKf6prJzxpSwq9eXxafG7DM1pdsmJnmWlkNbXB/qGL&#10;jkkFRZ+h7phnZG/lH1CdrKx2uvZnle4iXdeyEsgB2CTxb2weG2YEcoHhOPM8Jvf/YKuPhwdLJC9p&#10;mlCiWAcaPcFIr60n50kYT29cAVmPBvL8cKMHkBmpOnOvq6+OKH3bMLUT19bqvhGMQ3sBawojic3R&#10;ADBGN2Lw77gEJRA+eoE/FnOh0rb/oDm8wvZeY7Whth2xOry2zOPwwzBMkEBHIO3xWU4oQCoIXqTL&#10;eZ7DUQVnSbxYLFHviBUBLKhlrPPvhe5IWJTUgl0QlR3unQfukHpKCekADPFpNcr7PU/SLL5J89l6&#10;sbyYZetsPssv4uUsTvKbfBFneXa3/hFAk6xoJOdC3UslTlZLsr+TcjL9aBI0G+lLms/TOfbrdCv5&#10;WrZt6M3Z3fa2teTAgufHUY1cXqVZvVcc7R80ezetPZPtuI5ed4zDgAGc/nEQKF7Qa1TOD9sBvXR+&#10;Ms5W8yOo2cMFK6n7tmdWgDP23a2G3sAOtdXdZLewD+2HgW+GJ2bNpIqHqg/t6YKhNCFvxye7Mv4F&#10;gLoW7i1QJnP0xkh4Sp5kHFFxROYafLWWqHEw4NgncAsbuGrIcvoshLv8co9Zvz5eq58AAAD//wMA&#10;UEsDBBQABgAIAAAAIQB+gV+u2wAAAAUBAAAPAAAAZHJzL2Rvd25yZXYueG1sTI9Bb8IwDIXvk/gP&#10;kZF2GykbYqhritCqHTgC086mMW23xClNSst+/cIu28V61rPe+5ytR2vEhTrfOFYwnyUgiEunG64U&#10;vB/eHlYgfEDWaByTgit5WOeTuwxT7Qbe0WUfKhFD2KeooA6hTaX0ZU0W/cy1xNE7uc5iiGtXSd3h&#10;EMOtkY9JspQWG44NNbb0WlP5te+tAv19urZPw3DYbndFfzZNUdDHp1L303HzAiLQGP6O4YYf0SGP&#10;TEfXs/bCKIiPhN958+aL5wWIY1TLFcg8k//p8x8AAAD//wMAUEsBAi0AFAAGAAgAAAAhALaDOJL+&#10;AAAA4QEAABMAAAAAAAAAAAAAAAAAAAAAAFtDb250ZW50X1R5cGVzXS54bWxQSwECLQAUAAYACAAA&#10;ACEAOP0h/9YAAACUAQAACwAAAAAAAAAAAAAAAAAvAQAAX3JlbHMvLnJlbHNQSwECLQAUAAYACAAA&#10;ACEAr6VGiowCAAAEBQAADgAAAAAAAAAAAAAAAAAuAgAAZHJzL2Uyb0RvYy54bWxQSwECLQAUAAYA&#10;CAAAACEAfoFfrtsAAAAFAQAADwAAAAAAAAAAAAAAAADmBAAAZHJzL2Rvd25yZXYueG1sUEsFBgAA&#10;AAAEAAQA8wAAAO4FAAAAAA==&#10;" o:allowincell="f" filled="f" stroked="f">
              <v:stroke joinstyle="round"/>
              <o:lock v:ext="edit" shapetype="t"/>
              <v:textbox style="mso-fit-shape-to-text:t">
                <w:txbxContent>
                  <w:p w14:paraId="40B46468"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DF26" w14:textId="77777777" w:rsidR="0067675D" w:rsidRDefault="0067675D">
    <w:r>
      <w:rPr>
        <w:noProof/>
        <w:lang w:eastAsia="en-AU"/>
      </w:rPr>
      <mc:AlternateContent>
        <mc:Choice Requires="wps">
          <w:drawing>
            <wp:anchor distT="0" distB="0" distL="114300" distR="114300" simplePos="0" relativeHeight="251681806" behindDoc="1" locked="0" layoutInCell="0" allowOverlap="1" wp14:anchorId="15FA7FA9" wp14:editId="46003B7A">
              <wp:simplePos x="0" y="0"/>
              <wp:positionH relativeFrom="margin">
                <wp:align>center</wp:align>
              </wp:positionH>
              <wp:positionV relativeFrom="margin">
                <wp:align>center</wp:align>
              </wp:positionV>
              <wp:extent cx="7285990" cy="106680"/>
              <wp:effectExtent l="0" t="2133600" r="0" b="2164715"/>
              <wp:wrapNone/>
              <wp:docPr id="35" name="WordArt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3808D4E"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5FA7FA9" id="_x0000_t202" coordsize="21600,21600" o:spt="202" path="m,l,21600r21600,l21600,xe">
              <v:stroke joinstyle="miter"/>
              <v:path gradientshapeok="t" o:connecttype="rect"/>
            </v:shapetype>
            <v:shape id="_x0000_s1030" type="#_x0000_t202" style="position:absolute;margin-left:0;margin-top:0;width:573.7pt;height:8.4pt;rotation:-45;z-index:-25163467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j0jAIAAAQFAAAOAAAAZHJzL2Uyb0RvYy54bWysVMtu2zAQvBfoPxC8O3pEdiwhchA7cS9p&#10;GyAucqZFymIrPkrSloyi/94lJTtJeymK+kBTy9Xs7M5Q1ze9aNGBGcuVLHFyEWPEZKUol7sSf9ms&#10;J3OMrCOSklZJVuIjs/hm8f7ddacLlqpGtZQZBCDSFp0uceOcLqLIVg0TxF4ozSQc1soI4uDR7CJq&#10;SAfooo3SOJ5FnTJUG1UxayF6NxziRcCva1a5z3VtmUNtiYGbC6sJ69av0eKaFDtDdMOrkQb5BxaC&#10;cAlFz1B3xBG0N/wPKMEro6yq3UWlRKTqmlcs9ADdJPFv3Tw1RLPQCwzH6vOY7P+DrT4dHg3itMSX&#10;U4wkEaDRM4z01jh0mfrxdNoWkPWkIc/1S9WDzKFVqx9U9c0iqVYNkTt2a4zqGkYo0EsAawyHJjZH&#10;DcAhumG9u6cclEg8fPQKfyhmfaVt91FReIXsnQrV+toIZJR/bZ7H/hfCMEEEjEDa41lOKIAqCF6l&#10;82mew1EFZ0k8m82D3hEpPJhXSxvrPjAlkN+U2IBdAio5PFjnyb2k+HQAhvi4G+T9kSdpFi/TfLKe&#10;za8m2TqbTvKreD6Jk3yZz+Isz+7WPz1okhUNp5TJBy7ZyWpJ9ndSjqYfTBLMhroS59N0Gvha1XK6&#10;5m3ruVmz265agw7Ee34Y1dDLmzSj9pJCnBRes/tx7whvh330lnEYBgzg9B8GEcTzeg3KuX7bBy9l&#10;J+NsFT2Cmh1csBLb73tiGDhjL1YKuIEdaqPEaDf/7Nl4KTb9MzF6VMVB1cf2dMGCND5vR0e7EvoV&#10;gEQL9xZaRtPgjaHhMXmUcUANI9K34Ks1Dxp7Aw48RzfCVQtdjp8Ff5dfP4esl4/X4hcAAAD//wMA&#10;UEsDBBQABgAIAAAAIQB+gV+u2wAAAAUBAAAPAAAAZHJzL2Rvd25yZXYueG1sTI9Bb8IwDIXvk/gP&#10;kZF2GykbYqhritCqHTgC086mMW23xClNSst+/cIu28V61rPe+5ytR2vEhTrfOFYwnyUgiEunG64U&#10;vB/eHlYgfEDWaByTgit5WOeTuwxT7Qbe0WUfKhFD2KeooA6hTaX0ZU0W/cy1xNE7uc5iiGtXSd3h&#10;EMOtkY9JspQWG44NNbb0WlP5te+tAv19urZPw3DYbndFfzZNUdDHp1L303HzAiLQGP6O4YYf0SGP&#10;TEfXs/bCKIiPhN958+aL5wWIY1TLFcg8k//p8x8AAAD//wMAUEsBAi0AFAAGAAgAAAAhALaDOJL+&#10;AAAA4QEAABMAAAAAAAAAAAAAAAAAAAAAAFtDb250ZW50X1R5cGVzXS54bWxQSwECLQAUAAYACAAA&#10;ACEAOP0h/9YAAACUAQAACwAAAAAAAAAAAAAAAAAvAQAAX3JlbHMvLnJlbHNQSwECLQAUAAYACAAA&#10;ACEA3boI9IwCAAAEBQAADgAAAAAAAAAAAAAAAAAuAgAAZHJzL2Uyb0RvYy54bWxQSwECLQAUAAYA&#10;CAAAACEAfoFfrtsAAAAFAQAADwAAAAAAAAAAAAAAAADmBAAAZHJzL2Rvd25yZXYueG1sUEsFBgAA&#10;AAAEAAQA8wAAAO4FAAAAAA==&#10;" o:allowincell="f" filled="f" stroked="f">
              <v:stroke joinstyle="round"/>
              <o:lock v:ext="edit" shapetype="t"/>
              <v:textbox style="mso-fit-shape-to-text:t">
                <w:txbxContent>
                  <w:p w14:paraId="23808D4E"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4435E" w14:textId="77777777" w:rsidR="0067675D" w:rsidRPr="005A5A65"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w:t>
    </w:r>
    <w:r w:rsidRPr="005A5A65">
      <w:rPr>
        <w:rFonts w:cs="Arial"/>
        <w:sz w:val="18"/>
        <w:szCs w:val="20"/>
      </w:rPr>
      <w:t xml:space="preserve"> monitoring 201</w:t>
    </w:r>
    <w:r>
      <w:rPr>
        <w:rFonts w:cs="Arial"/>
        <w:sz w:val="18"/>
        <w:szCs w:val="20"/>
      </w:rPr>
      <w:t>8</w:t>
    </w:r>
    <w:r w:rsidRPr="005A5A65">
      <w:rPr>
        <w:rFonts w:cs="Arial"/>
        <w:sz w:val="18"/>
        <w:szCs w:val="20"/>
      </w:rPr>
      <w:t>–1</w:t>
    </w:r>
    <w:r>
      <w:rPr>
        <w:rFonts w:cs="Arial"/>
        <w:sz w:val="18"/>
        <w:szCs w:val="20"/>
      </w:rPr>
      <w:t>9</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011A0" w14:textId="77777777" w:rsidR="0067675D" w:rsidRDefault="0067675D">
    <w:r>
      <w:rPr>
        <w:noProof/>
        <w:lang w:eastAsia="en-AU"/>
      </w:rPr>
      <mc:AlternateContent>
        <mc:Choice Requires="wps">
          <w:drawing>
            <wp:anchor distT="0" distB="0" distL="114300" distR="114300" simplePos="0" relativeHeight="251679758" behindDoc="1" locked="0" layoutInCell="0" allowOverlap="1" wp14:anchorId="65311C16" wp14:editId="280F66AA">
              <wp:simplePos x="0" y="0"/>
              <wp:positionH relativeFrom="margin">
                <wp:align>center</wp:align>
              </wp:positionH>
              <wp:positionV relativeFrom="margin">
                <wp:align>center</wp:align>
              </wp:positionV>
              <wp:extent cx="7285990" cy="106680"/>
              <wp:effectExtent l="0" t="2133600" r="0" b="2164715"/>
              <wp:wrapNone/>
              <wp:docPr id="34"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8599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5555DC"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5311C16" id="_x0000_t202" coordsize="21600,21600" o:spt="202" path="m,l,21600r21600,l21600,xe">
              <v:stroke joinstyle="miter"/>
              <v:path gradientshapeok="t" o:connecttype="rect"/>
            </v:shapetype>
            <v:shape id="_x0000_s1031" type="#_x0000_t202" style="position:absolute;margin-left:0;margin-top:0;width:573.7pt;height:8.4pt;rotation:-45;z-index:-25163672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koHjAIAAAQFAAAOAAAAZHJzL2Uyb0RvYy54bWysVMtu2zAQvBfoPxC8O5Ic2bGEyEFe7iVt&#10;A8RFzrRIWWwlLkvSloyg/94lJbtJeymK+iCTy9Xszs5Ql1d925C9MFaCKmhyFlMiVAlcqm1Bv6xX&#10;kwUl1jHFWQNKFPQgLL1avn932elcTKGGhgtDEETZvNMFrZ3TeRTZshYts2eghcLDCkzLHG7NNuKG&#10;dYjeNtE0judRB4ZrA6WwFqN3wyFdBvyqEqX7XFVWONIUFHtz4WnCc+Of0fKS5VvDdC3LsQ32D120&#10;TCoseoK6Y46RnZF/QLWyNGChcmcltBFUlSxF4IBskvg3Nk810yJwweFYfRqT/X+w5af9oyGSF/Q8&#10;pUSxFjV6xpFeG0fOEz+eTtscs5405rn+BnqUOVC1+gHKb5YouK2Z2oprY6CrBePYXoJYYziQWB80&#10;AofoWvTunktUIsBHr/CHYtZX2nQfgeMrbOcgVOsr0xID/rVFFvtfCOMECXaE0h5OcmIBUmLwYrqY&#10;ZRkelXiWxPP5IugdsdyDebW0se6DgJb4RUEN2iWgsv2DdcgdU48pPh2BMT6uBnlfsmSaxjfTbLKa&#10;Ly4m6SqdTbKLeDGJk+wmm8dplt6tfnjQJM1ryblQD1KJo9WS9O+kHE0/mCSYjXQFzWbTWejXQiP5&#10;SjaN782a7ea2MWTPvOeHUQ1c3qQZ2Cke7O81ux/XjslmWEdvOw7DwAEc/8Mggnher0E512/64KXZ&#10;0Tgb4AdUs8MLVlD7fceMQGfs2lvA3tAOlYF2tJvf+/b9wNf9MzN6VMVh1cfmeMGCND5vy0e7Mv4V&#10;gdoG7y1SJrPgjYHwmDzKOKCGEelr9NVKBo29AYc+kZvf4FULLMfPgr/Lr/ch69fHa/kTAAD//wMA&#10;UEsDBBQABgAIAAAAIQB+gV+u2wAAAAUBAAAPAAAAZHJzL2Rvd25yZXYueG1sTI9Bb8IwDIXvk/gP&#10;kZF2GykbYqhritCqHTgC086mMW23xClNSst+/cIu28V61rPe+5ytR2vEhTrfOFYwnyUgiEunG64U&#10;vB/eHlYgfEDWaByTgit5WOeTuwxT7Qbe0WUfKhFD2KeooA6hTaX0ZU0W/cy1xNE7uc5iiGtXSd3h&#10;EMOtkY9JspQWG44NNbb0WlP5te+tAv19urZPw3DYbndFfzZNUdDHp1L303HzAiLQGP6O4YYf0SGP&#10;TEfXs/bCKIiPhN958+aL5wWIY1TLFcg8k//p8x8AAAD//wMAUEsBAi0AFAAGAAgAAAAhALaDOJL+&#10;AAAA4QEAABMAAAAAAAAAAAAAAAAAAAAAAFtDb250ZW50X1R5cGVzXS54bWxQSwECLQAUAAYACAAA&#10;ACEAOP0h/9YAAACUAQAACwAAAAAAAAAAAAAAAAAvAQAAX3JlbHMvLnJlbHNQSwECLQAUAAYACAAA&#10;ACEAXOpKB4wCAAAEBQAADgAAAAAAAAAAAAAAAAAuAgAAZHJzL2Uyb0RvYy54bWxQSwECLQAUAAYA&#10;CAAAACEAfoFfrtsAAAAFAQAADwAAAAAAAAAAAAAAAADmBAAAZHJzL2Rvd25yZXYueG1sUEsFBgAA&#10;AAAEAAQA8wAAAO4FAAAAAA==&#10;" o:allowincell="f" filled="f" stroked="f">
              <v:stroke joinstyle="round"/>
              <o:lock v:ext="edit" shapetype="t"/>
              <v:textbox style="mso-fit-shape-to-text:t">
                <w:txbxContent>
                  <w:p w14:paraId="005555DC" w14:textId="77777777" w:rsidR="0067675D" w:rsidRDefault="0067675D" w:rsidP="00517CB7">
                    <w:pPr>
                      <w:spacing w:before="0" w:after="0"/>
                      <w:jc w:val="center"/>
                    </w:pPr>
                    <w:r>
                      <w:rPr>
                        <w:rFonts w:ascii="Calibri" w:hAnsi="Calibri"/>
                        <w:color w:val="F2F2F2" w:themeColor="background1" w:themeShade="F2"/>
                        <w:sz w:val="2"/>
                        <w:szCs w:val="2"/>
                      </w:rPr>
                      <w:t>DRAFT not for distribution</w:t>
                    </w:r>
                  </w:p>
                </w:txbxContent>
              </v:textbox>
              <w10:wrap anchorx="margin" anchory="margin"/>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8670A" w14:textId="77777777" w:rsidR="0067675D" w:rsidRDefault="0067675D">
    <w:r>
      <w:rPr>
        <w:noProof/>
        <w:lang w:eastAsia="en-AU"/>
      </w:rPr>
      <mc:AlternateContent>
        <mc:Choice Requires="wps">
          <w:drawing>
            <wp:anchor distT="0" distB="0" distL="114300" distR="114300" simplePos="0" relativeHeight="251665422" behindDoc="1" locked="0" layoutInCell="0" allowOverlap="1" wp14:anchorId="2C93621F" wp14:editId="4E13EE2C">
              <wp:simplePos x="0" y="0"/>
              <wp:positionH relativeFrom="margin">
                <wp:align>center</wp:align>
              </wp:positionH>
              <wp:positionV relativeFrom="margin">
                <wp:align>center</wp:align>
              </wp:positionV>
              <wp:extent cx="7285990" cy="1092835"/>
              <wp:effectExtent l="0" t="0" r="0" b="0"/>
              <wp:wrapNone/>
              <wp:docPr id="18" name="Text Box 18" descr="text box"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42FEB8"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C93621F" id="_x0000_t202" coordsize="21600,21600" o:spt="202" path="m,l,21600r21600,l21600,xe">
              <v:stroke joinstyle="miter"/>
              <v:path gradientshapeok="t" o:connecttype="rect"/>
            </v:shapetype>
            <v:shape id="Text Box 18" o:spid="_x0000_s1032" type="#_x0000_t202" alt="Title: text box - Description: text box" style="position:absolute;margin-left:0;margin-top:0;width:573.7pt;height:86.05pt;rotation:-45;z-index:-25165105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G3jpAIAAD0FAAAOAAAAZHJzL2Uyb0RvYy54bWysVMtu2zAQvBfoPxC6O3pUdiwhcpBH3Uva&#10;BoiLnGmSsthKXJakLRlF/71LSnGS9lIU9UGmlqvh7M4sLy6HriUHYawEVUXpWRIRoRhwqXZV9GWz&#10;ni0jYh1VnLagRBUdhY0uV2/fXPS6FBk00HJhCIIoW/a6ihrndBnHljWio/YMtFC4WYPpqMNXs4u5&#10;oT2id22cJcki7sFwbYAJazF6O25Gq4Bf14K5z3VthSNtFSE3F54mPLf+Ga8uaLkzVDeSTTToP7Do&#10;qFR46AnqljpK9kb+AdVJZsBC7c4YdDHUtWQi1IDVpMlv1Tw0VItQCzbH6lOb7P+DZZ8O94ZIjtqh&#10;Uop2qNFGDI5cw0B8iAvLsF/Ox7YwYAulazHpFMAO9tqWCPSgEcoN+CWihW5YfQfsmyUKbhqqduLK&#10;alTE72LoPZfuHqRyWE4ITDnGQN8Iyl+HQy82R41Hp161+MWhIwPrj9/2H4FjDt07CBSG2nTEgD90&#10;WST+F8LYeYI00RLHkw18iQyD59lyXhS4xXAvTYps+W4ejqSlR/Mya2PdBwEd8YsqMlhVgKWHO+s8&#10;u+cUn47IGJ9Woy9+FGmWJ9dZMVsvluezfJ3PZ8V5spwlaXFdLJK8yG/XPz1ompeN5FyoO6nEk0fT&#10;/O88ME3L6K7gUtJXUTHP5oGvhVbytWxbz82a3famNeRA/bCMvRpreZVmYK84xmnpVXo/rR2V7biO&#10;XzMOzcAGPP2HRgT1vGCjdG7YDsGEC99nr+wW+BHl7HEyq8h+31Mj0DP77gaQG7qlNtA94uhfGa9s&#10;qMVLsRkeqdGTKt6i9+3TZAZpPOsdn3xO+VcE6loceCyZzIM5xoKn5EnGEdV/q+AKjVXLoPEzz8mO&#10;OKOhyuk+8ZfAy/eQ9XzrrX4BAAD//wMAUEsDBBQABgAIAAAAIQBK0AP73QAAAAYBAAAPAAAAZHJz&#10;L2Rvd25yZXYueG1sTI8xT8NADIV3JP7DyUgsiF5SFYpCLhWt1IkulA6Mbs5NInK+NHdpA78elwUW&#10;61nPeu9zvhhdq07Uh8azgXSSgCIuvW24MrB7X98/gQoR2WLrmQx8UYBFcX2VY2b9md/otI2VkhAO&#10;GRqoY+wyrUNZk8Mw8R2xeAffO4yy9pW2PZ4l3LV6miSP2mHD0lBjR6uays/t4AxUh4/jcLzbrF7X&#10;u7Ekv1l+PzRLY25vxpdnUJHG+HcMF3xBh0KY9n5gG1RrQB6Jv/PipbP5DNRe1Hyagi5y/R+/+AEA&#10;AP//AwBQSwECLQAUAAYACAAAACEAtoM4kv4AAADhAQAAEwAAAAAAAAAAAAAAAAAAAAAAW0NvbnRl&#10;bnRfVHlwZXNdLnhtbFBLAQItABQABgAIAAAAIQA4/SH/1gAAAJQBAAALAAAAAAAAAAAAAAAAAC8B&#10;AABfcmVscy8ucmVsc1BLAQItABQABgAIAAAAIQCz5G3jpAIAAD0FAAAOAAAAAAAAAAAAAAAAAC4C&#10;AABkcnMvZTJvRG9jLnhtbFBLAQItABQABgAIAAAAIQBK0AP73QAAAAYBAAAPAAAAAAAAAAAAAAAA&#10;AP4EAABkcnMvZG93bnJldi54bWxQSwUGAAAAAAQABADzAAAACAYAAAAA&#10;" o:allowincell="f" filled="f" stroked="f">
              <v:stroke joinstyle="round"/>
              <o:lock v:ext="edit" aspectratio="t" verticies="t" shapetype="t"/>
              <v:textbox>
                <w:txbxContent>
                  <w:p w14:paraId="4742FEB8" w14:textId="77777777" w:rsidR="0067675D" w:rsidRDefault="0067675D"/>
                </w:txbxContent>
              </v:textbox>
              <w10:wrap anchorx="margin" anchory="margin"/>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F8F34" w14:textId="77777777" w:rsidR="0067675D" w:rsidRPr="00326054"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BBA7" w14:textId="77777777" w:rsidR="0067675D" w:rsidRDefault="0067675D">
    <w:r>
      <w:rPr>
        <w:noProof/>
        <w:lang w:eastAsia="en-AU"/>
      </w:rPr>
      <mc:AlternateContent>
        <mc:Choice Requires="wps">
          <w:drawing>
            <wp:anchor distT="0" distB="0" distL="114300" distR="114300" simplePos="0" relativeHeight="251664398" behindDoc="1" locked="0" layoutInCell="0" allowOverlap="1" wp14:anchorId="76046FDD" wp14:editId="711941DC">
              <wp:simplePos x="0" y="0"/>
              <wp:positionH relativeFrom="margin">
                <wp:align>center</wp:align>
              </wp:positionH>
              <wp:positionV relativeFrom="margin">
                <wp:align>center</wp:align>
              </wp:positionV>
              <wp:extent cx="7285990" cy="1092835"/>
              <wp:effectExtent l="0" t="0" r="0" b="0"/>
              <wp:wrapNone/>
              <wp:docPr id="19" name="Text Box 19"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32A86A"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6046FDD" id="_x0000_t202" coordsize="21600,21600" o:spt="202" path="m,l,21600r21600,l21600,xe">
              <v:stroke joinstyle="miter"/>
              <v:path gradientshapeok="t" o:connecttype="rect"/>
            </v:shapetype>
            <v:shape id="Text Box 19" o:spid="_x0000_s1033" type="#_x0000_t202" alt="Title: text box" style="position:absolute;margin-left:0;margin-top:0;width:573.7pt;height:86.05pt;rotation:-45;z-index:-25165208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eBynAIAACwFAAAOAAAAZHJzL2Uyb0RvYy54bWysVE2P0zAQvSPxHyzfu/kg3TbRpqv9oFwW&#10;WGmL9uzGTmNIPMZ2m1SI/87YSfcDLgjRQ+qMx+P35r3JxeXQteQgjJWgSpqcxZQIVQGXalfSL5v1&#10;bEmJdUxx1oISJT0KSy9Xb99c9LoQKTTQcmEIFlG26HVJG+d0EUW2akTH7BlooXCzBtMxh69mF3HD&#10;eqzetVEax+dRD4ZrA5WwFqO34yZdhfp1LSr3ua6tcKQtKWJz4WnCc+uf0eqCFTvDdCOrCQb7BxQd&#10;kwovfSp1yxwjeyP/KNXJyoCF2p1V0EVQ17ISgQOySeLf2Dw0TIvABZtj9VOb7P8rW3063BsiOWqX&#10;U6JYhxptxODINQzEh5x0Lcacj21h8A3rtS3w3IPGk27ARDwcyFt9B9U3SxTcNEztxJXVKIDfxdB7&#10;Lt09SOUQfQhMOcZA3wjGX4cD9c1R49WJvzN6cemIwPrrt/1H4JjD9g4ChKE2HTHgL13msf+FMDaa&#10;IEx0wPFJdc+owuAiXc7zHLcq3EviPF2+m4crWeGreVW1se6DgI74RUkNsgpl2eHOOo/uOcWnY2WM&#10;T6vRBj/yJM3i6zSfrc+Xi1m2zuazfBEvZ3GSX+fncZZnt+ufvmiSFY3kXKg7qcTJkkn2d5JPwzGa&#10;KZiS9CXN5+k84LXQSr6WbeuxWbPb3rSGHJifjbFXI5dXaQb2imOcFV6l99PaMdmO6+g14tAMbMDp&#10;PzQiqOcFG6Vzw3YInluc7LQFfkQ5exzEktrve2YEembf3QBiQ7fUBrpHnPQr45UNXLwUm+GRGT2p&#10;4i16354GMUjjUe/4ZGvGv2KhrsX5RspkHswxEp6SJxnHqv6sgis0Vi2Dxt6BI87JjjiSgeX0+fAz&#10;//I9ZD1/5Fa/AAAA//8DAFBLAwQUAAYACAAAACEAStAD+90AAAAGAQAADwAAAGRycy9kb3ducmV2&#10;LnhtbEyPMU/DQAyFdyT+w8lILIheUhWKQi4VrdSJLpQOjG7OTSJyvjR3aQO/HpcFFutZz3rvc74Y&#10;XatO1IfGs4F0koAiLr1tuDKwe1/fP4EKEdli65kMfFGARXF9lWNm/Znf6LSNlZIQDhkaqGPsMq1D&#10;WZPDMPEdsXgH3zuMsvaVtj2eJdy1epokj9phw9JQY0ermsrP7eAMVIeP43C826xe17uxJL9Zfj80&#10;S2Nub8aXZ1CRxvh3DBd8QYdCmPZ+YBtUa0Aeib/z4qWz+QzUXtR8moIucv0fv/gBAAD//wMAUEsB&#10;Ai0AFAAGAAgAAAAhALaDOJL+AAAA4QEAABMAAAAAAAAAAAAAAAAAAAAAAFtDb250ZW50X1R5cGVz&#10;XS54bWxQSwECLQAUAAYACAAAACEAOP0h/9YAAACUAQAACwAAAAAAAAAAAAAAAAAvAQAAX3JlbHMv&#10;LnJlbHNQSwECLQAUAAYACAAAACEAOwXgcpwCAAAsBQAADgAAAAAAAAAAAAAAAAAuAgAAZHJzL2Uy&#10;b0RvYy54bWxQSwECLQAUAAYACAAAACEAStAD+90AAAAGAQAADwAAAAAAAAAAAAAAAAD2BAAAZHJz&#10;L2Rvd25yZXYueG1sUEsFBgAAAAAEAAQA8wAAAAAGAAAAAA==&#10;" o:allowincell="f" filled="f" stroked="f">
              <v:stroke joinstyle="round"/>
              <o:lock v:ext="edit" aspectratio="t" verticies="t" shapetype="t"/>
              <v:textbox>
                <w:txbxContent>
                  <w:p w14:paraId="7032A86A" w14:textId="77777777" w:rsidR="0067675D" w:rsidRDefault="0067675D"/>
                </w:txbxContent>
              </v:textbox>
              <w10:wrap anchorx="margin" anchory="margin"/>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16F14" w14:textId="77777777" w:rsidR="0067675D" w:rsidRDefault="0067675D">
    <w:r>
      <w:rPr>
        <w:noProof/>
        <w:lang w:eastAsia="en-AU"/>
      </w:rPr>
      <mc:AlternateContent>
        <mc:Choice Requires="wps">
          <w:drawing>
            <wp:anchor distT="0" distB="0" distL="114300" distR="114300" simplePos="0" relativeHeight="251685902" behindDoc="1" locked="0" layoutInCell="0" allowOverlap="1" wp14:anchorId="60AF04D7" wp14:editId="35599D40">
              <wp:simplePos x="0" y="0"/>
              <wp:positionH relativeFrom="margin">
                <wp:align>center</wp:align>
              </wp:positionH>
              <wp:positionV relativeFrom="margin">
                <wp:align>center</wp:align>
              </wp:positionV>
              <wp:extent cx="7285990" cy="1092835"/>
              <wp:effectExtent l="0" t="0" r="0" b="0"/>
              <wp:wrapNone/>
              <wp:docPr id="37" name="Text Box 37" descr="text box"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3A7F327"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0AF04D7" id="_x0000_t202" coordsize="21600,21600" o:spt="202" path="m,l,21600r21600,l21600,xe">
              <v:stroke joinstyle="miter"/>
              <v:path gradientshapeok="t" o:connecttype="rect"/>
            </v:shapetype>
            <v:shape id="Text Box 37" o:spid="_x0000_s1034" type="#_x0000_t202" alt="Title: text box - Description: text box" style="position:absolute;margin-left:0;margin-top:0;width:573.7pt;height:86.05pt;rotation:-45;z-index:-25163057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9/pQIAAD0FAAAOAAAAZHJzL2Uyb0RvYy54bWysVMtu2zAQvBfoPxC6O3pEjiUhcpCXe0nb&#10;AHGRMy1SFluJy5K0JaPov3dJKU7cXoqiPsjUcjWc3Znl5dXQtWTPtREgyyA+iwLCZQVMyG0ZfFmv&#10;ZllAjKWS0RYkL4MDN8HV8v27y14VPIEGWsY1QRBpil6VQWOtKsLQVA3vqDkDxSVu1qA7avFVb0Om&#10;aY/oXRsmUXQR9qCZ0lBxYzB6N24GS49f17yyn+vacEvaMkBu1j+1f27cM1xe0mKrqWpENdGg/8Ci&#10;o0LioUeoO2op2WnxB1QnKg0GantWQRdCXYuK+xqwmjj6rZqnhirua8HmGHVsk/l/sNWn/aMmgpXB&#10;+SIgknao0ZoPltzAQFyIcVNhv6yLbWDAFgrbYtIxgB3slSkQ6EkhlB3wS3SC74ZRD1B9M0TCbUPl&#10;ll8bhYq4XQzdM2EfQUiL5fjAlKM19A2n7DTse7E+KDw6dqqFbw4dGRh3/Kb/CAxz6M6CpzDUuiMa&#10;3KFZHrmfD2PnCdJESxyONnAlVhhcJNk8z3Grwr04ypPsfO6PpIVDczIrbewHDh1xizLQWJWHpfsH&#10;Yx271xSXjsgYn1ajL37kcZJGN0k+W11ki1m6SuezfBFlsyjOb/KLKM3Tu9VPBxqnRSMY4/JBSP7i&#10;0Tj9Ow9M0zK6y7uU9GWQz5O552ugFWwl2tZxM3q7uW012VM3LGOvxlpO0jTsJMM4LZxK99PaUtGO&#10;6/CUsW8GNuDl3zfCq+cEG6Wzw2bwJsxcn52yG2AHlLPHySwD831HNUfP7LpbQG7ollpD94yjf62d&#10;sr4WJ8V6eKZaTao4iz62L5PppXGst2zyOWVfEahrceCxZDL35hgLnpInGUdU962EazRWLbzGrzwn&#10;O+KM+iqn+8RdAm/ffdbrrbf8BQAA//8DAFBLAwQUAAYACAAAACEAStAD+90AAAAGAQAADwAAAGRy&#10;cy9kb3ducmV2LnhtbEyPMU/DQAyFdyT+w8lILIheUhWKQi4VrdSJLpQOjG7OTSJyvjR3aQO/HpcF&#10;FutZz3rvc74YXatO1IfGs4F0koAiLr1tuDKwe1/fP4EKEdli65kMfFGARXF9lWNm/Znf6LSNlZIQ&#10;DhkaqGPsMq1DWZPDMPEdsXgH3zuMsvaVtj2eJdy1epokj9phw9JQY0ermsrP7eAMVIeP43C826xe&#10;17uxJL9Zfj80S2Nub8aXZ1CRxvh3DBd8QYdCmPZ+YBtUa0Aeib/z4qWz+QzUXtR8moIucv0fv/gB&#10;AAD//wMAUEsBAi0AFAAGAAgAAAAhALaDOJL+AAAA4QEAABMAAAAAAAAAAAAAAAAAAAAAAFtDb250&#10;ZW50X1R5cGVzXS54bWxQSwECLQAUAAYACAAAACEAOP0h/9YAAACUAQAACwAAAAAAAAAAAAAAAAAv&#10;AQAAX3JlbHMvLnJlbHNQSwECLQAUAAYACAAAACEA5f4ff6UCAAA9BQAADgAAAAAAAAAAAAAAAAAu&#10;AgAAZHJzL2Uyb0RvYy54bWxQSwECLQAUAAYACAAAACEAStAD+90AAAAGAQAADwAAAAAAAAAAAAAA&#10;AAD/BAAAZHJzL2Rvd25yZXYueG1sUEsFBgAAAAAEAAQA8wAAAAkGAAAAAA==&#10;" o:allowincell="f" filled="f" stroked="f">
              <v:stroke joinstyle="round"/>
              <o:lock v:ext="edit" aspectratio="t" verticies="t" shapetype="t"/>
              <v:textbox>
                <w:txbxContent>
                  <w:p w14:paraId="43A7F327" w14:textId="77777777" w:rsidR="0067675D" w:rsidRDefault="0067675D"/>
                </w:txbxContent>
              </v:textbox>
              <w10:wrap anchorx="margin" anchory="margin"/>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55155" w14:textId="77777777" w:rsidR="0067675D" w:rsidRPr="00326054"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4EC1C" w14:textId="77777777" w:rsidR="0067675D" w:rsidRDefault="0067675D">
    <w:r>
      <w:rPr>
        <w:noProof/>
        <w:lang w:eastAsia="en-AU"/>
      </w:rPr>
      <mc:AlternateContent>
        <mc:Choice Requires="wps">
          <w:drawing>
            <wp:anchor distT="0" distB="0" distL="114300" distR="114300" simplePos="0" relativeHeight="251683854" behindDoc="1" locked="0" layoutInCell="0" allowOverlap="1" wp14:anchorId="5542E84E" wp14:editId="02D6D507">
              <wp:simplePos x="0" y="0"/>
              <wp:positionH relativeFrom="margin">
                <wp:align>center</wp:align>
              </wp:positionH>
              <wp:positionV relativeFrom="margin">
                <wp:align>center</wp:align>
              </wp:positionV>
              <wp:extent cx="7285990" cy="1092835"/>
              <wp:effectExtent l="0" t="0" r="0" b="0"/>
              <wp:wrapNone/>
              <wp:docPr id="36" name="Text Box 36"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583313"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542E84E" id="_x0000_t202" coordsize="21600,21600" o:spt="202" path="m,l,21600r21600,l21600,xe">
              <v:stroke joinstyle="miter"/>
              <v:path gradientshapeok="t" o:connecttype="rect"/>
            </v:shapetype>
            <v:shape id="Text Box 36" o:spid="_x0000_s1035" type="#_x0000_t202" alt="Title: text box" style="position:absolute;margin-left:0;margin-top:0;width:573.7pt;height:86.05pt;rotation:-45;z-index:-25163262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3iUnQIAACwFAAAOAAAAZHJzL2Uyb0RvYy54bWysVMtu2zAQvBfoPxC8O5Ic2bGEyEFe7iVt&#10;A8RFzrRIWWwlLkvSloyi/94lJSdxeymK+iBTy+VyZmdWl1d925C9MFaCKmhyFlMiVAlcqm1Bv6xX&#10;kwUl1jHFWQNKFPQgLL1avn932elcTKGGhgtDsIiyeacLWjun8yiyZS1aZs9AC4WbFZiWOXw124gb&#10;1mH1tommcTyPOjBcGyiFtRi9GzbpMtSvKlG6z1VlhSNNQRGbC08Tnhv/jJaXLN8apmtZjjDYP6Bo&#10;mVR46UupO+YY2Rn5R6lWlgYsVO6shDaCqpKlCByQTRL/xuapZloELtgcq1/aZP9f2fLT/tEQyQt6&#10;PqdEsRY1WovekRvoiQ856RqMOR/bQO8b1mmb47knjSddj4kofCBv9QOU3yxRcFsztRXXVqMAfhdD&#10;91y6R5DKIfoQGHOMga4WjJ+GA/X1QePVib8zenPpgMD66zfdR+CYw3YOAoS+Mi0x4C9dZLH/hTA2&#10;miBMdMDhRXXPqMTgxXQxyzLcKnEvibPp4nwWrmS5r+ZV1ca6DwJa4hcFNcgqlGX7B+s8utcUn46V&#10;MT6uBhv8yJJpGt9Ms8lqvriYpKt0Nsku4sUkTrKbbB6nWXq3+umLJmleS86FepBKHC2ZpH8n+Tgc&#10;g5mCKUlX0Gw2nQW8FhrJV7JpPDZrtpvbxpA987Mx9GrgcpJmYKc4xlnuVbof147JZlhHp4hDM7AB&#10;x//QiKCeF2yQzvWbPnguO9ppA/yAcnY4iAW133fMCPTMrr0FxIZuqQy0zzjp18YrG7h4Kdb9MzN6&#10;VMVb9LE5DmKQxqPe8tHWjH/FQm2D842UySyYYyA8Jo8yDlX9WQXXaKxKBo29Awecox1xJAPL8fPh&#10;Z/7te8h6/cgtfwEAAP//AwBQSwMEFAAGAAgAAAAhAErQA/vdAAAABgEAAA8AAABkcnMvZG93bnJl&#10;di54bWxMjzFPw0AMhXck/sPJSCyIXlIVikIuFa3UiS6UDoxuzk0icr40d2kDvx6XBRbrWc9673O+&#10;GF2rTtSHxrOBdJKAIi69bbgysHtf3z+BChHZYuuZDHxRgEVxfZVjZv2Z3+i0jZWSEA4ZGqhj7DKt&#10;Q1mTwzDxHbF4B987jLL2lbY9niXctXqaJI/aYcPSUGNHq5rKz+3gDFSHj+NwvNusXte7sSS/WX4/&#10;NEtjbm/Gl2dQkcb4dwwXfEGHQpj2fmAbVGtAHom/8+Kls/kM1F7UfJqCLnL9H7/4AQAA//8DAFBL&#10;AQItABQABgAIAAAAIQC2gziS/gAAAOEBAAATAAAAAAAAAAAAAAAAAAAAAABbQ29udGVudF9UeXBl&#10;c10ueG1sUEsBAi0AFAAGAAgAAAAhADj9If/WAAAAlAEAAAsAAAAAAAAAAAAAAAAALwEAAF9yZWxz&#10;Ly5yZWxzUEsBAi0AFAAGAAgAAAAhAInveJSdAgAALAUAAA4AAAAAAAAAAAAAAAAALgIAAGRycy9l&#10;Mm9Eb2MueG1sUEsBAi0AFAAGAAgAAAAhAErQA/vdAAAABgEAAA8AAAAAAAAAAAAAAAAA9wQAAGRy&#10;cy9kb3ducmV2LnhtbFBLBQYAAAAABAAEAPMAAAABBgAAAAA=&#10;" o:allowincell="f" filled="f" stroked="f">
              <v:stroke joinstyle="round"/>
              <o:lock v:ext="edit" aspectratio="t" verticies="t" shapetype="t"/>
              <v:textbox>
                <w:txbxContent>
                  <w:p w14:paraId="6F583313" w14:textId="77777777" w:rsidR="0067675D" w:rsidRDefault="0067675D"/>
                </w:txbxContent>
              </v:textbox>
              <w10:wrap anchorx="margin" anchory="margin"/>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874A5" w14:textId="77777777" w:rsidR="0067675D" w:rsidRDefault="0067675D">
    <w:r>
      <w:rPr>
        <w:noProof/>
        <w:lang w:eastAsia="en-AU"/>
      </w:rPr>
      <mc:AlternateContent>
        <mc:Choice Requires="wps">
          <w:drawing>
            <wp:anchor distT="0" distB="0" distL="114300" distR="114300" simplePos="0" relativeHeight="251689998" behindDoc="1" locked="0" layoutInCell="0" allowOverlap="1" wp14:anchorId="58BFB801" wp14:editId="4E02E4F1">
              <wp:simplePos x="0" y="0"/>
              <wp:positionH relativeFrom="margin">
                <wp:align>center</wp:align>
              </wp:positionH>
              <wp:positionV relativeFrom="margin">
                <wp:align>center</wp:align>
              </wp:positionV>
              <wp:extent cx="7285990" cy="1092835"/>
              <wp:effectExtent l="0" t="0" r="0" b="0"/>
              <wp:wrapNone/>
              <wp:docPr id="40" name="Text Box 40" descr="text box"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B57716"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8BFB801" id="_x0000_t202" coordsize="21600,21600" o:spt="202" path="m,l,21600r21600,l21600,xe">
              <v:stroke joinstyle="miter"/>
              <v:path gradientshapeok="t" o:connecttype="rect"/>
            </v:shapetype>
            <v:shape id="Text Box 40" o:spid="_x0000_s1036" type="#_x0000_t202" alt="Title: text box - Description: text box" style="position:absolute;margin-left:0;margin-top:0;width:573.7pt;height:86.05pt;rotation:-45;z-index:-25162648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29QpQIAAD4FAAAOAAAAZHJzL2Uyb0RvYy54bWysVMtu2zAQvBfoPxC8O3pUTiwhcpCXe0nb&#10;AHGRMy1SFluJy5K0JSPov3dJKU7SXoqiPsjUcjWc3Znl+cXQtWQvjJWgSpqcxJQIVQGXalvSr+vV&#10;bEGJdUxx1oISJT0ISy+W79+d97oQKTTQcmEIgihb9LqkjXO6iCJbNaJj9gS0ULhZg+mYw1ezjbhh&#10;PaJ3bZTG8WnUg+HaQCWsxejNuEmXAb+uReW+1LUVjrQlRW4uPE14bvwzWp6zYmuYbmQ10WD/wKJj&#10;UuGhR6gb5hjZGfkHVCcrAxZqd1JBF0Fdy0qEGrCaJP6tmoeGaRFqweZYfWyT/X+w1ef9vSGSlzTD&#10;9ijWoUZrMThyBQPxIS5shf1yPraBAVsoXYtJxwB2sNe2QKAHjVBuwC/RCaEbVt9B9d0SBdcNU1tx&#10;aTUq4ncxdMuluwepHJYTAlOOMdA3gvG34dCL9UHj0YlXLXp16MjA+uM3/SfgmMN2DgKFoTYdMeAP&#10;XeSx/4Uwdp4gTSzwcLSBL7HC4Fm6mOc5blW4l8R5uvgwD0eywqN5mbWx7qOAjvhFSQ1WFWDZ/s46&#10;z+4lxacjMsan1eiLpzxJs/gqzWer08XZLFtl81l+Fi9mcZJf5adxlmc3q58eNMmKRnIu1J1U4tmj&#10;SfZ3HpimZXRXcCnpS5rP03nga6GVfCXb1nOzZru5bg3ZMz8sY6/GWt6kGdgpjnFWeJVup7Vjsh3X&#10;0VvGoRnYgOf/0IignhdslM4NmyGYMAkT6aXdAD+gnj2OZkntjx0zAk2z664ByaFdagPdI87+pfHS&#10;hmK8FuvhkRk9yeI9et8+j2bQxtPe8snojH9DoK7FiceayTy4Y6x4Sp50HFH9twou0Vm1DCK/8Jz8&#10;iEMaypwuFH8LvH4PWS/X3vIXAAAA//8DAFBLAwQUAAYACAAAACEAStAD+90AAAAGAQAADwAAAGRy&#10;cy9kb3ducmV2LnhtbEyPMU/DQAyFdyT+w8lILIheUhWKQi4VrdSJLpQOjG7OTSJyvjR3aQO/HpcF&#10;FutZz3rvc74YXatO1IfGs4F0koAiLr1tuDKwe1/fP4EKEdli65kMfFGARXF9lWNm/Znf6LSNlZIQ&#10;DhkaqGPsMq1DWZPDMPEdsXgH3zuMsvaVtj2eJdy1epokj9phw9JQY0ermsrP7eAMVIeP43C826xe&#10;17uxJL9Zfj80S2Nub8aXZ1CRxvh3DBd8QYdCmPZ+YBtUa0Aeib/z4qWz+QzUXtR8moIucv0fv/gB&#10;AAD//wMAUEsBAi0AFAAGAAgAAAAhALaDOJL+AAAA4QEAABMAAAAAAAAAAAAAAAAAAAAAAFtDb250&#10;ZW50X1R5cGVzXS54bWxQSwECLQAUAAYACAAAACEAOP0h/9YAAACUAQAACwAAAAAAAAAAAAAAAAAv&#10;AQAAX3JlbHMvLnJlbHNQSwECLQAUAAYACAAAACEA4AdvUKUCAAA+BQAADgAAAAAAAAAAAAAAAAAu&#10;AgAAZHJzL2Uyb0RvYy54bWxQSwECLQAUAAYACAAAACEAStAD+90AAAAGAQAADwAAAAAAAAAAAAAA&#10;AAD/BAAAZHJzL2Rvd25yZXYueG1sUEsFBgAAAAAEAAQA8wAAAAkGAAAAAA==&#10;" o:allowincell="f" filled="f" stroked="f">
              <v:stroke joinstyle="round"/>
              <o:lock v:ext="edit" aspectratio="t" verticies="t" shapetype="t"/>
              <v:textbox>
                <w:txbxContent>
                  <w:p w14:paraId="6BB57716" w14:textId="77777777" w:rsidR="0067675D" w:rsidRDefault="0067675D"/>
                </w:txbxContent>
              </v:textbox>
              <w10:wrap anchorx="margin" anchory="margin"/>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E7627" w14:textId="77777777" w:rsidR="0067675D" w:rsidRPr="00326054" w:rsidRDefault="0067675D" w:rsidP="00942CAB">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0F269" w14:textId="77777777" w:rsidR="0067675D" w:rsidRDefault="0067675D">
    <w:r>
      <w:rPr>
        <w:noProof/>
        <w:lang w:eastAsia="en-AU"/>
      </w:rPr>
      <mc:AlternateContent>
        <mc:Choice Requires="wps">
          <w:drawing>
            <wp:anchor distT="0" distB="0" distL="114300" distR="114300" simplePos="0" relativeHeight="251687950" behindDoc="1" locked="0" layoutInCell="0" allowOverlap="1" wp14:anchorId="67D0921D" wp14:editId="478258EC">
              <wp:simplePos x="0" y="0"/>
              <wp:positionH relativeFrom="margin">
                <wp:align>center</wp:align>
              </wp:positionH>
              <wp:positionV relativeFrom="margin">
                <wp:align>center</wp:align>
              </wp:positionV>
              <wp:extent cx="7285990" cy="1092835"/>
              <wp:effectExtent l="0" t="0" r="0" b="0"/>
              <wp:wrapNone/>
              <wp:docPr id="39" name="Text Box 39"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F92AA1D"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7D0921D" id="_x0000_t202" coordsize="21600,21600" o:spt="202" path="m,l,21600r21600,l21600,xe">
              <v:stroke joinstyle="miter"/>
              <v:path gradientshapeok="t" o:connecttype="rect"/>
            </v:shapetype>
            <v:shape id="Text Box 39" o:spid="_x0000_s1037" type="#_x0000_t202" alt="Title: text box" style="position:absolute;margin-left:0;margin-top:0;width:573.7pt;height:86.05pt;rotation:-45;z-index:-25162853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EgnAIAAC0FAAAOAAAAZHJzL2Uyb0RvYy54bWysVMtu2zAQvBfoPxC8O3pETiwhcpCXe0nb&#10;AHGRMy1SFluJy5K0JaPov3dJKQ+3l6KoDzK1XC5ndmZ1cTl0LdkLYyWokiYnMSVCVcCl2pb0y3o1&#10;W1BiHVOctaBESQ/C0svl+3cXvS5ECg20XBiCRZQtel3SxjldRJGtGtExewJaKNyswXTM4avZRtyw&#10;Hqt3bZTG8VnUg+HaQCWsxejtuEmXoX5di8p9rmsrHGlLithceJrw3PhntLxgxdYw3chqgsH+AUXH&#10;pMJLX0rdMsfIzsg/SnWyMmChdicVdBHUtaxE4IBskvg3No8N0yJwweZY/dIm+//KVp/2D4ZIXtLT&#10;nBLFOtRoLQZHrmEgPuSkazHmfGwDg29Yr22B5x41nnQDJqLwgbzV91B9s0TBTcPUVlxZjQL4XQzd&#10;cekeQCqH6ENgyjEG+kYwfhwO1NcHjVcn/s7ozaUjAuuv3/QfgWMO2zkIEIbadMSAv3SRx/4Xwtho&#10;gjDRAYcX1T2jCoPn6WKe57hV4V4S5+nidB6uZIWv5lXVxroPAjriFyU1yCqUZft76zy61xSfjpUx&#10;Pq1GG/zIkzSLr9N8tjpbnM+yVTaf5efxYhYn+XV+Fmd5drv66YsmWdFIzoW6l0o8WzLJ/k7yaThG&#10;MwVTkr6k+TydB7wWWslXsm09Nmu2m5vWkD3zszH2auRylGZgpzjGWeFVupvWjsl2XEfHiEMzsAHP&#10;/6ERQT0v2CidGzZD8FwStPXSboAfUM8eJ7Gk9vuOGYGm2XU3gODQLrWB7glH/cp4aQMZr8V6eGJG&#10;T7J4jz60z5MYtPGwt3zyNeNfsVDX4oAjZzIP7hgZT8mTjmNVf1bBFTqrlkHkV5yTH3EmA83p++GH&#10;/u17yHr9yi1/AQAA//8DAFBLAwQUAAYACAAAACEAStAD+90AAAAGAQAADwAAAGRycy9kb3ducmV2&#10;LnhtbEyPMU/DQAyFdyT+w8lILIheUhWKQi4VrdSJLpQOjG7OTSJyvjR3aQO/HpcFFutZz3rvc74Y&#10;XatO1IfGs4F0koAiLr1tuDKwe1/fP4EKEdli65kMfFGARXF9lWNm/Znf6LSNlZIQDhkaqGPsMq1D&#10;WZPDMPEdsXgH3zuMsvaVtj2eJdy1epokj9phw9JQY0ermsrP7eAMVIeP43C826xe17uxJL9Zfj80&#10;S2Nub8aXZ1CRxvh3DBd8QYdCmPZ+YBtUa0Aeib/z4qWz+QzUXtR8moIucv0fv/gBAAD//wMAUEsB&#10;Ai0AFAAGAAgAAAAhALaDOJL+AAAA4QEAABMAAAAAAAAAAAAAAAAAAAAAAFtDb250ZW50X1R5cGVz&#10;XS54bWxQSwECLQAUAAYACAAAACEAOP0h/9YAAACUAQAACwAAAAAAAAAAAAAAAAAvAQAAX3JlbHMv&#10;LnJlbHNQSwECLQAUAAYACAAAACEA6hqxIJwCAAAtBQAADgAAAAAAAAAAAAAAAAAuAgAAZHJzL2Uy&#10;b0RvYy54bWxQSwECLQAUAAYACAAAACEAStAD+90AAAAGAQAADwAAAAAAAAAAAAAAAAD2BAAAZHJz&#10;L2Rvd25yZXYueG1sUEsFBgAAAAAEAAQA8wAAAAAGAAAAAA==&#10;" o:allowincell="f" filled="f" stroked="f">
              <v:stroke joinstyle="round"/>
              <o:lock v:ext="edit" aspectratio="t" verticies="t" shapetype="t"/>
              <v:textbox>
                <w:txbxContent>
                  <w:p w14:paraId="1F92AA1D" w14:textId="77777777" w:rsidR="0067675D" w:rsidRDefault="0067675D"/>
                </w:txbxContent>
              </v:textbox>
              <w10:wrap anchorx="margin" anchory="margin"/>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DEFDD" w14:textId="77777777" w:rsidR="0067675D" w:rsidRDefault="0067675D">
    <w:r>
      <w:rPr>
        <w:noProof/>
        <w:lang w:eastAsia="en-AU"/>
      </w:rPr>
      <mc:AlternateContent>
        <mc:Choice Requires="wps">
          <w:drawing>
            <wp:anchor distT="0" distB="0" distL="114300" distR="114300" simplePos="0" relativeHeight="251663374" behindDoc="1" locked="0" layoutInCell="0" allowOverlap="1" wp14:anchorId="145AF33B" wp14:editId="65D493B9">
              <wp:simplePos x="0" y="0"/>
              <wp:positionH relativeFrom="margin">
                <wp:align>center</wp:align>
              </wp:positionH>
              <wp:positionV relativeFrom="margin">
                <wp:align>center</wp:align>
              </wp:positionV>
              <wp:extent cx="7285990" cy="1092835"/>
              <wp:effectExtent l="0" t="0" r="0" b="0"/>
              <wp:wrapNone/>
              <wp:docPr id="50" name="Text Box 50" descr="text box"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73E6F6"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45AF33B" id="_x0000_t202" coordsize="21600,21600" o:spt="202" path="m,l,21600r21600,l21600,xe">
              <v:stroke joinstyle="miter"/>
              <v:path gradientshapeok="t" o:connecttype="rect"/>
            </v:shapetype>
            <v:shape id="Text Box 50" o:spid="_x0000_s1038" type="#_x0000_t202" alt="Title: text box - Description: text box" style="position:absolute;margin-left:0;margin-top:0;width:573.7pt;height:86.05pt;rotation:-45;z-index:-25165310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YopgIAAD4FAAAOAAAAZHJzL2Uyb0RvYy54bWysVMtu2zAQvBfoPxC6O3rUTiwhcpBH3Uva&#10;BoiLnGmRsthKXJakLQVF/727lOIk7aUo6oNMLVfD3ZlZnl8MXcsO0joFuozSkyRiUlcglN6V0ZfN&#10;eraMmPNcC96ClmX0KF10sXr75rw3hcyggVZIyxBEu6I3ZdR4b4o4dlUjO+5OwEiNmzXYjnt8tbtY&#10;WN4jetfGWZKcxj1YYSxU0jmM3oyb0Srg17Ws/Oe6dtKztoywNh+eNjy39IxX57zYWW4aVU1l8H+o&#10;ouNK46FHqBvuOdtb9QdUpyoLDmp/UkEXQ12rSoYesJs0+a2b+4YbGXpBcpw50uT+H2z16XBnmRJl&#10;tEB6NO9Qo40cPLuCgVFISFchX55iWxiQQuVbTDoGkMHeuAKB7g1C+QG/RCcENpy5heqbYxquG653&#10;8tIZVIR2MfReKH8HSntsJwSmHGuhbyQXr8OBi82jwaNTUi1+cehYgaPjt/1HEJjD9x5CCUNtO2aB&#10;Dl3mCf1CGJlnWCY2+Hi0AbVYYfAsWy7yHLcq3EuTPFu+W4QjeUFoJLOxzn+Q0DFalJHFrgIsP9w6&#10;T9U9p1A6ImN8Wo2++JGn2Ty5yvLZ+nR5Npuv54tZfpYsZ0maX+WnyTyf36x/Emg6LxolhNS3Sssn&#10;j6bzv/PANC2ju4JLWV9G+SJbhHodtEqsVdtSbc7uttetZQdOwzJyNfbyKs3CXguM84JUej+tPVft&#10;uI5fVxzIQAKe/gMRQT0SbJTOD9shmDDNiGiSdgviEfXscTTLyH3fcyvRNPvuGrA4tEttoXvA2b+0&#10;JG1ohrTYDA/cmkkW8uhd+zSaQRsqeycmo3PxFYG6Ficee0a7kzvGjqfkSccRlb7VcInOqlUQ+bnO&#10;yY84pKHN6UKhW+Dle8h6vvZWvwAAAP//AwBQSwMEFAAGAAgAAAAhAErQA/vdAAAABgEAAA8AAABk&#10;cnMvZG93bnJldi54bWxMjzFPw0AMhXck/sPJSCyIXlIVikIuFa3UiS6UDoxuzk0icr40d2kDvx6X&#10;BRbrWc9673O+GF2rTtSHxrOBdJKAIi69bbgysHtf3z+BChHZYuuZDHxRgEVxfZVjZv2Z3+i0jZWS&#10;EA4ZGqhj7DKtQ1mTwzDxHbF4B987jLL2lbY9niXctXqaJI/aYcPSUGNHq5rKz+3gDFSHj+NwvNus&#10;Xte7sSS/WX4/NEtjbm/Gl2dQkcb4dwwXfEGHQpj2fmAbVGtAHom/8+Kls/kM1F7UfJqCLnL9H7/4&#10;AQAA//8DAFBLAQItABQABgAIAAAAIQC2gziS/gAAAOEBAAATAAAAAAAAAAAAAAAAAAAAAABbQ29u&#10;dGVudF9UeXBlc10ueG1sUEsBAi0AFAAGAAgAAAAhADj9If/WAAAAlAEAAAsAAAAAAAAAAAAAAAAA&#10;LwEAAF9yZWxzLy5yZWxzUEsBAi0AFAAGAAgAAAAhAD/wpiimAgAAPgUAAA4AAAAAAAAAAAAAAAAA&#10;LgIAAGRycy9lMm9Eb2MueG1sUEsBAi0AFAAGAAgAAAAhAErQA/vdAAAABgEAAA8AAAAAAAAAAAAA&#10;AAAAAAUAAGRycy9kb3ducmV2LnhtbFBLBQYAAAAABAAEAPMAAAAKBgAAAAA=&#10;" o:allowincell="f" filled="f" stroked="f">
              <v:stroke joinstyle="round"/>
              <o:lock v:ext="edit" aspectratio="t" verticies="t" shapetype="t"/>
              <v:textbox>
                <w:txbxContent>
                  <w:p w14:paraId="6273E6F6" w14:textId="77777777" w:rsidR="0067675D" w:rsidRDefault="0067675D"/>
                </w:txbxContent>
              </v:textbox>
              <w10:wrap anchorx="margin" anchory="margin"/>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B248" w14:textId="77777777" w:rsidR="0067675D" w:rsidRPr="00326054" w:rsidRDefault="0067675D" w:rsidP="0085398A">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61388" w14:textId="77777777" w:rsidR="0067675D" w:rsidRDefault="0067675D">
    <w:r>
      <w:rPr>
        <w:noProof/>
        <w:lang w:eastAsia="en-AU"/>
      </w:rPr>
      <mc:AlternateContent>
        <mc:Choice Requires="wps">
          <w:drawing>
            <wp:anchor distT="0" distB="0" distL="114300" distR="114300" simplePos="0" relativeHeight="251662350" behindDoc="1" locked="0" layoutInCell="0" allowOverlap="1" wp14:anchorId="1400B5CB" wp14:editId="7B8726FA">
              <wp:simplePos x="0" y="0"/>
              <wp:positionH relativeFrom="margin">
                <wp:align>center</wp:align>
              </wp:positionH>
              <wp:positionV relativeFrom="margin">
                <wp:align>center</wp:align>
              </wp:positionV>
              <wp:extent cx="7285990" cy="1092835"/>
              <wp:effectExtent l="0" t="0" r="0" b="0"/>
              <wp:wrapNone/>
              <wp:docPr id="49" name="Text Box 49" descr="text box" title="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wps:cNvSpPr>
                    <wps:spPr bwMode="auto">
                      <a:xfrm rot="18900000">
                        <a:off x="0" y="0"/>
                        <a:ext cx="7285990" cy="1092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C651C" w14:textId="77777777" w:rsidR="0067675D" w:rsidRDefault="0067675D"/>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400B5CB" id="_x0000_t202" coordsize="21600,21600" o:spt="202" path="m,l,21600r21600,l21600,xe">
              <v:stroke joinstyle="miter"/>
              <v:path gradientshapeok="t" o:connecttype="rect"/>
            </v:shapetype>
            <v:shape id="Text Box 49" o:spid="_x0000_s1039" type="#_x0000_t202" alt="Title: text box - Description: text box" style="position:absolute;margin-left:0;margin-top:0;width:573.7pt;height:86.05pt;rotation:-45;z-index:-25165413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94QpgIAAD4FAAAOAAAAZHJzL2Uyb0RvYy54bWysVMtu2zAQvBfoPxC8O3pETiwhcpCXe0nb&#10;AHGRMy1SFluJy5K0JaPov3dJKU7SXoqiPsjUcjWc3ZnlxeXQtWQvjJWgSpqcxJQIVQGXalvSL+vV&#10;bEGJdUxx1oISJT0ISy+X799d9LoQKTTQcmEIgihb9LqkjXO6iCJbNaJj9gS0ULhZg+mYw1ezjbhh&#10;PaJ3bZTG8VnUg+HaQCWsxejtuEmXAb+uReU+17UVjrQlRW4uPE14bvwzWl6wYmuYbmQ10WD/wKJj&#10;UuGhR6hb5hjZGfkHVCcrAxZqd1JBF0Fdy0qEGrCaJP6tmseGaRFqweZYfWyT/X+w1af9gyGSlzTL&#10;KVGsQ43WYnDkGgbiQ1zYCvvlfGwDA7ZQuhaTjgHsYK9tgUCPGqHcgF+iE0I3rL6H6pslCm4aprbi&#10;ympUxO9i6I5L9wBSOSwnBKYcY6BvBONvw6EX64PGoxOvWvTq0JGB9cdv+o/AMYftHAQKQ206YsAf&#10;ushj/wth7DxBmmiJw9EGvsQKg+fpYp7nuFXhXhLn6eJ0Ho5khUfzMmtj3QcBHfGLkhqsKsCy/b11&#10;nt1Lik9HZIxPq9EXP/IkzeLrNJ+tzhbns2yVzWf5ebyYxUl+nZ/FWZ7drn560CQrGsm5UPdSiWeP&#10;JtnfeWCaltFdwaWkL2k+T+eBr4VW8pVsW8/Nmu3mpjVkz/ywjL0aa3mTZmCnOMZZ4VW6m9aOyXZc&#10;R28Zh2ZgA57/QyOCel6wUTo3bIZgwuTUN9pLuwF+QD17HM2S2u87ZgSaZtfdAJJDu9QGuiec/Svj&#10;pQ3FeC3WwxMzepLFe/ShfR7NoI2nveWT0Rn/ikBdixOPNZN5cMdY8ZQ86Tii+m8VXKGzahlEfuE5&#10;+RGHNJQ5XSj+Fnj9HrJerr3lLwAAAP//AwBQSwMEFAAGAAgAAAAhAErQA/vdAAAABgEAAA8AAABk&#10;cnMvZG93bnJldi54bWxMjzFPw0AMhXck/sPJSCyIXlIVikIuFa3UiS6UDoxuzk0icr40d2kDvx6X&#10;BRbrWc9673O+GF2rTtSHxrOBdJKAIi69bbgysHtf3z+BChHZYuuZDHxRgEVxfZVjZv2Z3+i0jZWS&#10;EA4ZGqhj7DKtQ1mTwzDxHbF4B987jLL2lbY9niXctXqaJI/aYcPSUGNHq5rKz+3gDFSHj+NwvNus&#10;Xte7sSS/WX4/NEtjbm/Gl2dQkcb4dwwXfEGHQpj2fmAbVGtAHom/8+Kls/kM1F7UfJqCLnL9H7/4&#10;AQAA//8DAFBLAQItABQABgAIAAAAIQC2gziS/gAAAOEBAAATAAAAAAAAAAAAAAAAAAAAAABbQ29u&#10;dGVudF9UeXBlc10ueG1sUEsBAi0AFAAGAAgAAAAhADj9If/WAAAAlAEAAAsAAAAAAAAAAAAAAAAA&#10;LwEAAF9yZWxzLy5yZWxzUEsBAi0AFAAGAAgAAAAhAHmv3hCmAgAAPgUAAA4AAAAAAAAAAAAAAAAA&#10;LgIAAGRycy9lMm9Eb2MueG1sUEsBAi0AFAAGAAgAAAAhAErQA/vdAAAABgEAAA8AAAAAAAAAAAAA&#10;AAAAAAUAAGRycy9kb3ducmV2LnhtbFBLBQYAAAAABAAEAPMAAAAKBgAAAAA=&#10;" o:allowincell="f" filled="f" stroked="f">
              <v:stroke joinstyle="round"/>
              <o:lock v:ext="edit" aspectratio="t" verticies="t" shapetype="t"/>
              <v:textbox>
                <w:txbxContent>
                  <w:p w14:paraId="592C651C" w14:textId="77777777" w:rsidR="0067675D" w:rsidRDefault="0067675D"/>
                </w:txbxContent>
              </v:textbox>
              <w10:wrap anchorx="margin" anchory="margin"/>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9E22E" w14:textId="77777777" w:rsidR="0067675D" w:rsidRDefault="00D91B0F">
    <w:r>
      <w:rPr>
        <w:noProof/>
      </w:rPr>
      <w:pict w14:anchorId="79ECF0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4" type="#_x0000_t136" alt="" style="position:absolute;margin-left:0;margin-top:0;width:573.7pt;height:86.05pt;rotation:315;z-index:-251655154;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8245E" w14:textId="77777777" w:rsidR="0067675D" w:rsidRPr="00326054" w:rsidRDefault="0067675D" w:rsidP="0085398A">
    <w:pPr>
      <w:pBdr>
        <w:bottom w:val="single" w:sz="18" w:space="1"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E7EF9" w14:textId="77777777" w:rsidR="0067675D" w:rsidRDefault="00D91B0F">
    <w:r>
      <w:rPr>
        <w:noProof/>
      </w:rPr>
      <w:pict w14:anchorId="11D22E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3" type="#_x0000_t136" alt="" style="position:absolute;margin-left:0;margin-top:0;width:573.7pt;height:86.05pt;rotation:315;z-index:-251656178;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A1AA7" w14:textId="77777777" w:rsidR="0067675D" w:rsidRDefault="00D91B0F">
    <w:r>
      <w:rPr>
        <w:noProof/>
      </w:rPr>
      <w:pict w14:anchorId="3A3628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76" o:spid="_x0000_s2052" type="#_x0000_t136" alt="" style="position:absolute;margin-left:0;margin-top:0;width:573.7pt;height:86.05pt;rotation:315;z-index:-251658232;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0EF79" w14:textId="28DD384F"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D1999" w14:textId="77777777" w:rsidR="0067675D" w:rsidRDefault="00D91B0F">
    <w:r>
      <w:rPr>
        <w:noProof/>
      </w:rPr>
      <w:pict w14:anchorId="12BEA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75" o:spid="_x0000_s2051" type="#_x0000_t136" alt="" style="position:absolute;margin-left:0;margin-top:0;width:573.7pt;height:86.05pt;rotation:315;z-index:-251658233;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A1CDD" w14:textId="77777777" w:rsidR="0067675D" w:rsidRDefault="00D91B0F">
    <w:r>
      <w:rPr>
        <w:noProof/>
      </w:rPr>
      <w:pict w14:anchorId="5FEFED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0" type="#_x0000_t136" alt="" style="position:absolute;margin-left:0;margin-top:0;width:573.7pt;height:86.05pt;rotation:315;z-index:-251622386;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AF020" w14:textId="77777777"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BE91A" w14:textId="77777777" w:rsidR="0067675D" w:rsidRDefault="00D91B0F">
    <w:r>
      <w:rPr>
        <w:noProof/>
      </w:rPr>
      <w:pict w14:anchorId="04CF83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9" type="#_x0000_t136" alt="" style="position:absolute;margin-left:0;margin-top:0;width:573.7pt;height:86.05pt;rotation:315;z-index:-251624434;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9AC01" w14:textId="77777777" w:rsidR="0067675D" w:rsidRDefault="00D91B0F">
    <w:r>
      <w:rPr>
        <w:noProof/>
      </w:rPr>
      <w:pict w14:anchorId="75510A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2" type="#_x0000_t136" alt="" style="position:absolute;margin-left:0;margin-top:0;width:573.7pt;height:86.05pt;rotation:315;z-index:-251618290;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BE41E" w14:textId="77777777"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A02C4" w14:textId="77777777" w:rsidR="0067675D" w:rsidRDefault="00D91B0F">
    <w:r>
      <w:rPr>
        <w:noProof/>
      </w:rPr>
      <w:pict w14:anchorId="6D9E3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1" type="#_x0000_t136" alt="" style="position:absolute;margin-left:0;margin-top:0;width:573.7pt;height:86.05pt;rotation:315;z-index:-251620338;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8E4A3" w14:textId="77777777" w:rsidR="0067675D" w:rsidRDefault="00D91B0F">
    <w:r>
      <w:rPr>
        <w:noProof/>
      </w:rPr>
      <w:pict w14:anchorId="4520A1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4" type="#_x0000_t136" alt="" style="position:absolute;margin-left:0;margin-top:0;width:573.7pt;height:86.05pt;rotation:315;z-index:-251614194;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611F7" w14:textId="77777777"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F9D0F" w14:textId="77777777" w:rsidR="0067675D" w:rsidRDefault="00D91B0F">
    <w:r>
      <w:rPr>
        <w:noProof/>
      </w:rPr>
      <w:pict w14:anchorId="7BFADF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3" type="#_x0000_t136" alt="" style="position:absolute;margin-left:0;margin-top:0;width:573.7pt;height:86.05pt;rotation:315;z-index:-251616242;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0614" w14:textId="77777777" w:rsidR="0067675D" w:rsidRDefault="00D91B0F">
    <w:r>
      <w:rPr>
        <w:noProof/>
      </w:rPr>
      <w:pict w14:anchorId="7FFE4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6" type="#_x0000_t136" alt="" style="position:absolute;margin-left:0;margin-top:0;width:573.7pt;height:86.05pt;rotation:315;z-index:-251610098;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65EA" w14:textId="77777777"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C76BC" w14:textId="77777777" w:rsidR="0067675D" w:rsidRDefault="00D91B0F">
    <w:r>
      <w:rPr>
        <w:noProof/>
      </w:rPr>
      <w:pict w14:anchorId="1098E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5" type="#_x0000_t136" alt="" style="position:absolute;margin-left:0;margin-top:0;width:573.7pt;height:86.05pt;rotation:315;z-index:-251612146;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AA78" w14:textId="77777777" w:rsidR="0067675D" w:rsidRDefault="00D91B0F">
    <w:r>
      <w:rPr>
        <w:noProof/>
      </w:rPr>
      <w:pict w14:anchorId="3756C7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79" o:spid="_x0000_s2050" type="#_x0000_t136" alt="" style="position:absolute;margin-left:0;margin-top:0;width:573.7pt;height:86.05pt;rotation:315;z-index:-251658230;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B9D0" w14:textId="77777777" w:rsidR="0067675D" w:rsidRPr="00326054" w:rsidRDefault="0067675D" w:rsidP="0085398A">
    <w:pPr>
      <w:pBdr>
        <w:bottom w:val="single" w:sz="18" w:space="0" w:color="91DC41"/>
      </w:pBdr>
      <w:tabs>
        <w:tab w:val="right" w:pos="13892"/>
      </w:tabs>
      <w:jc w:val="both"/>
      <w:rPr>
        <w:rFonts w:cs="Arial"/>
        <w:sz w:val="18"/>
        <w:szCs w:val="20"/>
      </w:rPr>
    </w:pPr>
    <w:r w:rsidRPr="005A5A65">
      <w:rPr>
        <w:rFonts w:cs="Arial"/>
        <w:sz w:val="18"/>
        <w:szCs w:val="20"/>
      </w:rPr>
      <w:t>Marine Monitoring Program</w:t>
    </w:r>
    <w:r w:rsidRPr="005A5A65">
      <w:rPr>
        <w:rFonts w:cs="Arial"/>
        <w:sz w:val="18"/>
        <w:szCs w:val="20"/>
      </w:rPr>
      <w:tab/>
    </w:r>
    <w:r>
      <w:rPr>
        <w:rFonts w:cs="Arial"/>
        <w:sz w:val="18"/>
        <w:szCs w:val="20"/>
      </w:rPr>
      <w:t>Annual Report for inshore seagrass monitoring 2018–19</w:t>
    </w: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9105D" w14:textId="77777777" w:rsidR="0067675D" w:rsidRDefault="00D91B0F">
    <w:r>
      <w:rPr>
        <w:noProof/>
      </w:rPr>
      <w:pict w14:anchorId="11987E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7188878" o:spid="_x0000_s2049" type="#_x0000_t136" alt="" style="position:absolute;margin-left:0;margin-top:0;width:573.7pt;height:86.05pt;rotation:315;z-index:-251658231;mso-wrap-edited:f;mso-width-percent:0;mso-height-percent:0;mso-position-horizontal:center;mso-position-horizontal-relative:margin;mso-position-vertical:center;mso-position-vertical-relative:margin;mso-width-percent:0;mso-height-percent:0" o:allowincell="f" fillcolor="#f2f2f2 [3052]" stroked="f">
          <v:textpath style="font-family:&quot;Calibri&quot;;font-size:1pt" string="DRAFT not for distribu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DB9"/>
    <w:multiLevelType w:val="multilevel"/>
    <w:tmpl w:val="E5E89F92"/>
    <w:styleLink w:val="BulletList"/>
    <w:lvl w:ilvl="0">
      <w:start w:val="1"/>
      <w:numFmt w:val="bullet"/>
      <w:pStyle w:val="ListBullet"/>
      <w:lvlText w:val=""/>
      <w:lvlJc w:val="left"/>
      <w:pPr>
        <w:ind w:left="369" w:hanging="369"/>
      </w:pPr>
      <w:rPr>
        <w:rFonts w:ascii="Symbol" w:hAnsi="Symbol" w:hint="default"/>
      </w:rPr>
    </w:lvl>
    <w:lvl w:ilvl="1">
      <w:start w:val="1"/>
      <w:numFmt w:val="none"/>
      <w:pStyle w:val="ListBullet2"/>
      <w:lvlText w:val="-"/>
      <w:lvlJc w:val="left"/>
      <w:pPr>
        <w:ind w:left="737" w:hanging="368"/>
      </w:pPr>
      <w:rPr>
        <w:rFonts w:hint="default"/>
      </w:rPr>
    </w:lvl>
    <w:lvl w:ilvl="2">
      <w:start w:val="1"/>
      <w:numFmt w:val="none"/>
      <w:pStyle w:val="ListBullet3"/>
      <w:lvlText w:val=":"/>
      <w:lvlJc w:val="left"/>
      <w:pPr>
        <w:ind w:left="1106" w:hanging="369"/>
      </w:pPr>
      <w:rPr>
        <w:rFonts w:hint="default"/>
      </w:rPr>
    </w:lvl>
    <w:lvl w:ilvl="3">
      <w:start w:val="1"/>
      <w:numFmt w:val="none"/>
      <w:pStyle w:val="ListBullet4"/>
      <w:lvlText w:val=""/>
      <w:lvlJc w:val="left"/>
      <w:pPr>
        <w:ind w:left="1474" w:hanging="368"/>
      </w:pPr>
      <w:rPr>
        <w:rFonts w:hint="default"/>
        <w:color w:val="auto"/>
      </w:rPr>
    </w:lvl>
    <w:lvl w:ilvl="4">
      <w:start w:val="1"/>
      <w:numFmt w:val="none"/>
      <w:pStyle w:val="ListBullet5"/>
      <w:lvlText w:val=""/>
      <w:lvlJc w:val="left"/>
      <w:pPr>
        <w:ind w:left="1800" w:hanging="360"/>
      </w:pPr>
      <w:rPr>
        <w:rFonts w:hint="default"/>
        <w:color w:val="auto"/>
      </w:rPr>
    </w:lvl>
    <w:lvl w:ilvl="5">
      <w:start w:val="1"/>
      <w:numFmt w:val="none"/>
      <w:lvlText w:val=""/>
      <w:lvlJc w:val="left"/>
      <w:pPr>
        <w:ind w:left="2160" w:hanging="360"/>
      </w:pPr>
      <w:rPr>
        <w:rFonts w:hint="default"/>
        <w:color w:val="auto"/>
      </w:rPr>
    </w:lvl>
    <w:lvl w:ilvl="6">
      <w:start w:val="1"/>
      <w:numFmt w:val="none"/>
      <w:lvlText w:val=""/>
      <w:lvlJc w:val="left"/>
      <w:pPr>
        <w:ind w:left="2520" w:hanging="360"/>
      </w:pPr>
      <w:rPr>
        <w:rFonts w:hint="default"/>
        <w:color w:val="auto"/>
      </w:rPr>
    </w:lvl>
    <w:lvl w:ilvl="7">
      <w:start w:val="1"/>
      <w:numFmt w:val="none"/>
      <w:lvlText w:val=""/>
      <w:lvlJc w:val="left"/>
      <w:pPr>
        <w:ind w:left="2880" w:hanging="360"/>
      </w:pPr>
      <w:rPr>
        <w:rFonts w:hint="default"/>
        <w:color w:val="auto"/>
      </w:rPr>
    </w:lvl>
    <w:lvl w:ilvl="8">
      <w:start w:val="1"/>
      <w:numFmt w:val="none"/>
      <w:lvlText w:val=""/>
      <w:lvlJc w:val="left"/>
      <w:pPr>
        <w:ind w:left="3240" w:hanging="360"/>
      </w:pPr>
      <w:rPr>
        <w:rFonts w:hint="default"/>
        <w:color w:val="auto"/>
      </w:rPr>
    </w:lvl>
  </w:abstractNum>
  <w:abstractNum w:abstractNumId="1" w15:restartNumberingAfterBreak="0">
    <w:nsid w:val="04A144BC"/>
    <w:multiLevelType w:val="hybridMultilevel"/>
    <w:tmpl w:val="38961C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DF1676"/>
    <w:multiLevelType w:val="hybridMultilevel"/>
    <w:tmpl w:val="A0B25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5B2D1B"/>
    <w:multiLevelType w:val="hybridMultilevel"/>
    <w:tmpl w:val="2F9AB2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0558E8"/>
    <w:multiLevelType w:val="hybridMultilevel"/>
    <w:tmpl w:val="E60CD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A480FF2"/>
    <w:multiLevelType w:val="hybridMultilevel"/>
    <w:tmpl w:val="B164B99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0C332D44"/>
    <w:multiLevelType w:val="hybridMultilevel"/>
    <w:tmpl w:val="976A28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CD0744"/>
    <w:multiLevelType w:val="hybridMultilevel"/>
    <w:tmpl w:val="DBE21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B54195"/>
    <w:multiLevelType w:val="hybridMultilevel"/>
    <w:tmpl w:val="53B0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676F2B"/>
    <w:multiLevelType w:val="hybridMultilevel"/>
    <w:tmpl w:val="09E86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EE3DF7"/>
    <w:multiLevelType w:val="hybridMultilevel"/>
    <w:tmpl w:val="D2A0C71E"/>
    <w:lvl w:ilvl="0" w:tplc="51A6BF42">
      <w:start w:val="1"/>
      <w:numFmt w:val="bullet"/>
      <w:lvlText w:val="•"/>
      <w:lvlJc w:val="left"/>
      <w:pPr>
        <w:tabs>
          <w:tab w:val="num" w:pos="720"/>
        </w:tabs>
        <w:ind w:left="720" w:hanging="360"/>
      </w:pPr>
      <w:rPr>
        <w:rFonts w:ascii="Arial" w:hAnsi="Arial" w:hint="default"/>
      </w:rPr>
    </w:lvl>
    <w:lvl w:ilvl="1" w:tplc="B7B665F8" w:tentative="1">
      <w:start w:val="1"/>
      <w:numFmt w:val="bullet"/>
      <w:lvlText w:val="•"/>
      <w:lvlJc w:val="left"/>
      <w:pPr>
        <w:tabs>
          <w:tab w:val="num" w:pos="1440"/>
        </w:tabs>
        <w:ind w:left="1440" w:hanging="360"/>
      </w:pPr>
      <w:rPr>
        <w:rFonts w:ascii="Arial" w:hAnsi="Arial" w:hint="default"/>
      </w:rPr>
    </w:lvl>
    <w:lvl w:ilvl="2" w:tplc="698A3C52" w:tentative="1">
      <w:start w:val="1"/>
      <w:numFmt w:val="bullet"/>
      <w:lvlText w:val="•"/>
      <w:lvlJc w:val="left"/>
      <w:pPr>
        <w:tabs>
          <w:tab w:val="num" w:pos="2160"/>
        </w:tabs>
        <w:ind w:left="2160" w:hanging="360"/>
      </w:pPr>
      <w:rPr>
        <w:rFonts w:ascii="Arial" w:hAnsi="Arial" w:hint="default"/>
      </w:rPr>
    </w:lvl>
    <w:lvl w:ilvl="3" w:tplc="61A46D7C" w:tentative="1">
      <w:start w:val="1"/>
      <w:numFmt w:val="bullet"/>
      <w:lvlText w:val="•"/>
      <w:lvlJc w:val="left"/>
      <w:pPr>
        <w:tabs>
          <w:tab w:val="num" w:pos="2880"/>
        </w:tabs>
        <w:ind w:left="2880" w:hanging="360"/>
      </w:pPr>
      <w:rPr>
        <w:rFonts w:ascii="Arial" w:hAnsi="Arial" w:hint="default"/>
      </w:rPr>
    </w:lvl>
    <w:lvl w:ilvl="4" w:tplc="C45C9940" w:tentative="1">
      <w:start w:val="1"/>
      <w:numFmt w:val="bullet"/>
      <w:lvlText w:val="•"/>
      <w:lvlJc w:val="left"/>
      <w:pPr>
        <w:tabs>
          <w:tab w:val="num" w:pos="3600"/>
        </w:tabs>
        <w:ind w:left="3600" w:hanging="360"/>
      </w:pPr>
      <w:rPr>
        <w:rFonts w:ascii="Arial" w:hAnsi="Arial" w:hint="default"/>
      </w:rPr>
    </w:lvl>
    <w:lvl w:ilvl="5" w:tplc="DA9080A2" w:tentative="1">
      <w:start w:val="1"/>
      <w:numFmt w:val="bullet"/>
      <w:lvlText w:val="•"/>
      <w:lvlJc w:val="left"/>
      <w:pPr>
        <w:tabs>
          <w:tab w:val="num" w:pos="4320"/>
        </w:tabs>
        <w:ind w:left="4320" w:hanging="360"/>
      </w:pPr>
      <w:rPr>
        <w:rFonts w:ascii="Arial" w:hAnsi="Arial" w:hint="default"/>
      </w:rPr>
    </w:lvl>
    <w:lvl w:ilvl="6" w:tplc="6652EDA2" w:tentative="1">
      <w:start w:val="1"/>
      <w:numFmt w:val="bullet"/>
      <w:lvlText w:val="•"/>
      <w:lvlJc w:val="left"/>
      <w:pPr>
        <w:tabs>
          <w:tab w:val="num" w:pos="5040"/>
        </w:tabs>
        <w:ind w:left="5040" w:hanging="360"/>
      </w:pPr>
      <w:rPr>
        <w:rFonts w:ascii="Arial" w:hAnsi="Arial" w:hint="default"/>
      </w:rPr>
    </w:lvl>
    <w:lvl w:ilvl="7" w:tplc="F2CACB44" w:tentative="1">
      <w:start w:val="1"/>
      <w:numFmt w:val="bullet"/>
      <w:lvlText w:val="•"/>
      <w:lvlJc w:val="left"/>
      <w:pPr>
        <w:tabs>
          <w:tab w:val="num" w:pos="5760"/>
        </w:tabs>
        <w:ind w:left="5760" w:hanging="360"/>
      </w:pPr>
      <w:rPr>
        <w:rFonts w:ascii="Arial" w:hAnsi="Arial" w:hint="default"/>
      </w:rPr>
    </w:lvl>
    <w:lvl w:ilvl="8" w:tplc="8B28DF1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745BC2"/>
    <w:multiLevelType w:val="multilevel"/>
    <w:tmpl w:val="E5E89F92"/>
    <w:numStyleLink w:val="BulletList"/>
  </w:abstractNum>
  <w:abstractNum w:abstractNumId="12" w15:restartNumberingAfterBreak="0">
    <w:nsid w:val="202C7B82"/>
    <w:multiLevelType w:val="hybridMultilevel"/>
    <w:tmpl w:val="E7648F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A74444"/>
    <w:multiLevelType w:val="hybridMultilevel"/>
    <w:tmpl w:val="2A267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73FF0"/>
    <w:multiLevelType w:val="multilevel"/>
    <w:tmpl w:val="C934803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66D5957"/>
    <w:multiLevelType w:val="hybridMultilevel"/>
    <w:tmpl w:val="5D7E2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68D35E7"/>
    <w:multiLevelType w:val="multilevel"/>
    <w:tmpl w:val="A964F010"/>
    <w:numStyleLink w:val="NumberedHeadingList"/>
  </w:abstractNum>
  <w:abstractNum w:abstractNumId="17" w15:restartNumberingAfterBreak="0">
    <w:nsid w:val="28F32F56"/>
    <w:multiLevelType w:val="hybridMultilevel"/>
    <w:tmpl w:val="0700E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358AD"/>
    <w:multiLevelType w:val="hybridMultilevel"/>
    <w:tmpl w:val="06ECE8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27312FC"/>
    <w:multiLevelType w:val="multilevel"/>
    <w:tmpl w:val="AB569C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361C7DAA"/>
    <w:multiLevelType w:val="multilevel"/>
    <w:tmpl w:val="CAA83148"/>
    <w:styleLink w:val="Attach"/>
    <w:lvl w:ilvl="0">
      <w:start w:val="1"/>
      <w:numFmt w:val="upperLetter"/>
      <w:lvlText w:val="Attachment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98B4921"/>
    <w:multiLevelType w:val="hybridMultilevel"/>
    <w:tmpl w:val="58A29A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9A40330"/>
    <w:multiLevelType w:val="hybridMultilevel"/>
    <w:tmpl w:val="ED7E81D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lowerLetter"/>
      <w:lvlText w:val="%2."/>
      <w:lvlJc w:val="left"/>
      <w:pPr>
        <w:tabs>
          <w:tab w:val="num" w:pos="1440"/>
        </w:tabs>
        <w:ind w:left="1440" w:hanging="360"/>
      </w:pPr>
      <w:rPr>
        <w:rFonts w:cs="Times New Roman"/>
      </w:rPr>
    </w:lvl>
    <w:lvl w:ilvl="2" w:tplc="0C090005" w:tentative="1">
      <w:start w:val="1"/>
      <w:numFmt w:val="lowerRoman"/>
      <w:lvlText w:val="%3."/>
      <w:lvlJc w:val="right"/>
      <w:pPr>
        <w:tabs>
          <w:tab w:val="num" w:pos="2160"/>
        </w:tabs>
        <w:ind w:left="2160" w:hanging="180"/>
      </w:pPr>
      <w:rPr>
        <w:rFonts w:cs="Times New Roman"/>
      </w:rPr>
    </w:lvl>
    <w:lvl w:ilvl="3" w:tplc="0C090001" w:tentative="1">
      <w:start w:val="1"/>
      <w:numFmt w:val="decimal"/>
      <w:lvlText w:val="%4."/>
      <w:lvlJc w:val="left"/>
      <w:pPr>
        <w:tabs>
          <w:tab w:val="num" w:pos="2880"/>
        </w:tabs>
        <w:ind w:left="2880" w:hanging="360"/>
      </w:pPr>
      <w:rPr>
        <w:rFonts w:cs="Times New Roman"/>
      </w:rPr>
    </w:lvl>
    <w:lvl w:ilvl="4" w:tplc="0C090003" w:tentative="1">
      <w:start w:val="1"/>
      <w:numFmt w:val="lowerLetter"/>
      <w:lvlText w:val="%5."/>
      <w:lvlJc w:val="left"/>
      <w:pPr>
        <w:tabs>
          <w:tab w:val="num" w:pos="3600"/>
        </w:tabs>
        <w:ind w:left="3600" w:hanging="360"/>
      </w:pPr>
      <w:rPr>
        <w:rFonts w:cs="Times New Roman"/>
      </w:rPr>
    </w:lvl>
    <w:lvl w:ilvl="5" w:tplc="0C090005" w:tentative="1">
      <w:start w:val="1"/>
      <w:numFmt w:val="lowerRoman"/>
      <w:lvlText w:val="%6."/>
      <w:lvlJc w:val="right"/>
      <w:pPr>
        <w:tabs>
          <w:tab w:val="num" w:pos="4320"/>
        </w:tabs>
        <w:ind w:left="4320" w:hanging="180"/>
      </w:pPr>
      <w:rPr>
        <w:rFonts w:cs="Times New Roman"/>
      </w:rPr>
    </w:lvl>
    <w:lvl w:ilvl="6" w:tplc="0C090001" w:tentative="1">
      <w:start w:val="1"/>
      <w:numFmt w:val="decimal"/>
      <w:lvlText w:val="%7."/>
      <w:lvlJc w:val="left"/>
      <w:pPr>
        <w:tabs>
          <w:tab w:val="num" w:pos="5040"/>
        </w:tabs>
        <w:ind w:left="5040" w:hanging="360"/>
      </w:pPr>
      <w:rPr>
        <w:rFonts w:cs="Times New Roman"/>
      </w:rPr>
    </w:lvl>
    <w:lvl w:ilvl="7" w:tplc="0C090003" w:tentative="1">
      <w:start w:val="1"/>
      <w:numFmt w:val="lowerLetter"/>
      <w:lvlText w:val="%8."/>
      <w:lvlJc w:val="left"/>
      <w:pPr>
        <w:tabs>
          <w:tab w:val="num" w:pos="5760"/>
        </w:tabs>
        <w:ind w:left="5760" w:hanging="360"/>
      </w:pPr>
      <w:rPr>
        <w:rFonts w:cs="Times New Roman"/>
      </w:rPr>
    </w:lvl>
    <w:lvl w:ilvl="8" w:tplc="0C090005" w:tentative="1">
      <w:start w:val="1"/>
      <w:numFmt w:val="lowerRoman"/>
      <w:lvlText w:val="%9."/>
      <w:lvlJc w:val="right"/>
      <w:pPr>
        <w:tabs>
          <w:tab w:val="num" w:pos="6480"/>
        </w:tabs>
        <w:ind w:left="6480" w:hanging="180"/>
      </w:pPr>
      <w:rPr>
        <w:rFonts w:cs="Times New Roman"/>
      </w:rPr>
    </w:lvl>
  </w:abstractNum>
  <w:abstractNum w:abstractNumId="23" w15:restartNumberingAfterBreak="0">
    <w:nsid w:val="3ADD67BA"/>
    <w:multiLevelType w:val="hybridMultilevel"/>
    <w:tmpl w:val="4876462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4" w15:restartNumberingAfterBreak="0">
    <w:nsid w:val="3B69622C"/>
    <w:multiLevelType w:val="multilevel"/>
    <w:tmpl w:val="A964F010"/>
    <w:styleLink w:val="NumberedHeadingList"/>
    <w:lvl w:ilvl="0">
      <w:start w:val="1"/>
      <w:numFmt w:val="decimal"/>
      <w:pStyle w:val="Heading1"/>
      <w:lvlText w:val="%1"/>
      <w:lvlJc w:val="left"/>
      <w:pPr>
        <w:ind w:left="567" w:hanging="567"/>
      </w:pPr>
      <w:rPr>
        <w:rFonts w:ascii="Arial" w:hAnsi="Arial" w:hint="default"/>
        <w:b/>
        <w:i w:val="0"/>
        <w:sz w:val="36"/>
      </w:rPr>
    </w:lvl>
    <w:lvl w:ilvl="1">
      <w:start w:val="1"/>
      <w:numFmt w:val="decimal"/>
      <w:pStyle w:val="Heading2"/>
      <w:lvlText w:val="%1.%2"/>
      <w:lvlJc w:val="left"/>
      <w:pPr>
        <w:ind w:left="567" w:hanging="567"/>
      </w:pPr>
      <w:rPr>
        <w:rFonts w:ascii="Arial" w:hAnsi="Arial" w:hint="default"/>
        <w:b/>
        <w:i w:val="0"/>
        <w:sz w:val="24"/>
      </w:rPr>
    </w:lvl>
    <w:lvl w:ilvl="2">
      <w:start w:val="1"/>
      <w:numFmt w:val="decimal"/>
      <w:pStyle w:val="Heading3"/>
      <w:lvlText w:val="%1.%2.%3"/>
      <w:lvlJc w:val="left"/>
      <w:pPr>
        <w:ind w:left="680" w:hanging="680"/>
      </w:pPr>
      <w:rPr>
        <w:rFonts w:ascii="Arial" w:hAnsi="Arial" w:hint="default"/>
        <w:b/>
        <w:i w:val="0"/>
        <w:sz w:val="22"/>
      </w:rPr>
    </w:lvl>
    <w:lvl w:ilvl="3">
      <w:start w:val="1"/>
      <w:numFmt w:val="decimal"/>
      <w:pStyle w:val="Heading4"/>
      <w:lvlText w:val="%1.%2.%3.%4"/>
      <w:lvlJc w:val="left"/>
      <w:pPr>
        <w:ind w:left="851" w:hanging="851"/>
      </w:pPr>
      <w:rPr>
        <w:rFonts w:ascii="Arial" w:hAnsi="Arial" w:hint="default"/>
        <w:b w:val="0"/>
        <w:i/>
        <w:sz w:val="22"/>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404A2909"/>
    <w:multiLevelType w:val="hybridMultilevel"/>
    <w:tmpl w:val="01D253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8B5011"/>
    <w:multiLevelType w:val="hybridMultilevel"/>
    <w:tmpl w:val="BC3E4E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E52982"/>
    <w:multiLevelType w:val="hybridMultilevel"/>
    <w:tmpl w:val="3FC0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2C3626"/>
    <w:multiLevelType w:val="hybridMultilevel"/>
    <w:tmpl w:val="3B86D228"/>
    <w:lvl w:ilvl="0" w:tplc="0409000F">
      <w:start w:val="1"/>
      <w:numFmt w:val="bullet"/>
      <w:lvlText w:val=""/>
      <w:lvlJc w:val="left"/>
      <w:pPr>
        <w:tabs>
          <w:tab w:val="num" w:pos="360"/>
        </w:tabs>
        <w:ind w:left="360"/>
      </w:pPr>
      <w:rPr>
        <w:rFonts w:ascii="Symbol" w:hAnsi="Symbol" w:hint="default"/>
        <w:sz w:val="16"/>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E891B5E"/>
    <w:multiLevelType w:val="hybridMultilevel"/>
    <w:tmpl w:val="1C100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C34540"/>
    <w:multiLevelType w:val="hybridMultilevel"/>
    <w:tmpl w:val="D0282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0A921B0"/>
    <w:multiLevelType w:val="hybridMultilevel"/>
    <w:tmpl w:val="ED3A682C"/>
    <w:lvl w:ilvl="0" w:tplc="8E888F84">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0DE0C29"/>
    <w:multiLevelType w:val="hybridMultilevel"/>
    <w:tmpl w:val="84B6D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2A6159"/>
    <w:multiLevelType w:val="multilevel"/>
    <w:tmpl w:val="0DEEACF2"/>
    <w:lvl w:ilvl="0">
      <w:start w:val="1"/>
      <w:numFmt w:val="decimal"/>
      <w:lvlText w:val="Appendix %1"/>
      <w:lvlJc w:val="left"/>
      <w:pPr>
        <w:tabs>
          <w:tab w:val="num" w:pos="851"/>
        </w:tabs>
        <w:ind w:left="432" w:hanging="432"/>
      </w:pPr>
      <w:rPr>
        <w:rFonts w:ascii="Century Gothic" w:hAnsi="Century Gothic" w:hint="default"/>
        <w:b/>
        <w:i w:val="0"/>
        <w:color w:val="auto"/>
        <w:sz w:val="32"/>
      </w:rPr>
    </w:lvl>
    <w:lvl w:ilvl="1">
      <w:start w:val="1"/>
      <w:numFmt w:val="decimal"/>
      <w:lvlText w:val="A%1.%2"/>
      <w:lvlJc w:val="left"/>
      <w:pPr>
        <w:tabs>
          <w:tab w:val="num" w:pos="576"/>
        </w:tabs>
        <w:ind w:left="576" w:hanging="576"/>
      </w:pPr>
      <w:rPr>
        <w:rFonts w:ascii="Arial" w:hAnsi="Arial" w:hint="default"/>
        <w:b/>
        <w:i w:val="0"/>
        <w:color w:val="auto"/>
        <w:sz w:val="28"/>
      </w:rPr>
    </w:lvl>
    <w:lvl w:ilvl="2">
      <w:start w:val="1"/>
      <w:numFmt w:val="decimal"/>
      <w:lvlText w:val="A%1.%2.%3"/>
      <w:lvlJc w:val="left"/>
      <w:pPr>
        <w:tabs>
          <w:tab w:val="num" w:pos="720"/>
        </w:tabs>
        <w:ind w:left="720" w:hanging="720"/>
      </w:pPr>
      <w:rPr>
        <w:rFonts w:ascii="Calibri" w:hAnsi="Calibri" w:hint="default"/>
        <w:b/>
        <w:i w:val="0"/>
        <w:color w:val="auto"/>
        <w:sz w:val="24"/>
      </w:rPr>
    </w:lvl>
    <w:lvl w:ilvl="3">
      <w:start w:val="1"/>
      <w:numFmt w:val="none"/>
      <w:lvlText w:val=""/>
      <w:lvlJc w:val="left"/>
      <w:pPr>
        <w:tabs>
          <w:tab w:val="num" w:pos="864"/>
        </w:tabs>
        <w:ind w:left="864" w:hanging="864"/>
      </w:pPr>
      <w:rPr>
        <w:rFonts w:hint="default"/>
        <w:color w:val="auto"/>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B417E5"/>
    <w:multiLevelType w:val="hybridMultilevel"/>
    <w:tmpl w:val="C80CFA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82E24BE"/>
    <w:multiLevelType w:val="multilevel"/>
    <w:tmpl w:val="8C82D94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C4D44F4"/>
    <w:multiLevelType w:val="hybridMultilevel"/>
    <w:tmpl w:val="2F46F3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2300D34"/>
    <w:multiLevelType w:val="multilevel"/>
    <w:tmpl w:val="AFAC056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3754A57"/>
    <w:multiLevelType w:val="hybridMultilevel"/>
    <w:tmpl w:val="2430A21C"/>
    <w:lvl w:ilvl="0" w:tplc="0C090001">
      <w:start w:val="1"/>
      <w:numFmt w:val="bullet"/>
      <w:lvlText w:val=""/>
      <w:lvlJc w:val="left"/>
      <w:pPr>
        <w:ind w:left="720" w:hanging="360"/>
      </w:pPr>
      <w:rPr>
        <w:rFonts w:ascii="Symbol" w:hAnsi="Symbol" w:hint="default"/>
      </w:rPr>
    </w:lvl>
    <w:lvl w:ilvl="1" w:tplc="9800C03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456429"/>
    <w:multiLevelType w:val="multilevel"/>
    <w:tmpl w:val="E898CC72"/>
    <w:numStyleLink w:val="KeyPoints"/>
  </w:abstractNum>
  <w:abstractNum w:abstractNumId="40" w15:restartNumberingAfterBreak="0">
    <w:nsid w:val="700E0EE2"/>
    <w:multiLevelType w:val="hybridMultilevel"/>
    <w:tmpl w:val="60C0195A"/>
    <w:lvl w:ilvl="0" w:tplc="0C090001">
      <w:start w:val="1"/>
      <w:numFmt w:val="bullet"/>
      <w:lvlText w:val=""/>
      <w:lvlJc w:val="left"/>
      <w:pPr>
        <w:tabs>
          <w:tab w:val="num" w:pos="720"/>
        </w:tabs>
        <w:ind w:left="720" w:hanging="360"/>
      </w:pPr>
      <w:rPr>
        <w:rFonts w:ascii="Symbol" w:hAnsi="Symbol" w:hint="default"/>
      </w:rPr>
    </w:lvl>
    <w:lvl w:ilvl="1" w:tplc="05EED818">
      <w:numFmt w:val="bullet"/>
      <w:lvlText w:val="•"/>
      <w:lvlJc w:val="left"/>
      <w:pPr>
        <w:ind w:left="1800" w:hanging="720"/>
      </w:pPr>
      <w:rPr>
        <w:rFonts w:ascii="Calibri" w:eastAsia="Times New Roman" w:hAnsi="Calibri" w:cs="Times New Roman" w:hint="default"/>
      </w:rPr>
    </w:lvl>
    <w:lvl w:ilvl="2" w:tplc="0C090005" w:tentative="1">
      <w:start w:val="1"/>
      <w:numFmt w:val="lowerRoman"/>
      <w:lvlText w:val="%3."/>
      <w:lvlJc w:val="right"/>
      <w:pPr>
        <w:tabs>
          <w:tab w:val="num" w:pos="2160"/>
        </w:tabs>
        <w:ind w:left="2160" w:hanging="180"/>
      </w:pPr>
      <w:rPr>
        <w:rFonts w:cs="Times New Roman"/>
      </w:rPr>
    </w:lvl>
    <w:lvl w:ilvl="3" w:tplc="0C090001" w:tentative="1">
      <w:start w:val="1"/>
      <w:numFmt w:val="decimal"/>
      <w:lvlText w:val="%4."/>
      <w:lvlJc w:val="left"/>
      <w:pPr>
        <w:tabs>
          <w:tab w:val="num" w:pos="2880"/>
        </w:tabs>
        <w:ind w:left="2880" w:hanging="360"/>
      </w:pPr>
      <w:rPr>
        <w:rFonts w:cs="Times New Roman"/>
      </w:rPr>
    </w:lvl>
    <w:lvl w:ilvl="4" w:tplc="0C090003" w:tentative="1">
      <w:start w:val="1"/>
      <w:numFmt w:val="lowerLetter"/>
      <w:lvlText w:val="%5."/>
      <w:lvlJc w:val="left"/>
      <w:pPr>
        <w:tabs>
          <w:tab w:val="num" w:pos="3600"/>
        </w:tabs>
        <w:ind w:left="3600" w:hanging="360"/>
      </w:pPr>
      <w:rPr>
        <w:rFonts w:cs="Times New Roman"/>
      </w:rPr>
    </w:lvl>
    <w:lvl w:ilvl="5" w:tplc="0C090005" w:tentative="1">
      <w:start w:val="1"/>
      <w:numFmt w:val="lowerRoman"/>
      <w:lvlText w:val="%6."/>
      <w:lvlJc w:val="right"/>
      <w:pPr>
        <w:tabs>
          <w:tab w:val="num" w:pos="4320"/>
        </w:tabs>
        <w:ind w:left="4320" w:hanging="180"/>
      </w:pPr>
      <w:rPr>
        <w:rFonts w:cs="Times New Roman"/>
      </w:rPr>
    </w:lvl>
    <w:lvl w:ilvl="6" w:tplc="0C090001" w:tentative="1">
      <w:start w:val="1"/>
      <w:numFmt w:val="decimal"/>
      <w:lvlText w:val="%7."/>
      <w:lvlJc w:val="left"/>
      <w:pPr>
        <w:tabs>
          <w:tab w:val="num" w:pos="5040"/>
        </w:tabs>
        <w:ind w:left="5040" w:hanging="360"/>
      </w:pPr>
      <w:rPr>
        <w:rFonts w:cs="Times New Roman"/>
      </w:rPr>
    </w:lvl>
    <w:lvl w:ilvl="7" w:tplc="0C090003" w:tentative="1">
      <w:start w:val="1"/>
      <w:numFmt w:val="lowerLetter"/>
      <w:lvlText w:val="%8."/>
      <w:lvlJc w:val="left"/>
      <w:pPr>
        <w:tabs>
          <w:tab w:val="num" w:pos="5760"/>
        </w:tabs>
        <w:ind w:left="5760" w:hanging="360"/>
      </w:pPr>
      <w:rPr>
        <w:rFonts w:cs="Times New Roman"/>
      </w:rPr>
    </w:lvl>
    <w:lvl w:ilvl="8" w:tplc="0C090005" w:tentative="1">
      <w:start w:val="1"/>
      <w:numFmt w:val="lowerRoman"/>
      <w:lvlText w:val="%9."/>
      <w:lvlJc w:val="right"/>
      <w:pPr>
        <w:tabs>
          <w:tab w:val="num" w:pos="6480"/>
        </w:tabs>
        <w:ind w:left="6480" w:hanging="180"/>
      </w:pPr>
      <w:rPr>
        <w:rFonts w:cs="Times New Roman"/>
      </w:rPr>
    </w:lvl>
  </w:abstractNum>
  <w:abstractNum w:abstractNumId="41" w15:restartNumberingAfterBreak="0">
    <w:nsid w:val="70B10CFB"/>
    <w:multiLevelType w:val="hybridMultilevel"/>
    <w:tmpl w:val="7C8CA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2061D4"/>
    <w:multiLevelType w:val="hybridMultilevel"/>
    <w:tmpl w:val="9E4447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62964D5"/>
    <w:multiLevelType w:val="multilevel"/>
    <w:tmpl w:val="E898CC72"/>
    <w:styleLink w:val="KeyPoints"/>
    <w:lvl w:ilvl="0">
      <w:start w:val="1"/>
      <w:numFmt w:val="decimal"/>
      <w:pStyle w:val="ListNumber"/>
      <w:lvlText w:val="%1."/>
      <w:lvlJc w:val="left"/>
      <w:pPr>
        <w:ind w:left="369" w:hanging="369"/>
      </w:pPr>
      <w:rPr>
        <w:rFonts w:ascii="Arial" w:hAnsi="Arial" w:hint="default"/>
        <w:sz w:val="22"/>
      </w:rPr>
    </w:lvl>
    <w:lvl w:ilvl="1">
      <w:start w:val="1"/>
      <w:numFmt w:val="lowerLetter"/>
      <w:pStyle w:val="ListNumber2"/>
      <w:lvlText w:val="%2."/>
      <w:lvlJc w:val="left"/>
      <w:pPr>
        <w:ind w:left="738" w:hanging="369"/>
      </w:pPr>
      <w:rPr>
        <w:rFonts w:hint="default"/>
      </w:rPr>
    </w:lvl>
    <w:lvl w:ilvl="2">
      <w:start w:val="1"/>
      <w:numFmt w:val="lowerRoman"/>
      <w:pStyle w:val="ListNumber3"/>
      <w:lvlText w:val="%3."/>
      <w:lvlJc w:val="left"/>
      <w:pPr>
        <w:ind w:left="1107" w:hanging="369"/>
      </w:pPr>
      <w:rPr>
        <w:rFonts w:hint="default"/>
      </w:rPr>
    </w:lvl>
    <w:lvl w:ilvl="3">
      <w:start w:val="1"/>
      <w:numFmt w:val="none"/>
      <w:pStyle w:val="ListNumber4"/>
      <w:lvlText w:val="%4"/>
      <w:lvlJc w:val="left"/>
      <w:pPr>
        <w:ind w:left="1476" w:hanging="369"/>
      </w:pPr>
      <w:rPr>
        <w:rFonts w:hint="default"/>
      </w:rPr>
    </w:lvl>
    <w:lvl w:ilvl="4">
      <w:start w:val="1"/>
      <w:numFmt w:val="none"/>
      <w:pStyle w:val="ListNumber5"/>
      <w:lvlText w:val=""/>
      <w:lvlJc w:val="left"/>
      <w:pPr>
        <w:ind w:left="1845" w:hanging="369"/>
      </w:pPr>
      <w:rPr>
        <w:rFonts w:hint="default"/>
      </w:rPr>
    </w:lvl>
    <w:lvl w:ilvl="5">
      <w:start w:val="1"/>
      <w:numFmt w:val="none"/>
      <w:lvlText w:val=""/>
      <w:lvlJc w:val="left"/>
      <w:pPr>
        <w:ind w:left="2214" w:hanging="369"/>
      </w:pPr>
      <w:rPr>
        <w:rFonts w:hint="default"/>
      </w:rPr>
    </w:lvl>
    <w:lvl w:ilvl="6">
      <w:start w:val="1"/>
      <w:numFmt w:val="none"/>
      <w:lvlText w:val=""/>
      <w:lvlJc w:val="left"/>
      <w:pPr>
        <w:ind w:left="2583" w:hanging="369"/>
      </w:pPr>
      <w:rPr>
        <w:rFonts w:hint="default"/>
      </w:rPr>
    </w:lvl>
    <w:lvl w:ilvl="7">
      <w:start w:val="1"/>
      <w:numFmt w:val="none"/>
      <w:lvlText w:val=""/>
      <w:lvlJc w:val="left"/>
      <w:pPr>
        <w:ind w:left="2952" w:hanging="369"/>
      </w:pPr>
      <w:rPr>
        <w:rFonts w:hint="default"/>
      </w:rPr>
    </w:lvl>
    <w:lvl w:ilvl="8">
      <w:start w:val="1"/>
      <w:numFmt w:val="none"/>
      <w:lvlText w:val=""/>
      <w:lvlJc w:val="left"/>
      <w:pPr>
        <w:ind w:left="3321" w:hanging="369"/>
      </w:pPr>
      <w:rPr>
        <w:rFonts w:hint="default"/>
      </w:rPr>
    </w:lvl>
  </w:abstractNum>
  <w:abstractNum w:abstractNumId="44" w15:restartNumberingAfterBreak="0">
    <w:nsid w:val="78576A1F"/>
    <w:multiLevelType w:val="hybridMultilevel"/>
    <w:tmpl w:val="6F162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DB59CE"/>
    <w:multiLevelType w:val="hybridMultilevel"/>
    <w:tmpl w:val="06765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B25FD8"/>
    <w:multiLevelType w:val="hybridMultilevel"/>
    <w:tmpl w:val="6572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5D5BFA"/>
    <w:multiLevelType w:val="hybridMultilevel"/>
    <w:tmpl w:val="A6AA4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47"/>
  </w:num>
  <w:num w:numId="3">
    <w:abstractNumId w:val="9"/>
  </w:num>
  <w:num w:numId="4">
    <w:abstractNumId w:val="14"/>
  </w:num>
  <w:num w:numId="5">
    <w:abstractNumId w:val="7"/>
  </w:num>
  <w:num w:numId="6">
    <w:abstractNumId w:val="33"/>
    <w:lvlOverride w:ilvl="0">
      <w:lvl w:ilvl="0">
        <w:start w:val="1"/>
        <w:numFmt w:val="decimal"/>
        <w:lvlText w:val="Appendix %1"/>
        <w:lvlJc w:val="left"/>
        <w:pPr>
          <w:tabs>
            <w:tab w:val="num" w:pos="851"/>
          </w:tabs>
          <w:ind w:left="851" w:hanging="851"/>
        </w:pPr>
        <w:rPr>
          <w:rFonts w:ascii="Century Gothic" w:hAnsi="Century Gothic" w:hint="default"/>
          <w:b/>
          <w:i w:val="0"/>
          <w:color w:val="auto"/>
          <w:sz w:val="32"/>
        </w:rPr>
      </w:lvl>
    </w:lvlOverride>
    <w:lvlOverride w:ilvl="1">
      <w:lvl w:ilvl="1">
        <w:start w:val="1"/>
        <w:numFmt w:val="decimal"/>
        <w:lvlText w:val="A%1.%2"/>
        <w:lvlJc w:val="left"/>
        <w:pPr>
          <w:tabs>
            <w:tab w:val="num" w:pos="851"/>
          </w:tabs>
          <w:ind w:left="851" w:hanging="851"/>
        </w:pPr>
        <w:rPr>
          <w:rFonts w:ascii="Arial" w:hAnsi="Arial" w:hint="default"/>
          <w:b/>
          <w:i w:val="0"/>
          <w:color w:val="auto"/>
          <w:sz w:val="28"/>
        </w:rPr>
      </w:lvl>
    </w:lvlOverride>
    <w:lvlOverride w:ilvl="2">
      <w:lvl w:ilvl="2">
        <w:start w:val="1"/>
        <w:numFmt w:val="decimal"/>
        <w:lvlText w:val="A%1.%2.%3"/>
        <w:lvlJc w:val="left"/>
        <w:pPr>
          <w:tabs>
            <w:tab w:val="num" w:pos="851"/>
          </w:tabs>
          <w:ind w:left="851" w:hanging="851"/>
        </w:pPr>
        <w:rPr>
          <w:rFonts w:ascii="Calibri" w:hAnsi="Calibri" w:hint="default"/>
          <w:b/>
          <w:i w:val="0"/>
          <w:color w:val="auto"/>
          <w:sz w:val="24"/>
        </w:rPr>
      </w:lvl>
    </w:lvlOverride>
    <w:lvlOverride w:ilvl="3">
      <w:lvl w:ilvl="3">
        <w:start w:val="1"/>
        <w:numFmt w:val="none"/>
        <w:lvlText w:val=""/>
        <w:lvlJc w:val="left"/>
        <w:pPr>
          <w:tabs>
            <w:tab w:val="num" w:pos="851"/>
          </w:tabs>
          <w:ind w:left="851" w:hanging="851"/>
        </w:pPr>
        <w:rPr>
          <w:rFonts w:hint="default"/>
          <w:color w:val="auto"/>
        </w:rPr>
      </w:lvl>
    </w:lvlOverride>
    <w:lvlOverride w:ilvl="4">
      <w:lvl w:ilvl="4">
        <w:start w:val="1"/>
        <w:numFmt w:val="none"/>
        <w:lvlText w:val=""/>
        <w:lvlJc w:val="left"/>
        <w:pPr>
          <w:tabs>
            <w:tab w:val="num" w:pos="851"/>
          </w:tabs>
          <w:ind w:left="851" w:hanging="851"/>
        </w:pPr>
        <w:rPr>
          <w:rFonts w:hint="default"/>
        </w:rPr>
      </w:lvl>
    </w:lvlOverride>
    <w:lvlOverride w:ilvl="5">
      <w:lvl w:ilvl="5">
        <w:start w:val="1"/>
        <w:numFmt w:val="none"/>
        <w:lvlText w:val=""/>
        <w:lvlJc w:val="left"/>
        <w:pPr>
          <w:tabs>
            <w:tab w:val="num" w:pos="851"/>
          </w:tabs>
          <w:ind w:left="851" w:hanging="851"/>
        </w:pPr>
        <w:rPr>
          <w:rFonts w:hint="default"/>
        </w:rPr>
      </w:lvl>
    </w:lvlOverride>
    <w:lvlOverride w:ilvl="6">
      <w:lvl w:ilvl="6">
        <w:start w:val="1"/>
        <w:numFmt w:val="decimal"/>
        <w:lvlText w:val="%1.%2.%3.%4.%5.%6.%7"/>
        <w:lvlJc w:val="left"/>
        <w:pPr>
          <w:tabs>
            <w:tab w:val="num" w:pos="851"/>
          </w:tabs>
          <w:ind w:left="851" w:hanging="851"/>
        </w:pPr>
        <w:rPr>
          <w:rFonts w:hint="default"/>
        </w:rPr>
      </w:lvl>
    </w:lvlOverride>
    <w:lvlOverride w:ilvl="7">
      <w:lvl w:ilvl="7">
        <w:start w:val="1"/>
        <w:numFmt w:val="decimal"/>
        <w:lvlText w:val="%1.%2.%3.%4.%5.%6.%7.%8"/>
        <w:lvlJc w:val="left"/>
        <w:pPr>
          <w:tabs>
            <w:tab w:val="num" w:pos="851"/>
          </w:tabs>
          <w:ind w:left="851" w:hanging="851"/>
        </w:pPr>
        <w:rPr>
          <w:rFonts w:hint="default"/>
        </w:rPr>
      </w:lvl>
    </w:lvlOverride>
    <w:lvlOverride w:ilvl="8">
      <w:lvl w:ilvl="8">
        <w:start w:val="1"/>
        <w:numFmt w:val="decimal"/>
        <w:lvlText w:val="%1.%2.%3.%4.%5.%6.%7.%8.%9"/>
        <w:lvlJc w:val="left"/>
        <w:pPr>
          <w:tabs>
            <w:tab w:val="num" w:pos="851"/>
          </w:tabs>
          <w:ind w:left="851" w:hanging="851"/>
        </w:pPr>
        <w:rPr>
          <w:rFonts w:hint="default"/>
        </w:rPr>
      </w:lvl>
    </w:lvlOverride>
  </w:num>
  <w:num w:numId="7">
    <w:abstractNumId w:val="44"/>
  </w:num>
  <w:num w:numId="8">
    <w:abstractNumId w:val="21"/>
  </w:num>
  <w:num w:numId="9">
    <w:abstractNumId w:val="25"/>
  </w:num>
  <w:num w:numId="10">
    <w:abstractNumId w:val="12"/>
  </w:num>
  <w:num w:numId="11">
    <w:abstractNumId w:val="1"/>
  </w:num>
  <w:num w:numId="12">
    <w:abstractNumId w:val="36"/>
  </w:num>
  <w:num w:numId="13">
    <w:abstractNumId w:val="42"/>
  </w:num>
  <w:num w:numId="14">
    <w:abstractNumId w:val="22"/>
  </w:num>
  <w:num w:numId="15">
    <w:abstractNumId w:val="40"/>
  </w:num>
  <w:num w:numId="16">
    <w:abstractNumId w:val="26"/>
  </w:num>
  <w:num w:numId="17">
    <w:abstractNumId w:val="38"/>
  </w:num>
  <w:num w:numId="18">
    <w:abstractNumId w:val="18"/>
  </w:num>
  <w:num w:numId="19">
    <w:abstractNumId w:val="30"/>
  </w:num>
  <w:num w:numId="20">
    <w:abstractNumId w:val="45"/>
  </w:num>
  <w:num w:numId="21">
    <w:abstractNumId w:val="5"/>
  </w:num>
  <w:num w:numId="22">
    <w:abstractNumId w:val="27"/>
  </w:num>
  <w:num w:numId="23">
    <w:abstractNumId w:val="8"/>
  </w:num>
  <w:num w:numId="24">
    <w:abstractNumId w:val="23"/>
  </w:num>
  <w:num w:numId="25">
    <w:abstractNumId w:val="46"/>
  </w:num>
  <w:num w:numId="26">
    <w:abstractNumId w:val="29"/>
  </w:num>
  <w:num w:numId="27">
    <w:abstractNumId w:val="10"/>
  </w:num>
  <w:num w:numId="28">
    <w:abstractNumId w:val="31"/>
  </w:num>
  <w:num w:numId="29">
    <w:abstractNumId w:val="34"/>
  </w:num>
  <w:num w:numId="30">
    <w:abstractNumId w:val="2"/>
  </w:num>
  <w:num w:numId="31">
    <w:abstractNumId w:val="13"/>
  </w:num>
  <w:num w:numId="32">
    <w:abstractNumId w:val="32"/>
  </w:num>
  <w:num w:numId="33">
    <w:abstractNumId w:val="17"/>
  </w:num>
  <w:num w:numId="34">
    <w:abstractNumId w:val="41"/>
  </w:num>
  <w:num w:numId="35">
    <w:abstractNumId w:val="35"/>
  </w:num>
  <w:num w:numId="36">
    <w:abstractNumId w:val="19"/>
  </w:num>
  <w:num w:numId="37">
    <w:abstractNumId w:val="24"/>
  </w:num>
  <w:num w:numId="38">
    <w:abstractNumId w:val="16"/>
  </w:num>
  <w:num w:numId="39">
    <w:abstractNumId w:val="37"/>
  </w:num>
  <w:num w:numId="40">
    <w:abstractNumId w:val="43"/>
  </w:num>
  <w:num w:numId="41">
    <w:abstractNumId w:val="0"/>
  </w:num>
  <w:num w:numId="42">
    <w:abstractNumId w:val="20"/>
  </w:num>
  <w:num w:numId="43">
    <w:abstractNumId w:val="39"/>
  </w:num>
  <w:num w:numId="44">
    <w:abstractNumId w:val="11"/>
  </w:num>
  <w:num w:numId="45">
    <w:abstractNumId w:val="3"/>
  </w:num>
  <w:num w:numId="46">
    <w:abstractNumId w:val="16"/>
  </w:num>
  <w:num w:numId="47">
    <w:abstractNumId w:val="6"/>
  </w:num>
  <w:num w:numId="48">
    <w:abstractNumId w:val="16"/>
  </w:num>
  <w:num w:numId="49">
    <w:abstractNumId w:val="15"/>
  </w:num>
  <w:num w:numId="50">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activeWritingStyle w:appName="MSWord" w:lang="en-AU"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1"/>
  <w:activeWritingStyle w:appName="MSWord" w:lang="en-AU" w:vendorID="64" w:dllVersion="0" w:nlCheck="1" w:checkStyle="0"/>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activeWritingStyle w:appName="MSWord" w:lang="fr-FR" w:vendorID="64" w:dllVersion="0" w:nlCheck="1" w:checkStyle="0"/>
  <w:activeWritingStyle w:appName="MSWord" w:lang="da-DK" w:vendorID="64" w:dllVersion="0" w:nlCheck="1" w:checkStyle="0"/>
  <w:activeWritingStyle w:appName="MSWord" w:lang="tr-TR" w:vendorID="64" w:dllVersion="0" w:nlCheck="1" w:checkStyle="0"/>
  <w:activeWritingStyle w:appName="MSWord" w:lang="fi-FI" w:vendorID="64" w:dllVersion="0" w:nlCheck="1" w:checkStyle="0"/>
  <w:activeWritingStyle w:appName="MSWord" w:lang="nb-NO" w:vendorID="64" w:dllVersion="0" w:nlCheck="1" w:checkStyle="0"/>
  <w:activeWritingStyle w:appName="MSWord" w:lang="pt-BR" w:vendorID="64" w:dllVersion="0" w:nlCheck="1" w:checkStyle="0"/>
  <w:activeWritingStyle w:appName="MSWord" w:lang="de-DE" w:vendorID="64" w:dllVersion="0" w:nlCheck="1" w:checkStyle="0"/>
  <w:activeWritingStyle w:appName="MSWord" w:lang="nl-NL" w:vendorID="64" w:dllVersion="0" w:nlCheck="1" w:checkStyle="0"/>
  <w:activeWritingStyle w:appName="MSWord" w:lang="cs-CZ"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AU" w:vendorID="64" w:dllVersion="131078" w:nlCheck="1" w:checkStyle="0"/>
  <w:activeWritingStyle w:appName="MSWord" w:lang="en-US" w:vendorID="64" w:dllVersion="131078" w:nlCheck="1" w:checkStyle="0"/>
  <w:activeWritingStyle w:appName="MSWord" w:lang="en-GB" w:vendorID="64" w:dllVersion="131078" w:nlCheck="1" w:checkStyle="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720"/>
  <w:characterSpacingControl w:val="doNotCompress"/>
  <w:hdrShapeDefaults>
    <o:shapedefaults v:ext="edit" spidmax="2077"/>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GBRMPA&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0eve55x9y5vfd6e9dacxtew4eatve2dzds9a&quot;&gt;LJMcKenzie library&lt;record-ids&gt;&lt;item&gt;177&lt;/item&gt;&lt;item&gt;258&lt;/item&gt;&lt;item&gt;522&lt;/item&gt;&lt;item&gt;682&lt;/item&gt;&lt;item&gt;700&lt;/item&gt;&lt;item&gt;950&lt;/item&gt;&lt;item&gt;1082&lt;/item&gt;&lt;item&gt;1346&lt;/item&gt;&lt;item&gt;1687&lt;/item&gt;&lt;item&gt;1765&lt;/item&gt;&lt;item&gt;1954&lt;/item&gt;&lt;item&gt;2371&lt;/item&gt;&lt;item&gt;2582&lt;/item&gt;&lt;item&gt;2827&lt;/item&gt;&lt;item&gt;2838&lt;/item&gt;&lt;item&gt;2896&lt;/item&gt;&lt;item&gt;3703&lt;/item&gt;&lt;item&gt;3739&lt;/item&gt;&lt;item&gt;5442&lt;/item&gt;&lt;item&gt;5782&lt;/item&gt;&lt;item&gt;5808&lt;/item&gt;&lt;item&gt;6292&lt;/item&gt;&lt;item&gt;6844&lt;/item&gt;&lt;item&gt;6992&lt;/item&gt;&lt;item&gt;7086&lt;/item&gt;&lt;item&gt;7246&lt;/item&gt;&lt;item&gt;7340&lt;/item&gt;&lt;item&gt;7350&lt;/item&gt;&lt;item&gt;7367&lt;/item&gt;&lt;item&gt;7405&lt;/item&gt;&lt;item&gt;7409&lt;/item&gt;&lt;item&gt;7418&lt;/item&gt;&lt;item&gt;7423&lt;/item&gt;&lt;item&gt;7446&lt;/item&gt;&lt;item&gt;7826&lt;/item&gt;&lt;item&gt;7829&lt;/item&gt;&lt;item&gt;7891&lt;/item&gt;&lt;item&gt;8021&lt;/item&gt;&lt;item&gt;8336&lt;/item&gt;&lt;item&gt;8887&lt;/item&gt;&lt;item&gt;9043&lt;/item&gt;&lt;item&gt;9077&lt;/item&gt;&lt;item&gt;9133&lt;/item&gt;&lt;item&gt;9156&lt;/item&gt;&lt;item&gt;9186&lt;/item&gt;&lt;item&gt;9197&lt;/item&gt;&lt;item&gt;9240&lt;/item&gt;&lt;item&gt;9279&lt;/item&gt;&lt;item&gt;9285&lt;/item&gt;&lt;item&gt;9287&lt;/item&gt;&lt;item&gt;9288&lt;/item&gt;&lt;item&gt;9294&lt;/item&gt;&lt;item&gt;9304&lt;/item&gt;&lt;item&gt;9319&lt;/item&gt;&lt;item&gt;9341&lt;/item&gt;&lt;item&gt;9352&lt;/item&gt;&lt;item&gt;9357&lt;/item&gt;&lt;item&gt;9367&lt;/item&gt;&lt;item&gt;9368&lt;/item&gt;&lt;item&gt;9397&lt;/item&gt;&lt;item&gt;9435&lt;/item&gt;&lt;item&gt;9456&lt;/item&gt;&lt;item&gt;9457&lt;/item&gt;&lt;item&gt;9478&lt;/item&gt;&lt;item&gt;9489&lt;/item&gt;&lt;item&gt;9490&lt;/item&gt;&lt;item&gt;9493&lt;/item&gt;&lt;item&gt;9494&lt;/item&gt;&lt;item&gt;9496&lt;/item&gt;&lt;item&gt;9497&lt;/item&gt;&lt;item&gt;9501&lt;/item&gt;&lt;item&gt;9502&lt;/item&gt;&lt;item&gt;9553&lt;/item&gt;&lt;item&gt;9605&lt;/item&gt;&lt;item&gt;9646&lt;/item&gt;&lt;item&gt;9685&lt;/item&gt;&lt;item&gt;9686&lt;/item&gt;&lt;item&gt;9687&lt;/item&gt;&lt;item&gt;9690&lt;/item&gt;&lt;item&gt;9691&lt;/item&gt;&lt;item&gt;9703&lt;/item&gt;&lt;item&gt;9713&lt;/item&gt;&lt;item&gt;9756&lt;/item&gt;&lt;item&gt;9758&lt;/item&gt;&lt;item&gt;9759&lt;/item&gt;&lt;item&gt;9760&lt;/item&gt;&lt;item&gt;9761&lt;/item&gt;&lt;item&gt;9762&lt;/item&gt;&lt;item&gt;9771&lt;/item&gt;&lt;item&gt;9772&lt;/item&gt;&lt;item&gt;9775&lt;/item&gt;&lt;item&gt;9777&lt;/item&gt;&lt;item&gt;9780&lt;/item&gt;&lt;item&gt;9791&lt;/item&gt;&lt;item&gt;9792&lt;/item&gt;&lt;item&gt;9812&lt;/item&gt;&lt;item&gt;9838&lt;/item&gt;&lt;item&gt;9893&lt;/item&gt;&lt;item&gt;9925&lt;/item&gt;&lt;item&gt;9961&lt;/item&gt;&lt;item&gt;9996&lt;/item&gt;&lt;item&gt;10036&lt;/item&gt;&lt;item&gt;10039&lt;/item&gt;&lt;item&gt;10041&lt;/item&gt;&lt;item&gt;10062&lt;/item&gt;&lt;item&gt;10291&lt;/item&gt;&lt;item&gt;10294&lt;/item&gt;&lt;item&gt;10319&lt;/item&gt;&lt;item&gt;10320&lt;/item&gt;&lt;item&gt;10322&lt;/item&gt;&lt;item&gt;10404&lt;/item&gt;&lt;item&gt;10405&lt;/item&gt;&lt;item&gt;10411&lt;/item&gt;&lt;item&gt;10447&lt;/item&gt;&lt;item&gt;10474&lt;/item&gt;&lt;item&gt;10482&lt;/item&gt;&lt;item&gt;10485&lt;/item&gt;&lt;item&gt;10578&lt;/item&gt;&lt;item&gt;10579&lt;/item&gt;&lt;item&gt;10580&lt;/item&gt;&lt;item&gt;10583&lt;/item&gt;&lt;item&gt;10625&lt;/item&gt;&lt;item&gt;10665&lt;/item&gt;&lt;item&gt;10800&lt;/item&gt;&lt;item&gt;10813&lt;/item&gt;&lt;item&gt;10832&lt;/item&gt;&lt;item&gt;10877&lt;/item&gt;&lt;item&gt;10905&lt;/item&gt;&lt;item&gt;10906&lt;/item&gt;&lt;item&gt;10911&lt;/item&gt;&lt;item&gt;10917&lt;/item&gt;&lt;item&gt;10919&lt;/item&gt;&lt;item&gt;10955&lt;/item&gt;&lt;item&gt;11468&lt;/item&gt;&lt;item&gt;11481&lt;/item&gt;&lt;item&gt;11505&lt;/item&gt;&lt;item&gt;11522&lt;/item&gt;&lt;item&gt;11715&lt;/item&gt;&lt;item&gt;11853&lt;/item&gt;&lt;item&gt;11857&lt;/item&gt;&lt;item&gt;11859&lt;/item&gt;&lt;item&gt;11860&lt;/item&gt;&lt;item&gt;11862&lt;/item&gt;&lt;item&gt;11863&lt;/item&gt;&lt;item&gt;11979&lt;/item&gt;&lt;item&gt;11983&lt;/item&gt;&lt;item&gt;11985&lt;/item&gt;&lt;item&gt;11986&lt;/item&gt;&lt;item&gt;12132&lt;/item&gt;&lt;item&gt;12135&lt;/item&gt;&lt;item&gt;12282&lt;/item&gt;&lt;item&gt;12283&lt;/item&gt;&lt;item&gt;12541&lt;/item&gt;&lt;item&gt;12543&lt;/item&gt;&lt;/record-ids&gt;&lt;/item&gt;&lt;/Libraries&gt;"/>
  </w:docVars>
  <w:rsids>
    <w:rsidRoot w:val="003469AB"/>
    <w:rsid w:val="0000049A"/>
    <w:rsid w:val="00000AF9"/>
    <w:rsid w:val="00000D6B"/>
    <w:rsid w:val="000011C5"/>
    <w:rsid w:val="000015EC"/>
    <w:rsid w:val="00001A2E"/>
    <w:rsid w:val="00001A9C"/>
    <w:rsid w:val="00001AA5"/>
    <w:rsid w:val="00001C6E"/>
    <w:rsid w:val="00002599"/>
    <w:rsid w:val="00002C32"/>
    <w:rsid w:val="00002DC4"/>
    <w:rsid w:val="00003363"/>
    <w:rsid w:val="00003553"/>
    <w:rsid w:val="000038BE"/>
    <w:rsid w:val="00003FCC"/>
    <w:rsid w:val="00004179"/>
    <w:rsid w:val="0000434C"/>
    <w:rsid w:val="00004AE1"/>
    <w:rsid w:val="00005FEC"/>
    <w:rsid w:val="00006EFE"/>
    <w:rsid w:val="00006FCB"/>
    <w:rsid w:val="00007082"/>
    <w:rsid w:val="000073DE"/>
    <w:rsid w:val="0001023E"/>
    <w:rsid w:val="000107A5"/>
    <w:rsid w:val="000108DB"/>
    <w:rsid w:val="00010926"/>
    <w:rsid w:val="00010B14"/>
    <w:rsid w:val="00010FB7"/>
    <w:rsid w:val="00010FBB"/>
    <w:rsid w:val="0001103A"/>
    <w:rsid w:val="0001105C"/>
    <w:rsid w:val="000115D2"/>
    <w:rsid w:val="0001165C"/>
    <w:rsid w:val="00011B59"/>
    <w:rsid w:val="00011D5F"/>
    <w:rsid w:val="00012041"/>
    <w:rsid w:val="00012298"/>
    <w:rsid w:val="00012F2C"/>
    <w:rsid w:val="000135E4"/>
    <w:rsid w:val="000138FB"/>
    <w:rsid w:val="000139DD"/>
    <w:rsid w:val="00013D2C"/>
    <w:rsid w:val="000150D8"/>
    <w:rsid w:val="0001518D"/>
    <w:rsid w:val="00015190"/>
    <w:rsid w:val="00015AD8"/>
    <w:rsid w:val="00016748"/>
    <w:rsid w:val="000168DB"/>
    <w:rsid w:val="00016BE7"/>
    <w:rsid w:val="00016D57"/>
    <w:rsid w:val="00016FBB"/>
    <w:rsid w:val="00017050"/>
    <w:rsid w:val="00017151"/>
    <w:rsid w:val="000172D4"/>
    <w:rsid w:val="0001759E"/>
    <w:rsid w:val="000205AF"/>
    <w:rsid w:val="00020F54"/>
    <w:rsid w:val="000215B6"/>
    <w:rsid w:val="0002161B"/>
    <w:rsid w:val="000219E6"/>
    <w:rsid w:val="00021B77"/>
    <w:rsid w:val="00021C89"/>
    <w:rsid w:val="000226AD"/>
    <w:rsid w:val="0002299A"/>
    <w:rsid w:val="00022B27"/>
    <w:rsid w:val="00022E06"/>
    <w:rsid w:val="0002306F"/>
    <w:rsid w:val="000230D1"/>
    <w:rsid w:val="000233D2"/>
    <w:rsid w:val="00023437"/>
    <w:rsid w:val="00023460"/>
    <w:rsid w:val="00023994"/>
    <w:rsid w:val="00023A10"/>
    <w:rsid w:val="00023D7E"/>
    <w:rsid w:val="00024100"/>
    <w:rsid w:val="000242FC"/>
    <w:rsid w:val="000244AA"/>
    <w:rsid w:val="00024827"/>
    <w:rsid w:val="00024A6D"/>
    <w:rsid w:val="00024C3F"/>
    <w:rsid w:val="00024E68"/>
    <w:rsid w:val="00025245"/>
    <w:rsid w:val="000252FF"/>
    <w:rsid w:val="00025365"/>
    <w:rsid w:val="0002543D"/>
    <w:rsid w:val="000254B3"/>
    <w:rsid w:val="000258CE"/>
    <w:rsid w:val="00025B2F"/>
    <w:rsid w:val="00026482"/>
    <w:rsid w:val="000266AE"/>
    <w:rsid w:val="00026E46"/>
    <w:rsid w:val="00027B67"/>
    <w:rsid w:val="00027E9F"/>
    <w:rsid w:val="00030036"/>
    <w:rsid w:val="000303CC"/>
    <w:rsid w:val="000305CC"/>
    <w:rsid w:val="00030955"/>
    <w:rsid w:val="00030977"/>
    <w:rsid w:val="00030B2E"/>
    <w:rsid w:val="00030CBF"/>
    <w:rsid w:val="00030F82"/>
    <w:rsid w:val="000311E2"/>
    <w:rsid w:val="000316DC"/>
    <w:rsid w:val="00031771"/>
    <w:rsid w:val="00031972"/>
    <w:rsid w:val="00031AA1"/>
    <w:rsid w:val="00032135"/>
    <w:rsid w:val="00032189"/>
    <w:rsid w:val="000323E1"/>
    <w:rsid w:val="00032591"/>
    <w:rsid w:val="00032723"/>
    <w:rsid w:val="00032A28"/>
    <w:rsid w:val="00032E88"/>
    <w:rsid w:val="00032EAE"/>
    <w:rsid w:val="0003330D"/>
    <w:rsid w:val="000334E5"/>
    <w:rsid w:val="000336D1"/>
    <w:rsid w:val="000338E7"/>
    <w:rsid w:val="00033DF1"/>
    <w:rsid w:val="00034033"/>
    <w:rsid w:val="000341FA"/>
    <w:rsid w:val="00034308"/>
    <w:rsid w:val="0003437A"/>
    <w:rsid w:val="0003479B"/>
    <w:rsid w:val="00034AD4"/>
    <w:rsid w:val="00034B88"/>
    <w:rsid w:val="00034C27"/>
    <w:rsid w:val="00034D68"/>
    <w:rsid w:val="000352C6"/>
    <w:rsid w:val="000352F0"/>
    <w:rsid w:val="00035426"/>
    <w:rsid w:val="0003559C"/>
    <w:rsid w:val="00035973"/>
    <w:rsid w:val="00035C35"/>
    <w:rsid w:val="00035FDC"/>
    <w:rsid w:val="00036BE4"/>
    <w:rsid w:val="00036CBF"/>
    <w:rsid w:val="00036F41"/>
    <w:rsid w:val="0003748F"/>
    <w:rsid w:val="000374E4"/>
    <w:rsid w:val="00037785"/>
    <w:rsid w:val="000377A0"/>
    <w:rsid w:val="00037AA5"/>
    <w:rsid w:val="00037AE5"/>
    <w:rsid w:val="00037BAC"/>
    <w:rsid w:val="00037C19"/>
    <w:rsid w:val="00037DE8"/>
    <w:rsid w:val="00040903"/>
    <w:rsid w:val="00040B20"/>
    <w:rsid w:val="00040D7E"/>
    <w:rsid w:val="00040E9D"/>
    <w:rsid w:val="00040EC8"/>
    <w:rsid w:val="00041758"/>
    <w:rsid w:val="0004189E"/>
    <w:rsid w:val="00041981"/>
    <w:rsid w:val="00041B48"/>
    <w:rsid w:val="00041C82"/>
    <w:rsid w:val="00041FE9"/>
    <w:rsid w:val="00042CFA"/>
    <w:rsid w:val="00043A4D"/>
    <w:rsid w:val="000440B8"/>
    <w:rsid w:val="000444DF"/>
    <w:rsid w:val="000447C9"/>
    <w:rsid w:val="00044A3B"/>
    <w:rsid w:val="00044C08"/>
    <w:rsid w:val="00044F7A"/>
    <w:rsid w:val="0004596D"/>
    <w:rsid w:val="00045D87"/>
    <w:rsid w:val="00045E99"/>
    <w:rsid w:val="000464BD"/>
    <w:rsid w:val="000467F0"/>
    <w:rsid w:val="00046BE2"/>
    <w:rsid w:val="00046CED"/>
    <w:rsid w:val="00046FBC"/>
    <w:rsid w:val="000477A1"/>
    <w:rsid w:val="000504E8"/>
    <w:rsid w:val="00050882"/>
    <w:rsid w:val="0005092C"/>
    <w:rsid w:val="00050A32"/>
    <w:rsid w:val="00051629"/>
    <w:rsid w:val="00051DA9"/>
    <w:rsid w:val="00051EA3"/>
    <w:rsid w:val="00052179"/>
    <w:rsid w:val="000527E4"/>
    <w:rsid w:val="00052B6C"/>
    <w:rsid w:val="00052D8D"/>
    <w:rsid w:val="0005313D"/>
    <w:rsid w:val="000533D0"/>
    <w:rsid w:val="00053571"/>
    <w:rsid w:val="000535CA"/>
    <w:rsid w:val="0005364D"/>
    <w:rsid w:val="00053C3F"/>
    <w:rsid w:val="00053E4A"/>
    <w:rsid w:val="00053E52"/>
    <w:rsid w:val="0005499A"/>
    <w:rsid w:val="0005596B"/>
    <w:rsid w:val="00055AA3"/>
    <w:rsid w:val="000563CC"/>
    <w:rsid w:val="00056EA9"/>
    <w:rsid w:val="00056F86"/>
    <w:rsid w:val="00056F8D"/>
    <w:rsid w:val="00057677"/>
    <w:rsid w:val="00057C8D"/>
    <w:rsid w:val="00057E27"/>
    <w:rsid w:val="000604C8"/>
    <w:rsid w:val="00060604"/>
    <w:rsid w:val="000606C2"/>
    <w:rsid w:val="00061102"/>
    <w:rsid w:val="00061307"/>
    <w:rsid w:val="000621A1"/>
    <w:rsid w:val="000626FE"/>
    <w:rsid w:val="000630F4"/>
    <w:rsid w:val="000631A4"/>
    <w:rsid w:val="00063914"/>
    <w:rsid w:val="00063983"/>
    <w:rsid w:val="00063D65"/>
    <w:rsid w:val="00063F58"/>
    <w:rsid w:val="00064336"/>
    <w:rsid w:val="0006481B"/>
    <w:rsid w:val="00064A56"/>
    <w:rsid w:val="00064DB3"/>
    <w:rsid w:val="00064F1E"/>
    <w:rsid w:val="000652EF"/>
    <w:rsid w:val="00065435"/>
    <w:rsid w:val="0006575E"/>
    <w:rsid w:val="00065F67"/>
    <w:rsid w:val="00065F6F"/>
    <w:rsid w:val="000661F3"/>
    <w:rsid w:val="00066A4B"/>
    <w:rsid w:val="00066A55"/>
    <w:rsid w:val="00066E6D"/>
    <w:rsid w:val="000674E5"/>
    <w:rsid w:val="00067B5B"/>
    <w:rsid w:val="00067B61"/>
    <w:rsid w:val="00070651"/>
    <w:rsid w:val="00070712"/>
    <w:rsid w:val="000709C8"/>
    <w:rsid w:val="00070EBB"/>
    <w:rsid w:val="000710E0"/>
    <w:rsid w:val="000711E4"/>
    <w:rsid w:val="000713D0"/>
    <w:rsid w:val="000713EA"/>
    <w:rsid w:val="0007163F"/>
    <w:rsid w:val="0007171C"/>
    <w:rsid w:val="00071761"/>
    <w:rsid w:val="00071C78"/>
    <w:rsid w:val="000721E7"/>
    <w:rsid w:val="0007233D"/>
    <w:rsid w:val="00072E65"/>
    <w:rsid w:val="0007311D"/>
    <w:rsid w:val="00073388"/>
    <w:rsid w:val="000733C7"/>
    <w:rsid w:val="000734EF"/>
    <w:rsid w:val="0007362E"/>
    <w:rsid w:val="000736B0"/>
    <w:rsid w:val="00073D77"/>
    <w:rsid w:val="0007459F"/>
    <w:rsid w:val="000747A8"/>
    <w:rsid w:val="000748D7"/>
    <w:rsid w:val="00074A93"/>
    <w:rsid w:val="0007514A"/>
    <w:rsid w:val="000751C8"/>
    <w:rsid w:val="000751EC"/>
    <w:rsid w:val="00075363"/>
    <w:rsid w:val="00075403"/>
    <w:rsid w:val="00075662"/>
    <w:rsid w:val="00075E6F"/>
    <w:rsid w:val="00075E7C"/>
    <w:rsid w:val="00075EC4"/>
    <w:rsid w:val="00076523"/>
    <w:rsid w:val="000765C6"/>
    <w:rsid w:val="0007662C"/>
    <w:rsid w:val="000768AB"/>
    <w:rsid w:val="00076C1A"/>
    <w:rsid w:val="000772EC"/>
    <w:rsid w:val="00077D6A"/>
    <w:rsid w:val="00077E2C"/>
    <w:rsid w:val="0008011E"/>
    <w:rsid w:val="00080121"/>
    <w:rsid w:val="0008028A"/>
    <w:rsid w:val="000805F4"/>
    <w:rsid w:val="000806A8"/>
    <w:rsid w:val="000807DF"/>
    <w:rsid w:val="00080867"/>
    <w:rsid w:val="00080CBE"/>
    <w:rsid w:val="00080EF8"/>
    <w:rsid w:val="00081015"/>
    <w:rsid w:val="00081143"/>
    <w:rsid w:val="000811EC"/>
    <w:rsid w:val="000813CB"/>
    <w:rsid w:val="00081490"/>
    <w:rsid w:val="000817F5"/>
    <w:rsid w:val="00081A95"/>
    <w:rsid w:val="00081E80"/>
    <w:rsid w:val="0008242F"/>
    <w:rsid w:val="000824E0"/>
    <w:rsid w:val="00082564"/>
    <w:rsid w:val="000826A6"/>
    <w:rsid w:val="00082929"/>
    <w:rsid w:val="00083619"/>
    <w:rsid w:val="000836F9"/>
    <w:rsid w:val="000837D2"/>
    <w:rsid w:val="000838A4"/>
    <w:rsid w:val="00083A8F"/>
    <w:rsid w:val="00084406"/>
    <w:rsid w:val="00084619"/>
    <w:rsid w:val="00084779"/>
    <w:rsid w:val="000847DD"/>
    <w:rsid w:val="000848C8"/>
    <w:rsid w:val="00084CA2"/>
    <w:rsid w:val="00084DD2"/>
    <w:rsid w:val="00085954"/>
    <w:rsid w:val="00085EB2"/>
    <w:rsid w:val="00085F52"/>
    <w:rsid w:val="000860E4"/>
    <w:rsid w:val="000860F7"/>
    <w:rsid w:val="00086231"/>
    <w:rsid w:val="00086345"/>
    <w:rsid w:val="000867A7"/>
    <w:rsid w:val="00086CE5"/>
    <w:rsid w:val="00086DD1"/>
    <w:rsid w:val="0008713A"/>
    <w:rsid w:val="000875CF"/>
    <w:rsid w:val="0008791E"/>
    <w:rsid w:val="00087D59"/>
    <w:rsid w:val="00090006"/>
    <w:rsid w:val="000913EE"/>
    <w:rsid w:val="00091849"/>
    <w:rsid w:val="00092741"/>
    <w:rsid w:val="000929AA"/>
    <w:rsid w:val="00092AAE"/>
    <w:rsid w:val="00092C49"/>
    <w:rsid w:val="00093927"/>
    <w:rsid w:val="00093F14"/>
    <w:rsid w:val="000945E8"/>
    <w:rsid w:val="00095D98"/>
    <w:rsid w:val="00095DD0"/>
    <w:rsid w:val="00095FE8"/>
    <w:rsid w:val="00096D39"/>
    <w:rsid w:val="00096ED1"/>
    <w:rsid w:val="0009741C"/>
    <w:rsid w:val="00097C1D"/>
    <w:rsid w:val="00097CC7"/>
    <w:rsid w:val="00097E01"/>
    <w:rsid w:val="00097E34"/>
    <w:rsid w:val="000A0708"/>
    <w:rsid w:val="000A0B57"/>
    <w:rsid w:val="000A10A4"/>
    <w:rsid w:val="000A1A3A"/>
    <w:rsid w:val="000A1B60"/>
    <w:rsid w:val="000A1B85"/>
    <w:rsid w:val="000A1DBA"/>
    <w:rsid w:val="000A1EE9"/>
    <w:rsid w:val="000A215B"/>
    <w:rsid w:val="000A2C40"/>
    <w:rsid w:val="000A2DA8"/>
    <w:rsid w:val="000A33EF"/>
    <w:rsid w:val="000A3A49"/>
    <w:rsid w:val="000A4236"/>
    <w:rsid w:val="000A43B3"/>
    <w:rsid w:val="000A46DE"/>
    <w:rsid w:val="000A483C"/>
    <w:rsid w:val="000A54DB"/>
    <w:rsid w:val="000A563D"/>
    <w:rsid w:val="000A57DC"/>
    <w:rsid w:val="000A5F0A"/>
    <w:rsid w:val="000A6AD3"/>
    <w:rsid w:val="000A6C5A"/>
    <w:rsid w:val="000A70B2"/>
    <w:rsid w:val="000A74B9"/>
    <w:rsid w:val="000A76AC"/>
    <w:rsid w:val="000A7748"/>
    <w:rsid w:val="000A7A00"/>
    <w:rsid w:val="000A7B14"/>
    <w:rsid w:val="000A7F3B"/>
    <w:rsid w:val="000B0340"/>
    <w:rsid w:val="000B0E9F"/>
    <w:rsid w:val="000B127D"/>
    <w:rsid w:val="000B17E1"/>
    <w:rsid w:val="000B1F60"/>
    <w:rsid w:val="000B1FB3"/>
    <w:rsid w:val="000B21EC"/>
    <w:rsid w:val="000B228D"/>
    <w:rsid w:val="000B23BF"/>
    <w:rsid w:val="000B272F"/>
    <w:rsid w:val="000B2AD6"/>
    <w:rsid w:val="000B2E28"/>
    <w:rsid w:val="000B2F60"/>
    <w:rsid w:val="000B322C"/>
    <w:rsid w:val="000B3318"/>
    <w:rsid w:val="000B3330"/>
    <w:rsid w:val="000B3542"/>
    <w:rsid w:val="000B374B"/>
    <w:rsid w:val="000B3991"/>
    <w:rsid w:val="000B41ED"/>
    <w:rsid w:val="000B437F"/>
    <w:rsid w:val="000B4531"/>
    <w:rsid w:val="000B4901"/>
    <w:rsid w:val="000B53BD"/>
    <w:rsid w:val="000B5BD5"/>
    <w:rsid w:val="000B60A7"/>
    <w:rsid w:val="000B6103"/>
    <w:rsid w:val="000B61AD"/>
    <w:rsid w:val="000B7516"/>
    <w:rsid w:val="000B7DDD"/>
    <w:rsid w:val="000B7F10"/>
    <w:rsid w:val="000C0415"/>
    <w:rsid w:val="000C053E"/>
    <w:rsid w:val="000C09EA"/>
    <w:rsid w:val="000C0A3D"/>
    <w:rsid w:val="000C118C"/>
    <w:rsid w:val="000C1261"/>
    <w:rsid w:val="000C1447"/>
    <w:rsid w:val="000C1656"/>
    <w:rsid w:val="000C1668"/>
    <w:rsid w:val="000C22B5"/>
    <w:rsid w:val="000C2604"/>
    <w:rsid w:val="000C27B1"/>
    <w:rsid w:val="000C2D6F"/>
    <w:rsid w:val="000C341A"/>
    <w:rsid w:val="000C39C5"/>
    <w:rsid w:val="000C4660"/>
    <w:rsid w:val="000C466F"/>
    <w:rsid w:val="000C46FF"/>
    <w:rsid w:val="000C4B99"/>
    <w:rsid w:val="000C4B9D"/>
    <w:rsid w:val="000C571A"/>
    <w:rsid w:val="000C5E7B"/>
    <w:rsid w:val="000C6754"/>
    <w:rsid w:val="000C678C"/>
    <w:rsid w:val="000C6BC7"/>
    <w:rsid w:val="000C6C80"/>
    <w:rsid w:val="000C6CC2"/>
    <w:rsid w:val="000C6E6E"/>
    <w:rsid w:val="000C715C"/>
    <w:rsid w:val="000C731C"/>
    <w:rsid w:val="000C7426"/>
    <w:rsid w:val="000C7E3A"/>
    <w:rsid w:val="000D008E"/>
    <w:rsid w:val="000D06EF"/>
    <w:rsid w:val="000D1A4B"/>
    <w:rsid w:val="000D1B3C"/>
    <w:rsid w:val="000D1B86"/>
    <w:rsid w:val="000D1BFF"/>
    <w:rsid w:val="000D20CF"/>
    <w:rsid w:val="000D2ADB"/>
    <w:rsid w:val="000D2CE0"/>
    <w:rsid w:val="000D39B0"/>
    <w:rsid w:val="000D3A13"/>
    <w:rsid w:val="000D419F"/>
    <w:rsid w:val="000D41AC"/>
    <w:rsid w:val="000D4AD2"/>
    <w:rsid w:val="000D4E21"/>
    <w:rsid w:val="000D4E9D"/>
    <w:rsid w:val="000D5093"/>
    <w:rsid w:val="000D5734"/>
    <w:rsid w:val="000D5BB6"/>
    <w:rsid w:val="000D6549"/>
    <w:rsid w:val="000D69F2"/>
    <w:rsid w:val="000D6EE6"/>
    <w:rsid w:val="000D7401"/>
    <w:rsid w:val="000D7906"/>
    <w:rsid w:val="000D7B12"/>
    <w:rsid w:val="000D7D32"/>
    <w:rsid w:val="000E04B5"/>
    <w:rsid w:val="000E09D9"/>
    <w:rsid w:val="000E0A22"/>
    <w:rsid w:val="000E0B2C"/>
    <w:rsid w:val="000E0B31"/>
    <w:rsid w:val="000E0CA9"/>
    <w:rsid w:val="000E1904"/>
    <w:rsid w:val="000E1AB5"/>
    <w:rsid w:val="000E1D02"/>
    <w:rsid w:val="000E1DFC"/>
    <w:rsid w:val="000E28FA"/>
    <w:rsid w:val="000E2DCC"/>
    <w:rsid w:val="000E38E8"/>
    <w:rsid w:val="000E3DE9"/>
    <w:rsid w:val="000E4688"/>
    <w:rsid w:val="000E4A11"/>
    <w:rsid w:val="000E4A7D"/>
    <w:rsid w:val="000E4B1D"/>
    <w:rsid w:val="000E4B94"/>
    <w:rsid w:val="000E5300"/>
    <w:rsid w:val="000E536F"/>
    <w:rsid w:val="000E53B4"/>
    <w:rsid w:val="000E5836"/>
    <w:rsid w:val="000E590B"/>
    <w:rsid w:val="000E598D"/>
    <w:rsid w:val="000E614D"/>
    <w:rsid w:val="000E61D6"/>
    <w:rsid w:val="000E6440"/>
    <w:rsid w:val="000E66A8"/>
    <w:rsid w:val="000E6890"/>
    <w:rsid w:val="000E6A45"/>
    <w:rsid w:val="000E742F"/>
    <w:rsid w:val="000E759D"/>
    <w:rsid w:val="000E75CB"/>
    <w:rsid w:val="000E7607"/>
    <w:rsid w:val="000E7655"/>
    <w:rsid w:val="000E7881"/>
    <w:rsid w:val="000E7BDB"/>
    <w:rsid w:val="000E7C5D"/>
    <w:rsid w:val="000E7CCC"/>
    <w:rsid w:val="000E7EFF"/>
    <w:rsid w:val="000E7F47"/>
    <w:rsid w:val="000F00B2"/>
    <w:rsid w:val="000F0566"/>
    <w:rsid w:val="000F0B6B"/>
    <w:rsid w:val="000F0B97"/>
    <w:rsid w:val="000F0BC4"/>
    <w:rsid w:val="000F147B"/>
    <w:rsid w:val="000F180D"/>
    <w:rsid w:val="000F181D"/>
    <w:rsid w:val="000F19E1"/>
    <w:rsid w:val="000F1DF9"/>
    <w:rsid w:val="000F20D7"/>
    <w:rsid w:val="000F23C4"/>
    <w:rsid w:val="000F2600"/>
    <w:rsid w:val="000F28E4"/>
    <w:rsid w:val="000F2D3A"/>
    <w:rsid w:val="000F3149"/>
    <w:rsid w:val="000F3772"/>
    <w:rsid w:val="000F3845"/>
    <w:rsid w:val="000F3AC4"/>
    <w:rsid w:val="000F45DC"/>
    <w:rsid w:val="000F46DC"/>
    <w:rsid w:val="000F4CB7"/>
    <w:rsid w:val="000F4FD2"/>
    <w:rsid w:val="000F5621"/>
    <w:rsid w:val="000F5B66"/>
    <w:rsid w:val="000F5B86"/>
    <w:rsid w:val="000F6074"/>
    <w:rsid w:val="000F6562"/>
    <w:rsid w:val="000F674A"/>
    <w:rsid w:val="000F6CFB"/>
    <w:rsid w:val="000F727B"/>
    <w:rsid w:val="000F7430"/>
    <w:rsid w:val="000F793C"/>
    <w:rsid w:val="000F7CA4"/>
    <w:rsid w:val="000F7D14"/>
    <w:rsid w:val="001000E7"/>
    <w:rsid w:val="00100535"/>
    <w:rsid w:val="001005EE"/>
    <w:rsid w:val="001007B3"/>
    <w:rsid w:val="00100A41"/>
    <w:rsid w:val="00100F73"/>
    <w:rsid w:val="001015C2"/>
    <w:rsid w:val="001016B3"/>
    <w:rsid w:val="00101AAB"/>
    <w:rsid w:val="00101AFE"/>
    <w:rsid w:val="00101F59"/>
    <w:rsid w:val="00102BA3"/>
    <w:rsid w:val="00102D61"/>
    <w:rsid w:val="00102DCF"/>
    <w:rsid w:val="001034DF"/>
    <w:rsid w:val="001038C6"/>
    <w:rsid w:val="00103973"/>
    <w:rsid w:val="00103BC9"/>
    <w:rsid w:val="00104000"/>
    <w:rsid w:val="001041C9"/>
    <w:rsid w:val="00104215"/>
    <w:rsid w:val="001043E9"/>
    <w:rsid w:val="00105E10"/>
    <w:rsid w:val="001063D8"/>
    <w:rsid w:val="00106667"/>
    <w:rsid w:val="00106862"/>
    <w:rsid w:val="00106967"/>
    <w:rsid w:val="00106B28"/>
    <w:rsid w:val="00106C59"/>
    <w:rsid w:val="00107191"/>
    <w:rsid w:val="00107443"/>
    <w:rsid w:val="0010776F"/>
    <w:rsid w:val="00107AEE"/>
    <w:rsid w:val="00107F96"/>
    <w:rsid w:val="00110019"/>
    <w:rsid w:val="00110359"/>
    <w:rsid w:val="001103AA"/>
    <w:rsid w:val="0011097C"/>
    <w:rsid w:val="00110AC1"/>
    <w:rsid w:val="00110BFF"/>
    <w:rsid w:val="00110C3B"/>
    <w:rsid w:val="00110E76"/>
    <w:rsid w:val="001116CE"/>
    <w:rsid w:val="00111AE6"/>
    <w:rsid w:val="00111C0B"/>
    <w:rsid w:val="0011216C"/>
    <w:rsid w:val="001121A4"/>
    <w:rsid w:val="0011227C"/>
    <w:rsid w:val="0011248E"/>
    <w:rsid w:val="00112864"/>
    <w:rsid w:val="00112B83"/>
    <w:rsid w:val="001137E7"/>
    <w:rsid w:val="001138FA"/>
    <w:rsid w:val="00113B9B"/>
    <w:rsid w:val="00113EE7"/>
    <w:rsid w:val="00113EFF"/>
    <w:rsid w:val="00114443"/>
    <w:rsid w:val="00114534"/>
    <w:rsid w:val="00114545"/>
    <w:rsid w:val="001150FD"/>
    <w:rsid w:val="00115153"/>
    <w:rsid w:val="001153A4"/>
    <w:rsid w:val="001159FB"/>
    <w:rsid w:val="0011600B"/>
    <w:rsid w:val="00116346"/>
    <w:rsid w:val="00116396"/>
    <w:rsid w:val="0011656B"/>
    <w:rsid w:val="00116C64"/>
    <w:rsid w:val="00116D0F"/>
    <w:rsid w:val="0011728E"/>
    <w:rsid w:val="00117357"/>
    <w:rsid w:val="00117828"/>
    <w:rsid w:val="00117900"/>
    <w:rsid w:val="00117E94"/>
    <w:rsid w:val="00117F21"/>
    <w:rsid w:val="00120016"/>
    <w:rsid w:val="00120417"/>
    <w:rsid w:val="001208B3"/>
    <w:rsid w:val="00120E5D"/>
    <w:rsid w:val="00120EBB"/>
    <w:rsid w:val="0012120D"/>
    <w:rsid w:val="00121ABB"/>
    <w:rsid w:val="00121B11"/>
    <w:rsid w:val="00121CDB"/>
    <w:rsid w:val="00121D86"/>
    <w:rsid w:val="00121F00"/>
    <w:rsid w:val="0012203D"/>
    <w:rsid w:val="00122296"/>
    <w:rsid w:val="001227E6"/>
    <w:rsid w:val="00122CAD"/>
    <w:rsid w:val="0012301D"/>
    <w:rsid w:val="001233E9"/>
    <w:rsid w:val="00123944"/>
    <w:rsid w:val="00123BCA"/>
    <w:rsid w:val="00123EC2"/>
    <w:rsid w:val="00124073"/>
    <w:rsid w:val="00124163"/>
    <w:rsid w:val="00124455"/>
    <w:rsid w:val="001248CD"/>
    <w:rsid w:val="00125115"/>
    <w:rsid w:val="001251BB"/>
    <w:rsid w:val="00125698"/>
    <w:rsid w:val="00125D29"/>
    <w:rsid w:val="001264B9"/>
    <w:rsid w:val="00126725"/>
    <w:rsid w:val="001268E0"/>
    <w:rsid w:val="00126C4F"/>
    <w:rsid w:val="00126CD4"/>
    <w:rsid w:val="00126FAB"/>
    <w:rsid w:val="00127078"/>
    <w:rsid w:val="0012708A"/>
    <w:rsid w:val="00127335"/>
    <w:rsid w:val="001274E9"/>
    <w:rsid w:val="0012767E"/>
    <w:rsid w:val="0013064A"/>
    <w:rsid w:val="001307E3"/>
    <w:rsid w:val="001308B6"/>
    <w:rsid w:val="00130F21"/>
    <w:rsid w:val="001313B1"/>
    <w:rsid w:val="00131941"/>
    <w:rsid w:val="00131D6C"/>
    <w:rsid w:val="0013209D"/>
    <w:rsid w:val="001320D2"/>
    <w:rsid w:val="0013279C"/>
    <w:rsid w:val="00132BA5"/>
    <w:rsid w:val="00132CC9"/>
    <w:rsid w:val="0013328A"/>
    <w:rsid w:val="00133536"/>
    <w:rsid w:val="00133901"/>
    <w:rsid w:val="00133CB8"/>
    <w:rsid w:val="00133CFD"/>
    <w:rsid w:val="0013419F"/>
    <w:rsid w:val="00134225"/>
    <w:rsid w:val="00134587"/>
    <w:rsid w:val="001346DE"/>
    <w:rsid w:val="00134B8A"/>
    <w:rsid w:val="00134CFE"/>
    <w:rsid w:val="00134D65"/>
    <w:rsid w:val="00134DF0"/>
    <w:rsid w:val="00135096"/>
    <w:rsid w:val="001354AE"/>
    <w:rsid w:val="00135537"/>
    <w:rsid w:val="001355FC"/>
    <w:rsid w:val="001359EF"/>
    <w:rsid w:val="00135A74"/>
    <w:rsid w:val="00135E53"/>
    <w:rsid w:val="0013618E"/>
    <w:rsid w:val="001362B3"/>
    <w:rsid w:val="001368E7"/>
    <w:rsid w:val="00136AC5"/>
    <w:rsid w:val="00136F29"/>
    <w:rsid w:val="00137046"/>
    <w:rsid w:val="00137342"/>
    <w:rsid w:val="00137EB1"/>
    <w:rsid w:val="00140051"/>
    <w:rsid w:val="0014011B"/>
    <w:rsid w:val="001402C9"/>
    <w:rsid w:val="001402CB"/>
    <w:rsid w:val="00140F52"/>
    <w:rsid w:val="00140F95"/>
    <w:rsid w:val="0014156A"/>
    <w:rsid w:val="00141DDD"/>
    <w:rsid w:val="0014227E"/>
    <w:rsid w:val="001423BD"/>
    <w:rsid w:val="00142D7B"/>
    <w:rsid w:val="0014376B"/>
    <w:rsid w:val="00143C7F"/>
    <w:rsid w:val="001446FA"/>
    <w:rsid w:val="0014481E"/>
    <w:rsid w:val="00144953"/>
    <w:rsid w:val="00144A58"/>
    <w:rsid w:val="00144CFB"/>
    <w:rsid w:val="00144F99"/>
    <w:rsid w:val="00145312"/>
    <w:rsid w:val="001453C6"/>
    <w:rsid w:val="0014545D"/>
    <w:rsid w:val="001456FD"/>
    <w:rsid w:val="001457C3"/>
    <w:rsid w:val="001458D9"/>
    <w:rsid w:val="001458EF"/>
    <w:rsid w:val="00145B89"/>
    <w:rsid w:val="00145D3C"/>
    <w:rsid w:val="00146652"/>
    <w:rsid w:val="00147059"/>
    <w:rsid w:val="001472A4"/>
    <w:rsid w:val="00147483"/>
    <w:rsid w:val="001474A2"/>
    <w:rsid w:val="00147645"/>
    <w:rsid w:val="00147BDD"/>
    <w:rsid w:val="00147C40"/>
    <w:rsid w:val="00147FB8"/>
    <w:rsid w:val="00150176"/>
    <w:rsid w:val="00150333"/>
    <w:rsid w:val="00150411"/>
    <w:rsid w:val="0015082E"/>
    <w:rsid w:val="00150A5C"/>
    <w:rsid w:val="00150F82"/>
    <w:rsid w:val="00151216"/>
    <w:rsid w:val="00151B38"/>
    <w:rsid w:val="00151C55"/>
    <w:rsid w:val="0015210B"/>
    <w:rsid w:val="001522F8"/>
    <w:rsid w:val="0015251F"/>
    <w:rsid w:val="00152601"/>
    <w:rsid w:val="00152D22"/>
    <w:rsid w:val="00152F1D"/>
    <w:rsid w:val="00153127"/>
    <w:rsid w:val="00153FDD"/>
    <w:rsid w:val="00154045"/>
    <w:rsid w:val="00154304"/>
    <w:rsid w:val="001546FC"/>
    <w:rsid w:val="0015509E"/>
    <w:rsid w:val="001550AE"/>
    <w:rsid w:val="0015546E"/>
    <w:rsid w:val="00155C8F"/>
    <w:rsid w:val="00156009"/>
    <w:rsid w:val="0015709B"/>
    <w:rsid w:val="00157CE1"/>
    <w:rsid w:val="00160623"/>
    <w:rsid w:val="001606E0"/>
    <w:rsid w:val="001608C5"/>
    <w:rsid w:val="00160A10"/>
    <w:rsid w:val="00161049"/>
    <w:rsid w:val="001610E5"/>
    <w:rsid w:val="00161562"/>
    <w:rsid w:val="00161A0F"/>
    <w:rsid w:val="00161A10"/>
    <w:rsid w:val="00161EB5"/>
    <w:rsid w:val="00161EC4"/>
    <w:rsid w:val="00161FE9"/>
    <w:rsid w:val="001621C4"/>
    <w:rsid w:val="00162234"/>
    <w:rsid w:val="001622C0"/>
    <w:rsid w:val="00162309"/>
    <w:rsid w:val="00162342"/>
    <w:rsid w:val="0016260F"/>
    <w:rsid w:val="001631E1"/>
    <w:rsid w:val="001634E0"/>
    <w:rsid w:val="00163958"/>
    <w:rsid w:val="0016409B"/>
    <w:rsid w:val="00164F9B"/>
    <w:rsid w:val="0016512F"/>
    <w:rsid w:val="0016517E"/>
    <w:rsid w:val="0016562E"/>
    <w:rsid w:val="00165BA4"/>
    <w:rsid w:val="001661A5"/>
    <w:rsid w:val="001661BD"/>
    <w:rsid w:val="0016647F"/>
    <w:rsid w:val="00166850"/>
    <w:rsid w:val="00166D50"/>
    <w:rsid w:val="00167229"/>
    <w:rsid w:val="001673D8"/>
    <w:rsid w:val="001675ED"/>
    <w:rsid w:val="00167865"/>
    <w:rsid w:val="00167AD0"/>
    <w:rsid w:val="00167BA5"/>
    <w:rsid w:val="001700C7"/>
    <w:rsid w:val="00170570"/>
    <w:rsid w:val="00170649"/>
    <w:rsid w:val="001706A0"/>
    <w:rsid w:val="001707F7"/>
    <w:rsid w:val="00170D2D"/>
    <w:rsid w:val="00170DD9"/>
    <w:rsid w:val="00170E90"/>
    <w:rsid w:val="0017138C"/>
    <w:rsid w:val="001714F3"/>
    <w:rsid w:val="0017208D"/>
    <w:rsid w:val="00172348"/>
    <w:rsid w:val="001726DD"/>
    <w:rsid w:val="00172866"/>
    <w:rsid w:val="00172C64"/>
    <w:rsid w:val="0017352B"/>
    <w:rsid w:val="00173C6C"/>
    <w:rsid w:val="00173CCC"/>
    <w:rsid w:val="00173D7F"/>
    <w:rsid w:val="00174104"/>
    <w:rsid w:val="00174B44"/>
    <w:rsid w:val="00174C71"/>
    <w:rsid w:val="00174E93"/>
    <w:rsid w:val="00175C85"/>
    <w:rsid w:val="001762D7"/>
    <w:rsid w:val="0017683D"/>
    <w:rsid w:val="00176B8B"/>
    <w:rsid w:val="00177611"/>
    <w:rsid w:val="00177900"/>
    <w:rsid w:val="00177D79"/>
    <w:rsid w:val="00180054"/>
    <w:rsid w:val="00180874"/>
    <w:rsid w:val="00180E43"/>
    <w:rsid w:val="00181000"/>
    <w:rsid w:val="00181A2B"/>
    <w:rsid w:val="00181A2D"/>
    <w:rsid w:val="00181CAC"/>
    <w:rsid w:val="00182119"/>
    <w:rsid w:val="00182925"/>
    <w:rsid w:val="00182D83"/>
    <w:rsid w:val="00183071"/>
    <w:rsid w:val="0018318B"/>
    <w:rsid w:val="001836C3"/>
    <w:rsid w:val="0018374A"/>
    <w:rsid w:val="001837B0"/>
    <w:rsid w:val="001838E0"/>
    <w:rsid w:val="00183919"/>
    <w:rsid w:val="0018396C"/>
    <w:rsid w:val="00183FAE"/>
    <w:rsid w:val="00184076"/>
    <w:rsid w:val="001844F2"/>
    <w:rsid w:val="00184557"/>
    <w:rsid w:val="00184559"/>
    <w:rsid w:val="00184906"/>
    <w:rsid w:val="001849AE"/>
    <w:rsid w:val="00184B64"/>
    <w:rsid w:val="00184FFD"/>
    <w:rsid w:val="001850CB"/>
    <w:rsid w:val="001851D6"/>
    <w:rsid w:val="00185584"/>
    <w:rsid w:val="001855A5"/>
    <w:rsid w:val="001858A8"/>
    <w:rsid w:val="00185978"/>
    <w:rsid w:val="00185C8D"/>
    <w:rsid w:val="00185CC0"/>
    <w:rsid w:val="00186144"/>
    <w:rsid w:val="0018655F"/>
    <w:rsid w:val="001875C7"/>
    <w:rsid w:val="001876B8"/>
    <w:rsid w:val="0018786B"/>
    <w:rsid w:val="00187926"/>
    <w:rsid w:val="00190032"/>
    <w:rsid w:val="001905B0"/>
    <w:rsid w:val="0019063D"/>
    <w:rsid w:val="001906A1"/>
    <w:rsid w:val="001907B1"/>
    <w:rsid w:val="00190873"/>
    <w:rsid w:val="0019097F"/>
    <w:rsid w:val="00190989"/>
    <w:rsid w:val="00190DC0"/>
    <w:rsid w:val="001911A5"/>
    <w:rsid w:val="00191427"/>
    <w:rsid w:val="00191619"/>
    <w:rsid w:val="0019182F"/>
    <w:rsid w:val="00191AFC"/>
    <w:rsid w:val="00192133"/>
    <w:rsid w:val="001927E1"/>
    <w:rsid w:val="00193222"/>
    <w:rsid w:val="00193282"/>
    <w:rsid w:val="0019429E"/>
    <w:rsid w:val="00194413"/>
    <w:rsid w:val="0019459E"/>
    <w:rsid w:val="001945A5"/>
    <w:rsid w:val="00194937"/>
    <w:rsid w:val="00194D1D"/>
    <w:rsid w:val="00194F3E"/>
    <w:rsid w:val="0019595C"/>
    <w:rsid w:val="00195BE2"/>
    <w:rsid w:val="001961E3"/>
    <w:rsid w:val="00196262"/>
    <w:rsid w:val="00196312"/>
    <w:rsid w:val="00196485"/>
    <w:rsid w:val="001964C4"/>
    <w:rsid w:val="0019758F"/>
    <w:rsid w:val="00197784"/>
    <w:rsid w:val="00197823"/>
    <w:rsid w:val="00197A1C"/>
    <w:rsid w:val="00197E3F"/>
    <w:rsid w:val="001A023B"/>
    <w:rsid w:val="001A0665"/>
    <w:rsid w:val="001A0D2C"/>
    <w:rsid w:val="001A1985"/>
    <w:rsid w:val="001A19DE"/>
    <w:rsid w:val="001A1CE5"/>
    <w:rsid w:val="001A20FD"/>
    <w:rsid w:val="001A2258"/>
    <w:rsid w:val="001A2360"/>
    <w:rsid w:val="001A317B"/>
    <w:rsid w:val="001A39D3"/>
    <w:rsid w:val="001A3A81"/>
    <w:rsid w:val="001A3CB1"/>
    <w:rsid w:val="001A3E45"/>
    <w:rsid w:val="001A489A"/>
    <w:rsid w:val="001A4B21"/>
    <w:rsid w:val="001A5186"/>
    <w:rsid w:val="001A55D6"/>
    <w:rsid w:val="001A578F"/>
    <w:rsid w:val="001A5AF9"/>
    <w:rsid w:val="001A5B38"/>
    <w:rsid w:val="001A5B75"/>
    <w:rsid w:val="001A5C9B"/>
    <w:rsid w:val="001A621B"/>
    <w:rsid w:val="001A6BA7"/>
    <w:rsid w:val="001A6F04"/>
    <w:rsid w:val="001A7117"/>
    <w:rsid w:val="001A743B"/>
    <w:rsid w:val="001A7523"/>
    <w:rsid w:val="001A75B9"/>
    <w:rsid w:val="001A7D04"/>
    <w:rsid w:val="001B0190"/>
    <w:rsid w:val="001B033F"/>
    <w:rsid w:val="001B047B"/>
    <w:rsid w:val="001B051E"/>
    <w:rsid w:val="001B05FD"/>
    <w:rsid w:val="001B0763"/>
    <w:rsid w:val="001B07E5"/>
    <w:rsid w:val="001B0AA9"/>
    <w:rsid w:val="001B1191"/>
    <w:rsid w:val="001B1446"/>
    <w:rsid w:val="001B1783"/>
    <w:rsid w:val="001B1A95"/>
    <w:rsid w:val="001B1E49"/>
    <w:rsid w:val="001B1EDD"/>
    <w:rsid w:val="001B2C57"/>
    <w:rsid w:val="001B3EED"/>
    <w:rsid w:val="001B450B"/>
    <w:rsid w:val="001B45ED"/>
    <w:rsid w:val="001B4B58"/>
    <w:rsid w:val="001B4ECE"/>
    <w:rsid w:val="001B5226"/>
    <w:rsid w:val="001B52D4"/>
    <w:rsid w:val="001B5765"/>
    <w:rsid w:val="001B5B41"/>
    <w:rsid w:val="001B5CFE"/>
    <w:rsid w:val="001B5DBB"/>
    <w:rsid w:val="001B5E28"/>
    <w:rsid w:val="001B60AB"/>
    <w:rsid w:val="001B60D4"/>
    <w:rsid w:val="001B61E6"/>
    <w:rsid w:val="001B61EB"/>
    <w:rsid w:val="001B6505"/>
    <w:rsid w:val="001B6AA0"/>
    <w:rsid w:val="001B6B00"/>
    <w:rsid w:val="001B6CCE"/>
    <w:rsid w:val="001B7440"/>
    <w:rsid w:val="001B7895"/>
    <w:rsid w:val="001B796D"/>
    <w:rsid w:val="001B79E8"/>
    <w:rsid w:val="001B7FC7"/>
    <w:rsid w:val="001C03BC"/>
    <w:rsid w:val="001C082B"/>
    <w:rsid w:val="001C095F"/>
    <w:rsid w:val="001C0B49"/>
    <w:rsid w:val="001C116B"/>
    <w:rsid w:val="001C1337"/>
    <w:rsid w:val="001C1647"/>
    <w:rsid w:val="001C18DD"/>
    <w:rsid w:val="001C1E7B"/>
    <w:rsid w:val="001C287F"/>
    <w:rsid w:val="001C2CCB"/>
    <w:rsid w:val="001C2DA6"/>
    <w:rsid w:val="001C2E05"/>
    <w:rsid w:val="001C2FFD"/>
    <w:rsid w:val="001C33E7"/>
    <w:rsid w:val="001C3595"/>
    <w:rsid w:val="001C3797"/>
    <w:rsid w:val="001C3D48"/>
    <w:rsid w:val="001C3E2B"/>
    <w:rsid w:val="001C3EC5"/>
    <w:rsid w:val="001C443C"/>
    <w:rsid w:val="001C46F1"/>
    <w:rsid w:val="001C4E89"/>
    <w:rsid w:val="001C535E"/>
    <w:rsid w:val="001C5502"/>
    <w:rsid w:val="001C56F3"/>
    <w:rsid w:val="001C5A7F"/>
    <w:rsid w:val="001C5F02"/>
    <w:rsid w:val="001C638D"/>
    <w:rsid w:val="001C65B9"/>
    <w:rsid w:val="001C65DA"/>
    <w:rsid w:val="001C66FD"/>
    <w:rsid w:val="001C6797"/>
    <w:rsid w:val="001C6AF1"/>
    <w:rsid w:val="001C6E79"/>
    <w:rsid w:val="001C74C1"/>
    <w:rsid w:val="001C7A3F"/>
    <w:rsid w:val="001C7CC6"/>
    <w:rsid w:val="001C7EFC"/>
    <w:rsid w:val="001D05D4"/>
    <w:rsid w:val="001D0658"/>
    <w:rsid w:val="001D0B44"/>
    <w:rsid w:val="001D0D0D"/>
    <w:rsid w:val="001D0F5B"/>
    <w:rsid w:val="001D10EB"/>
    <w:rsid w:val="001D13B9"/>
    <w:rsid w:val="001D182C"/>
    <w:rsid w:val="001D19FF"/>
    <w:rsid w:val="001D1E60"/>
    <w:rsid w:val="001D1E94"/>
    <w:rsid w:val="001D2093"/>
    <w:rsid w:val="001D2540"/>
    <w:rsid w:val="001D2554"/>
    <w:rsid w:val="001D2580"/>
    <w:rsid w:val="001D26C5"/>
    <w:rsid w:val="001D286C"/>
    <w:rsid w:val="001D2A9E"/>
    <w:rsid w:val="001D2EF0"/>
    <w:rsid w:val="001D30DD"/>
    <w:rsid w:val="001D39B6"/>
    <w:rsid w:val="001D3A34"/>
    <w:rsid w:val="001D3DC7"/>
    <w:rsid w:val="001D3ECB"/>
    <w:rsid w:val="001D4512"/>
    <w:rsid w:val="001D45D6"/>
    <w:rsid w:val="001D4B1F"/>
    <w:rsid w:val="001D4D8E"/>
    <w:rsid w:val="001D556B"/>
    <w:rsid w:val="001D5A48"/>
    <w:rsid w:val="001D5EED"/>
    <w:rsid w:val="001D64D5"/>
    <w:rsid w:val="001D65B8"/>
    <w:rsid w:val="001D65F9"/>
    <w:rsid w:val="001D6757"/>
    <w:rsid w:val="001D6B0B"/>
    <w:rsid w:val="001D6D83"/>
    <w:rsid w:val="001D7345"/>
    <w:rsid w:val="001D7923"/>
    <w:rsid w:val="001D7D5C"/>
    <w:rsid w:val="001D7DCF"/>
    <w:rsid w:val="001E0128"/>
    <w:rsid w:val="001E0395"/>
    <w:rsid w:val="001E0449"/>
    <w:rsid w:val="001E08A5"/>
    <w:rsid w:val="001E08D3"/>
    <w:rsid w:val="001E0C9A"/>
    <w:rsid w:val="001E1A0A"/>
    <w:rsid w:val="001E1AF6"/>
    <w:rsid w:val="001E1D1D"/>
    <w:rsid w:val="001E20FC"/>
    <w:rsid w:val="001E21CE"/>
    <w:rsid w:val="001E23DF"/>
    <w:rsid w:val="001E27EA"/>
    <w:rsid w:val="001E28B3"/>
    <w:rsid w:val="001E3347"/>
    <w:rsid w:val="001E3937"/>
    <w:rsid w:val="001E3C83"/>
    <w:rsid w:val="001E3D02"/>
    <w:rsid w:val="001E40C4"/>
    <w:rsid w:val="001E450E"/>
    <w:rsid w:val="001E4FB1"/>
    <w:rsid w:val="001E5179"/>
    <w:rsid w:val="001E5549"/>
    <w:rsid w:val="001E57DF"/>
    <w:rsid w:val="001E5D5A"/>
    <w:rsid w:val="001E6249"/>
    <w:rsid w:val="001E64C8"/>
    <w:rsid w:val="001E6DCE"/>
    <w:rsid w:val="001E70A1"/>
    <w:rsid w:val="001E7100"/>
    <w:rsid w:val="001E7280"/>
    <w:rsid w:val="001E7797"/>
    <w:rsid w:val="001E780D"/>
    <w:rsid w:val="001E7CB5"/>
    <w:rsid w:val="001E7DF1"/>
    <w:rsid w:val="001F0006"/>
    <w:rsid w:val="001F0144"/>
    <w:rsid w:val="001F05B0"/>
    <w:rsid w:val="001F0B9B"/>
    <w:rsid w:val="001F0E92"/>
    <w:rsid w:val="001F129B"/>
    <w:rsid w:val="001F1649"/>
    <w:rsid w:val="001F232C"/>
    <w:rsid w:val="001F26BD"/>
    <w:rsid w:val="001F290E"/>
    <w:rsid w:val="001F2AA8"/>
    <w:rsid w:val="001F3162"/>
    <w:rsid w:val="001F34C3"/>
    <w:rsid w:val="001F3507"/>
    <w:rsid w:val="001F3C40"/>
    <w:rsid w:val="001F437A"/>
    <w:rsid w:val="001F4593"/>
    <w:rsid w:val="001F460D"/>
    <w:rsid w:val="001F465D"/>
    <w:rsid w:val="001F473C"/>
    <w:rsid w:val="001F5F8C"/>
    <w:rsid w:val="001F5FE0"/>
    <w:rsid w:val="001F6603"/>
    <w:rsid w:val="001F6A7C"/>
    <w:rsid w:val="001F6AA0"/>
    <w:rsid w:val="001F6D3D"/>
    <w:rsid w:val="001F6D59"/>
    <w:rsid w:val="001F7987"/>
    <w:rsid w:val="001F7AE1"/>
    <w:rsid w:val="001F7B3E"/>
    <w:rsid w:val="001F7CC9"/>
    <w:rsid w:val="001F7E0D"/>
    <w:rsid w:val="001F7E65"/>
    <w:rsid w:val="001F7F3C"/>
    <w:rsid w:val="00200378"/>
    <w:rsid w:val="002003F4"/>
    <w:rsid w:val="00200C32"/>
    <w:rsid w:val="002016D1"/>
    <w:rsid w:val="00201995"/>
    <w:rsid w:val="00201C37"/>
    <w:rsid w:val="00201ED3"/>
    <w:rsid w:val="00201FDC"/>
    <w:rsid w:val="002020DE"/>
    <w:rsid w:val="0020225E"/>
    <w:rsid w:val="0020231D"/>
    <w:rsid w:val="002023B6"/>
    <w:rsid w:val="002024A1"/>
    <w:rsid w:val="00202B9D"/>
    <w:rsid w:val="00202C51"/>
    <w:rsid w:val="00202D25"/>
    <w:rsid w:val="00202E1C"/>
    <w:rsid w:val="00203276"/>
    <w:rsid w:val="00203916"/>
    <w:rsid w:val="00203C36"/>
    <w:rsid w:val="00204236"/>
    <w:rsid w:val="00204ECC"/>
    <w:rsid w:val="00205645"/>
    <w:rsid w:val="00205970"/>
    <w:rsid w:val="00205A63"/>
    <w:rsid w:val="00205CE6"/>
    <w:rsid w:val="00205D3E"/>
    <w:rsid w:val="00205E88"/>
    <w:rsid w:val="0020642A"/>
    <w:rsid w:val="002068A0"/>
    <w:rsid w:val="00206A72"/>
    <w:rsid w:val="002071D5"/>
    <w:rsid w:val="00207564"/>
    <w:rsid w:val="00207B22"/>
    <w:rsid w:val="00207B5F"/>
    <w:rsid w:val="0021009B"/>
    <w:rsid w:val="00210AC7"/>
    <w:rsid w:val="00210AD6"/>
    <w:rsid w:val="00210BA5"/>
    <w:rsid w:val="002111E5"/>
    <w:rsid w:val="002117C7"/>
    <w:rsid w:val="002117D4"/>
    <w:rsid w:val="00211B92"/>
    <w:rsid w:val="0021211D"/>
    <w:rsid w:val="002122EA"/>
    <w:rsid w:val="002126B5"/>
    <w:rsid w:val="00212B88"/>
    <w:rsid w:val="00212D8E"/>
    <w:rsid w:val="00212E8E"/>
    <w:rsid w:val="00212EE6"/>
    <w:rsid w:val="00213082"/>
    <w:rsid w:val="00214082"/>
    <w:rsid w:val="00214293"/>
    <w:rsid w:val="00214587"/>
    <w:rsid w:val="00215974"/>
    <w:rsid w:val="00215B71"/>
    <w:rsid w:val="00215CB6"/>
    <w:rsid w:val="00215F53"/>
    <w:rsid w:val="00216E1F"/>
    <w:rsid w:val="00217806"/>
    <w:rsid w:val="002179CD"/>
    <w:rsid w:val="00217AEE"/>
    <w:rsid w:val="00217CD8"/>
    <w:rsid w:val="00217DA1"/>
    <w:rsid w:val="00221433"/>
    <w:rsid w:val="002215CF"/>
    <w:rsid w:val="0022204D"/>
    <w:rsid w:val="002220BC"/>
    <w:rsid w:val="002223AF"/>
    <w:rsid w:val="00222434"/>
    <w:rsid w:val="0022266A"/>
    <w:rsid w:val="002226E6"/>
    <w:rsid w:val="00222918"/>
    <w:rsid w:val="00222A19"/>
    <w:rsid w:val="00222D49"/>
    <w:rsid w:val="00222E08"/>
    <w:rsid w:val="00222E55"/>
    <w:rsid w:val="002230AC"/>
    <w:rsid w:val="00223169"/>
    <w:rsid w:val="0022318E"/>
    <w:rsid w:val="0022345F"/>
    <w:rsid w:val="0022398D"/>
    <w:rsid w:val="00223A5C"/>
    <w:rsid w:val="00223B18"/>
    <w:rsid w:val="00223F35"/>
    <w:rsid w:val="002242D2"/>
    <w:rsid w:val="0022430E"/>
    <w:rsid w:val="002245EF"/>
    <w:rsid w:val="00224773"/>
    <w:rsid w:val="0022481F"/>
    <w:rsid w:val="00224EEF"/>
    <w:rsid w:val="00226865"/>
    <w:rsid w:val="0022695F"/>
    <w:rsid w:val="00226BDB"/>
    <w:rsid w:val="002274FA"/>
    <w:rsid w:val="002275AB"/>
    <w:rsid w:val="00227716"/>
    <w:rsid w:val="00227AF4"/>
    <w:rsid w:val="00227CC4"/>
    <w:rsid w:val="00227E53"/>
    <w:rsid w:val="00227F64"/>
    <w:rsid w:val="00227FC0"/>
    <w:rsid w:val="002300B5"/>
    <w:rsid w:val="00230324"/>
    <w:rsid w:val="002305F0"/>
    <w:rsid w:val="00230F7F"/>
    <w:rsid w:val="00231466"/>
    <w:rsid w:val="00231FC0"/>
    <w:rsid w:val="0023240F"/>
    <w:rsid w:val="00232418"/>
    <w:rsid w:val="00232432"/>
    <w:rsid w:val="00232443"/>
    <w:rsid w:val="00232F39"/>
    <w:rsid w:val="0023386F"/>
    <w:rsid w:val="00233961"/>
    <w:rsid w:val="00233A8B"/>
    <w:rsid w:val="00233C4D"/>
    <w:rsid w:val="002345EA"/>
    <w:rsid w:val="00234B94"/>
    <w:rsid w:val="00234EC1"/>
    <w:rsid w:val="00235747"/>
    <w:rsid w:val="00235DB2"/>
    <w:rsid w:val="00236BA7"/>
    <w:rsid w:val="00236C5B"/>
    <w:rsid w:val="00236DED"/>
    <w:rsid w:val="00237529"/>
    <w:rsid w:val="00237830"/>
    <w:rsid w:val="002378FE"/>
    <w:rsid w:val="00237EA6"/>
    <w:rsid w:val="002400F6"/>
    <w:rsid w:val="00240924"/>
    <w:rsid w:val="00240A82"/>
    <w:rsid w:val="00240C39"/>
    <w:rsid w:val="00241144"/>
    <w:rsid w:val="00241200"/>
    <w:rsid w:val="00241871"/>
    <w:rsid w:val="002421FB"/>
    <w:rsid w:val="00242713"/>
    <w:rsid w:val="00242EA0"/>
    <w:rsid w:val="0024385F"/>
    <w:rsid w:val="00243A2E"/>
    <w:rsid w:val="002441B4"/>
    <w:rsid w:val="0024427E"/>
    <w:rsid w:val="00244499"/>
    <w:rsid w:val="00244572"/>
    <w:rsid w:val="00244662"/>
    <w:rsid w:val="00244850"/>
    <w:rsid w:val="00244FEE"/>
    <w:rsid w:val="002453C0"/>
    <w:rsid w:val="002454F4"/>
    <w:rsid w:val="00245B1F"/>
    <w:rsid w:val="00245D08"/>
    <w:rsid w:val="00245DC7"/>
    <w:rsid w:val="0024647D"/>
    <w:rsid w:val="00246604"/>
    <w:rsid w:val="002468AA"/>
    <w:rsid w:val="00246912"/>
    <w:rsid w:val="002469AE"/>
    <w:rsid w:val="002471A9"/>
    <w:rsid w:val="00247481"/>
    <w:rsid w:val="00250028"/>
    <w:rsid w:val="0025003F"/>
    <w:rsid w:val="00250076"/>
    <w:rsid w:val="00250163"/>
    <w:rsid w:val="00250426"/>
    <w:rsid w:val="002506C0"/>
    <w:rsid w:val="00250740"/>
    <w:rsid w:val="002507AC"/>
    <w:rsid w:val="00250A8A"/>
    <w:rsid w:val="00250AD6"/>
    <w:rsid w:val="00250B8F"/>
    <w:rsid w:val="00250B92"/>
    <w:rsid w:val="00251080"/>
    <w:rsid w:val="0025127F"/>
    <w:rsid w:val="00251984"/>
    <w:rsid w:val="00251E34"/>
    <w:rsid w:val="00251E93"/>
    <w:rsid w:val="002528EE"/>
    <w:rsid w:val="00252B68"/>
    <w:rsid w:val="002532F9"/>
    <w:rsid w:val="00253341"/>
    <w:rsid w:val="00253537"/>
    <w:rsid w:val="00253667"/>
    <w:rsid w:val="00253B8A"/>
    <w:rsid w:val="00253F6A"/>
    <w:rsid w:val="00253FE3"/>
    <w:rsid w:val="0025430D"/>
    <w:rsid w:val="00254768"/>
    <w:rsid w:val="00255480"/>
    <w:rsid w:val="00255512"/>
    <w:rsid w:val="0025552C"/>
    <w:rsid w:val="00255638"/>
    <w:rsid w:val="00255659"/>
    <w:rsid w:val="00255A11"/>
    <w:rsid w:val="00255CCC"/>
    <w:rsid w:val="00256349"/>
    <w:rsid w:val="002568CA"/>
    <w:rsid w:val="00256E2F"/>
    <w:rsid w:val="00257466"/>
    <w:rsid w:val="00257830"/>
    <w:rsid w:val="00257C1B"/>
    <w:rsid w:val="00257CC1"/>
    <w:rsid w:val="00257FE0"/>
    <w:rsid w:val="0026019A"/>
    <w:rsid w:val="00260291"/>
    <w:rsid w:val="002602CC"/>
    <w:rsid w:val="002605DA"/>
    <w:rsid w:val="00260616"/>
    <w:rsid w:val="0026084D"/>
    <w:rsid w:val="00260C84"/>
    <w:rsid w:val="002615A7"/>
    <w:rsid w:val="0026191F"/>
    <w:rsid w:val="00261BC5"/>
    <w:rsid w:val="00261DE6"/>
    <w:rsid w:val="00262166"/>
    <w:rsid w:val="0026233D"/>
    <w:rsid w:val="002623DC"/>
    <w:rsid w:val="00262962"/>
    <w:rsid w:val="00262EDB"/>
    <w:rsid w:val="00263398"/>
    <w:rsid w:val="002639A7"/>
    <w:rsid w:val="00263C14"/>
    <w:rsid w:val="00263DE3"/>
    <w:rsid w:val="00264416"/>
    <w:rsid w:val="002648D4"/>
    <w:rsid w:val="00264A45"/>
    <w:rsid w:val="00264B92"/>
    <w:rsid w:val="00264C6E"/>
    <w:rsid w:val="00264FCA"/>
    <w:rsid w:val="00264FE9"/>
    <w:rsid w:val="0026536A"/>
    <w:rsid w:val="00265421"/>
    <w:rsid w:val="00265A8E"/>
    <w:rsid w:val="002661A3"/>
    <w:rsid w:val="00266544"/>
    <w:rsid w:val="0026675A"/>
    <w:rsid w:val="00266D0A"/>
    <w:rsid w:val="00266EB6"/>
    <w:rsid w:val="00267443"/>
    <w:rsid w:val="00267DD0"/>
    <w:rsid w:val="00267E40"/>
    <w:rsid w:val="00267F84"/>
    <w:rsid w:val="00270034"/>
    <w:rsid w:val="002702CB"/>
    <w:rsid w:val="0027061A"/>
    <w:rsid w:val="002707CB"/>
    <w:rsid w:val="002709B3"/>
    <w:rsid w:val="00270A51"/>
    <w:rsid w:val="00270DBF"/>
    <w:rsid w:val="00271090"/>
    <w:rsid w:val="002713FB"/>
    <w:rsid w:val="0027155A"/>
    <w:rsid w:val="00271562"/>
    <w:rsid w:val="002715D0"/>
    <w:rsid w:val="00271879"/>
    <w:rsid w:val="00271910"/>
    <w:rsid w:val="00271A77"/>
    <w:rsid w:val="00271BBD"/>
    <w:rsid w:val="00271E58"/>
    <w:rsid w:val="00272652"/>
    <w:rsid w:val="00272782"/>
    <w:rsid w:val="00272A62"/>
    <w:rsid w:val="00272A6F"/>
    <w:rsid w:val="00272AAD"/>
    <w:rsid w:val="00273002"/>
    <w:rsid w:val="0027326B"/>
    <w:rsid w:val="00273942"/>
    <w:rsid w:val="0027399F"/>
    <w:rsid w:val="00273EAB"/>
    <w:rsid w:val="00273EFD"/>
    <w:rsid w:val="002744E0"/>
    <w:rsid w:val="00274875"/>
    <w:rsid w:val="00275267"/>
    <w:rsid w:val="0027563C"/>
    <w:rsid w:val="00275A7C"/>
    <w:rsid w:val="00275D92"/>
    <w:rsid w:val="00276135"/>
    <w:rsid w:val="002765F1"/>
    <w:rsid w:val="0027686C"/>
    <w:rsid w:val="00276A92"/>
    <w:rsid w:val="00276C45"/>
    <w:rsid w:val="00276CB1"/>
    <w:rsid w:val="002770CE"/>
    <w:rsid w:val="0027729D"/>
    <w:rsid w:val="00277CF5"/>
    <w:rsid w:val="00277D18"/>
    <w:rsid w:val="0028012B"/>
    <w:rsid w:val="00280130"/>
    <w:rsid w:val="002816DF"/>
    <w:rsid w:val="00281B60"/>
    <w:rsid w:val="002821B7"/>
    <w:rsid w:val="00282388"/>
    <w:rsid w:val="002827BF"/>
    <w:rsid w:val="002828E7"/>
    <w:rsid w:val="002829A3"/>
    <w:rsid w:val="00282BCA"/>
    <w:rsid w:val="00283D91"/>
    <w:rsid w:val="00284840"/>
    <w:rsid w:val="0028494D"/>
    <w:rsid w:val="00285310"/>
    <w:rsid w:val="00285AB6"/>
    <w:rsid w:val="002860E9"/>
    <w:rsid w:val="002863FB"/>
    <w:rsid w:val="002867D8"/>
    <w:rsid w:val="002868E0"/>
    <w:rsid w:val="002868F2"/>
    <w:rsid w:val="002869B3"/>
    <w:rsid w:val="00286A15"/>
    <w:rsid w:val="00286D9F"/>
    <w:rsid w:val="00287304"/>
    <w:rsid w:val="002876A8"/>
    <w:rsid w:val="002877CC"/>
    <w:rsid w:val="00287D9B"/>
    <w:rsid w:val="00287DF5"/>
    <w:rsid w:val="00290199"/>
    <w:rsid w:val="002901F4"/>
    <w:rsid w:val="0029049F"/>
    <w:rsid w:val="0029066D"/>
    <w:rsid w:val="0029074A"/>
    <w:rsid w:val="002908DE"/>
    <w:rsid w:val="002908F6"/>
    <w:rsid w:val="00290D46"/>
    <w:rsid w:val="002913A8"/>
    <w:rsid w:val="002917E4"/>
    <w:rsid w:val="00291A06"/>
    <w:rsid w:val="00291ADC"/>
    <w:rsid w:val="00291C6F"/>
    <w:rsid w:val="00291CF0"/>
    <w:rsid w:val="00291E5B"/>
    <w:rsid w:val="002925D0"/>
    <w:rsid w:val="00292745"/>
    <w:rsid w:val="0029353F"/>
    <w:rsid w:val="0029361C"/>
    <w:rsid w:val="00293CE5"/>
    <w:rsid w:val="00293CEB"/>
    <w:rsid w:val="002945F4"/>
    <w:rsid w:val="00294B25"/>
    <w:rsid w:val="00294BBF"/>
    <w:rsid w:val="00294EEC"/>
    <w:rsid w:val="0029531B"/>
    <w:rsid w:val="002953A3"/>
    <w:rsid w:val="002955FD"/>
    <w:rsid w:val="00296562"/>
    <w:rsid w:val="002965B8"/>
    <w:rsid w:val="00296770"/>
    <w:rsid w:val="0029678A"/>
    <w:rsid w:val="00296D70"/>
    <w:rsid w:val="00296FE2"/>
    <w:rsid w:val="00297244"/>
    <w:rsid w:val="00297299"/>
    <w:rsid w:val="00297322"/>
    <w:rsid w:val="0029734A"/>
    <w:rsid w:val="00297A22"/>
    <w:rsid w:val="00297CEB"/>
    <w:rsid w:val="00297FAD"/>
    <w:rsid w:val="002A027E"/>
    <w:rsid w:val="002A062E"/>
    <w:rsid w:val="002A0A9A"/>
    <w:rsid w:val="002A105B"/>
    <w:rsid w:val="002A196A"/>
    <w:rsid w:val="002A1E6E"/>
    <w:rsid w:val="002A1FE3"/>
    <w:rsid w:val="002A20FB"/>
    <w:rsid w:val="002A2110"/>
    <w:rsid w:val="002A2DEC"/>
    <w:rsid w:val="002A362B"/>
    <w:rsid w:val="002A3E7D"/>
    <w:rsid w:val="002A4068"/>
    <w:rsid w:val="002A4569"/>
    <w:rsid w:val="002A46DC"/>
    <w:rsid w:val="002A4A0D"/>
    <w:rsid w:val="002A4C44"/>
    <w:rsid w:val="002A515E"/>
    <w:rsid w:val="002A51FF"/>
    <w:rsid w:val="002A545A"/>
    <w:rsid w:val="002A58EE"/>
    <w:rsid w:val="002A5906"/>
    <w:rsid w:val="002A5B41"/>
    <w:rsid w:val="002A5CD6"/>
    <w:rsid w:val="002A6234"/>
    <w:rsid w:val="002A6474"/>
    <w:rsid w:val="002A6600"/>
    <w:rsid w:val="002A6A64"/>
    <w:rsid w:val="002A6F1A"/>
    <w:rsid w:val="002A704F"/>
    <w:rsid w:val="002A7317"/>
    <w:rsid w:val="002A7466"/>
    <w:rsid w:val="002A7518"/>
    <w:rsid w:val="002A79B5"/>
    <w:rsid w:val="002A7C2C"/>
    <w:rsid w:val="002A7E42"/>
    <w:rsid w:val="002B0154"/>
    <w:rsid w:val="002B0178"/>
    <w:rsid w:val="002B05D1"/>
    <w:rsid w:val="002B06B1"/>
    <w:rsid w:val="002B0842"/>
    <w:rsid w:val="002B0957"/>
    <w:rsid w:val="002B0E5B"/>
    <w:rsid w:val="002B1351"/>
    <w:rsid w:val="002B13CA"/>
    <w:rsid w:val="002B13FA"/>
    <w:rsid w:val="002B1474"/>
    <w:rsid w:val="002B1AE3"/>
    <w:rsid w:val="002B1AF8"/>
    <w:rsid w:val="002B20E7"/>
    <w:rsid w:val="002B28F6"/>
    <w:rsid w:val="002B2A4B"/>
    <w:rsid w:val="002B2E51"/>
    <w:rsid w:val="002B2EE4"/>
    <w:rsid w:val="002B2F2C"/>
    <w:rsid w:val="002B31D7"/>
    <w:rsid w:val="002B320E"/>
    <w:rsid w:val="002B3448"/>
    <w:rsid w:val="002B36BB"/>
    <w:rsid w:val="002B3CC4"/>
    <w:rsid w:val="002B3D4C"/>
    <w:rsid w:val="002B44D4"/>
    <w:rsid w:val="002B461D"/>
    <w:rsid w:val="002B4949"/>
    <w:rsid w:val="002B494C"/>
    <w:rsid w:val="002B4B54"/>
    <w:rsid w:val="002B4EA4"/>
    <w:rsid w:val="002B564C"/>
    <w:rsid w:val="002B5902"/>
    <w:rsid w:val="002B599C"/>
    <w:rsid w:val="002B5F1B"/>
    <w:rsid w:val="002B6214"/>
    <w:rsid w:val="002B6908"/>
    <w:rsid w:val="002B6E0D"/>
    <w:rsid w:val="002B71C3"/>
    <w:rsid w:val="002B7E12"/>
    <w:rsid w:val="002C099B"/>
    <w:rsid w:val="002C0BC5"/>
    <w:rsid w:val="002C16F4"/>
    <w:rsid w:val="002C2F0C"/>
    <w:rsid w:val="002C309C"/>
    <w:rsid w:val="002C35A6"/>
    <w:rsid w:val="002C3621"/>
    <w:rsid w:val="002C37DB"/>
    <w:rsid w:val="002C4299"/>
    <w:rsid w:val="002C452C"/>
    <w:rsid w:val="002C4596"/>
    <w:rsid w:val="002C5394"/>
    <w:rsid w:val="002C55B2"/>
    <w:rsid w:val="002C568C"/>
    <w:rsid w:val="002C58C2"/>
    <w:rsid w:val="002C5909"/>
    <w:rsid w:val="002C5D6E"/>
    <w:rsid w:val="002C5FA1"/>
    <w:rsid w:val="002C6055"/>
    <w:rsid w:val="002C6337"/>
    <w:rsid w:val="002C6536"/>
    <w:rsid w:val="002C6858"/>
    <w:rsid w:val="002C6A12"/>
    <w:rsid w:val="002C6ECD"/>
    <w:rsid w:val="002C6FF2"/>
    <w:rsid w:val="002C7338"/>
    <w:rsid w:val="002C7775"/>
    <w:rsid w:val="002C79EE"/>
    <w:rsid w:val="002C7B4C"/>
    <w:rsid w:val="002D014B"/>
    <w:rsid w:val="002D0437"/>
    <w:rsid w:val="002D0AC0"/>
    <w:rsid w:val="002D0EAA"/>
    <w:rsid w:val="002D0EE9"/>
    <w:rsid w:val="002D1BBC"/>
    <w:rsid w:val="002D2220"/>
    <w:rsid w:val="002D22A1"/>
    <w:rsid w:val="002D256C"/>
    <w:rsid w:val="002D259D"/>
    <w:rsid w:val="002D27D4"/>
    <w:rsid w:val="002D2818"/>
    <w:rsid w:val="002D3041"/>
    <w:rsid w:val="002D350C"/>
    <w:rsid w:val="002D353D"/>
    <w:rsid w:val="002D3891"/>
    <w:rsid w:val="002D3B69"/>
    <w:rsid w:val="002D3E73"/>
    <w:rsid w:val="002D434E"/>
    <w:rsid w:val="002D4701"/>
    <w:rsid w:val="002D4AD4"/>
    <w:rsid w:val="002D55DC"/>
    <w:rsid w:val="002D67E8"/>
    <w:rsid w:val="002D687C"/>
    <w:rsid w:val="002D69C9"/>
    <w:rsid w:val="002D6C62"/>
    <w:rsid w:val="002D7219"/>
    <w:rsid w:val="002D7409"/>
    <w:rsid w:val="002D787C"/>
    <w:rsid w:val="002E034D"/>
    <w:rsid w:val="002E0D07"/>
    <w:rsid w:val="002E15A4"/>
    <w:rsid w:val="002E1F09"/>
    <w:rsid w:val="002E26A0"/>
    <w:rsid w:val="002E28DA"/>
    <w:rsid w:val="002E32A7"/>
    <w:rsid w:val="002E37BF"/>
    <w:rsid w:val="002E380D"/>
    <w:rsid w:val="002E3BB0"/>
    <w:rsid w:val="002E413F"/>
    <w:rsid w:val="002E42A6"/>
    <w:rsid w:val="002E4C66"/>
    <w:rsid w:val="002E5315"/>
    <w:rsid w:val="002E545F"/>
    <w:rsid w:val="002E5497"/>
    <w:rsid w:val="002E5FE6"/>
    <w:rsid w:val="002E6139"/>
    <w:rsid w:val="002E62B0"/>
    <w:rsid w:val="002E6480"/>
    <w:rsid w:val="002E64B2"/>
    <w:rsid w:val="002E6599"/>
    <w:rsid w:val="002E67CF"/>
    <w:rsid w:val="002E6856"/>
    <w:rsid w:val="002E6AD0"/>
    <w:rsid w:val="002E70EB"/>
    <w:rsid w:val="002E70EE"/>
    <w:rsid w:val="002E7353"/>
    <w:rsid w:val="002E7639"/>
    <w:rsid w:val="002E76C9"/>
    <w:rsid w:val="002E7872"/>
    <w:rsid w:val="002F00DE"/>
    <w:rsid w:val="002F0124"/>
    <w:rsid w:val="002F044F"/>
    <w:rsid w:val="002F05DB"/>
    <w:rsid w:val="002F06F8"/>
    <w:rsid w:val="002F086C"/>
    <w:rsid w:val="002F097A"/>
    <w:rsid w:val="002F0BFF"/>
    <w:rsid w:val="002F0FAA"/>
    <w:rsid w:val="002F11C3"/>
    <w:rsid w:val="002F13BB"/>
    <w:rsid w:val="002F149D"/>
    <w:rsid w:val="002F1D37"/>
    <w:rsid w:val="002F2024"/>
    <w:rsid w:val="002F2A99"/>
    <w:rsid w:val="002F2F5B"/>
    <w:rsid w:val="002F329B"/>
    <w:rsid w:val="002F3629"/>
    <w:rsid w:val="002F3E73"/>
    <w:rsid w:val="002F4B5E"/>
    <w:rsid w:val="002F50BD"/>
    <w:rsid w:val="002F5B4B"/>
    <w:rsid w:val="002F5DE1"/>
    <w:rsid w:val="002F5E43"/>
    <w:rsid w:val="002F6259"/>
    <w:rsid w:val="002F6647"/>
    <w:rsid w:val="002F6A9D"/>
    <w:rsid w:val="002F711F"/>
    <w:rsid w:val="002F7460"/>
    <w:rsid w:val="002F77D5"/>
    <w:rsid w:val="002F7814"/>
    <w:rsid w:val="002F7B2F"/>
    <w:rsid w:val="002F7DCC"/>
    <w:rsid w:val="003001AD"/>
    <w:rsid w:val="003003B4"/>
    <w:rsid w:val="0030041A"/>
    <w:rsid w:val="00300629"/>
    <w:rsid w:val="00300AF1"/>
    <w:rsid w:val="00300C2C"/>
    <w:rsid w:val="00300F72"/>
    <w:rsid w:val="00301B81"/>
    <w:rsid w:val="00301B93"/>
    <w:rsid w:val="00301F20"/>
    <w:rsid w:val="00302C4F"/>
    <w:rsid w:val="00302EC4"/>
    <w:rsid w:val="00303763"/>
    <w:rsid w:val="003037FA"/>
    <w:rsid w:val="003037FC"/>
    <w:rsid w:val="003039BB"/>
    <w:rsid w:val="00303B49"/>
    <w:rsid w:val="003047E5"/>
    <w:rsid w:val="00304FF9"/>
    <w:rsid w:val="003056D7"/>
    <w:rsid w:val="003057BF"/>
    <w:rsid w:val="003059B8"/>
    <w:rsid w:val="00305A14"/>
    <w:rsid w:val="00305FE7"/>
    <w:rsid w:val="00306220"/>
    <w:rsid w:val="0030647E"/>
    <w:rsid w:val="00306555"/>
    <w:rsid w:val="00306693"/>
    <w:rsid w:val="0030690D"/>
    <w:rsid w:val="00306A1E"/>
    <w:rsid w:val="00306CAE"/>
    <w:rsid w:val="00306FDA"/>
    <w:rsid w:val="0030756A"/>
    <w:rsid w:val="003075BD"/>
    <w:rsid w:val="003100AA"/>
    <w:rsid w:val="003110C1"/>
    <w:rsid w:val="00311782"/>
    <w:rsid w:val="003117E2"/>
    <w:rsid w:val="0031189A"/>
    <w:rsid w:val="0031253C"/>
    <w:rsid w:val="003126B8"/>
    <w:rsid w:val="003127A4"/>
    <w:rsid w:val="003129D5"/>
    <w:rsid w:val="00313088"/>
    <w:rsid w:val="003139AE"/>
    <w:rsid w:val="00313F60"/>
    <w:rsid w:val="00314019"/>
    <w:rsid w:val="00314356"/>
    <w:rsid w:val="00314BA6"/>
    <w:rsid w:val="003151A0"/>
    <w:rsid w:val="00315355"/>
    <w:rsid w:val="00315739"/>
    <w:rsid w:val="003158FC"/>
    <w:rsid w:val="00315B89"/>
    <w:rsid w:val="00316033"/>
    <w:rsid w:val="0031632E"/>
    <w:rsid w:val="003166B0"/>
    <w:rsid w:val="00316CD7"/>
    <w:rsid w:val="00316F68"/>
    <w:rsid w:val="00317475"/>
    <w:rsid w:val="00317C47"/>
    <w:rsid w:val="0032000C"/>
    <w:rsid w:val="00320A01"/>
    <w:rsid w:val="003214B3"/>
    <w:rsid w:val="00321591"/>
    <w:rsid w:val="0032169E"/>
    <w:rsid w:val="0032196B"/>
    <w:rsid w:val="0032196F"/>
    <w:rsid w:val="003228A0"/>
    <w:rsid w:val="00322A68"/>
    <w:rsid w:val="00322AD3"/>
    <w:rsid w:val="00322D61"/>
    <w:rsid w:val="003233EB"/>
    <w:rsid w:val="003234E5"/>
    <w:rsid w:val="0032359A"/>
    <w:rsid w:val="00323D57"/>
    <w:rsid w:val="00323F3A"/>
    <w:rsid w:val="0032403D"/>
    <w:rsid w:val="00324B2E"/>
    <w:rsid w:val="0032514D"/>
    <w:rsid w:val="003252FD"/>
    <w:rsid w:val="0032552E"/>
    <w:rsid w:val="0032597D"/>
    <w:rsid w:val="00325AFE"/>
    <w:rsid w:val="00325DA4"/>
    <w:rsid w:val="00326054"/>
    <w:rsid w:val="00326091"/>
    <w:rsid w:val="003260C7"/>
    <w:rsid w:val="0032634E"/>
    <w:rsid w:val="0032637F"/>
    <w:rsid w:val="00326895"/>
    <w:rsid w:val="003269BB"/>
    <w:rsid w:val="00326B1A"/>
    <w:rsid w:val="003275E8"/>
    <w:rsid w:val="003276F4"/>
    <w:rsid w:val="003278C5"/>
    <w:rsid w:val="00327A6D"/>
    <w:rsid w:val="00327A7D"/>
    <w:rsid w:val="00327AF7"/>
    <w:rsid w:val="00327C46"/>
    <w:rsid w:val="00327C5C"/>
    <w:rsid w:val="003302A3"/>
    <w:rsid w:val="003305C1"/>
    <w:rsid w:val="00330C26"/>
    <w:rsid w:val="00331F8D"/>
    <w:rsid w:val="00331FCE"/>
    <w:rsid w:val="00332718"/>
    <w:rsid w:val="003327FF"/>
    <w:rsid w:val="003329BC"/>
    <w:rsid w:val="003329EA"/>
    <w:rsid w:val="00332CF2"/>
    <w:rsid w:val="0033362B"/>
    <w:rsid w:val="003338A7"/>
    <w:rsid w:val="00333AF6"/>
    <w:rsid w:val="00333E16"/>
    <w:rsid w:val="00333FA7"/>
    <w:rsid w:val="00334002"/>
    <w:rsid w:val="003341BE"/>
    <w:rsid w:val="00334665"/>
    <w:rsid w:val="00334AE9"/>
    <w:rsid w:val="00334C99"/>
    <w:rsid w:val="00334D79"/>
    <w:rsid w:val="00334DB7"/>
    <w:rsid w:val="00335109"/>
    <w:rsid w:val="0033559C"/>
    <w:rsid w:val="0033566A"/>
    <w:rsid w:val="003357B3"/>
    <w:rsid w:val="00335C97"/>
    <w:rsid w:val="00336165"/>
    <w:rsid w:val="0033617E"/>
    <w:rsid w:val="00336806"/>
    <w:rsid w:val="00336A58"/>
    <w:rsid w:val="003371EC"/>
    <w:rsid w:val="00337240"/>
    <w:rsid w:val="003376C5"/>
    <w:rsid w:val="00337948"/>
    <w:rsid w:val="00337E89"/>
    <w:rsid w:val="0034040C"/>
    <w:rsid w:val="00340574"/>
    <w:rsid w:val="0034068E"/>
    <w:rsid w:val="00340799"/>
    <w:rsid w:val="0034094E"/>
    <w:rsid w:val="00340D63"/>
    <w:rsid w:val="00340F84"/>
    <w:rsid w:val="003412CE"/>
    <w:rsid w:val="00341634"/>
    <w:rsid w:val="003416EB"/>
    <w:rsid w:val="00341BA9"/>
    <w:rsid w:val="00341CED"/>
    <w:rsid w:val="003420F5"/>
    <w:rsid w:val="0034227D"/>
    <w:rsid w:val="003423AF"/>
    <w:rsid w:val="003427E4"/>
    <w:rsid w:val="0034290E"/>
    <w:rsid w:val="00342A6B"/>
    <w:rsid w:val="0034380C"/>
    <w:rsid w:val="00343891"/>
    <w:rsid w:val="00343923"/>
    <w:rsid w:val="00343940"/>
    <w:rsid w:val="003439DD"/>
    <w:rsid w:val="00343A19"/>
    <w:rsid w:val="00343B5E"/>
    <w:rsid w:val="00343CD6"/>
    <w:rsid w:val="00343CDF"/>
    <w:rsid w:val="0034410E"/>
    <w:rsid w:val="0034423C"/>
    <w:rsid w:val="003443E3"/>
    <w:rsid w:val="00344730"/>
    <w:rsid w:val="00345135"/>
    <w:rsid w:val="00345188"/>
    <w:rsid w:val="0034550A"/>
    <w:rsid w:val="0034582A"/>
    <w:rsid w:val="0034589F"/>
    <w:rsid w:val="00345C82"/>
    <w:rsid w:val="0034611B"/>
    <w:rsid w:val="00346307"/>
    <w:rsid w:val="003469AB"/>
    <w:rsid w:val="00346F19"/>
    <w:rsid w:val="00347468"/>
    <w:rsid w:val="003477F9"/>
    <w:rsid w:val="0034784B"/>
    <w:rsid w:val="00347C0C"/>
    <w:rsid w:val="0035014C"/>
    <w:rsid w:val="003503F4"/>
    <w:rsid w:val="003509A0"/>
    <w:rsid w:val="00350B6A"/>
    <w:rsid w:val="00350E10"/>
    <w:rsid w:val="00351069"/>
    <w:rsid w:val="003513E9"/>
    <w:rsid w:val="00351B01"/>
    <w:rsid w:val="00351C46"/>
    <w:rsid w:val="003520B1"/>
    <w:rsid w:val="0035225E"/>
    <w:rsid w:val="003523A5"/>
    <w:rsid w:val="00352D89"/>
    <w:rsid w:val="003530CC"/>
    <w:rsid w:val="00353117"/>
    <w:rsid w:val="00353248"/>
    <w:rsid w:val="0035325A"/>
    <w:rsid w:val="00353373"/>
    <w:rsid w:val="00353387"/>
    <w:rsid w:val="00353458"/>
    <w:rsid w:val="00353640"/>
    <w:rsid w:val="00353AF2"/>
    <w:rsid w:val="00353F29"/>
    <w:rsid w:val="00354437"/>
    <w:rsid w:val="0035487B"/>
    <w:rsid w:val="00354D0B"/>
    <w:rsid w:val="00355DF2"/>
    <w:rsid w:val="00355FEA"/>
    <w:rsid w:val="00356043"/>
    <w:rsid w:val="003560A8"/>
    <w:rsid w:val="0035619E"/>
    <w:rsid w:val="0035655A"/>
    <w:rsid w:val="00356AC9"/>
    <w:rsid w:val="00356BDC"/>
    <w:rsid w:val="0035787B"/>
    <w:rsid w:val="003578D9"/>
    <w:rsid w:val="00357B35"/>
    <w:rsid w:val="00357B45"/>
    <w:rsid w:val="00357BD3"/>
    <w:rsid w:val="00357C17"/>
    <w:rsid w:val="00357D12"/>
    <w:rsid w:val="00357E36"/>
    <w:rsid w:val="00357FED"/>
    <w:rsid w:val="0036002F"/>
    <w:rsid w:val="003600A0"/>
    <w:rsid w:val="00360B72"/>
    <w:rsid w:val="003611ED"/>
    <w:rsid w:val="00361273"/>
    <w:rsid w:val="003615F2"/>
    <w:rsid w:val="00361646"/>
    <w:rsid w:val="003617DA"/>
    <w:rsid w:val="00361937"/>
    <w:rsid w:val="0036241C"/>
    <w:rsid w:val="003624E9"/>
    <w:rsid w:val="003627C4"/>
    <w:rsid w:val="00362B28"/>
    <w:rsid w:val="00362D48"/>
    <w:rsid w:val="00362F69"/>
    <w:rsid w:val="0036306F"/>
    <w:rsid w:val="00363116"/>
    <w:rsid w:val="00363524"/>
    <w:rsid w:val="003639EA"/>
    <w:rsid w:val="00363A3D"/>
    <w:rsid w:val="00363DA8"/>
    <w:rsid w:val="00363E02"/>
    <w:rsid w:val="00363EBA"/>
    <w:rsid w:val="00363EF3"/>
    <w:rsid w:val="00364140"/>
    <w:rsid w:val="00364338"/>
    <w:rsid w:val="00364413"/>
    <w:rsid w:val="003645C3"/>
    <w:rsid w:val="00364825"/>
    <w:rsid w:val="00364998"/>
    <w:rsid w:val="00364AA8"/>
    <w:rsid w:val="003651D4"/>
    <w:rsid w:val="003653D3"/>
    <w:rsid w:val="0036545F"/>
    <w:rsid w:val="003654C6"/>
    <w:rsid w:val="003658D3"/>
    <w:rsid w:val="00365F98"/>
    <w:rsid w:val="0036612C"/>
    <w:rsid w:val="00366B09"/>
    <w:rsid w:val="00367166"/>
    <w:rsid w:val="003674C1"/>
    <w:rsid w:val="00367B63"/>
    <w:rsid w:val="00367DBD"/>
    <w:rsid w:val="0037063A"/>
    <w:rsid w:val="00370EEE"/>
    <w:rsid w:val="003713E3"/>
    <w:rsid w:val="003713F8"/>
    <w:rsid w:val="0037159A"/>
    <w:rsid w:val="0037176C"/>
    <w:rsid w:val="00371ABF"/>
    <w:rsid w:val="00371C3C"/>
    <w:rsid w:val="00371CFF"/>
    <w:rsid w:val="00371FEA"/>
    <w:rsid w:val="003728FE"/>
    <w:rsid w:val="00372A66"/>
    <w:rsid w:val="00372B80"/>
    <w:rsid w:val="003730A6"/>
    <w:rsid w:val="003731B9"/>
    <w:rsid w:val="003737E9"/>
    <w:rsid w:val="00373EDB"/>
    <w:rsid w:val="00374112"/>
    <w:rsid w:val="003745AE"/>
    <w:rsid w:val="00374603"/>
    <w:rsid w:val="00374A95"/>
    <w:rsid w:val="00374E2B"/>
    <w:rsid w:val="00375307"/>
    <w:rsid w:val="00375366"/>
    <w:rsid w:val="00375417"/>
    <w:rsid w:val="003756D1"/>
    <w:rsid w:val="00375964"/>
    <w:rsid w:val="00375F99"/>
    <w:rsid w:val="00375FC4"/>
    <w:rsid w:val="00376110"/>
    <w:rsid w:val="0037637E"/>
    <w:rsid w:val="003763EC"/>
    <w:rsid w:val="00376686"/>
    <w:rsid w:val="00376DBC"/>
    <w:rsid w:val="00376E6D"/>
    <w:rsid w:val="00376F08"/>
    <w:rsid w:val="00377268"/>
    <w:rsid w:val="00377411"/>
    <w:rsid w:val="0037764C"/>
    <w:rsid w:val="003777F3"/>
    <w:rsid w:val="00380266"/>
    <w:rsid w:val="00380970"/>
    <w:rsid w:val="00380C0B"/>
    <w:rsid w:val="00380E6F"/>
    <w:rsid w:val="00380F6C"/>
    <w:rsid w:val="00381338"/>
    <w:rsid w:val="00381343"/>
    <w:rsid w:val="003816AC"/>
    <w:rsid w:val="003819FB"/>
    <w:rsid w:val="00381EFD"/>
    <w:rsid w:val="00382E6C"/>
    <w:rsid w:val="00382EBE"/>
    <w:rsid w:val="003831BD"/>
    <w:rsid w:val="00383896"/>
    <w:rsid w:val="00383BB4"/>
    <w:rsid w:val="00383F3C"/>
    <w:rsid w:val="00384526"/>
    <w:rsid w:val="00384530"/>
    <w:rsid w:val="00384793"/>
    <w:rsid w:val="003849B3"/>
    <w:rsid w:val="00384C62"/>
    <w:rsid w:val="00384E71"/>
    <w:rsid w:val="0038518E"/>
    <w:rsid w:val="00385638"/>
    <w:rsid w:val="00385B6C"/>
    <w:rsid w:val="00385F1E"/>
    <w:rsid w:val="00385F5C"/>
    <w:rsid w:val="0038620F"/>
    <w:rsid w:val="003863E8"/>
    <w:rsid w:val="003865D6"/>
    <w:rsid w:val="003873FC"/>
    <w:rsid w:val="0038762C"/>
    <w:rsid w:val="003878AA"/>
    <w:rsid w:val="00387D42"/>
    <w:rsid w:val="00390A0B"/>
    <w:rsid w:val="00390AF8"/>
    <w:rsid w:val="00390F66"/>
    <w:rsid w:val="00390FCF"/>
    <w:rsid w:val="00390FEB"/>
    <w:rsid w:val="00391310"/>
    <w:rsid w:val="00391383"/>
    <w:rsid w:val="00391898"/>
    <w:rsid w:val="00391D34"/>
    <w:rsid w:val="00392838"/>
    <w:rsid w:val="003936FE"/>
    <w:rsid w:val="003940EB"/>
    <w:rsid w:val="0039430C"/>
    <w:rsid w:val="003943AF"/>
    <w:rsid w:val="00394578"/>
    <w:rsid w:val="003945AB"/>
    <w:rsid w:val="0039494C"/>
    <w:rsid w:val="00395386"/>
    <w:rsid w:val="003958A5"/>
    <w:rsid w:val="00395A22"/>
    <w:rsid w:val="00395A33"/>
    <w:rsid w:val="00395C21"/>
    <w:rsid w:val="00395F44"/>
    <w:rsid w:val="0039608D"/>
    <w:rsid w:val="00396288"/>
    <w:rsid w:val="00397032"/>
    <w:rsid w:val="0039738D"/>
    <w:rsid w:val="003976D9"/>
    <w:rsid w:val="00397CFE"/>
    <w:rsid w:val="003A03E7"/>
    <w:rsid w:val="003A03FE"/>
    <w:rsid w:val="003A06A4"/>
    <w:rsid w:val="003A07FC"/>
    <w:rsid w:val="003A1090"/>
    <w:rsid w:val="003A1357"/>
    <w:rsid w:val="003A14DB"/>
    <w:rsid w:val="003A15F4"/>
    <w:rsid w:val="003A22B1"/>
    <w:rsid w:val="003A2703"/>
    <w:rsid w:val="003A2D67"/>
    <w:rsid w:val="003A3020"/>
    <w:rsid w:val="003A30F0"/>
    <w:rsid w:val="003A3933"/>
    <w:rsid w:val="003A3B7D"/>
    <w:rsid w:val="003A3EAB"/>
    <w:rsid w:val="003A41DB"/>
    <w:rsid w:val="003A4B87"/>
    <w:rsid w:val="003A4C96"/>
    <w:rsid w:val="003A4E60"/>
    <w:rsid w:val="003A5000"/>
    <w:rsid w:val="003A51B1"/>
    <w:rsid w:val="003A5828"/>
    <w:rsid w:val="003A5AA5"/>
    <w:rsid w:val="003A5F50"/>
    <w:rsid w:val="003A6198"/>
    <w:rsid w:val="003A6ED7"/>
    <w:rsid w:val="003A7DAF"/>
    <w:rsid w:val="003A7ED7"/>
    <w:rsid w:val="003B023D"/>
    <w:rsid w:val="003B09B2"/>
    <w:rsid w:val="003B0C12"/>
    <w:rsid w:val="003B1206"/>
    <w:rsid w:val="003B14EE"/>
    <w:rsid w:val="003B152A"/>
    <w:rsid w:val="003B24D6"/>
    <w:rsid w:val="003B2A3E"/>
    <w:rsid w:val="003B2FBC"/>
    <w:rsid w:val="003B3351"/>
    <w:rsid w:val="003B3563"/>
    <w:rsid w:val="003B40D3"/>
    <w:rsid w:val="003B41AC"/>
    <w:rsid w:val="003B46DA"/>
    <w:rsid w:val="003B4AB2"/>
    <w:rsid w:val="003B4D3B"/>
    <w:rsid w:val="003B5EDA"/>
    <w:rsid w:val="003B61A8"/>
    <w:rsid w:val="003B6D57"/>
    <w:rsid w:val="003B6D70"/>
    <w:rsid w:val="003B6F6E"/>
    <w:rsid w:val="003B7631"/>
    <w:rsid w:val="003B7703"/>
    <w:rsid w:val="003B78E3"/>
    <w:rsid w:val="003B7974"/>
    <w:rsid w:val="003B7AF3"/>
    <w:rsid w:val="003B7E3F"/>
    <w:rsid w:val="003B7ECD"/>
    <w:rsid w:val="003B7F90"/>
    <w:rsid w:val="003B7FB5"/>
    <w:rsid w:val="003B7FCC"/>
    <w:rsid w:val="003C0785"/>
    <w:rsid w:val="003C08EF"/>
    <w:rsid w:val="003C09D6"/>
    <w:rsid w:val="003C0E8D"/>
    <w:rsid w:val="003C10EC"/>
    <w:rsid w:val="003C13F5"/>
    <w:rsid w:val="003C15CC"/>
    <w:rsid w:val="003C1705"/>
    <w:rsid w:val="003C1D41"/>
    <w:rsid w:val="003C1DF5"/>
    <w:rsid w:val="003C205B"/>
    <w:rsid w:val="003C2360"/>
    <w:rsid w:val="003C2A9B"/>
    <w:rsid w:val="003C311A"/>
    <w:rsid w:val="003C3697"/>
    <w:rsid w:val="003C37ED"/>
    <w:rsid w:val="003C3E5C"/>
    <w:rsid w:val="003C3FDA"/>
    <w:rsid w:val="003C4147"/>
    <w:rsid w:val="003C4895"/>
    <w:rsid w:val="003C489D"/>
    <w:rsid w:val="003C4CD5"/>
    <w:rsid w:val="003C5DDA"/>
    <w:rsid w:val="003C6B91"/>
    <w:rsid w:val="003C6E48"/>
    <w:rsid w:val="003C7D67"/>
    <w:rsid w:val="003C7D6C"/>
    <w:rsid w:val="003C7E95"/>
    <w:rsid w:val="003D0004"/>
    <w:rsid w:val="003D0691"/>
    <w:rsid w:val="003D08A1"/>
    <w:rsid w:val="003D09EB"/>
    <w:rsid w:val="003D0F1C"/>
    <w:rsid w:val="003D1637"/>
    <w:rsid w:val="003D1C23"/>
    <w:rsid w:val="003D1F7F"/>
    <w:rsid w:val="003D243C"/>
    <w:rsid w:val="003D28C3"/>
    <w:rsid w:val="003D2A98"/>
    <w:rsid w:val="003D30A6"/>
    <w:rsid w:val="003D332F"/>
    <w:rsid w:val="003D357D"/>
    <w:rsid w:val="003D3913"/>
    <w:rsid w:val="003D3B56"/>
    <w:rsid w:val="003D3BA7"/>
    <w:rsid w:val="003D41B4"/>
    <w:rsid w:val="003D4448"/>
    <w:rsid w:val="003D491C"/>
    <w:rsid w:val="003D4CB7"/>
    <w:rsid w:val="003D62EE"/>
    <w:rsid w:val="003D64AD"/>
    <w:rsid w:val="003D6744"/>
    <w:rsid w:val="003D69FA"/>
    <w:rsid w:val="003D6E26"/>
    <w:rsid w:val="003D70D6"/>
    <w:rsid w:val="003D7476"/>
    <w:rsid w:val="003D76B5"/>
    <w:rsid w:val="003D7A86"/>
    <w:rsid w:val="003D7D5F"/>
    <w:rsid w:val="003D7DD4"/>
    <w:rsid w:val="003D7FBF"/>
    <w:rsid w:val="003D7FCF"/>
    <w:rsid w:val="003E039B"/>
    <w:rsid w:val="003E080E"/>
    <w:rsid w:val="003E0940"/>
    <w:rsid w:val="003E0A19"/>
    <w:rsid w:val="003E0D22"/>
    <w:rsid w:val="003E0D39"/>
    <w:rsid w:val="003E1248"/>
    <w:rsid w:val="003E1642"/>
    <w:rsid w:val="003E171B"/>
    <w:rsid w:val="003E1974"/>
    <w:rsid w:val="003E19A3"/>
    <w:rsid w:val="003E1C2E"/>
    <w:rsid w:val="003E1D94"/>
    <w:rsid w:val="003E1DA7"/>
    <w:rsid w:val="003E23D5"/>
    <w:rsid w:val="003E2C8F"/>
    <w:rsid w:val="003E2DD3"/>
    <w:rsid w:val="003E363C"/>
    <w:rsid w:val="003E37B3"/>
    <w:rsid w:val="003E390A"/>
    <w:rsid w:val="003E3E78"/>
    <w:rsid w:val="003E4529"/>
    <w:rsid w:val="003E4693"/>
    <w:rsid w:val="003E4BA7"/>
    <w:rsid w:val="003E508F"/>
    <w:rsid w:val="003E54DE"/>
    <w:rsid w:val="003E56CB"/>
    <w:rsid w:val="003E5B3F"/>
    <w:rsid w:val="003E5FA2"/>
    <w:rsid w:val="003E6134"/>
    <w:rsid w:val="003E645E"/>
    <w:rsid w:val="003E649A"/>
    <w:rsid w:val="003E679B"/>
    <w:rsid w:val="003E6849"/>
    <w:rsid w:val="003E69DB"/>
    <w:rsid w:val="003E73F2"/>
    <w:rsid w:val="003F065C"/>
    <w:rsid w:val="003F0E7A"/>
    <w:rsid w:val="003F0E9E"/>
    <w:rsid w:val="003F1626"/>
    <w:rsid w:val="003F1AA6"/>
    <w:rsid w:val="003F1AF1"/>
    <w:rsid w:val="003F1B2E"/>
    <w:rsid w:val="003F253C"/>
    <w:rsid w:val="003F2A09"/>
    <w:rsid w:val="003F2B07"/>
    <w:rsid w:val="003F2CA6"/>
    <w:rsid w:val="003F2DB0"/>
    <w:rsid w:val="003F3000"/>
    <w:rsid w:val="003F38C0"/>
    <w:rsid w:val="003F3999"/>
    <w:rsid w:val="003F3D1D"/>
    <w:rsid w:val="003F45C0"/>
    <w:rsid w:val="003F49A8"/>
    <w:rsid w:val="003F4A55"/>
    <w:rsid w:val="003F4D32"/>
    <w:rsid w:val="003F5659"/>
    <w:rsid w:val="003F575D"/>
    <w:rsid w:val="003F5921"/>
    <w:rsid w:val="003F5A5F"/>
    <w:rsid w:val="003F641A"/>
    <w:rsid w:val="003F6C93"/>
    <w:rsid w:val="003F6CCB"/>
    <w:rsid w:val="003F6DF2"/>
    <w:rsid w:val="003F6E86"/>
    <w:rsid w:val="003F7F7E"/>
    <w:rsid w:val="0040059A"/>
    <w:rsid w:val="004006AB"/>
    <w:rsid w:val="004008A6"/>
    <w:rsid w:val="004010E0"/>
    <w:rsid w:val="004012E3"/>
    <w:rsid w:val="0040198E"/>
    <w:rsid w:val="00401A2E"/>
    <w:rsid w:val="004024EE"/>
    <w:rsid w:val="00402575"/>
    <w:rsid w:val="004026E9"/>
    <w:rsid w:val="004028DC"/>
    <w:rsid w:val="00402B63"/>
    <w:rsid w:val="00402F09"/>
    <w:rsid w:val="0040305A"/>
    <w:rsid w:val="00403546"/>
    <w:rsid w:val="0040355B"/>
    <w:rsid w:val="00403575"/>
    <w:rsid w:val="0040372B"/>
    <w:rsid w:val="00403C4A"/>
    <w:rsid w:val="00403C51"/>
    <w:rsid w:val="00403D16"/>
    <w:rsid w:val="00403EA7"/>
    <w:rsid w:val="0040420B"/>
    <w:rsid w:val="00404C02"/>
    <w:rsid w:val="004054AE"/>
    <w:rsid w:val="00405655"/>
    <w:rsid w:val="00405D54"/>
    <w:rsid w:val="00406125"/>
    <w:rsid w:val="0040654C"/>
    <w:rsid w:val="00406639"/>
    <w:rsid w:val="00406650"/>
    <w:rsid w:val="00406759"/>
    <w:rsid w:val="0040692D"/>
    <w:rsid w:val="00406B82"/>
    <w:rsid w:val="00407386"/>
    <w:rsid w:val="004078F1"/>
    <w:rsid w:val="00407EDA"/>
    <w:rsid w:val="0041071D"/>
    <w:rsid w:val="004107B2"/>
    <w:rsid w:val="00410B3F"/>
    <w:rsid w:val="00410E1C"/>
    <w:rsid w:val="004115B1"/>
    <w:rsid w:val="00411897"/>
    <w:rsid w:val="00411968"/>
    <w:rsid w:val="00411BCF"/>
    <w:rsid w:val="00411F2A"/>
    <w:rsid w:val="004120F0"/>
    <w:rsid w:val="0041227D"/>
    <w:rsid w:val="004127C4"/>
    <w:rsid w:val="00412A75"/>
    <w:rsid w:val="0041342B"/>
    <w:rsid w:val="00413961"/>
    <w:rsid w:val="00413BBE"/>
    <w:rsid w:val="00414294"/>
    <w:rsid w:val="004142AC"/>
    <w:rsid w:val="0041461B"/>
    <w:rsid w:val="00414682"/>
    <w:rsid w:val="00414B56"/>
    <w:rsid w:val="0041500F"/>
    <w:rsid w:val="0041562F"/>
    <w:rsid w:val="00415782"/>
    <w:rsid w:val="00415BB4"/>
    <w:rsid w:val="00416138"/>
    <w:rsid w:val="004161CD"/>
    <w:rsid w:val="0041685B"/>
    <w:rsid w:val="00416E2C"/>
    <w:rsid w:val="0041715F"/>
    <w:rsid w:val="00417440"/>
    <w:rsid w:val="004176F2"/>
    <w:rsid w:val="00417907"/>
    <w:rsid w:val="00417B31"/>
    <w:rsid w:val="00417E4B"/>
    <w:rsid w:val="00420073"/>
    <w:rsid w:val="00420162"/>
    <w:rsid w:val="004205A6"/>
    <w:rsid w:val="0042061B"/>
    <w:rsid w:val="00420933"/>
    <w:rsid w:val="004209CF"/>
    <w:rsid w:val="00421510"/>
    <w:rsid w:val="0042155C"/>
    <w:rsid w:val="004215C4"/>
    <w:rsid w:val="004218D6"/>
    <w:rsid w:val="0042194B"/>
    <w:rsid w:val="004219A6"/>
    <w:rsid w:val="00422273"/>
    <w:rsid w:val="00422390"/>
    <w:rsid w:val="004223A0"/>
    <w:rsid w:val="004225B8"/>
    <w:rsid w:val="00422611"/>
    <w:rsid w:val="0042297A"/>
    <w:rsid w:val="004233D3"/>
    <w:rsid w:val="00423E42"/>
    <w:rsid w:val="00423F43"/>
    <w:rsid w:val="00423FEC"/>
    <w:rsid w:val="00424552"/>
    <w:rsid w:val="0042459E"/>
    <w:rsid w:val="004248DF"/>
    <w:rsid w:val="0042523D"/>
    <w:rsid w:val="004252D2"/>
    <w:rsid w:val="0042547C"/>
    <w:rsid w:val="004255A5"/>
    <w:rsid w:val="004255AA"/>
    <w:rsid w:val="00425D88"/>
    <w:rsid w:val="00425EF5"/>
    <w:rsid w:val="00426675"/>
    <w:rsid w:val="004266EE"/>
    <w:rsid w:val="00426747"/>
    <w:rsid w:val="004268E2"/>
    <w:rsid w:val="004268FD"/>
    <w:rsid w:val="00426A7B"/>
    <w:rsid w:val="00426E5F"/>
    <w:rsid w:val="00426FDE"/>
    <w:rsid w:val="00427340"/>
    <w:rsid w:val="00427458"/>
    <w:rsid w:val="00427674"/>
    <w:rsid w:val="00427C7A"/>
    <w:rsid w:val="0043035A"/>
    <w:rsid w:val="00430548"/>
    <w:rsid w:val="00430827"/>
    <w:rsid w:val="00430896"/>
    <w:rsid w:val="00430B7F"/>
    <w:rsid w:val="00430D08"/>
    <w:rsid w:val="00431268"/>
    <w:rsid w:val="004316DD"/>
    <w:rsid w:val="004316F7"/>
    <w:rsid w:val="00431DDA"/>
    <w:rsid w:val="00431E0D"/>
    <w:rsid w:val="004324D7"/>
    <w:rsid w:val="00432814"/>
    <w:rsid w:val="004328FD"/>
    <w:rsid w:val="00432B25"/>
    <w:rsid w:val="00432D06"/>
    <w:rsid w:val="00432E6A"/>
    <w:rsid w:val="00433555"/>
    <w:rsid w:val="00433675"/>
    <w:rsid w:val="0043389D"/>
    <w:rsid w:val="00433BA0"/>
    <w:rsid w:val="004344BD"/>
    <w:rsid w:val="00434905"/>
    <w:rsid w:val="00434F06"/>
    <w:rsid w:val="00435578"/>
    <w:rsid w:val="00435AA5"/>
    <w:rsid w:val="00436015"/>
    <w:rsid w:val="0043684F"/>
    <w:rsid w:val="00436C5D"/>
    <w:rsid w:val="00436D25"/>
    <w:rsid w:val="00440E4E"/>
    <w:rsid w:val="00440F73"/>
    <w:rsid w:val="00441135"/>
    <w:rsid w:val="004412F4"/>
    <w:rsid w:val="004413E6"/>
    <w:rsid w:val="00441426"/>
    <w:rsid w:val="004415CE"/>
    <w:rsid w:val="004415FF"/>
    <w:rsid w:val="004416E1"/>
    <w:rsid w:val="00441914"/>
    <w:rsid w:val="00441D1F"/>
    <w:rsid w:val="00442300"/>
    <w:rsid w:val="00442656"/>
    <w:rsid w:val="00442CC4"/>
    <w:rsid w:val="00442F2A"/>
    <w:rsid w:val="004430AB"/>
    <w:rsid w:val="00443206"/>
    <w:rsid w:val="00443207"/>
    <w:rsid w:val="0044345C"/>
    <w:rsid w:val="0044359F"/>
    <w:rsid w:val="00443674"/>
    <w:rsid w:val="0044373B"/>
    <w:rsid w:val="00443807"/>
    <w:rsid w:val="00443A54"/>
    <w:rsid w:val="00443D1C"/>
    <w:rsid w:val="00444464"/>
    <w:rsid w:val="004448B4"/>
    <w:rsid w:val="0044491C"/>
    <w:rsid w:val="00444A9A"/>
    <w:rsid w:val="004451D5"/>
    <w:rsid w:val="004453EA"/>
    <w:rsid w:val="004454E4"/>
    <w:rsid w:val="0044574D"/>
    <w:rsid w:val="00445929"/>
    <w:rsid w:val="00445A48"/>
    <w:rsid w:val="00445E15"/>
    <w:rsid w:val="004462C1"/>
    <w:rsid w:val="00446AE7"/>
    <w:rsid w:val="00446C3C"/>
    <w:rsid w:val="004470BE"/>
    <w:rsid w:val="00447115"/>
    <w:rsid w:val="00447832"/>
    <w:rsid w:val="00447838"/>
    <w:rsid w:val="004478DC"/>
    <w:rsid w:val="004479A2"/>
    <w:rsid w:val="00447BD8"/>
    <w:rsid w:val="00447E76"/>
    <w:rsid w:val="004502DF"/>
    <w:rsid w:val="004505A5"/>
    <w:rsid w:val="00450DAB"/>
    <w:rsid w:val="00451368"/>
    <w:rsid w:val="00451371"/>
    <w:rsid w:val="00451765"/>
    <w:rsid w:val="00452047"/>
    <w:rsid w:val="004529C1"/>
    <w:rsid w:val="00452A27"/>
    <w:rsid w:val="00452B63"/>
    <w:rsid w:val="00453676"/>
    <w:rsid w:val="004537A8"/>
    <w:rsid w:val="004541D8"/>
    <w:rsid w:val="004542DA"/>
    <w:rsid w:val="004543AC"/>
    <w:rsid w:val="004546B7"/>
    <w:rsid w:val="0045483A"/>
    <w:rsid w:val="00454976"/>
    <w:rsid w:val="00454C08"/>
    <w:rsid w:val="00455322"/>
    <w:rsid w:val="00455389"/>
    <w:rsid w:val="004554C1"/>
    <w:rsid w:val="004554E6"/>
    <w:rsid w:val="00455542"/>
    <w:rsid w:val="00456370"/>
    <w:rsid w:val="004563F0"/>
    <w:rsid w:val="00456A03"/>
    <w:rsid w:val="00456D53"/>
    <w:rsid w:val="00456D5F"/>
    <w:rsid w:val="0045762B"/>
    <w:rsid w:val="0045774F"/>
    <w:rsid w:val="0045782B"/>
    <w:rsid w:val="0045784E"/>
    <w:rsid w:val="004578DC"/>
    <w:rsid w:val="00457A83"/>
    <w:rsid w:val="00457BB2"/>
    <w:rsid w:val="00457D67"/>
    <w:rsid w:val="00457F36"/>
    <w:rsid w:val="0046002B"/>
    <w:rsid w:val="004602D6"/>
    <w:rsid w:val="00460435"/>
    <w:rsid w:val="0046050B"/>
    <w:rsid w:val="004605EB"/>
    <w:rsid w:val="00460ACB"/>
    <w:rsid w:val="00460D75"/>
    <w:rsid w:val="00461863"/>
    <w:rsid w:val="00461F1D"/>
    <w:rsid w:val="00462032"/>
    <w:rsid w:val="0046251C"/>
    <w:rsid w:val="0046286B"/>
    <w:rsid w:val="00462AAF"/>
    <w:rsid w:val="004631FA"/>
    <w:rsid w:val="00463668"/>
    <w:rsid w:val="00463963"/>
    <w:rsid w:val="00463A14"/>
    <w:rsid w:val="00463A55"/>
    <w:rsid w:val="00463E4C"/>
    <w:rsid w:val="00464632"/>
    <w:rsid w:val="00464A25"/>
    <w:rsid w:val="0046564F"/>
    <w:rsid w:val="00465BD6"/>
    <w:rsid w:val="00465F3B"/>
    <w:rsid w:val="004669D9"/>
    <w:rsid w:val="00467035"/>
    <w:rsid w:val="004673D4"/>
    <w:rsid w:val="004674F4"/>
    <w:rsid w:val="004677EF"/>
    <w:rsid w:val="00467C76"/>
    <w:rsid w:val="004703B7"/>
    <w:rsid w:val="004705FC"/>
    <w:rsid w:val="004711F9"/>
    <w:rsid w:val="0047171A"/>
    <w:rsid w:val="0047199D"/>
    <w:rsid w:val="00471FCB"/>
    <w:rsid w:val="00472503"/>
    <w:rsid w:val="00472549"/>
    <w:rsid w:val="00472E2D"/>
    <w:rsid w:val="00473371"/>
    <w:rsid w:val="004734ED"/>
    <w:rsid w:val="00473725"/>
    <w:rsid w:val="00473822"/>
    <w:rsid w:val="00473C82"/>
    <w:rsid w:val="00473D81"/>
    <w:rsid w:val="00473E8F"/>
    <w:rsid w:val="00473F4E"/>
    <w:rsid w:val="004744DC"/>
    <w:rsid w:val="004745AA"/>
    <w:rsid w:val="00474776"/>
    <w:rsid w:val="00474779"/>
    <w:rsid w:val="004747F7"/>
    <w:rsid w:val="00474831"/>
    <w:rsid w:val="004748A4"/>
    <w:rsid w:val="00474C15"/>
    <w:rsid w:val="0047527E"/>
    <w:rsid w:val="004756DD"/>
    <w:rsid w:val="00475877"/>
    <w:rsid w:val="00475CDD"/>
    <w:rsid w:val="00475F7F"/>
    <w:rsid w:val="00475FC4"/>
    <w:rsid w:val="00475FF3"/>
    <w:rsid w:val="0047633C"/>
    <w:rsid w:val="004765F2"/>
    <w:rsid w:val="00476CC6"/>
    <w:rsid w:val="00476CE8"/>
    <w:rsid w:val="00476D45"/>
    <w:rsid w:val="00476F26"/>
    <w:rsid w:val="004775B3"/>
    <w:rsid w:val="00477642"/>
    <w:rsid w:val="0047790F"/>
    <w:rsid w:val="004779BA"/>
    <w:rsid w:val="00477E7B"/>
    <w:rsid w:val="00477E83"/>
    <w:rsid w:val="004807AA"/>
    <w:rsid w:val="004809A5"/>
    <w:rsid w:val="00480B1B"/>
    <w:rsid w:val="00480FBF"/>
    <w:rsid w:val="0048112B"/>
    <w:rsid w:val="0048142F"/>
    <w:rsid w:val="00481650"/>
    <w:rsid w:val="00481669"/>
    <w:rsid w:val="00481F1D"/>
    <w:rsid w:val="00482256"/>
    <w:rsid w:val="004822D2"/>
    <w:rsid w:val="004826ED"/>
    <w:rsid w:val="0048278C"/>
    <w:rsid w:val="004827BB"/>
    <w:rsid w:val="00482A58"/>
    <w:rsid w:val="00483325"/>
    <w:rsid w:val="00483E0D"/>
    <w:rsid w:val="0048446B"/>
    <w:rsid w:val="004845AA"/>
    <w:rsid w:val="004848CF"/>
    <w:rsid w:val="00484B59"/>
    <w:rsid w:val="00484C15"/>
    <w:rsid w:val="00484DAB"/>
    <w:rsid w:val="00484F6F"/>
    <w:rsid w:val="00485275"/>
    <w:rsid w:val="004852A1"/>
    <w:rsid w:val="004854FF"/>
    <w:rsid w:val="00485F58"/>
    <w:rsid w:val="004878AE"/>
    <w:rsid w:val="004879DF"/>
    <w:rsid w:val="00487ED3"/>
    <w:rsid w:val="004902B0"/>
    <w:rsid w:val="0049032A"/>
    <w:rsid w:val="0049073D"/>
    <w:rsid w:val="00490B0E"/>
    <w:rsid w:val="00490DAE"/>
    <w:rsid w:val="00490DDA"/>
    <w:rsid w:val="00491160"/>
    <w:rsid w:val="0049141D"/>
    <w:rsid w:val="004916B0"/>
    <w:rsid w:val="0049188B"/>
    <w:rsid w:val="00491F44"/>
    <w:rsid w:val="004920D8"/>
    <w:rsid w:val="004923FF"/>
    <w:rsid w:val="004924AA"/>
    <w:rsid w:val="004926BC"/>
    <w:rsid w:val="004926CE"/>
    <w:rsid w:val="00493A67"/>
    <w:rsid w:val="00493B9B"/>
    <w:rsid w:val="00493DD2"/>
    <w:rsid w:val="00494128"/>
    <w:rsid w:val="0049428C"/>
    <w:rsid w:val="0049434E"/>
    <w:rsid w:val="0049489A"/>
    <w:rsid w:val="0049540A"/>
    <w:rsid w:val="00495D93"/>
    <w:rsid w:val="0049600F"/>
    <w:rsid w:val="004967FC"/>
    <w:rsid w:val="00496A0C"/>
    <w:rsid w:val="00496AF3"/>
    <w:rsid w:val="00497EAB"/>
    <w:rsid w:val="00497ED6"/>
    <w:rsid w:val="004A0141"/>
    <w:rsid w:val="004A0640"/>
    <w:rsid w:val="004A0E4E"/>
    <w:rsid w:val="004A1818"/>
    <w:rsid w:val="004A1871"/>
    <w:rsid w:val="004A1AD6"/>
    <w:rsid w:val="004A2467"/>
    <w:rsid w:val="004A2BC0"/>
    <w:rsid w:val="004A2EBC"/>
    <w:rsid w:val="004A333E"/>
    <w:rsid w:val="004A33BA"/>
    <w:rsid w:val="004A33C3"/>
    <w:rsid w:val="004A33D0"/>
    <w:rsid w:val="004A3632"/>
    <w:rsid w:val="004A36C2"/>
    <w:rsid w:val="004A3A19"/>
    <w:rsid w:val="004A3BBC"/>
    <w:rsid w:val="004A3E2E"/>
    <w:rsid w:val="004A3F46"/>
    <w:rsid w:val="004A401E"/>
    <w:rsid w:val="004A409C"/>
    <w:rsid w:val="004A41D4"/>
    <w:rsid w:val="004A4333"/>
    <w:rsid w:val="004A52D2"/>
    <w:rsid w:val="004A534B"/>
    <w:rsid w:val="004A5BCE"/>
    <w:rsid w:val="004A5D26"/>
    <w:rsid w:val="004A5DDC"/>
    <w:rsid w:val="004A6094"/>
    <w:rsid w:val="004A6165"/>
    <w:rsid w:val="004A65AE"/>
    <w:rsid w:val="004A6709"/>
    <w:rsid w:val="004A6BD3"/>
    <w:rsid w:val="004A743E"/>
    <w:rsid w:val="004A7DD3"/>
    <w:rsid w:val="004A7E1D"/>
    <w:rsid w:val="004A7EAD"/>
    <w:rsid w:val="004A7FE8"/>
    <w:rsid w:val="004B0033"/>
    <w:rsid w:val="004B0626"/>
    <w:rsid w:val="004B0DF4"/>
    <w:rsid w:val="004B0F14"/>
    <w:rsid w:val="004B0FBE"/>
    <w:rsid w:val="004B10B8"/>
    <w:rsid w:val="004B12B2"/>
    <w:rsid w:val="004B1AA3"/>
    <w:rsid w:val="004B1AB9"/>
    <w:rsid w:val="004B1F46"/>
    <w:rsid w:val="004B1F90"/>
    <w:rsid w:val="004B23A1"/>
    <w:rsid w:val="004B24B1"/>
    <w:rsid w:val="004B259B"/>
    <w:rsid w:val="004B2B65"/>
    <w:rsid w:val="004B2C32"/>
    <w:rsid w:val="004B303F"/>
    <w:rsid w:val="004B3055"/>
    <w:rsid w:val="004B316A"/>
    <w:rsid w:val="004B3822"/>
    <w:rsid w:val="004B3906"/>
    <w:rsid w:val="004B3934"/>
    <w:rsid w:val="004B39AF"/>
    <w:rsid w:val="004B3F43"/>
    <w:rsid w:val="004B4006"/>
    <w:rsid w:val="004B40AF"/>
    <w:rsid w:val="004B450A"/>
    <w:rsid w:val="004B45F3"/>
    <w:rsid w:val="004B4DBE"/>
    <w:rsid w:val="004B59F9"/>
    <w:rsid w:val="004B5D71"/>
    <w:rsid w:val="004B602B"/>
    <w:rsid w:val="004B656A"/>
    <w:rsid w:val="004B6BA7"/>
    <w:rsid w:val="004B6C4E"/>
    <w:rsid w:val="004B6C73"/>
    <w:rsid w:val="004B6C75"/>
    <w:rsid w:val="004B7165"/>
    <w:rsid w:val="004B717D"/>
    <w:rsid w:val="004B7238"/>
    <w:rsid w:val="004B74CD"/>
    <w:rsid w:val="004B7588"/>
    <w:rsid w:val="004B7B63"/>
    <w:rsid w:val="004C00ED"/>
    <w:rsid w:val="004C0145"/>
    <w:rsid w:val="004C0418"/>
    <w:rsid w:val="004C0582"/>
    <w:rsid w:val="004C0B9A"/>
    <w:rsid w:val="004C1222"/>
    <w:rsid w:val="004C1988"/>
    <w:rsid w:val="004C1BF1"/>
    <w:rsid w:val="004C1F3E"/>
    <w:rsid w:val="004C1F53"/>
    <w:rsid w:val="004C2077"/>
    <w:rsid w:val="004C26F3"/>
    <w:rsid w:val="004C2BD0"/>
    <w:rsid w:val="004C33ED"/>
    <w:rsid w:val="004C35DF"/>
    <w:rsid w:val="004C38F2"/>
    <w:rsid w:val="004C3A5D"/>
    <w:rsid w:val="004C4298"/>
    <w:rsid w:val="004C4468"/>
    <w:rsid w:val="004C46E3"/>
    <w:rsid w:val="004C492B"/>
    <w:rsid w:val="004C4D19"/>
    <w:rsid w:val="004C5145"/>
    <w:rsid w:val="004C51DC"/>
    <w:rsid w:val="004C5528"/>
    <w:rsid w:val="004C5922"/>
    <w:rsid w:val="004C599F"/>
    <w:rsid w:val="004C5D8E"/>
    <w:rsid w:val="004C6169"/>
    <w:rsid w:val="004C62BA"/>
    <w:rsid w:val="004C6C04"/>
    <w:rsid w:val="004C6C62"/>
    <w:rsid w:val="004C6F4B"/>
    <w:rsid w:val="004C73E2"/>
    <w:rsid w:val="004C7718"/>
    <w:rsid w:val="004C777E"/>
    <w:rsid w:val="004C7AE6"/>
    <w:rsid w:val="004C7C56"/>
    <w:rsid w:val="004C7DAD"/>
    <w:rsid w:val="004C7F5A"/>
    <w:rsid w:val="004D0FF8"/>
    <w:rsid w:val="004D138D"/>
    <w:rsid w:val="004D1416"/>
    <w:rsid w:val="004D1734"/>
    <w:rsid w:val="004D28C1"/>
    <w:rsid w:val="004D2F73"/>
    <w:rsid w:val="004D3201"/>
    <w:rsid w:val="004D35BB"/>
    <w:rsid w:val="004D3657"/>
    <w:rsid w:val="004D3B11"/>
    <w:rsid w:val="004D3E6A"/>
    <w:rsid w:val="004D4231"/>
    <w:rsid w:val="004D4601"/>
    <w:rsid w:val="004D460D"/>
    <w:rsid w:val="004D4C15"/>
    <w:rsid w:val="004D5289"/>
    <w:rsid w:val="004D53DF"/>
    <w:rsid w:val="004D54CC"/>
    <w:rsid w:val="004D568E"/>
    <w:rsid w:val="004D56BE"/>
    <w:rsid w:val="004D5897"/>
    <w:rsid w:val="004D59D6"/>
    <w:rsid w:val="004D5A98"/>
    <w:rsid w:val="004D5ED7"/>
    <w:rsid w:val="004D62A9"/>
    <w:rsid w:val="004D62AE"/>
    <w:rsid w:val="004D67BB"/>
    <w:rsid w:val="004D6969"/>
    <w:rsid w:val="004D69A6"/>
    <w:rsid w:val="004D6BB7"/>
    <w:rsid w:val="004D6DA8"/>
    <w:rsid w:val="004D6DEF"/>
    <w:rsid w:val="004D7101"/>
    <w:rsid w:val="004D733E"/>
    <w:rsid w:val="004D761B"/>
    <w:rsid w:val="004D7A80"/>
    <w:rsid w:val="004D7C5C"/>
    <w:rsid w:val="004D7F52"/>
    <w:rsid w:val="004E079E"/>
    <w:rsid w:val="004E098B"/>
    <w:rsid w:val="004E0EF8"/>
    <w:rsid w:val="004E137B"/>
    <w:rsid w:val="004E15C2"/>
    <w:rsid w:val="004E17C2"/>
    <w:rsid w:val="004E19BE"/>
    <w:rsid w:val="004E1A5A"/>
    <w:rsid w:val="004E1DB0"/>
    <w:rsid w:val="004E227C"/>
    <w:rsid w:val="004E23CE"/>
    <w:rsid w:val="004E2560"/>
    <w:rsid w:val="004E2953"/>
    <w:rsid w:val="004E37BD"/>
    <w:rsid w:val="004E396E"/>
    <w:rsid w:val="004E4031"/>
    <w:rsid w:val="004E43E3"/>
    <w:rsid w:val="004E47CD"/>
    <w:rsid w:val="004E4950"/>
    <w:rsid w:val="004E496C"/>
    <w:rsid w:val="004E4B77"/>
    <w:rsid w:val="004E4D4F"/>
    <w:rsid w:val="004E4EA4"/>
    <w:rsid w:val="004E4EBA"/>
    <w:rsid w:val="004E51E1"/>
    <w:rsid w:val="004E5744"/>
    <w:rsid w:val="004E5B3D"/>
    <w:rsid w:val="004E5C3B"/>
    <w:rsid w:val="004E5D57"/>
    <w:rsid w:val="004E5DD4"/>
    <w:rsid w:val="004E65AD"/>
    <w:rsid w:val="004E68D6"/>
    <w:rsid w:val="004E6B49"/>
    <w:rsid w:val="004E7359"/>
    <w:rsid w:val="004E7379"/>
    <w:rsid w:val="004E7B5D"/>
    <w:rsid w:val="004E7B98"/>
    <w:rsid w:val="004E7D74"/>
    <w:rsid w:val="004F0406"/>
    <w:rsid w:val="004F06D4"/>
    <w:rsid w:val="004F0A9A"/>
    <w:rsid w:val="004F0CCD"/>
    <w:rsid w:val="004F1165"/>
    <w:rsid w:val="004F11C7"/>
    <w:rsid w:val="004F12E2"/>
    <w:rsid w:val="004F1CCF"/>
    <w:rsid w:val="004F21F3"/>
    <w:rsid w:val="004F2236"/>
    <w:rsid w:val="004F234C"/>
    <w:rsid w:val="004F286B"/>
    <w:rsid w:val="004F2C93"/>
    <w:rsid w:val="004F2D53"/>
    <w:rsid w:val="004F2F9D"/>
    <w:rsid w:val="004F3929"/>
    <w:rsid w:val="004F39E2"/>
    <w:rsid w:val="004F46CD"/>
    <w:rsid w:val="004F49B8"/>
    <w:rsid w:val="004F4D8D"/>
    <w:rsid w:val="004F4EDD"/>
    <w:rsid w:val="004F4F7D"/>
    <w:rsid w:val="004F52AE"/>
    <w:rsid w:val="004F5574"/>
    <w:rsid w:val="004F584A"/>
    <w:rsid w:val="004F5CDB"/>
    <w:rsid w:val="004F6680"/>
    <w:rsid w:val="004F6B7C"/>
    <w:rsid w:val="004F6BF1"/>
    <w:rsid w:val="004F6EFC"/>
    <w:rsid w:val="004F7213"/>
    <w:rsid w:val="004F731A"/>
    <w:rsid w:val="004F7828"/>
    <w:rsid w:val="004F78EB"/>
    <w:rsid w:val="0050023B"/>
    <w:rsid w:val="00500883"/>
    <w:rsid w:val="00500918"/>
    <w:rsid w:val="00500CF8"/>
    <w:rsid w:val="005012FA"/>
    <w:rsid w:val="005013CD"/>
    <w:rsid w:val="0050147F"/>
    <w:rsid w:val="005015F4"/>
    <w:rsid w:val="00501AA3"/>
    <w:rsid w:val="00501C82"/>
    <w:rsid w:val="00501D97"/>
    <w:rsid w:val="0050222B"/>
    <w:rsid w:val="00502900"/>
    <w:rsid w:val="005029A0"/>
    <w:rsid w:val="00502E1C"/>
    <w:rsid w:val="00503015"/>
    <w:rsid w:val="00503172"/>
    <w:rsid w:val="00503E20"/>
    <w:rsid w:val="0050419F"/>
    <w:rsid w:val="00504208"/>
    <w:rsid w:val="005042AD"/>
    <w:rsid w:val="0050462E"/>
    <w:rsid w:val="005047E2"/>
    <w:rsid w:val="00504A65"/>
    <w:rsid w:val="00504C9B"/>
    <w:rsid w:val="00504EB7"/>
    <w:rsid w:val="00504EF4"/>
    <w:rsid w:val="0050510D"/>
    <w:rsid w:val="005055DC"/>
    <w:rsid w:val="005059A3"/>
    <w:rsid w:val="00505C13"/>
    <w:rsid w:val="00506158"/>
    <w:rsid w:val="00506EE6"/>
    <w:rsid w:val="00507796"/>
    <w:rsid w:val="00507D6B"/>
    <w:rsid w:val="00510038"/>
    <w:rsid w:val="0051020D"/>
    <w:rsid w:val="00510638"/>
    <w:rsid w:val="00510B41"/>
    <w:rsid w:val="00510D6C"/>
    <w:rsid w:val="00510FB9"/>
    <w:rsid w:val="005110EA"/>
    <w:rsid w:val="005114EF"/>
    <w:rsid w:val="00511624"/>
    <w:rsid w:val="0051183B"/>
    <w:rsid w:val="0051227B"/>
    <w:rsid w:val="0051236B"/>
    <w:rsid w:val="005126B1"/>
    <w:rsid w:val="0051283E"/>
    <w:rsid w:val="005129A6"/>
    <w:rsid w:val="00513219"/>
    <w:rsid w:val="005132EF"/>
    <w:rsid w:val="005135C8"/>
    <w:rsid w:val="00513752"/>
    <w:rsid w:val="005137AB"/>
    <w:rsid w:val="00513870"/>
    <w:rsid w:val="0051394D"/>
    <w:rsid w:val="00513B1B"/>
    <w:rsid w:val="00513B39"/>
    <w:rsid w:val="00513C39"/>
    <w:rsid w:val="00514689"/>
    <w:rsid w:val="00514BF8"/>
    <w:rsid w:val="00514E08"/>
    <w:rsid w:val="005155D3"/>
    <w:rsid w:val="005157CD"/>
    <w:rsid w:val="00515CE6"/>
    <w:rsid w:val="00517276"/>
    <w:rsid w:val="005173D2"/>
    <w:rsid w:val="00517404"/>
    <w:rsid w:val="005175C8"/>
    <w:rsid w:val="00517815"/>
    <w:rsid w:val="00517822"/>
    <w:rsid w:val="00517A08"/>
    <w:rsid w:val="00517CB7"/>
    <w:rsid w:val="00517DF8"/>
    <w:rsid w:val="00520303"/>
    <w:rsid w:val="005209EC"/>
    <w:rsid w:val="00520A9E"/>
    <w:rsid w:val="00520E4A"/>
    <w:rsid w:val="00521173"/>
    <w:rsid w:val="005215D5"/>
    <w:rsid w:val="005218F4"/>
    <w:rsid w:val="00521D93"/>
    <w:rsid w:val="00522611"/>
    <w:rsid w:val="0052282C"/>
    <w:rsid w:val="00522CD9"/>
    <w:rsid w:val="00523289"/>
    <w:rsid w:val="0052343E"/>
    <w:rsid w:val="00523918"/>
    <w:rsid w:val="00523A8A"/>
    <w:rsid w:val="00523CD6"/>
    <w:rsid w:val="0052431B"/>
    <w:rsid w:val="005249BC"/>
    <w:rsid w:val="00524BEF"/>
    <w:rsid w:val="00524E1A"/>
    <w:rsid w:val="0052546C"/>
    <w:rsid w:val="00526155"/>
    <w:rsid w:val="005268FC"/>
    <w:rsid w:val="00526A6D"/>
    <w:rsid w:val="00526CA1"/>
    <w:rsid w:val="00526D61"/>
    <w:rsid w:val="00527017"/>
    <w:rsid w:val="00527C29"/>
    <w:rsid w:val="00527CBB"/>
    <w:rsid w:val="00527E4F"/>
    <w:rsid w:val="0053019E"/>
    <w:rsid w:val="005306B4"/>
    <w:rsid w:val="00530B3A"/>
    <w:rsid w:val="00530D92"/>
    <w:rsid w:val="00531052"/>
    <w:rsid w:val="00531494"/>
    <w:rsid w:val="005314A4"/>
    <w:rsid w:val="00531604"/>
    <w:rsid w:val="00531754"/>
    <w:rsid w:val="00531A05"/>
    <w:rsid w:val="00531C86"/>
    <w:rsid w:val="00531CCB"/>
    <w:rsid w:val="00531FA5"/>
    <w:rsid w:val="0053234E"/>
    <w:rsid w:val="005325E4"/>
    <w:rsid w:val="0053284D"/>
    <w:rsid w:val="0053313B"/>
    <w:rsid w:val="00533BC0"/>
    <w:rsid w:val="00533C62"/>
    <w:rsid w:val="00534072"/>
    <w:rsid w:val="005341C6"/>
    <w:rsid w:val="00534511"/>
    <w:rsid w:val="00534E26"/>
    <w:rsid w:val="00535164"/>
    <w:rsid w:val="0053548F"/>
    <w:rsid w:val="00536200"/>
    <w:rsid w:val="0053620A"/>
    <w:rsid w:val="005369A3"/>
    <w:rsid w:val="00536A63"/>
    <w:rsid w:val="00536B8E"/>
    <w:rsid w:val="00536CF6"/>
    <w:rsid w:val="00536F8F"/>
    <w:rsid w:val="0053739B"/>
    <w:rsid w:val="005373CC"/>
    <w:rsid w:val="00537530"/>
    <w:rsid w:val="00537DD3"/>
    <w:rsid w:val="00540272"/>
    <w:rsid w:val="005406BF"/>
    <w:rsid w:val="00540D66"/>
    <w:rsid w:val="00540D6A"/>
    <w:rsid w:val="00541366"/>
    <w:rsid w:val="00541E57"/>
    <w:rsid w:val="00542322"/>
    <w:rsid w:val="00542340"/>
    <w:rsid w:val="00542382"/>
    <w:rsid w:val="00542B4D"/>
    <w:rsid w:val="00542DA7"/>
    <w:rsid w:val="00542E24"/>
    <w:rsid w:val="0054306D"/>
    <w:rsid w:val="00543472"/>
    <w:rsid w:val="00543497"/>
    <w:rsid w:val="005434FE"/>
    <w:rsid w:val="00543B47"/>
    <w:rsid w:val="00543B5B"/>
    <w:rsid w:val="00543DFF"/>
    <w:rsid w:val="00544033"/>
    <w:rsid w:val="00544723"/>
    <w:rsid w:val="00544845"/>
    <w:rsid w:val="00544A01"/>
    <w:rsid w:val="00544A8B"/>
    <w:rsid w:val="0054519F"/>
    <w:rsid w:val="00545457"/>
    <w:rsid w:val="00545C29"/>
    <w:rsid w:val="00546336"/>
    <w:rsid w:val="00546467"/>
    <w:rsid w:val="0054782F"/>
    <w:rsid w:val="005478D5"/>
    <w:rsid w:val="00547ADD"/>
    <w:rsid w:val="0055069B"/>
    <w:rsid w:val="005515AE"/>
    <w:rsid w:val="00551BBD"/>
    <w:rsid w:val="005523EF"/>
    <w:rsid w:val="0055276B"/>
    <w:rsid w:val="00552789"/>
    <w:rsid w:val="005531FC"/>
    <w:rsid w:val="005532FE"/>
    <w:rsid w:val="00553329"/>
    <w:rsid w:val="00553528"/>
    <w:rsid w:val="00553A38"/>
    <w:rsid w:val="00553D53"/>
    <w:rsid w:val="00553FE0"/>
    <w:rsid w:val="00554035"/>
    <w:rsid w:val="00554061"/>
    <w:rsid w:val="005543F9"/>
    <w:rsid w:val="00554B3E"/>
    <w:rsid w:val="00554C2E"/>
    <w:rsid w:val="00555003"/>
    <w:rsid w:val="005556A4"/>
    <w:rsid w:val="00555F68"/>
    <w:rsid w:val="00556019"/>
    <w:rsid w:val="005564C4"/>
    <w:rsid w:val="005566BE"/>
    <w:rsid w:val="00556ABB"/>
    <w:rsid w:val="00556AD8"/>
    <w:rsid w:val="005570B0"/>
    <w:rsid w:val="00557B3D"/>
    <w:rsid w:val="00557CEB"/>
    <w:rsid w:val="00557E76"/>
    <w:rsid w:val="005601FA"/>
    <w:rsid w:val="00560244"/>
    <w:rsid w:val="00560329"/>
    <w:rsid w:val="005608B5"/>
    <w:rsid w:val="00560994"/>
    <w:rsid w:val="00560B88"/>
    <w:rsid w:val="00561115"/>
    <w:rsid w:val="005611CB"/>
    <w:rsid w:val="00561372"/>
    <w:rsid w:val="00561548"/>
    <w:rsid w:val="005617A7"/>
    <w:rsid w:val="00561C92"/>
    <w:rsid w:val="0056200E"/>
    <w:rsid w:val="005620C4"/>
    <w:rsid w:val="005629E1"/>
    <w:rsid w:val="00562A9E"/>
    <w:rsid w:val="00562BE9"/>
    <w:rsid w:val="00562C32"/>
    <w:rsid w:val="0056326C"/>
    <w:rsid w:val="005634AC"/>
    <w:rsid w:val="005634B8"/>
    <w:rsid w:val="00563DA3"/>
    <w:rsid w:val="00563F30"/>
    <w:rsid w:val="005641E3"/>
    <w:rsid w:val="0056479D"/>
    <w:rsid w:val="005647F7"/>
    <w:rsid w:val="00564F44"/>
    <w:rsid w:val="005650DB"/>
    <w:rsid w:val="005654FC"/>
    <w:rsid w:val="005656B3"/>
    <w:rsid w:val="005656CC"/>
    <w:rsid w:val="0056580C"/>
    <w:rsid w:val="005658FE"/>
    <w:rsid w:val="00565927"/>
    <w:rsid w:val="005659AC"/>
    <w:rsid w:val="00565FED"/>
    <w:rsid w:val="00566193"/>
    <w:rsid w:val="00566376"/>
    <w:rsid w:val="0056674A"/>
    <w:rsid w:val="00566B0D"/>
    <w:rsid w:val="00566CA2"/>
    <w:rsid w:val="00566D51"/>
    <w:rsid w:val="00566E0A"/>
    <w:rsid w:val="00566EC3"/>
    <w:rsid w:val="005672CD"/>
    <w:rsid w:val="005674F6"/>
    <w:rsid w:val="00567AAF"/>
    <w:rsid w:val="00567D6F"/>
    <w:rsid w:val="0057031E"/>
    <w:rsid w:val="00570476"/>
    <w:rsid w:val="0057057A"/>
    <w:rsid w:val="0057106E"/>
    <w:rsid w:val="00571070"/>
    <w:rsid w:val="005710C9"/>
    <w:rsid w:val="0057124A"/>
    <w:rsid w:val="00571438"/>
    <w:rsid w:val="00571556"/>
    <w:rsid w:val="005716B7"/>
    <w:rsid w:val="00571B2E"/>
    <w:rsid w:val="005720A5"/>
    <w:rsid w:val="005722FD"/>
    <w:rsid w:val="0057251E"/>
    <w:rsid w:val="005725E4"/>
    <w:rsid w:val="00572BE1"/>
    <w:rsid w:val="00572D2E"/>
    <w:rsid w:val="005730C0"/>
    <w:rsid w:val="005734A0"/>
    <w:rsid w:val="0057377D"/>
    <w:rsid w:val="005738FD"/>
    <w:rsid w:val="005739BF"/>
    <w:rsid w:val="00573CBA"/>
    <w:rsid w:val="00573CD0"/>
    <w:rsid w:val="005742C2"/>
    <w:rsid w:val="00574582"/>
    <w:rsid w:val="00574C5B"/>
    <w:rsid w:val="00574D52"/>
    <w:rsid w:val="00574DE1"/>
    <w:rsid w:val="00574FC8"/>
    <w:rsid w:val="005752EE"/>
    <w:rsid w:val="00575396"/>
    <w:rsid w:val="00575792"/>
    <w:rsid w:val="00575DBF"/>
    <w:rsid w:val="00576678"/>
    <w:rsid w:val="00576FE6"/>
    <w:rsid w:val="00577C11"/>
    <w:rsid w:val="00577DAD"/>
    <w:rsid w:val="005804B3"/>
    <w:rsid w:val="0058085D"/>
    <w:rsid w:val="0058085F"/>
    <w:rsid w:val="00580DDA"/>
    <w:rsid w:val="00581118"/>
    <w:rsid w:val="005813A5"/>
    <w:rsid w:val="005816C2"/>
    <w:rsid w:val="0058176A"/>
    <w:rsid w:val="00581A20"/>
    <w:rsid w:val="00581B67"/>
    <w:rsid w:val="0058201A"/>
    <w:rsid w:val="00582260"/>
    <w:rsid w:val="00582441"/>
    <w:rsid w:val="00582832"/>
    <w:rsid w:val="00582A7A"/>
    <w:rsid w:val="00582B03"/>
    <w:rsid w:val="005832E6"/>
    <w:rsid w:val="0058363B"/>
    <w:rsid w:val="00583CAC"/>
    <w:rsid w:val="00583F77"/>
    <w:rsid w:val="00584651"/>
    <w:rsid w:val="00584AB3"/>
    <w:rsid w:val="00584AF3"/>
    <w:rsid w:val="005852E6"/>
    <w:rsid w:val="0058547F"/>
    <w:rsid w:val="0058590D"/>
    <w:rsid w:val="00585910"/>
    <w:rsid w:val="00585B89"/>
    <w:rsid w:val="00586066"/>
    <w:rsid w:val="005869F6"/>
    <w:rsid w:val="00587967"/>
    <w:rsid w:val="00587E10"/>
    <w:rsid w:val="005906BE"/>
    <w:rsid w:val="00590990"/>
    <w:rsid w:val="005918BE"/>
    <w:rsid w:val="00591D4C"/>
    <w:rsid w:val="00591D64"/>
    <w:rsid w:val="00591DF9"/>
    <w:rsid w:val="005923BF"/>
    <w:rsid w:val="00592469"/>
    <w:rsid w:val="005927B8"/>
    <w:rsid w:val="005928A6"/>
    <w:rsid w:val="00592F37"/>
    <w:rsid w:val="00592F77"/>
    <w:rsid w:val="0059302B"/>
    <w:rsid w:val="00593315"/>
    <w:rsid w:val="0059335C"/>
    <w:rsid w:val="00593D9E"/>
    <w:rsid w:val="00593EB4"/>
    <w:rsid w:val="00593F47"/>
    <w:rsid w:val="005945EA"/>
    <w:rsid w:val="00594DAA"/>
    <w:rsid w:val="00594EA8"/>
    <w:rsid w:val="0059518A"/>
    <w:rsid w:val="005952E6"/>
    <w:rsid w:val="00595693"/>
    <w:rsid w:val="005956B1"/>
    <w:rsid w:val="00595824"/>
    <w:rsid w:val="005959D0"/>
    <w:rsid w:val="00595A52"/>
    <w:rsid w:val="00595DC3"/>
    <w:rsid w:val="0059610E"/>
    <w:rsid w:val="005963FB"/>
    <w:rsid w:val="00596539"/>
    <w:rsid w:val="005965C1"/>
    <w:rsid w:val="00596885"/>
    <w:rsid w:val="0059794E"/>
    <w:rsid w:val="005A09F1"/>
    <w:rsid w:val="005A0BAC"/>
    <w:rsid w:val="005A12CB"/>
    <w:rsid w:val="005A1F2D"/>
    <w:rsid w:val="005A2283"/>
    <w:rsid w:val="005A2405"/>
    <w:rsid w:val="005A28B2"/>
    <w:rsid w:val="005A2B5D"/>
    <w:rsid w:val="005A2BF8"/>
    <w:rsid w:val="005A2D5F"/>
    <w:rsid w:val="005A3EF5"/>
    <w:rsid w:val="005A468D"/>
    <w:rsid w:val="005A4B4D"/>
    <w:rsid w:val="005A4E14"/>
    <w:rsid w:val="005A53E5"/>
    <w:rsid w:val="005A5A65"/>
    <w:rsid w:val="005A5AE9"/>
    <w:rsid w:val="005A6185"/>
    <w:rsid w:val="005A621C"/>
    <w:rsid w:val="005A64FB"/>
    <w:rsid w:val="005A66EE"/>
    <w:rsid w:val="005A7173"/>
    <w:rsid w:val="005A748C"/>
    <w:rsid w:val="005A751D"/>
    <w:rsid w:val="005A79FA"/>
    <w:rsid w:val="005B0046"/>
    <w:rsid w:val="005B0459"/>
    <w:rsid w:val="005B050C"/>
    <w:rsid w:val="005B06BC"/>
    <w:rsid w:val="005B0C33"/>
    <w:rsid w:val="005B0C7C"/>
    <w:rsid w:val="005B0EB8"/>
    <w:rsid w:val="005B11D0"/>
    <w:rsid w:val="005B1DC9"/>
    <w:rsid w:val="005B1EEC"/>
    <w:rsid w:val="005B1F00"/>
    <w:rsid w:val="005B2157"/>
    <w:rsid w:val="005B2C0E"/>
    <w:rsid w:val="005B2E05"/>
    <w:rsid w:val="005B2FC3"/>
    <w:rsid w:val="005B31A4"/>
    <w:rsid w:val="005B321C"/>
    <w:rsid w:val="005B35E4"/>
    <w:rsid w:val="005B3615"/>
    <w:rsid w:val="005B373F"/>
    <w:rsid w:val="005B3BB7"/>
    <w:rsid w:val="005B3E75"/>
    <w:rsid w:val="005B3F55"/>
    <w:rsid w:val="005B46C1"/>
    <w:rsid w:val="005B483E"/>
    <w:rsid w:val="005B4C0A"/>
    <w:rsid w:val="005B5A65"/>
    <w:rsid w:val="005B5DD5"/>
    <w:rsid w:val="005B62F4"/>
    <w:rsid w:val="005B6D27"/>
    <w:rsid w:val="005B6E6D"/>
    <w:rsid w:val="005B6E72"/>
    <w:rsid w:val="005B6FF7"/>
    <w:rsid w:val="005B744C"/>
    <w:rsid w:val="005B75CC"/>
    <w:rsid w:val="005B7666"/>
    <w:rsid w:val="005B7775"/>
    <w:rsid w:val="005B79FD"/>
    <w:rsid w:val="005B7AB7"/>
    <w:rsid w:val="005B7F1F"/>
    <w:rsid w:val="005C004C"/>
    <w:rsid w:val="005C03F9"/>
    <w:rsid w:val="005C0533"/>
    <w:rsid w:val="005C0B31"/>
    <w:rsid w:val="005C0C0C"/>
    <w:rsid w:val="005C0F26"/>
    <w:rsid w:val="005C1325"/>
    <w:rsid w:val="005C15E5"/>
    <w:rsid w:val="005C1801"/>
    <w:rsid w:val="005C1844"/>
    <w:rsid w:val="005C1908"/>
    <w:rsid w:val="005C1957"/>
    <w:rsid w:val="005C1D00"/>
    <w:rsid w:val="005C2D72"/>
    <w:rsid w:val="005C305F"/>
    <w:rsid w:val="005C342B"/>
    <w:rsid w:val="005C355D"/>
    <w:rsid w:val="005C35C3"/>
    <w:rsid w:val="005C3A14"/>
    <w:rsid w:val="005C40B3"/>
    <w:rsid w:val="005C43AE"/>
    <w:rsid w:val="005C4C83"/>
    <w:rsid w:val="005C4E8C"/>
    <w:rsid w:val="005C5C38"/>
    <w:rsid w:val="005C5E5F"/>
    <w:rsid w:val="005C6060"/>
    <w:rsid w:val="005C62CE"/>
    <w:rsid w:val="005C6302"/>
    <w:rsid w:val="005C649B"/>
    <w:rsid w:val="005C65C8"/>
    <w:rsid w:val="005C672B"/>
    <w:rsid w:val="005C69CA"/>
    <w:rsid w:val="005C6AD8"/>
    <w:rsid w:val="005C6BE6"/>
    <w:rsid w:val="005C6F53"/>
    <w:rsid w:val="005C7407"/>
    <w:rsid w:val="005C796F"/>
    <w:rsid w:val="005C7B95"/>
    <w:rsid w:val="005D0447"/>
    <w:rsid w:val="005D069E"/>
    <w:rsid w:val="005D0CD2"/>
    <w:rsid w:val="005D1167"/>
    <w:rsid w:val="005D175C"/>
    <w:rsid w:val="005D1A37"/>
    <w:rsid w:val="005D1E4E"/>
    <w:rsid w:val="005D1F58"/>
    <w:rsid w:val="005D2481"/>
    <w:rsid w:val="005D2881"/>
    <w:rsid w:val="005D293A"/>
    <w:rsid w:val="005D29FC"/>
    <w:rsid w:val="005D2D7B"/>
    <w:rsid w:val="005D2EB8"/>
    <w:rsid w:val="005D2F52"/>
    <w:rsid w:val="005D3108"/>
    <w:rsid w:val="005D331A"/>
    <w:rsid w:val="005D356D"/>
    <w:rsid w:val="005D35A2"/>
    <w:rsid w:val="005D3CAE"/>
    <w:rsid w:val="005D3E4D"/>
    <w:rsid w:val="005D4127"/>
    <w:rsid w:val="005D4718"/>
    <w:rsid w:val="005D4789"/>
    <w:rsid w:val="005D4A92"/>
    <w:rsid w:val="005D4FA1"/>
    <w:rsid w:val="005D52E9"/>
    <w:rsid w:val="005D53F9"/>
    <w:rsid w:val="005D6024"/>
    <w:rsid w:val="005D6BC8"/>
    <w:rsid w:val="005D6C53"/>
    <w:rsid w:val="005D6CB6"/>
    <w:rsid w:val="005D7318"/>
    <w:rsid w:val="005D73BF"/>
    <w:rsid w:val="005D74D4"/>
    <w:rsid w:val="005D78D7"/>
    <w:rsid w:val="005D79A9"/>
    <w:rsid w:val="005D7E5B"/>
    <w:rsid w:val="005D7F4B"/>
    <w:rsid w:val="005E058A"/>
    <w:rsid w:val="005E0801"/>
    <w:rsid w:val="005E09B7"/>
    <w:rsid w:val="005E0AFE"/>
    <w:rsid w:val="005E0E4D"/>
    <w:rsid w:val="005E140C"/>
    <w:rsid w:val="005E140E"/>
    <w:rsid w:val="005E166F"/>
    <w:rsid w:val="005E1B41"/>
    <w:rsid w:val="005E1EB5"/>
    <w:rsid w:val="005E20EB"/>
    <w:rsid w:val="005E3260"/>
    <w:rsid w:val="005E3A46"/>
    <w:rsid w:val="005E3C76"/>
    <w:rsid w:val="005E3E52"/>
    <w:rsid w:val="005E43D1"/>
    <w:rsid w:val="005E440F"/>
    <w:rsid w:val="005E45A1"/>
    <w:rsid w:val="005E471F"/>
    <w:rsid w:val="005E4A65"/>
    <w:rsid w:val="005E5171"/>
    <w:rsid w:val="005E62F4"/>
    <w:rsid w:val="005E642C"/>
    <w:rsid w:val="005E6D0A"/>
    <w:rsid w:val="005E6D79"/>
    <w:rsid w:val="005E6F22"/>
    <w:rsid w:val="005E7050"/>
    <w:rsid w:val="005E74A3"/>
    <w:rsid w:val="005E76B4"/>
    <w:rsid w:val="005E7837"/>
    <w:rsid w:val="005E7AD8"/>
    <w:rsid w:val="005E7B88"/>
    <w:rsid w:val="005E7D18"/>
    <w:rsid w:val="005F00D4"/>
    <w:rsid w:val="005F0287"/>
    <w:rsid w:val="005F0311"/>
    <w:rsid w:val="005F0B18"/>
    <w:rsid w:val="005F0C15"/>
    <w:rsid w:val="005F11C1"/>
    <w:rsid w:val="005F12FF"/>
    <w:rsid w:val="005F18F8"/>
    <w:rsid w:val="005F1B3F"/>
    <w:rsid w:val="005F1E1B"/>
    <w:rsid w:val="005F204E"/>
    <w:rsid w:val="005F2366"/>
    <w:rsid w:val="005F2472"/>
    <w:rsid w:val="005F2479"/>
    <w:rsid w:val="005F2519"/>
    <w:rsid w:val="005F2738"/>
    <w:rsid w:val="005F2B68"/>
    <w:rsid w:val="005F2B70"/>
    <w:rsid w:val="005F2C44"/>
    <w:rsid w:val="005F2D7F"/>
    <w:rsid w:val="005F2E04"/>
    <w:rsid w:val="005F2F2F"/>
    <w:rsid w:val="005F30D5"/>
    <w:rsid w:val="005F359E"/>
    <w:rsid w:val="005F35FD"/>
    <w:rsid w:val="005F40D6"/>
    <w:rsid w:val="005F428D"/>
    <w:rsid w:val="005F4B77"/>
    <w:rsid w:val="005F5897"/>
    <w:rsid w:val="005F5A8C"/>
    <w:rsid w:val="005F5C58"/>
    <w:rsid w:val="005F628F"/>
    <w:rsid w:val="005F636D"/>
    <w:rsid w:val="005F6872"/>
    <w:rsid w:val="005F6D6A"/>
    <w:rsid w:val="005F7954"/>
    <w:rsid w:val="005F7997"/>
    <w:rsid w:val="005F7B5A"/>
    <w:rsid w:val="005F7D28"/>
    <w:rsid w:val="005F7F6E"/>
    <w:rsid w:val="0060031C"/>
    <w:rsid w:val="006007AA"/>
    <w:rsid w:val="0060084E"/>
    <w:rsid w:val="00601113"/>
    <w:rsid w:val="006012AD"/>
    <w:rsid w:val="00601547"/>
    <w:rsid w:val="00601D2C"/>
    <w:rsid w:val="00601EDE"/>
    <w:rsid w:val="00601F8D"/>
    <w:rsid w:val="0060214D"/>
    <w:rsid w:val="00602274"/>
    <w:rsid w:val="00602431"/>
    <w:rsid w:val="00602BB7"/>
    <w:rsid w:val="00602C27"/>
    <w:rsid w:val="00602C4B"/>
    <w:rsid w:val="00602F23"/>
    <w:rsid w:val="00603D74"/>
    <w:rsid w:val="00604875"/>
    <w:rsid w:val="00604B78"/>
    <w:rsid w:val="00604D5D"/>
    <w:rsid w:val="006053C2"/>
    <w:rsid w:val="00605DD9"/>
    <w:rsid w:val="006060A5"/>
    <w:rsid w:val="006068D6"/>
    <w:rsid w:val="00606DE8"/>
    <w:rsid w:val="006070CB"/>
    <w:rsid w:val="006073F2"/>
    <w:rsid w:val="00607B24"/>
    <w:rsid w:val="00607D7D"/>
    <w:rsid w:val="006100CD"/>
    <w:rsid w:val="00610152"/>
    <w:rsid w:val="006103B3"/>
    <w:rsid w:val="00610429"/>
    <w:rsid w:val="0061053A"/>
    <w:rsid w:val="00610801"/>
    <w:rsid w:val="00610D5C"/>
    <w:rsid w:val="006110E1"/>
    <w:rsid w:val="006113CB"/>
    <w:rsid w:val="0061197C"/>
    <w:rsid w:val="00611A5C"/>
    <w:rsid w:val="006127BD"/>
    <w:rsid w:val="00612930"/>
    <w:rsid w:val="00612B6C"/>
    <w:rsid w:val="006131FB"/>
    <w:rsid w:val="0061341F"/>
    <w:rsid w:val="00613679"/>
    <w:rsid w:val="0061380A"/>
    <w:rsid w:val="00613BFD"/>
    <w:rsid w:val="00613CB2"/>
    <w:rsid w:val="00614205"/>
    <w:rsid w:val="00614690"/>
    <w:rsid w:val="0061499C"/>
    <w:rsid w:val="006149C6"/>
    <w:rsid w:val="00614BA5"/>
    <w:rsid w:val="00614BDE"/>
    <w:rsid w:val="00615097"/>
    <w:rsid w:val="0061531D"/>
    <w:rsid w:val="0061561B"/>
    <w:rsid w:val="00615738"/>
    <w:rsid w:val="006157A5"/>
    <w:rsid w:val="00615D34"/>
    <w:rsid w:val="00615ED8"/>
    <w:rsid w:val="0061638E"/>
    <w:rsid w:val="006166EE"/>
    <w:rsid w:val="00616998"/>
    <w:rsid w:val="00616BCA"/>
    <w:rsid w:val="00617150"/>
    <w:rsid w:val="006175A9"/>
    <w:rsid w:val="00617624"/>
    <w:rsid w:val="0061774A"/>
    <w:rsid w:val="006177B1"/>
    <w:rsid w:val="006178EE"/>
    <w:rsid w:val="00617AAB"/>
    <w:rsid w:val="00617D5A"/>
    <w:rsid w:val="0062007B"/>
    <w:rsid w:val="00620160"/>
    <w:rsid w:val="00620273"/>
    <w:rsid w:val="006207A8"/>
    <w:rsid w:val="006209AA"/>
    <w:rsid w:val="00620C8B"/>
    <w:rsid w:val="00620E2F"/>
    <w:rsid w:val="006210C4"/>
    <w:rsid w:val="0062121C"/>
    <w:rsid w:val="006219CA"/>
    <w:rsid w:val="00621CD4"/>
    <w:rsid w:val="00621DA6"/>
    <w:rsid w:val="00621FD0"/>
    <w:rsid w:val="006222CA"/>
    <w:rsid w:val="006225BC"/>
    <w:rsid w:val="00622DAF"/>
    <w:rsid w:val="00623511"/>
    <w:rsid w:val="00623BF5"/>
    <w:rsid w:val="00623C6D"/>
    <w:rsid w:val="00623F54"/>
    <w:rsid w:val="00623F77"/>
    <w:rsid w:val="006244BD"/>
    <w:rsid w:val="00624CE5"/>
    <w:rsid w:val="00625700"/>
    <w:rsid w:val="00625C14"/>
    <w:rsid w:val="00625F6D"/>
    <w:rsid w:val="00625FEA"/>
    <w:rsid w:val="00626629"/>
    <w:rsid w:val="00626EBB"/>
    <w:rsid w:val="00626EEF"/>
    <w:rsid w:val="00627106"/>
    <w:rsid w:val="006271BF"/>
    <w:rsid w:val="00627260"/>
    <w:rsid w:val="00627910"/>
    <w:rsid w:val="00627954"/>
    <w:rsid w:val="00627E45"/>
    <w:rsid w:val="006301CC"/>
    <w:rsid w:val="0063025A"/>
    <w:rsid w:val="00630574"/>
    <w:rsid w:val="006307D2"/>
    <w:rsid w:val="00630D80"/>
    <w:rsid w:val="00630FC8"/>
    <w:rsid w:val="0063146C"/>
    <w:rsid w:val="006314B2"/>
    <w:rsid w:val="00631595"/>
    <w:rsid w:val="006316D3"/>
    <w:rsid w:val="00631F2E"/>
    <w:rsid w:val="0063309A"/>
    <w:rsid w:val="00633355"/>
    <w:rsid w:val="00633EA0"/>
    <w:rsid w:val="006341F9"/>
    <w:rsid w:val="006345A7"/>
    <w:rsid w:val="0063478C"/>
    <w:rsid w:val="00634A7D"/>
    <w:rsid w:val="00635304"/>
    <w:rsid w:val="00635EF0"/>
    <w:rsid w:val="00635F01"/>
    <w:rsid w:val="006365D0"/>
    <w:rsid w:val="00636654"/>
    <w:rsid w:val="00636866"/>
    <w:rsid w:val="00636D51"/>
    <w:rsid w:val="00636D8D"/>
    <w:rsid w:val="0063715A"/>
    <w:rsid w:val="00637290"/>
    <w:rsid w:val="006372FA"/>
    <w:rsid w:val="00637325"/>
    <w:rsid w:val="00637E81"/>
    <w:rsid w:val="00640184"/>
    <w:rsid w:val="006405E6"/>
    <w:rsid w:val="00640A90"/>
    <w:rsid w:val="00640BF3"/>
    <w:rsid w:val="006411A2"/>
    <w:rsid w:val="00641204"/>
    <w:rsid w:val="00641C28"/>
    <w:rsid w:val="0064210A"/>
    <w:rsid w:val="006422E4"/>
    <w:rsid w:val="00642333"/>
    <w:rsid w:val="00642B2C"/>
    <w:rsid w:val="00642F1C"/>
    <w:rsid w:val="00642F7E"/>
    <w:rsid w:val="00643002"/>
    <w:rsid w:val="00643022"/>
    <w:rsid w:val="006432BD"/>
    <w:rsid w:val="0064348C"/>
    <w:rsid w:val="00643531"/>
    <w:rsid w:val="00643C7E"/>
    <w:rsid w:val="00644244"/>
    <w:rsid w:val="006443C0"/>
    <w:rsid w:val="0064459D"/>
    <w:rsid w:val="0064480C"/>
    <w:rsid w:val="00644A84"/>
    <w:rsid w:val="00645107"/>
    <w:rsid w:val="0064578E"/>
    <w:rsid w:val="00645841"/>
    <w:rsid w:val="0064588D"/>
    <w:rsid w:val="006458FD"/>
    <w:rsid w:val="00646085"/>
    <w:rsid w:val="006463B1"/>
    <w:rsid w:val="0064651D"/>
    <w:rsid w:val="006465A3"/>
    <w:rsid w:val="006465BD"/>
    <w:rsid w:val="006468B6"/>
    <w:rsid w:val="00646940"/>
    <w:rsid w:val="00646F26"/>
    <w:rsid w:val="0064740A"/>
    <w:rsid w:val="00647581"/>
    <w:rsid w:val="00647979"/>
    <w:rsid w:val="00647DEC"/>
    <w:rsid w:val="00647E62"/>
    <w:rsid w:val="00651DE6"/>
    <w:rsid w:val="006520A0"/>
    <w:rsid w:val="00652150"/>
    <w:rsid w:val="0065236D"/>
    <w:rsid w:val="0065267C"/>
    <w:rsid w:val="00652736"/>
    <w:rsid w:val="00652AFB"/>
    <w:rsid w:val="00652C26"/>
    <w:rsid w:val="006530DE"/>
    <w:rsid w:val="0065321D"/>
    <w:rsid w:val="00653556"/>
    <w:rsid w:val="0065374A"/>
    <w:rsid w:val="006537FD"/>
    <w:rsid w:val="00653D95"/>
    <w:rsid w:val="00653DD7"/>
    <w:rsid w:val="006545B8"/>
    <w:rsid w:val="0065465B"/>
    <w:rsid w:val="00654937"/>
    <w:rsid w:val="00655045"/>
    <w:rsid w:val="00655454"/>
    <w:rsid w:val="00655594"/>
    <w:rsid w:val="00655E6F"/>
    <w:rsid w:val="00655F8E"/>
    <w:rsid w:val="006561E2"/>
    <w:rsid w:val="0065624A"/>
    <w:rsid w:val="0065640C"/>
    <w:rsid w:val="00656595"/>
    <w:rsid w:val="006568B2"/>
    <w:rsid w:val="00657108"/>
    <w:rsid w:val="006574A4"/>
    <w:rsid w:val="006574F1"/>
    <w:rsid w:val="006575AB"/>
    <w:rsid w:val="00657D22"/>
    <w:rsid w:val="00657D23"/>
    <w:rsid w:val="00660044"/>
    <w:rsid w:val="0066041C"/>
    <w:rsid w:val="00660E45"/>
    <w:rsid w:val="00660EF2"/>
    <w:rsid w:val="0066102C"/>
    <w:rsid w:val="006615FB"/>
    <w:rsid w:val="0066165A"/>
    <w:rsid w:val="00661C6E"/>
    <w:rsid w:val="00661D33"/>
    <w:rsid w:val="006624EF"/>
    <w:rsid w:val="00662E54"/>
    <w:rsid w:val="006630EE"/>
    <w:rsid w:val="00663A3E"/>
    <w:rsid w:val="00663B53"/>
    <w:rsid w:val="00664632"/>
    <w:rsid w:val="006647A9"/>
    <w:rsid w:val="00664816"/>
    <w:rsid w:val="00664E43"/>
    <w:rsid w:val="00665639"/>
    <w:rsid w:val="006659EF"/>
    <w:rsid w:val="00665BC8"/>
    <w:rsid w:val="00665D26"/>
    <w:rsid w:val="00665D56"/>
    <w:rsid w:val="006668BE"/>
    <w:rsid w:val="00666B48"/>
    <w:rsid w:val="00666C24"/>
    <w:rsid w:val="00666CA6"/>
    <w:rsid w:val="00666FDA"/>
    <w:rsid w:val="0066770B"/>
    <w:rsid w:val="0066793A"/>
    <w:rsid w:val="0066793D"/>
    <w:rsid w:val="00667DCA"/>
    <w:rsid w:val="00667DCE"/>
    <w:rsid w:val="0067017C"/>
    <w:rsid w:val="0067051E"/>
    <w:rsid w:val="00670CAB"/>
    <w:rsid w:val="00670E0D"/>
    <w:rsid w:val="00670E55"/>
    <w:rsid w:val="00671100"/>
    <w:rsid w:val="006716B2"/>
    <w:rsid w:val="0067177B"/>
    <w:rsid w:val="006717B5"/>
    <w:rsid w:val="00671898"/>
    <w:rsid w:val="00671E24"/>
    <w:rsid w:val="006721A4"/>
    <w:rsid w:val="00672A63"/>
    <w:rsid w:val="00672B5A"/>
    <w:rsid w:val="00672B7B"/>
    <w:rsid w:val="00673676"/>
    <w:rsid w:val="00673C0D"/>
    <w:rsid w:val="00673DAF"/>
    <w:rsid w:val="00674430"/>
    <w:rsid w:val="006746C4"/>
    <w:rsid w:val="00674DD9"/>
    <w:rsid w:val="00675140"/>
    <w:rsid w:val="00675F1D"/>
    <w:rsid w:val="00675F39"/>
    <w:rsid w:val="00675F6D"/>
    <w:rsid w:val="006762AB"/>
    <w:rsid w:val="00676358"/>
    <w:rsid w:val="00676391"/>
    <w:rsid w:val="006763CC"/>
    <w:rsid w:val="0067660B"/>
    <w:rsid w:val="0067675D"/>
    <w:rsid w:val="00676C85"/>
    <w:rsid w:val="00676F45"/>
    <w:rsid w:val="00676F9B"/>
    <w:rsid w:val="006775CD"/>
    <w:rsid w:val="00677FAD"/>
    <w:rsid w:val="006805C2"/>
    <w:rsid w:val="00680BB9"/>
    <w:rsid w:val="00680D68"/>
    <w:rsid w:val="00680FAD"/>
    <w:rsid w:val="00681546"/>
    <w:rsid w:val="00681693"/>
    <w:rsid w:val="00681768"/>
    <w:rsid w:val="00681A25"/>
    <w:rsid w:val="00681E81"/>
    <w:rsid w:val="00682D46"/>
    <w:rsid w:val="006830A0"/>
    <w:rsid w:val="006830AB"/>
    <w:rsid w:val="006830BB"/>
    <w:rsid w:val="00683420"/>
    <w:rsid w:val="0068390A"/>
    <w:rsid w:val="00683D12"/>
    <w:rsid w:val="00684038"/>
    <w:rsid w:val="006842E2"/>
    <w:rsid w:val="006843E3"/>
    <w:rsid w:val="006844DD"/>
    <w:rsid w:val="006844EA"/>
    <w:rsid w:val="006845E9"/>
    <w:rsid w:val="00684FB1"/>
    <w:rsid w:val="00685090"/>
    <w:rsid w:val="006859E3"/>
    <w:rsid w:val="00685BA0"/>
    <w:rsid w:val="00686718"/>
    <w:rsid w:val="00686B59"/>
    <w:rsid w:val="00686DEF"/>
    <w:rsid w:val="00686F12"/>
    <w:rsid w:val="00687136"/>
    <w:rsid w:val="006875E3"/>
    <w:rsid w:val="00687880"/>
    <w:rsid w:val="0068795D"/>
    <w:rsid w:val="00687A15"/>
    <w:rsid w:val="00687DA2"/>
    <w:rsid w:val="00687DA4"/>
    <w:rsid w:val="006907CE"/>
    <w:rsid w:val="006908AF"/>
    <w:rsid w:val="00690A4B"/>
    <w:rsid w:val="00690EB8"/>
    <w:rsid w:val="00690FF0"/>
    <w:rsid w:val="00691042"/>
    <w:rsid w:val="006917E1"/>
    <w:rsid w:val="00691978"/>
    <w:rsid w:val="00691A28"/>
    <w:rsid w:val="00691EC2"/>
    <w:rsid w:val="00691F38"/>
    <w:rsid w:val="0069228A"/>
    <w:rsid w:val="00692456"/>
    <w:rsid w:val="00692AAC"/>
    <w:rsid w:val="00692B5D"/>
    <w:rsid w:val="00692FB6"/>
    <w:rsid w:val="0069324B"/>
    <w:rsid w:val="006938DD"/>
    <w:rsid w:val="00693A7A"/>
    <w:rsid w:val="00693AAF"/>
    <w:rsid w:val="00693D54"/>
    <w:rsid w:val="00694C3D"/>
    <w:rsid w:val="00694D97"/>
    <w:rsid w:val="00694E02"/>
    <w:rsid w:val="0069519B"/>
    <w:rsid w:val="006959DE"/>
    <w:rsid w:val="00695BB2"/>
    <w:rsid w:val="0069685E"/>
    <w:rsid w:val="00696910"/>
    <w:rsid w:val="00696B7C"/>
    <w:rsid w:val="00696C16"/>
    <w:rsid w:val="00696C43"/>
    <w:rsid w:val="0069713B"/>
    <w:rsid w:val="00697263"/>
    <w:rsid w:val="00697A2A"/>
    <w:rsid w:val="00697ABD"/>
    <w:rsid w:val="00697B76"/>
    <w:rsid w:val="00697BE0"/>
    <w:rsid w:val="00697D31"/>
    <w:rsid w:val="00697D61"/>
    <w:rsid w:val="00697F5D"/>
    <w:rsid w:val="006A06EC"/>
    <w:rsid w:val="006A0C3A"/>
    <w:rsid w:val="006A0D95"/>
    <w:rsid w:val="006A0E09"/>
    <w:rsid w:val="006A110E"/>
    <w:rsid w:val="006A1ABB"/>
    <w:rsid w:val="006A1D35"/>
    <w:rsid w:val="006A296A"/>
    <w:rsid w:val="006A2B97"/>
    <w:rsid w:val="006A2D5A"/>
    <w:rsid w:val="006A2D8B"/>
    <w:rsid w:val="006A2FDB"/>
    <w:rsid w:val="006A30BE"/>
    <w:rsid w:val="006A3340"/>
    <w:rsid w:val="006A33CF"/>
    <w:rsid w:val="006A3556"/>
    <w:rsid w:val="006A3632"/>
    <w:rsid w:val="006A392C"/>
    <w:rsid w:val="006A3C61"/>
    <w:rsid w:val="006A3D30"/>
    <w:rsid w:val="006A3E91"/>
    <w:rsid w:val="006A4003"/>
    <w:rsid w:val="006A40D5"/>
    <w:rsid w:val="006A445B"/>
    <w:rsid w:val="006A45A5"/>
    <w:rsid w:val="006A466A"/>
    <w:rsid w:val="006A46E5"/>
    <w:rsid w:val="006A499B"/>
    <w:rsid w:val="006A49C1"/>
    <w:rsid w:val="006A49EB"/>
    <w:rsid w:val="006A4F07"/>
    <w:rsid w:val="006A4F44"/>
    <w:rsid w:val="006A52DE"/>
    <w:rsid w:val="006A5C29"/>
    <w:rsid w:val="006A5E42"/>
    <w:rsid w:val="006A62D7"/>
    <w:rsid w:val="006A636B"/>
    <w:rsid w:val="006A6828"/>
    <w:rsid w:val="006A6B0C"/>
    <w:rsid w:val="006A6BBD"/>
    <w:rsid w:val="006A6C0E"/>
    <w:rsid w:val="006A6F45"/>
    <w:rsid w:val="006A6F66"/>
    <w:rsid w:val="006A7244"/>
    <w:rsid w:val="006A73BA"/>
    <w:rsid w:val="006A784A"/>
    <w:rsid w:val="006A7C8A"/>
    <w:rsid w:val="006A7DB9"/>
    <w:rsid w:val="006A7FB3"/>
    <w:rsid w:val="006B08E8"/>
    <w:rsid w:val="006B0EF6"/>
    <w:rsid w:val="006B1691"/>
    <w:rsid w:val="006B1D2D"/>
    <w:rsid w:val="006B1E69"/>
    <w:rsid w:val="006B2224"/>
    <w:rsid w:val="006B2240"/>
    <w:rsid w:val="006B2508"/>
    <w:rsid w:val="006B2BBC"/>
    <w:rsid w:val="006B2D07"/>
    <w:rsid w:val="006B3AB1"/>
    <w:rsid w:val="006B3C24"/>
    <w:rsid w:val="006B3DD7"/>
    <w:rsid w:val="006B3F64"/>
    <w:rsid w:val="006B4212"/>
    <w:rsid w:val="006B435D"/>
    <w:rsid w:val="006B4925"/>
    <w:rsid w:val="006B4B31"/>
    <w:rsid w:val="006B4CB0"/>
    <w:rsid w:val="006B4F66"/>
    <w:rsid w:val="006B5470"/>
    <w:rsid w:val="006B597D"/>
    <w:rsid w:val="006B5A80"/>
    <w:rsid w:val="006B5F7D"/>
    <w:rsid w:val="006B6091"/>
    <w:rsid w:val="006B64AD"/>
    <w:rsid w:val="006B6660"/>
    <w:rsid w:val="006B68E3"/>
    <w:rsid w:val="006B6ABB"/>
    <w:rsid w:val="006B6C5D"/>
    <w:rsid w:val="006B7609"/>
    <w:rsid w:val="006B775F"/>
    <w:rsid w:val="006B7B9D"/>
    <w:rsid w:val="006B7BE4"/>
    <w:rsid w:val="006B7DC3"/>
    <w:rsid w:val="006C017A"/>
    <w:rsid w:val="006C017B"/>
    <w:rsid w:val="006C0523"/>
    <w:rsid w:val="006C0701"/>
    <w:rsid w:val="006C094A"/>
    <w:rsid w:val="006C0C8D"/>
    <w:rsid w:val="006C0F72"/>
    <w:rsid w:val="006C105D"/>
    <w:rsid w:val="006C1283"/>
    <w:rsid w:val="006C144C"/>
    <w:rsid w:val="006C1554"/>
    <w:rsid w:val="006C16C9"/>
    <w:rsid w:val="006C17B6"/>
    <w:rsid w:val="006C1CBD"/>
    <w:rsid w:val="006C207C"/>
    <w:rsid w:val="006C20C8"/>
    <w:rsid w:val="006C23B0"/>
    <w:rsid w:val="006C265D"/>
    <w:rsid w:val="006C2953"/>
    <w:rsid w:val="006C2F03"/>
    <w:rsid w:val="006C3515"/>
    <w:rsid w:val="006C4688"/>
    <w:rsid w:val="006C46B4"/>
    <w:rsid w:val="006C48E1"/>
    <w:rsid w:val="006C492E"/>
    <w:rsid w:val="006C4C43"/>
    <w:rsid w:val="006C4C86"/>
    <w:rsid w:val="006C4D04"/>
    <w:rsid w:val="006C530F"/>
    <w:rsid w:val="006C54D1"/>
    <w:rsid w:val="006C56B5"/>
    <w:rsid w:val="006C5D6E"/>
    <w:rsid w:val="006C5E63"/>
    <w:rsid w:val="006C5F24"/>
    <w:rsid w:val="006C6449"/>
    <w:rsid w:val="006C675D"/>
    <w:rsid w:val="006C6E49"/>
    <w:rsid w:val="006C71A3"/>
    <w:rsid w:val="006C7E85"/>
    <w:rsid w:val="006D029D"/>
    <w:rsid w:val="006D0573"/>
    <w:rsid w:val="006D0C5B"/>
    <w:rsid w:val="006D0E2B"/>
    <w:rsid w:val="006D1121"/>
    <w:rsid w:val="006D16BC"/>
    <w:rsid w:val="006D184F"/>
    <w:rsid w:val="006D19B4"/>
    <w:rsid w:val="006D1A43"/>
    <w:rsid w:val="006D1BC9"/>
    <w:rsid w:val="006D237E"/>
    <w:rsid w:val="006D2E41"/>
    <w:rsid w:val="006D3082"/>
    <w:rsid w:val="006D351A"/>
    <w:rsid w:val="006D3675"/>
    <w:rsid w:val="006D376F"/>
    <w:rsid w:val="006D3C69"/>
    <w:rsid w:val="006D4E83"/>
    <w:rsid w:val="006D552B"/>
    <w:rsid w:val="006D55DA"/>
    <w:rsid w:val="006D56F4"/>
    <w:rsid w:val="006D5BBD"/>
    <w:rsid w:val="006D680E"/>
    <w:rsid w:val="006D6BD1"/>
    <w:rsid w:val="006D6C65"/>
    <w:rsid w:val="006D7BEB"/>
    <w:rsid w:val="006D7E27"/>
    <w:rsid w:val="006E04B1"/>
    <w:rsid w:val="006E0687"/>
    <w:rsid w:val="006E0AC2"/>
    <w:rsid w:val="006E13BB"/>
    <w:rsid w:val="006E13F5"/>
    <w:rsid w:val="006E1C5D"/>
    <w:rsid w:val="006E2489"/>
    <w:rsid w:val="006E25BB"/>
    <w:rsid w:val="006E2CC8"/>
    <w:rsid w:val="006E30A0"/>
    <w:rsid w:val="006E3219"/>
    <w:rsid w:val="006E32D4"/>
    <w:rsid w:val="006E34EB"/>
    <w:rsid w:val="006E36CB"/>
    <w:rsid w:val="006E375A"/>
    <w:rsid w:val="006E3B41"/>
    <w:rsid w:val="006E401D"/>
    <w:rsid w:val="006E409A"/>
    <w:rsid w:val="006E40B2"/>
    <w:rsid w:val="006E43A1"/>
    <w:rsid w:val="006E47B4"/>
    <w:rsid w:val="006E4A42"/>
    <w:rsid w:val="006E4B1B"/>
    <w:rsid w:val="006E4C01"/>
    <w:rsid w:val="006E50B5"/>
    <w:rsid w:val="006E535A"/>
    <w:rsid w:val="006E5753"/>
    <w:rsid w:val="006E5F01"/>
    <w:rsid w:val="006E6144"/>
    <w:rsid w:val="006E6B0E"/>
    <w:rsid w:val="006E76E8"/>
    <w:rsid w:val="006E7BE3"/>
    <w:rsid w:val="006F061E"/>
    <w:rsid w:val="006F0627"/>
    <w:rsid w:val="006F0AD1"/>
    <w:rsid w:val="006F0ED3"/>
    <w:rsid w:val="006F0F38"/>
    <w:rsid w:val="006F189A"/>
    <w:rsid w:val="006F1A66"/>
    <w:rsid w:val="006F1D20"/>
    <w:rsid w:val="006F1E6C"/>
    <w:rsid w:val="006F1F1A"/>
    <w:rsid w:val="006F2136"/>
    <w:rsid w:val="006F2168"/>
    <w:rsid w:val="006F21F8"/>
    <w:rsid w:val="006F25DF"/>
    <w:rsid w:val="006F2772"/>
    <w:rsid w:val="006F36A1"/>
    <w:rsid w:val="006F3AE9"/>
    <w:rsid w:val="006F3E45"/>
    <w:rsid w:val="006F4537"/>
    <w:rsid w:val="006F45E9"/>
    <w:rsid w:val="006F49AA"/>
    <w:rsid w:val="006F53BE"/>
    <w:rsid w:val="006F5C82"/>
    <w:rsid w:val="006F6140"/>
    <w:rsid w:val="006F61A2"/>
    <w:rsid w:val="006F61CD"/>
    <w:rsid w:val="006F6279"/>
    <w:rsid w:val="006F6754"/>
    <w:rsid w:val="006F67F6"/>
    <w:rsid w:val="006F6DAA"/>
    <w:rsid w:val="006F7592"/>
    <w:rsid w:val="006F75FF"/>
    <w:rsid w:val="006F7EF1"/>
    <w:rsid w:val="0070001C"/>
    <w:rsid w:val="00700C5D"/>
    <w:rsid w:val="00701085"/>
    <w:rsid w:val="00701434"/>
    <w:rsid w:val="00701C35"/>
    <w:rsid w:val="00701C6A"/>
    <w:rsid w:val="0070272D"/>
    <w:rsid w:val="00702AF9"/>
    <w:rsid w:val="007032F9"/>
    <w:rsid w:val="0070343A"/>
    <w:rsid w:val="00703B29"/>
    <w:rsid w:val="00703EDB"/>
    <w:rsid w:val="00703FBD"/>
    <w:rsid w:val="00704261"/>
    <w:rsid w:val="00704752"/>
    <w:rsid w:val="00704917"/>
    <w:rsid w:val="00704CE4"/>
    <w:rsid w:val="00704D6A"/>
    <w:rsid w:val="00704E70"/>
    <w:rsid w:val="007051DA"/>
    <w:rsid w:val="00705262"/>
    <w:rsid w:val="00705B42"/>
    <w:rsid w:val="00705BBF"/>
    <w:rsid w:val="00706008"/>
    <w:rsid w:val="0070619B"/>
    <w:rsid w:val="00706391"/>
    <w:rsid w:val="00706BAC"/>
    <w:rsid w:val="00706DAA"/>
    <w:rsid w:val="0070727F"/>
    <w:rsid w:val="0070741D"/>
    <w:rsid w:val="0070748C"/>
    <w:rsid w:val="00707686"/>
    <w:rsid w:val="0070772A"/>
    <w:rsid w:val="00707914"/>
    <w:rsid w:val="00707AFF"/>
    <w:rsid w:val="00707E1B"/>
    <w:rsid w:val="00707FC4"/>
    <w:rsid w:val="007101C4"/>
    <w:rsid w:val="007107ED"/>
    <w:rsid w:val="00710BBC"/>
    <w:rsid w:val="00710BFD"/>
    <w:rsid w:val="00711088"/>
    <w:rsid w:val="0071126B"/>
    <w:rsid w:val="00711815"/>
    <w:rsid w:val="00711847"/>
    <w:rsid w:val="007118C2"/>
    <w:rsid w:val="007118C6"/>
    <w:rsid w:val="00711C54"/>
    <w:rsid w:val="00711CB6"/>
    <w:rsid w:val="00712221"/>
    <w:rsid w:val="007129D6"/>
    <w:rsid w:val="00712D14"/>
    <w:rsid w:val="00712F11"/>
    <w:rsid w:val="00713044"/>
    <w:rsid w:val="00713809"/>
    <w:rsid w:val="007138BA"/>
    <w:rsid w:val="00713BAE"/>
    <w:rsid w:val="00713D23"/>
    <w:rsid w:val="00713D3C"/>
    <w:rsid w:val="00713D6C"/>
    <w:rsid w:val="00714297"/>
    <w:rsid w:val="007142B4"/>
    <w:rsid w:val="007147E0"/>
    <w:rsid w:val="00714D3D"/>
    <w:rsid w:val="00715400"/>
    <w:rsid w:val="0071577B"/>
    <w:rsid w:val="00715D2B"/>
    <w:rsid w:val="00716070"/>
    <w:rsid w:val="007160DA"/>
    <w:rsid w:val="007168E0"/>
    <w:rsid w:val="00716CE2"/>
    <w:rsid w:val="007170CA"/>
    <w:rsid w:val="0071743D"/>
    <w:rsid w:val="007179F3"/>
    <w:rsid w:val="00717A3E"/>
    <w:rsid w:val="00717DB1"/>
    <w:rsid w:val="00720435"/>
    <w:rsid w:val="0072046E"/>
    <w:rsid w:val="0072069B"/>
    <w:rsid w:val="00720C91"/>
    <w:rsid w:val="00720CA5"/>
    <w:rsid w:val="00720CD6"/>
    <w:rsid w:val="00720E08"/>
    <w:rsid w:val="00720EA9"/>
    <w:rsid w:val="007211D2"/>
    <w:rsid w:val="0072135B"/>
    <w:rsid w:val="007218B6"/>
    <w:rsid w:val="00721C0E"/>
    <w:rsid w:val="00721F44"/>
    <w:rsid w:val="007223AF"/>
    <w:rsid w:val="007223EB"/>
    <w:rsid w:val="00722B14"/>
    <w:rsid w:val="0072311C"/>
    <w:rsid w:val="007231A4"/>
    <w:rsid w:val="007242E6"/>
    <w:rsid w:val="00724722"/>
    <w:rsid w:val="007249C2"/>
    <w:rsid w:val="00724AF1"/>
    <w:rsid w:val="00724D45"/>
    <w:rsid w:val="00725309"/>
    <w:rsid w:val="00725705"/>
    <w:rsid w:val="007257D0"/>
    <w:rsid w:val="007259C7"/>
    <w:rsid w:val="007264D6"/>
    <w:rsid w:val="007265BF"/>
    <w:rsid w:val="00726664"/>
    <w:rsid w:val="0072669A"/>
    <w:rsid w:val="007269B2"/>
    <w:rsid w:val="00726C2E"/>
    <w:rsid w:val="00727295"/>
    <w:rsid w:val="0072787E"/>
    <w:rsid w:val="00727CFF"/>
    <w:rsid w:val="007306C6"/>
    <w:rsid w:val="00730907"/>
    <w:rsid w:val="00730AD6"/>
    <w:rsid w:val="007311CF"/>
    <w:rsid w:val="00731A26"/>
    <w:rsid w:val="00731B88"/>
    <w:rsid w:val="00731B9B"/>
    <w:rsid w:val="00731D9E"/>
    <w:rsid w:val="0073295B"/>
    <w:rsid w:val="00732FCB"/>
    <w:rsid w:val="0073302D"/>
    <w:rsid w:val="00733261"/>
    <w:rsid w:val="00733F3D"/>
    <w:rsid w:val="0073408F"/>
    <w:rsid w:val="00734C8B"/>
    <w:rsid w:val="0073531E"/>
    <w:rsid w:val="00735734"/>
    <w:rsid w:val="00735866"/>
    <w:rsid w:val="0073595B"/>
    <w:rsid w:val="00735DA6"/>
    <w:rsid w:val="007363B3"/>
    <w:rsid w:val="007368BC"/>
    <w:rsid w:val="00736FD6"/>
    <w:rsid w:val="00737010"/>
    <w:rsid w:val="007371C3"/>
    <w:rsid w:val="0073741A"/>
    <w:rsid w:val="007377D4"/>
    <w:rsid w:val="007379B2"/>
    <w:rsid w:val="00737AC0"/>
    <w:rsid w:val="00737FBF"/>
    <w:rsid w:val="00737FD3"/>
    <w:rsid w:val="007400FA"/>
    <w:rsid w:val="0074015C"/>
    <w:rsid w:val="0074053C"/>
    <w:rsid w:val="0074091B"/>
    <w:rsid w:val="00740990"/>
    <w:rsid w:val="00740EA9"/>
    <w:rsid w:val="007411B3"/>
    <w:rsid w:val="007415DC"/>
    <w:rsid w:val="00741E98"/>
    <w:rsid w:val="00742146"/>
    <w:rsid w:val="0074218B"/>
    <w:rsid w:val="00742F73"/>
    <w:rsid w:val="007430F3"/>
    <w:rsid w:val="007436A5"/>
    <w:rsid w:val="00743C89"/>
    <w:rsid w:val="007440F6"/>
    <w:rsid w:val="007444FE"/>
    <w:rsid w:val="007449D2"/>
    <w:rsid w:val="00744B02"/>
    <w:rsid w:val="00744C57"/>
    <w:rsid w:val="00744CF0"/>
    <w:rsid w:val="00745183"/>
    <w:rsid w:val="007454A2"/>
    <w:rsid w:val="00745C97"/>
    <w:rsid w:val="0074626C"/>
    <w:rsid w:val="007462EA"/>
    <w:rsid w:val="00746ECF"/>
    <w:rsid w:val="00747268"/>
    <w:rsid w:val="007474B5"/>
    <w:rsid w:val="00747B29"/>
    <w:rsid w:val="00747D2B"/>
    <w:rsid w:val="00747DB8"/>
    <w:rsid w:val="0075013F"/>
    <w:rsid w:val="0075082F"/>
    <w:rsid w:val="0075107B"/>
    <w:rsid w:val="007520CE"/>
    <w:rsid w:val="007521BA"/>
    <w:rsid w:val="00752978"/>
    <w:rsid w:val="00752D5C"/>
    <w:rsid w:val="00752E50"/>
    <w:rsid w:val="00753209"/>
    <w:rsid w:val="0075399C"/>
    <w:rsid w:val="00753D5C"/>
    <w:rsid w:val="007541D0"/>
    <w:rsid w:val="007542FC"/>
    <w:rsid w:val="00754C3C"/>
    <w:rsid w:val="00754D5E"/>
    <w:rsid w:val="00754DE9"/>
    <w:rsid w:val="0075536C"/>
    <w:rsid w:val="00755C3C"/>
    <w:rsid w:val="00755C5C"/>
    <w:rsid w:val="0075661F"/>
    <w:rsid w:val="00756904"/>
    <w:rsid w:val="00756C24"/>
    <w:rsid w:val="00756C7A"/>
    <w:rsid w:val="00757211"/>
    <w:rsid w:val="00757416"/>
    <w:rsid w:val="00757432"/>
    <w:rsid w:val="00757816"/>
    <w:rsid w:val="00757B75"/>
    <w:rsid w:val="00757FCA"/>
    <w:rsid w:val="0076010D"/>
    <w:rsid w:val="0076036C"/>
    <w:rsid w:val="007607AA"/>
    <w:rsid w:val="007608C3"/>
    <w:rsid w:val="00760C7C"/>
    <w:rsid w:val="00760D06"/>
    <w:rsid w:val="007615D3"/>
    <w:rsid w:val="00761776"/>
    <w:rsid w:val="0076192D"/>
    <w:rsid w:val="00761A57"/>
    <w:rsid w:val="00762032"/>
    <w:rsid w:val="007622BE"/>
    <w:rsid w:val="0076241E"/>
    <w:rsid w:val="007627EA"/>
    <w:rsid w:val="00762828"/>
    <w:rsid w:val="007629AC"/>
    <w:rsid w:val="00762BDE"/>
    <w:rsid w:val="007631ED"/>
    <w:rsid w:val="007637A3"/>
    <w:rsid w:val="00763BEB"/>
    <w:rsid w:val="00764F32"/>
    <w:rsid w:val="00764FAC"/>
    <w:rsid w:val="007651ED"/>
    <w:rsid w:val="007652FB"/>
    <w:rsid w:val="00765A99"/>
    <w:rsid w:val="00765C0D"/>
    <w:rsid w:val="00765C5E"/>
    <w:rsid w:val="00766090"/>
    <w:rsid w:val="007660E3"/>
    <w:rsid w:val="0076616A"/>
    <w:rsid w:val="0076617E"/>
    <w:rsid w:val="00766472"/>
    <w:rsid w:val="00766670"/>
    <w:rsid w:val="0076684B"/>
    <w:rsid w:val="00766B0C"/>
    <w:rsid w:val="00767499"/>
    <w:rsid w:val="00767FB9"/>
    <w:rsid w:val="0077023A"/>
    <w:rsid w:val="00770BBD"/>
    <w:rsid w:val="0077169E"/>
    <w:rsid w:val="00771876"/>
    <w:rsid w:val="00771FD9"/>
    <w:rsid w:val="0077204F"/>
    <w:rsid w:val="00772828"/>
    <w:rsid w:val="00772D50"/>
    <w:rsid w:val="00772E1C"/>
    <w:rsid w:val="00773064"/>
    <w:rsid w:val="0077371D"/>
    <w:rsid w:val="00775091"/>
    <w:rsid w:val="007750B9"/>
    <w:rsid w:val="0077514B"/>
    <w:rsid w:val="007754C3"/>
    <w:rsid w:val="00775733"/>
    <w:rsid w:val="007757F3"/>
    <w:rsid w:val="00775B60"/>
    <w:rsid w:val="00776411"/>
    <w:rsid w:val="007765B5"/>
    <w:rsid w:val="00776B15"/>
    <w:rsid w:val="0077709B"/>
    <w:rsid w:val="007771BB"/>
    <w:rsid w:val="00777845"/>
    <w:rsid w:val="00777C17"/>
    <w:rsid w:val="00780313"/>
    <w:rsid w:val="007806BD"/>
    <w:rsid w:val="007807B8"/>
    <w:rsid w:val="00780BC9"/>
    <w:rsid w:val="00780CA3"/>
    <w:rsid w:val="00780E75"/>
    <w:rsid w:val="007813C4"/>
    <w:rsid w:val="00781507"/>
    <w:rsid w:val="00782019"/>
    <w:rsid w:val="0078255D"/>
    <w:rsid w:val="007830FC"/>
    <w:rsid w:val="00783224"/>
    <w:rsid w:val="007832AC"/>
    <w:rsid w:val="007835F6"/>
    <w:rsid w:val="00783626"/>
    <w:rsid w:val="00783B80"/>
    <w:rsid w:val="00783ED3"/>
    <w:rsid w:val="0078461B"/>
    <w:rsid w:val="00784B8E"/>
    <w:rsid w:val="00785180"/>
    <w:rsid w:val="0078520E"/>
    <w:rsid w:val="00785428"/>
    <w:rsid w:val="00785606"/>
    <w:rsid w:val="00785846"/>
    <w:rsid w:val="007868FC"/>
    <w:rsid w:val="007869EC"/>
    <w:rsid w:val="00786BD4"/>
    <w:rsid w:val="00786E68"/>
    <w:rsid w:val="00786EF1"/>
    <w:rsid w:val="00787997"/>
    <w:rsid w:val="0079015E"/>
    <w:rsid w:val="0079035A"/>
    <w:rsid w:val="0079090F"/>
    <w:rsid w:val="00790B75"/>
    <w:rsid w:val="00790E58"/>
    <w:rsid w:val="0079165C"/>
    <w:rsid w:val="00791A68"/>
    <w:rsid w:val="0079209A"/>
    <w:rsid w:val="007923A8"/>
    <w:rsid w:val="007927D6"/>
    <w:rsid w:val="00792B82"/>
    <w:rsid w:val="00792C0E"/>
    <w:rsid w:val="00792E8D"/>
    <w:rsid w:val="007932C9"/>
    <w:rsid w:val="007933EF"/>
    <w:rsid w:val="007936FB"/>
    <w:rsid w:val="007937EA"/>
    <w:rsid w:val="00793CDE"/>
    <w:rsid w:val="007940E4"/>
    <w:rsid w:val="0079418B"/>
    <w:rsid w:val="0079428C"/>
    <w:rsid w:val="00794DCB"/>
    <w:rsid w:val="00794F31"/>
    <w:rsid w:val="00794FC8"/>
    <w:rsid w:val="0079527D"/>
    <w:rsid w:val="007953F6"/>
    <w:rsid w:val="007963F6"/>
    <w:rsid w:val="00796626"/>
    <w:rsid w:val="00796696"/>
    <w:rsid w:val="00796FE8"/>
    <w:rsid w:val="0079725B"/>
    <w:rsid w:val="00797899"/>
    <w:rsid w:val="00797B7E"/>
    <w:rsid w:val="00797C0E"/>
    <w:rsid w:val="007A024C"/>
    <w:rsid w:val="007A0404"/>
    <w:rsid w:val="007A06E0"/>
    <w:rsid w:val="007A0D89"/>
    <w:rsid w:val="007A2102"/>
    <w:rsid w:val="007A212D"/>
    <w:rsid w:val="007A31D9"/>
    <w:rsid w:val="007A3841"/>
    <w:rsid w:val="007A386A"/>
    <w:rsid w:val="007A388B"/>
    <w:rsid w:val="007A38EA"/>
    <w:rsid w:val="007A3C82"/>
    <w:rsid w:val="007A3DD6"/>
    <w:rsid w:val="007A3ED7"/>
    <w:rsid w:val="007A3F6E"/>
    <w:rsid w:val="007A4354"/>
    <w:rsid w:val="007A450A"/>
    <w:rsid w:val="007A4555"/>
    <w:rsid w:val="007A4779"/>
    <w:rsid w:val="007A4A5F"/>
    <w:rsid w:val="007A521C"/>
    <w:rsid w:val="007A5C33"/>
    <w:rsid w:val="007A5CCD"/>
    <w:rsid w:val="007A5E45"/>
    <w:rsid w:val="007A63C8"/>
    <w:rsid w:val="007A6808"/>
    <w:rsid w:val="007A70FE"/>
    <w:rsid w:val="007A7280"/>
    <w:rsid w:val="007A743A"/>
    <w:rsid w:val="007A7879"/>
    <w:rsid w:val="007A78E0"/>
    <w:rsid w:val="007A7C7F"/>
    <w:rsid w:val="007B0173"/>
    <w:rsid w:val="007B083B"/>
    <w:rsid w:val="007B0A21"/>
    <w:rsid w:val="007B0BF5"/>
    <w:rsid w:val="007B116D"/>
    <w:rsid w:val="007B18F7"/>
    <w:rsid w:val="007B1944"/>
    <w:rsid w:val="007B1AC9"/>
    <w:rsid w:val="007B1E97"/>
    <w:rsid w:val="007B231F"/>
    <w:rsid w:val="007B244E"/>
    <w:rsid w:val="007B29AA"/>
    <w:rsid w:val="007B36D3"/>
    <w:rsid w:val="007B3801"/>
    <w:rsid w:val="007B39D5"/>
    <w:rsid w:val="007B4164"/>
    <w:rsid w:val="007B4306"/>
    <w:rsid w:val="007B54DB"/>
    <w:rsid w:val="007B5652"/>
    <w:rsid w:val="007B65D0"/>
    <w:rsid w:val="007B6A2B"/>
    <w:rsid w:val="007B6CCB"/>
    <w:rsid w:val="007B7122"/>
    <w:rsid w:val="007B729C"/>
    <w:rsid w:val="007B75E1"/>
    <w:rsid w:val="007B76A5"/>
    <w:rsid w:val="007B77AF"/>
    <w:rsid w:val="007B78EC"/>
    <w:rsid w:val="007B7E06"/>
    <w:rsid w:val="007B7E7D"/>
    <w:rsid w:val="007B7FA2"/>
    <w:rsid w:val="007C049C"/>
    <w:rsid w:val="007C05FE"/>
    <w:rsid w:val="007C0808"/>
    <w:rsid w:val="007C0F3F"/>
    <w:rsid w:val="007C1081"/>
    <w:rsid w:val="007C12AB"/>
    <w:rsid w:val="007C174A"/>
    <w:rsid w:val="007C1A97"/>
    <w:rsid w:val="007C1F3C"/>
    <w:rsid w:val="007C215D"/>
    <w:rsid w:val="007C23BD"/>
    <w:rsid w:val="007C25B9"/>
    <w:rsid w:val="007C2608"/>
    <w:rsid w:val="007C2664"/>
    <w:rsid w:val="007C29B7"/>
    <w:rsid w:val="007C2B8C"/>
    <w:rsid w:val="007C3384"/>
    <w:rsid w:val="007C383C"/>
    <w:rsid w:val="007C3ABF"/>
    <w:rsid w:val="007C3B04"/>
    <w:rsid w:val="007C3C8A"/>
    <w:rsid w:val="007C3FFB"/>
    <w:rsid w:val="007C4A74"/>
    <w:rsid w:val="007C4B99"/>
    <w:rsid w:val="007C4C80"/>
    <w:rsid w:val="007C507A"/>
    <w:rsid w:val="007C5084"/>
    <w:rsid w:val="007C508F"/>
    <w:rsid w:val="007C5334"/>
    <w:rsid w:val="007C5CB3"/>
    <w:rsid w:val="007C5E60"/>
    <w:rsid w:val="007C5F6F"/>
    <w:rsid w:val="007C6396"/>
    <w:rsid w:val="007C649F"/>
    <w:rsid w:val="007C6633"/>
    <w:rsid w:val="007C6A4A"/>
    <w:rsid w:val="007C6C19"/>
    <w:rsid w:val="007C6C8F"/>
    <w:rsid w:val="007C740B"/>
    <w:rsid w:val="007C754F"/>
    <w:rsid w:val="007C798D"/>
    <w:rsid w:val="007C7D1D"/>
    <w:rsid w:val="007C7D41"/>
    <w:rsid w:val="007D0242"/>
    <w:rsid w:val="007D063A"/>
    <w:rsid w:val="007D0BCE"/>
    <w:rsid w:val="007D0CFA"/>
    <w:rsid w:val="007D0FB4"/>
    <w:rsid w:val="007D1348"/>
    <w:rsid w:val="007D143C"/>
    <w:rsid w:val="007D1D68"/>
    <w:rsid w:val="007D22F7"/>
    <w:rsid w:val="007D2338"/>
    <w:rsid w:val="007D2687"/>
    <w:rsid w:val="007D28B4"/>
    <w:rsid w:val="007D29D0"/>
    <w:rsid w:val="007D4319"/>
    <w:rsid w:val="007D48C5"/>
    <w:rsid w:val="007D4A56"/>
    <w:rsid w:val="007D4BE7"/>
    <w:rsid w:val="007D4D28"/>
    <w:rsid w:val="007D5367"/>
    <w:rsid w:val="007D5603"/>
    <w:rsid w:val="007D5701"/>
    <w:rsid w:val="007D5A48"/>
    <w:rsid w:val="007D5DB6"/>
    <w:rsid w:val="007D6358"/>
    <w:rsid w:val="007D639E"/>
    <w:rsid w:val="007D6509"/>
    <w:rsid w:val="007D65EC"/>
    <w:rsid w:val="007D6AC3"/>
    <w:rsid w:val="007D6C0B"/>
    <w:rsid w:val="007D70B6"/>
    <w:rsid w:val="007D727C"/>
    <w:rsid w:val="007D75C8"/>
    <w:rsid w:val="007E0940"/>
    <w:rsid w:val="007E15D9"/>
    <w:rsid w:val="007E192A"/>
    <w:rsid w:val="007E1A10"/>
    <w:rsid w:val="007E1DF9"/>
    <w:rsid w:val="007E1F83"/>
    <w:rsid w:val="007E2477"/>
    <w:rsid w:val="007E2E4F"/>
    <w:rsid w:val="007E338A"/>
    <w:rsid w:val="007E33B7"/>
    <w:rsid w:val="007E33C4"/>
    <w:rsid w:val="007E33CC"/>
    <w:rsid w:val="007E34EF"/>
    <w:rsid w:val="007E3E28"/>
    <w:rsid w:val="007E40F9"/>
    <w:rsid w:val="007E46BD"/>
    <w:rsid w:val="007E47D7"/>
    <w:rsid w:val="007E4D5F"/>
    <w:rsid w:val="007E4EAE"/>
    <w:rsid w:val="007E553E"/>
    <w:rsid w:val="007E57A2"/>
    <w:rsid w:val="007E685F"/>
    <w:rsid w:val="007E6A63"/>
    <w:rsid w:val="007E7124"/>
    <w:rsid w:val="007E741E"/>
    <w:rsid w:val="007E7894"/>
    <w:rsid w:val="007E7BAC"/>
    <w:rsid w:val="007E7ECC"/>
    <w:rsid w:val="007E7FEF"/>
    <w:rsid w:val="007F014B"/>
    <w:rsid w:val="007F0153"/>
    <w:rsid w:val="007F0EDD"/>
    <w:rsid w:val="007F0F99"/>
    <w:rsid w:val="007F17D3"/>
    <w:rsid w:val="007F17EF"/>
    <w:rsid w:val="007F184C"/>
    <w:rsid w:val="007F1B87"/>
    <w:rsid w:val="007F1DD7"/>
    <w:rsid w:val="007F21DC"/>
    <w:rsid w:val="007F2269"/>
    <w:rsid w:val="007F296C"/>
    <w:rsid w:val="007F2A6A"/>
    <w:rsid w:val="007F2D7B"/>
    <w:rsid w:val="007F30A2"/>
    <w:rsid w:val="007F32EA"/>
    <w:rsid w:val="007F36FB"/>
    <w:rsid w:val="007F3CF9"/>
    <w:rsid w:val="007F41C8"/>
    <w:rsid w:val="007F4677"/>
    <w:rsid w:val="007F479A"/>
    <w:rsid w:val="007F502A"/>
    <w:rsid w:val="007F51B8"/>
    <w:rsid w:val="007F53D7"/>
    <w:rsid w:val="007F5C2D"/>
    <w:rsid w:val="007F5DF1"/>
    <w:rsid w:val="007F61CB"/>
    <w:rsid w:val="007F6302"/>
    <w:rsid w:val="007F6384"/>
    <w:rsid w:val="007F6753"/>
    <w:rsid w:val="007F68E8"/>
    <w:rsid w:val="007F6C9A"/>
    <w:rsid w:val="007F720E"/>
    <w:rsid w:val="007F7222"/>
    <w:rsid w:val="007F73AF"/>
    <w:rsid w:val="007F76E9"/>
    <w:rsid w:val="007F7A67"/>
    <w:rsid w:val="007F7D26"/>
    <w:rsid w:val="0080004D"/>
    <w:rsid w:val="0080011F"/>
    <w:rsid w:val="00800235"/>
    <w:rsid w:val="00800B0C"/>
    <w:rsid w:val="00800B15"/>
    <w:rsid w:val="00800C8B"/>
    <w:rsid w:val="008010FC"/>
    <w:rsid w:val="00801136"/>
    <w:rsid w:val="008012AC"/>
    <w:rsid w:val="00801892"/>
    <w:rsid w:val="00801DBE"/>
    <w:rsid w:val="008026DE"/>
    <w:rsid w:val="008029FA"/>
    <w:rsid w:val="00802B2F"/>
    <w:rsid w:val="008035D3"/>
    <w:rsid w:val="00803B8F"/>
    <w:rsid w:val="0080427E"/>
    <w:rsid w:val="008046B9"/>
    <w:rsid w:val="008046EB"/>
    <w:rsid w:val="0080497B"/>
    <w:rsid w:val="00804CD0"/>
    <w:rsid w:val="00804DBE"/>
    <w:rsid w:val="00805659"/>
    <w:rsid w:val="00805748"/>
    <w:rsid w:val="0080588E"/>
    <w:rsid w:val="00805D94"/>
    <w:rsid w:val="00806329"/>
    <w:rsid w:val="0080651C"/>
    <w:rsid w:val="00806A28"/>
    <w:rsid w:val="00806B9B"/>
    <w:rsid w:val="00807334"/>
    <w:rsid w:val="00807368"/>
    <w:rsid w:val="00807383"/>
    <w:rsid w:val="0080753C"/>
    <w:rsid w:val="00807846"/>
    <w:rsid w:val="008079EA"/>
    <w:rsid w:val="00807A66"/>
    <w:rsid w:val="00807B9F"/>
    <w:rsid w:val="008105CF"/>
    <w:rsid w:val="008106C5"/>
    <w:rsid w:val="00810A38"/>
    <w:rsid w:val="00810B9D"/>
    <w:rsid w:val="00811731"/>
    <w:rsid w:val="00811ABE"/>
    <w:rsid w:val="00811DA8"/>
    <w:rsid w:val="00811FA5"/>
    <w:rsid w:val="00812112"/>
    <w:rsid w:val="00812344"/>
    <w:rsid w:val="008125F4"/>
    <w:rsid w:val="00813255"/>
    <w:rsid w:val="0081330C"/>
    <w:rsid w:val="00813942"/>
    <w:rsid w:val="00813AE8"/>
    <w:rsid w:val="00813FFA"/>
    <w:rsid w:val="00814116"/>
    <w:rsid w:val="00814D63"/>
    <w:rsid w:val="00815CC1"/>
    <w:rsid w:val="00815E91"/>
    <w:rsid w:val="00816252"/>
    <w:rsid w:val="00816605"/>
    <w:rsid w:val="00816725"/>
    <w:rsid w:val="008167EB"/>
    <w:rsid w:val="00816B50"/>
    <w:rsid w:val="0081715A"/>
    <w:rsid w:val="008173B6"/>
    <w:rsid w:val="00817552"/>
    <w:rsid w:val="00817930"/>
    <w:rsid w:val="00817B55"/>
    <w:rsid w:val="00817D47"/>
    <w:rsid w:val="00817DD6"/>
    <w:rsid w:val="008201BF"/>
    <w:rsid w:val="0082027D"/>
    <w:rsid w:val="0082030C"/>
    <w:rsid w:val="008208B2"/>
    <w:rsid w:val="00820DF8"/>
    <w:rsid w:val="00820EBC"/>
    <w:rsid w:val="008218A7"/>
    <w:rsid w:val="00821B13"/>
    <w:rsid w:val="00821D24"/>
    <w:rsid w:val="00821DDB"/>
    <w:rsid w:val="00821EF1"/>
    <w:rsid w:val="00822436"/>
    <w:rsid w:val="00822486"/>
    <w:rsid w:val="00822DF4"/>
    <w:rsid w:val="00822ED9"/>
    <w:rsid w:val="0082383D"/>
    <w:rsid w:val="0082388F"/>
    <w:rsid w:val="00823C39"/>
    <w:rsid w:val="00824453"/>
    <w:rsid w:val="008245A3"/>
    <w:rsid w:val="008245E3"/>
    <w:rsid w:val="00824A7C"/>
    <w:rsid w:val="00824E93"/>
    <w:rsid w:val="00825227"/>
    <w:rsid w:val="00825FDA"/>
    <w:rsid w:val="008261A5"/>
    <w:rsid w:val="008261FD"/>
    <w:rsid w:val="008263B0"/>
    <w:rsid w:val="00826440"/>
    <w:rsid w:val="00826CC3"/>
    <w:rsid w:val="00826CDD"/>
    <w:rsid w:val="0082736B"/>
    <w:rsid w:val="0082754F"/>
    <w:rsid w:val="00827C73"/>
    <w:rsid w:val="00827CDE"/>
    <w:rsid w:val="00827EF1"/>
    <w:rsid w:val="00827F23"/>
    <w:rsid w:val="008300F2"/>
    <w:rsid w:val="0083012A"/>
    <w:rsid w:val="00830213"/>
    <w:rsid w:val="00830554"/>
    <w:rsid w:val="00830A19"/>
    <w:rsid w:val="00831050"/>
    <w:rsid w:val="008311D2"/>
    <w:rsid w:val="008316A0"/>
    <w:rsid w:val="00831849"/>
    <w:rsid w:val="00831AA9"/>
    <w:rsid w:val="00831B9A"/>
    <w:rsid w:val="00831D8A"/>
    <w:rsid w:val="00831DA4"/>
    <w:rsid w:val="00832243"/>
    <w:rsid w:val="008323E4"/>
    <w:rsid w:val="00832819"/>
    <w:rsid w:val="00832A08"/>
    <w:rsid w:val="00833388"/>
    <w:rsid w:val="00833432"/>
    <w:rsid w:val="00833482"/>
    <w:rsid w:val="008335BC"/>
    <w:rsid w:val="00833B83"/>
    <w:rsid w:val="00833C7F"/>
    <w:rsid w:val="00834641"/>
    <w:rsid w:val="0083489D"/>
    <w:rsid w:val="008353BB"/>
    <w:rsid w:val="008355EC"/>
    <w:rsid w:val="008356DD"/>
    <w:rsid w:val="00835926"/>
    <w:rsid w:val="00835D3F"/>
    <w:rsid w:val="00835DDA"/>
    <w:rsid w:val="00836229"/>
    <w:rsid w:val="00837586"/>
    <w:rsid w:val="00837790"/>
    <w:rsid w:val="00840099"/>
    <w:rsid w:val="0084033C"/>
    <w:rsid w:val="00840507"/>
    <w:rsid w:val="0084067C"/>
    <w:rsid w:val="00840A57"/>
    <w:rsid w:val="00840C4A"/>
    <w:rsid w:val="00840F28"/>
    <w:rsid w:val="00841316"/>
    <w:rsid w:val="008416AD"/>
    <w:rsid w:val="00842050"/>
    <w:rsid w:val="008426F1"/>
    <w:rsid w:val="00842AFF"/>
    <w:rsid w:val="00842B3F"/>
    <w:rsid w:val="00842F00"/>
    <w:rsid w:val="00843009"/>
    <w:rsid w:val="008430E0"/>
    <w:rsid w:val="00843231"/>
    <w:rsid w:val="008433AB"/>
    <w:rsid w:val="0084376A"/>
    <w:rsid w:val="0084430C"/>
    <w:rsid w:val="0084447B"/>
    <w:rsid w:val="008444AF"/>
    <w:rsid w:val="00844AA9"/>
    <w:rsid w:val="00844AC3"/>
    <w:rsid w:val="00844D4D"/>
    <w:rsid w:val="00845C90"/>
    <w:rsid w:val="00846318"/>
    <w:rsid w:val="008468A2"/>
    <w:rsid w:val="00846D07"/>
    <w:rsid w:val="008470F8"/>
    <w:rsid w:val="0084731A"/>
    <w:rsid w:val="0084747D"/>
    <w:rsid w:val="008475B1"/>
    <w:rsid w:val="008476B0"/>
    <w:rsid w:val="008478FF"/>
    <w:rsid w:val="00847C9C"/>
    <w:rsid w:val="008501CC"/>
    <w:rsid w:val="0085025D"/>
    <w:rsid w:val="008505A0"/>
    <w:rsid w:val="00850D03"/>
    <w:rsid w:val="00850F6A"/>
    <w:rsid w:val="00851314"/>
    <w:rsid w:val="00851537"/>
    <w:rsid w:val="00851B1D"/>
    <w:rsid w:val="0085216E"/>
    <w:rsid w:val="00852C1D"/>
    <w:rsid w:val="00852D85"/>
    <w:rsid w:val="00852DB0"/>
    <w:rsid w:val="00852E43"/>
    <w:rsid w:val="00853091"/>
    <w:rsid w:val="008531CD"/>
    <w:rsid w:val="00853640"/>
    <w:rsid w:val="008538C7"/>
    <w:rsid w:val="0085398A"/>
    <w:rsid w:val="0085401E"/>
    <w:rsid w:val="008540B5"/>
    <w:rsid w:val="00854614"/>
    <w:rsid w:val="0085471E"/>
    <w:rsid w:val="00854CC7"/>
    <w:rsid w:val="0085502E"/>
    <w:rsid w:val="008552FE"/>
    <w:rsid w:val="00855689"/>
    <w:rsid w:val="00855847"/>
    <w:rsid w:val="00855B64"/>
    <w:rsid w:val="00856107"/>
    <w:rsid w:val="00856683"/>
    <w:rsid w:val="00856E98"/>
    <w:rsid w:val="008572B1"/>
    <w:rsid w:val="0085733C"/>
    <w:rsid w:val="0085748F"/>
    <w:rsid w:val="00857847"/>
    <w:rsid w:val="008579CD"/>
    <w:rsid w:val="00857A2D"/>
    <w:rsid w:val="00857CFF"/>
    <w:rsid w:val="00857E05"/>
    <w:rsid w:val="00860052"/>
    <w:rsid w:val="0086047F"/>
    <w:rsid w:val="008604AC"/>
    <w:rsid w:val="0086053B"/>
    <w:rsid w:val="00860571"/>
    <w:rsid w:val="00860AB6"/>
    <w:rsid w:val="0086143F"/>
    <w:rsid w:val="0086171B"/>
    <w:rsid w:val="00861826"/>
    <w:rsid w:val="00862607"/>
    <w:rsid w:val="008626FF"/>
    <w:rsid w:val="00863304"/>
    <w:rsid w:val="00863EF7"/>
    <w:rsid w:val="00863F37"/>
    <w:rsid w:val="00864A5B"/>
    <w:rsid w:val="00865BA2"/>
    <w:rsid w:val="0086636D"/>
    <w:rsid w:val="00866E56"/>
    <w:rsid w:val="00867BC7"/>
    <w:rsid w:val="00867CCE"/>
    <w:rsid w:val="00867E8C"/>
    <w:rsid w:val="0087039E"/>
    <w:rsid w:val="008703EA"/>
    <w:rsid w:val="008705C0"/>
    <w:rsid w:val="00870BA0"/>
    <w:rsid w:val="00870BE4"/>
    <w:rsid w:val="00870D19"/>
    <w:rsid w:val="008716ED"/>
    <w:rsid w:val="0087170E"/>
    <w:rsid w:val="00871A6F"/>
    <w:rsid w:val="00871AC6"/>
    <w:rsid w:val="00871BFC"/>
    <w:rsid w:val="00871C7A"/>
    <w:rsid w:val="008730D4"/>
    <w:rsid w:val="00873275"/>
    <w:rsid w:val="0087343E"/>
    <w:rsid w:val="008739B4"/>
    <w:rsid w:val="00873BF5"/>
    <w:rsid w:val="00873C64"/>
    <w:rsid w:val="00873EB9"/>
    <w:rsid w:val="00873F0A"/>
    <w:rsid w:val="00874287"/>
    <w:rsid w:val="00874987"/>
    <w:rsid w:val="00875D2E"/>
    <w:rsid w:val="00875F07"/>
    <w:rsid w:val="008767C3"/>
    <w:rsid w:val="00876A1C"/>
    <w:rsid w:val="0087705F"/>
    <w:rsid w:val="008773FD"/>
    <w:rsid w:val="0087748A"/>
    <w:rsid w:val="0087764B"/>
    <w:rsid w:val="00877E6D"/>
    <w:rsid w:val="00877F45"/>
    <w:rsid w:val="00880A75"/>
    <w:rsid w:val="00880E3C"/>
    <w:rsid w:val="00880FA8"/>
    <w:rsid w:val="008813D6"/>
    <w:rsid w:val="00881A43"/>
    <w:rsid w:val="00881D4F"/>
    <w:rsid w:val="008821D9"/>
    <w:rsid w:val="008824B1"/>
    <w:rsid w:val="0088251B"/>
    <w:rsid w:val="008825EC"/>
    <w:rsid w:val="00882839"/>
    <w:rsid w:val="00882B72"/>
    <w:rsid w:val="00882D0D"/>
    <w:rsid w:val="00882F2F"/>
    <w:rsid w:val="00883676"/>
    <w:rsid w:val="00883A72"/>
    <w:rsid w:val="00883F8B"/>
    <w:rsid w:val="0088434E"/>
    <w:rsid w:val="008843D6"/>
    <w:rsid w:val="008844E8"/>
    <w:rsid w:val="0088479E"/>
    <w:rsid w:val="008847A9"/>
    <w:rsid w:val="0088485A"/>
    <w:rsid w:val="00884A13"/>
    <w:rsid w:val="00885103"/>
    <w:rsid w:val="00885204"/>
    <w:rsid w:val="00885B2F"/>
    <w:rsid w:val="008860CE"/>
    <w:rsid w:val="008863CD"/>
    <w:rsid w:val="008864E2"/>
    <w:rsid w:val="00886E22"/>
    <w:rsid w:val="00887319"/>
    <w:rsid w:val="0088734C"/>
    <w:rsid w:val="00887DBE"/>
    <w:rsid w:val="00887DC2"/>
    <w:rsid w:val="00887F8C"/>
    <w:rsid w:val="00887FFC"/>
    <w:rsid w:val="008910E0"/>
    <w:rsid w:val="008911E3"/>
    <w:rsid w:val="0089173B"/>
    <w:rsid w:val="00891D1A"/>
    <w:rsid w:val="00891E96"/>
    <w:rsid w:val="00892504"/>
    <w:rsid w:val="008925B3"/>
    <w:rsid w:val="0089280B"/>
    <w:rsid w:val="00892CD7"/>
    <w:rsid w:val="00893040"/>
    <w:rsid w:val="008933EA"/>
    <w:rsid w:val="00893498"/>
    <w:rsid w:val="008935ED"/>
    <w:rsid w:val="0089405C"/>
    <w:rsid w:val="008944A0"/>
    <w:rsid w:val="00894769"/>
    <w:rsid w:val="00894BF7"/>
    <w:rsid w:val="00894D6F"/>
    <w:rsid w:val="00895210"/>
    <w:rsid w:val="008952A1"/>
    <w:rsid w:val="008958E0"/>
    <w:rsid w:val="00895A81"/>
    <w:rsid w:val="00895C46"/>
    <w:rsid w:val="00895DB3"/>
    <w:rsid w:val="008964B8"/>
    <w:rsid w:val="008968C5"/>
    <w:rsid w:val="0089696F"/>
    <w:rsid w:val="008969F5"/>
    <w:rsid w:val="00896BAB"/>
    <w:rsid w:val="00897009"/>
    <w:rsid w:val="008A0373"/>
    <w:rsid w:val="008A046A"/>
    <w:rsid w:val="008A05A0"/>
    <w:rsid w:val="008A08BB"/>
    <w:rsid w:val="008A0926"/>
    <w:rsid w:val="008A129A"/>
    <w:rsid w:val="008A1426"/>
    <w:rsid w:val="008A154B"/>
    <w:rsid w:val="008A198F"/>
    <w:rsid w:val="008A28D7"/>
    <w:rsid w:val="008A2F1D"/>
    <w:rsid w:val="008A3868"/>
    <w:rsid w:val="008A41C4"/>
    <w:rsid w:val="008A426D"/>
    <w:rsid w:val="008A429D"/>
    <w:rsid w:val="008A42FF"/>
    <w:rsid w:val="008A43F1"/>
    <w:rsid w:val="008A4419"/>
    <w:rsid w:val="008A478C"/>
    <w:rsid w:val="008A4835"/>
    <w:rsid w:val="008A4ABB"/>
    <w:rsid w:val="008A4F06"/>
    <w:rsid w:val="008A519E"/>
    <w:rsid w:val="008A5918"/>
    <w:rsid w:val="008A59C6"/>
    <w:rsid w:val="008A5BB8"/>
    <w:rsid w:val="008A5CCA"/>
    <w:rsid w:val="008A5EF8"/>
    <w:rsid w:val="008A5F2E"/>
    <w:rsid w:val="008A695E"/>
    <w:rsid w:val="008A70D6"/>
    <w:rsid w:val="008A71DB"/>
    <w:rsid w:val="008A733C"/>
    <w:rsid w:val="008B0432"/>
    <w:rsid w:val="008B0605"/>
    <w:rsid w:val="008B1487"/>
    <w:rsid w:val="008B1B4D"/>
    <w:rsid w:val="008B255F"/>
    <w:rsid w:val="008B2891"/>
    <w:rsid w:val="008B315F"/>
    <w:rsid w:val="008B4132"/>
    <w:rsid w:val="008B430D"/>
    <w:rsid w:val="008B45D1"/>
    <w:rsid w:val="008B4726"/>
    <w:rsid w:val="008B4845"/>
    <w:rsid w:val="008B49F7"/>
    <w:rsid w:val="008B4E3E"/>
    <w:rsid w:val="008B5D57"/>
    <w:rsid w:val="008B6322"/>
    <w:rsid w:val="008B635A"/>
    <w:rsid w:val="008B677B"/>
    <w:rsid w:val="008B6BE4"/>
    <w:rsid w:val="008B6D6B"/>
    <w:rsid w:val="008B6DAC"/>
    <w:rsid w:val="008B70D5"/>
    <w:rsid w:val="008B70EC"/>
    <w:rsid w:val="008B72F5"/>
    <w:rsid w:val="008B7515"/>
    <w:rsid w:val="008B7D38"/>
    <w:rsid w:val="008B7FFB"/>
    <w:rsid w:val="008C024C"/>
    <w:rsid w:val="008C02C7"/>
    <w:rsid w:val="008C0404"/>
    <w:rsid w:val="008C08FC"/>
    <w:rsid w:val="008C0E45"/>
    <w:rsid w:val="008C147C"/>
    <w:rsid w:val="008C171D"/>
    <w:rsid w:val="008C189F"/>
    <w:rsid w:val="008C1CD9"/>
    <w:rsid w:val="008C23B1"/>
    <w:rsid w:val="008C27A6"/>
    <w:rsid w:val="008C2C1E"/>
    <w:rsid w:val="008C348B"/>
    <w:rsid w:val="008C3F28"/>
    <w:rsid w:val="008C46A0"/>
    <w:rsid w:val="008C4A96"/>
    <w:rsid w:val="008C4B1E"/>
    <w:rsid w:val="008C5078"/>
    <w:rsid w:val="008C50F7"/>
    <w:rsid w:val="008C5478"/>
    <w:rsid w:val="008C54FE"/>
    <w:rsid w:val="008C5667"/>
    <w:rsid w:val="008C585C"/>
    <w:rsid w:val="008C6120"/>
    <w:rsid w:val="008C62F5"/>
    <w:rsid w:val="008C687A"/>
    <w:rsid w:val="008C6F7C"/>
    <w:rsid w:val="008C742F"/>
    <w:rsid w:val="008C77C9"/>
    <w:rsid w:val="008C77D9"/>
    <w:rsid w:val="008C7F57"/>
    <w:rsid w:val="008D01F1"/>
    <w:rsid w:val="008D0507"/>
    <w:rsid w:val="008D092F"/>
    <w:rsid w:val="008D0A38"/>
    <w:rsid w:val="008D1166"/>
    <w:rsid w:val="008D142C"/>
    <w:rsid w:val="008D17DB"/>
    <w:rsid w:val="008D1915"/>
    <w:rsid w:val="008D19EF"/>
    <w:rsid w:val="008D1D00"/>
    <w:rsid w:val="008D2178"/>
    <w:rsid w:val="008D2412"/>
    <w:rsid w:val="008D28BD"/>
    <w:rsid w:val="008D31F8"/>
    <w:rsid w:val="008D3601"/>
    <w:rsid w:val="008D3697"/>
    <w:rsid w:val="008D3CB9"/>
    <w:rsid w:val="008D3D8C"/>
    <w:rsid w:val="008D3F02"/>
    <w:rsid w:val="008D4273"/>
    <w:rsid w:val="008D43B5"/>
    <w:rsid w:val="008D49B5"/>
    <w:rsid w:val="008D5BBA"/>
    <w:rsid w:val="008D6220"/>
    <w:rsid w:val="008D64DB"/>
    <w:rsid w:val="008D6CEC"/>
    <w:rsid w:val="008D6E00"/>
    <w:rsid w:val="008D6EF3"/>
    <w:rsid w:val="008D74B2"/>
    <w:rsid w:val="008D74B5"/>
    <w:rsid w:val="008D7BA8"/>
    <w:rsid w:val="008D7C83"/>
    <w:rsid w:val="008E04B7"/>
    <w:rsid w:val="008E08E7"/>
    <w:rsid w:val="008E0ADD"/>
    <w:rsid w:val="008E0EEF"/>
    <w:rsid w:val="008E114F"/>
    <w:rsid w:val="008E13E5"/>
    <w:rsid w:val="008E158B"/>
    <w:rsid w:val="008E16BD"/>
    <w:rsid w:val="008E1EFA"/>
    <w:rsid w:val="008E2291"/>
    <w:rsid w:val="008E2365"/>
    <w:rsid w:val="008E276D"/>
    <w:rsid w:val="008E2806"/>
    <w:rsid w:val="008E2E54"/>
    <w:rsid w:val="008E2E85"/>
    <w:rsid w:val="008E329D"/>
    <w:rsid w:val="008E35DF"/>
    <w:rsid w:val="008E3830"/>
    <w:rsid w:val="008E3A54"/>
    <w:rsid w:val="008E4183"/>
    <w:rsid w:val="008E418C"/>
    <w:rsid w:val="008E437C"/>
    <w:rsid w:val="008E465F"/>
    <w:rsid w:val="008E487A"/>
    <w:rsid w:val="008E4F34"/>
    <w:rsid w:val="008E50B1"/>
    <w:rsid w:val="008E5653"/>
    <w:rsid w:val="008E56A5"/>
    <w:rsid w:val="008E57CA"/>
    <w:rsid w:val="008E57E7"/>
    <w:rsid w:val="008E5868"/>
    <w:rsid w:val="008E5AE7"/>
    <w:rsid w:val="008E5C2F"/>
    <w:rsid w:val="008E5C61"/>
    <w:rsid w:val="008E62EE"/>
    <w:rsid w:val="008E654E"/>
    <w:rsid w:val="008E6E7B"/>
    <w:rsid w:val="008E7603"/>
    <w:rsid w:val="008E789E"/>
    <w:rsid w:val="008E7BE7"/>
    <w:rsid w:val="008E7DC3"/>
    <w:rsid w:val="008F06A9"/>
    <w:rsid w:val="008F076A"/>
    <w:rsid w:val="008F0EC4"/>
    <w:rsid w:val="008F1379"/>
    <w:rsid w:val="008F153B"/>
    <w:rsid w:val="008F1734"/>
    <w:rsid w:val="008F1D01"/>
    <w:rsid w:val="008F1E0E"/>
    <w:rsid w:val="008F2224"/>
    <w:rsid w:val="008F2355"/>
    <w:rsid w:val="008F265A"/>
    <w:rsid w:val="008F2778"/>
    <w:rsid w:val="008F2BEC"/>
    <w:rsid w:val="008F2D79"/>
    <w:rsid w:val="008F2EFD"/>
    <w:rsid w:val="008F2F27"/>
    <w:rsid w:val="008F2FA9"/>
    <w:rsid w:val="008F351D"/>
    <w:rsid w:val="008F3665"/>
    <w:rsid w:val="008F377F"/>
    <w:rsid w:val="008F3882"/>
    <w:rsid w:val="008F457F"/>
    <w:rsid w:val="008F4853"/>
    <w:rsid w:val="008F4AFC"/>
    <w:rsid w:val="008F4E2C"/>
    <w:rsid w:val="008F4F22"/>
    <w:rsid w:val="008F4F4B"/>
    <w:rsid w:val="008F514B"/>
    <w:rsid w:val="008F575C"/>
    <w:rsid w:val="008F5BC3"/>
    <w:rsid w:val="008F5E75"/>
    <w:rsid w:val="008F5FCE"/>
    <w:rsid w:val="008F624A"/>
    <w:rsid w:val="008F6611"/>
    <w:rsid w:val="008F6987"/>
    <w:rsid w:val="008F6ECE"/>
    <w:rsid w:val="008F7331"/>
    <w:rsid w:val="008F76C4"/>
    <w:rsid w:val="008F796D"/>
    <w:rsid w:val="008F7D8B"/>
    <w:rsid w:val="0090020B"/>
    <w:rsid w:val="00900467"/>
    <w:rsid w:val="00900809"/>
    <w:rsid w:val="00900CC4"/>
    <w:rsid w:val="009014BE"/>
    <w:rsid w:val="0090152F"/>
    <w:rsid w:val="00901631"/>
    <w:rsid w:val="0090169A"/>
    <w:rsid w:val="00901BC2"/>
    <w:rsid w:val="009025FC"/>
    <w:rsid w:val="00902727"/>
    <w:rsid w:val="00902825"/>
    <w:rsid w:val="00902FB0"/>
    <w:rsid w:val="00904000"/>
    <w:rsid w:val="00904051"/>
    <w:rsid w:val="0090461C"/>
    <w:rsid w:val="00904B46"/>
    <w:rsid w:val="009051FA"/>
    <w:rsid w:val="009055BE"/>
    <w:rsid w:val="00905A9B"/>
    <w:rsid w:val="00906FE6"/>
    <w:rsid w:val="00907240"/>
    <w:rsid w:val="0090798E"/>
    <w:rsid w:val="00907D11"/>
    <w:rsid w:val="00907E9A"/>
    <w:rsid w:val="0091038E"/>
    <w:rsid w:val="009104AD"/>
    <w:rsid w:val="0091053D"/>
    <w:rsid w:val="00910576"/>
    <w:rsid w:val="00910671"/>
    <w:rsid w:val="00911050"/>
    <w:rsid w:val="009110CE"/>
    <w:rsid w:val="0091111F"/>
    <w:rsid w:val="009115B6"/>
    <w:rsid w:val="00912120"/>
    <w:rsid w:val="009121DB"/>
    <w:rsid w:val="00912384"/>
    <w:rsid w:val="0091275F"/>
    <w:rsid w:val="00912BC2"/>
    <w:rsid w:val="00912BC6"/>
    <w:rsid w:val="00912F09"/>
    <w:rsid w:val="00913461"/>
    <w:rsid w:val="0091359C"/>
    <w:rsid w:val="009137D8"/>
    <w:rsid w:val="00913E2C"/>
    <w:rsid w:val="0091436F"/>
    <w:rsid w:val="00914559"/>
    <w:rsid w:val="009149F7"/>
    <w:rsid w:val="00914FD1"/>
    <w:rsid w:val="009156D8"/>
    <w:rsid w:val="00915906"/>
    <w:rsid w:val="00915B84"/>
    <w:rsid w:val="00915D2C"/>
    <w:rsid w:val="00915D7D"/>
    <w:rsid w:val="00915F10"/>
    <w:rsid w:val="00915FF0"/>
    <w:rsid w:val="00916679"/>
    <w:rsid w:val="00916783"/>
    <w:rsid w:val="00917068"/>
    <w:rsid w:val="009172D7"/>
    <w:rsid w:val="009179F8"/>
    <w:rsid w:val="00917D57"/>
    <w:rsid w:val="00917E19"/>
    <w:rsid w:val="00920006"/>
    <w:rsid w:val="009203FC"/>
    <w:rsid w:val="00920BFD"/>
    <w:rsid w:val="009213E9"/>
    <w:rsid w:val="009220C6"/>
    <w:rsid w:val="00922457"/>
    <w:rsid w:val="009227F1"/>
    <w:rsid w:val="00923DAB"/>
    <w:rsid w:val="00923E90"/>
    <w:rsid w:val="009243E9"/>
    <w:rsid w:val="00924553"/>
    <w:rsid w:val="009249BE"/>
    <w:rsid w:val="00924BF9"/>
    <w:rsid w:val="00925EA1"/>
    <w:rsid w:val="00925F0B"/>
    <w:rsid w:val="009262B7"/>
    <w:rsid w:val="0092681F"/>
    <w:rsid w:val="00926892"/>
    <w:rsid w:val="00926AB2"/>
    <w:rsid w:val="00926B67"/>
    <w:rsid w:val="00926C3D"/>
    <w:rsid w:val="009272D7"/>
    <w:rsid w:val="009272E0"/>
    <w:rsid w:val="009273C2"/>
    <w:rsid w:val="00927412"/>
    <w:rsid w:val="0092788B"/>
    <w:rsid w:val="00927AFD"/>
    <w:rsid w:val="00927DC7"/>
    <w:rsid w:val="00930995"/>
    <w:rsid w:val="00930A4B"/>
    <w:rsid w:val="00930BC0"/>
    <w:rsid w:val="00930C93"/>
    <w:rsid w:val="00930D9C"/>
    <w:rsid w:val="00930DB3"/>
    <w:rsid w:val="00931EB8"/>
    <w:rsid w:val="009322C7"/>
    <w:rsid w:val="009322D6"/>
    <w:rsid w:val="00932564"/>
    <w:rsid w:val="00932650"/>
    <w:rsid w:val="0093294A"/>
    <w:rsid w:val="00932F3F"/>
    <w:rsid w:val="009330FA"/>
    <w:rsid w:val="009335EC"/>
    <w:rsid w:val="00934193"/>
    <w:rsid w:val="00934724"/>
    <w:rsid w:val="00934887"/>
    <w:rsid w:val="00935167"/>
    <w:rsid w:val="009352EC"/>
    <w:rsid w:val="009355B8"/>
    <w:rsid w:val="0093563F"/>
    <w:rsid w:val="00935BFE"/>
    <w:rsid w:val="009365CA"/>
    <w:rsid w:val="00936D06"/>
    <w:rsid w:val="00937C28"/>
    <w:rsid w:val="00937F33"/>
    <w:rsid w:val="0094043D"/>
    <w:rsid w:val="009404EC"/>
    <w:rsid w:val="0094059C"/>
    <w:rsid w:val="00940B17"/>
    <w:rsid w:val="0094167F"/>
    <w:rsid w:val="00941B89"/>
    <w:rsid w:val="00941BDB"/>
    <w:rsid w:val="00941CA0"/>
    <w:rsid w:val="00941F16"/>
    <w:rsid w:val="0094260F"/>
    <w:rsid w:val="00942CAB"/>
    <w:rsid w:val="00942CCE"/>
    <w:rsid w:val="009434A3"/>
    <w:rsid w:val="0094354F"/>
    <w:rsid w:val="009439BF"/>
    <w:rsid w:val="00944078"/>
    <w:rsid w:val="0094499E"/>
    <w:rsid w:val="00945082"/>
    <w:rsid w:val="009458E5"/>
    <w:rsid w:val="00945B81"/>
    <w:rsid w:val="00945C75"/>
    <w:rsid w:val="0094657E"/>
    <w:rsid w:val="00946685"/>
    <w:rsid w:val="009467AB"/>
    <w:rsid w:val="009467CF"/>
    <w:rsid w:val="009467D3"/>
    <w:rsid w:val="00946CA8"/>
    <w:rsid w:val="00946FF6"/>
    <w:rsid w:val="009474DB"/>
    <w:rsid w:val="009477C6"/>
    <w:rsid w:val="009501C0"/>
    <w:rsid w:val="00950271"/>
    <w:rsid w:val="009509C9"/>
    <w:rsid w:val="00950BB4"/>
    <w:rsid w:val="00950E27"/>
    <w:rsid w:val="009510C5"/>
    <w:rsid w:val="009510DB"/>
    <w:rsid w:val="009512F8"/>
    <w:rsid w:val="009514BF"/>
    <w:rsid w:val="00951A81"/>
    <w:rsid w:val="0095207B"/>
    <w:rsid w:val="009520A4"/>
    <w:rsid w:val="0095258E"/>
    <w:rsid w:val="009526BE"/>
    <w:rsid w:val="00952715"/>
    <w:rsid w:val="00952F47"/>
    <w:rsid w:val="00953FA8"/>
    <w:rsid w:val="009540AD"/>
    <w:rsid w:val="009540F9"/>
    <w:rsid w:val="00954B3C"/>
    <w:rsid w:val="00954DE1"/>
    <w:rsid w:val="00955221"/>
    <w:rsid w:val="0095535C"/>
    <w:rsid w:val="00955497"/>
    <w:rsid w:val="0095591B"/>
    <w:rsid w:val="00955BD0"/>
    <w:rsid w:val="009562BD"/>
    <w:rsid w:val="0095640F"/>
    <w:rsid w:val="00956468"/>
    <w:rsid w:val="00956639"/>
    <w:rsid w:val="00956867"/>
    <w:rsid w:val="0095699D"/>
    <w:rsid w:val="00956AC3"/>
    <w:rsid w:val="00956B48"/>
    <w:rsid w:val="00957445"/>
    <w:rsid w:val="009575F7"/>
    <w:rsid w:val="00957846"/>
    <w:rsid w:val="00957EBE"/>
    <w:rsid w:val="009607B0"/>
    <w:rsid w:val="00960BF7"/>
    <w:rsid w:val="0096111D"/>
    <w:rsid w:val="00961A12"/>
    <w:rsid w:val="00961A67"/>
    <w:rsid w:val="009625DF"/>
    <w:rsid w:val="00962646"/>
    <w:rsid w:val="009629F4"/>
    <w:rsid w:val="00962B52"/>
    <w:rsid w:val="00962B8D"/>
    <w:rsid w:val="00962D08"/>
    <w:rsid w:val="0096301D"/>
    <w:rsid w:val="0096368A"/>
    <w:rsid w:val="009638AE"/>
    <w:rsid w:val="00963CAD"/>
    <w:rsid w:val="0096486C"/>
    <w:rsid w:val="00964960"/>
    <w:rsid w:val="00964A4F"/>
    <w:rsid w:val="00964F57"/>
    <w:rsid w:val="00965259"/>
    <w:rsid w:val="00965409"/>
    <w:rsid w:val="0096644F"/>
    <w:rsid w:val="009666D3"/>
    <w:rsid w:val="009669D1"/>
    <w:rsid w:val="00966CC7"/>
    <w:rsid w:val="00966EF3"/>
    <w:rsid w:val="009670FF"/>
    <w:rsid w:val="00967596"/>
    <w:rsid w:val="00967C24"/>
    <w:rsid w:val="009706C3"/>
    <w:rsid w:val="0097076C"/>
    <w:rsid w:val="00970D64"/>
    <w:rsid w:val="00971340"/>
    <w:rsid w:val="00971A6B"/>
    <w:rsid w:val="00971A87"/>
    <w:rsid w:val="00971F9C"/>
    <w:rsid w:val="00971FFA"/>
    <w:rsid w:val="00972140"/>
    <w:rsid w:val="009724B7"/>
    <w:rsid w:val="00972E56"/>
    <w:rsid w:val="00973562"/>
    <w:rsid w:val="00974324"/>
    <w:rsid w:val="009747D9"/>
    <w:rsid w:val="0097499E"/>
    <w:rsid w:val="00974C1D"/>
    <w:rsid w:val="00974CB2"/>
    <w:rsid w:val="00974CB7"/>
    <w:rsid w:val="00975095"/>
    <w:rsid w:val="0097577A"/>
    <w:rsid w:val="00975908"/>
    <w:rsid w:val="00975B52"/>
    <w:rsid w:val="00975C6E"/>
    <w:rsid w:val="00975D8F"/>
    <w:rsid w:val="00975F4A"/>
    <w:rsid w:val="00976640"/>
    <w:rsid w:val="00976959"/>
    <w:rsid w:val="009769B8"/>
    <w:rsid w:val="00976B4F"/>
    <w:rsid w:val="00976C52"/>
    <w:rsid w:val="00976F88"/>
    <w:rsid w:val="009771D8"/>
    <w:rsid w:val="0097739F"/>
    <w:rsid w:val="0097780F"/>
    <w:rsid w:val="00977C68"/>
    <w:rsid w:val="00977CD6"/>
    <w:rsid w:val="00977EC0"/>
    <w:rsid w:val="009805E2"/>
    <w:rsid w:val="009817B8"/>
    <w:rsid w:val="00981B86"/>
    <w:rsid w:val="009822BA"/>
    <w:rsid w:val="0098235B"/>
    <w:rsid w:val="00982549"/>
    <w:rsid w:val="00982946"/>
    <w:rsid w:val="00982CA1"/>
    <w:rsid w:val="0098351A"/>
    <w:rsid w:val="00983C63"/>
    <w:rsid w:val="00984080"/>
    <w:rsid w:val="00984AF0"/>
    <w:rsid w:val="00984C90"/>
    <w:rsid w:val="00985205"/>
    <w:rsid w:val="00985543"/>
    <w:rsid w:val="009866C3"/>
    <w:rsid w:val="009867A3"/>
    <w:rsid w:val="00986D3C"/>
    <w:rsid w:val="009877AB"/>
    <w:rsid w:val="009877D1"/>
    <w:rsid w:val="00987B6A"/>
    <w:rsid w:val="00987F27"/>
    <w:rsid w:val="00990009"/>
    <w:rsid w:val="009900F8"/>
    <w:rsid w:val="009901F0"/>
    <w:rsid w:val="009904EC"/>
    <w:rsid w:val="00990885"/>
    <w:rsid w:val="00990DD2"/>
    <w:rsid w:val="00990E84"/>
    <w:rsid w:val="00991037"/>
    <w:rsid w:val="009912F6"/>
    <w:rsid w:val="00991667"/>
    <w:rsid w:val="00991770"/>
    <w:rsid w:val="00991782"/>
    <w:rsid w:val="00991C44"/>
    <w:rsid w:val="00991C70"/>
    <w:rsid w:val="00991C7F"/>
    <w:rsid w:val="00991CE5"/>
    <w:rsid w:val="00992A31"/>
    <w:rsid w:val="00993358"/>
    <w:rsid w:val="00993AAC"/>
    <w:rsid w:val="0099409E"/>
    <w:rsid w:val="00994153"/>
    <w:rsid w:val="009941F9"/>
    <w:rsid w:val="00994218"/>
    <w:rsid w:val="009942CE"/>
    <w:rsid w:val="00994728"/>
    <w:rsid w:val="00994F68"/>
    <w:rsid w:val="00994F86"/>
    <w:rsid w:val="009952AA"/>
    <w:rsid w:val="00995409"/>
    <w:rsid w:val="009954F0"/>
    <w:rsid w:val="0099578D"/>
    <w:rsid w:val="00995B85"/>
    <w:rsid w:val="00996ADC"/>
    <w:rsid w:val="00996CC4"/>
    <w:rsid w:val="00996D8E"/>
    <w:rsid w:val="00997232"/>
    <w:rsid w:val="0099734B"/>
    <w:rsid w:val="009974F0"/>
    <w:rsid w:val="009974F2"/>
    <w:rsid w:val="00997AEF"/>
    <w:rsid w:val="009A0520"/>
    <w:rsid w:val="009A0D25"/>
    <w:rsid w:val="009A0F4C"/>
    <w:rsid w:val="009A1481"/>
    <w:rsid w:val="009A19FE"/>
    <w:rsid w:val="009A1A75"/>
    <w:rsid w:val="009A1A7B"/>
    <w:rsid w:val="009A1B1F"/>
    <w:rsid w:val="009A217A"/>
    <w:rsid w:val="009A231C"/>
    <w:rsid w:val="009A26B4"/>
    <w:rsid w:val="009A277A"/>
    <w:rsid w:val="009A2B05"/>
    <w:rsid w:val="009A2C0F"/>
    <w:rsid w:val="009A2C32"/>
    <w:rsid w:val="009A37EC"/>
    <w:rsid w:val="009A3E73"/>
    <w:rsid w:val="009A3E7D"/>
    <w:rsid w:val="009A4346"/>
    <w:rsid w:val="009A4362"/>
    <w:rsid w:val="009A4C92"/>
    <w:rsid w:val="009A4D6E"/>
    <w:rsid w:val="009A4F2E"/>
    <w:rsid w:val="009A4F4A"/>
    <w:rsid w:val="009A51A0"/>
    <w:rsid w:val="009A51FB"/>
    <w:rsid w:val="009A568D"/>
    <w:rsid w:val="009A5C06"/>
    <w:rsid w:val="009A66FC"/>
    <w:rsid w:val="009A685A"/>
    <w:rsid w:val="009A705A"/>
    <w:rsid w:val="009A718A"/>
    <w:rsid w:val="009A783A"/>
    <w:rsid w:val="009A7A03"/>
    <w:rsid w:val="009A7AB4"/>
    <w:rsid w:val="009A7BB7"/>
    <w:rsid w:val="009A7C58"/>
    <w:rsid w:val="009B0027"/>
    <w:rsid w:val="009B09C9"/>
    <w:rsid w:val="009B09EF"/>
    <w:rsid w:val="009B1019"/>
    <w:rsid w:val="009B110E"/>
    <w:rsid w:val="009B1313"/>
    <w:rsid w:val="009B1319"/>
    <w:rsid w:val="009B1397"/>
    <w:rsid w:val="009B15CF"/>
    <w:rsid w:val="009B1D7F"/>
    <w:rsid w:val="009B215C"/>
    <w:rsid w:val="009B29AC"/>
    <w:rsid w:val="009B2DC1"/>
    <w:rsid w:val="009B2ED1"/>
    <w:rsid w:val="009B2FE5"/>
    <w:rsid w:val="009B349B"/>
    <w:rsid w:val="009B3935"/>
    <w:rsid w:val="009B3C2B"/>
    <w:rsid w:val="009B3DD1"/>
    <w:rsid w:val="009B45E3"/>
    <w:rsid w:val="009B4F14"/>
    <w:rsid w:val="009B5520"/>
    <w:rsid w:val="009B5876"/>
    <w:rsid w:val="009B5E1F"/>
    <w:rsid w:val="009B65AA"/>
    <w:rsid w:val="009B6627"/>
    <w:rsid w:val="009B67A6"/>
    <w:rsid w:val="009B67BB"/>
    <w:rsid w:val="009B69D5"/>
    <w:rsid w:val="009B6AD0"/>
    <w:rsid w:val="009B6ADC"/>
    <w:rsid w:val="009B6D6F"/>
    <w:rsid w:val="009B6F0E"/>
    <w:rsid w:val="009B70C6"/>
    <w:rsid w:val="009B77A3"/>
    <w:rsid w:val="009B79FA"/>
    <w:rsid w:val="009C0054"/>
    <w:rsid w:val="009C0090"/>
    <w:rsid w:val="009C00A1"/>
    <w:rsid w:val="009C0197"/>
    <w:rsid w:val="009C0389"/>
    <w:rsid w:val="009C068F"/>
    <w:rsid w:val="009C06C8"/>
    <w:rsid w:val="009C0A8D"/>
    <w:rsid w:val="009C11BB"/>
    <w:rsid w:val="009C12EA"/>
    <w:rsid w:val="009C135F"/>
    <w:rsid w:val="009C162A"/>
    <w:rsid w:val="009C1697"/>
    <w:rsid w:val="009C223B"/>
    <w:rsid w:val="009C2735"/>
    <w:rsid w:val="009C2B7B"/>
    <w:rsid w:val="009C2E98"/>
    <w:rsid w:val="009C3333"/>
    <w:rsid w:val="009C385A"/>
    <w:rsid w:val="009C3C72"/>
    <w:rsid w:val="009C3E73"/>
    <w:rsid w:val="009C3EAE"/>
    <w:rsid w:val="009C3F34"/>
    <w:rsid w:val="009C3F45"/>
    <w:rsid w:val="009C4817"/>
    <w:rsid w:val="009C48AE"/>
    <w:rsid w:val="009C493A"/>
    <w:rsid w:val="009C4DC5"/>
    <w:rsid w:val="009C55E1"/>
    <w:rsid w:val="009C56A9"/>
    <w:rsid w:val="009C5824"/>
    <w:rsid w:val="009C5B23"/>
    <w:rsid w:val="009C657B"/>
    <w:rsid w:val="009C66D1"/>
    <w:rsid w:val="009C6886"/>
    <w:rsid w:val="009C69A5"/>
    <w:rsid w:val="009C6BA8"/>
    <w:rsid w:val="009C6F16"/>
    <w:rsid w:val="009C7692"/>
    <w:rsid w:val="009D01B5"/>
    <w:rsid w:val="009D0225"/>
    <w:rsid w:val="009D0287"/>
    <w:rsid w:val="009D0643"/>
    <w:rsid w:val="009D0730"/>
    <w:rsid w:val="009D0852"/>
    <w:rsid w:val="009D08C2"/>
    <w:rsid w:val="009D0CFE"/>
    <w:rsid w:val="009D0FF3"/>
    <w:rsid w:val="009D104D"/>
    <w:rsid w:val="009D1171"/>
    <w:rsid w:val="009D144C"/>
    <w:rsid w:val="009D1ECE"/>
    <w:rsid w:val="009D223B"/>
    <w:rsid w:val="009D2302"/>
    <w:rsid w:val="009D2960"/>
    <w:rsid w:val="009D2AEA"/>
    <w:rsid w:val="009D2C22"/>
    <w:rsid w:val="009D2F68"/>
    <w:rsid w:val="009D303C"/>
    <w:rsid w:val="009D3111"/>
    <w:rsid w:val="009D318E"/>
    <w:rsid w:val="009D3B6D"/>
    <w:rsid w:val="009D3E6D"/>
    <w:rsid w:val="009D3F4B"/>
    <w:rsid w:val="009D4538"/>
    <w:rsid w:val="009D511F"/>
    <w:rsid w:val="009D5DBA"/>
    <w:rsid w:val="009D5EB6"/>
    <w:rsid w:val="009D6464"/>
    <w:rsid w:val="009D65D6"/>
    <w:rsid w:val="009D690B"/>
    <w:rsid w:val="009D6AA1"/>
    <w:rsid w:val="009D6DDB"/>
    <w:rsid w:val="009D6E29"/>
    <w:rsid w:val="009D6F3D"/>
    <w:rsid w:val="009D770C"/>
    <w:rsid w:val="009D7C0A"/>
    <w:rsid w:val="009D7C6B"/>
    <w:rsid w:val="009D7C70"/>
    <w:rsid w:val="009D7E19"/>
    <w:rsid w:val="009D7E3A"/>
    <w:rsid w:val="009E002A"/>
    <w:rsid w:val="009E0200"/>
    <w:rsid w:val="009E0605"/>
    <w:rsid w:val="009E075C"/>
    <w:rsid w:val="009E0789"/>
    <w:rsid w:val="009E0B76"/>
    <w:rsid w:val="009E0C63"/>
    <w:rsid w:val="009E0DD4"/>
    <w:rsid w:val="009E101C"/>
    <w:rsid w:val="009E1381"/>
    <w:rsid w:val="009E16E7"/>
    <w:rsid w:val="009E1892"/>
    <w:rsid w:val="009E1D8A"/>
    <w:rsid w:val="009E22D8"/>
    <w:rsid w:val="009E26A3"/>
    <w:rsid w:val="009E2E50"/>
    <w:rsid w:val="009E3029"/>
    <w:rsid w:val="009E31B9"/>
    <w:rsid w:val="009E33DF"/>
    <w:rsid w:val="009E384B"/>
    <w:rsid w:val="009E3AA5"/>
    <w:rsid w:val="009E427A"/>
    <w:rsid w:val="009E447B"/>
    <w:rsid w:val="009E460B"/>
    <w:rsid w:val="009E48F5"/>
    <w:rsid w:val="009E4AAA"/>
    <w:rsid w:val="009E4C07"/>
    <w:rsid w:val="009E5135"/>
    <w:rsid w:val="009E5562"/>
    <w:rsid w:val="009E557C"/>
    <w:rsid w:val="009E5985"/>
    <w:rsid w:val="009E5C78"/>
    <w:rsid w:val="009E5C7C"/>
    <w:rsid w:val="009E5DAA"/>
    <w:rsid w:val="009E5E2F"/>
    <w:rsid w:val="009E5F10"/>
    <w:rsid w:val="009E62FD"/>
    <w:rsid w:val="009E680A"/>
    <w:rsid w:val="009E6E71"/>
    <w:rsid w:val="009E6EC4"/>
    <w:rsid w:val="009E7279"/>
    <w:rsid w:val="009E743D"/>
    <w:rsid w:val="009E7595"/>
    <w:rsid w:val="009E780C"/>
    <w:rsid w:val="009E7B21"/>
    <w:rsid w:val="009F02BB"/>
    <w:rsid w:val="009F070C"/>
    <w:rsid w:val="009F0819"/>
    <w:rsid w:val="009F085E"/>
    <w:rsid w:val="009F0873"/>
    <w:rsid w:val="009F09A4"/>
    <w:rsid w:val="009F15CD"/>
    <w:rsid w:val="009F1990"/>
    <w:rsid w:val="009F1A31"/>
    <w:rsid w:val="009F1CA7"/>
    <w:rsid w:val="009F1DEC"/>
    <w:rsid w:val="009F1E43"/>
    <w:rsid w:val="009F26E3"/>
    <w:rsid w:val="009F27DA"/>
    <w:rsid w:val="009F2A73"/>
    <w:rsid w:val="009F2B39"/>
    <w:rsid w:val="009F2F83"/>
    <w:rsid w:val="009F3274"/>
    <w:rsid w:val="009F33B9"/>
    <w:rsid w:val="009F3525"/>
    <w:rsid w:val="009F3A6E"/>
    <w:rsid w:val="009F3B1A"/>
    <w:rsid w:val="009F4001"/>
    <w:rsid w:val="009F428E"/>
    <w:rsid w:val="009F4400"/>
    <w:rsid w:val="009F487C"/>
    <w:rsid w:val="009F488C"/>
    <w:rsid w:val="009F4D7F"/>
    <w:rsid w:val="009F4EC7"/>
    <w:rsid w:val="009F518F"/>
    <w:rsid w:val="009F53EE"/>
    <w:rsid w:val="009F5C48"/>
    <w:rsid w:val="009F60C8"/>
    <w:rsid w:val="009F615D"/>
    <w:rsid w:val="009F6666"/>
    <w:rsid w:val="009F6696"/>
    <w:rsid w:val="009F66EA"/>
    <w:rsid w:val="009F6AC9"/>
    <w:rsid w:val="009F6BB7"/>
    <w:rsid w:val="009F70B4"/>
    <w:rsid w:val="009F711D"/>
    <w:rsid w:val="009F7A62"/>
    <w:rsid w:val="009F7BEA"/>
    <w:rsid w:val="00A008A8"/>
    <w:rsid w:val="00A009CE"/>
    <w:rsid w:val="00A00BC4"/>
    <w:rsid w:val="00A00C76"/>
    <w:rsid w:val="00A011F1"/>
    <w:rsid w:val="00A01C23"/>
    <w:rsid w:val="00A01EC1"/>
    <w:rsid w:val="00A02021"/>
    <w:rsid w:val="00A02160"/>
    <w:rsid w:val="00A021F4"/>
    <w:rsid w:val="00A029C1"/>
    <w:rsid w:val="00A02FEC"/>
    <w:rsid w:val="00A0339E"/>
    <w:rsid w:val="00A034C8"/>
    <w:rsid w:val="00A0378F"/>
    <w:rsid w:val="00A03FB0"/>
    <w:rsid w:val="00A0429A"/>
    <w:rsid w:val="00A042EA"/>
    <w:rsid w:val="00A04EF1"/>
    <w:rsid w:val="00A05016"/>
    <w:rsid w:val="00A051CC"/>
    <w:rsid w:val="00A05961"/>
    <w:rsid w:val="00A05C8D"/>
    <w:rsid w:val="00A05DEB"/>
    <w:rsid w:val="00A062EF"/>
    <w:rsid w:val="00A06654"/>
    <w:rsid w:val="00A069C6"/>
    <w:rsid w:val="00A06B17"/>
    <w:rsid w:val="00A06CF0"/>
    <w:rsid w:val="00A06D96"/>
    <w:rsid w:val="00A072FB"/>
    <w:rsid w:val="00A073F7"/>
    <w:rsid w:val="00A07786"/>
    <w:rsid w:val="00A07980"/>
    <w:rsid w:val="00A07CCD"/>
    <w:rsid w:val="00A10729"/>
    <w:rsid w:val="00A108D7"/>
    <w:rsid w:val="00A10F54"/>
    <w:rsid w:val="00A11096"/>
    <w:rsid w:val="00A11207"/>
    <w:rsid w:val="00A11D6A"/>
    <w:rsid w:val="00A1226E"/>
    <w:rsid w:val="00A12512"/>
    <w:rsid w:val="00A12585"/>
    <w:rsid w:val="00A12DFC"/>
    <w:rsid w:val="00A13032"/>
    <w:rsid w:val="00A133F8"/>
    <w:rsid w:val="00A13619"/>
    <w:rsid w:val="00A13C52"/>
    <w:rsid w:val="00A14AB2"/>
    <w:rsid w:val="00A14B33"/>
    <w:rsid w:val="00A14D54"/>
    <w:rsid w:val="00A14DD5"/>
    <w:rsid w:val="00A14E50"/>
    <w:rsid w:val="00A14EB5"/>
    <w:rsid w:val="00A14F86"/>
    <w:rsid w:val="00A1555C"/>
    <w:rsid w:val="00A15E1A"/>
    <w:rsid w:val="00A15F3E"/>
    <w:rsid w:val="00A16A8D"/>
    <w:rsid w:val="00A17314"/>
    <w:rsid w:val="00A174BA"/>
    <w:rsid w:val="00A17790"/>
    <w:rsid w:val="00A2023C"/>
    <w:rsid w:val="00A202F1"/>
    <w:rsid w:val="00A21061"/>
    <w:rsid w:val="00A212E1"/>
    <w:rsid w:val="00A21368"/>
    <w:rsid w:val="00A21686"/>
    <w:rsid w:val="00A21829"/>
    <w:rsid w:val="00A2184C"/>
    <w:rsid w:val="00A2195B"/>
    <w:rsid w:val="00A21F7A"/>
    <w:rsid w:val="00A22302"/>
    <w:rsid w:val="00A225D1"/>
    <w:rsid w:val="00A22671"/>
    <w:rsid w:val="00A22788"/>
    <w:rsid w:val="00A22A6D"/>
    <w:rsid w:val="00A22B24"/>
    <w:rsid w:val="00A22D98"/>
    <w:rsid w:val="00A22E5C"/>
    <w:rsid w:val="00A23233"/>
    <w:rsid w:val="00A23A41"/>
    <w:rsid w:val="00A23C55"/>
    <w:rsid w:val="00A23DA6"/>
    <w:rsid w:val="00A241A0"/>
    <w:rsid w:val="00A243D2"/>
    <w:rsid w:val="00A244E1"/>
    <w:rsid w:val="00A24693"/>
    <w:rsid w:val="00A249BB"/>
    <w:rsid w:val="00A24B2D"/>
    <w:rsid w:val="00A25286"/>
    <w:rsid w:val="00A253B7"/>
    <w:rsid w:val="00A2551D"/>
    <w:rsid w:val="00A25700"/>
    <w:rsid w:val="00A25F99"/>
    <w:rsid w:val="00A26528"/>
    <w:rsid w:val="00A268F7"/>
    <w:rsid w:val="00A26989"/>
    <w:rsid w:val="00A26A37"/>
    <w:rsid w:val="00A26DE8"/>
    <w:rsid w:val="00A279DA"/>
    <w:rsid w:val="00A27AC0"/>
    <w:rsid w:val="00A27C67"/>
    <w:rsid w:val="00A27D90"/>
    <w:rsid w:val="00A27EC0"/>
    <w:rsid w:val="00A27F46"/>
    <w:rsid w:val="00A304F1"/>
    <w:rsid w:val="00A305B6"/>
    <w:rsid w:val="00A30A14"/>
    <w:rsid w:val="00A30AD0"/>
    <w:rsid w:val="00A30C31"/>
    <w:rsid w:val="00A30EFA"/>
    <w:rsid w:val="00A3105B"/>
    <w:rsid w:val="00A314E9"/>
    <w:rsid w:val="00A319C6"/>
    <w:rsid w:val="00A32177"/>
    <w:rsid w:val="00A32AD0"/>
    <w:rsid w:val="00A32ADC"/>
    <w:rsid w:val="00A330CA"/>
    <w:rsid w:val="00A331D5"/>
    <w:rsid w:val="00A332CD"/>
    <w:rsid w:val="00A33701"/>
    <w:rsid w:val="00A33C40"/>
    <w:rsid w:val="00A33D00"/>
    <w:rsid w:val="00A340D2"/>
    <w:rsid w:val="00A3427D"/>
    <w:rsid w:val="00A34D85"/>
    <w:rsid w:val="00A3518E"/>
    <w:rsid w:val="00A355AB"/>
    <w:rsid w:val="00A3577E"/>
    <w:rsid w:val="00A35951"/>
    <w:rsid w:val="00A359BD"/>
    <w:rsid w:val="00A3605B"/>
    <w:rsid w:val="00A361AE"/>
    <w:rsid w:val="00A365DD"/>
    <w:rsid w:val="00A36636"/>
    <w:rsid w:val="00A36BB1"/>
    <w:rsid w:val="00A36F70"/>
    <w:rsid w:val="00A373E6"/>
    <w:rsid w:val="00A3778B"/>
    <w:rsid w:val="00A37A3A"/>
    <w:rsid w:val="00A37E15"/>
    <w:rsid w:val="00A4004C"/>
    <w:rsid w:val="00A40091"/>
    <w:rsid w:val="00A403A6"/>
    <w:rsid w:val="00A41299"/>
    <w:rsid w:val="00A41792"/>
    <w:rsid w:val="00A41AE3"/>
    <w:rsid w:val="00A422A8"/>
    <w:rsid w:val="00A4267F"/>
    <w:rsid w:val="00A428F9"/>
    <w:rsid w:val="00A42BBC"/>
    <w:rsid w:val="00A42C06"/>
    <w:rsid w:val="00A42D0C"/>
    <w:rsid w:val="00A42D15"/>
    <w:rsid w:val="00A42E8A"/>
    <w:rsid w:val="00A42FF9"/>
    <w:rsid w:val="00A43334"/>
    <w:rsid w:val="00A4370B"/>
    <w:rsid w:val="00A43D9C"/>
    <w:rsid w:val="00A446C6"/>
    <w:rsid w:val="00A44D62"/>
    <w:rsid w:val="00A44E5D"/>
    <w:rsid w:val="00A455D9"/>
    <w:rsid w:val="00A459B8"/>
    <w:rsid w:val="00A45CDA"/>
    <w:rsid w:val="00A46062"/>
    <w:rsid w:val="00A462A2"/>
    <w:rsid w:val="00A4711C"/>
    <w:rsid w:val="00A47432"/>
    <w:rsid w:val="00A474B9"/>
    <w:rsid w:val="00A47672"/>
    <w:rsid w:val="00A5072E"/>
    <w:rsid w:val="00A5075B"/>
    <w:rsid w:val="00A50825"/>
    <w:rsid w:val="00A50B1A"/>
    <w:rsid w:val="00A50DBF"/>
    <w:rsid w:val="00A50F27"/>
    <w:rsid w:val="00A510C0"/>
    <w:rsid w:val="00A515B7"/>
    <w:rsid w:val="00A51A7E"/>
    <w:rsid w:val="00A51CBE"/>
    <w:rsid w:val="00A52594"/>
    <w:rsid w:val="00A52A57"/>
    <w:rsid w:val="00A530FA"/>
    <w:rsid w:val="00A532C9"/>
    <w:rsid w:val="00A53461"/>
    <w:rsid w:val="00A535D6"/>
    <w:rsid w:val="00A53DB6"/>
    <w:rsid w:val="00A53FCD"/>
    <w:rsid w:val="00A5437F"/>
    <w:rsid w:val="00A55117"/>
    <w:rsid w:val="00A55887"/>
    <w:rsid w:val="00A55C45"/>
    <w:rsid w:val="00A55CD6"/>
    <w:rsid w:val="00A55E14"/>
    <w:rsid w:val="00A562E9"/>
    <w:rsid w:val="00A56617"/>
    <w:rsid w:val="00A56E73"/>
    <w:rsid w:val="00A56E8E"/>
    <w:rsid w:val="00A56F54"/>
    <w:rsid w:val="00A5764F"/>
    <w:rsid w:val="00A57695"/>
    <w:rsid w:val="00A6034D"/>
    <w:rsid w:val="00A6044C"/>
    <w:rsid w:val="00A60A85"/>
    <w:rsid w:val="00A60EFC"/>
    <w:rsid w:val="00A6189F"/>
    <w:rsid w:val="00A61ACB"/>
    <w:rsid w:val="00A62476"/>
    <w:rsid w:val="00A625C0"/>
    <w:rsid w:val="00A6275A"/>
    <w:rsid w:val="00A62780"/>
    <w:rsid w:val="00A628A2"/>
    <w:rsid w:val="00A62C45"/>
    <w:rsid w:val="00A62DBF"/>
    <w:rsid w:val="00A63086"/>
    <w:rsid w:val="00A63673"/>
    <w:rsid w:val="00A639CD"/>
    <w:rsid w:val="00A63AA4"/>
    <w:rsid w:val="00A63DC2"/>
    <w:rsid w:val="00A640B0"/>
    <w:rsid w:val="00A643F0"/>
    <w:rsid w:val="00A64626"/>
    <w:rsid w:val="00A64AE0"/>
    <w:rsid w:val="00A65A62"/>
    <w:rsid w:val="00A65C8A"/>
    <w:rsid w:val="00A65DE9"/>
    <w:rsid w:val="00A66B33"/>
    <w:rsid w:val="00A674BD"/>
    <w:rsid w:val="00A675DA"/>
    <w:rsid w:val="00A6762C"/>
    <w:rsid w:val="00A678D6"/>
    <w:rsid w:val="00A67A01"/>
    <w:rsid w:val="00A67F2F"/>
    <w:rsid w:val="00A706BD"/>
    <w:rsid w:val="00A70997"/>
    <w:rsid w:val="00A70BD3"/>
    <w:rsid w:val="00A70E4A"/>
    <w:rsid w:val="00A715D5"/>
    <w:rsid w:val="00A7171D"/>
    <w:rsid w:val="00A719AF"/>
    <w:rsid w:val="00A72093"/>
    <w:rsid w:val="00A723A2"/>
    <w:rsid w:val="00A7251F"/>
    <w:rsid w:val="00A72780"/>
    <w:rsid w:val="00A72A98"/>
    <w:rsid w:val="00A73116"/>
    <w:rsid w:val="00A732A2"/>
    <w:rsid w:val="00A73D19"/>
    <w:rsid w:val="00A73FAF"/>
    <w:rsid w:val="00A74064"/>
    <w:rsid w:val="00A743F8"/>
    <w:rsid w:val="00A7458D"/>
    <w:rsid w:val="00A751EF"/>
    <w:rsid w:val="00A7545D"/>
    <w:rsid w:val="00A754AF"/>
    <w:rsid w:val="00A75627"/>
    <w:rsid w:val="00A758BE"/>
    <w:rsid w:val="00A75D90"/>
    <w:rsid w:val="00A7619A"/>
    <w:rsid w:val="00A76273"/>
    <w:rsid w:val="00A76301"/>
    <w:rsid w:val="00A76569"/>
    <w:rsid w:val="00A76783"/>
    <w:rsid w:val="00A76A80"/>
    <w:rsid w:val="00A76FF8"/>
    <w:rsid w:val="00A7703F"/>
    <w:rsid w:val="00A770E4"/>
    <w:rsid w:val="00A77418"/>
    <w:rsid w:val="00A77A25"/>
    <w:rsid w:val="00A77D30"/>
    <w:rsid w:val="00A800E8"/>
    <w:rsid w:val="00A80225"/>
    <w:rsid w:val="00A80EEC"/>
    <w:rsid w:val="00A813DF"/>
    <w:rsid w:val="00A81574"/>
    <w:rsid w:val="00A8173E"/>
    <w:rsid w:val="00A819C0"/>
    <w:rsid w:val="00A81AF6"/>
    <w:rsid w:val="00A81F12"/>
    <w:rsid w:val="00A8210D"/>
    <w:rsid w:val="00A82688"/>
    <w:rsid w:val="00A83373"/>
    <w:rsid w:val="00A838CF"/>
    <w:rsid w:val="00A83B47"/>
    <w:rsid w:val="00A83EBF"/>
    <w:rsid w:val="00A847AF"/>
    <w:rsid w:val="00A84969"/>
    <w:rsid w:val="00A85215"/>
    <w:rsid w:val="00A85378"/>
    <w:rsid w:val="00A856EF"/>
    <w:rsid w:val="00A857EB"/>
    <w:rsid w:val="00A8585F"/>
    <w:rsid w:val="00A85D46"/>
    <w:rsid w:val="00A85D57"/>
    <w:rsid w:val="00A860BC"/>
    <w:rsid w:val="00A865B1"/>
    <w:rsid w:val="00A86BAC"/>
    <w:rsid w:val="00A8760F"/>
    <w:rsid w:val="00A87658"/>
    <w:rsid w:val="00A87677"/>
    <w:rsid w:val="00A87C5C"/>
    <w:rsid w:val="00A87F91"/>
    <w:rsid w:val="00A90624"/>
    <w:rsid w:val="00A9088E"/>
    <w:rsid w:val="00A90D4E"/>
    <w:rsid w:val="00A91091"/>
    <w:rsid w:val="00A9188E"/>
    <w:rsid w:val="00A92652"/>
    <w:rsid w:val="00A927E0"/>
    <w:rsid w:val="00A92C37"/>
    <w:rsid w:val="00A935AA"/>
    <w:rsid w:val="00A9366C"/>
    <w:rsid w:val="00A93D8C"/>
    <w:rsid w:val="00A93D91"/>
    <w:rsid w:val="00A93E4D"/>
    <w:rsid w:val="00A93FEB"/>
    <w:rsid w:val="00A946AA"/>
    <w:rsid w:val="00A946DE"/>
    <w:rsid w:val="00A94AB4"/>
    <w:rsid w:val="00A94B35"/>
    <w:rsid w:val="00A95286"/>
    <w:rsid w:val="00A954FD"/>
    <w:rsid w:val="00A956DA"/>
    <w:rsid w:val="00A956F1"/>
    <w:rsid w:val="00A95D6B"/>
    <w:rsid w:val="00A9635C"/>
    <w:rsid w:val="00A96440"/>
    <w:rsid w:val="00A96521"/>
    <w:rsid w:val="00A96A2D"/>
    <w:rsid w:val="00A96BFC"/>
    <w:rsid w:val="00A96D9D"/>
    <w:rsid w:val="00A96E9E"/>
    <w:rsid w:val="00A96FFF"/>
    <w:rsid w:val="00A97340"/>
    <w:rsid w:val="00A97503"/>
    <w:rsid w:val="00A975E8"/>
    <w:rsid w:val="00A9762D"/>
    <w:rsid w:val="00A97774"/>
    <w:rsid w:val="00AA094F"/>
    <w:rsid w:val="00AA09C0"/>
    <w:rsid w:val="00AA1620"/>
    <w:rsid w:val="00AA1905"/>
    <w:rsid w:val="00AA1A51"/>
    <w:rsid w:val="00AA1D89"/>
    <w:rsid w:val="00AA1D91"/>
    <w:rsid w:val="00AA2198"/>
    <w:rsid w:val="00AA24EC"/>
    <w:rsid w:val="00AA28A3"/>
    <w:rsid w:val="00AA29D5"/>
    <w:rsid w:val="00AA2C03"/>
    <w:rsid w:val="00AA3612"/>
    <w:rsid w:val="00AA3AA8"/>
    <w:rsid w:val="00AA3B6F"/>
    <w:rsid w:val="00AA3BB2"/>
    <w:rsid w:val="00AA3C90"/>
    <w:rsid w:val="00AA3D52"/>
    <w:rsid w:val="00AA3FE2"/>
    <w:rsid w:val="00AA4144"/>
    <w:rsid w:val="00AA4B33"/>
    <w:rsid w:val="00AA4BF5"/>
    <w:rsid w:val="00AA4E0B"/>
    <w:rsid w:val="00AA4F88"/>
    <w:rsid w:val="00AA4FED"/>
    <w:rsid w:val="00AA54BF"/>
    <w:rsid w:val="00AA55B7"/>
    <w:rsid w:val="00AA55CE"/>
    <w:rsid w:val="00AA56EE"/>
    <w:rsid w:val="00AA57E5"/>
    <w:rsid w:val="00AA5A04"/>
    <w:rsid w:val="00AA662A"/>
    <w:rsid w:val="00AA6857"/>
    <w:rsid w:val="00AA69AD"/>
    <w:rsid w:val="00AA69C4"/>
    <w:rsid w:val="00AA6BD5"/>
    <w:rsid w:val="00AA6C5C"/>
    <w:rsid w:val="00AA6C76"/>
    <w:rsid w:val="00AA6EDA"/>
    <w:rsid w:val="00AA71B1"/>
    <w:rsid w:val="00AA7903"/>
    <w:rsid w:val="00AA7BCE"/>
    <w:rsid w:val="00AA7D8F"/>
    <w:rsid w:val="00AB00C3"/>
    <w:rsid w:val="00AB04B5"/>
    <w:rsid w:val="00AB04F4"/>
    <w:rsid w:val="00AB098D"/>
    <w:rsid w:val="00AB0C10"/>
    <w:rsid w:val="00AB11B8"/>
    <w:rsid w:val="00AB14DE"/>
    <w:rsid w:val="00AB189C"/>
    <w:rsid w:val="00AB1AA4"/>
    <w:rsid w:val="00AB1BB8"/>
    <w:rsid w:val="00AB1D08"/>
    <w:rsid w:val="00AB20D2"/>
    <w:rsid w:val="00AB2320"/>
    <w:rsid w:val="00AB2984"/>
    <w:rsid w:val="00AB2FCC"/>
    <w:rsid w:val="00AB30B3"/>
    <w:rsid w:val="00AB3496"/>
    <w:rsid w:val="00AB3752"/>
    <w:rsid w:val="00AB3FD5"/>
    <w:rsid w:val="00AB452F"/>
    <w:rsid w:val="00AB4626"/>
    <w:rsid w:val="00AB463C"/>
    <w:rsid w:val="00AB500A"/>
    <w:rsid w:val="00AB521C"/>
    <w:rsid w:val="00AB523E"/>
    <w:rsid w:val="00AB5713"/>
    <w:rsid w:val="00AB5998"/>
    <w:rsid w:val="00AB60E3"/>
    <w:rsid w:val="00AB6155"/>
    <w:rsid w:val="00AB6175"/>
    <w:rsid w:val="00AB6A10"/>
    <w:rsid w:val="00AB6F10"/>
    <w:rsid w:val="00AB701F"/>
    <w:rsid w:val="00AB707C"/>
    <w:rsid w:val="00AB7368"/>
    <w:rsid w:val="00AB73BD"/>
    <w:rsid w:val="00AB7635"/>
    <w:rsid w:val="00AB7905"/>
    <w:rsid w:val="00AB7C35"/>
    <w:rsid w:val="00AB7DCE"/>
    <w:rsid w:val="00AC01D5"/>
    <w:rsid w:val="00AC1659"/>
    <w:rsid w:val="00AC1B3B"/>
    <w:rsid w:val="00AC1C6D"/>
    <w:rsid w:val="00AC2A84"/>
    <w:rsid w:val="00AC3225"/>
    <w:rsid w:val="00AC36F7"/>
    <w:rsid w:val="00AC3BE6"/>
    <w:rsid w:val="00AC3C27"/>
    <w:rsid w:val="00AC3C5F"/>
    <w:rsid w:val="00AC3E9D"/>
    <w:rsid w:val="00AC401F"/>
    <w:rsid w:val="00AC4C38"/>
    <w:rsid w:val="00AC4C59"/>
    <w:rsid w:val="00AC4C70"/>
    <w:rsid w:val="00AC4C9D"/>
    <w:rsid w:val="00AC523C"/>
    <w:rsid w:val="00AC541E"/>
    <w:rsid w:val="00AC5835"/>
    <w:rsid w:val="00AC5D68"/>
    <w:rsid w:val="00AC6422"/>
    <w:rsid w:val="00AC6916"/>
    <w:rsid w:val="00AC6AC0"/>
    <w:rsid w:val="00AC6AF3"/>
    <w:rsid w:val="00AC6AF5"/>
    <w:rsid w:val="00AC6C4C"/>
    <w:rsid w:val="00AC6E23"/>
    <w:rsid w:val="00AC6E4D"/>
    <w:rsid w:val="00AC7188"/>
    <w:rsid w:val="00AC7372"/>
    <w:rsid w:val="00AC7A47"/>
    <w:rsid w:val="00AC7CCF"/>
    <w:rsid w:val="00AC7EF1"/>
    <w:rsid w:val="00AD033C"/>
    <w:rsid w:val="00AD04B6"/>
    <w:rsid w:val="00AD06D4"/>
    <w:rsid w:val="00AD0B51"/>
    <w:rsid w:val="00AD0F49"/>
    <w:rsid w:val="00AD1010"/>
    <w:rsid w:val="00AD17B5"/>
    <w:rsid w:val="00AD207C"/>
    <w:rsid w:val="00AD22A9"/>
    <w:rsid w:val="00AD25FB"/>
    <w:rsid w:val="00AD2B41"/>
    <w:rsid w:val="00AD3289"/>
    <w:rsid w:val="00AD350E"/>
    <w:rsid w:val="00AD358A"/>
    <w:rsid w:val="00AD39A3"/>
    <w:rsid w:val="00AD3D80"/>
    <w:rsid w:val="00AD3F3A"/>
    <w:rsid w:val="00AD3F3E"/>
    <w:rsid w:val="00AD408F"/>
    <w:rsid w:val="00AD48EE"/>
    <w:rsid w:val="00AD4D8D"/>
    <w:rsid w:val="00AD4E1D"/>
    <w:rsid w:val="00AD584C"/>
    <w:rsid w:val="00AD5A0F"/>
    <w:rsid w:val="00AD633E"/>
    <w:rsid w:val="00AD637F"/>
    <w:rsid w:val="00AD6393"/>
    <w:rsid w:val="00AD6687"/>
    <w:rsid w:val="00AD6834"/>
    <w:rsid w:val="00AD6AFB"/>
    <w:rsid w:val="00AD743C"/>
    <w:rsid w:val="00AD77B7"/>
    <w:rsid w:val="00AD7EF1"/>
    <w:rsid w:val="00AE0EFE"/>
    <w:rsid w:val="00AE158F"/>
    <w:rsid w:val="00AE15B4"/>
    <w:rsid w:val="00AE1837"/>
    <w:rsid w:val="00AE1E1F"/>
    <w:rsid w:val="00AE1EB4"/>
    <w:rsid w:val="00AE2229"/>
    <w:rsid w:val="00AE3326"/>
    <w:rsid w:val="00AE3499"/>
    <w:rsid w:val="00AE3585"/>
    <w:rsid w:val="00AE3C86"/>
    <w:rsid w:val="00AE3F97"/>
    <w:rsid w:val="00AE44BF"/>
    <w:rsid w:val="00AE4CA6"/>
    <w:rsid w:val="00AE4EFA"/>
    <w:rsid w:val="00AE5674"/>
    <w:rsid w:val="00AE5806"/>
    <w:rsid w:val="00AE5ECA"/>
    <w:rsid w:val="00AE5ED8"/>
    <w:rsid w:val="00AE678D"/>
    <w:rsid w:val="00AE6B4C"/>
    <w:rsid w:val="00AE6FBF"/>
    <w:rsid w:val="00AE7183"/>
    <w:rsid w:val="00AE7979"/>
    <w:rsid w:val="00AE7D65"/>
    <w:rsid w:val="00AE7DF1"/>
    <w:rsid w:val="00AF0C44"/>
    <w:rsid w:val="00AF11D4"/>
    <w:rsid w:val="00AF170E"/>
    <w:rsid w:val="00AF186C"/>
    <w:rsid w:val="00AF24D3"/>
    <w:rsid w:val="00AF2BD1"/>
    <w:rsid w:val="00AF2E36"/>
    <w:rsid w:val="00AF330C"/>
    <w:rsid w:val="00AF378C"/>
    <w:rsid w:val="00AF39AC"/>
    <w:rsid w:val="00AF3B05"/>
    <w:rsid w:val="00AF3F1D"/>
    <w:rsid w:val="00AF4154"/>
    <w:rsid w:val="00AF4159"/>
    <w:rsid w:val="00AF4527"/>
    <w:rsid w:val="00AF4E79"/>
    <w:rsid w:val="00AF6276"/>
    <w:rsid w:val="00AF648A"/>
    <w:rsid w:val="00AF67BF"/>
    <w:rsid w:val="00AF683A"/>
    <w:rsid w:val="00AF69A8"/>
    <w:rsid w:val="00AF6DB1"/>
    <w:rsid w:val="00AF7473"/>
    <w:rsid w:val="00AF7732"/>
    <w:rsid w:val="00AF7BC1"/>
    <w:rsid w:val="00AF7C38"/>
    <w:rsid w:val="00B0027A"/>
    <w:rsid w:val="00B00455"/>
    <w:rsid w:val="00B0066D"/>
    <w:rsid w:val="00B006B2"/>
    <w:rsid w:val="00B00D0C"/>
    <w:rsid w:val="00B00E71"/>
    <w:rsid w:val="00B00ED4"/>
    <w:rsid w:val="00B00F50"/>
    <w:rsid w:val="00B01704"/>
    <w:rsid w:val="00B020D9"/>
    <w:rsid w:val="00B03261"/>
    <w:rsid w:val="00B0375D"/>
    <w:rsid w:val="00B03D35"/>
    <w:rsid w:val="00B03D82"/>
    <w:rsid w:val="00B03E05"/>
    <w:rsid w:val="00B04051"/>
    <w:rsid w:val="00B04132"/>
    <w:rsid w:val="00B04814"/>
    <w:rsid w:val="00B0490B"/>
    <w:rsid w:val="00B049E4"/>
    <w:rsid w:val="00B04F15"/>
    <w:rsid w:val="00B05428"/>
    <w:rsid w:val="00B05710"/>
    <w:rsid w:val="00B05C76"/>
    <w:rsid w:val="00B06494"/>
    <w:rsid w:val="00B064E8"/>
    <w:rsid w:val="00B06A8D"/>
    <w:rsid w:val="00B06BE9"/>
    <w:rsid w:val="00B06CDA"/>
    <w:rsid w:val="00B06E45"/>
    <w:rsid w:val="00B07165"/>
    <w:rsid w:val="00B07352"/>
    <w:rsid w:val="00B07497"/>
    <w:rsid w:val="00B0776D"/>
    <w:rsid w:val="00B078BD"/>
    <w:rsid w:val="00B07FC2"/>
    <w:rsid w:val="00B1009F"/>
    <w:rsid w:val="00B10272"/>
    <w:rsid w:val="00B102F7"/>
    <w:rsid w:val="00B10853"/>
    <w:rsid w:val="00B10D22"/>
    <w:rsid w:val="00B10EDF"/>
    <w:rsid w:val="00B1185C"/>
    <w:rsid w:val="00B11B57"/>
    <w:rsid w:val="00B11DD0"/>
    <w:rsid w:val="00B124E8"/>
    <w:rsid w:val="00B1252F"/>
    <w:rsid w:val="00B1286A"/>
    <w:rsid w:val="00B13457"/>
    <w:rsid w:val="00B1350E"/>
    <w:rsid w:val="00B135EA"/>
    <w:rsid w:val="00B136DE"/>
    <w:rsid w:val="00B137B4"/>
    <w:rsid w:val="00B1387D"/>
    <w:rsid w:val="00B13978"/>
    <w:rsid w:val="00B13B60"/>
    <w:rsid w:val="00B13CE9"/>
    <w:rsid w:val="00B13E47"/>
    <w:rsid w:val="00B140BE"/>
    <w:rsid w:val="00B146FE"/>
    <w:rsid w:val="00B14701"/>
    <w:rsid w:val="00B150F6"/>
    <w:rsid w:val="00B15722"/>
    <w:rsid w:val="00B15B1C"/>
    <w:rsid w:val="00B15C1C"/>
    <w:rsid w:val="00B15EC2"/>
    <w:rsid w:val="00B16356"/>
    <w:rsid w:val="00B1650C"/>
    <w:rsid w:val="00B166A7"/>
    <w:rsid w:val="00B167D9"/>
    <w:rsid w:val="00B16EFF"/>
    <w:rsid w:val="00B20319"/>
    <w:rsid w:val="00B206B1"/>
    <w:rsid w:val="00B20AA5"/>
    <w:rsid w:val="00B20AE8"/>
    <w:rsid w:val="00B20DDB"/>
    <w:rsid w:val="00B20DEC"/>
    <w:rsid w:val="00B21048"/>
    <w:rsid w:val="00B2133A"/>
    <w:rsid w:val="00B213FA"/>
    <w:rsid w:val="00B21B7E"/>
    <w:rsid w:val="00B21C1C"/>
    <w:rsid w:val="00B21C51"/>
    <w:rsid w:val="00B21DD5"/>
    <w:rsid w:val="00B21ED1"/>
    <w:rsid w:val="00B224C0"/>
    <w:rsid w:val="00B226E4"/>
    <w:rsid w:val="00B2272B"/>
    <w:rsid w:val="00B229A4"/>
    <w:rsid w:val="00B22FEC"/>
    <w:rsid w:val="00B2375D"/>
    <w:rsid w:val="00B23FBE"/>
    <w:rsid w:val="00B2417B"/>
    <w:rsid w:val="00B24313"/>
    <w:rsid w:val="00B24516"/>
    <w:rsid w:val="00B2451F"/>
    <w:rsid w:val="00B24600"/>
    <w:rsid w:val="00B24A50"/>
    <w:rsid w:val="00B24AAD"/>
    <w:rsid w:val="00B2545E"/>
    <w:rsid w:val="00B2561F"/>
    <w:rsid w:val="00B25A40"/>
    <w:rsid w:val="00B2619F"/>
    <w:rsid w:val="00B2696E"/>
    <w:rsid w:val="00B26B98"/>
    <w:rsid w:val="00B26D25"/>
    <w:rsid w:val="00B26E58"/>
    <w:rsid w:val="00B272C6"/>
    <w:rsid w:val="00B27CB8"/>
    <w:rsid w:val="00B27E0C"/>
    <w:rsid w:val="00B3010E"/>
    <w:rsid w:val="00B3027C"/>
    <w:rsid w:val="00B302A5"/>
    <w:rsid w:val="00B307B0"/>
    <w:rsid w:val="00B30A70"/>
    <w:rsid w:val="00B3133F"/>
    <w:rsid w:val="00B3151B"/>
    <w:rsid w:val="00B317BE"/>
    <w:rsid w:val="00B32B4D"/>
    <w:rsid w:val="00B3301A"/>
    <w:rsid w:val="00B330DD"/>
    <w:rsid w:val="00B331C8"/>
    <w:rsid w:val="00B33F9B"/>
    <w:rsid w:val="00B345B3"/>
    <w:rsid w:val="00B3467F"/>
    <w:rsid w:val="00B3497B"/>
    <w:rsid w:val="00B349B5"/>
    <w:rsid w:val="00B35395"/>
    <w:rsid w:val="00B35396"/>
    <w:rsid w:val="00B353BC"/>
    <w:rsid w:val="00B3597E"/>
    <w:rsid w:val="00B35BE7"/>
    <w:rsid w:val="00B35DE3"/>
    <w:rsid w:val="00B35DE7"/>
    <w:rsid w:val="00B35EE7"/>
    <w:rsid w:val="00B35F39"/>
    <w:rsid w:val="00B36482"/>
    <w:rsid w:val="00B36529"/>
    <w:rsid w:val="00B36BD9"/>
    <w:rsid w:val="00B36C5C"/>
    <w:rsid w:val="00B36CBF"/>
    <w:rsid w:val="00B36EEE"/>
    <w:rsid w:val="00B3710D"/>
    <w:rsid w:val="00B37356"/>
    <w:rsid w:val="00B37497"/>
    <w:rsid w:val="00B37B02"/>
    <w:rsid w:val="00B37CE2"/>
    <w:rsid w:val="00B37E95"/>
    <w:rsid w:val="00B40578"/>
    <w:rsid w:val="00B4085D"/>
    <w:rsid w:val="00B4094B"/>
    <w:rsid w:val="00B40F12"/>
    <w:rsid w:val="00B4108E"/>
    <w:rsid w:val="00B41747"/>
    <w:rsid w:val="00B418B7"/>
    <w:rsid w:val="00B41E11"/>
    <w:rsid w:val="00B420A2"/>
    <w:rsid w:val="00B420B7"/>
    <w:rsid w:val="00B42346"/>
    <w:rsid w:val="00B42B2C"/>
    <w:rsid w:val="00B42B69"/>
    <w:rsid w:val="00B43114"/>
    <w:rsid w:val="00B431BB"/>
    <w:rsid w:val="00B43441"/>
    <w:rsid w:val="00B436F5"/>
    <w:rsid w:val="00B4388A"/>
    <w:rsid w:val="00B43F31"/>
    <w:rsid w:val="00B441C7"/>
    <w:rsid w:val="00B4431B"/>
    <w:rsid w:val="00B4451B"/>
    <w:rsid w:val="00B4456F"/>
    <w:rsid w:val="00B448EB"/>
    <w:rsid w:val="00B44D57"/>
    <w:rsid w:val="00B44FDF"/>
    <w:rsid w:val="00B45034"/>
    <w:rsid w:val="00B45CC6"/>
    <w:rsid w:val="00B45D8F"/>
    <w:rsid w:val="00B45E36"/>
    <w:rsid w:val="00B46095"/>
    <w:rsid w:val="00B47B9B"/>
    <w:rsid w:val="00B47F5A"/>
    <w:rsid w:val="00B500A8"/>
    <w:rsid w:val="00B501E9"/>
    <w:rsid w:val="00B5072B"/>
    <w:rsid w:val="00B50935"/>
    <w:rsid w:val="00B518CD"/>
    <w:rsid w:val="00B519EF"/>
    <w:rsid w:val="00B51E48"/>
    <w:rsid w:val="00B5245B"/>
    <w:rsid w:val="00B52DB6"/>
    <w:rsid w:val="00B534D6"/>
    <w:rsid w:val="00B53666"/>
    <w:rsid w:val="00B5375E"/>
    <w:rsid w:val="00B53A56"/>
    <w:rsid w:val="00B53E38"/>
    <w:rsid w:val="00B54311"/>
    <w:rsid w:val="00B54B0B"/>
    <w:rsid w:val="00B54B5E"/>
    <w:rsid w:val="00B54CED"/>
    <w:rsid w:val="00B55409"/>
    <w:rsid w:val="00B555CF"/>
    <w:rsid w:val="00B55C63"/>
    <w:rsid w:val="00B55FCB"/>
    <w:rsid w:val="00B56152"/>
    <w:rsid w:val="00B56853"/>
    <w:rsid w:val="00B56945"/>
    <w:rsid w:val="00B56FD6"/>
    <w:rsid w:val="00B56FDB"/>
    <w:rsid w:val="00B5775F"/>
    <w:rsid w:val="00B60936"/>
    <w:rsid w:val="00B60E88"/>
    <w:rsid w:val="00B60F5D"/>
    <w:rsid w:val="00B60FF5"/>
    <w:rsid w:val="00B61190"/>
    <w:rsid w:val="00B61E6E"/>
    <w:rsid w:val="00B621B9"/>
    <w:rsid w:val="00B62F23"/>
    <w:rsid w:val="00B6321C"/>
    <w:rsid w:val="00B6386E"/>
    <w:rsid w:val="00B63A1C"/>
    <w:rsid w:val="00B63F0D"/>
    <w:rsid w:val="00B64116"/>
    <w:rsid w:val="00B644C8"/>
    <w:rsid w:val="00B646B1"/>
    <w:rsid w:val="00B64713"/>
    <w:rsid w:val="00B6498B"/>
    <w:rsid w:val="00B64A7A"/>
    <w:rsid w:val="00B64D15"/>
    <w:rsid w:val="00B65180"/>
    <w:rsid w:val="00B65283"/>
    <w:rsid w:val="00B6556B"/>
    <w:rsid w:val="00B65B25"/>
    <w:rsid w:val="00B6602D"/>
    <w:rsid w:val="00B671B8"/>
    <w:rsid w:val="00B672BD"/>
    <w:rsid w:val="00B67313"/>
    <w:rsid w:val="00B67611"/>
    <w:rsid w:val="00B67679"/>
    <w:rsid w:val="00B67854"/>
    <w:rsid w:val="00B678A5"/>
    <w:rsid w:val="00B67945"/>
    <w:rsid w:val="00B67B24"/>
    <w:rsid w:val="00B67C2F"/>
    <w:rsid w:val="00B67E4E"/>
    <w:rsid w:val="00B704CE"/>
    <w:rsid w:val="00B70EE8"/>
    <w:rsid w:val="00B70FE1"/>
    <w:rsid w:val="00B7176A"/>
    <w:rsid w:val="00B718C6"/>
    <w:rsid w:val="00B71BB8"/>
    <w:rsid w:val="00B72276"/>
    <w:rsid w:val="00B7275D"/>
    <w:rsid w:val="00B728A2"/>
    <w:rsid w:val="00B7290A"/>
    <w:rsid w:val="00B72AC4"/>
    <w:rsid w:val="00B7310F"/>
    <w:rsid w:val="00B7352A"/>
    <w:rsid w:val="00B7381E"/>
    <w:rsid w:val="00B73B3B"/>
    <w:rsid w:val="00B74347"/>
    <w:rsid w:val="00B746BD"/>
    <w:rsid w:val="00B747CF"/>
    <w:rsid w:val="00B7498D"/>
    <w:rsid w:val="00B75522"/>
    <w:rsid w:val="00B75584"/>
    <w:rsid w:val="00B75608"/>
    <w:rsid w:val="00B75BE9"/>
    <w:rsid w:val="00B75DBC"/>
    <w:rsid w:val="00B75E44"/>
    <w:rsid w:val="00B762CD"/>
    <w:rsid w:val="00B766D7"/>
    <w:rsid w:val="00B768BC"/>
    <w:rsid w:val="00B76B31"/>
    <w:rsid w:val="00B76E27"/>
    <w:rsid w:val="00B76F5A"/>
    <w:rsid w:val="00B773A2"/>
    <w:rsid w:val="00B77D74"/>
    <w:rsid w:val="00B8016C"/>
    <w:rsid w:val="00B802C8"/>
    <w:rsid w:val="00B802FF"/>
    <w:rsid w:val="00B80463"/>
    <w:rsid w:val="00B804CF"/>
    <w:rsid w:val="00B8079D"/>
    <w:rsid w:val="00B81570"/>
    <w:rsid w:val="00B823E0"/>
    <w:rsid w:val="00B83145"/>
    <w:rsid w:val="00B832AF"/>
    <w:rsid w:val="00B835D4"/>
    <w:rsid w:val="00B83745"/>
    <w:rsid w:val="00B838FA"/>
    <w:rsid w:val="00B83B39"/>
    <w:rsid w:val="00B842EB"/>
    <w:rsid w:val="00B847A2"/>
    <w:rsid w:val="00B84F63"/>
    <w:rsid w:val="00B8517D"/>
    <w:rsid w:val="00B85B17"/>
    <w:rsid w:val="00B85BE8"/>
    <w:rsid w:val="00B85F87"/>
    <w:rsid w:val="00B8623B"/>
    <w:rsid w:val="00B86904"/>
    <w:rsid w:val="00B86B0A"/>
    <w:rsid w:val="00B86C93"/>
    <w:rsid w:val="00B871AC"/>
    <w:rsid w:val="00B87DCE"/>
    <w:rsid w:val="00B902CF"/>
    <w:rsid w:val="00B905F1"/>
    <w:rsid w:val="00B90AA1"/>
    <w:rsid w:val="00B90ADB"/>
    <w:rsid w:val="00B90AE5"/>
    <w:rsid w:val="00B90B87"/>
    <w:rsid w:val="00B90C6C"/>
    <w:rsid w:val="00B90EC0"/>
    <w:rsid w:val="00B910F2"/>
    <w:rsid w:val="00B9118A"/>
    <w:rsid w:val="00B91EF1"/>
    <w:rsid w:val="00B91FF5"/>
    <w:rsid w:val="00B9236B"/>
    <w:rsid w:val="00B92B1D"/>
    <w:rsid w:val="00B92CF2"/>
    <w:rsid w:val="00B92E88"/>
    <w:rsid w:val="00B92F5A"/>
    <w:rsid w:val="00B93906"/>
    <w:rsid w:val="00B93A8F"/>
    <w:rsid w:val="00B93C8F"/>
    <w:rsid w:val="00B93C9D"/>
    <w:rsid w:val="00B94B9F"/>
    <w:rsid w:val="00B94D45"/>
    <w:rsid w:val="00B953C9"/>
    <w:rsid w:val="00B95493"/>
    <w:rsid w:val="00B95873"/>
    <w:rsid w:val="00B9620C"/>
    <w:rsid w:val="00B96508"/>
    <w:rsid w:val="00B969B8"/>
    <w:rsid w:val="00B969D0"/>
    <w:rsid w:val="00B96FEB"/>
    <w:rsid w:val="00B972A5"/>
    <w:rsid w:val="00B975B4"/>
    <w:rsid w:val="00B975BA"/>
    <w:rsid w:val="00B975CC"/>
    <w:rsid w:val="00BA063C"/>
    <w:rsid w:val="00BA0CF4"/>
    <w:rsid w:val="00BA10B6"/>
    <w:rsid w:val="00BA118A"/>
    <w:rsid w:val="00BA12BB"/>
    <w:rsid w:val="00BA1874"/>
    <w:rsid w:val="00BA1A5D"/>
    <w:rsid w:val="00BA1C51"/>
    <w:rsid w:val="00BA214B"/>
    <w:rsid w:val="00BA2872"/>
    <w:rsid w:val="00BA288D"/>
    <w:rsid w:val="00BA2BCE"/>
    <w:rsid w:val="00BA33E3"/>
    <w:rsid w:val="00BA362C"/>
    <w:rsid w:val="00BA3992"/>
    <w:rsid w:val="00BA409D"/>
    <w:rsid w:val="00BA45B7"/>
    <w:rsid w:val="00BA45D5"/>
    <w:rsid w:val="00BA4BDD"/>
    <w:rsid w:val="00BA4F78"/>
    <w:rsid w:val="00BA5737"/>
    <w:rsid w:val="00BA5C03"/>
    <w:rsid w:val="00BA64B5"/>
    <w:rsid w:val="00BA6BFA"/>
    <w:rsid w:val="00BA721F"/>
    <w:rsid w:val="00BA7C25"/>
    <w:rsid w:val="00BB0047"/>
    <w:rsid w:val="00BB0619"/>
    <w:rsid w:val="00BB0C84"/>
    <w:rsid w:val="00BB0EF6"/>
    <w:rsid w:val="00BB11FA"/>
    <w:rsid w:val="00BB1253"/>
    <w:rsid w:val="00BB12C1"/>
    <w:rsid w:val="00BB1E88"/>
    <w:rsid w:val="00BB285A"/>
    <w:rsid w:val="00BB2963"/>
    <w:rsid w:val="00BB29EF"/>
    <w:rsid w:val="00BB3261"/>
    <w:rsid w:val="00BB40F9"/>
    <w:rsid w:val="00BB454E"/>
    <w:rsid w:val="00BB48BB"/>
    <w:rsid w:val="00BB4AB0"/>
    <w:rsid w:val="00BB4C11"/>
    <w:rsid w:val="00BB4E78"/>
    <w:rsid w:val="00BB52BF"/>
    <w:rsid w:val="00BB53AB"/>
    <w:rsid w:val="00BB53F0"/>
    <w:rsid w:val="00BB5405"/>
    <w:rsid w:val="00BB5978"/>
    <w:rsid w:val="00BB6BBD"/>
    <w:rsid w:val="00BB6BE1"/>
    <w:rsid w:val="00BB6EC9"/>
    <w:rsid w:val="00BB7003"/>
    <w:rsid w:val="00BB7010"/>
    <w:rsid w:val="00BB7398"/>
    <w:rsid w:val="00BB7399"/>
    <w:rsid w:val="00BB7647"/>
    <w:rsid w:val="00BB7DFF"/>
    <w:rsid w:val="00BB7FB9"/>
    <w:rsid w:val="00BC0A7F"/>
    <w:rsid w:val="00BC13E7"/>
    <w:rsid w:val="00BC16CD"/>
    <w:rsid w:val="00BC173F"/>
    <w:rsid w:val="00BC17C3"/>
    <w:rsid w:val="00BC1CB2"/>
    <w:rsid w:val="00BC296C"/>
    <w:rsid w:val="00BC2FA5"/>
    <w:rsid w:val="00BC309A"/>
    <w:rsid w:val="00BC3252"/>
    <w:rsid w:val="00BC33E3"/>
    <w:rsid w:val="00BC373B"/>
    <w:rsid w:val="00BC3A73"/>
    <w:rsid w:val="00BC3AAD"/>
    <w:rsid w:val="00BC49B5"/>
    <w:rsid w:val="00BC49C4"/>
    <w:rsid w:val="00BC4AFB"/>
    <w:rsid w:val="00BC4C7B"/>
    <w:rsid w:val="00BC4D07"/>
    <w:rsid w:val="00BC4D53"/>
    <w:rsid w:val="00BC4EC5"/>
    <w:rsid w:val="00BC524E"/>
    <w:rsid w:val="00BC54DA"/>
    <w:rsid w:val="00BC57F1"/>
    <w:rsid w:val="00BC5A78"/>
    <w:rsid w:val="00BC5AA0"/>
    <w:rsid w:val="00BC5E5C"/>
    <w:rsid w:val="00BC6014"/>
    <w:rsid w:val="00BC6300"/>
    <w:rsid w:val="00BC6310"/>
    <w:rsid w:val="00BC6384"/>
    <w:rsid w:val="00BC7288"/>
    <w:rsid w:val="00BC73AF"/>
    <w:rsid w:val="00BC7845"/>
    <w:rsid w:val="00BD038B"/>
    <w:rsid w:val="00BD0604"/>
    <w:rsid w:val="00BD06E2"/>
    <w:rsid w:val="00BD1830"/>
    <w:rsid w:val="00BD27FC"/>
    <w:rsid w:val="00BD2BA5"/>
    <w:rsid w:val="00BD40CF"/>
    <w:rsid w:val="00BD44E5"/>
    <w:rsid w:val="00BD4B80"/>
    <w:rsid w:val="00BD506C"/>
    <w:rsid w:val="00BD529A"/>
    <w:rsid w:val="00BD6434"/>
    <w:rsid w:val="00BD672F"/>
    <w:rsid w:val="00BD6B65"/>
    <w:rsid w:val="00BD6BC9"/>
    <w:rsid w:val="00BD728D"/>
    <w:rsid w:val="00BD7CA0"/>
    <w:rsid w:val="00BD7FC5"/>
    <w:rsid w:val="00BE000D"/>
    <w:rsid w:val="00BE03D0"/>
    <w:rsid w:val="00BE0719"/>
    <w:rsid w:val="00BE0749"/>
    <w:rsid w:val="00BE089C"/>
    <w:rsid w:val="00BE0D6B"/>
    <w:rsid w:val="00BE169A"/>
    <w:rsid w:val="00BE17B1"/>
    <w:rsid w:val="00BE2121"/>
    <w:rsid w:val="00BE23BD"/>
    <w:rsid w:val="00BE25FB"/>
    <w:rsid w:val="00BE2CBF"/>
    <w:rsid w:val="00BE2D9A"/>
    <w:rsid w:val="00BE2E45"/>
    <w:rsid w:val="00BE314A"/>
    <w:rsid w:val="00BE31E8"/>
    <w:rsid w:val="00BE32C6"/>
    <w:rsid w:val="00BE3A5C"/>
    <w:rsid w:val="00BE3DAD"/>
    <w:rsid w:val="00BE4374"/>
    <w:rsid w:val="00BE49A9"/>
    <w:rsid w:val="00BE4AE8"/>
    <w:rsid w:val="00BE4B5E"/>
    <w:rsid w:val="00BE5303"/>
    <w:rsid w:val="00BE5428"/>
    <w:rsid w:val="00BE54AE"/>
    <w:rsid w:val="00BE550E"/>
    <w:rsid w:val="00BE5D0E"/>
    <w:rsid w:val="00BE66B9"/>
    <w:rsid w:val="00BE6F3E"/>
    <w:rsid w:val="00BE73F7"/>
    <w:rsid w:val="00BE7427"/>
    <w:rsid w:val="00BE7687"/>
    <w:rsid w:val="00BE7D62"/>
    <w:rsid w:val="00BE7F2D"/>
    <w:rsid w:val="00BF09C9"/>
    <w:rsid w:val="00BF09DF"/>
    <w:rsid w:val="00BF1134"/>
    <w:rsid w:val="00BF122F"/>
    <w:rsid w:val="00BF13DF"/>
    <w:rsid w:val="00BF25D9"/>
    <w:rsid w:val="00BF27A2"/>
    <w:rsid w:val="00BF2AA8"/>
    <w:rsid w:val="00BF2CF6"/>
    <w:rsid w:val="00BF2E70"/>
    <w:rsid w:val="00BF38C8"/>
    <w:rsid w:val="00BF3ACD"/>
    <w:rsid w:val="00BF4144"/>
    <w:rsid w:val="00BF420D"/>
    <w:rsid w:val="00BF5378"/>
    <w:rsid w:val="00BF5386"/>
    <w:rsid w:val="00BF5422"/>
    <w:rsid w:val="00BF5723"/>
    <w:rsid w:val="00BF5856"/>
    <w:rsid w:val="00BF59CF"/>
    <w:rsid w:val="00BF6746"/>
    <w:rsid w:val="00BF6B70"/>
    <w:rsid w:val="00BF6DFC"/>
    <w:rsid w:val="00BF7244"/>
    <w:rsid w:val="00BF7260"/>
    <w:rsid w:val="00BF78FA"/>
    <w:rsid w:val="00BF7E27"/>
    <w:rsid w:val="00C00160"/>
    <w:rsid w:val="00C00441"/>
    <w:rsid w:val="00C007D1"/>
    <w:rsid w:val="00C0083A"/>
    <w:rsid w:val="00C00A7D"/>
    <w:rsid w:val="00C00EC6"/>
    <w:rsid w:val="00C01771"/>
    <w:rsid w:val="00C01F17"/>
    <w:rsid w:val="00C021BA"/>
    <w:rsid w:val="00C02B42"/>
    <w:rsid w:val="00C035EE"/>
    <w:rsid w:val="00C03A85"/>
    <w:rsid w:val="00C03AB3"/>
    <w:rsid w:val="00C03C5F"/>
    <w:rsid w:val="00C03DA1"/>
    <w:rsid w:val="00C04079"/>
    <w:rsid w:val="00C04A8E"/>
    <w:rsid w:val="00C05090"/>
    <w:rsid w:val="00C0529C"/>
    <w:rsid w:val="00C052C5"/>
    <w:rsid w:val="00C053B9"/>
    <w:rsid w:val="00C05AA5"/>
    <w:rsid w:val="00C063D9"/>
    <w:rsid w:val="00C065DF"/>
    <w:rsid w:val="00C0663A"/>
    <w:rsid w:val="00C067F2"/>
    <w:rsid w:val="00C068E4"/>
    <w:rsid w:val="00C06A90"/>
    <w:rsid w:val="00C06DBA"/>
    <w:rsid w:val="00C07D26"/>
    <w:rsid w:val="00C07FF2"/>
    <w:rsid w:val="00C10A9F"/>
    <w:rsid w:val="00C112DF"/>
    <w:rsid w:val="00C114AF"/>
    <w:rsid w:val="00C118FA"/>
    <w:rsid w:val="00C12734"/>
    <w:rsid w:val="00C12B2C"/>
    <w:rsid w:val="00C12BE1"/>
    <w:rsid w:val="00C12CD6"/>
    <w:rsid w:val="00C13889"/>
    <w:rsid w:val="00C13A54"/>
    <w:rsid w:val="00C13AAA"/>
    <w:rsid w:val="00C13F2E"/>
    <w:rsid w:val="00C13FB2"/>
    <w:rsid w:val="00C13FD8"/>
    <w:rsid w:val="00C1423E"/>
    <w:rsid w:val="00C14537"/>
    <w:rsid w:val="00C153A9"/>
    <w:rsid w:val="00C153CF"/>
    <w:rsid w:val="00C15CE4"/>
    <w:rsid w:val="00C168D1"/>
    <w:rsid w:val="00C169D2"/>
    <w:rsid w:val="00C16DE1"/>
    <w:rsid w:val="00C16F3F"/>
    <w:rsid w:val="00C170A4"/>
    <w:rsid w:val="00C1776D"/>
    <w:rsid w:val="00C17BC1"/>
    <w:rsid w:val="00C2017D"/>
    <w:rsid w:val="00C201BF"/>
    <w:rsid w:val="00C201F2"/>
    <w:rsid w:val="00C20245"/>
    <w:rsid w:val="00C2086E"/>
    <w:rsid w:val="00C2093A"/>
    <w:rsid w:val="00C20A2D"/>
    <w:rsid w:val="00C21312"/>
    <w:rsid w:val="00C21390"/>
    <w:rsid w:val="00C215FC"/>
    <w:rsid w:val="00C21655"/>
    <w:rsid w:val="00C21CA3"/>
    <w:rsid w:val="00C2201F"/>
    <w:rsid w:val="00C22312"/>
    <w:rsid w:val="00C22517"/>
    <w:rsid w:val="00C22804"/>
    <w:rsid w:val="00C22B9F"/>
    <w:rsid w:val="00C22D41"/>
    <w:rsid w:val="00C23532"/>
    <w:rsid w:val="00C238CE"/>
    <w:rsid w:val="00C2462D"/>
    <w:rsid w:val="00C2464E"/>
    <w:rsid w:val="00C24884"/>
    <w:rsid w:val="00C25058"/>
    <w:rsid w:val="00C25BF0"/>
    <w:rsid w:val="00C25D90"/>
    <w:rsid w:val="00C26233"/>
    <w:rsid w:val="00C26365"/>
    <w:rsid w:val="00C26778"/>
    <w:rsid w:val="00C26801"/>
    <w:rsid w:val="00C26B18"/>
    <w:rsid w:val="00C26C71"/>
    <w:rsid w:val="00C27123"/>
    <w:rsid w:val="00C27534"/>
    <w:rsid w:val="00C2765A"/>
    <w:rsid w:val="00C27A03"/>
    <w:rsid w:val="00C27B74"/>
    <w:rsid w:val="00C27C92"/>
    <w:rsid w:val="00C27FA2"/>
    <w:rsid w:val="00C301B4"/>
    <w:rsid w:val="00C3035F"/>
    <w:rsid w:val="00C30BD8"/>
    <w:rsid w:val="00C30BEA"/>
    <w:rsid w:val="00C31422"/>
    <w:rsid w:val="00C31A51"/>
    <w:rsid w:val="00C31BE9"/>
    <w:rsid w:val="00C31BEE"/>
    <w:rsid w:val="00C32130"/>
    <w:rsid w:val="00C32556"/>
    <w:rsid w:val="00C329E6"/>
    <w:rsid w:val="00C3317D"/>
    <w:rsid w:val="00C334C8"/>
    <w:rsid w:val="00C33CB5"/>
    <w:rsid w:val="00C3464E"/>
    <w:rsid w:val="00C34674"/>
    <w:rsid w:val="00C34AC4"/>
    <w:rsid w:val="00C34D0D"/>
    <w:rsid w:val="00C34E54"/>
    <w:rsid w:val="00C34F17"/>
    <w:rsid w:val="00C35438"/>
    <w:rsid w:val="00C354D9"/>
    <w:rsid w:val="00C35CC8"/>
    <w:rsid w:val="00C35CF4"/>
    <w:rsid w:val="00C35E3F"/>
    <w:rsid w:val="00C360FE"/>
    <w:rsid w:val="00C361E3"/>
    <w:rsid w:val="00C362CA"/>
    <w:rsid w:val="00C362D8"/>
    <w:rsid w:val="00C362ED"/>
    <w:rsid w:val="00C36ADD"/>
    <w:rsid w:val="00C36B27"/>
    <w:rsid w:val="00C37005"/>
    <w:rsid w:val="00C37C08"/>
    <w:rsid w:val="00C40018"/>
    <w:rsid w:val="00C40132"/>
    <w:rsid w:val="00C4068B"/>
    <w:rsid w:val="00C40711"/>
    <w:rsid w:val="00C40846"/>
    <w:rsid w:val="00C4117D"/>
    <w:rsid w:val="00C41C98"/>
    <w:rsid w:val="00C41DCE"/>
    <w:rsid w:val="00C41E76"/>
    <w:rsid w:val="00C41F18"/>
    <w:rsid w:val="00C42103"/>
    <w:rsid w:val="00C422F0"/>
    <w:rsid w:val="00C4234A"/>
    <w:rsid w:val="00C42AC4"/>
    <w:rsid w:val="00C42D11"/>
    <w:rsid w:val="00C42EBA"/>
    <w:rsid w:val="00C431B6"/>
    <w:rsid w:val="00C437D6"/>
    <w:rsid w:val="00C43AF2"/>
    <w:rsid w:val="00C44710"/>
    <w:rsid w:val="00C44956"/>
    <w:rsid w:val="00C451D2"/>
    <w:rsid w:val="00C45405"/>
    <w:rsid w:val="00C4541D"/>
    <w:rsid w:val="00C45494"/>
    <w:rsid w:val="00C45678"/>
    <w:rsid w:val="00C45838"/>
    <w:rsid w:val="00C45977"/>
    <w:rsid w:val="00C4600C"/>
    <w:rsid w:val="00C4626E"/>
    <w:rsid w:val="00C469B5"/>
    <w:rsid w:val="00C46CF9"/>
    <w:rsid w:val="00C4733E"/>
    <w:rsid w:val="00C47342"/>
    <w:rsid w:val="00C4787F"/>
    <w:rsid w:val="00C47C94"/>
    <w:rsid w:val="00C47D0A"/>
    <w:rsid w:val="00C47E25"/>
    <w:rsid w:val="00C5035B"/>
    <w:rsid w:val="00C506C7"/>
    <w:rsid w:val="00C50891"/>
    <w:rsid w:val="00C50DB3"/>
    <w:rsid w:val="00C50EA7"/>
    <w:rsid w:val="00C51561"/>
    <w:rsid w:val="00C51898"/>
    <w:rsid w:val="00C522F5"/>
    <w:rsid w:val="00C5239E"/>
    <w:rsid w:val="00C524F1"/>
    <w:rsid w:val="00C525B9"/>
    <w:rsid w:val="00C526E5"/>
    <w:rsid w:val="00C52990"/>
    <w:rsid w:val="00C52D61"/>
    <w:rsid w:val="00C53341"/>
    <w:rsid w:val="00C534F9"/>
    <w:rsid w:val="00C53627"/>
    <w:rsid w:val="00C538D6"/>
    <w:rsid w:val="00C53C48"/>
    <w:rsid w:val="00C548E4"/>
    <w:rsid w:val="00C54B92"/>
    <w:rsid w:val="00C54C10"/>
    <w:rsid w:val="00C54DD1"/>
    <w:rsid w:val="00C55B54"/>
    <w:rsid w:val="00C5606C"/>
    <w:rsid w:val="00C563DB"/>
    <w:rsid w:val="00C56916"/>
    <w:rsid w:val="00C56B60"/>
    <w:rsid w:val="00C57100"/>
    <w:rsid w:val="00C57784"/>
    <w:rsid w:val="00C579D7"/>
    <w:rsid w:val="00C57D79"/>
    <w:rsid w:val="00C57FC5"/>
    <w:rsid w:val="00C60158"/>
    <w:rsid w:val="00C602C6"/>
    <w:rsid w:val="00C603FE"/>
    <w:rsid w:val="00C60543"/>
    <w:rsid w:val="00C6113E"/>
    <w:rsid w:val="00C61865"/>
    <w:rsid w:val="00C61DFD"/>
    <w:rsid w:val="00C61EF5"/>
    <w:rsid w:val="00C6227E"/>
    <w:rsid w:val="00C62A11"/>
    <w:rsid w:val="00C62E52"/>
    <w:rsid w:val="00C63125"/>
    <w:rsid w:val="00C6339F"/>
    <w:rsid w:val="00C63415"/>
    <w:rsid w:val="00C63AF0"/>
    <w:rsid w:val="00C63C98"/>
    <w:rsid w:val="00C63F93"/>
    <w:rsid w:val="00C63FF1"/>
    <w:rsid w:val="00C64015"/>
    <w:rsid w:val="00C64ADB"/>
    <w:rsid w:val="00C64CB8"/>
    <w:rsid w:val="00C64CFE"/>
    <w:rsid w:val="00C65463"/>
    <w:rsid w:val="00C65677"/>
    <w:rsid w:val="00C65E4C"/>
    <w:rsid w:val="00C65F50"/>
    <w:rsid w:val="00C66143"/>
    <w:rsid w:val="00C661C5"/>
    <w:rsid w:val="00C66989"/>
    <w:rsid w:val="00C66BB3"/>
    <w:rsid w:val="00C6701D"/>
    <w:rsid w:val="00C67057"/>
    <w:rsid w:val="00C6738C"/>
    <w:rsid w:val="00C67B1C"/>
    <w:rsid w:val="00C67C10"/>
    <w:rsid w:val="00C7038C"/>
    <w:rsid w:val="00C70963"/>
    <w:rsid w:val="00C70AB6"/>
    <w:rsid w:val="00C70F4B"/>
    <w:rsid w:val="00C71214"/>
    <w:rsid w:val="00C71410"/>
    <w:rsid w:val="00C7165C"/>
    <w:rsid w:val="00C716D1"/>
    <w:rsid w:val="00C71B59"/>
    <w:rsid w:val="00C71F26"/>
    <w:rsid w:val="00C7209E"/>
    <w:rsid w:val="00C72793"/>
    <w:rsid w:val="00C72870"/>
    <w:rsid w:val="00C72F27"/>
    <w:rsid w:val="00C7306D"/>
    <w:rsid w:val="00C738AB"/>
    <w:rsid w:val="00C73C3E"/>
    <w:rsid w:val="00C73D97"/>
    <w:rsid w:val="00C73F73"/>
    <w:rsid w:val="00C73FB6"/>
    <w:rsid w:val="00C740C4"/>
    <w:rsid w:val="00C7426E"/>
    <w:rsid w:val="00C74651"/>
    <w:rsid w:val="00C747CD"/>
    <w:rsid w:val="00C74D30"/>
    <w:rsid w:val="00C74FFE"/>
    <w:rsid w:val="00C752F6"/>
    <w:rsid w:val="00C754F5"/>
    <w:rsid w:val="00C756E9"/>
    <w:rsid w:val="00C75C7D"/>
    <w:rsid w:val="00C75D25"/>
    <w:rsid w:val="00C75EBD"/>
    <w:rsid w:val="00C76195"/>
    <w:rsid w:val="00C763C9"/>
    <w:rsid w:val="00C76C36"/>
    <w:rsid w:val="00C770C7"/>
    <w:rsid w:val="00C7725F"/>
    <w:rsid w:val="00C77AA9"/>
    <w:rsid w:val="00C80195"/>
    <w:rsid w:val="00C8070B"/>
    <w:rsid w:val="00C808EF"/>
    <w:rsid w:val="00C80D03"/>
    <w:rsid w:val="00C80D81"/>
    <w:rsid w:val="00C811B7"/>
    <w:rsid w:val="00C8158B"/>
    <w:rsid w:val="00C815FB"/>
    <w:rsid w:val="00C81636"/>
    <w:rsid w:val="00C82006"/>
    <w:rsid w:val="00C822C4"/>
    <w:rsid w:val="00C82356"/>
    <w:rsid w:val="00C82ADB"/>
    <w:rsid w:val="00C8321E"/>
    <w:rsid w:val="00C83356"/>
    <w:rsid w:val="00C8346C"/>
    <w:rsid w:val="00C83573"/>
    <w:rsid w:val="00C83FB3"/>
    <w:rsid w:val="00C8437B"/>
    <w:rsid w:val="00C84402"/>
    <w:rsid w:val="00C84483"/>
    <w:rsid w:val="00C84882"/>
    <w:rsid w:val="00C848CD"/>
    <w:rsid w:val="00C856B5"/>
    <w:rsid w:val="00C85702"/>
    <w:rsid w:val="00C85717"/>
    <w:rsid w:val="00C859A2"/>
    <w:rsid w:val="00C85D28"/>
    <w:rsid w:val="00C85E1B"/>
    <w:rsid w:val="00C860EF"/>
    <w:rsid w:val="00C86557"/>
    <w:rsid w:val="00C86676"/>
    <w:rsid w:val="00C86706"/>
    <w:rsid w:val="00C868F3"/>
    <w:rsid w:val="00C87AD9"/>
    <w:rsid w:val="00C87AF6"/>
    <w:rsid w:val="00C90062"/>
    <w:rsid w:val="00C90220"/>
    <w:rsid w:val="00C90732"/>
    <w:rsid w:val="00C90772"/>
    <w:rsid w:val="00C90E5E"/>
    <w:rsid w:val="00C91222"/>
    <w:rsid w:val="00C913FB"/>
    <w:rsid w:val="00C91494"/>
    <w:rsid w:val="00C91984"/>
    <w:rsid w:val="00C91CDD"/>
    <w:rsid w:val="00C91D7E"/>
    <w:rsid w:val="00C925DE"/>
    <w:rsid w:val="00C92BF3"/>
    <w:rsid w:val="00C93084"/>
    <w:rsid w:val="00C93311"/>
    <w:rsid w:val="00C9350C"/>
    <w:rsid w:val="00C93575"/>
    <w:rsid w:val="00C93CE6"/>
    <w:rsid w:val="00C94194"/>
    <w:rsid w:val="00C941B5"/>
    <w:rsid w:val="00C9434B"/>
    <w:rsid w:val="00C944EF"/>
    <w:rsid w:val="00C94946"/>
    <w:rsid w:val="00C94FDF"/>
    <w:rsid w:val="00C954C8"/>
    <w:rsid w:val="00C956A8"/>
    <w:rsid w:val="00C95F13"/>
    <w:rsid w:val="00C95F3C"/>
    <w:rsid w:val="00C96129"/>
    <w:rsid w:val="00C9662F"/>
    <w:rsid w:val="00C966D5"/>
    <w:rsid w:val="00C96863"/>
    <w:rsid w:val="00C96B39"/>
    <w:rsid w:val="00C97A63"/>
    <w:rsid w:val="00C97E32"/>
    <w:rsid w:val="00C97EEE"/>
    <w:rsid w:val="00C97F5E"/>
    <w:rsid w:val="00CA0325"/>
    <w:rsid w:val="00CA04ED"/>
    <w:rsid w:val="00CA097E"/>
    <w:rsid w:val="00CA10F3"/>
    <w:rsid w:val="00CA1552"/>
    <w:rsid w:val="00CA1E88"/>
    <w:rsid w:val="00CA26DA"/>
    <w:rsid w:val="00CA2B35"/>
    <w:rsid w:val="00CA2E83"/>
    <w:rsid w:val="00CA30B0"/>
    <w:rsid w:val="00CA35F6"/>
    <w:rsid w:val="00CA3B21"/>
    <w:rsid w:val="00CA3CAB"/>
    <w:rsid w:val="00CA3FBE"/>
    <w:rsid w:val="00CA4C8C"/>
    <w:rsid w:val="00CA4D62"/>
    <w:rsid w:val="00CA4E70"/>
    <w:rsid w:val="00CA5067"/>
    <w:rsid w:val="00CA53EC"/>
    <w:rsid w:val="00CA5404"/>
    <w:rsid w:val="00CA555B"/>
    <w:rsid w:val="00CA5DA8"/>
    <w:rsid w:val="00CA5F31"/>
    <w:rsid w:val="00CA6089"/>
    <w:rsid w:val="00CA6551"/>
    <w:rsid w:val="00CA665B"/>
    <w:rsid w:val="00CA6696"/>
    <w:rsid w:val="00CA6944"/>
    <w:rsid w:val="00CA77C0"/>
    <w:rsid w:val="00CA7806"/>
    <w:rsid w:val="00CA7F98"/>
    <w:rsid w:val="00CA7FFC"/>
    <w:rsid w:val="00CB02D5"/>
    <w:rsid w:val="00CB03C0"/>
    <w:rsid w:val="00CB093C"/>
    <w:rsid w:val="00CB0F9D"/>
    <w:rsid w:val="00CB15D6"/>
    <w:rsid w:val="00CB170F"/>
    <w:rsid w:val="00CB1A4F"/>
    <w:rsid w:val="00CB1B73"/>
    <w:rsid w:val="00CB1FF2"/>
    <w:rsid w:val="00CB2A2B"/>
    <w:rsid w:val="00CB2B0C"/>
    <w:rsid w:val="00CB2E95"/>
    <w:rsid w:val="00CB2F40"/>
    <w:rsid w:val="00CB3F9D"/>
    <w:rsid w:val="00CB4065"/>
    <w:rsid w:val="00CB4236"/>
    <w:rsid w:val="00CB4773"/>
    <w:rsid w:val="00CB48ED"/>
    <w:rsid w:val="00CB4DF7"/>
    <w:rsid w:val="00CB538E"/>
    <w:rsid w:val="00CB545E"/>
    <w:rsid w:val="00CB5875"/>
    <w:rsid w:val="00CB5A6F"/>
    <w:rsid w:val="00CB5CDC"/>
    <w:rsid w:val="00CB671C"/>
    <w:rsid w:val="00CB67F2"/>
    <w:rsid w:val="00CB68A0"/>
    <w:rsid w:val="00CB6B41"/>
    <w:rsid w:val="00CB7059"/>
    <w:rsid w:val="00CB7184"/>
    <w:rsid w:val="00CB73EE"/>
    <w:rsid w:val="00CB79B1"/>
    <w:rsid w:val="00CC0262"/>
    <w:rsid w:val="00CC0431"/>
    <w:rsid w:val="00CC1240"/>
    <w:rsid w:val="00CC13EF"/>
    <w:rsid w:val="00CC156F"/>
    <w:rsid w:val="00CC16B7"/>
    <w:rsid w:val="00CC1859"/>
    <w:rsid w:val="00CC18AA"/>
    <w:rsid w:val="00CC19F0"/>
    <w:rsid w:val="00CC1C24"/>
    <w:rsid w:val="00CC1C79"/>
    <w:rsid w:val="00CC2043"/>
    <w:rsid w:val="00CC2044"/>
    <w:rsid w:val="00CC20A0"/>
    <w:rsid w:val="00CC2453"/>
    <w:rsid w:val="00CC342A"/>
    <w:rsid w:val="00CC3430"/>
    <w:rsid w:val="00CC37A2"/>
    <w:rsid w:val="00CC3926"/>
    <w:rsid w:val="00CC4009"/>
    <w:rsid w:val="00CC4030"/>
    <w:rsid w:val="00CC4329"/>
    <w:rsid w:val="00CC453A"/>
    <w:rsid w:val="00CC4E87"/>
    <w:rsid w:val="00CC4F76"/>
    <w:rsid w:val="00CC5632"/>
    <w:rsid w:val="00CC56B7"/>
    <w:rsid w:val="00CC5737"/>
    <w:rsid w:val="00CC5D7F"/>
    <w:rsid w:val="00CC60D9"/>
    <w:rsid w:val="00CC6767"/>
    <w:rsid w:val="00CC692A"/>
    <w:rsid w:val="00CC69FD"/>
    <w:rsid w:val="00CC6B37"/>
    <w:rsid w:val="00CC70EA"/>
    <w:rsid w:val="00CC74D0"/>
    <w:rsid w:val="00CC7763"/>
    <w:rsid w:val="00CC7D76"/>
    <w:rsid w:val="00CD043C"/>
    <w:rsid w:val="00CD05F7"/>
    <w:rsid w:val="00CD06C7"/>
    <w:rsid w:val="00CD083E"/>
    <w:rsid w:val="00CD0A73"/>
    <w:rsid w:val="00CD0F4E"/>
    <w:rsid w:val="00CD14DD"/>
    <w:rsid w:val="00CD1912"/>
    <w:rsid w:val="00CD1928"/>
    <w:rsid w:val="00CD19EA"/>
    <w:rsid w:val="00CD1A6D"/>
    <w:rsid w:val="00CD1E16"/>
    <w:rsid w:val="00CD2283"/>
    <w:rsid w:val="00CD236F"/>
    <w:rsid w:val="00CD2387"/>
    <w:rsid w:val="00CD2634"/>
    <w:rsid w:val="00CD27BA"/>
    <w:rsid w:val="00CD282F"/>
    <w:rsid w:val="00CD3D1F"/>
    <w:rsid w:val="00CD3DA9"/>
    <w:rsid w:val="00CD3E16"/>
    <w:rsid w:val="00CD3FD3"/>
    <w:rsid w:val="00CD42F7"/>
    <w:rsid w:val="00CD53D5"/>
    <w:rsid w:val="00CD55F0"/>
    <w:rsid w:val="00CD59CF"/>
    <w:rsid w:val="00CD5CDB"/>
    <w:rsid w:val="00CD6087"/>
    <w:rsid w:val="00CD6094"/>
    <w:rsid w:val="00CD61BA"/>
    <w:rsid w:val="00CD61F3"/>
    <w:rsid w:val="00CD6895"/>
    <w:rsid w:val="00CD6FCC"/>
    <w:rsid w:val="00CD70E5"/>
    <w:rsid w:val="00CD72C9"/>
    <w:rsid w:val="00CD7872"/>
    <w:rsid w:val="00CD79F9"/>
    <w:rsid w:val="00CD7A7B"/>
    <w:rsid w:val="00CD7DCB"/>
    <w:rsid w:val="00CE06C1"/>
    <w:rsid w:val="00CE082B"/>
    <w:rsid w:val="00CE0CC6"/>
    <w:rsid w:val="00CE1DF4"/>
    <w:rsid w:val="00CE1FF0"/>
    <w:rsid w:val="00CE2453"/>
    <w:rsid w:val="00CE2A75"/>
    <w:rsid w:val="00CE334D"/>
    <w:rsid w:val="00CE3AAC"/>
    <w:rsid w:val="00CE3DA0"/>
    <w:rsid w:val="00CE3E1B"/>
    <w:rsid w:val="00CE3F8B"/>
    <w:rsid w:val="00CE4138"/>
    <w:rsid w:val="00CE4353"/>
    <w:rsid w:val="00CE45F3"/>
    <w:rsid w:val="00CE47D1"/>
    <w:rsid w:val="00CE4CAF"/>
    <w:rsid w:val="00CE4CFD"/>
    <w:rsid w:val="00CE5265"/>
    <w:rsid w:val="00CE5453"/>
    <w:rsid w:val="00CE56FB"/>
    <w:rsid w:val="00CE5A3A"/>
    <w:rsid w:val="00CE5A47"/>
    <w:rsid w:val="00CE5DD8"/>
    <w:rsid w:val="00CE5FFD"/>
    <w:rsid w:val="00CE6302"/>
    <w:rsid w:val="00CE64A5"/>
    <w:rsid w:val="00CE65FB"/>
    <w:rsid w:val="00CE67AF"/>
    <w:rsid w:val="00CE7000"/>
    <w:rsid w:val="00CE702D"/>
    <w:rsid w:val="00CE7177"/>
    <w:rsid w:val="00CE7DDB"/>
    <w:rsid w:val="00CF0785"/>
    <w:rsid w:val="00CF0E71"/>
    <w:rsid w:val="00CF10B2"/>
    <w:rsid w:val="00CF14A3"/>
    <w:rsid w:val="00CF167D"/>
    <w:rsid w:val="00CF1B38"/>
    <w:rsid w:val="00CF1C05"/>
    <w:rsid w:val="00CF2201"/>
    <w:rsid w:val="00CF223A"/>
    <w:rsid w:val="00CF22B9"/>
    <w:rsid w:val="00CF27CA"/>
    <w:rsid w:val="00CF2B92"/>
    <w:rsid w:val="00CF2D99"/>
    <w:rsid w:val="00CF2E2A"/>
    <w:rsid w:val="00CF39C8"/>
    <w:rsid w:val="00CF4157"/>
    <w:rsid w:val="00CF42C0"/>
    <w:rsid w:val="00CF4364"/>
    <w:rsid w:val="00CF49AB"/>
    <w:rsid w:val="00CF4E2B"/>
    <w:rsid w:val="00CF54C7"/>
    <w:rsid w:val="00CF55CE"/>
    <w:rsid w:val="00CF5B49"/>
    <w:rsid w:val="00CF6158"/>
    <w:rsid w:val="00CF6835"/>
    <w:rsid w:val="00CF6E85"/>
    <w:rsid w:val="00CF6F20"/>
    <w:rsid w:val="00CF732E"/>
    <w:rsid w:val="00CF77D7"/>
    <w:rsid w:val="00CF7903"/>
    <w:rsid w:val="00CF7CE1"/>
    <w:rsid w:val="00CF7DA1"/>
    <w:rsid w:val="00D000AC"/>
    <w:rsid w:val="00D000CF"/>
    <w:rsid w:val="00D00124"/>
    <w:rsid w:val="00D002BB"/>
    <w:rsid w:val="00D00322"/>
    <w:rsid w:val="00D009B8"/>
    <w:rsid w:val="00D00E97"/>
    <w:rsid w:val="00D00FD0"/>
    <w:rsid w:val="00D010DC"/>
    <w:rsid w:val="00D0114C"/>
    <w:rsid w:val="00D01372"/>
    <w:rsid w:val="00D019F5"/>
    <w:rsid w:val="00D01AE5"/>
    <w:rsid w:val="00D01B5B"/>
    <w:rsid w:val="00D01BD7"/>
    <w:rsid w:val="00D01EBE"/>
    <w:rsid w:val="00D01ECD"/>
    <w:rsid w:val="00D02A21"/>
    <w:rsid w:val="00D02E71"/>
    <w:rsid w:val="00D03D1C"/>
    <w:rsid w:val="00D03D52"/>
    <w:rsid w:val="00D03E97"/>
    <w:rsid w:val="00D040F1"/>
    <w:rsid w:val="00D0425E"/>
    <w:rsid w:val="00D04E18"/>
    <w:rsid w:val="00D05163"/>
    <w:rsid w:val="00D051A4"/>
    <w:rsid w:val="00D056BE"/>
    <w:rsid w:val="00D0582B"/>
    <w:rsid w:val="00D064CD"/>
    <w:rsid w:val="00D06697"/>
    <w:rsid w:val="00D06797"/>
    <w:rsid w:val="00D06955"/>
    <w:rsid w:val="00D06BF5"/>
    <w:rsid w:val="00D06DA1"/>
    <w:rsid w:val="00D075F9"/>
    <w:rsid w:val="00D07A80"/>
    <w:rsid w:val="00D07F97"/>
    <w:rsid w:val="00D102C5"/>
    <w:rsid w:val="00D104C9"/>
    <w:rsid w:val="00D106DA"/>
    <w:rsid w:val="00D10770"/>
    <w:rsid w:val="00D10BA7"/>
    <w:rsid w:val="00D10D59"/>
    <w:rsid w:val="00D10F46"/>
    <w:rsid w:val="00D11218"/>
    <w:rsid w:val="00D117A7"/>
    <w:rsid w:val="00D11AA0"/>
    <w:rsid w:val="00D11F51"/>
    <w:rsid w:val="00D12173"/>
    <w:rsid w:val="00D12642"/>
    <w:rsid w:val="00D126D5"/>
    <w:rsid w:val="00D1288D"/>
    <w:rsid w:val="00D13298"/>
    <w:rsid w:val="00D132E9"/>
    <w:rsid w:val="00D133BB"/>
    <w:rsid w:val="00D1356E"/>
    <w:rsid w:val="00D13657"/>
    <w:rsid w:val="00D1365A"/>
    <w:rsid w:val="00D1398F"/>
    <w:rsid w:val="00D13F98"/>
    <w:rsid w:val="00D14175"/>
    <w:rsid w:val="00D144B5"/>
    <w:rsid w:val="00D14722"/>
    <w:rsid w:val="00D14F0D"/>
    <w:rsid w:val="00D15580"/>
    <w:rsid w:val="00D15910"/>
    <w:rsid w:val="00D15D2B"/>
    <w:rsid w:val="00D1629A"/>
    <w:rsid w:val="00D170A5"/>
    <w:rsid w:val="00D170CE"/>
    <w:rsid w:val="00D17619"/>
    <w:rsid w:val="00D176E1"/>
    <w:rsid w:val="00D17E52"/>
    <w:rsid w:val="00D2006F"/>
    <w:rsid w:val="00D20408"/>
    <w:rsid w:val="00D20542"/>
    <w:rsid w:val="00D2119F"/>
    <w:rsid w:val="00D21B07"/>
    <w:rsid w:val="00D21B56"/>
    <w:rsid w:val="00D21E29"/>
    <w:rsid w:val="00D22C48"/>
    <w:rsid w:val="00D23232"/>
    <w:rsid w:val="00D23D09"/>
    <w:rsid w:val="00D23D53"/>
    <w:rsid w:val="00D23F0A"/>
    <w:rsid w:val="00D23F75"/>
    <w:rsid w:val="00D2424A"/>
    <w:rsid w:val="00D247AF"/>
    <w:rsid w:val="00D24BEF"/>
    <w:rsid w:val="00D2585E"/>
    <w:rsid w:val="00D25A75"/>
    <w:rsid w:val="00D25EB3"/>
    <w:rsid w:val="00D26202"/>
    <w:rsid w:val="00D2630A"/>
    <w:rsid w:val="00D265DE"/>
    <w:rsid w:val="00D26625"/>
    <w:rsid w:val="00D26661"/>
    <w:rsid w:val="00D26682"/>
    <w:rsid w:val="00D26B4B"/>
    <w:rsid w:val="00D27475"/>
    <w:rsid w:val="00D274ED"/>
    <w:rsid w:val="00D27790"/>
    <w:rsid w:val="00D2786A"/>
    <w:rsid w:val="00D279D9"/>
    <w:rsid w:val="00D313F1"/>
    <w:rsid w:val="00D314F7"/>
    <w:rsid w:val="00D3159D"/>
    <w:rsid w:val="00D31666"/>
    <w:rsid w:val="00D31F54"/>
    <w:rsid w:val="00D31F65"/>
    <w:rsid w:val="00D32294"/>
    <w:rsid w:val="00D32C6C"/>
    <w:rsid w:val="00D337E3"/>
    <w:rsid w:val="00D340F0"/>
    <w:rsid w:val="00D34897"/>
    <w:rsid w:val="00D348B0"/>
    <w:rsid w:val="00D34CC2"/>
    <w:rsid w:val="00D34DC4"/>
    <w:rsid w:val="00D353C5"/>
    <w:rsid w:val="00D35419"/>
    <w:rsid w:val="00D35476"/>
    <w:rsid w:val="00D355BA"/>
    <w:rsid w:val="00D35944"/>
    <w:rsid w:val="00D36219"/>
    <w:rsid w:val="00D36437"/>
    <w:rsid w:val="00D36772"/>
    <w:rsid w:val="00D37158"/>
    <w:rsid w:val="00D3769B"/>
    <w:rsid w:val="00D378DE"/>
    <w:rsid w:val="00D37BAD"/>
    <w:rsid w:val="00D40384"/>
    <w:rsid w:val="00D403F7"/>
    <w:rsid w:val="00D40428"/>
    <w:rsid w:val="00D40478"/>
    <w:rsid w:val="00D40A36"/>
    <w:rsid w:val="00D411EA"/>
    <w:rsid w:val="00D413AE"/>
    <w:rsid w:val="00D419C2"/>
    <w:rsid w:val="00D4220F"/>
    <w:rsid w:val="00D42685"/>
    <w:rsid w:val="00D42C37"/>
    <w:rsid w:val="00D42DFD"/>
    <w:rsid w:val="00D4329F"/>
    <w:rsid w:val="00D43621"/>
    <w:rsid w:val="00D4383B"/>
    <w:rsid w:val="00D43B9E"/>
    <w:rsid w:val="00D43C33"/>
    <w:rsid w:val="00D44E3D"/>
    <w:rsid w:val="00D44EC5"/>
    <w:rsid w:val="00D450C1"/>
    <w:rsid w:val="00D451E3"/>
    <w:rsid w:val="00D45743"/>
    <w:rsid w:val="00D45BC1"/>
    <w:rsid w:val="00D45F34"/>
    <w:rsid w:val="00D45F8F"/>
    <w:rsid w:val="00D473A4"/>
    <w:rsid w:val="00D47655"/>
    <w:rsid w:val="00D478AB"/>
    <w:rsid w:val="00D50307"/>
    <w:rsid w:val="00D5031B"/>
    <w:rsid w:val="00D50665"/>
    <w:rsid w:val="00D50C97"/>
    <w:rsid w:val="00D5126A"/>
    <w:rsid w:val="00D51445"/>
    <w:rsid w:val="00D516EF"/>
    <w:rsid w:val="00D51852"/>
    <w:rsid w:val="00D51B1D"/>
    <w:rsid w:val="00D51D61"/>
    <w:rsid w:val="00D523C4"/>
    <w:rsid w:val="00D526E5"/>
    <w:rsid w:val="00D534BC"/>
    <w:rsid w:val="00D5353E"/>
    <w:rsid w:val="00D53606"/>
    <w:rsid w:val="00D53B64"/>
    <w:rsid w:val="00D53E0E"/>
    <w:rsid w:val="00D54025"/>
    <w:rsid w:val="00D54038"/>
    <w:rsid w:val="00D5409B"/>
    <w:rsid w:val="00D54673"/>
    <w:rsid w:val="00D54A28"/>
    <w:rsid w:val="00D54C8C"/>
    <w:rsid w:val="00D54DD5"/>
    <w:rsid w:val="00D55253"/>
    <w:rsid w:val="00D55485"/>
    <w:rsid w:val="00D56284"/>
    <w:rsid w:val="00D562E2"/>
    <w:rsid w:val="00D56475"/>
    <w:rsid w:val="00D567D3"/>
    <w:rsid w:val="00D56894"/>
    <w:rsid w:val="00D569B9"/>
    <w:rsid w:val="00D57386"/>
    <w:rsid w:val="00D5756D"/>
    <w:rsid w:val="00D57854"/>
    <w:rsid w:val="00D57986"/>
    <w:rsid w:val="00D60800"/>
    <w:rsid w:val="00D6086A"/>
    <w:rsid w:val="00D6090A"/>
    <w:rsid w:val="00D61546"/>
    <w:rsid w:val="00D61E1A"/>
    <w:rsid w:val="00D626D3"/>
    <w:rsid w:val="00D62A8D"/>
    <w:rsid w:val="00D630E2"/>
    <w:rsid w:val="00D63296"/>
    <w:rsid w:val="00D635DF"/>
    <w:rsid w:val="00D6376F"/>
    <w:rsid w:val="00D637BD"/>
    <w:rsid w:val="00D637EB"/>
    <w:rsid w:val="00D63ED2"/>
    <w:rsid w:val="00D63F2D"/>
    <w:rsid w:val="00D64001"/>
    <w:rsid w:val="00D64642"/>
    <w:rsid w:val="00D648BA"/>
    <w:rsid w:val="00D64955"/>
    <w:rsid w:val="00D649A4"/>
    <w:rsid w:val="00D64CF0"/>
    <w:rsid w:val="00D64E82"/>
    <w:rsid w:val="00D65272"/>
    <w:rsid w:val="00D65323"/>
    <w:rsid w:val="00D66513"/>
    <w:rsid w:val="00D665EC"/>
    <w:rsid w:val="00D667C0"/>
    <w:rsid w:val="00D66C3B"/>
    <w:rsid w:val="00D67143"/>
    <w:rsid w:val="00D675ED"/>
    <w:rsid w:val="00D676C3"/>
    <w:rsid w:val="00D677EF"/>
    <w:rsid w:val="00D70AA4"/>
    <w:rsid w:val="00D70B49"/>
    <w:rsid w:val="00D70D20"/>
    <w:rsid w:val="00D71261"/>
    <w:rsid w:val="00D7198E"/>
    <w:rsid w:val="00D71B22"/>
    <w:rsid w:val="00D7228B"/>
    <w:rsid w:val="00D72735"/>
    <w:rsid w:val="00D72B33"/>
    <w:rsid w:val="00D72BFB"/>
    <w:rsid w:val="00D72E4B"/>
    <w:rsid w:val="00D732A0"/>
    <w:rsid w:val="00D73308"/>
    <w:rsid w:val="00D73671"/>
    <w:rsid w:val="00D73BD0"/>
    <w:rsid w:val="00D73DF6"/>
    <w:rsid w:val="00D74647"/>
    <w:rsid w:val="00D7472F"/>
    <w:rsid w:val="00D74AF7"/>
    <w:rsid w:val="00D74EC1"/>
    <w:rsid w:val="00D753B8"/>
    <w:rsid w:val="00D75691"/>
    <w:rsid w:val="00D75762"/>
    <w:rsid w:val="00D75D89"/>
    <w:rsid w:val="00D75F55"/>
    <w:rsid w:val="00D760BB"/>
    <w:rsid w:val="00D76136"/>
    <w:rsid w:val="00D7616C"/>
    <w:rsid w:val="00D761D8"/>
    <w:rsid w:val="00D763DA"/>
    <w:rsid w:val="00D76633"/>
    <w:rsid w:val="00D76892"/>
    <w:rsid w:val="00D76B47"/>
    <w:rsid w:val="00D76F82"/>
    <w:rsid w:val="00D77005"/>
    <w:rsid w:val="00D7797C"/>
    <w:rsid w:val="00D77DD0"/>
    <w:rsid w:val="00D80909"/>
    <w:rsid w:val="00D80A21"/>
    <w:rsid w:val="00D80B65"/>
    <w:rsid w:val="00D817C1"/>
    <w:rsid w:val="00D81963"/>
    <w:rsid w:val="00D81D10"/>
    <w:rsid w:val="00D81E7E"/>
    <w:rsid w:val="00D821F1"/>
    <w:rsid w:val="00D82A3D"/>
    <w:rsid w:val="00D82E01"/>
    <w:rsid w:val="00D832E9"/>
    <w:rsid w:val="00D838CB"/>
    <w:rsid w:val="00D83C37"/>
    <w:rsid w:val="00D83CBC"/>
    <w:rsid w:val="00D84314"/>
    <w:rsid w:val="00D844A1"/>
    <w:rsid w:val="00D846A0"/>
    <w:rsid w:val="00D84DD0"/>
    <w:rsid w:val="00D84FBE"/>
    <w:rsid w:val="00D8526A"/>
    <w:rsid w:val="00D8531C"/>
    <w:rsid w:val="00D853A2"/>
    <w:rsid w:val="00D85599"/>
    <w:rsid w:val="00D85A46"/>
    <w:rsid w:val="00D864E0"/>
    <w:rsid w:val="00D86C4A"/>
    <w:rsid w:val="00D87200"/>
    <w:rsid w:val="00D874D9"/>
    <w:rsid w:val="00D87C6F"/>
    <w:rsid w:val="00D87D75"/>
    <w:rsid w:val="00D87FB2"/>
    <w:rsid w:val="00D90358"/>
    <w:rsid w:val="00D904FB"/>
    <w:rsid w:val="00D90552"/>
    <w:rsid w:val="00D905C4"/>
    <w:rsid w:val="00D90BED"/>
    <w:rsid w:val="00D918BF"/>
    <w:rsid w:val="00D91A9B"/>
    <w:rsid w:val="00D91B0F"/>
    <w:rsid w:val="00D924CD"/>
    <w:rsid w:val="00D92824"/>
    <w:rsid w:val="00D92ECD"/>
    <w:rsid w:val="00D93138"/>
    <w:rsid w:val="00D933AB"/>
    <w:rsid w:val="00D933AD"/>
    <w:rsid w:val="00D9347D"/>
    <w:rsid w:val="00D93689"/>
    <w:rsid w:val="00D93D52"/>
    <w:rsid w:val="00D94C51"/>
    <w:rsid w:val="00D94EEF"/>
    <w:rsid w:val="00D950D7"/>
    <w:rsid w:val="00D95450"/>
    <w:rsid w:val="00D95CFC"/>
    <w:rsid w:val="00D961F6"/>
    <w:rsid w:val="00D96305"/>
    <w:rsid w:val="00D96F81"/>
    <w:rsid w:val="00D97105"/>
    <w:rsid w:val="00D976C3"/>
    <w:rsid w:val="00D97A56"/>
    <w:rsid w:val="00D97F22"/>
    <w:rsid w:val="00DA001A"/>
    <w:rsid w:val="00DA02C7"/>
    <w:rsid w:val="00DA0D11"/>
    <w:rsid w:val="00DA13F7"/>
    <w:rsid w:val="00DA1760"/>
    <w:rsid w:val="00DA1839"/>
    <w:rsid w:val="00DA1A8D"/>
    <w:rsid w:val="00DA1B4B"/>
    <w:rsid w:val="00DA1CA4"/>
    <w:rsid w:val="00DA2696"/>
    <w:rsid w:val="00DA2935"/>
    <w:rsid w:val="00DA2E64"/>
    <w:rsid w:val="00DA2EED"/>
    <w:rsid w:val="00DA2F28"/>
    <w:rsid w:val="00DA30F9"/>
    <w:rsid w:val="00DA3CC3"/>
    <w:rsid w:val="00DA3D0F"/>
    <w:rsid w:val="00DA466B"/>
    <w:rsid w:val="00DA470F"/>
    <w:rsid w:val="00DA4F89"/>
    <w:rsid w:val="00DA52AB"/>
    <w:rsid w:val="00DA5528"/>
    <w:rsid w:val="00DA5874"/>
    <w:rsid w:val="00DA5B52"/>
    <w:rsid w:val="00DA5F5A"/>
    <w:rsid w:val="00DA6103"/>
    <w:rsid w:val="00DA63B1"/>
    <w:rsid w:val="00DA6AEE"/>
    <w:rsid w:val="00DA702C"/>
    <w:rsid w:val="00DA70E7"/>
    <w:rsid w:val="00DA7291"/>
    <w:rsid w:val="00DA741D"/>
    <w:rsid w:val="00DA79C8"/>
    <w:rsid w:val="00DB01A7"/>
    <w:rsid w:val="00DB131A"/>
    <w:rsid w:val="00DB1ACE"/>
    <w:rsid w:val="00DB1BDD"/>
    <w:rsid w:val="00DB1BE9"/>
    <w:rsid w:val="00DB1C8D"/>
    <w:rsid w:val="00DB2284"/>
    <w:rsid w:val="00DB2454"/>
    <w:rsid w:val="00DB271D"/>
    <w:rsid w:val="00DB279B"/>
    <w:rsid w:val="00DB29A9"/>
    <w:rsid w:val="00DB2AB8"/>
    <w:rsid w:val="00DB32BE"/>
    <w:rsid w:val="00DB3BE7"/>
    <w:rsid w:val="00DB3E86"/>
    <w:rsid w:val="00DB49D8"/>
    <w:rsid w:val="00DB4E07"/>
    <w:rsid w:val="00DB50AA"/>
    <w:rsid w:val="00DB576B"/>
    <w:rsid w:val="00DB5931"/>
    <w:rsid w:val="00DB5A9F"/>
    <w:rsid w:val="00DB5F32"/>
    <w:rsid w:val="00DB608A"/>
    <w:rsid w:val="00DB610B"/>
    <w:rsid w:val="00DB61D5"/>
    <w:rsid w:val="00DB6735"/>
    <w:rsid w:val="00DB6FA5"/>
    <w:rsid w:val="00DB7326"/>
    <w:rsid w:val="00DB7C40"/>
    <w:rsid w:val="00DB7D3D"/>
    <w:rsid w:val="00DC0213"/>
    <w:rsid w:val="00DC02E6"/>
    <w:rsid w:val="00DC0446"/>
    <w:rsid w:val="00DC09C4"/>
    <w:rsid w:val="00DC0A7A"/>
    <w:rsid w:val="00DC0AFC"/>
    <w:rsid w:val="00DC0ED7"/>
    <w:rsid w:val="00DC12FC"/>
    <w:rsid w:val="00DC1772"/>
    <w:rsid w:val="00DC2241"/>
    <w:rsid w:val="00DC224C"/>
    <w:rsid w:val="00DC2289"/>
    <w:rsid w:val="00DC23F8"/>
    <w:rsid w:val="00DC28CB"/>
    <w:rsid w:val="00DC2C09"/>
    <w:rsid w:val="00DC2E21"/>
    <w:rsid w:val="00DC319C"/>
    <w:rsid w:val="00DC33FA"/>
    <w:rsid w:val="00DC3A0E"/>
    <w:rsid w:val="00DC3C11"/>
    <w:rsid w:val="00DC43B3"/>
    <w:rsid w:val="00DC4706"/>
    <w:rsid w:val="00DC576A"/>
    <w:rsid w:val="00DC5B6F"/>
    <w:rsid w:val="00DC5CD2"/>
    <w:rsid w:val="00DC5F49"/>
    <w:rsid w:val="00DC5F81"/>
    <w:rsid w:val="00DC648B"/>
    <w:rsid w:val="00DC649E"/>
    <w:rsid w:val="00DC65B9"/>
    <w:rsid w:val="00DC6833"/>
    <w:rsid w:val="00DC68FC"/>
    <w:rsid w:val="00DC6C37"/>
    <w:rsid w:val="00DC6D53"/>
    <w:rsid w:val="00DC6E4B"/>
    <w:rsid w:val="00DC6FCF"/>
    <w:rsid w:val="00DC7715"/>
    <w:rsid w:val="00DC7AC9"/>
    <w:rsid w:val="00DD0053"/>
    <w:rsid w:val="00DD078B"/>
    <w:rsid w:val="00DD133C"/>
    <w:rsid w:val="00DD18B8"/>
    <w:rsid w:val="00DD1910"/>
    <w:rsid w:val="00DD1F7E"/>
    <w:rsid w:val="00DD1FF0"/>
    <w:rsid w:val="00DD2503"/>
    <w:rsid w:val="00DD26EE"/>
    <w:rsid w:val="00DD2AB8"/>
    <w:rsid w:val="00DD2C01"/>
    <w:rsid w:val="00DD3003"/>
    <w:rsid w:val="00DD3376"/>
    <w:rsid w:val="00DD3BAE"/>
    <w:rsid w:val="00DD417C"/>
    <w:rsid w:val="00DD461A"/>
    <w:rsid w:val="00DD4862"/>
    <w:rsid w:val="00DD4B0D"/>
    <w:rsid w:val="00DD4F10"/>
    <w:rsid w:val="00DD5865"/>
    <w:rsid w:val="00DD5C21"/>
    <w:rsid w:val="00DD6C4C"/>
    <w:rsid w:val="00DD6E6B"/>
    <w:rsid w:val="00DD7107"/>
    <w:rsid w:val="00DD7173"/>
    <w:rsid w:val="00DD73CA"/>
    <w:rsid w:val="00DD7410"/>
    <w:rsid w:val="00DE0025"/>
    <w:rsid w:val="00DE07B4"/>
    <w:rsid w:val="00DE0861"/>
    <w:rsid w:val="00DE101A"/>
    <w:rsid w:val="00DE10CD"/>
    <w:rsid w:val="00DE194C"/>
    <w:rsid w:val="00DE1C16"/>
    <w:rsid w:val="00DE1E96"/>
    <w:rsid w:val="00DE2288"/>
    <w:rsid w:val="00DE259D"/>
    <w:rsid w:val="00DE2814"/>
    <w:rsid w:val="00DE2815"/>
    <w:rsid w:val="00DE2AFA"/>
    <w:rsid w:val="00DE2FE4"/>
    <w:rsid w:val="00DE3010"/>
    <w:rsid w:val="00DE31AC"/>
    <w:rsid w:val="00DE3693"/>
    <w:rsid w:val="00DE36C4"/>
    <w:rsid w:val="00DE3A36"/>
    <w:rsid w:val="00DE4186"/>
    <w:rsid w:val="00DE4408"/>
    <w:rsid w:val="00DE4931"/>
    <w:rsid w:val="00DE4BAA"/>
    <w:rsid w:val="00DE4EF9"/>
    <w:rsid w:val="00DE50EA"/>
    <w:rsid w:val="00DE51D6"/>
    <w:rsid w:val="00DE522B"/>
    <w:rsid w:val="00DE5DE0"/>
    <w:rsid w:val="00DE60EA"/>
    <w:rsid w:val="00DE665B"/>
    <w:rsid w:val="00DE6A92"/>
    <w:rsid w:val="00DE6DCE"/>
    <w:rsid w:val="00DE7111"/>
    <w:rsid w:val="00DE7535"/>
    <w:rsid w:val="00DE78F3"/>
    <w:rsid w:val="00DE79BD"/>
    <w:rsid w:val="00DE7EE6"/>
    <w:rsid w:val="00DE7F06"/>
    <w:rsid w:val="00DF0165"/>
    <w:rsid w:val="00DF02B8"/>
    <w:rsid w:val="00DF06E4"/>
    <w:rsid w:val="00DF0757"/>
    <w:rsid w:val="00DF0AA5"/>
    <w:rsid w:val="00DF0F90"/>
    <w:rsid w:val="00DF1255"/>
    <w:rsid w:val="00DF2079"/>
    <w:rsid w:val="00DF21B9"/>
    <w:rsid w:val="00DF26E5"/>
    <w:rsid w:val="00DF27B8"/>
    <w:rsid w:val="00DF2BD5"/>
    <w:rsid w:val="00DF2E03"/>
    <w:rsid w:val="00DF2EA6"/>
    <w:rsid w:val="00DF3573"/>
    <w:rsid w:val="00DF41E4"/>
    <w:rsid w:val="00DF43AB"/>
    <w:rsid w:val="00DF4472"/>
    <w:rsid w:val="00DF4477"/>
    <w:rsid w:val="00DF4558"/>
    <w:rsid w:val="00DF4740"/>
    <w:rsid w:val="00DF4760"/>
    <w:rsid w:val="00DF47C4"/>
    <w:rsid w:val="00DF4B77"/>
    <w:rsid w:val="00DF4BDF"/>
    <w:rsid w:val="00DF4FBD"/>
    <w:rsid w:val="00DF5042"/>
    <w:rsid w:val="00DF504D"/>
    <w:rsid w:val="00DF510B"/>
    <w:rsid w:val="00DF51E3"/>
    <w:rsid w:val="00DF534B"/>
    <w:rsid w:val="00DF544D"/>
    <w:rsid w:val="00DF5909"/>
    <w:rsid w:val="00DF6473"/>
    <w:rsid w:val="00DF6E47"/>
    <w:rsid w:val="00DF6FC0"/>
    <w:rsid w:val="00DF7097"/>
    <w:rsid w:val="00DF7647"/>
    <w:rsid w:val="00DF781F"/>
    <w:rsid w:val="00DF78B4"/>
    <w:rsid w:val="00DF7984"/>
    <w:rsid w:val="00DF79A6"/>
    <w:rsid w:val="00DF79B7"/>
    <w:rsid w:val="00DF7EA8"/>
    <w:rsid w:val="00DF7EEF"/>
    <w:rsid w:val="00E00111"/>
    <w:rsid w:val="00E00239"/>
    <w:rsid w:val="00E0118C"/>
    <w:rsid w:val="00E01A07"/>
    <w:rsid w:val="00E01B30"/>
    <w:rsid w:val="00E01BC5"/>
    <w:rsid w:val="00E01C76"/>
    <w:rsid w:val="00E01F25"/>
    <w:rsid w:val="00E026E2"/>
    <w:rsid w:val="00E028D5"/>
    <w:rsid w:val="00E02E4C"/>
    <w:rsid w:val="00E03046"/>
    <w:rsid w:val="00E03776"/>
    <w:rsid w:val="00E03DD6"/>
    <w:rsid w:val="00E03E16"/>
    <w:rsid w:val="00E03E9F"/>
    <w:rsid w:val="00E04002"/>
    <w:rsid w:val="00E0416B"/>
    <w:rsid w:val="00E0426F"/>
    <w:rsid w:val="00E04F50"/>
    <w:rsid w:val="00E0529F"/>
    <w:rsid w:val="00E057E2"/>
    <w:rsid w:val="00E05ACE"/>
    <w:rsid w:val="00E05CF8"/>
    <w:rsid w:val="00E065A4"/>
    <w:rsid w:val="00E0661B"/>
    <w:rsid w:val="00E06837"/>
    <w:rsid w:val="00E06B84"/>
    <w:rsid w:val="00E06E85"/>
    <w:rsid w:val="00E07022"/>
    <w:rsid w:val="00E070F5"/>
    <w:rsid w:val="00E0758B"/>
    <w:rsid w:val="00E077C1"/>
    <w:rsid w:val="00E079F2"/>
    <w:rsid w:val="00E079FA"/>
    <w:rsid w:val="00E1050E"/>
    <w:rsid w:val="00E108A9"/>
    <w:rsid w:val="00E108EA"/>
    <w:rsid w:val="00E10E87"/>
    <w:rsid w:val="00E1116B"/>
    <w:rsid w:val="00E11619"/>
    <w:rsid w:val="00E1184E"/>
    <w:rsid w:val="00E1190A"/>
    <w:rsid w:val="00E11B87"/>
    <w:rsid w:val="00E12147"/>
    <w:rsid w:val="00E12259"/>
    <w:rsid w:val="00E127D1"/>
    <w:rsid w:val="00E12BEC"/>
    <w:rsid w:val="00E13326"/>
    <w:rsid w:val="00E13659"/>
    <w:rsid w:val="00E13A98"/>
    <w:rsid w:val="00E13E6D"/>
    <w:rsid w:val="00E13EA8"/>
    <w:rsid w:val="00E13FC5"/>
    <w:rsid w:val="00E143D7"/>
    <w:rsid w:val="00E145D7"/>
    <w:rsid w:val="00E14DBC"/>
    <w:rsid w:val="00E150BC"/>
    <w:rsid w:val="00E15238"/>
    <w:rsid w:val="00E15998"/>
    <w:rsid w:val="00E15D28"/>
    <w:rsid w:val="00E1607B"/>
    <w:rsid w:val="00E16A65"/>
    <w:rsid w:val="00E16A8B"/>
    <w:rsid w:val="00E16BC9"/>
    <w:rsid w:val="00E16C69"/>
    <w:rsid w:val="00E16EA7"/>
    <w:rsid w:val="00E170D7"/>
    <w:rsid w:val="00E2010B"/>
    <w:rsid w:val="00E2018E"/>
    <w:rsid w:val="00E203D9"/>
    <w:rsid w:val="00E207CE"/>
    <w:rsid w:val="00E20821"/>
    <w:rsid w:val="00E20DD9"/>
    <w:rsid w:val="00E20E2D"/>
    <w:rsid w:val="00E20E44"/>
    <w:rsid w:val="00E21585"/>
    <w:rsid w:val="00E21594"/>
    <w:rsid w:val="00E21C41"/>
    <w:rsid w:val="00E224F1"/>
    <w:rsid w:val="00E22AB1"/>
    <w:rsid w:val="00E22CE9"/>
    <w:rsid w:val="00E2341F"/>
    <w:rsid w:val="00E235BE"/>
    <w:rsid w:val="00E23644"/>
    <w:rsid w:val="00E237C6"/>
    <w:rsid w:val="00E2394A"/>
    <w:rsid w:val="00E23974"/>
    <w:rsid w:val="00E23AFE"/>
    <w:rsid w:val="00E23C10"/>
    <w:rsid w:val="00E23E61"/>
    <w:rsid w:val="00E2425B"/>
    <w:rsid w:val="00E246A3"/>
    <w:rsid w:val="00E249FC"/>
    <w:rsid w:val="00E2514B"/>
    <w:rsid w:val="00E25370"/>
    <w:rsid w:val="00E25433"/>
    <w:rsid w:val="00E255DB"/>
    <w:rsid w:val="00E25F42"/>
    <w:rsid w:val="00E25FCB"/>
    <w:rsid w:val="00E26436"/>
    <w:rsid w:val="00E26592"/>
    <w:rsid w:val="00E26672"/>
    <w:rsid w:val="00E27147"/>
    <w:rsid w:val="00E27420"/>
    <w:rsid w:val="00E27762"/>
    <w:rsid w:val="00E27923"/>
    <w:rsid w:val="00E279CF"/>
    <w:rsid w:val="00E27B83"/>
    <w:rsid w:val="00E27F75"/>
    <w:rsid w:val="00E3009E"/>
    <w:rsid w:val="00E30106"/>
    <w:rsid w:val="00E3035F"/>
    <w:rsid w:val="00E3099F"/>
    <w:rsid w:val="00E30C48"/>
    <w:rsid w:val="00E30EE7"/>
    <w:rsid w:val="00E30F53"/>
    <w:rsid w:val="00E31174"/>
    <w:rsid w:val="00E31504"/>
    <w:rsid w:val="00E31603"/>
    <w:rsid w:val="00E3206E"/>
    <w:rsid w:val="00E32174"/>
    <w:rsid w:val="00E323DC"/>
    <w:rsid w:val="00E32DED"/>
    <w:rsid w:val="00E333F5"/>
    <w:rsid w:val="00E3346D"/>
    <w:rsid w:val="00E33514"/>
    <w:rsid w:val="00E33A29"/>
    <w:rsid w:val="00E33C22"/>
    <w:rsid w:val="00E33D9A"/>
    <w:rsid w:val="00E34090"/>
    <w:rsid w:val="00E345EC"/>
    <w:rsid w:val="00E34837"/>
    <w:rsid w:val="00E34870"/>
    <w:rsid w:val="00E348DA"/>
    <w:rsid w:val="00E34BC9"/>
    <w:rsid w:val="00E34D3F"/>
    <w:rsid w:val="00E35269"/>
    <w:rsid w:val="00E3555B"/>
    <w:rsid w:val="00E369D2"/>
    <w:rsid w:val="00E36F2A"/>
    <w:rsid w:val="00E373A2"/>
    <w:rsid w:val="00E37FB3"/>
    <w:rsid w:val="00E40462"/>
    <w:rsid w:val="00E40E15"/>
    <w:rsid w:val="00E40F45"/>
    <w:rsid w:val="00E40FD7"/>
    <w:rsid w:val="00E4119D"/>
    <w:rsid w:val="00E4132D"/>
    <w:rsid w:val="00E413C9"/>
    <w:rsid w:val="00E41B86"/>
    <w:rsid w:val="00E41BA7"/>
    <w:rsid w:val="00E41BC8"/>
    <w:rsid w:val="00E41E67"/>
    <w:rsid w:val="00E42A2E"/>
    <w:rsid w:val="00E42F1A"/>
    <w:rsid w:val="00E4302E"/>
    <w:rsid w:val="00E43097"/>
    <w:rsid w:val="00E43132"/>
    <w:rsid w:val="00E4333F"/>
    <w:rsid w:val="00E4370B"/>
    <w:rsid w:val="00E43A3C"/>
    <w:rsid w:val="00E43A54"/>
    <w:rsid w:val="00E44907"/>
    <w:rsid w:val="00E44E21"/>
    <w:rsid w:val="00E4557A"/>
    <w:rsid w:val="00E46159"/>
    <w:rsid w:val="00E461F7"/>
    <w:rsid w:val="00E46C59"/>
    <w:rsid w:val="00E46E4C"/>
    <w:rsid w:val="00E47419"/>
    <w:rsid w:val="00E5035A"/>
    <w:rsid w:val="00E50435"/>
    <w:rsid w:val="00E504F8"/>
    <w:rsid w:val="00E509BD"/>
    <w:rsid w:val="00E50AF6"/>
    <w:rsid w:val="00E50C50"/>
    <w:rsid w:val="00E50C95"/>
    <w:rsid w:val="00E51107"/>
    <w:rsid w:val="00E51B48"/>
    <w:rsid w:val="00E52299"/>
    <w:rsid w:val="00E5234E"/>
    <w:rsid w:val="00E524B8"/>
    <w:rsid w:val="00E527B2"/>
    <w:rsid w:val="00E52B0B"/>
    <w:rsid w:val="00E52F4C"/>
    <w:rsid w:val="00E52FBB"/>
    <w:rsid w:val="00E53173"/>
    <w:rsid w:val="00E5349B"/>
    <w:rsid w:val="00E535CF"/>
    <w:rsid w:val="00E536A9"/>
    <w:rsid w:val="00E536D2"/>
    <w:rsid w:val="00E53A8F"/>
    <w:rsid w:val="00E53B6B"/>
    <w:rsid w:val="00E53BA1"/>
    <w:rsid w:val="00E53E58"/>
    <w:rsid w:val="00E5477B"/>
    <w:rsid w:val="00E547A7"/>
    <w:rsid w:val="00E548DF"/>
    <w:rsid w:val="00E54F1A"/>
    <w:rsid w:val="00E55207"/>
    <w:rsid w:val="00E55459"/>
    <w:rsid w:val="00E55797"/>
    <w:rsid w:val="00E55AAA"/>
    <w:rsid w:val="00E5609E"/>
    <w:rsid w:val="00E564B0"/>
    <w:rsid w:val="00E56834"/>
    <w:rsid w:val="00E5764E"/>
    <w:rsid w:val="00E576EC"/>
    <w:rsid w:val="00E57745"/>
    <w:rsid w:val="00E578F8"/>
    <w:rsid w:val="00E6043D"/>
    <w:rsid w:val="00E607F1"/>
    <w:rsid w:val="00E60ADD"/>
    <w:rsid w:val="00E60B8C"/>
    <w:rsid w:val="00E60DB8"/>
    <w:rsid w:val="00E61CF1"/>
    <w:rsid w:val="00E62446"/>
    <w:rsid w:val="00E6259A"/>
    <w:rsid w:val="00E62A01"/>
    <w:rsid w:val="00E62FD9"/>
    <w:rsid w:val="00E63437"/>
    <w:rsid w:val="00E6365C"/>
    <w:rsid w:val="00E6374C"/>
    <w:rsid w:val="00E639D1"/>
    <w:rsid w:val="00E63AE9"/>
    <w:rsid w:val="00E64C33"/>
    <w:rsid w:val="00E64D0A"/>
    <w:rsid w:val="00E6506A"/>
    <w:rsid w:val="00E650C9"/>
    <w:rsid w:val="00E6545A"/>
    <w:rsid w:val="00E6597A"/>
    <w:rsid w:val="00E65C32"/>
    <w:rsid w:val="00E65DED"/>
    <w:rsid w:val="00E66245"/>
    <w:rsid w:val="00E6682A"/>
    <w:rsid w:val="00E668DD"/>
    <w:rsid w:val="00E668FB"/>
    <w:rsid w:val="00E66F33"/>
    <w:rsid w:val="00E66F63"/>
    <w:rsid w:val="00E6715F"/>
    <w:rsid w:val="00E67604"/>
    <w:rsid w:val="00E67711"/>
    <w:rsid w:val="00E67AE5"/>
    <w:rsid w:val="00E67AFD"/>
    <w:rsid w:val="00E67C7F"/>
    <w:rsid w:val="00E67F8F"/>
    <w:rsid w:val="00E705F8"/>
    <w:rsid w:val="00E70D67"/>
    <w:rsid w:val="00E70F6B"/>
    <w:rsid w:val="00E71D68"/>
    <w:rsid w:val="00E72000"/>
    <w:rsid w:val="00E72154"/>
    <w:rsid w:val="00E72305"/>
    <w:rsid w:val="00E7241D"/>
    <w:rsid w:val="00E72644"/>
    <w:rsid w:val="00E7271C"/>
    <w:rsid w:val="00E731A8"/>
    <w:rsid w:val="00E735BE"/>
    <w:rsid w:val="00E7390F"/>
    <w:rsid w:val="00E73922"/>
    <w:rsid w:val="00E742E9"/>
    <w:rsid w:val="00E74A59"/>
    <w:rsid w:val="00E74C5A"/>
    <w:rsid w:val="00E74EBD"/>
    <w:rsid w:val="00E74FD4"/>
    <w:rsid w:val="00E75503"/>
    <w:rsid w:val="00E75670"/>
    <w:rsid w:val="00E756E6"/>
    <w:rsid w:val="00E75C95"/>
    <w:rsid w:val="00E76089"/>
    <w:rsid w:val="00E76252"/>
    <w:rsid w:val="00E762DA"/>
    <w:rsid w:val="00E7638A"/>
    <w:rsid w:val="00E76AE1"/>
    <w:rsid w:val="00E76D28"/>
    <w:rsid w:val="00E76F3F"/>
    <w:rsid w:val="00E7718B"/>
    <w:rsid w:val="00E77397"/>
    <w:rsid w:val="00E773DD"/>
    <w:rsid w:val="00E77C82"/>
    <w:rsid w:val="00E77CA5"/>
    <w:rsid w:val="00E80150"/>
    <w:rsid w:val="00E80206"/>
    <w:rsid w:val="00E8026A"/>
    <w:rsid w:val="00E8076C"/>
    <w:rsid w:val="00E8134B"/>
    <w:rsid w:val="00E815D5"/>
    <w:rsid w:val="00E81831"/>
    <w:rsid w:val="00E81C37"/>
    <w:rsid w:val="00E8218E"/>
    <w:rsid w:val="00E824B2"/>
    <w:rsid w:val="00E827D3"/>
    <w:rsid w:val="00E82D2E"/>
    <w:rsid w:val="00E82FB0"/>
    <w:rsid w:val="00E830B3"/>
    <w:rsid w:val="00E8361C"/>
    <w:rsid w:val="00E8388E"/>
    <w:rsid w:val="00E83921"/>
    <w:rsid w:val="00E83AD4"/>
    <w:rsid w:val="00E83D38"/>
    <w:rsid w:val="00E83E2D"/>
    <w:rsid w:val="00E847B5"/>
    <w:rsid w:val="00E847F8"/>
    <w:rsid w:val="00E84B78"/>
    <w:rsid w:val="00E85003"/>
    <w:rsid w:val="00E8577E"/>
    <w:rsid w:val="00E864EE"/>
    <w:rsid w:val="00E86A58"/>
    <w:rsid w:val="00E87988"/>
    <w:rsid w:val="00E87E87"/>
    <w:rsid w:val="00E90524"/>
    <w:rsid w:val="00E9058A"/>
    <w:rsid w:val="00E90FBD"/>
    <w:rsid w:val="00E90FF5"/>
    <w:rsid w:val="00E9102A"/>
    <w:rsid w:val="00E918BC"/>
    <w:rsid w:val="00E919CC"/>
    <w:rsid w:val="00E921F6"/>
    <w:rsid w:val="00E923EA"/>
    <w:rsid w:val="00E928B4"/>
    <w:rsid w:val="00E928E7"/>
    <w:rsid w:val="00E93489"/>
    <w:rsid w:val="00E9353B"/>
    <w:rsid w:val="00E9359F"/>
    <w:rsid w:val="00E93A7C"/>
    <w:rsid w:val="00E9464A"/>
    <w:rsid w:val="00E948B3"/>
    <w:rsid w:val="00E94AAC"/>
    <w:rsid w:val="00E95049"/>
    <w:rsid w:val="00E9520E"/>
    <w:rsid w:val="00E9595E"/>
    <w:rsid w:val="00E95A7B"/>
    <w:rsid w:val="00E95FE2"/>
    <w:rsid w:val="00E9630B"/>
    <w:rsid w:val="00E9630E"/>
    <w:rsid w:val="00E964D0"/>
    <w:rsid w:val="00E966E6"/>
    <w:rsid w:val="00E96B99"/>
    <w:rsid w:val="00E970EB"/>
    <w:rsid w:val="00E97E10"/>
    <w:rsid w:val="00EA05A4"/>
    <w:rsid w:val="00EA10D7"/>
    <w:rsid w:val="00EA1257"/>
    <w:rsid w:val="00EA1371"/>
    <w:rsid w:val="00EA1732"/>
    <w:rsid w:val="00EA17C0"/>
    <w:rsid w:val="00EA1EE9"/>
    <w:rsid w:val="00EA2594"/>
    <w:rsid w:val="00EA299A"/>
    <w:rsid w:val="00EA29BD"/>
    <w:rsid w:val="00EA2B11"/>
    <w:rsid w:val="00EA2CAD"/>
    <w:rsid w:val="00EA3ADF"/>
    <w:rsid w:val="00EA4A37"/>
    <w:rsid w:val="00EA4CE6"/>
    <w:rsid w:val="00EA4E07"/>
    <w:rsid w:val="00EA5515"/>
    <w:rsid w:val="00EA5867"/>
    <w:rsid w:val="00EA6305"/>
    <w:rsid w:val="00EA6BBE"/>
    <w:rsid w:val="00EA6C9B"/>
    <w:rsid w:val="00EA6F1B"/>
    <w:rsid w:val="00EA6F7D"/>
    <w:rsid w:val="00EA73DB"/>
    <w:rsid w:val="00EA77EE"/>
    <w:rsid w:val="00EB0630"/>
    <w:rsid w:val="00EB06DA"/>
    <w:rsid w:val="00EB0933"/>
    <w:rsid w:val="00EB0A7F"/>
    <w:rsid w:val="00EB13D2"/>
    <w:rsid w:val="00EB19B4"/>
    <w:rsid w:val="00EB1AD5"/>
    <w:rsid w:val="00EB2033"/>
    <w:rsid w:val="00EB220B"/>
    <w:rsid w:val="00EB2CF1"/>
    <w:rsid w:val="00EB2E86"/>
    <w:rsid w:val="00EB2ED9"/>
    <w:rsid w:val="00EB2F3B"/>
    <w:rsid w:val="00EB30D0"/>
    <w:rsid w:val="00EB33D0"/>
    <w:rsid w:val="00EB3561"/>
    <w:rsid w:val="00EB37C6"/>
    <w:rsid w:val="00EB389F"/>
    <w:rsid w:val="00EB3CA9"/>
    <w:rsid w:val="00EB3EF0"/>
    <w:rsid w:val="00EB4306"/>
    <w:rsid w:val="00EB45D2"/>
    <w:rsid w:val="00EB4A14"/>
    <w:rsid w:val="00EB4BAE"/>
    <w:rsid w:val="00EB4C5F"/>
    <w:rsid w:val="00EB4C95"/>
    <w:rsid w:val="00EB54A7"/>
    <w:rsid w:val="00EB6142"/>
    <w:rsid w:val="00EB62A9"/>
    <w:rsid w:val="00EB62ED"/>
    <w:rsid w:val="00EB666B"/>
    <w:rsid w:val="00EB6823"/>
    <w:rsid w:val="00EB6854"/>
    <w:rsid w:val="00EB68B0"/>
    <w:rsid w:val="00EB6CC6"/>
    <w:rsid w:val="00EB712D"/>
    <w:rsid w:val="00EB73A6"/>
    <w:rsid w:val="00EB7436"/>
    <w:rsid w:val="00EB7476"/>
    <w:rsid w:val="00EB74B7"/>
    <w:rsid w:val="00EB7950"/>
    <w:rsid w:val="00EB7A40"/>
    <w:rsid w:val="00EB7AA3"/>
    <w:rsid w:val="00EB7C68"/>
    <w:rsid w:val="00EB7DCF"/>
    <w:rsid w:val="00EC0012"/>
    <w:rsid w:val="00EC0218"/>
    <w:rsid w:val="00EC0343"/>
    <w:rsid w:val="00EC0A20"/>
    <w:rsid w:val="00EC0FC3"/>
    <w:rsid w:val="00EC1164"/>
    <w:rsid w:val="00EC15DB"/>
    <w:rsid w:val="00EC16E9"/>
    <w:rsid w:val="00EC190D"/>
    <w:rsid w:val="00EC1FE9"/>
    <w:rsid w:val="00EC27A0"/>
    <w:rsid w:val="00EC29D7"/>
    <w:rsid w:val="00EC2A36"/>
    <w:rsid w:val="00EC2E0B"/>
    <w:rsid w:val="00EC32AC"/>
    <w:rsid w:val="00EC364C"/>
    <w:rsid w:val="00EC378D"/>
    <w:rsid w:val="00EC3E9B"/>
    <w:rsid w:val="00EC46EC"/>
    <w:rsid w:val="00EC4719"/>
    <w:rsid w:val="00EC473E"/>
    <w:rsid w:val="00EC47B9"/>
    <w:rsid w:val="00EC4A3B"/>
    <w:rsid w:val="00EC5034"/>
    <w:rsid w:val="00EC5565"/>
    <w:rsid w:val="00EC5570"/>
    <w:rsid w:val="00EC5697"/>
    <w:rsid w:val="00EC56A0"/>
    <w:rsid w:val="00EC61BD"/>
    <w:rsid w:val="00EC6352"/>
    <w:rsid w:val="00EC647A"/>
    <w:rsid w:val="00EC677D"/>
    <w:rsid w:val="00EC695D"/>
    <w:rsid w:val="00EC6A45"/>
    <w:rsid w:val="00EC6CA5"/>
    <w:rsid w:val="00EC6F1B"/>
    <w:rsid w:val="00EC7036"/>
    <w:rsid w:val="00EC74AC"/>
    <w:rsid w:val="00EC75B8"/>
    <w:rsid w:val="00EC7975"/>
    <w:rsid w:val="00EC7C5F"/>
    <w:rsid w:val="00EC7D85"/>
    <w:rsid w:val="00ED00BA"/>
    <w:rsid w:val="00ED0424"/>
    <w:rsid w:val="00ED054E"/>
    <w:rsid w:val="00ED0898"/>
    <w:rsid w:val="00ED09CD"/>
    <w:rsid w:val="00ED17A9"/>
    <w:rsid w:val="00ED1AB4"/>
    <w:rsid w:val="00ED2A87"/>
    <w:rsid w:val="00ED2BCA"/>
    <w:rsid w:val="00ED2C0B"/>
    <w:rsid w:val="00ED30F0"/>
    <w:rsid w:val="00ED31CD"/>
    <w:rsid w:val="00ED32CE"/>
    <w:rsid w:val="00ED37ED"/>
    <w:rsid w:val="00ED3A8D"/>
    <w:rsid w:val="00ED3D20"/>
    <w:rsid w:val="00ED3F92"/>
    <w:rsid w:val="00ED4C4C"/>
    <w:rsid w:val="00ED4E20"/>
    <w:rsid w:val="00ED4EBE"/>
    <w:rsid w:val="00ED5057"/>
    <w:rsid w:val="00ED5067"/>
    <w:rsid w:val="00ED5279"/>
    <w:rsid w:val="00ED57BE"/>
    <w:rsid w:val="00ED5B46"/>
    <w:rsid w:val="00ED6148"/>
    <w:rsid w:val="00ED628C"/>
    <w:rsid w:val="00ED6417"/>
    <w:rsid w:val="00ED6424"/>
    <w:rsid w:val="00ED661B"/>
    <w:rsid w:val="00ED6B04"/>
    <w:rsid w:val="00ED7313"/>
    <w:rsid w:val="00ED733F"/>
    <w:rsid w:val="00ED75EA"/>
    <w:rsid w:val="00ED7AD5"/>
    <w:rsid w:val="00ED7B39"/>
    <w:rsid w:val="00ED7F82"/>
    <w:rsid w:val="00EE0722"/>
    <w:rsid w:val="00EE0750"/>
    <w:rsid w:val="00EE09F8"/>
    <w:rsid w:val="00EE0CB7"/>
    <w:rsid w:val="00EE1122"/>
    <w:rsid w:val="00EE1A84"/>
    <w:rsid w:val="00EE1AAC"/>
    <w:rsid w:val="00EE1BCB"/>
    <w:rsid w:val="00EE1FAD"/>
    <w:rsid w:val="00EE227F"/>
    <w:rsid w:val="00EE26DD"/>
    <w:rsid w:val="00EE2751"/>
    <w:rsid w:val="00EE2B38"/>
    <w:rsid w:val="00EE2F3F"/>
    <w:rsid w:val="00EE3426"/>
    <w:rsid w:val="00EE3452"/>
    <w:rsid w:val="00EE3616"/>
    <w:rsid w:val="00EE3A40"/>
    <w:rsid w:val="00EE4726"/>
    <w:rsid w:val="00EE4A1F"/>
    <w:rsid w:val="00EE4A39"/>
    <w:rsid w:val="00EE4FCB"/>
    <w:rsid w:val="00EE6D60"/>
    <w:rsid w:val="00EE6FCA"/>
    <w:rsid w:val="00EE70CE"/>
    <w:rsid w:val="00EE755E"/>
    <w:rsid w:val="00EE7582"/>
    <w:rsid w:val="00EE7793"/>
    <w:rsid w:val="00EE7948"/>
    <w:rsid w:val="00EE7D06"/>
    <w:rsid w:val="00EE7E78"/>
    <w:rsid w:val="00EF00C1"/>
    <w:rsid w:val="00EF0176"/>
    <w:rsid w:val="00EF02B1"/>
    <w:rsid w:val="00EF0764"/>
    <w:rsid w:val="00EF0B59"/>
    <w:rsid w:val="00EF0C38"/>
    <w:rsid w:val="00EF0F65"/>
    <w:rsid w:val="00EF1048"/>
    <w:rsid w:val="00EF1F31"/>
    <w:rsid w:val="00EF269A"/>
    <w:rsid w:val="00EF3078"/>
    <w:rsid w:val="00EF3434"/>
    <w:rsid w:val="00EF350E"/>
    <w:rsid w:val="00EF38E5"/>
    <w:rsid w:val="00EF3B79"/>
    <w:rsid w:val="00EF3BD1"/>
    <w:rsid w:val="00EF3E06"/>
    <w:rsid w:val="00EF3E42"/>
    <w:rsid w:val="00EF40AD"/>
    <w:rsid w:val="00EF4188"/>
    <w:rsid w:val="00EF4396"/>
    <w:rsid w:val="00EF4588"/>
    <w:rsid w:val="00EF4600"/>
    <w:rsid w:val="00EF513A"/>
    <w:rsid w:val="00EF544A"/>
    <w:rsid w:val="00EF5C5E"/>
    <w:rsid w:val="00EF5F41"/>
    <w:rsid w:val="00EF6396"/>
    <w:rsid w:val="00EF6C56"/>
    <w:rsid w:val="00EF7400"/>
    <w:rsid w:val="00EF746E"/>
    <w:rsid w:val="00EF7AF5"/>
    <w:rsid w:val="00EF7B85"/>
    <w:rsid w:val="00EF7CF3"/>
    <w:rsid w:val="00EF7EC4"/>
    <w:rsid w:val="00F0094C"/>
    <w:rsid w:val="00F009F8"/>
    <w:rsid w:val="00F00C00"/>
    <w:rsid w:val="00F00C64"/>
    <w:rsid w:val="00F013C5"/>
    <w:rsid w:val="00F01546"/>
    <w:rsid w:val="00F015B4"/>
    <w:rsid w:val="00F01A58"/>
    <w:rsid w:val="00F01A8A"/>
    <w:rsid w:val="00F01F0E"/>
    <w:rsid w:val="00F021DE"/>
    <w:rsid w:val="00F02442"/>
    <w:rsid w:val="00F02D77"/>
    <w:rsid w:val="00F02E39"/>
    <w:rsid w:val="00F02FCC"/>
    <w:rsid w:val="00F03111"/>
    <w:rsid w:val="00F03430"/>
    <w:rsid w:val="00F039CC"/>
    <w:rsid w:val="00F03AFA"/>
    <w:rsid w:val="00F03F12"/>
    <w:rsid w:val="00F03FD5"/>
    <w:rsid w:val="00F048AE"/>
    <w:rsid w:val="00F04D63"/>
    <w:rsid w:val="00F04E38"/>
    <w:rsid w:val="00F0547B"/>
    <w:rsid w:val="00F054D3"/>
    <w:rsid w:val="00F05D57"/>
    <w:rsid w:val="00F05F4B"/>
    <w:rsid w:val="00F0659E"/>
    <w:rsid w:val="00F0676E"/>
    <w:rsid w:val="00F0737D"/>
    <w:rsid w:val="00F076D1"/>
    <w:rsid w:val="00F07952"/>
    <w:rsid w:val="00F10161"/>
    <w:rsid w:val="00F1083F"/>
    <w:rsid w:val="00F10D48"/>
    <w:rsid w:val="00F11FB1"/>
    <w:rsid w:val="00F122CE"/>
    <w:rsid w:val="00F12530"/>
    <w:rsid w:val="00F125BC"/>
    <w:rsid w:val="00F12624"/>
    <w:rsid w:val="00F12DB0"/>
    <w:rsid w:val="00F12DBA"/>
    <w:rsid w:val="00F12EEC"/>
    <w:rsid w:val="00F13286"/>
    <w:rsid w:val="00F13465"/>
    <w:rsid w:val="00F13469"/>
    <w:rsid w:val="00F137D5"/>
    <w:rsid w:val="00F1399F"/>
    <w:rsid w:val="00F13B59"/>
    <w:rsid w:val="00F13C1B"/>
    <w:rsid w:val="00F13FA4"/>
    <w:rsid w:val="00F1400B"/>
    <w:rsid w:val="00F14034"/>
    <w:rsid w:val="00F1472A"/>
    <w:rsid w:val="00F14835"/>
    <w:rsid w:val="00F157C3"/>
    <w:rsid w:val="00F15A19"/>
    <w:rsid w:val="00F15A46"/>
    <w:rsid w:val="00F16288"/>
    <w:rsid w:val="00F164B3"/>
    <w:rsid w:val="00F164F7"/>
    <w:rsid w:val="00F16A50"/>
    <w:rsid w:val="00F16C11"/>
    <w:rsid w:val="00F16CF1"/>
    <w:rsid w:val="00F173EA"/>
    <w:rsid w:val="00F17443"/>
    <w:rsid w:val="00F17593"/>
    <w:rsid w:val="00F17610"/>
    <w:rsid w:val="00F1783F"/>
    <w:rsid w:val="00F17B8D"/>
    <w:rsid w:val="00F17F08"/>
    <w:rsid w:val="00F206BF"/>
    <w:rsid w:val="00F206DF"/>
    <w:rsid w:val="00F2095A"/>
    <w:rsid w:val="00F21D68"/>
    <w:rsid w:val="00F22330"/>
    <w:rsid w:val="00F22676"/>
    <w:rsid w:val="00F237D6"/>
    <w:rsid w:val="00F23A58"/>
    <w:rsid w:val="00F2456B"/>
    <w:rsid w:val="00F246A5"/>
    <w:rsid w:val="00F24A33"/>
    <w:rsid w:val="00F24D07"/>
    <w:rsid w:val="00F24EAA"/>
    <w:rsid w:val="00F2589E"/>
    <w:rsid w:val="00F25ABA"/>
    <w:rsid w:val="00F25C27"/>
    <w:rsid w:val="00F26200"/>
    <w:rsid w:val="00F262EF"/>
    <w:rsid w:val="00F263D1"/>
    <w:rsid w:val="00F26418"/>
    <w:rsid w:val="00F266A1"/>
    <w:rsid w:val="00F26775"/>
    <w:rsid w:val="00F26FBD"/>
    <w:rsid w:val="00F3018E"/>
    <w:rsid w:val="00F30801"/>
    <w:rsid w:val="00F30988"/>
    <w:rsid w:val="00F30A0D"/>
    <w:rsid w:val="00F30B60"/>
    <w:rsid w:val="00F30DDB"/>
    <w:rsid w:val="00F3133F"/>
    <w:rsid w:val="00F31E72"/>
    <w:rsid w:val="00F31F8D"/>
    <w:rsid w:val="00F3241C"/>
    <w:rsid w:val="00F324DA"/>
    <w:rsid w:val="00F326E4"/>
    <w:rsid w:val="00F32983"/>
    <w:rsid w:val="00F335E1"/>
    <w:rsid w:val="00F335F4"/>
    <w:rsid w:val="00F339A5"/>
    <w:rsid w:val="00F33F2E"/>
    <w:rsid w:val="00F3574F"/>
    <w:rsid w:val="00F35785"/>
    <w:rsid w:val="00F35A94"/>
    <w:rsid w:val="00F35D52"/>
    <w:rsid w:val="00F360EA"/>
    <w:rsid w:val="00F36174"/>
    <w:rsid w:val="00F36620"/>
    <w:rsid w:val="00F36AE8"/>
    <w:rsid w:val="00F36F8B"/>
    <w:rsid w:val="00F371A6"/>
    <w:rsid w:val="00F37B7F"/>
    <w:rsid w:val="00F37C25"/>
    <w:rsid w:val="00F37E11"/>
    <w:rsid w:val="00F4037E"/>
    <w:rsid w:val="00F405A2"/>
    <w:rsid w:val="00F409FF"/>
    <w:rsid w:val="00F40B34"/>
    <w:rsid w:val="00F40D1E"/>
    <w:rsid w:val="00F412D4"/>
    <w:rsid w:val="00F41D67"/>
    <w:rsid w:val="00F42238"/>
    <w:rsid w:val="00F4234A"/>
    <w:rsid w:val="00F42758"/>
    <w:rsid w:val="00F428D6"/>
    <w:rsid w:val="00F429DB"/>
    <w:rsid w:val="00F429FD"/>
    <w:rsid w:val="00F42A14"/>
    <w:rsid w:val="00F42A6F"/>
    <w:rsid w:val="00F42A94"/>
    <w:rsid w:val="00F42C54"/>
    <w:rsid w:val="00F432A9"/>
    <w:rsid w:val="00F43490"/>
    <w:rsid w:val="00F4372B"/>
    <w:rsid w:val="00F43947"/>
    <w:rsid w:val="00F43DAC"/>
    <w:rsid w:val="00F43FDB"/>
    <w:rsid w:val="00F442B5"/>
    <w:rsid w:val="00F442C7"/>
    <w:rsid w:val="00F443F1"/>
    <w:rsid w:val="00F444E4"/>
    <w:rsid w:val="00F44637"/>
    <w:rsid w:val="00F4470A"/>
    <w:rsid w:val="00F448EE"/>
    <w:rsid w:val="00F44FE6"/>
    <w:rsid w:val="00F4530D"/>
    <w:rsid w:val="00F4531B"/>
    <w:rsid w:val="00F45DFA"/>
    <w:rsid w:val="00F46346"/>
    <w:rsid w:val="00F465C0"/>
    <w:rsid w:val="00F46873"/>
    <w:rsid w:val="00F46A6C"/>
    <w:rsid w:val="00F46D3B"/>
    <w:rsid w:val="00F4720F"/>
    <w:rsid w:val="00F473EC"/>
    <w:rsid w:val="00F476A9"/>
    <w:rsid w:val="00F478A9"/>
    <w:rsid w:val="00F47CF3"/>
    <w:rsid w:val="00F500F8"/>
    <w:rsid w:val="00F507B9"/>
    <w:rsid w:val="00F50823"/>
    <w:rsid w:val="00F5099A"/>
    <w:rsid w:val="00F5169A"/>
    <w:rsid w:val="00F51BEA"/>
    <w:rsid w:val="00F51FC3"/>
    <w:rsid w:val="00F520E9"/>
    <w:rsid w:val="00F52182"/>
    <w:rsid w:val="00F52241"/>
    <w:rsid w:val="00F523BC"/>
    <w:rsid w:val="00F52465"/>
    <w:rsid w:val="00F52477"/>
    <w:rsid w:val="00F5296C"/>
    <w:rsid w:val="00F52B77"/>
    <w:rsid w:val="00F5309C"/>
    <w:rsid w:val="00F53CEB"/>
    <w:rsid w:val="00F53D95"/>
    <w:rsid w:val="00F5438F"/>
    <w:rsid w:val="00F545C2"/>
    <w:rsid w:val="00F549F2"/>
    <w:rsid w:val="00F54A6E"/>
    <w:rsid w:val="00F54C1C"/>
    <w:rsid w:val="00F54DB4"/>
    <w:rsid w:val="00F54EC8"/>
    <w:rsid w:val="00F558BA"/>
    <w:rsid w:val="00F55A5B"/>
    <w:rsid w:val="00F55E17"/>
    <w:rsid w:val="00F55EF3"/>
    <w:rsid w:val="00F56108"/>
    <w:rsid w:val="00F563FB"/>
    <w:rsid w:val="00F56AD7"/>
    <w:rsid w:val="00F57307"/>
    <w:rsid w:val="00F577E4"/>
    <w:rsid w:val="00F57F39"/>
    <w:rsid w:val="00F6021C"/>
    <w:rsid w:val="00F60A28"/>
    <w:rsid w:val="00F6139F"/>
    <w:rsid w:val="00F613E3"/>
    <w:rsid w:val="00F6186D"/>
    <w:rsid w:val="00F61BF9"/>
    <w:rsid w:val="00F61FEA"/>
    <w:rsid w:val="00F620A4"/>
    <w:rsid w:val="00F62A57"/>
    <w:rsid w:val="00F62BD2"/>
    <w:rsid w:val="00F62C68"/>
    <w:rsid w:val="00F62D77"/>
    <w:rsid w:val="00F63047"/>
    <w:rsid w:val="00F63096"/>
    <w:rsid w:val="00F63373"/>
    <w:rsid w:val="00F63619"/>
    <w:rsid w:val="00F636A1"/>
    <w:rsid w:val="00F63BE7"/>
    <w:rsid w:val="00F63C14"/>
    <w:rsid w:val="00F63FDB"/>
    <w:rsid w:val="00F641DA"/>
    <w:rsid w:val="00F6453E"/>
    <w:rsid w:val="00F648EB"/>
    <w:rsid w:val="00F64AA9"/>
    <w:rsid w:val="00F650F7"/>
    <w:rsid w:val="00F651B3"/>
    <w:rsid w:val="00F65C7A"/>
    <w:rsid w:val="00F65CF3"/>
    <w:rsid w:val="00F6607A"/>
    <w:rsid w:val="00F660FB"/>
    <w:rsid w:val="00F6656F"/>
    <w:rsid w:val="00F66801"/>
    <w:rsid w:val="00F66D2C"/>
    <w:rsid w:val="00F66F2B"/>
    <w:rsid w:val="00F6729C"/>
    <w:rsid w:val="00F6740D"/>
    <w:rsid w:val="00F679A8"/>
    <w:rsid w:val="00F679C4"/>
    <w:rsid w:val="00F67D9A"/>
    <w:rsid w:val="00F70412"/>
    <w:rsid w:val="00F70852"/>
    <w:rsid w:val="00F70888"/>
    <w:rsid w:val="00F70D76"/>
    <w:rsid w:val="00F710F8"/>
    <w:rsid w:val="00F7114B"/>
    <w:rsid w:val="00F712C5"/>
    <w:rsid w:val="00F719C8"/>
    <w:rsid w:val="00F71A88"/>
    <w:rsid w:val="00F72175"/>
    <w:rsid w:val="00F72539"/>
    <w:rsid w:val="00F72D6F"/>
    <w:rsid w:val="00F72EC7"/>
    <w:rsid w:val="00F72ED9"/>
    <w:rsid w:val="00F73346"/>
    <w:rsid w:val="00F73A48"/>
    <w:rsid w:val="00F73D9E"/>
    <w:rsid w:val="00F73FD3"/>
    <w:rsid w:val="00F74C19"/>
    <w:rsid w:val="00F74CC6"/>
    <w:rsid w:val="00F75525"/>
    <w:rsid w:val="00F75618"/>
    <w:rsid w:val="00F75622"/>
    <w:rsid w:val="00F758CA"/>
    <w:rsid w:val="00F75F8F"/>
    <w:rsid w:val="00F76660"/>
    <w:rsid w:val="00F767FF"/>
    <w:rsid w:val="00F77290"/>
    <w:rsid w:val="00F775F0"/>
    <w:rsid w:val="00F776A8"/>
    <w:rsid w:val="00F776EF"/>
    <w:rsid w:val="00F77E1B"/>
    <w:rsid w:val="00F77E55"/>
    <w:rsid w:val="00F803C7"/>
    <w:rsid w:val="00F8062C"/>
    <w:rsid w:val="00F80777"/>
    <w:rsid w:val="00F80779"/>
    <w:rsid w:val="00F80B12"/>
    <w:rsid w:val="00F8108B"/>
    <w:rsid w:val="00F81258"/>
    <w:rsid w:val="00F8182C"/>
    <w:rsid w:val="00F81C6E"/>
    <w:rsid w:val="00F81E42"/>
    <w:rsid w:val="00F81E7A"/>
    <w:rsid w:val="00F823E3"/>
    <w:rsid w:val="00F8266A"/>
    <w:rsid w:val="00F828FD"/>
    <w:rsid w:val="00F82CA4"/>
    <w:rsid w:val="00F8345B"/>
    <w:rsid w:val="00F83491"/>
    <w:rsid w:val="00F83712"/>
    <w:rsid w:val="00F83852"/>
    <w:rsid w:val="00F83CB6"/>
    <w:rsid w:val="00F83E0B"/>
    <w:rsid w:val="00F84928"/>
    <w:rsid w:val="00F849D5"/>
    <w:rsid w:val="00F84A5C"/>
    <w:rsid w:val="00F8506E"/>
    <w:rsid w:val="00F854FE"/>
    <w:rsid w:val="00F85C4D"/>
    <w:rsid w:val="00F86556"/>
    <w:rsid w:val="00F86D0B"/>
    <w:rsid w:val="00F86DA0"/>
    <w:rsid w:val="00F86F2E"/>
    <w:rsid w:val="00F86FF6"/>
    <w:rsid w:val="00F8712C"/>
    <w:rsid w:val="00F8721E"/>
    <w:rsid w:val="00F87843"/>
    <w:rsid w:val="00F878C1"/>
    <w:rsid w:val="00F87B55"/>
    <w:rsid w:val="00F87B84"/>
    <w:rsid w:val="00F87C8C"/>
    <w:rsid w:val="00F9042F"/>
    <w:rsid w:val="00F904DC"/>
    <w:rsid w:val="00F91637"/>
    <w:rsid w:val="00F91725"/>
    <w:rsid w:val="00F917A8"/>
    <w:rsid w:val="00F9188C"/>
    <w:rsid w:val="00F91FA6"/>
    <w:rsid w:val="00F92258"/>
    <w:rsid w:val="00F923C0"/>
    <w:rsid w:val="00F924FD"/>
    <w:rsid w:val="00F92CD6"/>
    <w:rsid w:val="00F92D44"/>
    <w:rsid w:val="00F93424"/>
    <w:rsid w:val="00F93670"/>
    <w:rsid w:val="00F93CE9"/>
    <w:rsid w:val="00F93DD8"/>
    <w:rsid w:val="00F94043"/>
    <w:rsid w:val="00F9422B"/>
    <w:rsid w:val="00F9462F"/>
    <w:rsid w:val="00F94CC8"/>
    <w:rsid w:val="00F94FCA"/>
    <w:rsid w:val="00F9573E"/>
    <w:rsid w:val="00F9591A"/>
    <w:rsid w:val="00F95986"/>
    <w:rsid w:val="00F95DE3"/>
    <w:rsid w:val="00F96510"/>
    <w:rsid w:val="00F96536"/>
    <w:rsid w:val="00F9661F"/>
    <w:rsid w:val="00F96710"/>
    <w:rsid w:val="00F96893"/>
    <w:rsid w:val="00F96B43"/>
    <w:rsid w:val="00F96DB7"/>
    <w:rsid w:val="00F970D2"/>
    <w:rsid w:val="00F97113"/>
    <w:rsid w:val="00F971A2"/>
    <w:rsid w:val="00F97C49"/>
    <w:rsid w:val="00F97E09"/>
    <w:rsid w:val="00FA0891"/>
    <w:rsid w:val="00FA095A"/>
    <w:rsid w:val="00FA0971"/>
    <w:rsid w:val="00FA0B8D"/>
    <w:rsid w:val="00FA12B5"/>
    <w:rsid w:val="00FA17EB"/>
    <w:rsid w:val="00FA1B2B"/>
    <w:rsid w:val="00FA1D07"/>
    <w:rsid w:val="00FA1D90"/>
    <w:rsid w:val="00FA2276"/>
    <w:rsid w:val="00FA239C"/>
    <w:rsid w:val="00FA27E2"/>
    <w:rsid w:val="00FA2840"/>
    <w:rsid w:val="00FA2886"/>
    <w:rsid w:val="00FA29ED"/>
    <w:rsid w:val="00FA2A49"/>
    <w:rsid w:val="00FA2DA3"/>
    <w:rsid w:val="00FA2FB1"/>
    <w:rsid w:val="00FA314F"/>
    <w:rsid w:val="00FA3177"/>
    <w:rsid w:val="00FA34C8"/>
    <w:rsid w:val="00FA3832"/>
    <w:rsid w:val="00FA38E8"/>
    <w:rsid w:val="00FA3AA7"/>
    <w:rsid w:val="00FA3BB5"/>
    <w:rsid w:val="00FA3C1C"/>
    <w:rsid w:val="00FA3DC2"/>
    <w:rsid w:val="00FA3DCD"/>
    <w:rsid w:val="00FA3F24"/>
    <w:rsid w:val="00FA3F66"/>
    <w:rsid w:val="00FA4086"/>
    <w:rsid w:val="00FA4141"/>
    <w:rsid w:val="00FA45A0"/>
    <w:rsid w:val="00FA4864"/>
    <w:rsid w:val="00FA4C72"/>
    <w:rsid w:val="00FA5182"/>
    <w:rsid w:val="00FA5379"/>
    <w:rsid w:val="00FA552E"/>
    <w:rsid w:val="00FA56EE"/>
    <w:rsid w:val="00FA6070"/>
    <w:rsid w:val="00FA644E"/>
    <w:rsid w:val="00FA665D"/>
    <w:rsid w:val="00FA6F63"/>
    <w:rsid w:val="00FA724F"/>
    <w:rsid w:val="00FA7329"/>
    <w:rsid w:val="00FA742F"/>
    <w:rsid w:val="00FA75CB"/>
    <w:rsid w:val="00FA75F8"/>
    <w:rsid w:val="00FA7A06"/>
    <w:rsid w:val="00FA7D64"/>
    <w:rsid w:val="00FA7D8A"/>
    <w:rsid w:val="00FA7EC1"/>
    <w:rsid w:val="00FB04B1"/>
    <w:rsid w:val="00FB0534"/>
    <w:rsid w:val="00FB0B6E"/>
    <w:rsid w:val="00FB0F32"/>
    <w:rsid w:val="00FB137C"/>
    <w:rsid w:val="00FB187E"/>
    <w:rsid w:val="00FB1B19"/>
    <w:rsid w:val="00FB1B26"/>
    <w:rsid w:val="00FB1F8A"/>
    <w:rsid w:val="00FB2113"/>
    <w:rsid w:val="00FB239D"/>
    <w:rsid w:val="00FB25AF"/>
    <w:rsid w:val="00FB2602"/>
    <w:rsid w:val="00FB27E5"/>
    <w:rsid w:val="00FB280D"/>
    <w:rsid w:val="00FB2F04"/>
    <w:rsid w:val="00FB30BA"/>
    <w:rsid w:val="00FB39A9"/>
    <w:rsid w:val="00FB3DF6"/>
    <w:rsid w:val="00FB41C2"/>
    <w:rsid w:val="00FB4414"/>
    <w:rsid w:val="00FB48FC"/>
    <w:rsid w:val="00FB4B1C"/>
    <w:rsid w:val="00FB4B2B"/>
    <w:rsid w:val="00FB5297"/>
    <w:rsid w:val="00FB5344"/>
    <w:rsid w:val="00FB53C7"/>
    <w:rsid w:val="00FB5562"/>
    <w:rsid w:val="00FB58CF"/>
    <w:rsid w:val="00FB635F"/>
    <w:rsid w:val="00FB67EC"/>
    <w:rsid w:val="00FB6AB9"/>
    <w:rsid w:val="00FB6BE8"/>
    <w:rsid w:val="00FB6E1D"/>
    <w:rsid w:val="00FB7404"/>
    <w:rsid w:val="00FB7835"/>
    <w:rsid w:val="00FB7A65"/>
    <w:rsid w:val="00FB7EC4"/>
    <w:rsid w:val="00FC0037"/>
    <w:rsid w:val="00FC06AE"/>
    <w:rsid w:val="00FC08D4"/>
    <w:rsid w:val="00FC0A37"/>
    <w:rsid w:val="00FC0DC5"/>
    <w:rsid w:val="00FC201F"/>
    <w:rsid w:val="00FC219E"/>
    <w:rsid w:val="00FC236F"/>
    <w:rsid w:val="00FC2669"/>
    <w:rsid w:val="00FC2702"/>
    <w:rsid w:val="00FC2B7E"/>
    <w:rsid w:val="00FC2BAC"/>
    <w:rsid w:val="00FC2C20"/>
    <w:rsid w:val="00FC2DB6"/>
    <w:rsid w:val="00FC2F7C"/>
    <w:rsid w:val="00FC3297"/>
    <w:rsid w:val="00FC34B6"/>
    <w:rsid w:val="00FC378B"/>
    <w:rsid w:val="00FC3D7F"/>
    <w:rsid w:val="00FC3DC0"/>
    <w:rsid w:val="00FC3EBA"/>
    <w:rsid w:val="00FC4165"/>
    <w:rsid w:val="00FC440C"/>
    <w:rsid w:val="00FC45BE"/>
    <w:rsid w:val="00FC4830"/>
    <w:rsid w:val="00FC4947"/>
    <w:rsid w:val="00FC4979"/>
    <w:rsid w:val="00FC4B3F"/>
    <w:rsid w:val="00FC4E7E"/>
    <w:rsid w:val="00FC502E"/>
    <w:rsid w:val="00FC5137"/>
    <w:rsid w:val="00FC56E8"/>
    <w:rsid w:val="00FC5C51"/>
    <w:rsid w:val="00FC62FD"/>
    <w:rsid w:val="00FC665A"/>
    <w:rsid w:val="00FC66BF"/>
    <w:rsid w:val="00FC6908"/>
    <w:rsid w:val="00FC72AA"/>
    <w:rsid w:val="00FC79B4"/>
    <w:rsid w:val="00FC7CDE"/>
    <w:rsid w:val="00FC7E4D"/>
    <w:rsid w:val="00FD0889"/>
    <w:rsid w:val="00FD0995"/>
    <w:rsid w:val="00FD0A74"/>
    <w:rsid w:val="00FD0B74"/>
    <w:rsid w:val="00FD0CDA"/>
    <w:rsid w:val="00FD0E6C"/>
    <w:rsid w:val="00FD1055"/>
    <w:rsid w:val="00FD1713"/>
    <w:rsid w:val="00FD1C74"/>
    <w:rsid w:val="00FD2E1F"/>
    <w:rsid w:val="00FD338E"/>
    <w:rsid w:val="00FD3B9C"/>
    <w:rsid w:val="00FD402D"/>
    <w:rsid w:val="00FD4186"/>
    <w:rsid w:val="00FD4ACF"/>
    <w:rsid w:val="00FD4C22"/>
    <w:rsid w:val="00FD4D51"/>
    <w:rsid w:val="00FD5559"/>
    <w:rsid w:val="00FD5779"/>
    <w:rsid w:val="00FD58A8"/>
    <w:rsid w:val="00FD59DB"/>
    <w:rsid w:val="00FD5D9C"/>
    <w:rsid w:val="00FD625B"/>
    <w:rsid w:val="00FD6EEB"/>
    <w:rsid w:val="00FD72E3"/>
    <w:rsid w:val="00FD7498"/>
    <w:rsid w:val="00FD7A1A"/>
    <w:rsid w:val="00FD7DCB"/>
    <w:rsid w:val="00FD7E76"/>
    <w:rsid w:val="00FE0045"/>
    <w:rsid w:val="00FE0557"/>
    <w:rsid w:val="00FE0C12"/>
    <w:rsid w:val="00FE0E1B"/>
    <w:rsid w:val="00FE0ED3"/>
    <w:rsid w:val="00FE10CD"/>
    <w:rsid w:val="00FE1379"/>
    <w:rsid w:val="00FE185C"/>
    <w:rsid w:val="00FE191E"/>
    <w:rsid w:val="00FE1E52"/>
    <w:rsid w:val="00FE28CC"/>
    <w:rsid w:val="00FE2FFB"/>
    <w:rsid w:val="00FE417A"/>
    <w:rsid w:val="00FE4A6B"/>
    <w:rsid w:val="00FE5506"/>
    <w:rsid w:val="00FE5561"/>
    <w:rsid w:val="00FE5A1D"/>
    <w:rsid w:val="00FE5E8C"/>
    <w:rsid w:val="00FE5E9E"/>
    <w:rsid w:val="00FE5EC0"/>
    <w:rsid w:val="00FE5F5D"/>
    <w:rsid w:val="00FE6002"/>
    <w:rsid w:val="00FE66F6"/>
    <w:rsid w:val="00FE6AA9"/>
    <w:rsid w:val="00FE6E50"/>
    <w:rsid w:val="00FE7195"/>
    <w:rsid w:val="00FE777F"/>
    <w:rsid w:val="00FE7B11"/>
    <w:rsid w:val="00FE7B4C"/>
    <w:rsid w:val="00FF018C"/>
    <w:rsid w:val="00FF0A45"/>
    <w:rsid w:val="00FF0A86"/>
    <w:rsid w:val="00FF0DD9"/>
    <w:rsid w:val="00FF1178"/>
    <w:rsid w:val="00FF117B"/>
    <w:rsid w:val="00FF1548"/>
    <w:rsid w:val="00FF1802"/>
    <w:rsid w:val="00FF1EEB"/>
    <w:rsid w:val="00FF20B0"/>
    <w:rsid w:val="00FF2290"/>
    <w:rsid w:val="00FF2331"/>
    <w:rsid w:val="00FF2607"/>
    <w:rsid w:val="00FF285B"/>
    <w:rsid w:val="00FF2F8F"/>
    <w:rsid w:val="00FF34C9"/>
    <w:rsid w:val="00FF37A9"/>
    <w:rsid w:val="00FF46A1"/>
    <w:rsid w:val="00FF4D13"/>
    <w:rsid w:val="00FF5189"/>
    <w:rsid w:val="00FF523B"/>
    <w:rsid w:val="00FF5839"/>
    <w:rsid w:val="00FF5BDC"/>
    <w:rsid w:val="00FF5EB0"/>
    <w:rsid w:val="00FF6444"/>
    <w:rsid w:val="00FF655F"/>
    <w:rsid w:val="00FF66E8"/>
    <w:rsid w:val="00FF6776"/>
    <w:rsid w:val="00FF6E3C"/>
    <w:rsid w:val="00FF73F0"/>
    <w:rsid w:val="00FF758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77"/>
    <o:shapelayout v:ext="edit">
      <o:idmap v:ext="edit" data="1"/>
    </o:shapelayout>
  </w:shapeDefaults>
  <w:decimalSymbol w:val="."/>
  <w:listSeparator w:val=","/>
  <w14:docId w14:val="1D10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iPriority="0"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qFormat="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Closing" w:locked="1" w:semiHidden="1" w:unhideWhenUsed="1"/>
    <w:lsdException w:name="Signature" w:locked="1" w:semiHidden="1" w:unhideWhenUsed="1"/>
    <w:lsdException w:name="Default Paragraph Font"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0" w:unhideWhenUsed="1"/>
    <w:lsdException w:name="HTML Bottom of Form" w:locked="1" w:semiHidden="1" w:uiPriority="0" w:unhideWhenUsed="1"/>
    <w:lsdException w:name="Normal (Web)" w:locked="1" w:semiHidden="1" w:unhideWhenUsed="1"/>
    <w:lsdException w:name="HTML Acronym" w:locked="1" w:semiHidden="1" w:uiPriority="0" w:unhideWhenUsed="1"/>
    <w:lsdException w:name="HTML Address" w:locked="1" w:semiHidden="1" w:unhideWhenUsed="1"/>
    <w:lsdException w:name="HTML Cite" w:locked="1" w:semiHidden="1" w:uiPriority="0" w:unhideWhenUsed="1"/>
    <w:lsdException w:name="HTML Code" w:locked="1" w:semiHidden="1" w:uiPriority="0" w:unhideWhenUsed="1"/>
    <w:lsdException w:name="HTML Definition" w:locked="1" w:semiHidden="1" w:uiPriority="0" w:unhideWhenUsed="1"/>
    <w:lsdException w:name="HTML Keyboard" w:locked="1" w:semiHidden="1" w:uiPriority="0" w:unhideWhenUsed="1"/>
    <w:lsdException w:name="HTML Preformatted" w:locked="1" w:semiHidden="1" w:unhideWhenUsed="1"/>
    <w:lsdException w:name="HTML Sample" w:locked="1" w:semiHidden="1" w:uiPriority="0" w:unhideWhenUsed="1"/>
    <w:lsdException w:name="HTML Typewriter" w:locked="1" w:semiHidden="1" w:uiPriority="0" w:unhideWhenUsed="1"/>
    <w:lsdException w:name="HTML Variable" w:locked="1" w:semiHidden="1" w:uiPriority="0" w:unhideWhenUsed="1"/>
    <w:lsdException w:name="Normal Table" w:locked="1" w:semiHidden="1" w:uiPriority="0" w:unhideWhenUsed="1"/>
    <w:lsdException w:name="annotation subject" w:locked="1" w:semiHidden="1" w:unhideWhenUsed="1"/>
    <w:lsdException w:name="No List" w:locked="1" w:semiHidden="1" w:unhideWhenUsed="1"/>
    <w:lsdException w:name="Outline List 1" w:locked="1" w:semiHidden="1" w:uiPriority="0" w:unhideWhenUsed="1"/>
    <w:lsdException w:name="Outline List 2" w:locked="1" w:semiHidden="1" w:uiPriority="0" w:unhideWhenUsed="1"/>
    <w:lsdException w:name="Outline List 3" w:locked="1"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locked="1" w:semiHidden="1" w:unhideWhenUsed="1"/>
    <w:lsdException w:name="Table Grid" w:uiPriority="3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E17"/>
    <w:pPr>
      <w:spacing w:before="120" w:after="120"/>
    </w:pPr>
    <w:rPr>
      <w:rFonts w:ascii="Arial" w:hAnsi="Arial"/>
      <w:sz w:val="22"/>
      <w:szCs w:val="24"/>
      <w:lang w:eastAsia="en-US"/>
    </w:rPr>
  </w:style>
  <w:style w:type="paragraph" w:styleId="Heading1">
    <w:name w:val="heading 1"/>
    <w:basedOn w:val="Normal"/>
    <w:next w:val="Normal"/>
    <w:link w:val="Heading1Char"/>
    <w:uiPriority w:val="9"/>
    <w:qFormat/>
    <w:rsid w:val="00F55E17"/>
    <w:pPr>
      <w:keepNext/>
      <w:numPr>
        <w:numId w:val="38"/>
      </w:numPr>
      <w:spacing w:after="60"/>
      <w:outlineLvl w:val="0"/>
    </w:pPr>
    <w:rPr>
      <w:rFonts w:cs="Arial"/>
      <w:b/>
      <w:kern w:val="32"/>
      <w:sz w:val="36"/>
      <w:szCs w:val="36"/>
    </w:rPr>
  </w:style>
  <w:style w:type="paragraph" w:styleId="Heading2">
    <w:name w:val="heading 2"/>
    <w:basedOn w:val="Normal"/>
    <w:next w:val="Normal"/>
    <w:link w:val="Heading2Char"/>
    <w:uiPriority w:val="9"/>
    <w:unhideWhenUsed/>
    <w:qFormat/>
    <w:rsid w:val="000150D8"/>
    <w:pPr>
      <w:keepNext/>
      <w:keepLines/>
      <w:numPr>
        <w:ilvl w:val="1"/>
        <w:numId w:val="38"/>
      </w:numPr>
      <w:spacing w:before="240" w:after="60"/>
      <w:outlineLvl w:val="1"/>
    </w:pPr>
    <w:rPr>
      <w:rFonts w:eastAsiaTheme="majorEastAsia" w:cs="Arial"/>
      <w:b/>
      <w:sz w:val="24"/>
    </w:rPr>
  </w:style>
  <w:style w:type="paragraph" w:styleId="Heading3">
    <w:name w:val="heading 3"/>
    <w:aliases w:val="3rd Level Heading"/>
    <w:basedOn w:val="Normal"/>
    <w:next w:val="Normal"/>
    <w:link w:val="Heading3Char"/>
    <w:uiPriority w:val="9"/>
    <w:unhideWhenUsed/>
    <w:qFormat/>
    <w:rsid w:val="00F55E17"/>
    <w:pPr>
      <w:keepNext/>
      <w:numPr>
        <w:ilvl w:val="2"/>
        <w:numId w:val="38"/>
      </w:numPr>
      <w:spacing w:before="240" w:after="60"/>
      <w:outlineLvl w:val="2"/>
    </w:pPr>
    <w:rPr>
      <w:rFonts w:eastAsiaTheme="majorEastAsia" w:cs="Arial"/>
      <w:b/>
      <w:szCs w:val="22"/>
    </w:rPr>
  </w:style>
  <w:style w:type="paragraph" w:styleId="Heading4">
    <w:name w:val="heading 4"/>
    <w:aliases w:val="4th Level Heading"/>
    <w:basedOn w:val="Normal"/>
    <w:next w:val="Normal"/>
    <w:link w:val="Heading4Char"/>
    <w:uiPriority w:val="99"/>
    <w:unhideWhenUsed/>
    <w:qFormat/>
    <w:rsid w:val="00F55E17"/>
    <w:pPr>
      <w:keepNext/>
      <w:keepLines/>
      <w:numPr>
        <w:ilvl w:val="3"/>
        <w:numId w:val="38"/>
      </w:numPr>
      <w:spacing w:before="240" w:after="60"/>
      <w:outlineLvl w:val="3"/>
    </w:pPr>
    <w:rPr>
      <w:rFonts w:eastAsiaTheme="majorEastAsia" w:cs="Arial"/>
      <w:i/>
      <w:iCs/>
    </w:rPr>
  </w:style>
  <w:style w:type="paragraph" w:styleId="Heading5">
    <w:name w:val="heading 5"/>
    <w:basedOn w:val="Normal"/>
    <w:next w:val="Normal"/>
    <w:link w:val="Heading5Char"/>
    <w:uiPriority w:val="99"/>
    <w:qFormat/>
    <w:rsid w:val="00AF186C"/>
    <w:pPr>
      <w:numPr>
        <w:ilvl w:val="4"/>
        <w:numId w:val="36"/>
      </w:numPr>
      <w:spacing w:after="60"/>
      <w:outlineLvl w:val="4"/>
    </w:pPr>
    <w:rPr>
      <w:szCs w:val="20"/>
      <w:u w:val="single"/>
    </w:rPr>
  </w:style>
  <w:style w:type="paragraph" w:styleId="Heading6">
    <w:name w:val="heading 6"/>
    <w:basedOn w:val="Normal"/>
    <w:next w:val="Normal"/>
    <w:link w:val="Heading6Char"/>
    <w:uiPriority w:val="99"/>
    <w:qFormat/>
    <w:rsid w:val="00AF186C"/>
    <w:pPr>
      <w:numPr>
        <w:ilvl w:val="5"/>
        <w:numId w:val="36"/>
      </w:numPr>
      <w:spacing w:after="60"/>
      <w:outlineLvl w:val="5"/>
    </w:pPr>
    <w:rPr>
      <w:b/>
      <w:szCs w:val="20"/>
      <w:lang w:eastAsia="x-none"/>
    </w:rPr>
  </w:style>
  <w:style w:type="paragraph" w:styleId="Heading7">
    <w:name w:val="heading 7"/>
    <w:basedOn w:val="Normal"/>
    <w:next w:val="Normal"/>
    <w:link w:val="Heading7Char"/>
    <w:uiPriority w:val="99"/>
    <w:qFormat/>
    <w:rsid w:val="00AF186C"/>
    <w:pPr>
      <w:keepNext/>
      <w:numPr>
        <w:ilvl w:val="6"/>
        <w:numId w:val="36"/>
      </w:numPr>
      <w:jc w:val="center"/>
      <w:outlineLvl w:val="6"/>
    </w:pPr>
    <w:rPr>
      <w:b/>
      <w:sz w:val="20"/>
      <w:szCs w:val="20"/>
      <w:lang w:eastAsia="x-none"/>
    </w:rPr>
  </w:style>
  <w:style w:type="paragraph" w:styleId="Heading8">
    <w:name w:val="heading 8"/>
    <w:basedOn w:val="Normal"/>
    <w:next w:val="Normal"/>
    <w:link w:val="Heading8Char"/>
    <w:uiPriority w:val="99"/>
    <w:qFormat/>
    <w:rsid w:val="004A36C2"/>
    <w:pPr>
      <w:keepNext/>
      <w:keepLines/>
      <w:numPr>
        <w:ilvl w:val="7"/>
        <w:numId w:val="36"/>
      </w:numPr>
      <w:spacing w:before="200" w:after="0"/>
      <w:jc w:val="both"/>
      <w:outlineLvl w:val="7"/>
    </w:pPr>
    <w:rPr>
      <w:rFonts w:ascii="Cambria" w:eastAsia="Calibri" w:hAnsi="Cambria"/>
      <w:color w:val="404040"/>
      <w:sz w:val="20"/>
      <w:szCs w:val="20"/>
      <w:lang w:val="en-US"/>
    </w:rPr>
  </w:style>
  <w:style w:type="paragraph" w:styleId="Heading9">
    <w:name w:val="heading 9"/>
    <w:basedOn w:val="Normal"/>
    <w:next w:val="Normal"/>
    <w:link w:val="Heading9Char"/>
    <w:uiPriority w:val="99"/>
    <w:qFormat/>
    <w:rsid w:val="00AF186C"/>
    <w:pPr>
      <w:keepNext/>
      <w:numPr>
        <w:ilvl w:val="8"/>
        <w:numId w:val="36"/>
      </w:numPr>
      <w:outlineLvl w:val="8"/>
    </w:pPr>
    <w:rPr>
      <w:rFonts w:eastAsia="Arial Unicode MS"/>
      <w:b/>
      <w:sz w:val="16"/>
      <w:szCs w:val="20"/>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55E17"/>
    <w:rPr>
      <w:rFonts w:ascii="Arial" w:hAnsi="Arial" w:cs="Arial"/>
      <w:b/>
      <w:kern w:val="32"/>
      <w:sz w:val="36"/>
      <w:szCs w:val="36"/>
      <w:lang w:eastAsia="en-US"/>
    </w:rPr>
  </w:style>
  <w:style w:type="character" w:customStyle="1" w:styleId="Heading2Char">
    <w:name w:val="Heading 2 Char"/>
    <w:basedOn w:val="DefaultParagraphFont"/>
    <w:link w:val="Heading2"/>
    <w:uiPriority w:val="9"/>
    <w:locked/>
    <w:rsid w:val="000150D8"/>
    <w:rPr>
      <w:rFonts w:ascii="Arial" w:eastAsiaTheme="majorEastAsia" w:hAnsi="Arial" w:cs="Arial"/>
      <w:b/>
      <w:sz w:val="24"/>
      <w:szCs w:val="24"/>
      <w:lang w:eastAsia="en-US"/>
    </w:rPr>
  </w:style>
  <w:style w:type="character" w:customStyle="1" w:styleId="Heading3Char">
    <w:name w:val="Heading 3 Char"/>
    <w:aliases w:val="3rd Level Heading Char"/>
    <w:basedOn w:val="DefaultParagraphFont"/>
    <w:link w:val="Heading3"/>
    <w:uiPriority w:val="9"/>
    <w:locked/>
    <w:rsid w:val="00F55E17"/>
    <w:rPr>
      <w:rFonts w:ascii="Arial" w:eastAsiaTheme="majorEastAsia" w:hAnsi="Arial" w:cs="Arial"/>
      <w:b/>
      <w:sz w:val="22"/>
      <w:szCs w:val="22"/>
      <w:lang w:eastAsia="en-US"/>
    </w:rPr>
  </w:style>
  <w:style w:type="character" w:customStyle="1" w:styleId="Heading4Char">
    <w:name w:val="Heading 4 Char"/>
    <w:aliases w:val="4th Level Heading Char"/>
    <w:basedOn w:val="DefaultParagraphFont"/>
    <w:link w:val="Heading4"/>
    <w:uiPriority w:val="99"/>
    <w:locked/>
    <w:rsid w:val="00F55E17"/>
    <w:rPr>
      <w:rFonts w:ascii="Arial" w:eastAsiaTheme="majorEastAsia" w:hAnsi="Arial" w:cs="Arial"/>
      <w:i/>
      <w:iCs/>
      <w:sz w:val="22"/>
      <w:szCs w:val="24"/>
      <w:lang w:eastAsia="en-US"/>
    </w:rPr>
  </w:style>
  <w:style w:type="character" w:customStyle="1" w:styleId="Heading5Char">
    <w:name w:val="Heading 5 Char"/>
    <w:link w:val="Heading5"/>
    <w:uiPriority w:val="99"/>
    <w:locked/>
    <w:rsid w:val="00AF186C"/>
    <w:rPr>
      <w:rFonts w:ascii="Arial" w:hAnsi="Arial"/>
      <w:sz w:val="22"/>
      <w:u w:val="single"/>
      <w:lang w:eastAsia="en-US"/>
    </w:rPr>
  </w:style>
  <w:style w:type="character" w:customStyle="1" w:styleId="Heading6Char">
    <w:name w:val="Heading 6 Char"/>
    <w:link w:val="Heading6"/>
    <w:uiPriority w:val="99"/>
    <w:locked/>
    <w:rsid w:val="00AF186C"/>
    <w:rPr>
      <w:rFonts w:ascii="Arial" w:hAnsi="Arial"/>
      <w:b/>
      <w:sz w:val="22"/>
      <w:lang w:eastAsia="x-none"/>
    </w:rPr>
  </w:style>
  <w:style w:type="character" w:customStyle="1" w:styleId="Heading7Char">
    <w:name w:val="Heading 7 Char"/>
    <w:link w:val="Heading7"/>
    <w:uiPriority w:val="99"/>
    <w:locked/>
    <w:rsid w:val="00AF186C"/>
    <w:rPr>
      <w:rFonts w:ascii="Arial" w:hAnsi="Arial"/>
      <w:b/>
      <w:lang w:eastAsia="x-none"/>
    </w:rPr>
  </w:style>
  <w:style w:type="character" w:customStyle="1" w:styleId="Heading8Char">
    <w:name w:val="Heading 8 Char"/>
    <w:link w:val="Heading8"/>
    <w:uiPriority w:val="99"/>
    <w:locked/>
    <w:rsid w:val="004A36C2"/>
    <w:rPr>
      <w:rFonts w:ascii="Cambria" w:eastAsia="Calibri" w:hAnsi="Cambria"/>
      <w:color w:val="404040"/>
      <w:lang w:val="en-US" w:eastAsia="en-US"/>
    </w:rPr>
  </w:style>
  <w:style w:type="character" w:customStyle="1" w:styleId="Heading9Char">
    <w:name w:val="Heading 9 Char"/>
    <w:link w:val="Heading9"/>
    <w:uiPriority w:val="99"/>
    <w:locked/>
    <w:rsid w:val="00AF186C"/>
    <w:rPr>
      <w:rFonts w:ascii="Arial" w:eastAsia="Arial Unicode MS" w:hAnsi="Arial"/>
      <w:b/>
      <w:sz w:val="16"/>
      <w:lang w:eastAsia="x-none"/>
    </w:rPr>
  </w:style>
  <w:style w:type="paragraph" w:styleId="TOC1">
    <w:name w:val="toc 1"/>
    <w:basedOn w:val="Normal"/>
    <w:next w:val="Normal"/>
    <w:autoRedefine/>
    <w:uiPriority w:val="39"/>
    <w:unhideWhenUsed/>
    <w:qFormat/>
    <w:rsid w:val="007138BA"/>
    <w:pPr>
      <w:tabs>
        <w:tab w:val="right" w:leader="dot" w:pos="9054"/>
      </w:tabs>
    </w:pPr>
    <w:rPr>
      <w:b/>
    </w:rPr>
  </w:style>
  <w:style w:type="paragraph" w:styleId="TOC2">
    <w:name w:val="toc 2"/>
    <w:basedOn w:val="Normal"/>
    <w:next w:val="Normal"/>
    <w:autoRedefine/>
    <w:uiPriority w:val="39"/>
    <w:unhideWhenUsed/>
    <w:qFormat/>
    <w:rsid w:val="007138BA"/>
    <w:pPr>
      <w:spacing w:before="0" w:after="0"/>
      <w:ind w:left="221"/>
    </w:pPr>
    <w:rPr>
      <w:sz w:val="18"/>
    </w:rPr>
  </w:style>
  <w:style w:type="paragraph" w:styleId="TOC3">
    <w:name w:val="toc 3"/>
    <w:basedOn w:val="Normal"/>
    <w:next w:val="Normal"/>
    <w:autoRedefine/>
    <w:uiPriority w:val="39"/>
    <w:unhideWhenUsed/>
    <w:qFormat/>
    <w:rsid w:val="007138BA"/>
    <w:pPr>
      <w:spacing w:before="0" w:after="0"/>
      <w:ind w:left="442"/>
    </w:pPr>
    <w:rPr>
      <w:sz w:val="18"/>
    </w:rPr>
  </w:style>
  <w:style w:type="paragraph" w:styleId="Revision">
    <w:name w:val="Revision"/>
    <w:hidden/>
    <w:uiPriority w:val="99"/>
    <w:semiHidden/>
    <w:rsid w:val="004316F7"/>
    <w:rPr>
      <w:sz w:val="24"/>
      <w:szCs w:val="24"/>
      <w:lang w:eastAsia="en-US"/>
    </w:rPr>
  </w:style>
  <w:style w:type="paragraph" w:styleId="TOC4">
    <w:name w:val="toc 4"/>
    <w:basedOn w:val="Normal"/>
    <w:next w:val="Normal"/>
    <w:autoRedefine/>
    <w:uiPriority w:val="39"/>
    <w:unhideWhenUsed/>
    <w:qFormat/>
    <w:rsid w:val="007138BA"/>
    <w:pPr>
      <w:spacing w:before="0" w:after="0"/>
      <w:ind w:left="658"/>
    </w:pPr>
    <w:rPr>
      <w:i/>
      <w:sz w:val="18"/>
    </w:rPr>
  </w:style>
  <w:style w:type="paragraph" w:styleId="BalloonText">
    <w:name w:val="Balloon Text"/>
    <w:basedOn w:val="Normal"/>
    <w:link w:val="BalloonTextChar"/>
    <w:uiPriority w:val="99"/>
    <w:semiHidden/>
    <w:unhideWhenUsed/>
    <w:locked/>
    <w:rsid w:val="006E401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01D"/>
    <w:rPr>
      <w:rFonts w:ascii="Segoe UI" w:hAnsi="Segoe UI" w:cs="Segoe UI"/>
      <w:sz w:val="18"/>
      <w:szCs w:val="18"/>
      <w:lang w:eastAsia="en-US"/>
    </w:rPr>
  </w:style>
  <w:style w:type="character" w:styleId="Hyperlink">
    <w:name w:val="Hyperlink"/>
    <w:basedOn w:val="DefaultParagraphFont"/>
    <w:uiPriority w:val="99"/>
    <w:unhideWhenUsed/>
    <w:locked/>
    <w:rsid w:val="006E401D"/>
    <w:rPr>
      <w:color w:val="0563C1" w:themeColor="hyperlink"/>
      <w:u w:val="single"/>
    </w:rPr>
  </w:style>
  <w:style w:type="numbering" w:customStyle="1" w:styleId="NumberedHeadingList">
    <w:name w:val="Numbered Heading List"/>
    <w:uiPriority w:val="99"/>
    <w:rsid w:val="000150D8"/>
    <w:pPr>
      <w:numPr>
        <w:numId w:val="37"/>
      </w:numPr>
    </w:pPr>
  </w:style>
  <w:style w:type="paragraph" w:styleId="CommentText">
    <w:name w:val="annotation text"/>
    <w:basedOn w:val="Normal"/>
    <w:link w:val="CommentTextChar"/>
    <w:uiPriority w:val="99"/>
    <w:unhideWhenUsed/>
    <w:locked/>
    <w:rPr>
      <w:sz w:val="20"/>
      <w:szCs w:val="20"/>
    </w:rPr>
  </w:style>
  <w:style w:type="character" w:customStyle="1" w:styleId="CommentTextChar">
    <w:name w:val="Comment Text Char"/>
    <w:basedOn w:val="DefaultParagraphFont"/>
    <w:link w:val="CommentText"/>
    <w:uiPriority w:val="99"/>
    <w:rPr>
      <w:rFonts w:ascii="Arial" w:hAnsi="Arial"/>
      <w:lang w:eastAsia="en-US"/>
    </w:rPr>
  </w:style>
  <w:style w:type="character" w:styleId="CommentReference">
    <w:name w:val="annotation reference"/>
    <w:basedOn w:val="DefaultParagraphFont"/>
    <w:uiPriority w:val="99"/>
    <w:unhideWhenUsed/>
    <w:locked/>
    <w:rPr>
      <w:sz w:val="16"/>
      <w:szCs w:val="16"/>
    </w:rPr>
  </w:style>
  <w:style w:type="paragraph" w:styleId="TOC5">
    <w:name w:val="toc 5"/>
    <w:basedOn w:val="Normal"/>
    <w:next w:val="Normal"/>
    <w:autoRedefine/>
    <w:uiPriority w:val="39"/>
    <w:unhideWhenUsed/>
    <w:rsid w:val="008416AD"/>
    <w:pPr>
      <w:spacing w:before="0" w:after="100" w:line="259" w:lineRule="auto"/>
      <w:ind w:left="880"/>
    </w:pPr>
    <w:rPr>
      <w:rFonts w:asciiTheme="minorHAnsi" w:eastAsiaTheme="minorEastAsia" w:hAnsiTheme="minorHAnsi" w:cstheme="minorBidi"/>
      <w:szCs w:val="22"/>
      <w:lang w:eastAsia="en-AU"/>
    </w:rPr>
  </w:style>
  <w:style w:type="paragraph" w:styleId="TOC6">
    <w:name w:val="toc 6"/>
    <w:basedOn w:val="Normal"/>
    <w:next w:val="Normal"/>
    <w:autoRedefine/>
    <w:uiPriority w:val="39"/>
    <w:unhideWhenUsed/>
    <w:rsid w:val="008416AD"/>
    <w:pPr>
      <w:spacing w:before="0" w:after="100" w:line="259" w:lineRule="auto"/>
      <w:ind w:left="1100"/>
    </w:pPr>
    <w:rPr>
      <w:rFonts w:asciiTheme="minorHAnsi" w:eastAsiaTheme="minorEastAsia" w:hAnsiTheme="minorHAnsi" w:cstheme="minorBidi"/>
      <w:szCs w:val="22"/>
      <w:lang w:eastAsia="en-AU"/>
    </w:rPr>
  </w:style>
  <w:style w:type="paragraph" w:styleId="TOC7">
    <w:name w:val="toc 7"/>
    <w:basedOn w:val="Normal"/>
    <w:next w:val="Normal"/>
    <w:autoRedefine/>
    <w:uiPriority w:val="39"/>
    <w:unhideWhenUsed/>
    <w:rsid w:val="008416AD"/>
    <w:pPr>
      <w:spacing w:before="0" w:after="100" w:line="259" w:lineRule="auto"/>
      <w:ind w:left="1320"/>
    </w:pPr>
    <w:rPr>
      <w:rFonts w:asciiTheme="minorHAnsi" w:eastAsiaTheme="minorEastAsia" w:hAnsiTheme="minorHAnsi" w:cstheme="minorBidi"/>
      <w:szCs w:val="22"/>
      <w:lang w:eastAsia="en-AU"/>
    </w:rPr>
  </w:style>
  <w:style w:type="paragraph" w:styleId="TOC8">
    <w:name w:val="toc 8"/>
    <w:basedOn w:val="Normal"/>
    <w:next w:val="Normal"/>
    <w:autoRedefine/>
    <w:uiPriority w:val="39"/>
    <w:unhideWhenUsed/>
    <w:rsid w:val="008416AD"/>
    <w:pPr>
      <w:spacing w:before="0" w:after="100" w:line="259" w:lineRule="auto"/>
      <w:ind w:left="1540"/>
    </w:pPr>
    <w:rPr>
      <w:rFonts w:asciiTheme="minorHAnsi" w:eastAsiaTheme="minorEastAsia" w:hAnsiTheme="minorHAnsi" w:cstheme="minorBidi"/>
      <w:szCs w:val="22"/>
      <w:lang w:eastAsia="en-AU"/>
    </w:rPr>
  </w:style>
  <w:style w:type="paragraph" w:styleId="TOC9">
    <w:name w:val="toc 9"/>
    <w:basedOn w:val="Normal"/>
    <w:next w:val="Normal"/>
    <w:autoRedefine/>
    <w:uiPriority w:val="39"/>
    <w:unhideWhenUsed/>
    <w:rsid w:val="008416AD"/>
    <w:pPr>
      <w:spacing w:before="0" w:after="100" w:line="259" w:lineRule="auto"/>
      <w:ind w:left="1760"/>
    </w:pPr>
    <w:rPr>
      <w:rFonts w:asciiTheme="minorHAnsi" w:eastAsiaTheme="minorEastAsia" w:hAnsiTheme="minorHAnsi" w:cstheme="minorBidi"/>
      <w:szCs w:val="22"/>
      <w:lang w:eastAsia="en-AU"/>
    </w:rPr>
  </w:style>
  <w:style w:type="paragraph" w:styleId="TableofFigures">
    <w:name w:val="table of figures"/>
    <w:basedOn w:val="Normal"/>
    <w:next w:val="Normal"/>
    <w:uiPriority w:val="99"/>
    <w:unhideWhenUsed/>
    <w:locked/>
    <w:rsid w:val="00390FCF"/>
    <w:pPr>
      <w:spacing w:after="0"/>
    </w:pPr>
  </w:style>
  <w:style w:type="paragraph" w:customStyle="1" w:styleId="EndNoteBibliographyTitle">
    <w:name w:val="EndNote Bibliography Title"/>
    <w:basedOn w:val="Normal"/>
    <w:link w:val="EndNoteBibliographyTitleChar"/>
    <w:rsid w:val="000631A4"/>
    <w:pPr>
      <w:spacing w:after="0"/>
      <w:jc w:val="center"/>
    </w:pPr>
    <w:rPr>
      <w:rFonts w:ascii="Calibri" w:hAnsi="Calibri" w:cs="Calibri"/>
      <w:noProof/>
      <w:sz w:val="20"/>
      <w:lang w:val="en-US"/>
    </w:rPr>
  </w:style>
  <w:style w:type="character" w:customStyle="1" w:styleId="EndNoteBibliographyTitleChar">
    <w:name w:val="EndNote Bibliography Title Char"/>
    <w:basedOn w:val="DefaultParagraphFont"/>
    <w:link w:val="EndNoteBibliographyTitle"/>
    <w:rsid w:val="000631A4"/>
    <w:rPr>
      <w:rFonts w:ascii="Calibri" w:hAnsi="Calibri" w:cs="Calibri"/>
      <w:noProof/>
      <w:szCs w:val="24"/>
      <w:lang w:val="en-US" w:eastAsia="en-US"/>
    </w:rPr>
  </w:style>
  <w:style w:type="paragraph" w:customStyle="1" w:styleId="EndNoteBibliography">
    <w:name w:val="EndNote Bibliography"/>
    <w:basedOn w:val="Normal"/>
    <w:link w:val="EndNoteBibliographyChar"/>
    <w:rsid w:val="000631A4"/>
    <w:rPr>
      <w:rFonts w:ascii="Calibri" w:hAnsi="Calibri" w:cs="Calibri"/>
      <w:noProof/>
      <w:sz w:val="20"/>
      <w:lang w:val="en-US"/>
    </w:rPr>
  </w:style>
  <w:style w:type="character" w:customStyle="1" w:styleId="EndNoteBibliographyChar">
    <w:name w:val="EndNote Bibliography Char"/>
    <w:basedOn w:val="DefaultParagraphFont"/>
    <w:link w:val="EndNoteBibliography"/>
    <w:rsid w:val="000631A4"/>
    <w:rPr>
      <w:rFonts w:ascii="Calibri" w:hAnsi="Calibri" w:cs="Calibri"/>
      <w:noProof/>
      <w:szCs w:val="24"/>
      <w:lang w:val="en-US" w:eastAsia="en-US"/>
    </w:rPr>
  </w:style>
  <w:style w:type="paragraph" w:customStyle="1" w:styleId="BasicParagraph">
    <w:name w:val="[Basic Paragraph]"/>
    <w:basedOn w:val="Normal"/>
    <w:rsid w:val="00810A38"/>
    <w:pPr>
      <w:autoSpaceDE w:val="0"/>
      <w:autoSpaceDN w:val="0"/>
      <w:adjustRightInd w:val="0"/>
      <w:spacing w:before="0" w:after="0" w:line="288" w:lineRule="auto"/>
      <w:textAlignment w:val="center"/>
    </w:pPr>
    <w:rPr>
      <w:color w:val="000000"/>
      <w:lang w:val="en-GB"/>
    </w:rPr>
  </w:style>
  <w:style w:type="paragraph" w:styleId="Caption">
    <w:name w:val="caption"/>
    <w:aliases w:val="Caption Char Char,Tables,Figures,Caption Figure,Monitoring Table Caption,Monitoring Fig Caption,Caption Figure1,Monitoring Table Caption1,Monitoring Fig Caption1,Caption Figure2,Monitoring Table Caption2,Monitoring Fig Caption2,Caption1"/>
    <w:basedOn w:val="Normal"/>
    <w:next w:val="Normal"/>
    <w:link w:val="CaptionChar"/>
    <w:uiPriority w:val="35"/>
    <w:qFormat/>
    <w:rsid w:val="00810A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240" w:line="240" w:lineRule="atLeast"/>
      <w:ind w:right="232"/>
    </w:pPr>
    <w:rPr>
      <w:rFonts w:eastAsia="SimSun"/>
      <w:szCs w:val="20"/>
      <w:lang w:val="en-GB"/>
    </w:rPr>
  </w:style>
  <w:style w:type="character" w:customStyle="1" w:styleId="CaptionChar">
    <w:name w:val="Caption Char"/>
    <w:aliases w:val="Caption Char Char Char,Tables Char,Figures Char,Caption Figure Char,Monitoring Table Caption Char,Monitoring Fig Caption Char,Caption Figure1 Char,Monitoring Table Caption1 Char,Monitoring Fig Caption1 Char,Caption Figure2 Char"/>
    <w:link w:val="Caption"/>
    <w:uiPriority w:val="35"/>
    <w:locked/>
    <w:rsid w:val="00810A38"/>
    <w:rPr>
      <w:rFonts w:ascii="Arial" w:eastAsia="SimSun" w:hAnsi="Arial"/>
      <w:sz w:val="22"/>
      <w:lang w:val="en-GB" w:eastAsia="en-US"/>
    </w:rPr>
  </w:style>
  <w:style w:type="paragraph" w:styleId="Header">
    <w:name w:val="header"/>
    <w:basedOn w:val="Normal"/>
    <w:link w:val="HeaderChar"/>
    <w:uiPriority w:val="99"/>
    <w:unhideWhenUsed/>
    <w:locked/>
    <w:rsid w:val="00810A38"/>
    <w:pPr>
      <w:tabs>
        <w:tab w:val="center" w:pos="4513"/>
        <w:tab w:val="right" w:pos="9026"/>
      </w:tabs>
      <w:spacing w:before="0" w:after="0"/>
    </w:pPr>
  </w:style>
  <w:style w:type="character" w:customStyle="1" w:styleId="HeaderChar">
    <w:name w:val="Header Char"/>
    <w:basedOn w:val="DefaultParagraphFont"/>
    <w:link w:val="Header"/>
    <w:uiPriority w:val="99"/>
    <w:rsid w:val="00810A38"/>
    <w:rPr>
      <w:rFonts w:ascii="Arial" w:hAnsi="Arial"/>
      <w:sz w:val="22"/>
      <w:szCs w:val="24"/>
      <w:lang w:eastAsia="en-US"/>
    </w:rPr>
  </w:style>
  <w:style w:type="paragraph" w:styleId="Footer">
    <w:name w:val="footer"/>
    <w:basedOn w:val="Normal"/>
    <w:link w:val="FooterChar"/>
    <w:uiPriority w:val="99"/>
    <w:unhideWhenUsed/>
    <w:locked/>
    <w:rsid w:val="00810A38"/>
    <w:pPr>
      <w:tabs>
        <w:tab w:val="center" w:pos="4513"/>
        <w:tab w:val="right" w:pos="9026"/>
      </w:tabs>
      <w:spacing w:before="0" w:after="0"/>
    </w:pPr>
  </w:style>
  <w:style w:type="character" w:customStyle="1" w:styleId="FooterChar">
    <w:name w:val="Footer Char"/>
    <w:basedOn w:val="DefaultParagraphFont"/>
    <w:link w:val="Footer"/>
    <w:uiPriority w:val="99"/>
    <w:rsid w:val="00810A38"/>
    <w:rPr>
      <w:rFonts w:ascii="Arial" w:hAnsi="Arial"/>
      <w:sz w:val="22"/>
      <w:szCs w:val="24"/>
      <w:lang w:eastAsia="en-US"/>
    </w:rPr>
  </w:style>
  <w:style w:type="paragraph" w:styleId="ListParagraph">
    <w:name w:val="List Paragraph"/>
    <w:basedOn w:val="Normal"/>
    <w:uiPriority w:val="34"/>
    <w:qFormat/>
    <w:rsid w:val="00810A38"/>
    <w:pPr>
      <w:spacing w:before="240"/>
      <w:ind w:left="720"/>
      <w:contextualSpacing/>
    </w:pPr>
  </w:style>
  <w:style w:type="character" w:styleId="FollowedHyperlink">
    <w:name w:val="FollowedHyperlink"/>
    <w:basedOn w:val="DefaultParagraphFont"/>
    <w:uiPriority w:val="99"/>
    <w:semiHidden/>
    <w:unhideWhenUsed/>
    <w:locked/>
    <w:rsid w:val="00810A38"/>
    <w:rPr>
      <w:color w:val="954F72" w:themeColor="followedHyperlink"/>
      <w:u w:val="single"/>
    </w:rPr>
  </w:style>
  <w:style w:type="paragraph" w:customStyle="1" w:styleId="Infopage">
    <w:name w:val="Info page"/>
    <w:basedOn w:val="Normal"/>
    <w:uiPriority w:val="99"/>
    <w:rsid w:val="00810A38"/>
    <w:pPr>
      <w:spacing w:before="0"/>
      <w:jc w:val="both"/>
    </w:pPr>
    <w:rPr>
      <w:rFonts w:ascii="Arial Narrow" w:hAnsi="Arial Narrow"/>
      <w:szCs w:val="22"/>
      <w:lang w:val="en-GB"/>
    </w:rPr>
  </w:style>
  <w:style w:type="character" w:styleId="PageNumber">
    <w:name w:val="page number"/>
    <w:basedOn w:val="DefaultParagraphFont"/>
    <w:uiPriority w:val="99"/>
    <w:locked/>
    <w:rsid w:val="00810A38"/>
    <w:rPr>
      <w:rFonts w:cs="Times New Roman"/>
    </w:rPr>
  </w:style>
  <w:style w:type="paragraph" w:styleId="BodyText3">
    <w:name w:val="Body Text 3"/>
    <w:basedOn w:val="Normal"/>
    <w:link w:val="BodyText3Char"/>
    <w:uiPriority w:val="99"/>
    <w:unhideWhenUsed/>
    <w:locked/>
    <w:rsid w:val="00810A38"/>
    <w:pPr>
      <w:spacing w:before="0"/>
      <w:jc w:val="both"/>
    </w:pPr>
    <w:rPr>
      <w:sz w:val="16"/>
      <w:szCs w:val="16"/>
      <w:lang w:val="en-GB"/>
    </w:rPr>
  </w:style>
  <w:style w:type="character" w:customStyle="1" w:styleId="BodyText3Char">
    <w:name w:val="Body Text 3 Char"/>
    <w:basedOn w:val="DefaultParagraphFont"/>
    <w:link w:val="BodyText3"/>
    <w:uiPriority w:val="99"/>
    <w:rsid w:val="00810A38"/>
    <w:rPr>
      <w:rFonts w:ascii="Arial" w:hAnsi="Arial"/>
      <w:sz w:val="16"/>
      <w:szCs w:val="16"/>
      <w:lang w:val="en-GB" w:eastAsia="en-US"/>
    </w:rPr>
  </w:style>
  <w:style w:type="paragraph" w:styleId="CommentSubject">
    <w:name w:val="annotation subject"/>
    <w:basedOn w:val="CommentText"/>
    <w:next w:val="CommentText"/>
    <w:link w:val="CommentSubjectChar"/>
    <w:uiPriority w:val="99"/>
    <w:semiHidden/>
    <w:unhideWhenUsed/>
    <w:locked/>
    <w:rsid w:val="00810A38"/>
    <w:pPr>
      <w:spacing w:before="240"/>
    </w:pPr>
    <w:rPr>
      <w:b/>
      <w:bCs/>
    </w:rPr>
  </w:style>
  <w:style w:type="character" w:customStyle="1" w:styleId="CommentSubjectChar">
    <w:name w:val="Comment Subject Char"/>
    <w:basedOn w:val="CommentTextChar"/>
    <w:link w:val="CommentSubject"/>
    <w:uiPriority w:val="99"/>
    <w:semiHidden/>
    <w:rsid w:val="00810A38"/>
    <w:rPr>
      <w:rFonts w:ascii="Arial" w:hAnsi="Arial"/>
      <w:b/>
      <w:bCs/>
      <w:lang w:eastAsia="en-US"/>
    </w:rPr>
  </w:style>
  <w:style w:type="paragraph" w:styleId="NormalWeb">
    <w:name w:val="Normal (Web)"/>
    <w:basedOn w:val="Normal"/>
    <w:uiPriority w:val="99"/>
    <w:unhideWhenUsed/>
    <w:locked/>
    <w:rsid w:val="00810A38"/>
    <w:pPr>
      <w:spacing w:before="100" w:beforeAutospacing="1" w:after="100" w:afterAutospacing="1"/>
    </w:pPr>
    <w:rPr>
      <w:rFonts w:eastAsiaTheme="minorEastAsia"/>
      <w:lang w:eastAsia="en-AU"/>
    </w:rPr>
  </w:style>
  <w:style w:type="table" w:styleId="TableGrid">
    <w:name w:val="Table Grid"/>
    <w:basedOn w:val="TableNormal"/>
    <w:uiPriority w:val="39"/>
    <w:rsid w:val="00810A38"/>
    <w:rPr>
      <w:rFonts w:asciiTheme="minorHAnsi" w:eastAsiaTheme="minorHAnsi" w:hAnsiTheme="minorHAnsi" w:cstheme="minorBidi"/>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0A38"/>
    <w:rPr>
      <w:b/>
      <w:bCs/>
    </w:rPr>
  </w:style>
  <w:style w:type="paragraph" w:customStyle="1" w:styleId="p1">
    <w:name w:val="p1"/>
    <w:basedOn w:val="Normal"/>
    <w:rsid w:val="00810A38"/>
    <w:pPr>
      <w:spacing w:before="0" w:after="0"/>
    </w:pPr>
    <w:rPr>
      <w:rFonts w:ascii="Helvetica" w:hAnsi="Helvetica"/>
      <w:sz w:val="18"/>
      <w:szCs w:val="18"/>
      <w:lang w:val="en-GB" w:eastAsia="en-GB"/>
    </w:rPr>
  </w:style>
  <w:style w:type="character" w:customStyle="1" w:styleId="apple-converted-space">
    <w:name w:val="apple-converted-space"/>
    <w:basedOn w:val="DefaultParagraphFont"/>
    <w:rsid w:val="00810A38"/>
  </w:style>
  <w:style w:type="character" w:customStyle="1" w:styleId="s1">
    <w:name w:val="s1"/>
    <w:basedOn w:val="DefaultParagraphFont"/>
    <w:rsid w:val="00810A38"/>
    <w:rPr>
      <w:color w:val="000000"/>
    </w:rPr>
  </w:style>
  <w:style w:type="table" w:styleId="PlainTable5">
    <w:name w:val="Plain Table 5"/>
    <w:basedOn w:val="TableNormal"/>
    <w:uiPriority w:val="45"/>
    <w:rsid w:val="00810A38"/>
    <w:rPr>
      <w:rFonts w:asciiTheme="minorHAnsi" w:eastAsiaTheme="minorHAnsi" w:hAnsiTheme="minorHAnsi" w:cstheme="minorBidi"/>
      <w:sz w:val="24"/>
      <w:szCs w:val="24"/>
      <w:lang w:val="en-GB"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10A38"/>
    <w:rPr>
      <w:rFonts w:asciiTheme="minorHAnsi" w:eastAsiaTheme="minorHAnsi" w:hAnsiTheme="minorHAnsi" w:cstheme="minorBidi"/>
      <w:sz w:val="24"/>
      <w:szCs w:val="24"/>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semiHidden/>
    <w:unhideWhenUsed/>
    <w:locked/>
    <w:rsid w:val="00810A38"/>
    <w:pPr>
      <w:spacing w:before="0" w:after="0"/>
    </w:pPr>
    <w:rPr>
      <w:rFonts w:eastAsiaTheme="minorHAnsi" w:cstheme="minorBidi"/>
      <w:szCs w:val="21"/>
    </w:rPr>
  </w:style>
  <w:style w:type="character" w:customStyle="1" w:styleId="PlainTextChar">
    <w:name w:val="Plain Text Char"/>
    <w:basedOn w:val="DefaultParagraphFont"/>
    <w:link w:val="PlainText"/>
    <w:uiPriority w:val="99"/>
    <w:semiHidden/>
    <w:rsid w:val="00810A38"/>
    <w:rPr>
      <w:rFonts w:ascii="Arial" w:eastAsiaTheme="minorHAnsi" w:hAnsi="Arial" w:cstheme="minorBidi"/>
      <w:sz w:val="22"/>
      <w:szCs w:val="21"/>
      <w:lang w:eastAsia="en-US"/>
    </w:rPr>
  </w:style>
  <w:style w:type="paragraph" w:customStyle="1" w:styleId="Figure">
    <w:name w:val="Figure"/>
    <w:basedOn w:val="Normal"/>
    <w:link w:val="FigureChar"/>
    <w:qFormat/>
    <w:rsid w:val="00810A38"/>
    <w:pPr>
      <w:spacing w:before="240"/>
      <w:jc w:val="both"/>
    </w:pPr>
    <w:rPr>
      <w:sz w:val="18"/>
      <w:szCs w:val="20"/>
      <w:lang w:val="en-GB"/>
    </w:rPr>
  </w:style>
  <w:style w:type="character" w:customStyle="1" w:styleId="FigureChar">
    <w:name w:val="Figure Char"/>
    <w:link w:val="Figure"/>
    <w:locked/>
    <w:rsid w:val="00810A38"/>
    <w:rPr>
      <w:rFonts w:ascii="Arial" w:hAnsi="Arial"/>
      <w:sz w:val="18"/>
      <w:lang w:val="en-GB" w:eastAsia="en-US"/>
    </w:rPr>
  </w:style>
  <w:style w:type="character" w:styleId="IntenseReference">
    <w:name w:val="Intense Reference"/>
    <w:aliases w:val="fig tab body"/>
    <w:basedOn w:val="FigureChar"/>
    <w:uiPriority w:val="32"/>
    <w:qFormat/>
    <w:rsid w:val="00810A38"/>
    <w:rPr>
      <w:rFonts w:ascii="Arial" w:hAnsi="Arial"/>
      <w:b w:val="0"/>
      <w:bCs/>
      <w:caps w:val="0"/>
      <w:smallCaps w:val="0"/>
      <w:color w:val="000000" w:themeColor="text1"/>
      <w:spacing w:val="0"/>
      <w:w w:val="100"/>
      <w:sz w:val="18"/>
      <w:u w:val="none"/>
      <w:lang w:val="en-GB" w:eastAsia="en-US"/>
    </w:rPr>
  </w:style>
  <w:style w:type="character" w:customStyle="1" w:styleId="UnresolvedMention1">
    <w:name w:val="Unresolved Mention1"/>
    <w:basedOn w:val="DefaultParagraphFont"/>
    <w:uiPriority w:val="99"/>
    <w:semiHidden/>
    <w:unhideWhenUsed/>
    <w:rsid w:val="00810A38"/>
    <w:rPr>
      <w:color w:val="808080"/>
      <w:shd w:val="clear" w:color="auto" w:fill="E6E6E6"/>
    </w:rPr>
  </w:style>
  <w:style w:type="paragraph" w:styleId="BodyText">
    <w:name w:val="Body Text"/>
    <w:basedOn w:val="Normal"/>
    <w:link w:val="BodyTextChar"/>
    <w:locked/>
    <w:rsid w:val="00810A38"/>
    <w:pPr>
      <w:spacing w:before="0"/>
      <w:jc w:val="both"/>
    </w:pPr>
    <w:rPr>
      <w:rFonts w:cs="Calibri"/>
      <w:szCs w:val="22"/>
      <w:lang w:eastAsia="en-AU"/>
    </w:rPr>
  </w:style>
  <w:style w:type="character" w:customStyle="1" w:styleId="BodyTextChar">
    <w:name w:val="Body Text Char"/>
    <w:basedOn w:val="DefaultParagraphFont"/>
    <w:link w:val="BodyText"/>
    <w:rsid w:val="00810A38"/>
    <w:rPr>
      <w:rFonts w:ascii="Arial" w:hAnsi="Arial" w:cs="Calibri"/>
      <w:sz w:val="22"/>
      <w:szCs w:val="22"/>
    </w:rPr>
  </w:style>
  <w:style w:type="paragraph" w:styleId="EndnoteText">
    <w:name w:val="endnote text"/>
    <w:basedOn w:val="Normal"/>
    <w:link w:val="EndnoteTextChar"/>
    <w:uiPriority w:val="99"/>
    <w:semiHidden/>
    <w:unhideWhenUsed/>
    <w:locked/>
    <w:rsid w:val="00810A38"/>
    <w:pPr>
      <w:spacing w:before="0" w:after="0"/>
    </w:pPr>
    <w:rPr>
      <w:sz w:val="20"/>
      <w:szCs w:val="20"/>
    </w:rPr>
  </w:style>
  <w:style w:type="character" w:customStyle="1" w:styleId="EndnoteTextChar">
    <w:name w:val="Endnote Text Char"/>
    <w:basedOn w:val="DefaultParagraphFont"/>
    <w:link w:val="EndnoteText"/>
    <w:uiPriority w:val="99"/>
    <w:semiHidden/>
    <w:rsid w:val="00810A38"/>
    <w:rPr>
      <w:rFonts w:ascii="Arial" w:hAnsi="Arial"/>
      <w:lang w:eastAsia="en-US"/>
    </w:rPr>
  </w:style>
  <w:style w:type="character" w:styleId="EndnoteReference">
    <w:name w:val="endnote reference"/>
    <w:basedOn w:val="DefaultParagraphFont"/>
    <w:uiPriority w:val="99"/>
    <w:semiHidden/>
    <w:unhideWhenUsed/>
    <w:locked/>
    <w:rsid w:val="00810A38"/>
    <w:rPr>
      <w:vertAlign w:val="superscript"/>
    </w:rPr>
  </w:style>
  <w:style w:type="character" w:customStyle="1" w:styleId="UnresolvedMention2">
    <w:name w:val="Unresolved Mention2"/>
    <w:basedOn w:val="DefaultParagraphFont"/>
    <w:uiPriority w:val="99"/>
    <w:semiHidden/>
    <w:unhideWhenUsed/>
    <w:rsid w:val="00810A38"/>
    <w:rPr>
      <w:color w:val="605E5C"/>
      <w:shd w:val="clear" w:color="auto" w:fill="E1DFDD"/>
    </w:rPr>
  </w:style>
  <w:style w:type="paragraph" w:styleId="FootnoteText">
    <w:name w:val="footnote text"/>
    <w:basedOn w:val="Normal"/>
    <w:link w:val="FootnoteTextChar"/>
    <w:uiPriority w:val="99"/>
    <w:locked/>
    <w:rsid w:val="00810A38"/>
    <w:pPr>
      <w:spacing w:before="240"/>
      <w:jc w:val="both"/>
    </w:pPr>
    <w:rPr>
      <w:rFonts w:ascii="Gill Sans MT" w:hAnsi="Gill Sans MT"/>
      <w:sz w:val="20"/>
      <w:szCs w:val="20"/>
      <w:lang w:val="en-GB"/>
    </w:rPr>
  </w:style>
  <w:style w:type="character" w:customStyle="1" w:styleId="FootnoteTextChar">
    <w:name w:val="Footnote Text Char"/>
    <w:basedOn w:val="DefaultParagraphFont"/>
    <w:link w:val="FootnoteText"/>
    <w:uiPriority w:val="99"/>
    <w:rsid w:val="00810A38"/>
    <w:rPr>
      <w:rFonts w:ascii="Gill Sans MT" w:hAnsi="Gill Sans MT"/>
      <w:lang w:val="en-GB" w:eastAsia="en-US"/>
    </w:rPr>
  </w:style>
  <w:style w:type="character" w:styleId="Emphasis">
    <w:name w:val="Emphasis"/>
    <w:basedOn w:val="DefaultParagraphFont"/>
    <w:uiPriority w:val="20"/>
    <w:qFormat/>
    <w:rsid w:val="00810A38"/>
    <w:rPr>
      <w:rFonts w:cs="Times New Roman"/>
      <w:i/>
    </w:rPr>
  </w:style>
  <w:style w:type="character" w:styleId="FootnoteReference">
    <w:name w:val="footnote reference"/>
    <w:aliases w:val="Footnote symbol"/>
    <w:basedOn w:val="DefaultParagraphFont"/>
    <w:uiPriority w:val="99"/>
    <w:locked/>
    <w:rsid w:val="00810A38"/>
    <w:rPr>
      <w:rFonts w:cs="Times New Roman"/>
      <w:vertAlign w:val="superscript"/>
    </w:rPr>
  </w:style>
  <w:style w:type="numbering" w:customStyle="1" w:styleId="KeyPoints">
    <w:name w:val="Key Points"/>
    <w:basedOn w:val="NoList"/>
    <w:uiPriority w:val="99"/>
    <w:rsid w:val="00810A38"/>
    <w:pPr>
      <w:numPr>
        <w:numId w:val="40"/>
      </w:numPr>
    </w:pPr>
  </w:style>
  <w:style w:type="paragraph" w:customStyle="1" w:styleId="1NumberedPointsStyle">
    <w:name w:val="1. Numbered Points Style"/>
    <w:basedOn w:val="ListParagraph"/>
    <w:rsid w:val="00810A38"/>
    <w:pPr>
      <w:spacing w:before="0" w:after="200" w:line="276" w:lineRule="auto"/>
      <w:ind w:left="0"/>
      <w:contextualSpacing w:val="0"/>
    </w:pPr>
    <w:rPr>
      <w:rFonts w:eastAsia="Calibri"/>
      <w:szCs w:val="22"/>
    </w:rPr>
  </w:style>
  <w:style w:type="numbering" w:customStyle="1" w:styleId="BulletList">
    <w:name w:val="Bullet List"/>
    <w:uiPriority w:val="99"/>
    <w:rsid w:val="00810A38"/>
    <w:pPr>
      <w:numPr>
        <w:numId w:val="41"/>
      </w:numPr>
    </w:pPr>
  </w:style>
  <w:style w:type="paragraph" w:customStyle="1" w:styleId="1BulletStyleList">
    <w:name w:val="1. Bullet Style List"/>
    <w:basedOn w:val="Normal"/>
    <w:rsid w:val="00810A38"/>
    <w:pPr>
      <w:spacing w:before="0" w:after="200"/>
    </w:pPr>
    <w:rPr>
      <w:szCs w:val="20"/>
      <w:lang w:eastAsia="en-AU"/>
    </w:rPr>
  </w:style>
  <w:style w:type="paragraph" w:styleId="ListBullet">
    <w:name w:val="List Bullet"/>
    <w:basedOn w:val="Normal"/>
    <w:uiPriority w:val="99"/>
    <w:unhideWhenUsed/>
    <w:qFormat/>
    <w:locked/>
    <w:rsid w:val="00810A38"/>
    <w:pPr>
      <w:numPr>
        <w:numId w:val="44"/>
      </w:numPr>
      <w:spacing w:before="0" w:after="200" w:line="276" w:lineRule="auto"/>
    </w:pPr>
    <w:rPr>
      <w:rFonts w:eastAsia="Calibri"/>
      <w:szCs w:val="22"/>
    </w:rPr>
  </w:style>
  <w:style w:type="paragraph" w:styleId="ListBullet2">
    <w:name w:val="List Bullet 2"/>
    <w:basedOn w:val="Normal"/>
    <w:uiPriority w:val="99"/>
    <w:unhideWhenUsed/>
    <w:locked/>
    <w:rsid w:val="00810A38"/>
    <w:pPr>
      <w:numPr>
        <w:ilvl w:val="1"/>
        <w:numId w:val="44"/>
      </w:numPr>
      <w:spacing w:before="0" w:after="200" w:line="276" w:lineRule="auto"/>
    </w:pPr>
    <w:rPr>
      <w:rFonts w:eastAsia="Calibri"/>
      <w:szCs w:val="22"/>
    </w:rPr>
  </w:style>
  <w:style w:type="paragraph" w:styleId="ListBullet3">
    <w:name w:val="List Bullet 3"/>
    <w:basedOn w:val="Normal"/>
    <w:uiPriority w:val="99"/>
    <w:unhideWhenUsed/>
    <w:locked/>
    <w:rsid w:val="00810A38"/>
    <w:pPr>
      <w:numPr>
        <w:ilvl w:val="2"/>
        <w:numId w:val="44"/>
      </w:numPr>
      <w:spacing w:before="0" w:after="200" w:line="276" w:lineRule="auto"/>
    </w:pPr>
    <w:rPr>
      <w:rFonts w:eastAsia="Calibri"/>
      <w:szCs w:val="22"/>
    </w:rPr>
  </w:style>
  <w:style w:type="paragraph" w:styleId="ListBullet4">
    <w:name w:val="List Bullet 4"/>
    <w:basedOn w:val="Normal"/>
    <w:uiPriority w:val="99"/>
    <w:unhideWhenUsed/>
    <w:locked/>
    <w:rsid w:val="00810A38"/>
    <w:pPr>
      <w:numPr>
        <w:ilvl w:val="3"/>
        <w:numId w:val="44"/>
      </w:numPr>
      <w:spacing w:before="0" w:after="200" w:line="276" w:lineRule="auto"/>
    </w:pPr>
    <w:rPr>
      <w:rFonts w:eastAsia="Calibri"/>
      <w:szCs w:val="22"/>
    </w:rPr>
  </w:style>
  <w:style w:type="paragraph" w:styleId="ListBullet5">
    <w:name w:val="List Bullet 5"/>
    <w:basedOn w:val="Normal"/>
    <w:uiPriority w:val="99"/>
    <w:unhideWhenUsed/>
    <w:locked/>
    <w:rsid w:val="00810A38"/>
    <w:pPr>
      <w:numPr>
        <w:ilvl w:val="4"/>
        <w:numId w:val="44"/>
      </w:numPr>
      <w:spacing w:before="0" w:after="200" w:line="276" w:lineRule="auto"/>
    </w:pPr>
    <w:rPr>
      <w:rFonts w:eastAsia="Calibri"/>
      <w:szCs w:val="22"/>
    </w:rPr>
  </w:style>
  <w:style w:type="numbering" w:customStyle="1" w:styleId="Attach">
    <w:name w:val="Attach"/>
    <w:basedOn w:val="NoList"/>
    <w:uiPriority w:val="99"/>
    <w:rsid w:val="00810A38"/>
    <w:pPr>
      <w:numPr>
        <w:numId w:val="42"/>
      </w:numPr>
    </w:pPr>
  </w:style>
  <w:style w:type="paragraph" w:customStyle="1" w:styleId="Classification">
    <w:name w:val="Classification"/>
    <w:basedOn w:val="Normal"/>
    <w:uiPriority w:val="10"/>
    <w:qFormat/>
    <w:rsid w:val="00810A38"/>
    <w:pPr>
      <w:tabs>
        <w:tab w:val="center" w:pos="4536"/>
        <w:tab w:val="center" w:pos="4819"/>
        <w:tab w:val="right" w:pos="9356"/>
      </w:tabs>
      <w:spacing w:before="0" w:after="240" w:line="276" w:lineRule="auto"/>
      <w:jc w:val="center"/>
    </w:pPr>
    <w:rPr>
      <w:rFonts w:cs="Arial"/>
      <w:color w:val="FF0000"/>
      <w:sz w:val="28"/>
      <w:szCs w:val="28"/>
      <w:lang w:eastAsia="en-AU"/>
    </w:rPr>
  </w:style>
  <w:style w:type="character" w:styleId="BookTitle">
    <w:name w:val="Book Title"/>
    <w:basedOn w:val="DefaultParagraphFont"/>
    <w:uiPriority w:val="33"/>
    <w:rsid w:val="00810A38"/>
    <w:rPr>
      <w:bCs/>
      <w:i/>
      <w:smallCaps/>
      <w:spacing w:val="5"/>
    </w:rPr>
  </w:style>
  <w:style w:type="paragraph" w:styleId="ListNumber">
    <w:name w:val="List Number"/>
    <w:basedOn w:val="Normal"/>
    <w:uiPriority w:val="99"/>
    <w:qFormat/>
    <w:locked/>
    <w:rsid w:val="00810A38"/>
    <w:pPr>
      <w:numPr>
        <w:numId w:val="43"/>
      </w:numPr>
      <w:spacing w:before="0" w:after="200" w:line="276" w:lineRule="auto"/>
    </w:pPr>
    <w:rPr>
      <w:rFonts w:eastAsia="Calibri"/>
      <w:szCs w:val="22"/>
    </w:rPr>
  </w:style>
  <w:style w:type="paragraph" w:styleId="ListNumber2">
    <w:name w:val="List Number 2"/>
    <w:basedOn w:val="Normal"/>
    <w:uiPriority w:val="99"/>
    <w:locked/>
    <w:rsid w:val="00810A38"/>
    <w:pPr>
      <w:numPr>
        <w:ilvl w:val="1"/>
        <w:numId w:val="43"/>
      </w:numPr>
      <w:spacing w:before="0" w:after="200" w:line="276" w:lineRule="auto"/>
    </w:pPr>
    <w:rPr>
      <w:rFonts w:eastAsia="Calibri"/>
      <w:szCs w:val="22"/>
    </w:rPr>
  </w:style>
  <w:style w:type="paragraph" w:styleId="ListNumber3">
    <w:name w:val="List Number 3"/>
    <w:basedOn w:val="Normal"/>
    <w:uiPriority w:val="99"/>
    <w:locked/>
    <w:rsid w:val="00810A38"/>
    <w:pPr>
      <w:numPr>
        <w:ilvl w:val="2"/>
        <w:numId w:val="43"/>
      </w:numPr>
      <w:spacing w:before="0" w:after="200" w:line="276" w:lineRule="auto"/>
    </w:pPr>
    <w:rPr>
      <w:rFonts w:eastAsia="Calibri"/>
      <w:szCs w:val="22"/>
    </w:rPr>
  </w:style>
  <w:style w:type="paragraph" w:styleId="ListNumber4">
    <w:name w:val="List Number 4"/>
    <w:basedOn w:val="Normal"/>
    <w:uiPriority w:val="99"/>
    <w:locked/>
    <w:rsid w:val="00810A38"/>
    <w:pPr>
      <w:numPr>
        <w:ilvl w:val="3"/>
        <w:numId w:val="43"/>
      </w:numPr>
      <w:spacing w:before="0" w:after="200" w:line="276" w:lineRule="auto"/>
    </w:pPr>
    <w:rPr>
      <w:rFonts w:eastAsia="Calibri"/>
      <w:szCs w:val="22"/>
    </w:rPr>
  </w:style>
  <w:style w:type="paragraph" w:styleId="ListNumber5">
    <w:name w:val="List Number 5"/>
    <w:basedOn w:val="Normal"/>
    <w:uiPriority w:val="99"/>
    <w:locked/>
    <w:rsid w:val="00810A38"/>
    <w:pPr>
      <w:numPr>
        <w:ilvl w:val="4"/>
        <w:numId w:val="43"/>
      </w:numPr>
      <w:spacing w:before="0" w:after="200" w:line="276" w:lineRule="auto"/>
    </w:pPr>
    <w:rPr>
      <w:rFonts w:eastAsia="Calibri"/>
      <w:szCs w:val="22"/>
    </w:rPr>
  </w:style>
  <w:style w:type="paragraph" w:customStyle="1" w:styleId="Footerclassification">
    <w:name w:val="Footer classification"/>
    <w:basedOn w:val="Classification"/>
    <w:rsid w:val="00810A38"/>
    <w:pPr>
      <w:spacing w:before="240" w:after="0"/>
    </w:pPr>
  </w:style>
  <w:style w:type="paragraph" w:customStyle="1" w:styleId="Tabletext">
    <w:name w:val="Table text"/>
    <w:basedOn w:val="Normal"/>
    <w:uiPriority w:val="9"/>
    <w:qFormat/>
    <w:rsid w:val="00810A38"/>
    <w:pPr>
      <w:spacing w:before="0" w:after="0" w:line="276" w:lineRule="auto"/>
    </w:pPr>
    <w:rPr>
      <w:rFonts w:eastAsia="Calibri"/>
      <w:szCs w:val="22"/>
    </w:rPr>
  </w:style>
  <w:style w:type="paragraph" w:customStyle="1" w:styleId="Classificationsensitivity">
    <w:name w:val="Classification sensitivity"/>
    <w:basedOn w:val="Classification"/>
    <w:rsid w:val="00810A38"/>
    <w:rPr>
      <w:sz w:val="22"/>
    </w:rPr>
  </w:style>
  <w:style w:type="paragraph" w:styleId="NoSpacing">
    <w:name w:val="No Spacing"/>
    <w:uiPriority w:val="1"/>
    <w:qFormat/>
    <w:rsid w:val="00810A38"/>
    <w:rPr>
      <w:rFonts w:ascii="Calibri" w:eastAsia="Calibri" w:hAnsi="Calibri"/>
      <w:sz w:val="22"/>
      <w:szCs w:val="22"/>
      <w:lang w:eastAsia="en-US"/>
    </w:rPr>
  </w:style>
  <w:style w:type="paragraph" w:customStyle="1" w:styleId="Default">
    <w:name w:val="Default"/>
    <w:rsid w:val="00810A38"/>
    <w:pPr>
      <w:autoSpaceDE w:val="0"/>
      <w:autoSpaceDN w:val="0"/>
      <w:adjustRightInd w:val="0"/>
    </w:pPr>
    <w:rPr>
      <w:rFonts w:ascii="Calibri" w:eastAsia="Calibri" w:hAnsi="Calibri" w:cs="Calibri"/>
      <w:color w:val="000000"/>
      <w:sz w:val="24"/>
      <w:szCs w:val="24"/>
    </w:rPr>
  </w:style>
  <w:style w:type="character" w:customStyle="1" w:styleId="UnresolvedMention3">
    <w:name w:val="Unresolved Mention3"/>
    <w:basedOn w:val="DefaultParagraphFont"/>
    <w:uiPriority w:val="99"/>
    <w:rsid w:val="00810A38"/>
    <w:rPr>
      <w:color w:val="605E5C"/>
      <w:shd w:val="clear" w:color="auto" w:fill="E1DFDD"/>
    </w:rPr>
  </w:style>
  <w:style w:type="table" w:customStyle="1" w:styleId="Table">
    <w:name w:val="Table"/>
    <w:basedOn w:val="TableNormal"/>
    <w:uiPriority w:val="99"/>
    <w:rsid w:val="00810A38"/>
    <w:pPr>
      <w:spacing w:before="20" w:after="20"/>
    </w:pPr>
    <w:rPr>
      <w:rFonts w:ascii="Arial" w:hAnsi="Arial"/>
      <w:sz w:val="18"/>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7409799">
      <w:bodyDiv w:val="1"/>
      <w:marLeft w:val="0"/>
      <w:marRight w:val="0"/>
      <w:marTop w:val="0"/>
      <w:marBottom w:val="0"/>
      <w:divBdr>
        <w:top w:val="none" w:sz="0" w:space="0" w:color="auto"/>
        <w:left w:val="none" w:sz="0" w:space="0" w:color="auto"/>
        <w:bottom w:val="none" w:sz="0" w:space="0" w:color="auto"/>
        <w:right w:val="none" w:sz="0" w:space="0" w:color="auto"/>
      </w:divBdr>
    </w:div>
    <w:div w:id="27149358">
      <w:bodyDiv w:val="1"/>
      <w:marLeft w:val="0"/>
      <w:marRight w:val="0"/>
      <w:marTop w:val="0"/>
      <w:marBottom w:val="0"/>
      <w:divBdr>
        <w:top w:val="none" w:sz="0" w:space="0" w:color="auto"/>
        <w:left w:val="none" w:sz="0" w:space="0" w:color="auto"/>
        <w:bottom w:val="none" w:sz="0" w:space="0" w:color="auto"/>
        <w:right w:val="none" w:sz="0" w:space="0" w:color="auto"/>
      </w:divBdr>
    </w:div>
    <w:div w:id="61488739">
      <w:bodyDiv w:val="1"/>
      <w:marLeft w:val="0"/>
      <w:marRight w:val="0"/>
      <w:marTop w:val="0"/>
      <w:marBottom w:val="0"/>
      <w:divBdr>
        <w:top w:val="none" w:sz="0" w:space="0" w:color="auto"/>
        <w:left w:val="none" w:sz="0" w:space="0" w:color="auto"/>
        <w:bottom w:val="none" w:sz="0" w:space="0" w:color="auto"/>
        <w:right w:val="none" w:sz="0" w:space="0" w:color="auto"/>
      </w:divBdr>
    </w:div>
    <w:div w:id="76362949">
      <w:bodyDiv w:val="1"/>
      <w:marLeft w:val="0"/>
      <w:marRight w:val="0"/>
      <w:marTop w:val="0"/>
      <w:marBottom w:val="0"/>
      <w:divBdr>
        <w:top w:val="none" w:sz="0" w:space="0" w:color="auto"/>
        <w:left w:val="none" w:sz="0" w:space="0" w:color="auto"/>
        <w:bottom w:val="none" w:sz="0" w:space="0" w:color="auto"/>
        <w:right w:val="none" w:sz="0" w:space="0" w:color="auto"/>
      </w:divBdr>
    </w:div>
    <w:div w:id="97723391">
      <w:bodyDiv w:val="1"/>
      <w:marLeft w:val="0"/>
      <w:marRight w:val="0"/>
      <w:marTop w:val="0"/>
      <w:marBottom w:val="0"/>
      <w:divBdr>
        <w:top w:val="none" w:sz="0" w:space="0" w:color="auto"/>
        <w:left w:val="none" w:sz="0" w:space="0" w:color="auto"/>
        <w:bottom w:val="none" w:sz="0" w:space="0" w:color="auto"/>
        <w:right w:val="none" w:sz="0" w:space="0" w:color="auto"/>
      </w:divBdr>
    </w:div>
    <w:div w:id="159732929">
      <w:bodyDiv w:val="1"/>
      <w:marLeft w:val="0"/>
      <w:marRight w:val="0"/>
      <w:marTop w:val="0"/>
      <w:marBottom w:val="0"/>
      <w:divBdr>
        <w:top w:val="none" w:sz="0" w:space="0" w:color="auto"/>
        <w:left w:val="none" w:sz="0" w:space="0" w:color="auto"/>
        <w:bottom w:val="none" w:sz="0" w:space="0" w:color="auto"/>
        <w:right w:val="none" w:sz="0" w:space="0" w:color="auto"/>
      </w:divBdr>
    </w:div>
    <w:div w:id="175661287">
      <w:bodyDiv w:val="1"/>
      <w:marLeft w:val="0"/>
      <w:marRight w:val="0"/>
      <w:marTop w:val="0"/>
      <w:marBottom w:val="0"/>
      <w:divBdr>
        <w:top w:val="none" w:sz="0" w:space="0" w:color="auto"/>
        <w:left w:val="none" w:sz="0" w:space="0" w:color="auto"/>
        <w:bottom w:val="none" w:sz="0" w:space="0" w:color="auto"/>
        <w:right w:val="none" w:sz="0" w:space="0" w:color="auto"/>
      </w:divBdr>
    </w:div>
    <w:div w:id="207424747">
      <w:bodyDiv w:val="1"/>
      <w:marLeft w:val="0"/>
      <w:marRight w:val="0"/>
      <w:marTop w:val="0"/>
      <w:marBottom w:val="0"/>
      <w:divBdr>
        <w:top w:val="none" w:sz="0" w:space="0" w:color="auto"/>
        <w:left w:val="none" w:sz="0" w:space="0" w:color="auto"/>
        <w:bottom w:val="none" w:sz="0" w:space="0" w:color="auto"/>
        <w:right w:val="none" w:sz="0" w:space="0" w:color="auto"/>
      </w:divBdr>
    </w:div>
    <w:div w:id="211429021">
      <w:bodyDiv w:val="1"/>
      <w:marLeft w:val="0"/>
      <w:marRight w:val="0"/>
      <w:marTop w:val="0"/>
      <w:marBottom w:val="0"/>
      <w:divBdr>
        <w:top w:val="none" w:sz="0" w:space="0" w:color="auto"/>
        <w:left w:val="none" w:sz="0" w:space="0" w:color="auto"/>
        <w:bottom w:val="none" w:sz="0" w:space="0" w:color="auto"/>
        <w:right w:val="none" w:sz="0" w:space="0" w:color="auto"/>
      </w:divBdr>
    </w:div>
    <w:div w:id="215897193">
      <w:bodyDiv w:val="1"/>
      <w:marLeft w:val="0"/>
      <w:marRight w:val="0"/>
      <w:marTop w:val="0"/>
      <w:marBottom w:val="0"/>
      <w:divBdr>
        <w:top w:val="none" w:sz="0" w:space="0" w:color="auto"/>
        <w:left w:val="none" w:sz="0" w:space="0" w:color="auto"/>
        <w:bottom w:val="none" w:sz="0" w:space="0" w:color="auto"/>
        <w:right w:val="none" w:sz="0" w:space="0" w:color="auto"/>
      </w:divBdr>
    </w:div>
    <w:div w:id="230119805">
      <w:bodyDiv w:val="1"/>
      <w:marLeft w:val="0"/>
      <w:marRight w:val="0"/>
      <w:marTop w:val="0"/>
      <w:marBottom w:val="0"/>
      <w:divBdr>
        <w:top w:val="none" w:sz="0" w:space="0" w:color="auto"/>
        <w:left w:val="none" w:sz="0" w:space="0" w:color="auto"/>
        <w:bottom w:val="none" w:sz="0" w:space="0" w:color="auto"/>
        <w:right w:val="none" w:sz="0" w:space="0" w:color="auto"/>
      </w:divBdr>
    </w:div>
    <w:div w:id="240674936">
      <w:bodyDiv w:val="1"/>
      <w:marLeft w:val="0"/>
      <w:marRight w:val="0"/>
      <w:marTop w:val="0"/>
      <w:marBottom w:val="0"/>
      <w:divBdr>
        <w:top w:val="none" w:sz="0" w:space="0" w:color="auto"/>
        <w:left w:val="none" w:sz="0" w:space="0" w:color="auto"/>
        <w:bottom w:val="none" w:sz="0" w:space="0" w:color="auto"/>
        <w:right w:val="none" w:sz="0" w:space="0" w:color="auto"/>
      </w:divBdr>
    </w:div>
    <w:div w:id="241062200">
      <w:bodyDiv w:val="1"/>
      <w:marLeft w:val="0"/>
      <w:marRight w:val="0"/>
      <w:marTop w:val="0"/>
      <w:marBottom w:val="0"/>
      <w:divBdr>
        <w:top w:val="none" w:sz="0" w:space="0" w:color="auto"/>
        <w:left w:val="none" w:sz="0" w:space="0" w:color="auto"/>
        <w:bottom w:val="none" w:sz="0" w:space="0" w:color="auto"/>
        <w:right w:val="none" w:sz="0" w:space="0" w:color="auto"/>
      </w:divBdr>
    </w:div>
    <w:div w:id="243925918">
      <w:bodyDiv w:val="1"/>
      <w:marLeft w:val="0"/>
      <w:marRight w:val="0"/>
      <w:marTop w:val="0"/>
      <w:marBottom w:val="0"/>
      <w:divBdr>
        <w:top w:val="none" w:sz="0" w:space="0" w:color="auto"/>
        <w:left w:val="none" w:sz="0" w:space="0" w:color="auto"/>
        <w:bottom w:val="none" w:sz="0" w:space="0" w:color="auto"/>
        <w:right w:val="none" w:sz="0" w:space="0" w:color="auto"/>
      </w:divBdr>
    </w:div>
    <w:div w:id="268129176">
      <w:bodyDiv w:val="1"/>
      <w:marLeft w:val="0"/>
      <w:marRight w:val="0"/>
      <w:marTop w:val="0"/>
      <w:marBottom w:val="0"/>
      <w:divBdr>
        <w:top w:val="none" w:sz="0" w:space="0" w:color="auto"/>
        <w:left w:val="none" w:sz="0" w:space="0" w:color="auto"/>
        <w:bottom w:val="none" w:sz="0" w:space="0" w:color="auto"/>
        <w:right w:val="none" w:sz="0" w:space="0" w:color="auto"/>
      </w:divBdr>
    </w:div>
    <w:div w:id="314383602">
      <w:bodyDiv w:val="1"/>
      <w:marLeft w:val="0"/>
      <w:marRight w:val="0"/>
      <w:marTop w:val="0"/>
      <w:marBottom w:val="0"/>
      <w:divBdr>
        <w:top w:val="none" w:sz="0" w:space="0" w:color="auto"/>
        <w:left w:val="none" w:sz="0" w:space="0" w:color="auto"/>
        <w:bottom w:val="none" w:sz="0" w:space="0" w:color="auto"/>
        <w:right w:val="none" w:sz="0" w:space="0" w:color="auto"/>
      </w:divBdr>
    </w:div>
    <w:div w:id="335764099">
      <w:bodyDiv w:val="1"/>
      <w:marLeft w:val="0"/>
      <w:marRight w:val="0"/>
      <w:marTop w:val="0"/>
      <w:marBottom w:val="0"/>
      <w:divBdr>
        <w:top w:val="none" w:sz="0" w:space="0" w:color="auto"/>
        <w:left w:val="none" w:sz="0" w:space="0" w:color="auto"/>
        <w:bottom w:val="none" w:sz="0" w:space="0" w:color="auto"/>
        <w:right w:val="none" w:sz="0" w:space="0" w:color="auto"/>
      </w:divBdr>
    </w:div>
    <w:div w:id="360866259">
      <w:bodyDiv w:val="1"/>
      <w:marLeft w:val="0"/>
      <w:marRight w:val="0"/>
      <w:marTop w:val="0"/>
      <w:marBottom w:val="0"/>
      <w:divBdr>
        <w:top w:val="none" w:sz="0" w:space="0" w:color="auto"/>
        <w:left w:val="none" w:sz="0" w:space="0" w:color="auto"/>
        <w:bottom w:val="none" w:sz="0" w:space="0" w:color="auto"/>
        <w:right w:val="none" w:sz="0" w:space="0" w:color="auto"/>
      </w:divBdr>
    </w:div>
    <w:div w:id="363988767">
      <w:bodyDiv w:val="1"/>
      <w:marLeft w:val="0"/>
      <w:marRight w:val="0"/>
      <w:marTop w:val="0"/>
      <w:marBottom w:val="0"/>
      <w:divBdr>
        <w:top w:val="none" w:sz="0" w:space="0" w:color="auto"/>
        <w:left w:val="none" w:sz="0" w:space="0" w:color="auto"/>
        <w:bottom w:val="none" w:sz="0" w:space="0" w:color="auto"/>
        <w:right w:val="none" w:sz="0" w:space="0" w:color="auto"/>
      </w:divBdr>
    </w:div>
    <w:div w:id="368771782">
      <w:bodyDiv w:val="1"/>
      <w:marLeft w:val="0"/>
      <w:marRight w:val="0"/>
      <w:marTop w:val="0"/>
      <w:marBottom w:val="0"/>
      <w:divBdr>
        <w:top w:val="none" w:sz="0" w:space="0" w:color="auto"/>
        <w:left w:val="none" w:sz="0" w:space="0" w:color="auto"/>
        <w:bottom w:val="none" w:sz="0" w:space="0" w:color="auto"/>
        <w:right w:val="none" w:sz="0" w:space="0" w:color="auto"/>
      </w:divBdr>
    </w:div>
    <w:div w:id="372194104">
      <w:bodyDiv w:val="1"/>
      <w:marLeft w:val="0"/>
      <w:marRight w:val="0"/>
      <w:marTop w:val="0"/>
      <w:marBottom w:val="0"/>
      <w:divBdr>
        <w:top w:val="none" w:sz="0" w:space="0" w:color="auto"/>
        <w:left w:val="none" w:sz="0" w:space="0" w:color="auto"/>
        <w:bottom w:val="none" w:sz="0" w:space="0" w:color="auto"/>
        <w:right w:val="none" w:sz="0" w:space="0" w:color="auto"/>
      </w:divBdr>
    </w:div>
    <w:div w:id="407271730">
      <w:bodyDiv w:val="1"/>
      <w:marLeft w:val="0"/>
      <w:marRight w:val="0"/>
      <w:marTop w:val="0"/>
      <w:marBottom w:val="0"/>
      <w:divBdr>
        <w:top w:val="none" w:sz="0" w:space="0" w:color="auto"/>
        <w:left w:val="none" w:sz="0" w:space="0" w:color="auto"/>
        <w:bottom w:val="none" w:sz="0" w:space="0" w:color="auto"/>
        <w:right w:val="none" w:sz="0" w:space="0" w:color="auto"/>
      </w:divBdr>
    </w:div>
    <w:div w:id="431096942">
      <w:bodyDiv w:val="1"/>
      <w:marLeft w:val="0"/>
      <w:marRight w:val="0"/>
      <w:marTop w:val="0"/>
      <w:marBottom w:val="0"/>
      <w:divBdr>
        <w:top w:val="none" w:sz="0" w:space="0" w:color="auto"/>
        <w:left w:val="none" w:sz="0" w:space="0" w:color="auto"/>
        <w:bottom w:val="none" w:sz="0" w:space="0" w:color="auto"/>
        <w:right w:val="none" w:sz="0" w:space="0" w:color="auto"/>
      </w:divBdr>
    </w:div>
    <w:div w:id="534780420">
      <w:bodyDiv w:val="1"/>
      <w:marLeft w:val="0"/>
      <w:marRight w:val="0"/>
      <w:marTop w:val="0"/>
      <w:marBottom w:val="0"/>
      <w:divBdr>
        <w:top w:val="none" w:sz="0" w:space="0" w:color="auto"/>
        <w:left w:val="none" w:sz="0" w:space="0" w:color="auto"/>
        <w:bottom w:val="none" w:sz="0" w:space="0" w:color="auto"/>
        <w:right w:val="none" w:sz="0" w:space="0" w:color="auto"/>
      </w:divBdr>
    </w:div>
    <w:div w:id="543177080">
      <w:bodyDiv w:val="1"/>
      <w:marLeft w:val="0"/>
      <w:marRight w:val="0"/>
      <w:marTop w:val="0"/>
      <w:marBottom w:val="0"/>
      <w:divBdr>
        <w:top w:val="none" w:sz="0" w:space="0" w:color="auto"/>
        <w:left w:val="none" w:sz="0" w:space="0" w:color="auto"/>
        <w:bottom w:val="none" w:sz="0" w:space="0" w:color="auto"/>
        <w:right w:val="none" w:sz="0" w:space="0" w:color="auto"/>
      </w:divBdr>
    </w:div>
    <w:div w:id="553547998">
      <w:bodyDiv w:val="1"/>
      <w:marLeft w:val="0"/>
      <w:marRight w:val="0"/>
      <w:marTop w:val="0"/>
      <w:marBottom w:val="0"/>
      <w:divBdr>
        <w:top w:val="none" w:sz="0" w:space="0" w:color="auto"/>
        <w:left w:val="none" w:sz="0" w:space="0" w:color="auto"/>
        <w:bottom w:val="none" w:sz="0" w:space="0" w:color="auto"/>
        <w:right w:val="none" w:sz="0" w:space="0" w:color="auto"/>
      </w:divBdr>
    </w:div>
    <w:div w:id="559630863">
      <w:bodyDiv w:val="1"/>
      <w:marLeft w:val="0"/>
      <w:marRight w:val="0"/>
      <w:marTop w:val="0"/>
      <w:marBottom w:val="0"/>
      <w:divBdr>
        <w:top w:val="none" w:sz="0" w:space="0" w:color="auto"/>
        <w:left w:val="none" w:sz="0" w:space="0" w:color="auto"/>
        <w:bottom w:val="none" w:sz="0" w:space="0" w:color="auto"/>
        <w:right w:val="none" w:sz="0" w:space="0" w:color="auto"/>
      </w:divBdr>
    </w:div>
    <w:div w:id="563489019">
      <w:bodyDiv w:val="1"/>
      <w:marLeft w:val="0"/>
      <w:marRight w:val="0"/>
      <w:marTop w:val="0"/>
      <w:marBottom w:val="0"/>
      <w:divBdr>
        <w:top w:val="none" w:sz="0" w:space="0" w:color="auto"/>
        <w:left w:val="none" w:sz="0" w:space="0" w:color="auto"/>
        <w:bottom w:val="none" w:sz="0" w:space="0" w:color="auto"/>
        <w:right w:val="none" w:sz="0" w:space="0" w:color="auto"/>
      </w:divBdr>
    </w:div>
    <w:div w:id="570851291">
      <w:bodyDiv w:val="1"/>
      <w:marLeft w:val="0"/>
      <w:marRight w:val="0"/>
      <w:marTop w:val="0"/>
      <w:marBottom w:val="0"/>
      <w:divBdr>
        <w:top w:val="none" w:sz="0" w:space="0" w:color="auto"/>
        <w:left w:val="none" w:sz="0" w:space="0" w:color="auto"/>
        <w:bottom w:val="none" w:sz="0" w:space="0" w:color="auto"/>
        <w:right w:val="none" w:sz="0" w:space="0" w:color="auto"/>
      </w:divBdr>
    </w:div>
    <w:div w:id="579751325">
      <w:bodyDiv w:val="1"/>
      <w:marLeft w:val="0"/>
      <w:marRight w:val="0"/>
      <w:marTop w:val="0"/>
      <w:marBottom w:val="0"/>
      <w:divBdr>
        <w:top w:val="none" w:sz="0" w:space="0" w:color="auto"/>
        <w:left w:val="none" w:sz="0" w:space="0" w:color="auto"/>
        <w:bottom w:val="none" w:sz="0" w:space="0" w:color="auto"/>
        <w:right w:val="none" w:sz="0" w:space="0" w:color="auto"/>
      </w:divBdr>
    </w:div>
    <w:div w:id="625280090">
      <w:bodyDiv w:val="1"/>
      <w:marLeft w:val="0"/>
      <w:marRight w:val="0"/>
      <w:marTop w:val="0"/>
      <w:marBottom w:val="0"/>
      <w:divBdr>
        <w:top w:val="none" w:sz="0" w:space="0" w:color="auto"/>
        <w:left w:val="none" w:sz="0" w:space="0" w:color="auto"/>
        <w:bottom w:val="none" w:sz="0" w:space="0" w:color="auto"/>
        <w:right w:val="none" w:sz="0" w:space="0" w:color="auto"/>
      </w:divBdr>
    </w:div>
    <w:div w:id="640428166">
      <w:bodyDiv w:val="1"/>
      <w:marLeft w:val="0"/>
      <w:marRight w:val="0"/>
      <w:marTop w:val="0"/>
      <w:marBottom w:val="0"/>
      <w:divBdr>
        <w:top w:val="none" w:sz="0" w:space="0" w:color="auto"/>
        <w:left w:val="none" w:sz="0" w:space="0" w:color="auto"/>
        <w:bottom w:val="none" w:sz="0" w:space="0" w:color="auto"/>
        <w:right w:val="none" w:sz="0" w:space="0" w:color="auto"/>
      </w:divBdr>
    </w:div>
    <w:div w:id="648100574">
      <w:bodyDiv w:val="1"/>
      <w:marLeft w:val="0"/>
      <w:marRight w:val="0"/>
      <w:marTop w:val="0"/>
      <w:marBottom w:val="0"/>
      <w:divBdr>
        <w:top w:val="none" w:sz="0" w:space="0" w:color="auto"/>
        <w:left w:val="none" w:sz="0" w:space="0" w:color="auto"/>
        <w:bottom w:val="none" w:sz="0" w:space="0" w:color="auto"/>
        <w:right w:val="none" w:sz="0" w:space="0" w:color="auto"/>
      </w:divBdr>
    </w:div>
    <w:div w:id="681591073">
      <w:bodyDiv w:val="1"/>
      <w:marLeft w:val="0"/>
      <w:marRight w:val="0"/>
      <w:marTop w:val="0"/>
      <w:marBottom w:val="0"/>
      <w:divBdr>
        <w:top w:val="none" w:sz="0" w:space="0" w:color="auto"/>
        <w:left w:val="none" w:sz="0" w:space="0" w:color="auto"/>
        <w:bottom w:val="none" w:sz="0" w:space="0" w:color="auto"/>
        <w:right w:val="none" w:sz="0" w:space="0" w:color="auto"/>
      </w:divBdr>
    </w:div>
    <w:div w:id="683290941">
      <w:bodyDiv w:val="1"/>
      <w:marLeft w:val="0"/>
      <w:marRight w:val="0"/>
      <w:marTop w:val="0"/>
      <w:marBottom w:val="0"/>
      <w:divBdr>
        <w:top w:val="none" w:sz="0" w:space="0" w:color="auto"/>
        <w:left w:val="none" w:sz="0" w:space="0" w:color="auto"/>
        <w:bottom w:val="none" w:sz="0" w:space="0" w:color="auto"/>
        <w:right w:val="none" w:sz="0" w:space="0" w:color="auto"/>
      </w:divBdr>
    </w:div>
    <w:div w:id="687563902">
      <w:bodyDiv w:val="1"/>
      <w:marLeft w:val="0"/>
      <w:marRight w:val="0"/>
      <w:marTop w:val="0"/>
      <w:marBottom w:val="0"/>
      <w:divBdr>
        <w:top w:val="none" w:sz="0" w:space="0" w:color="auto"/>
        <w:left w:val="none" w:sz="0" w:space="0" w:color="auto"/>
        <w:bottom w:val="none" w:sz="0" w:space="0" w:color="auto"/>
        <w:right w:val="none" w:sz="0" w:space="0" w:color="auto"/>
      </w:divBdr>
    </w:div>
    <w:div w:id="781346280">
      <w:bodyDiv w:val="1"/>
      <w:marLeft w:val="0"/>
      <w:marRight w:val="0"/>
      <w:marTop w:val="0"/>
      <w:marBottom w:val="0"/>
      <w:divBdr>
        <w:top w:val="none" w:sz="0" w:space="0" w:color="auto"/>
        <w:left w:val="none" w:sz="0" w:space="0" w:color="auto"/>
        <w:bottom w:val="none" w:sz="0" w:space="0" w:color="auto"/>
        <w:right w:val="none" w:sz="0" w:space="0" w:color="auto"/>
      </w:divBdr>
    </w:div>
    <w:div w:id="799416871">
      <w:bodyDiv w:val="1"/>
      <w:marLeft w:val="0"/>
      <w:marRight w:val="0"/>
      <w:marTop w:val="0"/>
      <w:marBottom w:val="0"/>
      <w:divBdr>
        <w:top w:val="none" w:sz="0" w:space="0" w:color="auto"/>
        <w:left w:val="none" w:sz="0" w:space="0" w:color="auto"/>
        <w:bottom w:val="none" w:sz="0" w:space="0" w:color="auto"/>
        <w:right w:val="none" w:sz="0" w:space="0" w:color="auto"/>
      </w:divBdr>
    </w:div>
    <w:div w:id="834613894">
      <w:bodyDiv w:val="1"/>
      <w:marLeft w:val="0"/>
      <w:marRight w:val="0"/>
      <w:marTop w:val="0"/>
      <w:marBottom w:val="0"/>
      <w:divBdr>
        <w:top w:val="none" w:sz="0" w:space="0" w:color="auto"/>
        <w:left w:val="none" w:sz="0" w:space="0" w:color="auto"/>
        <w:bottom w:val="none" w:sz="0" w:space="0" w:color="auto"/>
        <w:right w:val="none" w:sz="0" w:space="0" w:color="auto"/>
      </w:divBdr>
    </w:div>
    <w:div w:id="839929137">
      <w:bodyDiv w:val="1"/>
      <w:marLeft w:val="0"/>
      <w:marRight w:val="0"/>
      <w:marTop w:val="0"/>
      <w:marBottom w:val="0"/>
      <w:divBdr>
        <w:top w:val="none" w:sz="0" w:space="0" w:color="auto"/>
        <w:left w:val="none" w:sz="0" w:space="0" w:color="auto"/>
        <w:bottom w:val="none" w:sz="0" w:space="0" w:color="auto"/>
        <w:right w:val="none" w:sz="0" w:space="0" w:color="auto"/>
      </w:divBdr>
    </w:div>
    <w:div w:id="878321789">
      <w:bodyDiv w:val="1"/>
      <w:marLeft w:val="0"/>
      <w:marRight w:val="0"/>
      <w:marTop w:val="0"/>
      <w:marBottom w:val="0"/>
      <w:divBdr>
        <w:top w:val="none" w:sz="0" w:space="0" w:color="auto"/>
        <w:left w:val="none" w:sz="0" w:space="0" w:color="auto"/>
        <w:bottom w:val="none" w:sz="0" w:space="0" w:color="auto"/>
        <w:right w:val="none" w:sz="0" w:space="0" w:color="auto"/>
      </w:divBdr>
    </w:div>
    <w:div w:id="879055871">
      <w:bodyDiv w:val="1"/>
      <w:marLeft w:val="0"/>
      <w:marRight w:val="0"/>
      <w:marTop w:val="0"/>
      <w:marBottom w:val="0"/>
      <w:divBdr>
        <w:top w:val="none" w:sz="0" w:space="0" w:color="auto"/>
        <w:left w:val="none" w:sz="0" w:space="0" w:color="auto"/>
        <w:bottom w:val="none" w:sz="0" w:space="0" w:color="auto"/>
        <w:right w:val="none" w:sz="0" w:space="0" w:color="auto"/>
      </w:divBdr>
    </w:div>
    <w:div w:id="948315688">
      <w:bodyDiv w:val="1"/>
      <w:marLeft w:val="0"/>
      <w:marRight w:val="0"/>
      <w:marTop w:val="0"/>
      <w:marBottom w:val="0"/>
      <w:divBdr>
        <w:top w:val="none" w:sz="0" w:space="0" w:color="auto"/>
        <w:left w:val="none" w:sz="0" w:space="0" w:color="auto"/>
        <w:bottom w:val="none" w:sz="0" w:space="0" w:color="auto"/>
        <w:right w:val="none" w:sz="0" w:space="0" w:color="auto"/>
      </w:divBdr>
    </w:div>
    <w:div w:id="974481268">
      <w:bodyDiv w:val="1"/>
      <w:marLeft w:val="0"/>
      <w:marRight w:val="0"/>
      <w:marTop w:val="0"/>
      <w:marBottom w:val="0"/>
      <w:divBdr>
        <w:top w:val="none" w:sz="0" w:space="0" w:color="auto"/>
        <w:left w:val="none" w:sz="0" w:space="0" w:color="auto"/>
        <w:bottom w:val="none" w:sz="0" w:space="0" w:color="auto"/>
        <w:right w:val="none" w:sz="0" w:space="0" w:color="auto"/>
      </w:divBdr>
    </w:div>
    <w:div w:id="977685534">
      <w:bodyDiv w:val="1"/>
      <w:marLeft w:val="0"/>
      <w:marRight w:val="0"/>
      <w:marTop w:val="0"/>
      <w:marBottom w:val="0"/>
      <w:divBdr>
        <w:top w:val="none" w:sz="0" w:space="0" w:color="auto"/>
        <w:left w:val="none" w:sz="0" w:space="0" w:color="auto"/>
        <w:bottom w:val="none" w:sz="0" w:space="0" w:color="auto"/>
        <w:right w:val="none" w:sz="0" w:space="0" w:color="auto"/>
      </w:divBdr>
    </w:div>
    <w:div w:id="990016575">
      <w:bodyDiv w:val="1"/>
      <w:marLeft w:val="0"/>
      <w:marRight w:val="0"/>
      <w:marTop w:val="0"/>
      <w:marBottom w:val="0"/>
      <w:divBdr>
        <w:top w:val="none" w:sz="0" w:space="0" w:color="auto"/>
        <w:left w:val="none" w:sz="0" w:space="0" w:color="auto"/>
        <w:bottom w:val="none" w:sz="0" w:space="0" w:color="auto"/>
        <w:right w:val="none" w:sz="0" w:space="0" w:color="auto"/>
      </w:divBdr>
    </w:div>
    <w:div w:id="1000743318">
      <w:bodyDiv w:val="1"/>
      <w:marLeft w:val="0"/>
      <w:marRight w:val="0"/>
      <w:marTop w:val="0"/>
      <w:marBottom w:val="0"/>
      <w:divBdr>
        <w:top w:val="none" w:sz="0" w:space="0" w:color="auto"/>
        <w:left w:val="none" w:sz="0" w:space="0" w:color="auto"/>
        <w:bottom w:val="none" w:sz="0" w:space="0" w:color="auto"/>
        <w:right w:val="none" w:sz="0" w:space="0" w:color="auto"/>
      </w:divBdr>
    </w:div>
    <w:div w:id="1006056958">
      <w:bodyDiv w:val="1"/>
      <w:marLeft w:val="0"/>
      <w:marRight w:val="0"/>
      <w:marTop w:val="0"/>
      <w:marBottom w:val="0"/>
      <w:divBdr>
        <w:top w:val="none" w:sz="0" w:space="0" w:color="auto"/>
        <w:left w:val="none" w:sz="0" w:space="0" w:color="auto"/>
        <w:bottom w:val="none" w:sz="0" w:space="0" w:color="auto"/>
        <w:right w:val="none" w:sz="0" w:space="0" w:color="auto"/>
      </w:divBdr>
    </w:div>
    <w:div w:id="1021975402">
      <w:bodyDiv w:val="1"/>
      <w:marLeft w:val="0"/>
      <w:marRight w:val="0"/>
      <w:marTop w:val="0"/>
      <w:marBottom w:val="0"/>
      <w:divBdr>
        <w:top w:val="none" w:sz="0" w:space="0" w:color="auto"/>
        <w:left w:val="none" w:sz="0" w:space="0" w:color="auto"/>
        <w:bottom w:val="none" w:sz="0" w:space="0" w:color="auto"/>
        <w:right w:val="none" w:sz="0" w:space="0" w:color="auto"/>
      </w:divBdr>
    </w:div>
    <w:div w:id="1026448205">
      <w:bodyDiv w:val="1"/>
      <w:marLeft w:val="0"/>
      <w:marRight w:val="0"/>
      <w:marTop w:val="0"/>
      <w:marBottom w:val="0"/>
      <w:divBdr>
        <w:top w:val="none" w:sz="0" w:space="0" w:color="auto"/>
        <w:left w:val="none" w:sz="0" w:space="0" w:color="auto"/>
        <w:bottom w:val="none" w:sz="0" w:space="0" w:color="auto"/>
        <w:right w:val="none" w:sz="0" w:space="0" w:color="auto"/>
      </w:divBdr>
    </w:div>
    <w:div w:id="1044448402">
      <w:bodyDiv w:val="1"/>
      <w:marLeft w:val="0"/>
      <w:marRight w:val="0"/>
      <w:marTop w:val="0"/>
      <w:marBottom w:val="0"/>
      <w:divBdr>
        <w:top w:val="none" w:sz="0" w:space="0" w:color="auto"/>
        <w:left w:val="none" w:sz="0" w:space="0" w:color="auto"/>
        <w:bottom w:val="none" w:sz="0" w:space="0" w:color="auto"/>
        <w:right w:val="none" w:sz="0" w:space="0" w:color="auto"/>
      </w:divBdr>
    </w:div>
    <w:div w:id="1046032381">
      <w:bodyDiv w:val="1"/>
      <w:marLeft w:val="0"/>
      <w:marRight w:val="0"/>
      <w:marTop w:val="0"/>
      <w:marBottom w:val="0"/>
      <w:divBdr>
        <w:top w:val="none" w:sz="0" w:space="0" w:color="auto"/>
        <w:left w:val="none" w:sz="0" w:space="0" w:color="auto"/>
        <w:bottom w:val="none" w:sz="0" w:space="0" w:color="auto"/>
        <w:right w:val="none" w:sz="0" w:space="0" w:color="auto"/>
      </w:divBdr>
    </w:div>
    <w:div w:id="1070468467">
      <w:bodyDiv w:val="1"/>
      <w:marLeft w:val="0"/>
      <w:marRight w:val="0"/>
      <w:marTop w:val="0"/>
      <w:marBottom w:val="0"/>
      <w:divBdr>
        <w:top w:val="none" w:sz="0" w:space="0" w:color="auto"/>
        <w:left w:val="none" w:sz="0" w:space="0" w:color="auto"/>
        <w:bottom w:val="none" w:sz="0" w:space="0" w:color="auto"/>
        <w:right w:val="none" w:sz="0" w:space="0" w:color="auto"/>
      </w:divBdr>
    </w:div>
    <w:div w:id="1092820970">
      <w:bodyDiv w:val="1"/>
      <w:marLeft w:val="0"/>
      <w:marRight w:val="0"/>
      <w:marTop w:val="0"/>
      <w:marBottom w:val="0"/>
      <w:divBdr>
        <w:top w:val="none" w:sz="0" w:space="0" w:color="auto"/>
        <w:left w:val="none" w:sz="0" w:space="0" w:color="auto"/>
        <w:bottom w:val="none" w:sz="0" w:space="0" w:color="auto"/>
        <w:right w:val="none" w:sz="0" w:space="0" w:color="auto"/>
      </w:divBdr>
    </w:div>
    <w:div w:id="1154372202">
      <w:bodyDiv w:val="1"/>
      <w:marLeft w:val="0"/>
      <w:marRight w:val="0"/>
      <w:marTop w:val="0"/>
      <w:marBottom w:val="0"/>
      <w:divBdr>
        <w:top w:val="none" w:sz="0" w:space="0" w:color="auto"/>
        <w:left w:val="none" w:sz="0" w:space="0" w:color="auto"/>
        <w:bottom w:val="none" w:sz="0" w:space="0" w:color="auto"/>
        <w:right w:val="none" w:sz="0" w:space="0" w:color="auto"/>
      </w:divBdr>
    </w:div>
    <w:div w:id="1192302594">
      <w:bodyDiv w:val="1"/>
      <w:marLeft w:val="0"/>
      <w:marRight w:val="0"/>
      <w:marTop w:val="0"/>
      <w:marBottom w:val="0"/>
      <w:divBdr>
        <w:top w:val="none" w:sz="0" w:space="0" w:color="auto"/>
        <w:left w:val="none" w:sz="0" w:space="0" w:color="auto"/>
        <w:bottom w:val="none" w:sz="0" w:space="0" w:color="auto"/>
        <w:right w:val="none" w:sz="0" w:space="0" w:color="auto"/>
      </w:divBdr>
    </w:div>
    <w:div w:id="1200824596">
      <w:bodyDiv w:val="1"/>
      <w:marLeft w:val="0"/>
      <w:marRight w:val="0"/>
      <w:marTop w:val="0"/>
      <w:marBottom w:val="0"/>
      <w:divBdr>
        <w:top w:val="none" w:sz="0" w:space="0" w:color="auto"/>
        <w:left w:val="none" w:sz="0" w:space="0" w:color="auto"/>
        <w:bottom w:val="none" w:sz="0" w:space="0" w:color="auto"/>
        <w:right w:val="none" w:sz="0" w:space="0" w:color="auto"/>
      </w:divBdr>
    </w:div>
    <w:div w:id="1214924702">
      <w:bodyDiv w:val="1"/>
      <w:marLeft w:val="0"/>
      <w:marRight w:val="0"/>
      <w:marTop w:val="0"/>
      <w:marBottom w:val="0"/>
      <w:divBdr>
        <w:top w:val="none" w:sz="0" w:space="0" w:color="auto"/>
        <w:left w:val="none" w:sz="0" w:space="0" w:color="auto"/>
        <w:bottom w:val="none" w:sz="0" w:space="0" w:color="auto"/>
        <w:right w:val="none" w:sz="0" w:space="0" w:color="auto"/>
      </w:divBdr>
    </w:div>
    <w:div w:id="1271662035">
      <w:bodyDiv w:val="1"/>
      <w:marLeft w:val="0"/>
      <w:marRight w:val="0"/>
      <w:marTop w:val="0"/>
      <w:marBottom w:val="0"/>
      <w:divBdr>
        <w:top w:val="none" w:sz="0" w:space="0" w:color="auto"/>
        <w:left w:val="none" w:sz="0" w:space="0" w:color="auto"/>
        <w:bottom w:val="none" w:sz="0" w:space="0" w:color="auto"/>
        <w:right w:val="none" w:sz="0" w:space="0" w:color="auto"/>
      </w:divBdr>
    </w:div>
    <w:div w:id="1284382757">
      <w:bodyDiv w:val="1"/>
      <w:marLeft w:val="0"/>
      <w:marRight w:val="0"/>
      <w:marTop w:val="0"/>
      <w:marBottom w:val="0"/>
      <w:divBdr>
        <w:top w:val="none" w:sz="0" w:space="0" w:color="auto"/>
        <w:left w:val="none" w:sz="0" w:space="0" w:color="auto"/>
        <w:bottom w:val="none" w:sz="0" w:space="0" w:color="auto"/>
        <w:right w:val="none" w:sz="0" w:space="0" w:color="auto"/>
      </w:divBdr>
    </w:div>
    <w:div w:id="1380982031">
      <w:bodyDiv w:val="1"/>
      <w:marLeft w:val="0"/>
      <w:marRight w:val="0"/>
      <w:marTop w:val="0"/>
      <w:marBottom w:val="0"/>
      <w:divBdr>
        <w:top w:val="none" w:sz="0" w:space="0" w:color="auto"/>
        <w:left w:val="none" w:sz="0" w:space="0" w:color="auto"/>
        <w:bottom w:val="none" w:sz="0" w:space="0" w:color="auto"/>
        <w:right w:val="none" w:sz="0" w:space="0" w:color="auto"/>
      </w:divBdr>
    </w:div>
    <w:div w:id="1412969203">
      <w:bodyDiv w:val="1"/>
      <w:marLeft w:val="0"/>
      <w:marRight w:val="0"/>
      <w:marTop w:val="0"/>
      <w:marBottom w:val="0"/>
      <w:divBdr>
        <w:top w:val="none" w:sz="0" w:space="0" w:color="auto"/>
        <w:left w:val="none" w:sz="0" w:space="0" w:color="auto"/>
        <w:bottom w:val="none" w:sz="0" w:space="0" w:color="auto"/>
        <w:right w:val="none" w:sz="0" w:space="0" w:color="auto"/>
      </w:divBdr>
    </w:div>
    <w:div w:id="1439564915">
      <w:bodyDiv w:val="1"/>
      <w:marLeft w:val="0"/>
      <w:marRight w:val="0"/>
      <w:marTop w:val="0"/>
      <w:marBottom w:val="0"/>
      <w:divBdr>
        <w:top w:val="none" w:sz="0" w:space="0" w:color="auto"/>
        <w:left w:val="none" w:sz="0" w:space="0" w:color="auto"/>
        <w:bottom w:val="none" w:sz="0" w:space="0" w:color="auto"/>
        <w:right w:val="none" w:sz="0" w:space="0" w:color="auto"/>
      </w:divBdr>
    </w:div>
    <w:div w:id="1507135696">
      <w:bodyDiv w:val="1"/>
      <w:marLeft w:val="0"/>
      <w:marRight w:val="0"/>
      <w:marTop w:val="0"/>
      <w:marBottom w:val="0"/>
      <w:divBdr>
        <w:top w:val="none" w:sz="0" w:space="0" w:color="auto"/>
        <w:left w:val="none" w:sz="0" w:space="0" w:color="auto"/>
        <w:bottom w:val="none" w:sz="0" w:space="0" w:color="auto"/>
        <w:right w:val="none" w:sz="0" w:space="0" w:color="auto"/>
      </w:divBdr>
    </w:div>
    <w:div w:id="1510098368">
      <w:bodyDiv w:val="1"/>
      <w:marLeft w:val="0"/>
      <w:marRight w:val="0"/>
      <w:marTop w:val="0"/>
      <w:marBottom w:val="0"/>
      <w:divBdr>
        <w:top w:val="none" w:sz="0" w:space="0" w:color="auto"/>
        <w:left w:val="none" w:sz="0" w:space="0" w:color="auto"/>
        <w:bottom w:val="none" w:sz="0" w:space="0" w:color="auto"/>
        <w:right w:val="none" w:sz="0" w:space="0" w:color="auto"/>
      </w:divBdr>
    </w:div>
    <w:div w:id="1577471069">
      <w:bodyDiv w:val="1"/>
      <w:marLeft w:val="0"/>
      <w:marRight w:val="0"/>
      <w:marTop w:val="0"/>
      <w:marBottom w:val="0"/>
      <w:divBdr>
        <w:top w:val="none" w:sz="0" w:space="0" w:color="auto"/>
        <w:left w:val="none" w:sz="0" w:space="0" w:color="auto"/>
        <w:bottom w:val="none" w:sz="0" w:space="0" w:color="auto"/>
        <w:right w:val="none" w:sz="0" w:space="0" w:color="auto"/>
      </w:divBdr>
    </w:div>
    <w:div w:id="1581983172">
      <w:bodyDiv w:val="1"/>
      <w:marLeft w:val="0"/>
      <w:marRight w:val="0"/>
      <w:marTop w:val="0"/>
      <w:marBottom w:val="0"/>
      <w:divBdr>
        <w:top w:val="none" w:sz="0" w:space="0" w:color="auto"/>
        <w:left w:val="none" w:sz="0" w:space="0" w:color="auto"/>
        <w:bottom w:val="none" w:sz="0" w:space="0" w:color="auto"/>
        <w:right w:val="none" w:sz="0" w:space="0" w:color="auto"/>
      </w:divBdr>
    </w:div>
    <w:div w:id="1601061258">
      <w:bodyDiv w:val="1"/>
      <w:marLeft w:val="0"/>
      <w:marRight w:val="0"/>
      <w:marTop w:val="0"/>
      <w:marBottom w:val="0"/>
      <w:divBdr>
        <w:top w:val="none" w:sz="0" w:space="0" w:color="auto"/>
        <w:left w:val="none" w:sz="0" w:space="0" w:color="auto"/>
        <w:bottom w:val="none" w:sz="0" w:space="0" w:color="auto"/>
        <w:right w:val="none" w:sz="0" w:space="0" w:color="auto"/>
      </w:divBdr>
    </w:div>
    <w:div w:id="1605963609">
      <w:bodyDiv w:val="1"/>
      <w:marLeft w:val="0"/>
      <w:marRight w:val="0"/>
      <w:marTop w:val="0"/>
      <w:marBottom w:val="0"/>
      <w:divBdr>
        <w:top w:val="none" w:sz="0" w:space="0" w:color="auto"/>
        <w:left w:val="none" w:sz="0" w:space="0" w:color="auto"/>
        <w:bottom w:val="none" w:sz="0" w:space="0" w:color="auto"/>
        <w:right w:val="none" w:sz="0" w:space="0" w:color="auto"/>
      </w:divBdr>
    </w:div>
    <w:div w:id="1614509116">
      <w:bodyDiv w:val="1"/>
      <w:marLeft w:val="0"/>
      <w:marRight w:val="0"/>
      <w:marTop w:val="0"/>
      <w:marBottom w:val="0"/>
      <w:divBdr>
        <w:top w:val="none" w:sz="0" w:space="0" w:color="auto"/>
        <w:left w:val="none" w:sz="0" w:space="0" w:color="auto"/>
        <w:bottom w:val="none" w:sz="0" w:space="0" w:color="auto"/>
        <w:right w:val="none" w:sz="0" w:space="0" w:color="auto"/>
      </w:divBdr>
    </w:div>
    <w:div w:id="1622149312">
      <w:bodyDiv w:val="1"/>
      <w:marLeft w:val="0"/>
      <w:marRight w:val="0"/>
      <w:marTop w:val="0"/>
      <w:marBottom w:val="0"/>
      <w:divBdr>
        <w:top w:val="none" w:sz="0" w:space="0" w:color="auto"/>
        <w:left w:val="none" w:sz="0" w:space="0" w:color="auto"/>
        <w:bottom w:val="none" w:sz="0" w:space="0" w:color="auto"/>
        <w:right w:val="none" w:sz="0" w:space="0" w:color="auto"/>
      </w:divBdr>
    </w:div>
    <w:div w:id="1682389909">
      <w:bodyDiv w:val="1"/>
      <w:marLeft w:val="0"/>
      <w:marRight w:val="0"/>
      <w:marTop w:val="0"/>
      <w:marBottom w:val="0"/>
      <w:divBdr>
        <w:top w:val="none" w:sz="0" w:space="0" w:color="auto"/>
        <w:left w:val="none" w:sz="0" w:space="0" w:color="auto"/>
        <w:bottom w:val="none" w:sz="0" w:space="0" w:color="auto"/>
        <w:right w:val="none" w:sz="0" w:space="0" w:color="auto"/>
      </w:divBdr>
    </w:div>
    <w:div w:id="1714503342">
      <w:bodyDiv w:val="1"/>
      <w:marLeft w:val="0"/>
      <w:marRight w:val="0"/>
      <w:marTop w:val="0"/>
      <w:marBottom w:val="0"/>
      <w:divBdr>
        <w:top w:val="none" w:sz="0" w:space="0" w:color="auto"/>
        <w:left w:val="none" w:sz="0" w:space="0" w:color="auto"/>
        <w:bottom w:val="none" w:sz="0" w:space="0" w:color="auto"/>
        <w:right w:val="none" w:sz="0" w:space="0" w:color="auto"/>
      </w:divBdr>
    </w:div>
    <w:div w:id="1728259394">
      <w:bodyDiv w:val="1"/>
      <w:marLeft w:val="0"/>
      <w:marRight w:val="0"/>
      <w:marTop w:val="0"/>
      <w:marBottom w:val="0"/>
      <w:divBdr>
        <w:top w:val="none" w:sz="0" w:space="0" w:color="auto"/>
        <w:left w:val="none" w:sz="0" w:space="0" w:color="auto"/>
        <w:bottom w:val="none" w:sz="0" w:space="0" w:color="auto"/>
        <w:right w:val="none" w:sz="0" w:space="0" w:color="auto"/>
      </w:divBdr>
    </w:div>
    <w:div w:id="1793673597">
      <w:bodyDiv w:val="1"/>
      <w:marLeft w:val="0"/>
      <w:marRight w:val="0"/>
      <w:marTop w:val="0"/>
      <w:marBottom w:val="0"/>
      <w:divBdr>
        <w:top w:val="none" w:sz="0" w:space="0" w:color="auto"/>
        <w:left w:val="none" w:sz="0" w:space="0" w:color="auto"/>
        <w:bottom w:val="none" w:sz="0" w:space="0" w:color="auto"/>
        <w:right w:val="none" w:sz="0" w:space="0" w:color="auto"/>
      </w:divBdr>
    </w:div>
    <w:div w:id="1809203698">
      <w:bodyDiv w:val="1"/>
      <w:marLeft w:val="0"/>
      <w:marRight w:val="0"/>
      <w:marTop w:val="0"/>
      <w:marBottom w:val="0"/>
      <w:divBdr>
        <w:top w:val="none" w:sz="0" w:space="0" w:color="auto"/>
        <w:left w:val="none" w:sz="0" w:space="0" w:color="auto"/>
        <w:bottom w:val="none" w:sz="0" w:space="0" w:color="auto"/>
        <w:right w:val="none" w:sz="0" w:space="0" w:color="auto"/>
      </w:divBdr>
    </w:div>
    <w:div w:id="1853841436">
      <w:bodyDiv w:val="1"/>
      <w:marLeft w:val="0"/>
      <w:marRight w:val="0"/>
      <w:marTop w:val="0"/>
      <w:marBottom w:val="0"/>
      <w:divBdr>
        <w:top w:val="none" w:sz="0" w:space="0" w:color="auto"/>
        <w:left w:val="none" w:sz="0" w:space="0" w:color="auto"/>
        <w:bottom w:val="none" w:sz="0" w:space="0" w:color="auto"/>
        <w:right w:val="none" w:sz="0" w:space="0" w:color="auto"/>
      </w:divBdr>
    </w:div>
    <w:div w:id="1870680183">
      <w:bodyDiv w:val="1"/>
      <w:marLeft w:val="0"/>
      <w:marRight w:val="0"/>
      <w:marTop w:val="0"/>
      <w:marBottom w:val="0"/>
      <w:divBdr>
        <w:top w:val="none" w:sz="0" w:space="0" w:color="auto"/>
        <w:left w:val="none" w:sz="0" w:space="0" w:color="auto"/>
        <w:bottom w:val="none" w:sz="0" w:space="0" w:color="auto"/>
        <w:right w:val="none" w:sz="0" w:space="0" w:color="auto"/>
      </w:divBdr>
    </w:div>
    <w:div w:id="1898279868">
      <w:bodyDiv w:val="1"/>
      <w:marLeft w:val="0"/>
      <w:marRight w:val="0"/>
      <w:marTop w:val="0"/>
      <w:marBottom w:val="0"/>
      <w:divBdr>
        <w:top w:val="none" w:sz="0" w:space="0" w:color="auto"/>
        <w:left w:val="none" w:sz="0" w:space="0" w:color="auto"/>
        <w:bottom w:val="none" w:sz="0" w:space="0" w:color="auto"/>
        <w:right w:val="none" w:sz="0" w:space="0" w:color="auto"/>
      </w:divBdr>
    </w:div>
    <w:div w:id="1973632731">
      <w:bodyDiv w:val="1"/>
      <w:marLeft w:val="0"/>
      <w:marRight w:val="0"/>
      <w:marTop w:val="0"/>
      <w:marBottom w:val="0"/>
      <w:divBdr>
        <w:top w:val="none" w:sz="0" w:space="0" w:color="auto"/>
        <w:left w:val="none" w:sz="0" w:space="0" w:color="auto"/>
        <w:bottom w:val="none" w:sz="0" w:space="0" w:color="auto"/>
        <w:right w:val="none" w:sz="0" w:space="0" w:color="auto"/>
      </w:divBdr>
    </w:div>
    <w:div w:id="2004357680">
      <w:bodyDiv w:val="1"/>
      <w:marLeft w:val="0"/>
      <w:marRight w:val="0"/>
      <w:marTop w:val="0"/>
      <w:marBottom w:val="0"/>
      <w:divBdr>
        <w:top w:val="none" w:sz="0" w:space="0" w:color="auto"/>
        <w:left w:val="none" w:sz="0" w:space="0" w:color="auto"/>
        <w:bottom w:val="none" w:sz="0" w:space="0" w:color="auto"/>
        <w:right w:val="none" w:sz="0" w:space="0" w:color="auto"/>
      </w:divBdr>
    </w:div>
    <w:div w:id="2040665865">
      <w:bodyDiv w:val="1"/>
      <w:marLeft w:val="0"/>
      <w:marRight w:val="0"/>
      <w:marTop w:val="0"/>
      <w:marBottom w:val="0"/>
      <w:divBdr>
        <w:top w:val="none" w:sz="0" w:space="0" w:color="auto"/>
        <w:left w:val="none" w:sz="0" w:space="0" w:color="auto"/>
        <w:bottom w:val="none" w:sz="0" w:space="0" w:color="auto"/>
        <w:right w:val="none" w:sz="0" w:space="0" w:color="auto"/>
      </w:divBdr>
    </w:div>
    <w:div w:id="2068914746">
      <w:bodyDiv w:val="1"/>
      <w:marLeft w:val="0"/>
      <w:marRight w:val="0"/>
      <w:marTop w:val="0"/>
      <w:marBottom w:val="0"/>
      <w:divBdr>
        <w:top w:val="none" w:sz="0" w:space="0" w:color="auto"/>
        <w:left w:val="none" w:sz="0" w:space="0" w:color="auto"/>
        <w:bottom w:val="none" w:sz="0" w:space="0" w:color="auto"/>
        <w:right w:val="none" w:sz="0" w:space="0" w:color="auto"/>
      </w:divBdr>
    </w:div>
    <w:div w:id="209177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17" Type="http://schemas.openxmlformats.org/officeDocument/2006/relationships/image" Target="media/image66.png"/><Relationship Id="rId21" Type="http://schemas.openxmlformats.org/officeDocument/2006/relationships/footer" Target="footer2.xml"/><Relationship Id="rId63" Type="http://schemas.openxmlformats.org/officeDocument/2006/relationships/image" Target="media/image12.emf"/><Relationship Id="rId159" Type="http://schemas.openxmlformats.org/officeDocument/2006/relationships/hyperlink" Target="http://www.reefplan.qld.gov.au/measuring-success/methods/scoring-system.aspx" TargetMode="External"/><Relationship Id="rId170" Type="http://schemas.openxmlformats.org/officeDocument/2006/relationships/hyperlink" Target="http://dx.doi.org/10.1016/j.marpolbul.2004.03.020" TargetMode="External"/><Relationship Id="rId226" Type="http://schemas.openxmlformats.org/officeDocument/2006/relationships/footer" Target="footer42.xml"/><Relationship Id="rId268" Type="http://schemas.openxmlformats.org/officeDocument/2006/relationships/image" Target="media/image125.png"/><Relationship Id="rId32" Type="http://schemas.openxmlformats.org/officeDocument/2006/relationships/hyperlink" Target="http://bit.ly/2mbB8bE" TargetMode="External"/><Relationship Id="rId74" Type="http://schemas.openxmlformats.org/officeDocument/2006/relationships/image" Target="media/image23.png"/><Relationship Id="rId128" Type="http://schemas.openxmlformats.org/officeDocument/2006/relationships/image" Target="media/image77.png"/><Relationship Id="rId5" Type="http://schemas.openxmlformats.org/officeDocument/2006/relationships/customXml" Target="../customXml/item4.xml"/><Relationship Id="rId181" Type="http://schemas.openxmlformats.org/officeDocument/2006/relationships/image" Target="media/image93.emf"/><Relationship Id="rId237" Type="http://schemas.openxmlformats.org/officeDocument/2006/relationships/footer" Target="footer44.xml"/><Relationship Id="rId279" Type="http://schemas.openxmlformats.org/officeDocument/2006/relationships/image" Target="media/image136.png"/><Relationship Id="rId43" Type="http://schemas.openxmlformats.org/officeDocument/2006/relationships/header" Target="header11.xml"/><Relationship Id="rId139" Type="http://schemas.openxmlformats.org/officeDocument/2006/relationships/image" Target="media/image88.png"/><Relationship Id="rId290" Type="http://schemas.openxmlformats.org/officeDocument/2006/relationships/header" Target="header55.xml"/><Relationship Id="rId85" Type="http://schemas.openxmlformats.org/officeDocument/2006/relationships/image" Target="media/image34.png"/><Relationship Id="rId150" Type="http://schemas.openxmlformats.org/officeDocument/2006/relationships/footer" Target="footer22.xml"/><Relationship Id="rId192" Type="http://schemas.openxmlformats.org/officeDocument/2006/relationships/footer" Target="footer26.xml"/><Relationship Id="rId206" Type="http://schemas.openxmlformats.org/officeDocument/2006/relationships/footer" Target="footer32.xml"/><Relationship Id="rId248" Type="http://schemas.openxmlformats.org/officeDocument/2006/relationships/footer" Target="footer49.xml"/><Relationship Id="rId12" Type="http://schemas.openxmlformats.org/officeDocument/2006/relationships/endnotes" Target="endnotes.xml"/><Relationship Id="rId108" Type="http://schemas.openxmlformats.org/officeDocument/2006/relationships/image" Target="media/image57.png"/><Relationship Id="rId54" Type="http://schemas.openxmlformats.org/officeDocument/2006/relationships/header" Target="header16.xml"/><Relationship Id="rId75" Type="http://schemas.openxmlformats.org/officeDocument/2006/relationships/image" Target="media/image24.png"/><Relationship Id="rId96" Type="http://schemas.openxmlformats.org/officeDocument/2006/relationships/image" Target="media/image45.png"/><Relationship Id="rId140" Type="http://schemas.openxmlformats.org/officeDocument/2006/relationships/image" Target="media/image89.png"/><Relationship Id="rId161" Type="http://schemas.openxmlformats.org/officeDocument/2006/relationships/hyperlink" Target="https://doi.org/10.1016/j.isci.2019.02.020" TargetMode="External"/><Relationship Id="rId182" Type="http://schemas.openxmlformats.org/officeDocument/2006/relationships/image" Target="media/image94.png"/><Relationship Id="rId217" Type="http://schemas.openxmlformats.org/officeDocument/2006/relationships/footer" Target="footer37.xml"/><Relationship Id="rId6" Type="http://schemas.openxmlformats.org/officeDocument/2006/relationships/customXml" Target="../customXml/item5.xml"/><Relationship Id="rId238" Type="http://schemas.openxmlformats.org/officeDocument/2006/relationships/header" Target="header44.xml"/><Relationship Id="rId259" Type="http://schemas.openxmlformats.org/officeDocument/2006/relationships/image" Target="media/image116.png"/><Relationship Id="rId23" Type="http://schemas.openxmlformats.org/officeDocument/2006/relationships/footer" Target="footer3.xml"/><Relationship Id="rId119" Type="http://schemas.openxmlformats.org/officeDocument/2006/relationships/image" Target="media/image68.png"/><Relationship Id="rId270" Type="http://schemas.openxmlformats.org/officeDocument/2006/relationships/image" Target="media/image127.png"/><Relationship Id="rId291" Type="http://schemas.openxmlformats.org/officeDocument/2006/relationships/footer" Target="footer55.xml"/><Relationship Id="rId44" Type="http://schemas.openxmlformats.org/officeDocument/2006/relationships/footer" Target="footer10.xml"/><Relationship Id="rId65" Type="http://schemas.openxmlformats.org/officeDocument/2006/relationships/image" Target="media/image14.png"/><Relationship Id="rId86" Type="http://schemas.openxmlformats.org/officeDocument/2006/relationships/image" Target="media/image35.png"/><Relationship Id="rId130" Type="http://schemas.openxmlformats.org/officeDocument/2006/relationships/image" Target="media/image79.png"/><Relationship Id="rId151" Type="http://schemas.openxmlformats.org/officeDocument/2006/relationships/footer" Target="footer23.xml"/><Relationship Id="rId172" Type="http://schemas.openxmlformats.org/officeDocument/2006/relationships/hyperlink" Target="http://www.R-project.org/" TargetMode="External"/><Relationship Id="rId193" Type="http://schemas.openxmlformats.org/officeDocument/2006/relationships/header" Target="header26.xml"/><Relationship Id="rId207" Type="http://schemas.openxmlformats.org/officeDocument/2006/relationships/header" Target="header32.xml"/><Relationship Id="rId228" Type="http://schemas.openxmlformats.org/officeDocument/2006/relationships/image" Target="media/image104.png"/><Relationship Id="rId249" Type="http://schemas.openxmlformats.org/officeDocument/2006/relationships/footer" Target="footer50.xml"/><Relationship Id="rId13" Type="http://schemas.openxmlformats.org/officeDocument/2006/relationships/image" Target="media/image1.png"/><Relationship Id="rId109" Type="http://schemas.openxmlformats.org/officeDocument/2006/relationships/image" Target="media/image58.png"/><Relationship Id="rId260" Type="http://schemas.openxmlformats.org/officeDocument/2006/relationships/image" Target="media/image117.png"/><Relationship Id="rId281" Type="http://schemas.openxmlformats.org/officeDocument/2006/relationships/image" Target="media/image138.png"/><Relationship Id="rId34" Type="http://schemas.openxmlformats.org/officeDocument/2006/relationships/image" Target="media/image6.png"/><Relationship Id="rId55" Type="http://schemas.openxmlformats.org/officeDocument/2006/relationships/footer" Target="footer16.xml"/><Relationship Id="rId76" Type="http://schemas.openxmlformats.org/officeDocument/2006/relationships/image" Target="media/image25.png"/><Relationship Id="rId97" Type="http://schemas.openxmlformats.org/officeDocument/2006/relationships/image" Target="media/image46.png"/><Relationship Id="rId120" Type="http://schemas.openxmlformats.org/officeDocument/2006/relationships/image" Target="media/image69.png"/><Relationship Id="rId141" Type="http://schemas.openxmlformats.org/officeDocument/2006/relationships/header" Target="header18.xml"/><Relationship Id="rId7" Type="http://schemas.openxmlformats.org/officeDocument/2006/relationships/numbering" Target="numbering.xml"/><Relationship Id="rId162" Type="http://schemas.openxmlformats.org/officeDocument/2006/relationships/hyperlink" Target="http://www.gbrmpa.gov.au/our-work/our-programs-and-projects/reef-2050-marine-monitoring-program" TargetMode="External"/><Relationship Id="rId183" Type="http://schemas.openxmlformats.org/officeDocument/2006/relationships/image" Target="media/image95.png"/><Relationship Id="rId218" Type="http://schemas.openxmlformats.org/officeDocument/2006/relationships/footer" Target="footer38.xml"/><Relationship Id="rId239" Type="http://schemas.openxmlformats.org/officeDocument/2006/relationships/footer" Target="footer45.xml"/><Relationship Id="rId250" Type="http://schemas.openxmlformats.org/officeDocument/2006/relationships/header" Target="header50.xml"/><Relationship Id="rId271" Type="http://schemas.openxmlformats.org/officeDocument/2006/relationships/image" Target="media/image128.png"/><Relationship Id="rId292" Type="http://schemas.openxmlformats.org/officeDocument/2006/relationships/footer" Target="footer56.xml"/><Relationship Id="rId24" Type="http://schemas.openxmlformats.org/officeDocument/2006/relationships/image" Target="media/image3.png"/><Relationship Id="rId45" Type="http://schemas.openxmlformats.org/officeDocument/2006/relationships/footer" Target="footer11.xml"/><Relationship Id="rId66" Type="http://schemas.openxmlformats.org/officeDocument/2006/relationships/image" Target="media/image15.png"/><Relationship Id="rId87" Type="http://schemas.openxmlformats.org/officeDocument/2006/relationships/image" Target="media/image36.png"/><Relationship Id="rId110" Type="http://schemas.openxmlformats.org/officeDocument/2006/relationships/image" Target="media/image59.png"/><Relationship Id="rId131" Type="http://schemas.openxmlformats.org/officeDocument/2006/relationships/image" Target="media/image80.png"/><Relationship Id="rId152" Type="http://schemas.openxmlformats.org/officeDocument/2006/relationships/header" Target="header23.xml"/><Relationship Id="rId173" Type="http://schemas.openxmlformats.org/officeDocument/2006/relationships/hyperlink" Target="http://dx.doi.org/10.1016/j.marpolbul.2014.02.013" TargetMode="External"/><Relationship Id="rId194" Type="http://schemas.openxmlformats.org/officeDocument/2006/relationships/footer" Target="footer27.xml"/><Relationship Id="rId208" Type="http://schemas.openxmlformats.org/officeDocument/2006/relationships/footer" Target="footer33.xml"/><Relationship Id="rId229" Type="http://schemas.openxmlformats.org/officeDocument/2006/relationships/image" Target="media/image105.png"/><Relationship Id="rId240" Type="http://schemas.openxmlformats.org/officeDocument/2006/relationships/header" Target="header45.xml"/><Relationship Id="rId261" Type="http://schemas.openxmlformats.org/officeDocument/2006/relationships/image" Target="media/image118.png"/><Relationship Id="rId14" Type="http://schemas.openxmlformats.org/officeDocument/2006/relationships/hyperlink" Target="http://creativecommons.org/licences/by/4.0" TargetMode="External"/><Relationship Id="rId35" Type="http://schemas.openxmlformats.org/officeDocument/2006/relationships/image" Target="media/image7.png"/><Relationship Id="rId56" Type="http://schemas.openxmlformats.org/officeDocument/2006/relationships/footer" Target="footer17.xml"/><Relationship Id="rId77" Type="http://schemas.openxmlformats.org/officeDocument/2006/relationships/image" Target="media/image26.png"/><Relationship Id="rId100" Type="http://schemas.openxmlformats.org/officeDocument/2006/relationships/image" Target="media/image49.png"/><Relationship Id="rId282" Type="http://schemas.openxmlformats.org/officeDocument/2006/relationships/image" Target="media/image139.png"/><Relationship Id="rId8" Type="http://schemas.openxmlformats.org/officeDocument/2006/relationships/styles" Target="styles.xml"/><Relationship Id="rId98" Type="http://schemas.openxmlformats.org/officeDocument/2006/relationships/image" Target="media/image47.png"/><Relationship Id="rId121" Type="http://schemas.openxmlformats.org/officeDocument/2006/relationships/image" Target="media/image70.png"/><Relationship Id="rId142" Type="http://schemas.openxmlformats.org/officeDocument/2006/relationships/header" Target="header19.xml"/><Relationship Id="rId163" Type="http://schemas.openxmlformats.org/officeDocument/2006/relationships/hyperlink" Target="https://doi.org/10.1016/S0022-1694(97)00125-X" TargetMode="External"/><Relationship Id="rId184" Type="http://schemas.openxmlformats.org/officeDocument/2006/relationships/image" Target="media/image96.png"/><Relationship Id="rId219" Type="http://schemas.openxmlformats.org/officeDocument/2006/relationships/header" Target="header38.xml"/><Relationship Id="rId230" Type="http://schemas.openxmlformats.org/officeDocument/2006/relationships/image" Target="media/image106.png"/><Relationship Id="rId251" Type="http://schemas.openxmlformats.org/officeDocument/2006/relationships/footer" Target="footer51.xml"/><Relationship Id="rId25" Type="http://schemas.openxmlformats.org/officeDocument/2006/relationships/header" Target="header4.xml"/><Relationship Id="rId46" Type="http://schemas.openxmlformats.org/officeDocument/2006/relationships/header" Target="header12.xml"/><Relationship Id="rId67" Type="http://schemas.openxmlformats.org/officeDocument/2006/relationships/image" Target="media/image16.png"/><Relationship Id="rId272" Type="http://schemas.openxmlformats.org/officeDocument/2006/relationships/image" Target="media/image129.png"/><Relationship Id="rId293" Type="http://schemas.openxmlformats.org/officeDocument/2006/relationships/header" Target="header56.xml"/><Relationship Id="rId88" Type="http://schemas.openxmlformats.org/officeDocument/2006/relationships/image" Target="media/image37.png"/><Relationship Id="rId111" Type="http://schemas.openxmlformats.org/officeDocument/2006/relationships/image" Target="media/image60.png"/><Relationship Id="rId132" Type="http://schemas.openxmlformats.org/officeDocument/2006/relationships/image" Target="media/image81.png"/><Relationship Id="rId153" Type="http://schemas.openxmlformats.org/officeDocument/2006/relationships/footer" Target="footer24.xml"/><Relationship Id="rId174" Type="http://schemas.openxmlformats.org/officeDocument/2006/relationships/hyperlink" Target="http://dx.doi.org/10.1071/MF97001" TargetMode="External"/><Relationship Id="rId195" Type="http://schemas.openxmlformats.org/officeDocument/2006/relationships/image" Target="media/image101.png"/><Relationship Id="rId209" Type="http://schemas.openxmlformats.org/officeDocument/2006/relationships/header" Target="header33.xml"/><Relationship Id="rId220" Type="http://schemas.openxmlformats.org/officeDocument/2006/relationships/footer" Target="footer39.xml"/><Relationship Id="rId241" Type="http://schemas.openxmlformats.org/officeDocument/2006/relationships/header" Target="header46.xml"/><Relationship Id="rId15" Type="http://schemas.openxmlformats.org/officeDocument/2006/relationships/hyperlink" Target="http://creativecommons.org/licences/by/3.0/au" TargetMode="External"/><Relationship Id="rId36" Type="http://schemas.openxmlformats.org/officeDocument/2006/relationships/header" Target="header7.xml"/><Relationship Id="rId57" Type="http://schemas.openxmlformats.org/officeDocument/2006/relationships/header" Target="header17.xml"/><Relationship Id="rId262" Type="http://schemas.openxmlformats.org/officeDocument/2006/relationships/image" Target="media/image119.png"/><Relationship Id="rId283" Type="http://schemas.openxmlformats.org/officeDocument/2006/relationships/header" Target="header51.xml"/><Relationship Id="rId78" Type="http://schemas.openxmlformats.org/officeDocument/2006/relationships/image" Target="media/image27.png"/><Relationship Id="rId99" Type="http://schemas.openxmlformats.org/officeDocument/2006/relationships/image" Target="media/image48.png"/><Relationship Id="rId101" Type="http://schemas.openxmlformats.org/officeDocument/2006/relationships/image" Target="media/image50.png"/><Relationship Id="rId122" Type="http://schemas.openxmlformats.org/officeDocument/2006/relationships/image" Target="media/image71.png"/><Relationship Id="rId143" Type="http://schemas.openxmlformats.org/officeDocument/2006/relationships/footer" Target="footer19.xml"/><Relationship Id="rId164" Type="http://schemas.openxmlformats.org/officeDocument/2006/relationships/hyperlink" Target="http://dx.doi.org/10.1016/j.scitotenv.2015.04.061" TargetMode="External"/><Relationship Id="rId185" Type="http://schemas.openxmlformats.org/officeDocument/2006/relationships/image" Target="media/image97.emf"/><Relationship Id="rId9" Type="http://schemas.openxmlformats.org/officeDocument/2006/relationships/settings" Target="settings.xml"/><Relationship Id="rId210" Type="http://schemas.openxmlformats.org/officeDocument/2006/relationships/header" Target="header34.xml"/><Relationship Id="rId26" Type="http://schemas.openxmlformats.org/officeDocument/2006/relationships/header" Target="header5.xml"/><Relationship Id="rId231" Type="http://schemas.openxmlformats.org/officeDocument/2006/relationships/image" Target="media/image107.png"/><Relationship Id="rId252" Type="http://schemas.openxmlformats.org/officeDocument/2006/relationships/image" Target="media/image109.png"/><Relationship Id="rId273" Type="http://schemas.openxmlformats.org/officeDocument/2006/relationships/image" Target="media/image130.png"/><Relationship Id="rId294" Type="http://schemas.openxmlformats.org/officeDocument/2006/relationships/footer" Target="footer57.xml"/><Relationship Id="rId47" Type="http://schemas.openxmlformats.org/officeDocument/2006/relationships/footer" Target="footer12.xml"/><Relationship Id="rId68" Type="http://schemas.openxmlformats.org/officeDocument/2006/relationships/image" Target="media/image17.png"/><Relationship Id="rId89" Type="http://schemas.openxmlformats.org/officeDocument/2006/relationships/image" Target="media/image38.png"/><Relationship Id="rId112" Type="http://schemas.openxmlformats.org/officeDocument/2006/relationships/image" Target="media/image61.png"/><Relationship Id="rId133" Type="http://schemas.openxmlformats.org/officeDocument/2006/relationships/image" Target="media/image82.png"/><Relationship Id="rId154" Type="http://schemas.openxmlformats.org/officeDocument/2006/relationships/hyperlink" Target="https://doi.org/10.1016/j.marenvres.2018.02.006" TargetMode="External"/><Relationship Id="rId175" Type="http://schemas.openxmlformats.org/officeDocument/2006/relationships/hyperlink" Target="http://dx.doi.org/10.1016/j.marpolbul.2015.08.016" TargetMode="External"/><Relationship Id="rId196" Type="http://schemas.openxmlformats.org/officeDocument/2006/relationships/header" Target="header27.xml"/><Relationship Id="rId200" Type="http://schemas.openxmlformats.org/officeDocument/2006/relationships/header" Target="header29.xml"/><Relationship Id="rId16" Type="http://schemas.openxmlformats.org/officeDocument/2006/relationships/image" Target="media/image2.png"/><Relationship Id="rId221" Type="http://schemas.openxmlformats.org/officeDocument/2006/relationships/header" Target="header39.xml"/><Relationship Id="rId242" Type="http://schemas.openxmlformats.org/officeDocument/2006/relationships/footer" Target="footer46.xml"/><Relationship Id="rId263" Type="http://schemas.openxmlformats.org/officeDocument/2006/relationships/image" Target="media/image120.png"/><Relationship Id="rId284" Type="http://schemas.openxmlformats.org/officeDocument/2006/relationships/header" Target="header52.xml"/><Relationship Id="rId37" Type="http://schemas.openxmlformats.org/officeDocument/2006/relationships/header" Target="header8.xml"/><Relationship Id="rId58" Type="http://schemas.openxmlformats.org/officeDocument/2006/relationships/footer" Target="footer18.xml"/><Relationship Id="rId79" Type="http://schemas.openxmlformats.org/officeDocument/2006/relationships/image" Target="media/image28.png"/><Relationship Id="rId102" Type="http://schemas.openxmlformats.org/officeDocument/2006/relationships/image" Target="media/image51.png"/><Relationship Id="rId123" Type="http://schemas.openxmlformats.org/officeDocument/2006/relationships/image" Target="media/image72.png"/><Relationship Id="rId144" Type="http://schemas.openxmlformats.org/officeDocument/2006/relationships/footer" Target="footer20.xml"/><Relationship Id="rId90" Type="http://schemas.openxmlformats.org/officeDocument/2006/relationships/image" Target="media/image39.png"/><Relationship Id="rId165" Type="http://schemas.openxmlformats.org/officeDocument/2006/relationships/hyperlink" Target="http://rrrc.org.au/wp-content/uploads/2014/06/113-QDPIF-McKenzie-L-2009-June-Milestone-Report.pdf" TargetMode="External"/><Relationship Id="rId186" Type="http://schemas.openxmlformats.org/officeDocument/2006/relationships/image" Target="media/image98.jpeg"/><Relationship Id="rId211" Type="http://schemas.openxmlformats.org/officeDocument/2006/relationships/footer" Target="footer34.xml"/><Relationship Id="rId232" Type="http://schemas.openxmlformats.org/officeDocument/2006/relationships/hyperlink" Target="file:///E:/New_Appendices%202014_15.docx" TargetMode="External"/><Relationship Id="rId253" Type="http://schemas.openxmlformats.org/officeDocument/2006/relationships/image" Target="media/image110.png"/><Relationship Id="rId274" Type="http://schemas.openxmlformats.org/officeDocument/2006/relationships/image" Target="media/image131.png"/><Relationship Id="rId295" Type="http://schemas.openxmlformats.org/officeDocument/2006/relationships/fontTable" Target="fontTable.xml"/><Relationship Id="rId27" Type="http://schemas.openxmlformats.org/officeDocument/2006/relationships/footer" Target="footer4.xml"/><Relationship Id="rId48" Type="http://schemas.openxmlformats.org/officeDocument/2006/relationships/header" Target="header13.xml"/><Relationship Id="rId69" Type="http://schemas.openxmlformats.org/officeDocument/2006/relationships/image" Target="media/image18.png"/><Relationship Id="rId113" Type="http://schemas.openxmlformats.org/officeDocument/2006/relationships/image" Target="media/image62.png"/><Relationship Id="rId134" Type="http://schemas.openxmlformats.org/officeDocument/2006/relationships/image" Target="media/image83.png"/><Relationship Id="rId80" Type="http://schemas.openxmlformats.org/officeDocument/2006/relationships/image" Target="media/image29.png"/><Relationship Id="rId155" Type="http://schemas.openxmlformats.org/officeDocument/2006/relationships/hyperlink" Target="http://dx.doi.org/10.1016/j.ecolind.2016.02.050" TargetMode="External"/><Relationship Id="rId176" Type="http://schemas.openxmlformats.org/officeDocument/2006/relationships/hyperlink" Target="https://doi.org/10.1007/s13280-018-1115-y" TargetMode="External"/><Relationship Id="rId197" Type="http://schemas.openxmlformats.org/officeDocument/2006/relationships/header" Target="header28.xml"/><Relationship Id="rId201" Type="http://schemas.openxmlformats.org/officeDocument/2006/relationships/footer" Target="footer30.xml"/><Relationship Id="rId222" Type="http://schemas.openxmlformats.org/officeDocument/2006/relationships/header" Target="header40.xml"/><Relationship Id="rId243" Type="http://schemas.openxmlformats.org/officeDocument/2006/relationships/footer" Target="footer47.xml"/><Relationship Id="rId264" Type="http://schemas.openxmlformats.org/officeDocument/2006/relationships/image" Target="media/image121.png"/><Relationship Id="rId285" Type="http://schemas.openxmlformats.org/officeDocument/2006/relationships/footer" Target="footer52.xml"/><Relationship Id="rId17" Type="http://schemas.openxmlformats.org/officeDocument/2006/relationships/hyperlink" Target="mailto:Tropwater@jcu.edu.au" TargetMode="External"/><Relationship Id="rId38" Type="http://schemas.openxmlformats.org/officeDocument/2006/relationships/footer" Target="footer7.xml"/><Relationship Id="rId59" Type="http://schemas.openxmlformats.org/officeDocument/2006/relationships/image" Target="media/image8.wmf"/><Relationship Id="rId103" Type="http://schemas.openxmlformats.org/officeDocument/2006/relationships/image" Target="media/image52.png"/><Relationship Id="rId124" Type="http://schemas.openxmlformats.org/officeDocument/2006/relationships/image" Target="media/image73.png"/><Relationship Id="rId70" Type="http://schemas.openxmlformats.org/officeDocument/2006/relationships/image" Target="media/image19.png"/><Relationship Id="rId91" Type="http://schemas.openxmlformats.org/officeDocument/2006/relationships/image" Target="media/image40.png"/><Relationship Id="rId145" Type="http://schemas.openxmlformats.org/officeDocument/2006/relationships/header" Target="header20.xml"/><Relationship Id="rId166" Type="http://schemas.openxmlformats.org/officeDocument/2006/relationships/hyperlink" Target="http://doi.pangaea.de/10.1594/PANGAEA.826368" TargetMode="External"/><Relationship Id="rId187" Type="http://schemas.openxmlformats.org/officeDocument/2006/relationships/image" Target="media/image99.png"/><Relationship Id="rId1" Type="http://schemas.microsoft.com/office/2006/relationships/keyMapCustomizations" Target="customizations.xml"/><Relationship Id="rId212" Type="http://schemas.openxmlformats.org/officeDocument/2006/relationships/footer" Target="footer35.xml"/><Relationship Id="rId233" Type="http://schemas.openxmlformats.org/officeDocument/2006/relationships/image" Target="media/image108.wmf"/><Relationship Id="rId254" Type="http://schemas.openxmlformats.org/officeDocument/2006/relationships/image" Target="media/image111.png"/><Relationship Id="rId28" Type="http://schemas.openxmlformats.org/officeDocument/2006/relationships/footer" Target="footer5.xml"/><Relationship Id="rId49" Type="http://schemas.openxmlformats.org/officeDocument/2006/relationships/footer" Target="footer13.xml"/><Relationship Id="rId114" Type="http://schemas.openxmlformats.org/officeDocument/2006/relationships/image" Target="media/image63.png"/><Relationship Id="rId275" Type="http://schemas.openxmlformats.org/officeDocument/2006/relationships/image" Target="media/image132.png"/><Relationship Id="rId296" Type="http://schemas.openxmlformats.org/officeDocument/2006/relationships/theme" Target="theme/theme1.xml"/><Relationship Id="rId60" Type="http://schemas.openxmlformats.org/officeDocument/2006/relationships/image" Target="media/image9.jpg"/><Relationship Id="rId81" Type="http://schemas.openxmlformats.org/officeDocument/2006/relationships/image" Target="media/image30.png"/><Relationship Id="rId135" Type="http://schemas.openxmlformats.org/officeDocument/2006/relationships/image" Target="media/image84.png"/><Relationship Id="rId156" Type="http://schemas.openxmlformats.org/officeDocument/2006/relationships/hyperlink" Target="http://dx.doi.org/10.1016/j.jembe.2008.12.003" TargetMode="External"/><Relationship Id="rId177" Type="http://schemas.openxmlformats.org/officeDocument/2006/relationships/hyperlink" Target="https://doi.org/10.1016/j.cub.2018.09.027" TargetMode="External"/><Relationship Id="rId198" Type="http://schemas.openxmlformats.org/officeDocument/2006/relationships/footer" Target="footer28.xml"/><Relationship Id="rId202" Type="http://schemas.openxmlformats.org/officeDocument/2006/relationships/image" Target="media/image102.png"/><Relationship Id="rId223" Type="http://schemas.openxmlformats.org/officeDocument/2006/relationships/footer" Target="footer40.xml"/><Relationship Id="rId244" Type="http://schemas.openxmlformats.org/officeDocument/2006/relationships/header" Target="header47.xml"/><Relationship Id="rId18" Type="http://schemas.openxmlformats.org/officeDocument/2006/relationships/header" Target="header1.xml"/><Relationship Id="rId39" Type="http://schemas.openxmlformats.org/officeDocument/2006/relationships/footer" Target="footer8.xml"/><Relationship Id="rId265" Type="http://schemas.openxmlformats.org/officeDocument/2006/relationships/image" Target="media/image122.png"/><Relationship Id="rId286" Type="http://schemas.openxmlformats.org/officeDocument/2006/relationships/footer" Target="footer53.xml"/><Relationship Id="rId50" Type="http://schemas.openxmlformats.org/officeDocument/2006/relationships/footer" Target="footer14.xml"/><Relationship Id="rId104" Type="http://schemas.openxmlformats.org/officeDocument/2006/relationships/image" Target="media/image53.png"/><Relationship Id="rId125" Type="http://schemas.openxmlformats.org/officeDocument/2006/relationships/image" Target="media/image74.png"/><Relationship Id="rId146" Type="http://schemas.openxmlformats.org/officeDocument/2006/relationships/footer" Target="footer21.xml"/><Relationship Id="rId167" Type="http://schemas.openxmlformats.org/officeDocument/2006/relationships/hyperlink" Target="http://dx.doi.org/10.1016/j.marpolbul.2014.07.019" TargetMode="External"/><Relationship Id="rId188" Type="http://schemas.openxmlformats.org/officeDocument/2006/relationships/image" Target="media/image100.png"/><Relationship Id="rId71" Type="http://schemas.openxmlformats.org/officeDocument/2006/relationships/image" Target="media/image20.emf"/><Relationship Id="rId92" Type="http://schemas.openxmlformats.org/officeDocument/2006/relationships/image" Target="media/image41.png"/><Relationship Id="rId213" Type="http://schemas.openxmlformats.org/officeDocument/2006/relationships/header" Target="header35.xml"/><Relationship Id="rId234" Type="http://schemas.openxmlformats.org/officeDocument/2006/relationships/header" Target="header42.xml"/><Relationship Id="rId2" Type="http://schemas.openxmlformats.org/officeDocument/2006/relationships/customXml" Target="../customXml/item1.xml"/><Relationship Id="rId29" Type="http://schemas.openxmlformats.org/officeDocument/2006/relationships/header" Target="header6.xml"/><Relationship Id="rId255" Type="http://schemas.openxmlformats.org/officeDocument/2006/relationships/image" Target="media/image112.png"/><Relationship Id="rId276" Type="http://schemas.openxmlformats.org/officeDocument/2006/relationships/image" Target="media/image133.png"/><Relationship Id="rId40" Type="http://schemas.openxmlformats.org/officeDocument/2006/relationships/header" Target="header9.xml"/><Relationship Id="rId115" Type="http://schemas.openxmlformats.org/officeDocument/2006/relationships/image" Target="media/image64.png"/><Relationship Id="rId136" Type="http://schemas.openxmlformats.org/officeDocument/2006/relationships/image" Target="media/image85.png"/><Relationship Id="rId157" Type="http://schemas.openxmlformats.org/officeDocument/2006/relationships/hyperlink" Target="http://dx.doi.org/10.1016/j.marpolbul.2014.03.050" TargetMode="External"/><Relationship Id="rId178" Type="http://schemas.openxmlformats.org/officeDocument/2006/relationships/hyperlink" Target="http://www.nature.com/articles/srep13167" TargetMode="External"/><Relationship Id="rId61" Type="http://schemas.openxmlformats.org/officeDocument/2006/relationships/image" Target="media/image10.jpg"/><Relationship Id="rId82" Type="http://schemas.openxmlformats.org/officeDocument/2006/relationships/image" Target="media/image31.png"/><Relationship Id="rId199" Type="http://schemas.openxmlformats.org/officeDocument/2006/relationships/footer" Target="footer29.xml"/><Relationship Id="rId203" Type="http://schemas.openxmlformats.org/officeDocument/2006/relationships/header" Target="header30.xml"/><Relationship Id="rId19" Type="http://schemas.openxmlformats.org/officeDocument/2006/relationships/header" Target="header2.xml"/><Relationship Id="rId224" Type="http://schemas.openxmlformats.org/officeDocument/2006/relationships/footer" Target="footer41.xml"/><Relationship Id="rId245" Type="http://schemas.openxmlformats.org/officeDocument/2006/relationships/footer" Target="footer48.xml"/><Relationship Id="rId266" Type="http://schemas.openxmlformats.org/officeDocument/2006/relationships/image" Target="media/image123.png"/><Relationship Id="rId287" Type="http://schemas.openxmlformats.org/officeDocument/2006/relationships/header" Target="header53.xml"/><Relationship Id="rId30" Type="http://schemas.openxmlformats.org/officeDocument/2006/relationships/footer" Target="footer6.xml"/><Relationship Id="rId105" Type="http://schemas.openxmlformats.org/officeDocument/2006/relationships/image" Target="media/image54.png"/><Relationship Id="rId126" Type="http://schemas.openxmlformats.org/officeDocument/2006/relationships/image" Target="media/image75.png"/><Relationship Id="rId147" Type="http://schemas.openxmlformats.org/officeDocument/2006/relationships/image" Target="media/image90.png"/><Relationship Id="rId168" Type="http://schemas.openxmlformats.org/officeDocument/2006/relationships/hyperlink" Target="http://www.environment.gov.au/water/publications/environmental/rivers/nrhp/bioassess.html" TargetMode="External"/><Relationship Id="rId51" Type="http://schemas.openxmlformats.org/officeDocument/2006/relationships/header" Target="header14.xml"/><Relationship Id="rId72" Type="http://schemas.openxmlformats.org/officeDocument/2006/relationships/image" Target="media/image21.png"/><Relationship Id="rId93" Type="http://schemas.openxmlformats.org/officeDocument/2006/relationships/image" Target="media/image42.png"/><Relationship Id="rId189" Type="http://schemas.openxmlformats.org/officeDocument/2006/relationships/header" Target="header24.xml"/><Relationship Id="rId3" Type="http://schemas.openxmlformats.org/officeDocument/2006/relationships/customXml" Target="../customXml/item2.xml"/><Relationship Id="rId214" Type="http://schemas.openxmlformats.org/officeDocument/2006/relationships/footer" Target="footer36.xml"/><Relationship Id="rId235" Type="http://schemas.openxmlformats.org/officeDocument/2006/relationships/header" Target="header43.xml"/><Relationship Id="rId256" Type="http://schemas.openxmlformats.org/officeDocument/2006/relationships/image" Target="media/image113.png"/><Relationship Id="rId277" Type="http://schemas.openxmlformats.org/officeDocument/2006/relationships/image" Target="media/image134.png"/><Relationship Id="rId298" Type="http://schemas.microsoft.com/office/2016/09/relationships/commentsIds" Target="commentsIds.xml"/><Relationship Id="rId116" Type="http://schemas.openxmlformats.org/officeDocument/2006/relationships/image" Target="media/image65.png"/><Relationship Id="rId137" Type="http://schemas.openxmlformats.org/officeDocument/2006/relationships/image" Target="media/image86.png"/><Relationship Id="rId158" Type="http://schemas.openxmlformats.org/officeDocument/2006/relationships/hyperlink" Target="http://dx.doi.org/10.1016/j.marpolbul.2013.06.001" TargetMode="External"/><Relationship Id="rId20" Type="http://schemas.openxmlformats.org/officeDocument/2006/relationships/footer" Target="footer1.xml"/><Relationship Id="rId41" Type="http://schemas.openxmlformats.org/officeDocument/2006/relationships/footer" Target="footer9.xml"/><Relationship Id="rId62" Type="http://schemas.openxmlformats.org/officeDocument/2006/relationships/image" Target="media/image11.png"/><Relationship Id="rId83" Type="http://schemas.openxmlformats.org/officeDocument/2006/relationships/image" Target="media/image32.png"/><Relationship Id="rId179" Type="http://schemas.openxmlformats.org/officeDocument/2006/relationships/image" Target="media/image91.png"/><Relationship Id="rId190" Type="http://schemas.openxmlformats.org/officeDocument/2006/relationships/header" Target="header25.xml"/><Relationship Id="rId204" Type="http://schemas.openxmlformats.org/officeDocument/2006/relationships/header" Target="header31.xml"/><Relationship Id="rId225" Type="http://schemas.openxmlformats.org/officeDocument/2006/relationships/header" Target="header41.xml"/><Relationship Id="rId246" Type="http://schemas.openxmlformats.org/officeDocument/2006/relationships/header" Target="header48.xml"/><Relationship Id="rId267" Type="http://schemas.openxmlformats.org/officeDocument/2006/relationships/image" Target="media/image124.png"/><Relationship Id="rId288" Type="http://schemas.openxmlformats.org/officeDocument/2006/relationships/footer" Target="footer54.xml"/><Relationship Id="rId106" Type="http://schemas.openxmlformats.org/officeDocument/2006/relationships/image" Target="media/image55.png"/><Relationship Id="rId127" Type="http://schemas.openxmlformats.org/officeDocument/2006/relationships/image" Target="media/image76.png"/><Relationship Id="rId10" Type="http://schemas.openxmlformats.org/officeDocument/2006/relationships/webSettings" Target="webSettings.xml"/><Relationship Id="rId31" Type="http://schemas.openxmlformats.org/officeDocument/2006/relationships/image" Target="media/image4.png"/><Relationship Id="rId52" Type="http://schemas.openxmlformats.org/officeDocument/2006/relationships/footer" Target="footer15.xml"/><Relationship Id="rId73" Type="http://schemas.openxmlformats.org/officeDocument/2006/relationships/image" Target="media/image22.png"/><Relationship Id="rId94" Type="http://schemas.openxmlformats.org/officeDocument/2006/relationships/image" Target="media/image43.png"/><Relationship Id="rId148" Type="http://schemas.openxmlformats.org/officeDocument/2006/relationships/header" Target="header21.xml"/><Relationship Id="rId169" Type="http://schemas.openxmlformats.org/officeDocument/2006/relationships/hyperlink" Target="http://dx.doi.org/10.1016/j.ecolind.2016.11.035" TargetMode="External"/><Relationship Id="rId4" Type="http://schemas.openxmlformats.org/officeDocument/2006/relationships/customXml" Target="../customXml/item3.xml"/><Relationship Id="rId180" Type="http://schemas.openxmlformats.org/officeDocument/2006/relationships/image" Target="media/image92.emf"/><Relationship Id="rId215" Type="http://schemas.openxmlformats.org/officeDocument/2006/relationships/header" Target="header36.xml"/><Relationship Id="rId236" Type="http://schemas.openxmlformats.org/officeDocument/2006/relationships/footer" Target="footer43.xml"/><Relationship Id="rId257" Type="http://schemas.openxmlformats.org/officeDocument/2006/relationships/image" Target="media/image114.png"/><Relationship Id="rId278" Type="http://schemas.openxmlformats.org/officeDocument/2006/relationships/image" Target="media/image135.png"/><Relationship Id="rId42" Type="http://schemas.openxmlformats.org/officeDocument/2006/relationships/header" Target="header10.xml"/><Relationship Id="rId84" Type="http://schemas.openxmlformats.org/officeDocument/2006/relationships/image" Target="media/image33.png"/><Relationship Id="rId138" Type="http://schemas.openxmlformats.org/officeDocument/2006/relationships/image" Target="media/image87.png"/><Relationship Id="rId191" Type="http://schemas.openxmlformats.org/officeDocument/2006/relationships/footer" Target="footer25.xml"/><Relationship Id="rId205" Type="http://schemas.openxmlformats.org/officeDocument/2006/relationships/footer" Target="footer31.xml"/><Relationship Id="rId247" Type="http://schemas.openxmlformats.org/officeDocument/2006/relationships/header" Target="header49.xml"/><Relationship Id="rId107" Type="http://schemas.openxmlformats.org/officeDocument/2006/relationships/image" Target="media/image56.png"/><Relationship Id="rId289" Type="http://schemas.openxmlformats.org/officeDocument/2006/relationships/header" Target="header54.xml"/><Relationship Id="rId11" Type="http://schemas.openxmlformats.org/officeDocument/2006/relationships/footnotes" Target="footnotes.xml"/><Relationship Id="rId53" Type="http://schemas.openxmlformats.org/officeDocument/2006/relationships/header" Target="header15.xml"/><Relationship Id="rId149" Type="http://schemas.openxmlformats.org/officeDocument/2006/relationships/header" Target="header22.xml"/><Relationship Id="rId95" Type="http://schemas.openxmlformats.org/officeDocument/2006/relationships/image" Target="media/image44.png"/><Relationship Id="rId160" Type="http://schemas.openxmlformats.org/officeDocument/2006/relationships/hyperlink" Target="https://doi.org/10.3389/fmars.2019.00317(317" TargetMode="External"/><Relationship Id="rId216" Type="http://schemas.openxmlformats.org/officeDocument/2006/relationships/header" Target="header37.xml"/><Relationship Id="rId258" Type="http://schemas.openxmlformats.org/officeDocument/2006/relationships/image" Target="media/image115.png"/><Relationship Id="rId22" Type="http://schemas.openxmlformats.org/officeDocument/2006/relationships/header" Target="header3.xml"/><Relationship Id="rId64" Type="http://schemas.openxmlformats.org/officeDocument/2006/relationships/image" Target="media/image13.png"/><Relationship Id="rId118" Type="http://schemas.openxmlformats.org/officeDocument/2006/relationships/image" Target="media/image67.png"/><Relationship Id="rId171" Type="http://schemas.openxmlformats.org/officeDocument/2006/relationships/hyperlink" Target="http://dx.doi.org/10.1016/j.marenvres.2014.03.006" TargetMode="External"/><Relationship Id="rId227" Type="http://schemas.openxmlformats.org/officeDocument/2006/relationships/image" Target="media/image103.wmf"/><Relationship Id="rId269" Type="http://schemas.openxmlformats.org/officeDocument/2006/relationships/image" Target="media/image126.png"/><Relationship Id="rId33" Type="http://schemas.openxmlformats.org/officeDocument/2006/relationships/image" Target="media/image5.png"/><Relationship Id="rId129" Type="http://schemas.openxmlformats.org/officeDocument/2006/relationships/image" Target="media/image78.png"/><Relationship Id="rId280" Type="http://schemas.openxmlformats.org/officeDocument/2006/relationships/image" Target="media/image1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8ccc4631-9afc-4718-b120-5e2e37a03cc7">PROJ-1577287649-507</_dlc_DocId>
    <_dlc_DocIdUrl xmlns="8ccc4631-9afc-4718-b120-5e2e37a03cc7">
      <Url>http://thedock.gbrmpa.gov.au/sites/Projects/P000056/_layouts/DocIdRedir.aspx?ID=PROJ-1577287649-507</Url>
      <Description>PROJ-1577287649-507</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BRMPA Document" ma:contentTypeID="0x010100441936E5D27A4AF2935B3316DA024CF20099EC44274A21C14AB4E4B4AC8EB06ABC" ma:contentTypeVersion="12" ma:contentTypeDescription="" ma:contentTypeScope="" ma:versionID="cb928c3fc78f97505e2498ef003fd0b1">
  <xsd:schema xmlns:xsd="http://www.w3.org/2001/XMLSchema" xmlns:xs="http://www.w3.org/2001/XMLSchema" xmlns:p="http://schemas.microsoft.com/office/2006/metadata/properties" xmlns:ns2="8ccc4631-9afc-4718-b120-5e2e37a03cc7" xmlns:ns4="http://schemas.microsoft.com/sharepoint/v4" targetNamespace="http://schemas.microsoft.com/office/2006/metadata/properties" ma:root="true" ma:fieldsID="877d40d6c9c6be36e15fb226d777995c" ns2:_="" ns4:_="">
    <xsd:import namespace="8ccc4631-9afc-4718-b120-5e2e37a03cc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4:IconOverla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01CC7-A6FF-4016-A0A8-6B552A181B05}">
  <ds:schemaRefs>
    <ds:schemaRef ds:uri="http://purl.org/dc/elements/1.1/"/>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http://www.w3.org/XML/1998/namespace"/>
    <ds:schemaRef ds:uri="http://purl.org/dc/terms/"/>
    <ds:schemaRef ds:uri="http://schemas.microsoft.com/sharepoint/v4"/>
    <ds:schemaRef ds:uri="8ccc4631-9afc-4718-b120-5e2e37a03cc7"/>
  </ds:schemaRefs>
</ds:datastoreItem>
</file>

<file path=customXml/itemProps2.xml><?xml version="1.0" encoding="utf-8"?>
<ds:datastoreItem xmlns:ds="http://schemas.openxmlformats.org/officeDocument/2006/customXml" ds:itemID="{A83F4171-B284-477E-8F12-23E4499F4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c4631-9afc-4718-b120-5e2e37a03cc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DBAFE9-09F6-4D4A-A66F-B2E39A23850A}">
  <ds:schemaRefs>
    <ds:schemaRef ds:uri="http://schemas.microsoft.com/sharepoint/v3/contenttype/forms"/>
  </ds:schemaRefs>
</ds:datastoreItem>
</file>

<file path=customXml/itemProps4.xml><?xml version="1.0" encoding="utf-8"?>
<ds:datastoreItem xmlns:ds="http://schemas.openxmlformats.org/officeDocument/2006/customXml" ds:itemID="{2BECE341-2256-4A32-941B-6780EAA997EE}">
  <ds:schemaRefs>
    <ds:schemaRef ds:uri="http://schemas.microsoft.com/sharepoint/events"/>
  </ds:schemaRefs>
</ds:datastoreItem>
</file>

<file path=customXml/itemProps5.xml><?xml version="1.0" encoding="utf-8"?>
<ds:datastoreItem xmlns:ds="http://schemas.openxmlformats.org/officeDocument/2006/customXml" ds:itemID="{402C43EA-872C-4253-9817-8C178B02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94495</Words>
  <Characters>538623</Characters>
  <Application>Microsoft Office Word</Application>
  <DocSecurity>0</DocSecurity>
  <Lines>4488</Lines>
  <Paragraphs>1263</Paragraphs>
  <ScaleCrop>false</ScaleCrop>
  <HeadingPairs>
    <vt:vector size="2" baseType="variant">
      <vt:variant>
        <vt:lpstr>Title</vt:lpstr>
      </vt:variant>
      <vt:variant>
        <vt:i4>1</vt:i4>
      </vt:variant>
    </vt:vector>
  </HeadingPairs>
  <TitlesOfParts>
    <vt:vector size="1" baseType="lpstr">
      <vt:lpstr>Marine Monitoring Program Inshore seagrass 2018-19</vt:lpstr>
    </vt:vector>
  </TitlesOfParts>
  <Manager/>
  <Company/>
  <LinksUpToDate>false</LinksUpToDate>
  <CharactersWithSpaces>631855</CharactersWithSpaces>
  <SharedDoc>false</SharedDoc>
  <HLinks>
    <vt:vector size="4842" baseType="variant">
      <vt:variant>
        <vt:i4>4653067</vt:i4>
      </vt:variant>
      <vt:variant>
        <vt:i4>6818</vt:i4>
      </vt:variant>
      <vt:variant>
        <vt:i4>0</vt:i4>
      </vt:variant>
      <vt:variant>
        <vt:i4>5</vt:i4>
      </vt:variant>
      <vt:variant>
        <vt:lpwstr/>
      </vt:variant>
      <vt:variant>
        <vt:lpwstr>_ENREF_64</vt:lpwstr>
      </vt:variant>
      <vt:variant>
        <vt:i4>4653067</vt:i4>
      </vt:variant>
      <vt:variant>
        <vt:i4>6809</vt:i4>
      </vt:variant>
      <vt:variant>
        <vt:i4>0</vt:i4>
      </vt:variant>
      <vt:variant>
        <vt:i4>5</vt:i4>
      </vt:variant>
      <vt:variant>
        <vt:lpwstr/>
      </vt:variant>
      <vt:variant>
        <vt:lpwstr>_ENREF_64</vt:lpwstr>
      </vt:variant>
      <vt:variant>
        <vt:i4>4653067</vt:i4>
      </vt:variant>
      <vt:variant>
        <vt:i4>6797</vt:i4>
      </vt:variant>
      <vt:variant>
        <vt:i4>0</vt:i4>
      </vt:variant>
      <vt:variant>
        <vt:i4>5</vt:i4>
      </vt:variant>
      <vt:variant>
        <vt:lpwstr/>
      </vt:variant>
      <vt:variant>
        <vt:lpwstr>_ENREF_64</vt:lpwstr>
      </vt:variant>
      <vt:variant>
        <vt:i4>4653067</vt:i4>
      </vt:variant>
      <vt:variant>
        <vt:i4>6788</vt:i4>
      </vt:variant>
      <vt:variant>
        <vt:i4>0</vt:i4>
      </vt:variant>
      <vt:variant>
        <vt:i4>5</vt:i4>
      </vt:variant>
      <vt:variant>
        <vt:lpwstr/>
      </vt:variant>
      <vt:variant>
        <vt:lpwstr>_ENREF_64</vt:lpwstr>
      </vt:variant>
      <vt:variant>
        <vt:i4>4653067</vt:i4>
      </vt:variant>
      <vt:variant>
        <vt:i4>6776</vt:i4>
      </vt:variant>
      <vt:variant>
        <vt:i4>0</vt:i4>
      </vt:variant>
      <vt:variant>
        <vt:i4>5</vt:i4>
      </vt:variant>
      <vt:variant>
        <vt:lpwstr/>
      </vt:variant>
      <vt:variant>
        <vt:lpwstr>_ENREF_64</vt:lpwstr>
      </vt:variant>
      <vt:variant>
        <vt:i4>4653067</vt:i4>
      </vt:variant>
      <vt:variant>
        <vt:i4>6767</vt:i4>
      </vt:variant>
      <vt:variant>
        <vt:i4>0</vt:i4>
      </vt:variant>
      <vt:variant>
        <vt:i4>5</vt:i4>
      </vt:variant>
      <vt:variant>
        <vt:lpwstr/>
      </vt:variant>
      <vt:variant>
        <vt:lpwstr>_ENREF_64</vt:lpwstr>
      </vt:variant>
      <vt:variant>
        <vt:i4>4653067</vt:i4>
      </vt:variant>
      <vt:variant>
        <vt:i4>6758</vt:i4>
      </vt:variant>
      <vt:variant>
        <vt:i4>0</vt:i4>
      </vt:variant>
      <vt:variant>
        <vt:i4>5</vt:i4>
      </vt:variant>
      <vt:variant>
        <vt:lpwstr/>
      </vt:variant>
      <vt:variant>
        <vt:lpwstr>_ENREF_64</vt:lpwstr>
      </vt:variant>
      <vt:variant>
        <vt:i4>4653067</vt:i4>
      </vt:variant>
      <vt:variant>
        <vt:i4>6749</vt:i4>
      </vt:variant>
      <vt:variant>
        <vt:i4>0</vt:i4>
      </vt:variant>
      <vt:variant>
        <vt:i4>5</vt:i4>
      </vt:variant>
      <vt:variant>
        <vt:lpwstr/>
      </vt:variant>
      <vt:variant>
        <vt:lpwstr>_ENREF_64</vt:lpwstr>
      </vt:variant>
      <vt:variant>
        <vt:i4>4653067</vt:i4>
      </vt:variant>
      <vt:variant>
        <vt:i4>6740</vt:i4>
      </vt:variant>
      <vt:variant>
        <vt:i4>0</vt:i4>
      </vt:variant>
      <vt:variant>
        <vt:i4>5</vt:i4>
      </vt:variant>
      <vt:variant>
        <vt:lpwstr/>
      </vt:variant>
      <vt:variant>
        <vt:lpwstr>_ENREF_64</vt:lpwstr>
      </vt:variant>
      <vt:variant>
        <vt:i4>7340088</vt:i4>
      </vt:variant>
      <vt:variant>
        <vt:i4>6602</vt:i4>
      </vt:variant>
      <vt:variant>
        <vt:i4>0</vt:i4>
      </vt:variant>
      <vt:variant>
        <vt:i4>5</vt:i4>
      </vt:variant>
      <vt:variant>
        <vt:lpwstr/>
      </vt:variant>
      <vt:variant>
        <vt:lpwstr>_ENREF_130</vt:lpwstr>
      </vt:variant>
      <vt:variant>
        <vt:i4>7667771</vt:i4>
      </vt:variant>
      <vt:variant>
        <vt:i4>6569</vt:i4>
      </vt:variant>
      <vt:variant>
        <vt:i4>0</vt:i4>
      </vt:variant>
      <vt:variant>
        <vt:i4>5</vt:i4>
      </vt:variant>
      <vt:variant>
        <vt:lpwstr/>
      </vt:variant>
      <vt:variant>
        <vt:lpwstr>_ENREF_105</vt:lpwstr>
      </vt:variant>
      <vt:variant>
        <vt:i4>7340090</vt:i4>
      </vt:variant>
      <vt:variant>
        <vt:i4>6565</vt:i4>
      </vt:variant>
      <vt:variant>
        <vt:i4>0</vt:i4>
      </vt:variant>
      <vt:variant>
        <vt:i4>5</vt:i4>
      </vt:variant>
      <vt:variant>
        <vt:lpwstr/>
      </vt:variant>
      <vt:variant>
        <vt:lpwstr>_ENREF_110</vt:lpwstr>
      </vt:variant>
      <vt:variant>
        <vt:i4>4718603</vt:i4>
      </vt:variant>
      <vt:variant>
        <vt:i4>6562</vt:i4>
      </vt:variant>
      <vt:variant>
        <vt:i4>0</vt:i4>
      </vt:variant>
      <vt:variant>
        <vt:i4>5</vt:i4>
      </vt:variant>
      <vt:variant>
        <vt:lpwstr/>
      </vt:variant>
      <vt:variant>
        <vt:lpwstr>_ENREF_93</vt:lpwstr>
      </vt:variant>
      <vt:variant>
        <vt:i4>4194315</vt:i4>
      </vt:variant>
      <vt:variant>
        <vt:i4>6559</vt:i4>
      </vt:variant>
      <vt:variant>
        <vt:i4>0</vt:i4>
      </vt:variant>
      <vt:variant>
        <vt:i4>5</vt:i4>
      </vt:variant>
      <vt:variant>
        <vt:lpwstr/>
      </vt:variant>
      <vt:variant>
        <vt:lpwstr>_ENREF_10</vt:lpwstr>
      </vt:variant>
      <vt:variant>
        <vt:i4>7929914</vt:i4>
      </vt:variant>
      <vt:variant>
        <vt:i4>6551</vt:i4>
      </vt:variant>
      <vt:variant>
        <vt:i4>0</vt:i4>
      </vt:variant>
      <vt:variant>
        <vt:i4>5</vt:i4>
      </vt:variant>
      <vt:variant>
        <vt:lpwstr/>
      </vt:variant>
      <vt:variant>
        <vt:lpwstr>_ENREF_119</vt:lpwstr>
      </vt:variant>
      <vt:variant>
        <vt:i4>4325387</vt:i4>
      </vt:variant>
      <vt:variant>
        <vt:i4>6548</vt:i4>
      </vt:variant>
      <vt:variant>
        <vt:i4>0</vt:i4>
      </vt:variant>
      <vt:variant>
        <vt:i4>5</vt:i4>
      </vt:variant>
      <vt:variant>
        <vt:lpwstr/>
      </vt:variant>
      <vt:variant>
        <vt:lpwstr>_ENREF_3</vt:lpwstr>
      </vt:variant>
      <vt:variant>
        <vt:i4>7667770</vt:i4>
      </vt:variant>
      <vt:variant>
        <vt:i4>6460</vt:i4>
      </vt:variant>
      <vt:variant>
        <vt:i4>0</vt:i4>
      </vt:variant>
      <vt:variant>
        <vt:i4>5</vt:i4>
      </vt:variant>
      <vt:variant>
        <vt:lpwstr/>
      </vt:variant>
      <vt:variant>
        <vt:lpwstr>_ENREF_115</vt:lpwstr>
      </vt:variant>
      <vt:variant>
        <vt:i4>7602232</vt:i4>
      </vt:variant>
      <vt:variant>
        <vt:i4>6454</vt:i4>
      </vt:variant>
      <vt:variant>
        <vt:i4>0</vt:i4>
      </vt:variant>
      <vt:variant>
        <vt:i4>5</vt:i4>
      </vt:variant>
      <vt:variant>
        <vt:lpwstr/>
      </vt:variant>
      <vt:variant>
        <vt:lpwstr>_ENREF_237</vt:lpwstr>
      </vt:variant>
      <vt:variant>
        <vt:i4>4587531</vt:i4>
      </vt:variant>
      <vt:variant>
        <vt:i4>6448</vt:i4>
      </vt:variant>
      <vt:variant>
        <vt:i4>0</vt:i4>
      </vt:variant>
      <vt:variant>
        <vt:i4>5</vt:i4>
      </vt:variant>
      <vt:variant>
        <vt:lpwstr/>
      </vt:variant>
      <vt:variant>
        <vt:lpwstr>_ENREF_74</vt:lpwstr>
      </vt:variant>
      <vt:variant>
        <vt:i4>4784139</vt:i4>
      </vt:variant>
      <vt:variant>
        <vt:i4>6442</vt:i4>
      </vt:variant>
      <vt:variant>
        <vt:i4>0</vt:i4>
      </vt:variant>
      <vt:variant>
        <vt:i4>5</vt:i4>
      </vt:variant>
      <vt:variant>
        <vt:lpwstr/>
      </vt:variant>
      <vt:variant>
        <vt:lpwstr>_ENREF_85</vt:lpwstr>
      </vt:variant>
      <vt:variant>
        <vt:i4>4521995</vt:i4>
      </vt:variant>
      <vt:variant>
        <vt:i4>6436</vt:i4>
      </vt:variant>
      <vt:variant>
        <vt:i4>0</vt:i4>
      </vt:variant>
      <vt:variant>
        <vt:i4>5</vt:i4>
      </vt:variant>
      <vt:variant>
        <vt:lpwstr/>
      </vt:variant>
      <vt:variant>
        <vt:lpwstr>_ENREF_42</vt:lpwstr>
      </vt:variant>
      <vt:variant>
        <vt:i4>7536696</vt:i4>
      </vt:variant>
      <vt:variant>
        <vt:i4>6430</vt:i4>
      </vt:variant>
      <vt:variant>
        <vt:i4>0</vt:i4>
      </vt:variant>
      <vt:variant>
        <vt:i4>5</vt:i4>
      </vt:variant>
      <vt:variant>
        <vt:lpwstr/>
      </vt:variant>
      <vt:variant>
        <vt:lpwstr>_ENREF_230</vt:lpwstr>
      </vt:variant>
      <vt:variant>
        <vt:i4>7340090</vt:i4>
      </vt:variant>
      <vt:variant>
        <vt:i4>6424</vt:i4>
      </vt:variant>
      <vt:variant>
        <vt:i4>0</vt:i4>
      </vt:variant>
      <vt:variant>
        <vt:i4>5</vt:i4>
      </vt:variant>
      <vt:variant>
        <vt:lpwstr/>
      </vt:variant>
      <vt:variant>
        <vt:lpwstr>_ENREF_213</vt:lpwstr>
      </vt:variant>
      <vt:variant>
        <vt:i4>4587531</vt:i4>
      </vt:variant>
      <vt:variant>
        <vt:i4>6418</vt:i4>
      </vt:variant>
      <vt:variant>
        <vt:i4>0</vt:i4>
      </vt:variant>
      <vt:variant>
        <vt:i4>5</vt:i4>
      </vt:variant>
      <vt:variant>
        <vt:lpwstr/>
      </vt:variant>
      <vt:variant>
        <vt:lpwstr>_ENREF_70</vt:lpwstr>
      </vt:variant>
      <vt:variant>
        <vt:i4>7995448</vt:i4>
      </vt:variant>
      <vt:variant>
        <vt:i4>6412</vt:i4>
      </vt:variant>
      <vt:variant>
        <vt:i4>0</vt:i4>
      </vt:variant>
      <vt:variant>
        <vt:i4>5</vt:i4>
      </vt:variant>
      <vt:variant>
        <vt:lpwstr/>
      </vt:variant>
      <vt:variant>
        <vt:lpwstr>_ENREF_239</vt:lpwstr>
      </vt:variant>
      <vt:variant>
        <vt:i4>7340095</vt:i4>
      </vt:variant>
      <vt:variant>
        <vt:i4>6406</vt:i4>
      </vt:variant>
      <vt:variant>
        <vt:i4>0</vt:i4>
      </vt:variant>
      <vt:variant>
        <vt:i4>5</vt:i4>
      </vt:variant>
      <vt:variant>
        <vt:lpwstr/>
      </vt:variant>
      <vt:variant>
        <vt:lpwstr>_ENREF_243</vt:lpwstr>
      </vt:variant>
      <vt:variant>
        <vt:i4>4194315</vt:i4>
      </vt:variant>
      <vt:variant>
        <vt:i4>6400</vt:i4>
      </vt:variant>
      <vt:variant>
        <vt:i4>0</vt:i4>
      </vt:variant>
      <vt:variant>
        <vt:i4>5</vt:i4>
      </vt:variant>
      <vt:variant>
        <vt:lpwstr/>
      </vt:variant>
      <vt:variant>
        <vt:lpwstr>_ENREF_1</vt:lpwstr>
      </vt:variant>
      <vt:variant>
        <vt:i4>4325387</vt:i4>
      </vt:variant>
      <vt:variant>
        <vt:i4>6394</vt:i4>
      </vt:variant>
      <vt:variant>
        <vt:i4>0</vt:i4>
      </vt:variant>
      <vt:variant>
        <vt:i4>5</vt:i4>
      </vt:variant>
      <vt:variant>
        <vt:lpwstr/>
      </vt:variant>
      <vt:variant>
        <vt:lpwstr>_ENREF_39</vt:lpwstr>
      </vt:variant>
      <vt:variant>
        <vt:i4>7995449</vt:i4>
      </vt:variant>
      <vt:variant>
        <vt:i4>6388</vt:i4>
      </vt:variant>
      <vt:variant>
        <vt:i4>0</vt:i4>
      </vt:variant>
      <vt:variant>
        <vt:i4>5</vt:i4>
      </vt:variant>
      <vt:variant>
        <vt:lpwstr/>
      </vt:variant>
      <vt:variant>
        <vt:lpwstr>_ENREF_229</vt:lpwstr>
      </vt:variant>
      <vt:variant>
        <vt:i4>7733306</vt:i4>
      </vt:variant>
      <vt:variant>
        <vt:i4>6382</vt:i4>
      </vt:variant>
      <vt:variant>
        <vt:i4>0</vt:i4>
      </vt:variant>
      <vt:variant>
        <vt:i4>5</vt:i4>
      </vt:variant>
      <vt:variant>
        <vt:lpwstr/>
      </vt:variant>
      <vt:variant>
        <vt:lpwstr>_ENREF_116</vt:lpwstr>
      </vt:variant>
      <vt:variant>
        <vt:i4>7405625</vt:i4>
      </vt:variant>
      <vt:variant>
        <vt:i4>6376</vt:i4>
      </vt:variant>
      <vt:variant>
        <vt:i4>0</vt:i4>
      </vt:variant>
      <vt:variant>
        <vt:i4>5</vt:i4>
      </vt:variant>
      <vt:variant>
        <vt:lpwstr/>
      </vt:variant>
      <vt:variant>
        <vt:lpwstr>_ENREF_121</vt:lpwstr>
      </vt:variant>
      <vt:variant>
        <vt:i4>7340092</vt:i4>
      </vt:variant>
      <vt:variant>
        <vt:i4>6370</vt:i4>
      </vt:variant>
      <vt:variant>
        <vt:i4>0</vt:i4>
      </vt:variant>
      <vt:variant>
        <vt:i4>5</vt:i4>
      </vt:variant>
      <vt:variant>
        <vt:lpwstr/>
      </vt:variant>
      <vt:variant>
        <vt:lpwstr>_ENREF_170</vt:lpwstr>
      </vt:variant>
      <vt:variant>
        <vt:i4>7995451</vt:i4>
      </vt:variant>
      <vt:variant>
        <vt:i4>6364</vt:i4>
      </vt:variant>
      <vt:variant>
        <vt:i4>0</vt:i4>
      </vt:variant>
      <vt:variant>
        <vt:i4>5</vt:i4>
      </vt:variant>
      <vt:variant>
        <vt:lpwstr/>
      </vt:variant>
      <vt:variant>
        <vt:lpwstr>_ENREF_209</vt:lpwstr>
      </vt:variant>
      <vt:variant>
        <vt:i4>4194315</vt:i4>
      </vt:variant>
      <vt:variant>
        <vt:i4>6358</vt:i4>
      </vt:variant>
      <vt:variant>
        <vt:i4>0</vt:i4>
      </vt:variant>
      <vt:variant>
        <vt:i4>5</vt:i4>
      </vt:variant>
      <vt:variant>
        <vt:lpwstr/>
      </vt:variant>
      <vt:variant>
        <vt:lpwstr>_ENREF_18</vt:lpwstr>
      </vt:variant>
      <vt:variant>
        <vt:i4>7667775</vt:i4>
      </vt:variant>
      <vt:variant>
        <vt:i4>6352</vt:i4>
      </vt:variant>
      <vt:variant>
        <vt:i4>0</vt:i4>
      </vt:variant>
      <vt:variant>
        <vt:i4>5</vt:i4>
      </vt:variant>
      <vt:variant>
        <vt:lpwstr/>
      </vt:variant>
      <vt:variant>
        <vt:lpwstr>_ENREF_145</vt:lpwstr>
      </vt:variant>
      <vt:variant>
        <vt:i4>4587531</vt:i4>
      </vt:variant>
      <vt:variant>
        <vt:i4>6346</vt:i4>
      </vt:variant>
      <vt:variant>
        <vt:i4>0</vt:i4>
      </vt:variant>
      <vt:variant>
        <vt:i4>5</vt:i4>
      </vt:variant>
      <vt:variant>
        <vt:lpwstr/>
      </vt:variant>
      <vt:variant>
        <vt:lpwstr>_ENREF_7</vt:lpwstr>
      </vt:variant>
      <vt:variant>
        <vt:i4>8060987</vt:i4>
      </vt:variant>
      <vt:variant>
        <vt:i4>6340</vt:i4>
      </vt:variant>
      <vt:variant>
        <vt:i4>0</vt:i4>
      </vt:variant>
      <vt:variant>
        <vt:i4>5</vt:i4>
      </vt:variant>
      <vt:variant>
        <vt:lpwstr/>
      </vt:variant>
      <vt:variant>
        <vt:lpwstr>_ENREF_208</vt:lpwstr>
      </vt:variant>
      <vt:variant>
        <vt:i4>7405627</vt:i4>
      </vt:variant>
      <vt:variant>
        <vt:i4>6334</vt:i4>
      </vt:variant>
      <vt:variant>
        <vt:i4>0</vt:i4>
      </vt:variant>
      <vt:variant>
        <vt:i4>5</vt:i4>
      </vt:variant>
      <vt:variant>
        <vt:lpwstr/>
      </vt:variant>
      <vt:variant>
        <vt:lpwstr>_ENREF_202</vt:lpwstr>
      </vt:variant>
      <vt:variant>
        <vt:i4>7536696</vt:i4>
      </vt:variant>
      <vt:variant>
        <vt:i4>6328</vt:i4>
      </vt:variant>
      <vt:variant>
        <vt:i4>0</vt:i4>
      </vt:variant>
      <vt:variant>
        <vt:i4>5</vt:i4>
      </vt:variant>
      <vt:variant>
        <vt:lpwstr/>
      </vt:variant>
      <vt:variant>
        <vt:lpwstr>_ENREF_133</vt:lpwstr>
      </vt:variant>
      <vt:variant>
        <vt:i4>4718603</vt:i4>
      </vt:variant>
      <vt:variant>
        <vt:i4>6322</vt:i4>
      </vt:variant>
      <vt:variant>
        <vt:i4>0</vt:i4>
      </vt:variant>
      <vt:variant>
        <vt:i4>5</vt:i4>
      </vt:variant>
      <vt:variant>
        <vt:lpwstr/>
      </vt:variant>
      <vt:variant>
        <vt:lpwstr>_ENREF_96</vt:lpwstr>
      </vt:variant>
      <vt:variant>
        <vt:i4>4784139</vt:i4>
      </vt:variant>
      <vt:variant>
        <vt:i4>6316</vt:i4>
      </vt:variant>
      <vt:variant>
        <vt:i4>0</vt:i4>
      </vt:variant>
      <vt:variant>
        <vt:i4>5</vt:i4>
      </vt:variant>
      <vt:variant>
        <vt:lpwstr/>
      </vt:variant>
      <vt:variant>
        <vt:lpwstr>_ENREF_8</vt:lpwstr>
      </vt:variant>
      <vt:variant>
        <vt:i4>7405630</vt:i4>
      </vt:variant>
      <vt:variant>
        <vt:i4>6310</vt:i4>
      </vt:variant>
      <vt:variant>
        <vt:i4>0</vt:i4>
      </vt:variant>
      <vt:variant>
        <vt:i4>5</vt:i4>
      </vt:variant>
      <vt:variant>
        <vt:lpwstr/>
      </vt:variant>
      <vt:variant>
        <vt:lpwstr>_ENREF_252</vt:lpwstr>
      </vt:variant>
      <vt:variant>
        <vt:i4>7602232</vt:i4>
      </vt:variant>
      <vt:variant>
        <vt:i4>6304</vt:i4>
      </vt:variant>
      <vt:variant>
        <vt:i4>0</vt:i4>
      </vt:variant>
      <vt:variant>
        <vt:i4>5</vt:i4>
      </vt:variant>
      <vt:variant>
        <vt:lpwstr/>
      </vt:variant>
      <vt:variant>
        <vt:lpwstr>_ENREF_134</vt:lpwstr>
      </vt:variant>
      <vt:variant>
        <vt:i4>7798834</vt:i4>
      </vt:variant>
      <vt:variant>
        <vt:i4>6298</vt:i4>
      </vt:variant>
      <vt:variant>
        <vt:i4>0</vt:i4>
      </vt:variant>
      <vt:variant>
        <vt:i4>5</vt:i4>
      </vt:variant>
      <vt:variant>
        <vt:lpwstr/>
      </vt:variant>
      <vt:variant>
        <vt:lpwstr>_ENREF_197</vt:lpwstr>
      </vt:variant>
      <vt:variant>
        <vt:i4>4587531</vt:i4>
      </vt:variant>
      <vt:variant>
        <vt:i4>6292</vt:i4>
      </vt:variant>
      <vt:variant>
        <vt:i4>0</vt:i4>
      </vt:variant>
      <vt:variant>
        <vt:i4>5</vt:i4>
      </vt:variant>
      <vt:variant>
        <vt:lpwstr/>
      </vt:variant>
      <vt:variant>
        <vt:lpwstr>_ENREF_76</vt:lpwstr>
      </vt:variant>
      <vt:variant>
        <vt:i4>4521995</vt:i4>
      </vt:variant>
      <vt:variant>
        <vt:i4>6286</vt:i4>
      </vt:variant>
      <vt:variant>
        <vt:i4>0</vt:i4>
      </vt:variant>
      <vt:variant>
        <vt:i4>5</vt:i4>
      </vt:variant>
      <vt:variant>
        <vt:lpwstr/>
      </vt:variant>
      <vt:variant>
        <vt:lpwstr>_ENREF_48</vt:lpwstr>
      </vt:variant>
      <vt:variant>
        <vt:i4>8060984</vt:i4>
      </vt:variant>
      <vt:variant>
        <vt:i4>6280</vt:i4>
      </vt:variant>
      <vt:variant>
        <vt:i4>0</vt:i4>
      </vt:variant>
      <vt:variant>
        <vt:i4>5</vt:i4>
      </vt:variant>
      <vt:variant>
        <vt:lpwstr/>
      </vt:variant>
      <vt:variant>
        <vt:lpwstr>_ENREF_238</vt:lpwstr>
      </vt:variant>
      <vt:variant>
        <vt:i4>7405626</vt:i4>
      </vt:variant>
      <vt:variant>
        <vt:i4>6274</vt:i4>
      </vt:variant>
      <vt:variant>
        <vt:i4>0</vt:i4>
      </vt:variant>
      <vt:variant>
        <vt:i4>5</vt:i4>
      </vt:variant>
      <vt:variant>
        <vt:lpwstr/>
      </vt:variant>
      <vt:variant>
        <vt:lpwstr>_ENREF_212</vt:lpwstr>
      </vt:variant>
      <vt:variant>
        <vt:i4>4194315</vt:i4>
      </vt:variant>
      <vt:variant>
        <vt:i4>6268</vt:i4>
      </vt:variant>
      <vt:variant>
        <vt:i4>0</vt:i4>
      </vt:variant>
      <vt:variant>
        <vt:i4>5</vt:i4>
      </vt:variant>
      <vt:variant>
        <vt:lpwstr/>
      </vt:variant>
      <vt:variant>
        <vt:lpwstr>_ENREF_11</vt:lpwstr>
      </vt:variant>
      <vt:variant>
        <vt:i4>7667768</vt:i4>
      </vt:variant>
      <vt:variant>
        <vt:i4>6262</vt:i4>
      </vt:variant>
      <vt:variant>
        <vt:i4>0</vt:i4>
      </vt:variant>
      <vt:variant>
        <vt:i4>5</vt:i4>
      </vt:variant>
      <vt:variant>
        <vt:lpwstr/>
      </vt:variant>
      <vt:variant>
        <vt:lpwstr>_ENREF_135</vt:lpwstr>
      </vt:variant>
      <vt:variant>
        <vt:i4>7667773</vt:i4>
      </vt:variant>
      <vt:variant>
        <vt:i4>6256</vt:i4>
      </vt:variant>
      <vt:variant>
        <vt:i4>0</vt:i4>
      </vt:variant>
      <vt:variant>
        <vt:i4>5</vt:i4>
      </vt:variant>
      <vt:variant>
        <vt:lpwstr/>
      </vt:variant>
      <vt:variant>
        <vt:lpwstr>_ENREF_266</vt:lpwstr>
      </vt:variant>
      <vt:variant>
        <vt:i4>7733304</vt:i4>
      </vt:variant>
      <vt:variant>
        <vt:i4>6250</vt:i4>
      </vt:variant>
      <vt:variant>
        <vt:i4>0</vt:i4>
      </vt:variant>
      <vt:variant>
        <vt:i4>5</vt:i4>
      </vt:variant>
      <vt:variant>
        <vt:lpwstr/>
      </vt:variant>
      <vt:variant>
        <vt:lpwstr>_ENREF_136</vt:lpwstr>
      </vt:variant>
      <vt:variant>
        <vt:i4>7471162</vt:i4>
      </vt:variant>
      <vt:variant>
        <vt:i4>6244</vt:i4>
      </vt:variant>
      <vt:variant>
        <vt:i4>0</vt:i4>
      </vt:variant>
      <vt:variant>
        <vt:i4>5</vt:i4>
      </vt:variant>
      <vt:variant>
        <vt:lpwstr/>
      </vt:variant>
      <vt:variant>
        <vt:lpwstr>_ENREF_211</vt:lpwstr>
      </vt:variant>
      <vt:variant>
        <vt:i4>4194315</vt:i4>
      </vt:variant>
      <vt:variant>
        <vt:i4>6238</vt:i4>
      </vt:variant>
      <vt:variant>
        <vt:i4>0</vt:i4>
      </vt:variant>
      <vt:variant>
        <vt:i4>5</vt:i4>
      </vt:variant>
      <vt:variant>
        <vt:lpwstr/>
      </vt:variant>
      <vt:variant>
        <vt:lpwstr>_ENREF_15</vt:lpwstr>
      </vt:variant>
      <vt:variant>
        <vt:i4>4784139</vt:i4>
      </vt:variant>
      <vt:variant>
        <vt:i4>6232</vt:i4>
      </vt:variant>
      <vt:variant>
        <vt:i4>0</vt:i4>
      </vt:variant>
      <vt:variant>
        <vt:i4>5</vt:i4>
      </vt:variant>
      <vt:variant>
        <vt:lpwstr/>
      </vt:variant>
      <vt:variant>
        <vt:lpwstr>_ENREF_83</vt:lpwstr>
      </vt:variant>
      <vt:variant>
        <vt:i4>7340088</vt:i4>
      </vt:variant>
      <vt:variant>
        <vt:i4>6226</vt:i4>
      </vt:variant>
      <vt:variant>
        <vt:i4>0</vt:i4>
      </vt:variant>
      <vt:variant>
        <vt:i4>5</vt:i4>
      </vt:variant>
      <vt:variant>
        <vt:lpwstr/>
      </vt:variant>
      <vt:variant>
        <vt:lpwstr>_ENREF_233</vt:lpwstr>
      </vt:variant>
      <vt:variant>
        <vt:i4>7471167</vt:i4>
      </vt:variant>
      <vt:variant>
        <vt:i4>6220</vt:i4>
      </vt:variant>
      <vt:variant>
        <vt:i4>0</vt:i4>
      </vt:variant>
      <vt:variant>
        <vt:i4>5</vt:i4>
      </vt:variant>
      <vt:variant>
        <vt:lpwstr/>
      </vt:variant>
      <vt:variant>
        <vt:lpwstr>_ENREF_241</vt:lpwstr>
      </vt:variant>
      <vt:variant>
        <vt:i4>7405624</vt:i4>
      </vt:variant>
      <vt:variant>
        <vt:i4>6214</vt:i4>
      </vt:variant>
      <vt:variant>
        <vt:i4>0</vt:i4>
      </vt:variant>
      <vt:variant>
        <vt:i4>5</vt:i4>
      </vt:variant>
      <vt:variant>
        <vt:lpwstr/>
      </vt:variant>
      <vt:variant>
        <vt:lpwstr>_ENREF_232</vt:lpwstr>
      </vt:variant>
      <vt:variant>
        <vt:i4>7471162</vt:i4>
      </vt:variant>
      <vt:variant>
        <vt:i4>6208</vt:i4>
      </vt:variant>
      <vt:variant>
        <vt:i4>0</vt:i4>
      </vt:variant>
      <vt:variant>
        <vt:i4>5</vt:i4>
      </vt:variant>
      <vt:variant>
        <vt:lpwstr/>
      </vt:variant>
      <vt:variant>
        <vt:lpwstr>_ENREF_112</vt:lpwstr>
      </vt:variant>
      <vt:variant>
        <vt:i4>7471160</vt:i4>
      </vt:variant>
      <vt:variant>
        <vt:i4>6202</vt:i4>
      </vt:variant>
      <vt:variant>
        <vt:i4>0</vt:i4>
      </vt:variant>
      <vt:variant>
        <vt:i4>5</vt:i4>
      </vt:variant>
      <vt:variant>
        <vt:lpwstr/>
      </vt:variant>
      <vt:variant>
        <vt:lpwstr>_ENREF_132</vt:lpwstr>
      </vt:variant>
      <vt:variant>
        <vt:i4>7864378</vt:i4>
      </vt:variant>
      <vt:variant>
        <vt:i4>6196</vt:i4>
      </vt:variant>
      <vt:variant>
        <vt:i4>0</vt:i4>
      </vt:variant>
      <vt:variant>
        <vt:i4>5</vt:i4>
      </vt:variant>
      <vt:variant>
        <vt:lpwstr/>
      </vt:variant>
      <vt:variant>
        <vt:lpwstr>_ENREF_118</vt:lpwstr>
      </vt:variant>
      <vt:variant>
        <vt:i4>7798846</vt:i4>
      </vt:variant>
      <vt:variant>
        <vt:i4>6190</vt:i4>
      </vt:variant>
      <vt:variant>
        <vt:i4>0</vt:i4>
      </vt:variant>
      <vt:variant>
        <vt:i4>5</vt:i4>
      </vt:variant>
      <vt:variant>
        <vt:lpwstr/>
      </vt:variant>
      <vt:variant>
        <vt:lpwstr>_ENREF_157</vt:lpwstr>
      </vt:variant>
      <vt:variant>
        <vt:i4>4194315</vt:i4>
      </vt:variant>
      <vt:variant>
        <vt:i4>6184</vt:i4>
      </vt:variant>
      <vt:variant>
        <vt:i4>0</vt:i4>
      </vt:variant>
      <vt:variant>
        <vt:i4>5</vt:i4>
      </vt:variant>
      <vt:variant>
        <vt:lpwstr/>
      </vt:variant>
      <vt:variant>
        <vt:lpwstr>_ENREF_12</vt:lpwstr>
      </vt:variant>
      <vt:variant>
        <vt:i4>7340089</vt:i4>
      </vt:variant>
      <vt:variant>
        <vt:i4>6178</vt:i4>
      </vt:variant>
      <vt:variant>
        <vt:i4>0</vt:i4>
      </vt:variant>
      <vt:variant>
        <vt:i4>5</vt:i4>
      </vt:variant>
      <vt:variant>
        <vt:lpwstr/>
      </vt:variant>
      <vt:variant>
        <vt:lpwstr>_ENREF_223</vt:lpwstr>
      </vt:variant>
      <vt:variant>
        <vt:i4>4718603</vt:i4>
      </vt:variant>
      <vt:variant>
        <vt:i4>6172</vt:i4>
      </vt:variant>
      <vt:variant>
        <vt:i4>0</vt:i4>
      </vt:variant>
      <vt:variant>
        <vt:i4>5</vt:i4>
      </vt:variant>
      <vt:variant>
        <vt:lpwstr/>
      </vt:variant>
      <vt:variant>
        <vt:lpwstr>_ENREF_99</vt:lpwstr>
      </vt:variant>
      <vt:variant>
        <vt:i4>7471165</vt:i4>
      </vt:variant>
      <vt:variant>
        <vt:i4>6166</vt:i4>
      </vt:variant>
      <vt:variant>
        <vt:i4>0</vt:i4>
      </vt:variant>
      <vt:variant>
        <vt:i4>5</vt:i4>
      </vt:variant>
      <vt:variant>
        <vt:lpwstr/>
      </vt:variant>
      <vt:variant>
        <vt:lpwstr>_ENREF_162</vt:lpwstr>
      </vt:variant>
      <vt:variant>
        <vt:i4>4521995</vt:i4>
      </vt:variant>
      <vt:variant>
        <vt:i4>6160</vt:i4>
      </vt:variant>
      <vt:variant>
        <vt:i4>0</vt:i4>
      </vt:variant>
      <vt:variant>
        <vt:i4>5</vt:i4>
      </vt:variant>
      <vt:variant>
        <vt:lpwstr/>
      </vt:variant>
      <vt:variant>
        <vt:lpwstr>_ENREF_44</vt:lpwstr>
      </vt:variant>
      <vt:variant>
        <vt:i4>4194315</vt:i4>
      </vt:variant>
      <vt:variant>
        <vt:i4>6154</vt:i4>
      </vt:variant>
      <vt:variant>
        <vt:i4>0</vt:i4>
      </vt:variant>
      <vt:variant>
        <vt:i4>5</vt:i4>
      </vt:variant>
      <vt:variant>
        <vt:lpwstr/>
      </vt:variant>
      <vt:variant>
        <vt:lpwstr>_ENREF_16</vt:lpwstr>
      </vt:variant>
      <vt:variant>
        <vt:i4>7798847</vt:i4>
      </vt:variant>
      <vt:variant>
        <vt:i4>6148</vt:i4>
      </vt:variant>
      <vt:variant>
        <vt:i4>0</vt:i4>
      </vt:variant>
      <vt:variant>
        <vt:i4>5</vt:i4>
      </vt:variant>
      <vt:variant>
        <vt:lpwstr/>
      </vt:variant>
      <vt:variant>
        <vt:lpwstr>_ENREF_244</vt:lpwstr>
      </vt:variant>
      <vt:variant>
        <vt:i4>7536699</vt:i4>
      </vt:variant>
      <vt:variant>
        <vt:i4>6142</vt:i4>
      </vt:variant>
      <vt:variant>
        <vt:i4>0</vt:i4>
      </vt:variant>
      <vt:variant>
        <vt:i4>5</vt:i4>
      </vt:variant>
      <vt:variant>
        <vt:lpwstr/>
      </vt:variant>
      <vt:variant>
        <vt:lpwstr>_ENREF_200</vt:lpwstr>
      </vt:variant>
      <vt:variant>
        <vt:i4>7536697</vt:i4>
      </vt:variant>
      <vt:variant>
        <vt:i4>6136</vt:i4>
      </vt:variant>
      <vt:variant>
        <vt:i4>0</vt:i4>
      </vt:variant>
      <vt:variant>
        <vt:i4>5</vt:i4>
      </vt:variant>
      <vt:variant>
        <vt:lpwstr/>
      </vt:variant>
      <vt:variant>
        <vt:lpwstr>_ENREF_123</vt:lpwstr>
      </vt:variant>
      <vt:variant>
        <vt:i4>7864370</vt:i4>
      </vt:variant>
      <vt:variant>
        <vt:i4>6130</vt:i4>
      </vt:variant>
      <vt:variant>
        <vt:i4>0</vt:i4>
      </vt:variant>
      <vt:variant>
        <vt:i4>5</vt:i4>
      </vt:variant>
      <vt:variant>
        <vt:lpwstr/>
      </vt:variant>
      <vt:variant>
        <vt:lpwstr>_ENREF_198</vt:lpwstr>
      </vt:variant>
      <vt:variant>
        <vt:i4>4718603</vt:i4>
      </vt:variant>
      <vt:variant>
        <vt:i4>6124</vt:i4>
      </vt:variant>
      <vt:variant>
        <vt:i4>0</vt:i4>
      </vt:variant>
      <vt:variant>
        <vt:i4>5</vt:i4>
      </vt:variant>
      <vt:variant>
        <vt:lpwstr/>
      </vt:variant>
      <vt:variant>
        <vt:lpwstr>_ENREF_97</vt:lpwstr>
      </vt:variant>
      <vt:variant>
        <vt:i4>7733305</vt:i4>
      </vt:variant>
      <vt:variant>
        <vt:i4>6118</vt:i4>
      </vt:variant>
      <vt:variant>
        <vt:i4>0</vt:i4>
      </vt:variant>
      <vt:variant>
        <vt:i4>5</vt:i4>
      </vt:variant>
      <vt:variant>
        <vt:lpwstr/>
      </vt:variant>
      <vt:variant>
        <vt:lpwstr>_ENREF_225</vt:lpwstr>
      </vt:variant>
      <vt:variant>
        <vt:i4>4194315</vt:i4>
      </vt:variant>
      <vt:variant>
        <vt:i4>6112</vt:i4>
      </vt:variant>
      <vt:variant>
        <vt:i4>0</vt:i4>
      </vt:variant>
      <vt:variant>
        <vt:i4>5</vt:i4>
      </vt:variant>
      <vt:variant>
        <vt:lpwstr/>
      </vt:variant>
      <vt:variant>
        <vt:lpwstr>_ENREF_19</vt:lpwstr>
      </vt:variant>
      <vt:variant>
        <vt:i4>7405618</vt:i4>
      </vt:variant>
      <vt:variant>
        <vt:i4>6106</vt:i4>
      </vt:variant>
      <vt:variant>
        <vt:i4>0</vt:i4>
      </vt:variant>
      <vt:variant>
        <vt:i4>5</vt:i4>
      </vt:variant>
      <vt:variant>
        <vt:lpwstr/>
      </vt:variant>
      <vt:variant>
        <vt:lpwstr>_ENREF_191</vt:lpwstr>
      </vt:variant>
      <vt:variant>
        <vt:i4>7733305</vt:i4>
      </vt:variant>
      <vt:variant>
        <vt:i4>6100</vt:i4>
      </vt:variant>
      <vt:variant>
        <vt:i4>0</vt:i4>
      </vt:variant>
      <vt:variant>
        <vt:i4>5</vt:i4>
      </vt:variant>
      <vt:variant>
        <vt:lpwstr/>
      </vt:variant>
      <vt:variant>
        <vt:lpwstr>_ENREF_126</vt:lpwstr>
      </vt:variant>
      <vt:variant>
        <vt:i4>7667769</vt:i4>
      </vt:variant>
      <vt:variant>
        <vt:i4>6094</vt:i4>
      </vt:variant>
      <vt:variant>
        <vt:i4>0</vt:i4>
      </vt:variant>
      <vt:variant>
        <vt:i4>5</vt:i4>
      </vt:variant>
      <vt:variant>
        <vt:lpwstr/>
      </vt:variant>
      <vt:variant>
        <vt:lpwstr>_ENREF_125</vt:lpwstr>
      </vt:variant>
      <vt:variant>
        <vt:i4>7602239</vt:i4>
      </vt:variant>
      <vt:variant>
        <vt:i4>6088</vt:i4>
      </vt:variant>
      <vt:variant>
        <vt:i4>0</vt:i4>
      </vt:variant>
      <vt:variant>
        <vt:i4>5</vt:i4>
      </vt:variant>
      <vt:variant>
        <vt:lpwstr/>
      </vt:variant>
      <vt:variant>
        <vt:lpwstr>_ENREF_247</vt:lpwstr>
      </vt:variant>
      <vt:variant>
        <vt:i4>4784139</vt:i4>
      </vt:variant>
      <vt:variant>
        <vt:i4>6028</vt:i4>
      </vt:variant>
      <vt:variant>
        <vt:i4>0</vt:i4>
      </vt:variant>
      <vt:variant>
        <vt:i4>5</vt:i4>
      </vt:variant>
      <vt:variant>
        <vt:lpwstr/>
      </vt:variant>
      <vt:variant>
        <vt:lpwstr>_ENREF_89</vt:lpwstr>
      </vt:variant>
      <vt:variant>
        <vt:i4>4653067</vt:i4>
      </vt:variant>
      <vt:variant>
        <vt:i4>6001</vt:i4>
      </vt:variant>
      <vt:variant>
        <vt:i4>0</vt:i4>
      </vt:variant>
      <vt:variant>
        <vt:i4>5</vt:i4>
      </vt:variant>
      <vt:variant>
        <vt:lpwstr/>
      </vt:variant>
      <vt:variant>
        <vt:lpwstr>_ENREF_6</vt:lpwstr>
      </vt:variant>
      <vt:variant>
        <vt:i4>4784139</vt:i4>
      </vt:variant>
      <vt:variant>
        <vt:i4>5992</vt:i4>
      </vt:variant>
      <vt:variant>
        <vt:i4>0</vt:i4>
      </vt:variant>
      <vt:variant>
        <vt:i4>5</vt:i4>
      </vt:variant>
      <vt:variant>
        <vt:lpwstr/>
      </vt:variant>
      <vt:variant>
        <vt:lpwstr>_ENREF_88</vt:lpwstr>
      </vt:variant>
      <vt:variant>
        <vt:i4>4521995</vt:i4>
      </vt:variant>
      <vt:variant>
        <vt:i4>5986</vt:i4>
      </vt:variant>
      <vt:variant>
        <vt:i4>0</vt:i4>
      </vt:variant>
      <vt:variant>
        <vt:i4>5</vt:i4>
      </vt:variant>
      <vt:variant>
        <vt:lpwstr/>
      </vt:variant>
      <vt:variant>
        <vt:lpwstr>_ENREF_41</vt:lpwstr>
      </vt:variant>
      <vt:variant>
        <vt:i4>4390923</vt:i4>
      </vt:variant>
      <vt:variant>
        <vt:i4>5982</vt:i4>
      </vt:variant>
      <vt:variant>
        <vt:i4>0</vt:i4>
      </vt:variant>
      <vt:variant>
        <vt:i4>5</vt:i4>
      </vt:variant>
      <vt:variant>
        <vt:lpwstr/>
      </vt:variant>
      <vt:variant>
        <vt:lpwstr>_ENREF_26</vt:lpwstr>
      </vt:variant>
      <vt:variant>
        <vt:i4>4194315</vt:i4>
      </vt:variant>
      <vt:variant>
        <vt:i4>5979</vt:i4>
      </vt:variant>
      <vt:variant>
        <vt:i4>0</vt:i4>
      </vt:variant>
      <vt:variant>
        <vt:i4>5</vt:i4>
      </vt:variant>
      <vt:variant>
        <vt:lpwstr/>
      </vt:variant>
      <vt:variant>
        <vt:lpwstr>_ENREF_13</vt:lpwstr>
      </vt:variant>
      <vt:variant>
        <vt:i4>7471165</vt:i4>
      </vt:variant>
      <vt:variant>
        <vt:i4>5976</vt:i4>
      </vt:variant>
      <vt:variant>
        <vt:i4>0</vt:i4>
      </vt:variant>
      <vt:variant>
        <vt:i4>5</vt:i4>
      </vt:variant>
      <vt:variant>
        <vt:lpwstr/>
      </vt:variant>
      <vt:variant>
        <vt:lpwstr>_ENREF_261</vt:lpwstr>
      </vt:variant>
      <vt:variant>
        <vt:i4>7733309</vt:i4>
      </vt:variant>
      <vt:variant>
        <vt:i4>5973</vt:i4>
      </vt:variant>
      <vt:variant>
        <vt:i4>0</vt:i4>
      </vt:variant>
      <vt:variant>
        <vt:i4>5</vt:i4>
      </vt:variant>
      <vt:variant>
        <vt:lpwstr/>
      </vt:variant>
      <vt:variant>
        <vt:lpwstr>_ENREF_166</vt:lpwstr>
      </vt:variant>
      <vt:variant>
        <vt:i4>7929906</vt:i4>
      </vt:variant>
      <vt:variant>
        <vt:i4>5963</vt:i4>
      </vt:variant>
      <vt:variant>
        <vt:i4>0</vt:i4>
      </vt:variant>
      <vt:variant>
        <vt:i4>5</vt:i4>
      </vt:variant>
      <vt:variant>
        <vt:lpwstr/>
      </vt:variant>
      <vt:variant>
        <vt:lpwstr>_ENREF_199</vt:lpwstr>
      </vt:variant>
      <vt:variant>
        <vt:i4>4325387</vt:i4>
      </vt:variant>
      <vt:variant>
        <vt:i4>5957</vt:i4>
      </vt:variant>
      <vt:variant>
        <vt:i4>0</vt:i4>
      </vt:variant>
      <vt:variant>
        <vt:i4>5</vt:i4>
      </vt:variant>
      <vt:variant>
        <vt:lpwstr/>
      </vt:variant>
      <vt:variant>
        <vt:lpwstr>_ENREF_38</vt:lpwstr>
      </vt:variant>
      <vt:variant>
        <vt:i4>7536700</vt:i4>
      </vt:variant>
      <vt:variant>
        <vt:i4>5951</vt:i4>
      </vt:variant>
      <vt:variant>
        <vt:i4>0</vt:i4>
      </vt:variant>
      <vt:variant>
        <vt:i4>5</vt:i4>
      </vt:variant>
      <vt:variant>
        <vt:lpwstr/>
      </vt:variant>
      <vt:variant>
        <vt:lpwstr>_ENREF_173</vt:lpwstr>
      </vt:variant>
      <vt:variant>
        <vt:i4>7536691</vt:i4>
      </vt:variant>
      <vt:variant>
        <vt:i4>5941</vt:i4>
      </vt:variant>
      <vt:variant>
        <vt:i4>0</vt:i4>
      </vt:variant>
      <vt:variant>
        <vt:i4>5</vt:i4>
      </vt:variant>
      <vt:variant>
        <vt:lpwstr/>
      </vt:variant>
      <vt:variant>
        <vt:lpwstr>_ENREF_183</vt:lpwstr>
      </vt:variant>
      <vt:variant>
        <vt:i4>7602238</vt:i4>
      </vt:variant>
      <vt:variant>
        <vt:i4>5938</vt:i4>
      </vt:variant>
      <vt:variant>
        <vt:i4>0</vt:i4>
      </vt:variant>
      <vt:variant>
        <vt:i4>5</vt:i4>
      </vt:variant>
      <vt:variant>
        <vt:lpwstr/>
      </vt:variant>
      <vt:variant>
        <vt:lpwstr>_ENREF_154</vt:lpwstr>
      </vt:variant>
      <vt:variant>
        <vt:i4>7667763</vt:i4>
      </vt:variant>
      <vt:variant>
        <vt:i4>5935</vt:i4>
      </vt:variant>
      <vt:variant>
        <vt:i4>0</vt:i4>
      </vt:variant>
      <vt:variant>
        <vt:i4>5</vt:i4>
      </vt:variant>
      <vt:variant>
        <vt:lpwstr/>
      </vt:variant>
      <vt:variant>
        <vt:lpwstr>_ENREF_185</vt:lpwstr>
      </vt:variant>
      <vt:variant>
        <vt:i4>7340083</vt:i4>
      </vt:variant>
      <vt:variant>
        <vt:i4>5925</vt:i4>
      </vt:variant>
      <vt:variant>
        <vt:i4>0</vt:i4>
      </vt:variant>
      <vt:variant>
        <vt:i4>5</vt:i4>
      </vt:variant>
      <vt:variant>
        <vt:lpwstr/>
      </vt:variant>
      <vt:variant>
        <vt:lpwstr>_ENREF_180</vt:lpwstr>
      </vt:variant>
      <vt:variant>
        <vt:i4>3604542</vt:i4>
      </vt:variant>
      <vt:variant>
        <vt:i4>5916</vt:i4>
      </vt:variant>
      <vt:variant>
        <vt:i4>0</vt:i4>
      </vt:variant>
      <vt:variant>
        <vt:i4>5</vt:i4>
      </vt:variant>
      <vt:variant>
        <vt:lpwstr>http://www.nata.asn.au/</vt:lpwstr>
      </vt:variant>
      <vt:variant>
        <vt:lpwstr/>
      </vt:variant>
      <vt:variant>
        <vt:i4>7602236</vt:i4>
      </vt:variant>
      <vt:variant>
        <vt:i4>5901</vt:i4>
      </vt:variant>
      <vt:variant>
        <vt:i4>0</vt:i4>
      </vt:variant>
      <vt:variant>
        <vt:i4>5</vt:i4>
      </vt:variant>
      <vt:variant>
        <vt:lpwstr/>
      </vt:variant>
      <vt:variant>
        <vt:lpwstr>_ENREF_174</vt:lpwstr>
      </vt:variant>
      <vt:variant>
        <vt:i4>7536703</vt:i4>
      </vt:variant>
      <vt:variant>
        <vt:i4>5892</vt:i4>
      </vt:variant>
      <vt:variant>
        <vt:i4>0</vt:i4>
      </vt:variant>
      <vt:variant>
        <vt:i4>5</vt:i4>
      </vt:variant>
      <vt:variant>
        <vt:lpwstr/>
      </vt:variant>
      <vt:variant>
        <vt:lpwstr>_ENREF_143</vt:lpwstr>
      </vt:variant>
      <vt:variant>
        <vt:i4>7405628</vt:i4>
      </vt:variant>
      <vt:variant>
        <vt:i4>5886</vt:i4>
      </vt:variant>
      <vt:variant>
        <vt:i4>0</vt:i4>
      </vt:variant>
      <vt:variant>
        <vt:i4>5</vt:i4>
      </vt:variant>
      <vt:variant>
        <vt:lpwstr/>
      </vt:variant>
      <vt:variant>
        <vt:lpwstr>_ENREF_171</vt:lpwstr>
      </vt:variant>
      <vt:variant>
        <vt:i4>7929913</vt:i4>
      </vt:variant>
      <vt:variant>
        <vt:i4>5880</vt:i4>
      </vt:variant>
      <vt:variant>
        <vt:i4>0</vt:i4>
      </vt:variant>
      <vt:variant>
        <vt:i4>5</vt:i4>
      </vt:variant>
      <vt:variant>
        <vt:lpwstr/>
      </vt:variant>
      <vt:variant>
        <vt:lpwstr>_ENREF_129</vt:lpwstr>
      </vt:variant>
      <vt:variant>
        <vt:i4>7471155</vt:i4>
      </vt:variant>
      <vt:variant>
        <vt:i4>5874</vt:i4>
      </vt:variant>
      <vt:variant>
        <vt:i4>0</vt:i4>
      </vt:variant>
      <vt:variant>
        <vt:i4>5</vt:i4>
      </vt:variant>
      <vt:variant>
        <vt:lpwstr/>
      </vt:variant>
      <vt:variant>
        <vt:lpwstr>_ENREF_182</vt:lpwstr>
      </vt:variant>
      <vt:variant>
        <vt:i4>7602236</vt:i4>
      </vt:variant>
      <vt:variant>
        <vt:i4>5868</vt:i4>
      </vt:variant>
      <vt:variant>
        <vt:i4>0</vt:i4>
      </vt:variant>
      <vt:variant>
        <vt:i4>5</vt:i4>
      </vt:variant>
      <vt:variant>
        <vt:lpwstr/>
      </vt:variant>
      <vt:variant>
        <vt:lpwstr>_ENREF_174</vt:lpwstr>
      </vt:variant>
      <vt:variant>
        <vt:i4>7929917</vt:i4>
      </vt:variant>
      <vt:variant>
        <vt:i4>5859</vt:i4>
      </vt:variant>
      <vt:variant>
        <vt:i4>0</vt:i4>
      </vt:variant>
      <vt:variant>
        <vt:i4>5</vt:i4>
      </vt:variant>
      <vt:variant>
        <vt:lpwstr/>
      </vt:variant>
      <vt:variant>
        <vt:lpwstr>_ENREF_169</vt:lpwstr>
      </vt:variant>
      <vt:variant>
        <vt:i4>7340094</vt:i4>
      </vt:variant>
      <vt:variant>
        <vt:i4>5850</vt:i4>
      </vt:variant>
      <vt:variant>
        <vt:i4>0</vt:i4>
      </vt:variant>
      <vt:variant>
        <vt:i4>5</vt:i4>
      </vt:variant>
      <vt:variant>
        <vt:lpwstr/>
      </vt:variant>
      <vt:variant>
        <vt:lpwstr>_ENREF_253</vt:lpwstr>
      </vt:variant>
      <vt:variant>
        <vt:i4>7733308</vt:i4>
      </vt:variant>
      <vt:variant>
        <vt:i4>5844</vt:i4>
      </vt:variant>
      <vt:variant>
        <vt:i4>0</vt:i4>
      </vt:variant>
      <vt:variant>
        <vt:i4>5</vt:i4>
      </vt:variant>
      <vt:variant>
        <vt:lpwstr/>
      </vt:variant>
      <vt:variant>
        <vt:lpwstr>_ENREF_176</vt:lpwstr>
      </vt:variant>
      <vt:variant>
        <vt:i4>4653067</vt:i4>
      </vt:variant>
      <vt:variant>
        <vt:i4>5832</vt:i4>
      </vt:variant>
      <vt:variant>
        <vt:i4>0</vt:i4>
      </vt:variant>
      <vt:variant>
        <vt:i4>5</vt:i4>
      </vt:variant>
      <vt:variant>
        <vt:lpwstr/>
      </vt:variant>
      <vt:variant>
        <vt:lpwstr>_ENREF_64</vt:lpwstr>
      </vt:variant>
      <vt:variant>
        <vt:i4>7667771</vt:i4>
      </vt:variant>
      <vt:variant>
        <vt:i4>5709</vt:i4>
      </vt:variant>
      <vt:variant>
        <vt:i4>0</vt:i4>
      </vt:variant>
      <vt:variant>
        <vt:i4>5</vt:i4>
      </vt:variant>
      <vt:variant>
        <vt:lpwstr/>
      </vt:variant>
      <vt:variant>
        <vt:lpwstr>_ENREF_105</vt:lpwstr>
      </vt:variant>
      <vt:variant>
        <vt:i4>7340090</vt:i4>
      </vt:variant>
      <vt:variant>
        <vt:i4>5705</vt:i4>
      </vt:variant>
      <vt:variant>
        <vt:i4>0</vt:i4>
      </vt:variant>
      <vt:variant>
        <vt:i4>5</vt:i4>
      </vt:variant>
      <vt:variant>
        <vt:lpwstr/>
      </vt:variant>
      <vt:variant>
        <vt:lpwstr>_ENREF_110</vt:lpwstr>
      </vt:variant>
      <vt:variant>
        <vt:i4>4718603</vt:i4>
      </vt:variant>
      <vt:variant>
        <vt:i4>5702</vt:i4>
      </vt:variant>
      <vt:variant>
        <vt:i4>0</vt:i4>
      </vt:variant>
      <vt:variant>
        <vt:i4>5</vt:i4>
      </vt:variant>
      <vt:variant>
        <vt:lpwstr/>
      </vt:variant>
      <vt:variant>
        <vt:lpwstr>_ENREF_93</vt:lpwstr>
      </vt:variant>
      <vt:variant>
        <vt:i4>4194315</vt:i4>
      </vt:variant>
      <vt:variant>
        <vt:i4>5699</vt:i4>
      </vt:variant>
      <vt:variant>
        <vt:i4>0</vt:i4>
      </vt:variant>
      <vt:variant>
        <vt:i4>5</vt:i4>
      </vt:variant>
      <vt:variant>
        <vt:lpwstr/>
      </vt:variant>
      <vt:variant>
        <vt:lpwstr>_ENREF_10</vt:lpwstr>
      </vt:variant>
      <vt:variant>
        <vt:i4>7929914</vt:i4>
      </vt:variant>
      <vt:variant>
        <vt:i4>5691</vt:i4>
      </vt:variant>
      <vt:variant>
        <vt:i4>0</vt:i4>
      </vt:variant>
      <vt:variant>
        <vt:i4>5</vt:i4>
      </vt:variant>
      <vt:variant>
        <vt:lpwstr/>
      </vt:variant>
      <vt:variant>
        <vt:lpwstr>_ENREF_119</vt:lpwstr>
      </vt:variant>
      <vt:variant>
        <vt:i4>4325387</vt:i4>
      </vt:variant>
      <vt:variant>
        <vt:i4>5688</vt:i4>
      </vt:variant>
      <vt:variant>
        <vt:i4>0</vt:i4>
      </vt:variant>
      <vt:variant>
        <vt:i4>5</vt:i4>
      </vt:variant>
      <vt:variant>
        <vt:lpwstr/>
      </vt:variant>
      <vt:variant>
        <vt:lpwstr>_ENREF_3</vt:lpwstr>
      </vt:variant>
      <vt:variant>
        <vt:i4>7733308</vt:i4>
      </vt:variant>
      <vt:variant>
        <vt:i4>5627</vt:i4>
      </vt:variant>
      <vt:variant>
        <vt:i4>0</vt:i4>
      </vt:variant>
      <vt:variant>
        <vt:i4>5</vt:i4>
      </vt:variant>
      <vt:variant>
        <vt:lpwstr/>
      </vt:variant>
      <vt:variant>
        <vt:lpwstr>_ENREF_176</vt:lpwstr>
      </vt:variant>
      <vt:variant>
        <vt:i4>7864371</vt:i4>
      </vt:variant>
      <vt:variant>
        <vt:i4>5615</vt:i4>
      </vt:variant>
      <vt:variant>
        <vt:i4>0</vt:i4>
      </vt:variant>
      <vt:variant>
        <vt:i4>5</vt:i4>
      </vt:variant>
      <vt:variant>
        <vt:lpwstr/>
      </vt:variant>
      <vt:variant>
        <vt:lpwstr>_ENREF_188</vt:lpwstr>
      </vt:variant>
      <vt:variant>
        <vt:i4>7864371</vt:i4>
      </vt:variant>
      <vt:variant>
        <vt:i4>5609</vt:i4>
      </vt:variant>
      <vt:variant>
        <vt:i4>0</vt:i4>
      </vt:variant>
      <vt:variant>
        <vt:i4>5</vt:i4>
      </vt:variant>
      <vt:variant>
        <vt:lpwstr/>
      </vt:variant>
      <vt:variant>
        <vt:lpwstr>_ENREF_188</vt:lpwstr>
      </vt:variant>
      <vt:variant>
        <vt:i4>4521995</vt:i4>
      </vt:variant>
      <vt:variant>
        <vt:i4>5603</vt:i4>
      </vt:variant>
      <vt:variant>
        <vt:i4>0</vt:i4>
      </vt:variant>
      <vt:variant>
        <vt:i4>5</vt:i4>
      </vt:variant>
      <vt:variant>
        <vt:lpwstr/>
      </vt:variant>
      <vt:variant>
        <vt:lpwstr>_ENREF_47</vt:lpwstr>
      </vt:variant>
      <vt:variant>
        <vt:i4>7864371</vt:i4>
      </vt:variant>
      <vt:variant>
        <vt:i4>5597</vt:i4>
      </vt:variant>
      <vt:variant>
        <vt:i4>0</vt:i4>
      </vt:variant>
      <vt:variant>
        <vt:i4>5</vt:i4>
      </vt:variant>
      <vt:variant>
        <vt:lpwstr/>
      </vt:variant>
      <vt:variant>
        <vt:lpwstr>_ENREF_188</vt:lpwstr>
      </vt:variant>
      <vt:variant>
        <vt:i4>7602234</vt:i4>
      </vt:variant>
      <vt:variant>
        <vt:i4>5591</vt:i4>
      </vt:variant>
      <vt:variant>
        <vt:i4>0</vt:i4>
      </vt:variant>
      <vt:variant>
        <vt:i4>5</vt:i4>
      </vt:variant>
      <vt:variant>
        <vt:lpwstr/>
      </vt:variant>
      <vt:variant>
        <vt:lpwstr>_ENREF_217</vt:lpwstr>
      </vt:variant>
      <vt:variant>
        <vt:i4>7405630</vt:i4>
      </vt:variant>
      <vt:variant>
        <vt:i4>5585</vt:i4>
      </vt:variant>
      <vt:variant>
        <vt:i4>0</vt:i4>
      </vt:variant>
      <vt:variant>
        <vt:i4>5</vt:i4>
      </vt:variant>
      <vt:variant>
        <vt:lpwstr/>
      </vt:variant>
      <vt:variant>
        <vt:lpwstr>_ENREF_151</vt:lpwstr>
      </vt:variant>
      <vt:variant>
        <vt:i4>7405627</vt:i4>
      </vt:variant>
      <vt:variant>
        <vt:i4>5579</vt:i4>
      </vt:variant>
      <vt:variant>
        <vt:i4>0</vt:i4>
      </vt:variant>
      <vt:variant>
        <vt:i4>5</vt:i4>
      </vt:variant>
      <vt:variant>
        <vt:lpwstr/>
      </vt:variant>
      <vt:variant>
        <vt:lpwstr>_ENREF_101</vt:lpwstr>
      </vt:variant>
      <vt:variant>
        <vt:i4>4718603</vt:i4>
      </vt:variant>
      <vt:variant>
        <vt:i4>5573</vt:i4>
      </vt:variant>
      <vt:variant>
        <vt:i4>0</vt:i4>
      </vt:variant>
      <vt:variant>
        <vt:i4>5</vt:i4>
      </vt:variant>
      <vt:variant>
        <vt:lpwstr/>
      </vt:variant>
      <vt:variant>
        <vt:lpwstr>_ENREF_91</vt:lpwstr>
      </vt:variant>
      <vt:variant>
        <vt:i4>7733310</vt:i4>
      </vt:variant>
      <vt:variant>
        <vt:i4>5567</vt:i4>
      </vt:variant>
      <vt:variant>
        <vt:i4>0</vt:i4>
      </vt:variant>
      <vt:variant>
        <vt:i4>5</vt:i4>
      </vt:variant>
      <vt:variant>
        <vt:lpwstr/>
      </vt:variant>
      <vt:variant>
        <vt:lpwstr>_ENREF_255</vt:lpwstr>
      </vt:variant>
      <vt:variant>
        <vt:i4>4325387</vt:i4>
      </vt:variant>
      <vt:variant>
        <vt:i4>5561</vt:i4>
      </vt:variant>
      <vt:variant>
        <vt:i4>0</vt:i4>
      </vt:variant>
      <vt:variant>
        <vt:i4>5</vt:i4>
      </vt:variant>
      <vt:variant>
        <vt:lpwstr/>
      </vt:variant>
      <vt:variant>
        <vt:lpwstr>_ENREF_33</vt:lpwstr>
      </vt:variant>
      <vt:variant>
        <vt:i4>7602235</vt:i4>
      </vt:variant>
      <vt:variant>
        <vt:i4>5555</vt:i4>
      </vt:variant>
      <vt:variant>
        <vt:i4>0</vt:i4>
      </vt:variant>
      <vt:variant>
        <vt:i4>5</vt:i4>
      </vt:variant>
      <vt:variant>
        <vt:lpwstr/>
      </vt:variant>
      <vt:variant>
        <vt:lpwstr>_ENREF_104</vt:lpwstr>
      </vt:variant>
      <vt:variant>
        <vt:i4>7602235</vt:i4>
      </vt:variant>
      <vt:variant>
        <vt:i4>5549</vt:i4>
      </vt:variant>
      <vt:variant>
        <vt:i4>0</vt:i4>
      </vt:variant>
      <vt:variant>
        <vt:i4>5</vt:i4>
      </vt:variant>
      <vt:variant>
        <vt:lpwstr/>
      </vt:variant>
      <vt:variant>
        <vt:lpwstr>_ENREF_207</vt:lpwstr>
      </vt:variant>
      <vt:variant>
        <vt:i4>4325387</vt:i4>
      </vt:variant>
      <vt:variant>
        <vt:i4>5543</vt:i4>
      </vt:variant>
      <vt:variant>
        <vt:i4>0</vt:i4>
      </vt:variant>
      <vt:variant>
        <vt:i4>5</vt:i4>
      </vt:variant>
      <vt:variant>
        <vt:lpwstr/>
      </vt:variant>
      <vt:variant>
        <vt:lpwstr>_ENREF_32</vt:lpwstr>
      </vt:variant>
      <vt:variant>
        <vt:i4>4325387</vt:i4>
      </vt:variant>
      <vt:variant>
        <vt:i4>5534</vt:i4>
      </vt:variant>
      <vt:variant>
        <vt:i4>0</vt:i4>
      </vt:variant>
      <vt:variant>
        <vt:i4>5</vt:i4>
      </vt:variant>
      <vt:variant>
        <vt:lpwstr/>
      </vt:variant>
      <vt:variant>
        <vt:lpwstr>_ENREF_31</vt:lpwstr>
      </vt:variant>
      <vt:variant>
        <vt:i4>4653067</vt:i4>
      </vt:variant>
      <vt:variant>
        <vt:i4>5525</vt:i4>
      </vt:variant>
      <vt:variant>
        <vt:i4>0</vt:i4>
      </vt:variant>
      <vt:variant>
        <vt:i4>5</vt:i4>
      </vt:variant>
      <vt:variant>
        <vt:lpwstr/>
      </vt:variant>
      <vt:variant>
        <vt:lpwstr>_ENREF_66</vt:lpwstr>
      </vt:variant>
      <vt:variant>
        <vt:i4>4456459</vt:i4>
      </vt:variant>
      <vt:variant>
        <vt:i4>5504</vt:i4>
      </vt:variant>
      <vt:variant>
        <vt:i4>0</vt:i4>
      </vt:variant>
      <vt:variant>
        <vt:i4>5</vt:i4>
      </vt:variant>
      <vt:variant>
        <vt:lpwstr/>
      </vt:variant>
      <vt:variant>
        <vt:lpwstr>_ENREF_57</vt:lpwstr>
      </vt:variant>
      <vt:variant>
        <vt:i4>4325387</vt:i4>
      </vt:variant>
      <vt:variant>
        <vt:i4>5474</vt:i4>
      </vt:variant>
      <vt:variant>
        <vt:i4>0</vt:i4>
      </vt:variant>
      <vt:variant>
        <vt:i4>5</vt:i4>
      </vt:variant>
      <vt:variant>
        <vt:lpwstr/>
      </vt:variant>
      <vt:variant>
        <vt:lpwstr>_ENREF_39</vt:lpwstr>
      </vt:variant>
      <vt:variant>
        <vt:i4>7864382</vt:i4>
      </vt:variant>
      <vt:variant>
        <vt:i4>5462</vt:i4>
      </vt:variant>
      <vt:variant>
        <vt:i4>0</vt:i4>
      </vt:variant>
      <vt:variant>
        <vt:i4>5</vt:i4>
      </vt:variant>
      <vt:variant>
        <vt:lpwstr/>
      </vt:variant>
      <vt:variant>
        <vt:lpwstr>_ENREF_158</vt:lpwstr>
      </vt:variant>
      <vt:variant>
        <vt:i4>7667773</vt:i4>
      </vt:variant>
      <vt:variant>
        <vt:i4>5450</vt:i4>
      </vt:variant>
      <vt:variant>
        <vt:i4>0</vt:i4>
      </vt:variant>
      <vt:variant>
        <vt:i4>5</vt:i4>
      </vt:variant>
      <vt:variant>
        <vt:lpwstr/>
      </vt:variant>
      <vt:variant>
        <vt:lpwstr>_ENREF_165</vt:lpwstr>
      </vt:variant>
      <vt:variant>
        <vt:i4>7929914</vt:i4>
      </vt:variant>
      <vt:variant>
        <vt:i4>5389</vt:i4>
      </vt:variant>
      <vt:variant>
        <vt:i4>0</vt:i4>
      </vt:variant>
      <vt:variant>
        <vt:i4>5</vt:i4>
      </vt:variant>
      <vt:variant>
        <vt:lpwstr/>
      </vt:variant>
      <vt:variant>
        <vt:lpwstr>_ENREF_119</vt:lpwstr>
      </vt:variant>
      <vt:variant>
        <vt:i4>4325387</vt:i4>
      </vt:variant>
      <vt:variant>
        <vt:i4>5386</vt:i4>
      </vt:variant>
      <vt:variant>
        <vt:i4>0</vt:i4>
      </vt:variant>
      <vt:variant>
        <vt:i4>5</vt:i4>
      </vt:variant>
      <vt:variant>
        <vt:lpwstr/>
      </vt:variant>
      <vt:variant>
        <vt:lpwstr>_ENREF_3</vt:lpwstr>
      </vt:variant>
      <vt:variant>
        <vt:i4>4390923</vt:i4>
      </vt:variant>
      <vt:variant>
        <vt:i4>5340</vt:i4>
      </vt:variant>
      <vt:variant>
        <vt:i4>0</vt:i4>
      </vt:variant>
      <vt:variant>
        <vt:i4>5</vt:i4>
      </vt:variant>
      <vt:variant>
        <vt:lpwstr/>
      </vt:variant>
      <vt:variant>
        <vt:lpwstr>_ENREF_29</vt:lpwstr>
      </vt:variant>
      <vt:variant>
        <vt:i4>4390923</vt:i4>
      </vt:variant>
      <vt:variant>
        <vt:i4>5334</vt:i4>
      </vt:variant>
      <vt:variant>
        <vt:i4>0</vt:i4>
      </vt:variant>
      <vt:variant>
        <vt:i4>5</vt:i4>
      </vt:variant>
      <vt:variant>
        <vt:lpwstr/>
      </vt:variant>
      <vt:variant>
        <vt:lpwstr>_ENREF_29</vt:lpwstr>
      </vt:variant>
      <vt:variant>
        <vt:i4>4390923</vt:i4>
      </vt:variant>
      <vt:variant>
        <vt:i4>5328</vt:i4>
      </vt:variant>
      <vt:variant>
        <vt:i4>0</vt:i4>
      </vt:variant>
      <vt:variant>
        <vt:i4>5</vt:i4>
      </vt:variant>
      <vt:variant>
        <vt:lpwstr/>
      </vt:variant>
      <vt:variant>
        <vt:lpwstr>_ENREF_29</vt:lpwstr>
      </vt:variant>
      <vt:variant>
        <vt:i4>4390923</vt:i4>
      </vt:variant>
      <vt:variant>
        <vt:i4>5322</vt:i4>
      </vt:variant>
      <vt:variant>
        <vt:i4>0</vt:i4>
      </vt:variant>
      <vt:variant>
        <vt:i4>5</vt:i4>
      </vt:variant>
      <vt:variant>
        <vt:lpwstr/>
      </vt:variant>
      <vt:variant>
        <vt:lpwstr>_ENREF_29</vt:lpwstr>
      </vt:variant>
      <vt:variant>
        <vt:i4>4390923</vt:i4>
      </vt:variant>
      <vt:variant>
        <vt:i4>5316</vt:i4>
      </vt:variant>
      <vt:variant>
        <vt:i4>0</vt:i4>
      </vt:variant>
      <vt:variant>
        <vt:i4>5</vt:i4>
      </vt:variant>
      <vt:variant>
        <vt:lpwstr/>
      </vt:variant>
      <vt:variant>
        <vt:lpwstr>_ENREF_29</vt:lpwstr>
      </vt:variant>
      <vt:variant>
        <vt:i4>4521995</vt:i4>
      </vt:variant>
      <vt:variant>
        <vt:i4>5265</vt:i4>
      </vt:variant>
      <vt:variant>
        <vt:i4>0</vt:i4>
      </vt:variant>
      <vt:variant>
        <vt:i4>5</vt:i4>
      </vt:variant>
      <vt:variant>
        <vt:lpwstr/>
      </vt:variant>
      <vt:variant>
        <vt:lpwstr>_ENREF_48</vt:lpwstr>
      </vt:variant>
      <vt:variant>
        <vt:i4>4521995</vt:i4>
      </vt:variant>
      <vt:variant>
        <vt:i4>5259</vt:i4>
      </vt:variant>
      <vt:variant>
        <vt:i4>0</vt:i4>
      </vt:variant>
      <vt:variant>
        <vt:i4>5</vt:i4>
      </vt:variant>
      <vt:variant>
        <vt:lpwstr/>
      </vt:variant>
      <vt:variant>
        <vt:lpwstr>_ENREF_47</vt:lpwstr>
      </vt:variant>
      <vt:variant>
        <vt:i4>4521995</vt:i4>
      </vt:variant>
      <vt:variant>
        <vt:i4>5253</vt:i4>
      </vt:variant>
      <vt:variant>
        <vt:i4>0</vt:i4>
      </vt:variant>
      <vt:variant>
        <vt:i4>5</vt:i4>
      </vt:variant>
      <vt:variant>
        <vt:lpwstr/>
      </vt:variant>
      <vt:variant>
        <vt:lpwstr>_ENREF_47</vt:lpwstr>
      </vt:variant>
      <vt:variant>
        <vt:i4>7340082</vt:i4>
      </vt:variant>
      <vt:variant>
        <vt:i4>5247</vt:i4>
      </vt:variant>
      <vt:variant>
        <vt:i4>0</vt:i4>
      </vt:variant>
      <vt:variant>
        <vt:i4>5</vt:i4>
      </vt:variant>
      <vt:variant>
        <vt:lpwstr/>
      </vt:variant>
      <vt:variant>
        <vt:lpwstr>_ENREF_190</vt:lpwstr>
      </vt:variant>
      <vt:variant>
        <vt:i4>7602234</vt:i4>
      </vt:variant>
      <vt:variant>
        <vt:i4>5241</vt:i4>
      </vt:variant>
      <vt:variant>
        <vt:i4>0</vt:i4>
      </vt:variant>
      <vt:variant>
        <vt:i4>5</vt:i4>
      </vt:variant>
      <vt:variant>
        <vt:lpwstr/>
      </vt:variant>
      <vt:variant>
        <vt:lpwstr>_ENREF_217</vt:lpwstr>
      </vt:variant>
      <vt:variant>
        <vt:i4>4456459</vt:i4>
      </vt:variant>
      <vt:variant>
        <vt:i4>5235</vt:i4>
      </vt:variant>
      <vt:variant>
        <vt:i4>0</vt:i4>
      </vt:variant>
      <vt:variant>
        <vt:i4>5</vt:i4>
      </vt:variant>
      <vt:variant>
        <vt:lpwstr/>
      </vt:variant>
      <vt:variant>
        <vt:lpwstr>_ENREF_50</vt:lpwstr>
      </vt:variant>
      <vt:variant>
        <vt:i4>7471166</vt:i4>
      </vt:variant>
      <vt:variant>
        <vt:i4>5229</vt:i4>
      </vt:variant>
      <vt:variant>
        <vt:i4>0</vt:i4>
      </vt:variant>
      <vt:variant>
        <vt:i4>5</vt:i4>
      </vt:variant>
      <vt:variant>
        <vt:lpwstr/>
      </vt:variant>
      <vt:variant>
        <vt:lpwstr>_ENREF_152</vt:lpwstr>
      </vt:variant>
      <vt:variant>
        <vt:i4>4521995</vt:i4>
      </vt:variant>
      <vt:variant>
        <vt:i4>5223</vt:i4>
      </vt:variant>
      <vt:variant>
        <vt:i4>0</vt:i4>
      </vt:variant>
      <vt:variant>
        <vt:i4>5</vt:i4>
      </vt:variant>
      <vt:variant>
        <vt:lpwstr/>
      </vt:variant>
      <vt:variant>
        <vt:lpwstr>_ENREF_45</vt:lpwstr>
      </vt:variant>
      <vt:variant>
        <vt:i4>4653067</vt:i4>
      </vt:variant>
      <vt:variant>
        <vt:i4>5217</vt:i4>
      </vt:variant>
      <vt:variant>
        <vt:i4>0</vt:i4>
      </vt:variant>
      <vt:variant>
        <vt:i4>5</vt:i4>
      </vt:variant>
      <vt:variant>
        <vt:lpwstr/>
      </vt:variant>
      <vt:variant>
        <vt:lpwstr>_ENREF_67</vt:lpwstr>
      </vt:variant>
      <vt:variant>
        <vt:i4>4390923</vt:i4>
      </vt:variant>
      <vt:variant>
        <vt:i4>5205</vt:i4>
      </vt:variant>
      <vt:variant>
        <vt:i4>0</vt:i4>
      </vt:variant>
      <vt:variant>
        <vt:i4>5</vt:i4>
      </vt:variant>
      <vt:variant>
        <vt:lpwstr/>
      </vt:variant>
      <vt:variant>
        <vt:lpwstr>_ENREF_29</vt:lpwstr>
      </vt:variant>
      <vt:variant>
        <vt:i4>4456459</vt:i4>
      </vt:variant>
      <vt:variant>
        <vt:i4>5187</vt:i4>
      </vt:variant>
      <vt:variant>
        <vt:i4>0</vt:i4>
      </vt:variant>
      <vt:variant>
        <vt:i4>5</vt:i4>
      </vt:variant>
      <vt:variant>
        <vt:lpwstr/>
      </vt:variant>
      <vt:variant>
        <vt:lpwstr>_ENREF_57</vt:lpwstr>
      </vt:variant>
      <vt:variant>
        <vt:i4>4325387</vt:i4>
      </vt:variant>
      <vt:variant>
        <vt:i4>5157</vt:i4>
      </vt:variant>
      <vt:variant>
        <vt:i4>0</vt:i4>
      </vt:variant>
      <vt:variant>
        <vt:i4>5</vt:i4>
      </vt:variant>
      <vt:variant>
        <vt:lpwstr/>
      </vt:variant>
      <vt:variant>
        <vt:lpwstr>_ENREF_39</vt:lpwstr>
      </vt:variant>
      <vt:variant>
        <vt:i4>7667771</vt:i4>
      </vt:variant>
      <vt:variant>
        <vt:i4>5088</vt:i4>
      </vt:variant>
      <vt:variant>
        <vt:i4>0</vt:i4>
      </vt:variant>
      <vt:variant>
        <vt:i4>5</vt:i4>
      </vt:variant>
      <vt:variant>
        <vt:lpwstr/>
      </vt:variant>
      <vt:variant>
        <vt:lpwstr>_ENREF_105</vt:lpwstr>
      </vt:variant>
      <vt:variant>
        <vt:i4>7340090</vt:i4>
      </vt:variant>
      <vt:variant>
        <vt:i4>5084</vt:i4>
      </vt:variant>
      <vt:variant>
        <vt:i4>0</vt:i4>
      </vt:variant>
      <vt:variant>
        <vt:i4>5</vt:i4>
      </vt:variant>
      <vt:variant>
        <vt:lpwstr/>
      </vt:variant>
      <vt:variant>
        <vt:lpwstr>_ENREF_110</vt:lpwstr>
      </vt:variant>
      <vt:variant>
        <vt:i4>4718603</vt:i4>
      </vt:variant>
      <vt:variant>
        <vt:i4>5081</vt:i4>
      </vt:variant>
      <vt:variant>
        <vt:i4>0</vt:i4>
      </vt:variant>
      <vt:variant>
        <vt:i4>5</vt:i4>
      </vt:variant>
      <vt:variant>
        <vt:lpwstr/>
      </vt:variant>
      <vt:variant>
        <vt:lpwstr>_ENREF_93</vt:lpwstr>
      </vt:variant>
      <vt:variant>
        <vt:i4>4194315</vt:i4>
      </vt:variant>
      <vt:variant>
        <vt:i4>5078</vt:i4>
      </vt:variant>
      <vt:variant>
        <vt:i4>0</vt:i4>
      </vt:variant>
      <vt:variant>
        <vt:i4>5</vt:i4>
      </vt:variant>
      <vt:variant>
        <vt:lpwstr/>
      </vt:variant>
      <vt:variant>
        <vt:lpwstr>_ENREF_10</vt:lpwstr>
      </vt:variant>
      <vt:variant>
        <vt:i4>7929914</vt:i4>
      </vt:variant>
      <vt:variant>
        <vt:i4>5058</vt:i4>
      </vt:variant>
      <vt:variant>
        <vt:i4>0</vt:i4>
      </vt:variant>
      <vt:variant>
        <vt:i4>5</vt:i4>
      </vt:variant>
      <vt:variant>
        <vt:lpwstr/>
      </vt:variant>
      <vt:variant>
        <vt:lpwstr>_ENREF_119</vt:lpwstr>
      </vt:variant>
      <vt:variant>
        <vt:i4>4325387</vt:i4>
      </vt:variant>
      <vt:variant>
        <vt:i4>5055</vt:i4>
      </vt:variant>
      <vt:variant>
        <vt:i4>0</vt:i4>
      </vt:variant>
      <vt:variant>
        <vt:i4>5</vt:i4>
      </vt:variant>
      <vt:variant>
        <vt:lpwstr/>
      </vt:variant>
      <vt:variant>
        <vt:lpwstr>_ENREF_3</vt:lpwstr>
      </vt:variant>
      <vt:variant>
        <vt:i4>7798844</vt:i4>
      </vt:variant>
      <vt:variant>
        <vt:i4>4970</vt:i4>
      </vt:variant>
      <vt:variant>
        <vt:i4>0</vt:i4>
      </vt:variant>
      <vt:variant>
        <vt:i4>5</vt:i4>
      </vt:variant>
      <vt:variant>
        <vt:lpwstr/>
      </vt:variant>
      <vt:variant>
        <vt:lpwstr>_ENREF_177</vt:lpwstr>
      </vt:variant>
      <vt:variant>
        <vt:i4>4390923</vt:i4>
      </vt:variant>
      <vt:variant>
        <vt:i4>4949</vt:i4>
      </vt:variant>
      <vt:variant>
        <vt:i4>0</vt:i4>
      </vt:variant>
      <vt:variant>
        <vt:i4>5</vt:i4>
      </vt:variant>
      <vt:variant>
        <vt:lpwstr/>
      </vt:variant>
      <vt:variant>
        <vt:lpwstr>_ENREF_24</vt:lpwstr>
      </vt:variant>
      <vt:variant>
        <vt:i4>7929907</vt:i4>
      </vt:variant>
      <vt:variant>
        <vt:i4>4943</vt:i4>
      </vt:variant>
      <vt:variant>
        <vt:i4>0</vt:i4>
      </vt:variant>
      <vt:variant>
        <vt:i4>5</vt:i4>
      </vt:variant>
      <vt:variant>
        <vt:lpwstr/>
      </vt:variant>
      <vt:variant>
        <vt:lpwstr>_ENREF_189</vt:lpwstr>
      </vt:variant>
      <vt:variant>
        <vt:i4>7929907</vt:i4>
      </vt:variant>
      <vt:variant>
        <vt:i4>4937</vt:i4>
      </vt:variant>
      <vt:variant>
        <vt:i4>0</vt:i4>
      </vt:variant>
      <vt:variant>
        <vt:i4>5</vt:i4>
      </vt:variant>
      <vt:variant>
        <vt:lpwstr/>
      </vt:variant>
      <vt:variant>
        <vt:lpwstr>_ENREF_189</vt:lpwstr>
      </vt:variant>
      <vt:variant>
        <vt:i4>4521995</vt:i4>
      </vt:variant>
      <vt:variant>
        <vt:i4>4931</vt:i4>
      </vt:variant>
      <vt:variant>
        <vt:i4>0</vt:i4>
      </vt:variant>
      <vt:variant>
        <vt:i4>5</vt:i4>
      </vt:variant>
      <vt:variant>
        <vt:lpwstr/>
      </vt:variant>
      <vt:variant>
        <vt:lpwstr>_ENREF_40</vt:lpwstr>
      </vt:variant>
      <vt:variant>
        <vt:i4>7340082</vt:i4>
      </vt:variant>
      <vt:variant>
        <vt:i4>4925</vt:i4>
      </vt:variant>
      <vt:variant>
        <vt:i4>0</vt:i4>
      </vt:variant>
      <vt:variant>
        <vt:i4>5</vt:i4>
      </vt:variant>
      <vt:variant>
        <vt:lpwstr/>
      </vt:variant>
      <vt:variant>
        <vt:lpwstr>_ENREF_190</vt:lpwstr>
      </vt:variant>
      <vt:variant>
        <vt:i4>7536701</vt:i4>
      </vt:variant>
      <vt:variant>
        <vt:i4>4919</vt:i4>
      </vt:variant>
      <vt:variant>
        <vt:i4>0</vt:i4>
      </vt:variant>
      <vt:variant>
        <vt:i4>5</vt:i4>
      </vt:variant>
      <vt:variant>
        <vt:lpwstr/>
      </vt:variant>
      <vt:variant>
        <vt:lpwstr>_ENREF_163</vt:lpwstr>
      </vt:variant>
      <vt:variant>
        <vt:i4>4653067</vt:i4>
      </vt:variant>
      <vt:variant>
        <vt:i4>4910</vt:i4>
      </vt:variant>
      <vt:variant>
        <vt:i4>0</vt:i4>
      </vt:variant>
      <vt:variant>
        <vt:i4>5</vt:i4>
      </vt:variant>
      <vt:variant>
        <vt:lpwstr/>
      </vt:variant>
      <vt:variant>
        <vt:lpwstr>_ENREF_68</vt:lpwstr>
      </vt:variant>
      <vt:variant>
        <vt:i4>4653067</vt:i4>
      </vt:variant>
      <vt:variant>
        <vt:i4>4867</vt:i4>
      </vt:variant>
      <vt:variant>
        <vt:i4>0</vt:i4>
      </vt:variant>
      <vt:variant>
        <vt:i4>5</vt:i4>
      </vt:variant>
      <vt:variant>
        <vt:lpwstr/>
      </vt:variant>
      <vt:variant>
        <vt:lpwstr>_ENREF_64</vt:lpwstr>
      </vt:variant>
      <vt:variant>
        <vt:i4>4194315</vt:i4>
      </vt:variant>
      <vt:variant>
        <vt:i4>4864</vt:i4>
      </vt:variant>
      <vt:variant>
        <vt:i4>0</vt:i4>
      </vt:variant>
      <vt:variant>
        <vt:i4>5</vt:i4>
      </vt:variant>
      <vt:variant>
        <vt:lpwstr/>
      </vt:variant>
      <vt:variant>
        <vt:lpwstr>_ENREF_1</vt:lpwstr>
      </vt:variant>
      <vt:variant>
        <vt:i4>4325387</vt:i4>
      </vt:variant>
      <vt:variant>
        <vt:i4>4839</vt:i4>
      </vt:variant>
      <vt:variant>
        <vt:i4>0</vt:i4>
      </vt:variant>
      <vt:variant>
        <vt:i4>5</vt:i4>
      </vt:variant>
      <vt:variant>
        <vt:lpwstr/>
      </vt:variant>
      <vt:variant>
        <vt:lpwstr>_ENREF_39</vt:lpwstr>
      </vt:variant>
      <vt:variant>
        <vt:i4>4325387</vt:i4>
      </vt:variant>
      <vt:variant>
        <vt:i4>4830</vt:i4>
      </vt:variant>
      <vt:variant>
        <vt:i4>0</vt:i4>
      </vt:variant>
      <vt:variant>
        <vt:i4>5</vt:i4>
      </vt:variant>
      <vt:variant>
        <vt:lpwstr/>
      </vt:variant>
      <vt:variant>
        <vt:lpwstr>_ENREF_39</vt:lpwstr>
      </vt:variant>
      <vt:variant>
        <vt:i4>7929914</vt:i4>
      </vt:variant>
      <vt:variant>
        <vt:i4>4703</vt:i4>
      </vt:variant>
      <vt:variant>
        <vt:i4>0</vt:i4>
      </vt:variant>
      <vt:variant>
        <vt:i4>5</vt:i4>
      </vt:variant>
      <vt:variant>
        <vt:lpwstr/>
      </vt:variant>
      <vt:variant>
        <vt:lpwstr>_ENREF_119</vt:lpwstr>
      </vt:variant>
      <vt:variant>
        <vt:i4>4325387</vt:i4>
      </vt:variant>
      <vt:variant>
        <vt:i4>4700</vt:i4>
      </vt:variant>
      <vt:variant>
        <vt:i4>0</vt:i4>
      </vt:variant>
      <vt:variant>
        <vt:i4>5</vt:i4>
      </vt:variant>
      <vt:variant>
        <vt:lpwstr/>
      </vt:variant>
      <vt:variant>
        <vt:lpwstr>_ENREF_3</vt:lpwstr>
      </vt:variant>
      <vt:variant>
        <vt:i4>7798845</vt:i4>
      </vt:variant>
      <vt:variant>
        <vt:i4>4654</vt:i4>
      </vt:variant>
      <vt:variant>
        <vt:i4>0</vt:i4>
      </vt:variant>
      <vt:variant>
        <vt:i4>5</vt:i4>
      </vt:variant>
      <vt:variant>
        <vt:lpwstr/>
      </vt:variant>
      <vt:variant>
        <vt:lpwstr>_ENREF_167</vt:lpwstr>
      </vt:variant>
      <vt:variant>
        <vt:i4>7864381</vt:i4>
      </vt:variant>
      <vt:variant>
        <vt:i4>4648</vt:i4>
      </vt:variant>
      <vt:variant>
        <vt:i4>0</vt:i4>
      </vt:variant>
      <vt:variant>
        <vt:i4>5</vt:i4>
      </vt:variant>
      <vt:variant>
        <vt:lpwstr/>
      </vt:variant>
      <vt:variant>
        <vt:lpwstr>_ENREF_168</vt:lpwstr>
      </vt:variant>
      <vt:variant>
        <vt:i4>7864381</vt:i4>
      </vt:variant>
      <vt:variant>
        <vt:i4>4642</vt:i4>
      </vt:variant>
      <vt:variant>
        <vt:i4>0</vt:i4>
      </vt:variant>
      <vt:variant>
        <vt:i4>5</vt:i4>
      </vt:variant>
      <vt:variant>
        <vt:lpwstr/>
      </vt:variant>
      <vt:variant>
        <vt:lpwstr>_ENREF_168</vt:lpwstr>
      </vt:variant>
      <vt:variant>
        <vt:i4>7864381</vt:i4>
      </vt:variant>
      <vt:variant>
        <vt:i4>4636</vt:i4>
      </vt:variant>
      <vt:variant>
        <vt:i4>0</vt:i4>
      </vt:variant>
      <vt:variant>
        <vt:i4>5</vt:i4>
      </vt:variant>
      <vt:variant>
        <vt:lpwstr/>
      </vt:variant>
      <vt:variant>
        <vt:lpwstr>_ENREF_168</vt:lpwstr>
      </vt:variant>
      <vt:variant>
        <vt:i4>4456459</vt:i4>
      </vt:variant>
      <vt:variant>
        <vt:i4>4632</vt:i4>
      </vt:variant>
      <vt:variant>
        <vt:i4>0</vt:i4>
      </vt:variant>
      <vt:variant>
        <vt:i4>5</vt:i4>
      </vt:variant>
      <vt:variant>
        <vt:lpwstr/>
      </vt:variant>
      <vt:variant>
        <vt:lpwstr>_ENREF_53</vt:lpwstr>
      </vt:variant>
      <vt:variant>
        <vt:i4>4521995</vt:i4>
      </vt:variant>
      <vt:variant>
        <vt:i4>4629</vt:i4>
      </vt:variant>
      <vt:variant>
        <vt:i4>0</vt:i4>
      </vt:variant>
      <vt:variant>
        <vt:i4>5</vt:i4>
      </vt:variant>
      <vt:variant>
        <vt:lpwstr/>
      </vt:variant>
      <vt:variant>
        <vt:lpwstr>_ENREF_49</vt:lpwstr>
      </vt:variant>
      <vt:variant>
        <vt:i4>4587531</vt:i4>
      </vt:variant>
      <vt:variant>
        <vt:i4>4621</vt:i4>
      </vt:variant>
      <vt:variant>
        <vt:i4>0</vt:i4>
      </vt:variant>
      <vt:variant>
        <vt:i4>5</vt:i4>
      </vt:variant>
      <vt:variant>
        <vt:lpwstr/>
      </vt:variant>
      <vt:variant>
        <vt:lpwstr>_ENREF_79</vt:lpwstr>
      </vt:variant>
      <vt:variant>
        <vt:i4>4587531</vt:i4>
      </vt:variant>
      <vt:variant>
        <vt:i4>4615</vt:i4>
      </vt:variant>
      <vt:variant>
        <vt:i4>0</vt:i4>
      </vt:variant>
      <vt:variant>
        <vt:i4>5</vt:i4>
      </vt:variant>
      <vt:variant>
        <vt:lpwstr/>
      </vt:variant>
      <vt:variant>
        <vt:lpwstr>_ENREF_79</vt:lpwstr>
      </vt:variant>
      <vt:variant>
        <vt:i4>4587531</vt:i4>
      </vt:variant>
      <vt:variant>
        <vt:i4>4609</vt:i4>
      </vt:variant>
      <vt:variant>
        <vt:i4>0</vt:i4>
      </vt:variant>
      <vt:variant>
        <vt:i4>5</vt:i4>
      </vt:variant>
      <vt:variant>
        <vt:lpwstr/>
      </vt:variant>
      <vt:variant>
        <vt:lpwstr>_ENREF_79</vt:lpwstr>
      </vt:variant>
      <vt:variant>
        <vt:i4>7798844</vt:i4>
      </vt:variant>
      <vt:variant>
        <vt:i4>4573</vt:i4>
      </vt:variant>
      <vt:variant>
        <vt:i4>0</vt:i4>
      </vt:variant>
      <vt:variant>
        <vt:i4>5</vt:i4>
      </vt:variant>
      <vt:variant>
        <vt:lpwstr/>
      </vt:variant>
      <vt:variant>
        <vt:lpwstr>_ENREF_177</vt:lpwstr>
      </vt:variant>
      <vt:variant>
        <vt:i4>7667762</vt:i4>
      </vt:variant>
      <vt:variant>
        <vt:i4>4558</vt:i4>
      </vt:variant>
      <vt:variant>
        <vt:i4>0</vt:i4>
      </vt:variant>
      <vt:variant>
        <vt:i4>5</vt:i4>
      </vt:variant>
      <vt:variant>
        <vt:lpwstr/>
      </vt:variant>
      <vt:variant>
        <vt:lpwstr>_ENREF_195</vt:lpwstr>
      </vt:variant>
      <vt:variant>
        <vt:i4>7340090</vt:i4>
      </vt:variant>
      <vt:variant>
        <vt:i4>4552</vt:i4>
      </vt:variant>
      <vt:variant>
        <vt:i4>0</vt:i4>
      </vt:variant>
      <vt:variant>
        <vt:i4>5</vt:i4>
      </vt:variant>
      <vt:variant>
        <vt:lpwstr/>
      </vt:variant>
      <vt:variant>
        <vt:lpwstr>_ENREF_110</vt:lpwstr>
      </vt:variant>
      <vt:variant>
        <vt:i4>7798840</vt:i4>
      </vt:variant>
      <vt:variant>
        <vt:i4>4546</vt:i4>
      </vt:variant>
      <vt:variant>
        <vt:i4>0</vt:i4>
      </vt:variant>
      <vt:variant>
        <vt:i4>5</vt:i4>
      </vt:variant>
      <vt:variant>
        <vt:lpwstr/>
      </vt:variant>
      <vt:variant>
        <vt:lpwstr>_ENREF_234</vt:lpwstr>
      </vt:variant>
      <vt:variant>
        <vt:i4>7602232</vt:i4>
      </vt:variant>
      <vt:variant>
        <vt:i4>4534</vt:i4>
      </vt:variant>
      <vt:variant>
        <vt:i4>0</vt:i4>
      </vt:variant>
      <vt:variant>
        <vt:i4>5</vt:i4>
      </vt:variant>
      <vt:variant>
        <vt:lpwstr/>
      </vt:variant>
      <vt:variant>
        <vt:lpwstr>_ENREF_237</vt:lpwstr>
      </vt:variant>
      <vt:variant>
        <vt:i4>7602233</vt:i4>
      </vt:variant>
      <vt:variant>
        <vt:i4>4525</vt:i4>
      </vt:variant>
      <vt:variant>
        <vt:i4>0</vt:i4>
      </vt:variant>
      <vt:variant>
        <vt:i4>5</vt:i4>
      </vt:variant>
      <vt:variant>
        <vt:lpwstr/>
      </vt:variant>
      <vt:variant>
        <vt:lpwstr>_ENREF_124</vt:lpwstr>
      </vt:variant>
      <vt:variant>
        <vt:i4>8060985</vt:i4>
      </vt:variant>
      <vt:variant>
        <vt:i4>4519</vt:i4>
      </vt:variant>
      <vt:variant>
        <vt:i4>0</vt:i4>
      </vt:variant>
      <vt:variant>
        <vt:i4>5</vt:i4>
      </vt:variant>
      <vt:variant>
        <vt:lpwstr/>
      </vt:variant>
      <vt:variant>
        <vt:lpwstr>_ENREF_228</vt:lpwstr>
      </vt:variant>
      <vt:variant>
        <vt:i4>4521995</vt:i4>
      </vt:variant>
      <vt:variant>
        <vt:i4>4513</vt:i4>
      </vt:variant>
      <vt:variant>
        <vt:i4>0</vt:i4>
      </vt:variant>
      <vt:variant>
        <vt:i4>5</vt:i4>
      </vt:variant>
      <vt:variant>
        <vt:lpwstr/>
      </vt:variant>
      <vt:variant>
        <vt:lpwstr>_ENREF_47</vt:lpwstr>
      </vt:variant>
      <vt:variant>
        <vt:i4>4521995</vt:i4>
      </vt:variant>
      <vt:variant>
        <vt:i4>4507</vt:i4>
      </vt:variant>
      <vt:variant>
        <vt:i4>0</vt:i4>
      </vt:variant>
      <vt:variant>
        <vt:i4>5</vt:i4>
      </vt:variant>
      <vt:variant>
        <vt:lpwstr/>
      </vt:variant>
      <vt:variant>
        <vt:lpwstr>_ENREF_46</vt:lpwstr>
      </vt:variant>
      <vt:variant>
        <vt:i4>7929919</vt:i4>
      </vt:variant>
      <vt:variant>
        <vt:i4>4501</vt:i4>
      </vt:variant>
      <vt:variant>
        <vt:i4>0</vt:i4>
      </vt:variant>
      <vt:variant>
        <vt:i4>5</vt:i4>
      </vt:variant>
      <vt:variant>
        <vt:lpwstr/>
      </vt:variant>
      <vt:variant>
        <vt:lpwstr>_ENREF_149</vt:lpwstr>
      </vt:variant>
      <vt:variant>
        <vt:i4>7733310</vt:i4>
      </vt:variant>
      <vt:variant>
        <vt:i4>4495</vt:i4>
      </vt:variant>
      <vt:variant>
        <vt:i4>0</vt:i4>
      </vt:variant>
      <vt:variant>
        <vt:i4>5</vt:i4>
      </vt:variant>
      <vt:variant>
        <vt:lpwstr/>
      </vt:variant>
      <vt:variant>
        <vt:lpwstr>_ENREF_156</vt:lpwstr>
      </vt:variant>
      <vt:variant>
        <vt:i4>4521995</vt:i4>
      </vt:variant>
      <vt:variant>
        <vt:i4>4489</vt:i4>
      </vt:variant>
      <vt:variant>
        <vt:i4>0</vt:i4>
      </vt:variant>
      <vt:variant>
        <vt:i4>5</vt:i4>
      </vt:variant>
      <vt:variant>
        <vt:lpwstr/>
      </vt:variant>
      <vt:variant>
        <vt:lpwstr>_ENREF_47</vt:lpwstr>
      </vt:variant>
      <vt:variant>
        <vt:i4>7340082</vt:i4>
      </vt:variant>
      <vt:variant>
        <vt:i4>4483</vt:i4>
      </vt:variant>
      <vt:variant>
        <vt:i4>0</vt:i4>
      </vt:variant>
      <vt:variant>
        <vt:i4>5</vt:i4>
      </vt:variant>
      <vt:variant>
        <vt:lpwstr/>
      </vt:variant>
      <vt:variant>
        <vt:lpwstr>_ENREF_190</vt:lpwstr>
      </vt:variant>
      <vt:variant>
        <vt:i4>8060985</vt:i4>
      </vt:variant>
      <vt:variant>
        <vt:i4>4474</vt:i4>
      </vt:variant>
      <vt:variant>
        <vt:i4>0</vt:i4>
      </vt:variant>
      <vt:variant>
        <vt:i4>5</vt:i4>
      </vt:variant>
      <vt:variant>
        <vt:lpwstr/>
      </vt:variant>
      <vt:variant>
        <vt:lpwstr>_ENREF_228</vt:lpwstr>
      </vt:variant>
      <vt:variant>
        <vt:i4>4653067</vt:i4>
      </vt:variant>
      <vt:variant>
        <vt:i4>4468</vt:i4>
      </vt:variant>
      <vt:variant>
        <vt:i4>0</vt:i4>
      </vt:variant>
      <vt:variant>
        <vt:i4>5</vt:i4>
      </vt:variant>
      <vt:variant>
        <vt:lpwstr/>
      </vt:variant>
      <vt:variant>
        <vt:lpwstr>_ENREF_65</vt:lpwstr>
      </vt:variant>
      <vt:variant>
        <vt:i4>4587531</vt:i4>
      </vt:variant>
      <vt:variant>
        <vt:i4>4456</vt:i4>
      </vt:variant>
      <vt:variant>
        <vt:i4>0</vt:i4>
      </vt:variant>
      <vt:variant>
        <vt:i4>5</vt:i4>
      </vt:variant>
      <vt:variant>
        <vt:lpwstr/>
      </vt:variant>
      <vt:variant>
        <vt:lpwstr>_ENREF_79</vt:lpwstr>
      </vt:variant>
      <vt:variant>
        <vt:i4>4718603</vt:i4>
      </vt:variant>
      <vt:variant>
        <vt:i4>4441</vt:i4>
      </vt:variant>
      <vt:variant>
        <vt:i4>0</vt:i4>
      </vt:variant>
      <vt:variant>
        <vt:i4>5</vt:i4>
      </vt:variant>
      <vt:variant>
        <vt:lpwstr/>
      </vt:variant>
      <vt:variant>
        <vt:lpwstr>_ENREF_92</vt:lpwstr>
      </vt:variant>
      <vt:variant>
        <vt:i4>7536698</vt:i4>
      </vt:variant>
      <vt:variant>
        <vt:i4>4435</vt:i4>
      </vt:variant>
      <vt:variant>
        <vt:i4>0</vt:i4>
      </vt:variant>
      <vt:variant>
        <vt:i4>5</vt:i4>
      </vt:variant>
      <vt:variant>
        <vt:lpwstr/>
      </vt:variant>
      <vt:variant>
        <vt:lpwstr>_ENREF_113</vt:lpwstr>
      </vt:variant>
      <vt:variant>
        <vt:i4>4325387</vt:i4>
      </vt:variant>
      <vt:variant>
        <vt:i4>4351</vt:i4>
      </vt:variant>
      <vt:variant>
        <vt:i4>0</vt:i4>
      </vt:variant>
      <vt:variant>
        <vt:i4>5</vt:i4>
      </vt:variant>
      <vt:variant>
        <vt:lpwstr/>
      </vt:variant>
      <vt:variant>
        <vt:lpwstr>_ENREF_39</vt:lpwstr>
      </vt:variant>
      <vt:variant>
        <vt:i4>4325387</vt:i4>
      </vt:variant>
      <vt:variant>
        <vt:i4>4342</vt:i4>
      </vt:variant>
      <vt:variant>
        <vt:i4>0</vt:i4>
      </vt:variant>
      <vt:variant>
        <vt:i4>5</vt:i4>
      </vt:variant>
      <vt:variant>
        <vt:lpwstr/>
      </vt:variant>
      <vt:variant>
        <vt:lpwstr>_ENREF_39</vt:lpwstr>
      </vt:variant>
      <vt:variant>
        <vt:i4>7667771</vt:i4>
      </vt:variant>
      <vt:variant>
        <vt:i4>4252</vt:i4>
      </vt:variant>
      <vt:variant>
        <vt:i4>0</vt:i4>
      </vt:variant>
      <vt:variant>
        <vt:i4>5</vt:i4>
      </vt:variant>
      <vt:variant>
        <vt:lpwstr/>
      </vt:variant>
      <vt:variant>
        <vt:lpwstr>_ENREF_105</vt:lpwstr>
      </vt:variant>
      <vt:variant>
        <vt:i4>7340090</vt:i4>
      </vt:variant>
      <vt:variant>
        <vt:i4>4248</vt:i4>
      </vt:variant>
      <vt:variant>
        <vt:i4>0</vt:i4>
      </vt:variant>
      <vt:variant>
        <vt:i4>5</vt:i4>
      </vt:variant>
      <vt:variant>
        <vt:lpwstr/>
      </vt:variant>
      <vt:variant>
        <vt:lpwstr>_ENREF_110</vt:lpwstr>
      </vt:variant>
      <vt:variant>
        <vt:i4>4718603</vt:i4>
      </vt:variant>
      <vt:variant>
        <vt:i4>4245</vt:i4>
      </vt:variant>
      <vt:variant>
        <vt:i4>0</vt:i4>
      </vt:variant>
      <vt:variant>
        <vt:i4>5</vt:i4>
      </vt:variant>
      <vt:variant>
        <vt:lpwstr/>
      </vt:variant>
      <vt:variant>
        <vt:lpwstr>_ENREF_93</vt:lpwstr>
      </vt:variant>
      <vt:variant>
        <vt:i4>4194315</vt:i4>
      </vt:variant>
      <vt:variant>
        <vt:i4>4242</vt:i4>
      </vt:variant>
      <vt:variant>
        <vt:i4>0</vt:i4>
      </vt:variant>
      <vt:variant>
        <vt:i4>5</vt:i4>
      </vt:variant>
      <vt:variant>
        <vt:lpwstr/>
      </vt:variant>
      <vt:variant>
        <vt:lpwstr>_ENREF_10</vt:lpwstr>
      </vt:variant>
      <vt:variant>
        <vt:i4>7929914</vt:i4>
      </vt:variant>
      <vt:variant>
        <vt:i4>4216</vt:i4>
      </vt:variant>
      <vt:variant>
        <vt:i4>0</vt:i4>
      </vt:variant>
      <vt:variant>
        <vt:i4>5</vt:i4>
      </vt:variant>
      <vt:variant>
        <vt:lpwstr/>
      </vt:variant>
      <vt:variant>
        <vt:lpwstr>_ENREF_119</vt:lpwstr>
      </vt:variant>
      <vt:variant>
        <vt:i4>4325387</vt:i4>
      </vt:variant>
      <vt:variant>
        <vt:i4>4213</vt:i4>
      </vt:variant>
      <vt:variant>
        <vt:i4>0</vt:i4>
      </vt:variant>
      <vt:variant>
        <vt:i4>5</vt:i4>
      </vt:variant>
      <vt:variant>
        <vt:lpwstr/>
      </vt:variant>
      <vt:variant>
        <vt:lpwstr>_ENREF_3</vt:lpwstr>
      </vt:variant>
      <vt:variant>
        <vt:i4>7733309</vt:i4>
      </vt:variant>
      <vt:variant>
        <vt:i4>4155</vt:i4>
      </vt:variant>
      <vt:variant>
        <vt:i4>0</vt:i4>
      </vt:variant>
      <vt:variant>
        <vt:i4>5</vt:i4>
      </vt:variant>
      <vt:variant>
        <vt:lpwstr/>
      </vt:variant>
      <vt:variant>
        <vt:lpwstr>_ENREF_265</vt:lpwstr>
      </vt:variant>
      <vt:variant>
        <vt:i4>7733309</vt:i4>
      </vt:variant>
      <vt:variant>
        <vt:i4>4149</vt:i4>
      </vt:variant>
      <vt:variant>
        <vt:i4>0</vt:i4>
      </vt:variant>
      <vt:variant>
        <vt:i4>5</vt:i4>
      </vt:variant>
      <vt:variant>
        <vt:lpwstr/>
      </vt:variant>
      <vt:variant>
        <vt:lpwstr>_ENREF_265</vt:lpwstr>
      </vt:variant>
      <vt:variant>
        <vt:i4>7864376</vt:i4>
      </vt:variant>
      <vt:variant>
        <vt:i4>4143</vt:i4>
      </vt:variant>
      <vt:variant>
        <vt:i4>0</vt:i4>
      </vt:variant>
      <vt:variant>
        <vt:i4>5</vt:i4>
      </vt:variant>
      <vt:variant>
        <vt:lpwstr/>
      </vt:variant>
      <vt:variant>
        <vt:lpwstr>_ENREF_138</vt:lpwstr>
      </vt:variant>
      <vt:variant>
        <vt:i4>7864376</vt:i4>
      </vt:variant>
      <vt:variant>
        <vt:i4>4137</vt:i4>
      </vt:variant>
      <vt:variant>
        <vt:i4>0</vt:i4>
      </vt:variant>
      <vt:variant>
        <vt:i4>5</vt:i4>
      </vt:variant>
      <vt:variant>
        <vt:lpwstr/>
      </vt:variant>
      <vt:variant>
        <vt:lpwstr>_ENREF_138</vt:lpwstr>
      </vt:variant>
      <vt:variant>
        <vt:i4>7733309</vt:i4>
      </vt:variant>
      <vt:variant>
        <vt:i4>4133</vt:i4>
      </vt:variant>
      <vt:variant>
        <vt:i4>0</vt:i4>
      </vt:variant>
      <vt:variant>
        <vt:i4>5</vt:i4>
      </vt:variant>
      <vt:variant>
        <vt:lpwstr/>
      </vt:variant>
      <vt:variant>
        <vt:lpwstr>_ENREF_265</vt:lpwstr>
      </vt:variant>
      <vt:variant>
        <vt:i4>7864376</vt:i4>
      </vt:variant>
      <vt:variant>
        <vt:i4>4130</vt:i4>
      </vt:variant>
      <vt:variant>
        <vt:i4>0</vt:i4>
      </vt:variant>
      <vt:variant>
        <vt:i4>5</vt:i4>
      </vt:variant>
      <vt:variant>
        <vt:lpwstr/>
      </vt:variant>
      <vt:variant>
        <vt:lpwstr>_ENREF_138</vt:lpwstr>
      </vt:variant>
      <vt:variant>
        <vt:i4>7602239</vt:i4>
      </vt:variant>
      <vt:variant>
        <vt:i4>4071</vt:i4>
      </vt:variant>
      <vt:variant>
        <vt:i4>0</vt:i4>
      </vt:variant>
      <vt:variant>
        <vt:i4>5</vt:i4>
      </vt:variant>
      <vt:variant>
        <vt:lpwstr/>
      </vt:variant>
      <vt:variant>
        <vt:lpwstr>_ENREF_247</vt:lpwstr>
      </vt:variant>
      <vt:variant>
        <vt:i4>7340091</vt:i4>
      </vt:variant>
      <vt:variant>
        <vt:i4>4067</vt:i4>
      </vt:variant>
      <vt:variant>
        <vt:i4>0</vt:i4>
      </vt:variant>
      <vt:variant>
        <vt:i4>5</vt:i4>
      </vt:variant>
      <vt:variant>
        <vt:lpwstr/>
      </vt:variant>
      <vt:variant>
        <vt:lpwstr>_ENREF_100</vt:lpwstr>
      </vt:variant>
      <vt:variant>
        <vt:i4>7929915</vt:i4>
      </vt:variant>
      <vt:variant>
        <vt:i4>4064</vt:i4>
      </vt:variant>
      <vt:variant>
        <vt:i4>0</vt:i4>
      </vt:variant>
      <vt:variant>
        <vt:i4>5</vt:i4>
      </vt:variant>
      <vt:variant>
        <vt:lpwstr/>
      </vt:variant>
      <vt:variant>
        <vt:lpwstr>_ENREF_109</vt:lpwstr>
      </vt:variant>
      <vt:variant>
        <vt:i4>7798840</vt:i4>
      </vt:variant>
      <vt:variant>
        <vt:i4>4061</vt:i4>
      </vt:variant>
      <vt:variant>
        <vt:i4>0</vt:i4>
      </vt:variant>
      <vt:variant>
        <vt:i4>5</vt:i4>
      </vt:variant>
      <vt:variant>
        <vt:lpwstr/>
      </vt:variant>
      <vt:variant>
        <vt:lpwstr>_ENREF_234</vt:lpwstr>
      </vt:variant>
      <vt:variant>
        <vt:i4>7733310</vt:i4>
      </vt:variant>
      <vt:variant>
        <vt:i4>4033</vt:i4>
      </vt:variant>
      <vt:variant>
        <vt:i4>0</vt:i4>
      </vt:variant>
      <vt:variant>
        <vt:i4>5</vt:i4>
      </vt:variant>
      <vt:variant>
        <vt:lpwstr/>
      </vt:variant>
      <vt:variant>
        <vt:lpwstr>_ENREF_156</vt:lpwstr>
      </vt:variant>
      <vt:variant>
        <vt:i4>4521995</vt:i4>
      </vt:variant>
      <vt:variant>
        <vt:i4>4027</vt:i4>
      </vt:variant>
      <vt:variant>
        <vt:i4>0</vt:i4>
      </vt:variant>
      <vt:variant>
        <vt:i4>5</vt:i4>
      </vt:variant>
      <vt:variant>
        <vt:lpwstr/>
      </vt:variant>
      <vt:variant>
        <vt:lpwstr>_ENREF_47</vt:lpwstr>
      </vt:variant>
      <vt:variant>
        <vt:i4>7340082</vt:i4>
      </vt:variant>
      <vt:variant>
        <vt:i4>4021</vt:i4>
      </vt:variant>
      <vt:variant>
        <vt:i4>0</vt:i4>
      </vt:variant>
      <vt:variant>
        <vt:i4>5</vt:i4>
      </vt:variant>
      <vt:variant>
        <vt:lpwstr/>
      </vt:variant>
      <vt:variant>
        <vt:lpwstr>_ENREF_190</vt:lpwstr>
      </vt:variant>
      <vt:variant>
        <vt:i4>4653067</vt:i4>
      </vt:variant>
      <vt:variant>
        <vt:i4>4015</vt:i4>
      </vt:variant>
      <vt:variant>
        <vt:i4>0</vt:i4>
      </vt:variant>
      <vt:variant>
        <vt:i4>5</vt:i4>
      </vt:variant>
      <vt:variant>
        <vt:lpwstr/>
      </vt:variant>
      <vt:variant>
        <vt:lpwstr>_ENREF_69</vt:lpwstr>
      </vt:variant>
      <vt:variant>
        <vt:i4>7667772</vt:i4>
      </vt:variant>
      <vt:variant>
        <vt:i4>3985</vt:i4>
      </vt:variant>
      <vt:variant>
        <vt:i4>0</vt:i4>
      </vt:variant>
      <vt:variant>
        <vt:i4>5</vt:i4>
      </vt:variant>
      <vt:variant>
        <vt:lpwstr/>
      </vt:variant>
      <vt:variant>
        <vt:lpwstr>_ENREF_175</vt:lpwstr>
      </vt:variant>
      <vt:variant>
        <vt:i4>7667772</vt:i4>
      </vt:variant>
      <vt:variant>
        <vt:i4>3979</vt:i4>
      </vt:variant>
      <vt:variant>
        <vt:i4>0</vt:i4>
      </vt:variant>
      <vt:variant>
        <vt:i4>5</vt:i4>
      </vt:variant>
      <vt:variant>
        <vt:lpwstr/>
      </vt:variant>
      <vt:variant>
        <vt:lpwstr>_ENREF_175</vt:lpwstr>
      </vt:variant>
      <vt:variant>
        <vt:i4>4325387</vt:i4>
      </vt:variant>
      <vt:variant>
        <vt:i4>3961</vt:i4>
      </vt:variant>
      <vt:variant>
        <vt:i4>0</vt:i4>
      </vt:variant>
      <vt:variant>
        <vt:i4>5</vt:i4>
      </vt:variant>
      <vt:variant>
        <vt:lpwstr/>
      </vt:variant>
      <vt:variant>
        <vt:lpwstr>_ENREF_39</vt:lpwstr>
      </vt:variant>
      <vt:variant>
        <vt:i4>7667771</vt:i4>
      </vt:variant>
      <vt:variant>
        <vt:i4>3895</vt:i4>
      </vt:variant>
      <vt:variant>
        <vt:i4>0</vt:i4>
      </vt:variant>
      <vt:variant>
        <vt:i4>5</vt:i4>
      </vt:variant>
      <vt:variant>
        <vt:lpwstr/>
      </vt:variant>
      <vt:variant>
        <vt:lpwstr>_ENREF_105</vt:lpwstr>
      </vt:variant>
      <vt:variant>
        <vt:i4>7340090</vt:i4>
      </vt:variant>
      <vt:variant>
        <vt:i4>3891</vt:i4>
      </vt:variant>
      <vt:variant>
        <vt:i4>0</vt:i4>
      </vt:variant>
      <vt:variant>
        <vt:i4>5</vt:i4>
      </vt:variant>
      <vt:variant>
        <vt:lpwstr/>
      </vt:variant>
      <vt:variant>
        <vt:lpwstr>_ENREF_110</vt:lpwstr>
      </vt:variant>
      <vt:variant>
        <vt:i4>4718603</vt:i4>
      </vt:variant>
      <vt:variant>
        <vt:i4>3888</vt:i4>
      </vt:variant>
      <vt:variant>
        <vt:i4>0</vt:i4>
      </vt:variant>
      <vt:variant>
        <vt:i4>5</vt:i4>
      </vt:variant>
      <vt:variant>
        <vt:lpwstr/>
      </vt:variant>
      <vt:variant>
        <vt:lpwstr>_ENREF_93</vt:lpwstr>
      </vt:variant>
      <vt:variant>
        <vt:i4>4194315</vt:i4>
      </vt:variant>
      <vt:variant>
        <vt:i4>3885</vt:i4>
      </vt:variant>
      <vt:variant>
        <vt:i4>0</vt:i4>
      </vt:variant>
      <vt:variant>
        <vt:i4>5</vt:i4>
      </vt:variant>
      <vt:variant>
        <vt:lpwstr/>
      </vt:variant>
      <vt:variant>
        <vt:lpwstr>_ENREF_10</vt:lpwstr>
      </vt:variant>
      <vt:variant>
        <vt:i4>4325387</vt:i4>
      </vt:variant>
      <vt:variant>
        <vt:i4>3851</vt:i4>
      </vt:variant>
      <vt:variant>
        <vt:i4>0</vt:i4>
      </vt:variant>
      <vt:variant>
        <vt:i4>5</vt:i4>
      </vt:variant>
      <vt:variant>
        <vt:lpwstr/>
      </vt:variant>
      <vt:variant>
        <vt:lpwstr>_ENREF_3</vt:lpwstr>
      </vt:variant>
      <vt:variant>
        <vt:i4>7929916</vt:i4>
      </vt:variant>
      <vt:variant>
        <vt:i4>3764</vt:i4>
      </vt:variant>
      <vt:variant>
        <vt:i4>0</vt:i4>
      </vt:variant>
      <vt:variant>
        <vt:i4>5</vt:i4>
      </vt:variant>
      <vt:variant>
        <vt:lpwstr/>
      </vt:variant>
      <vt:variant>
        <vt:lpwstr>_ENREF_179</vt:lpwstr>
      </vt:variant>
      <vt:variant>
        <vt:i4>4587531</vt:i4>
      </vt:variant>
      <vt:variant>
        <vt:i4>3746</vt:i4>
      </vt:variant>
      <vt:variant>
        <vt:i4>0</vt:i4>
      </vt:variant>
      <vt:variant>
        <vt:i4>5</vt:i4>
      </vt:variant>
      <vt:variant>
        <vt:lpwstr/>
      </vt:variant>
      <vt:variant>
        <vt:lpwstr>_ENREF_77</vt:lpwstr>
      </vt:variant>
      <vt:variant>
        <vt:i4>7536697</vt:i4>
      </vt:variant>
      <vt:variant>
        <vt:i4>3740</vt:i4>
      </vt:variant>
      <vt:variant>
        <vt:i4>0</vt:i4>
      </vt:variant>
      <vt:variant>
        <vt:i4>5</vt:i4>
      </vt:variant>
      <vt:variant>
        <vt:lpwstr/>
      </vt:variant>
      <vt:variant>
        <vt:lpwstr>_ENREF_220</vt:lpwstr>
      </vt:variant>
      <vt:variant>
        <vt:i4>7536697</vt:i4>
      </vt:variant>
      <vt:variant>
        <vt:i4>3734</vt:i4>
      </vt:variant>
      <vt:variant>
        <vt:i4>0</vt:i4>
      </vt:variant>
      <vt:variant>
        <vt:i4>5</vt:i4>
      </vt:variant>
      <vt:variant>
        <vt:lpwstr/>
      </vt:variant>
      <vt:variant>
        <vt:lpwstr>_ENREF_220</vt:lpwstr>
      </vt:variant>
      <vt:variant>
        <vt:i4>7405624</vt:i4>
      </vt:variant>
      <vt:variant>
        <vt:i4>3716</vt:i4>
      </vt:variant>
      <vt:variant>
        <vt:i4>0</vt:i4>
      </vt:variant>
      <vt:variant>
        <vt:i4>5</vt:i4>
      </vt:variant>
      <vt:variant>
        <vt:lpwstr/>
      </vt:variant>
      <vt:variant>
        <vt:lpwstr>_ENREF_131</vt:lpwstr>
      </vt:variant>
      <vt:variant>
        <vt:i4>4521995</vt:i4>
      </vt:variant>
      <vt:variant>
        <vt:i4>3698</vt:i4>
      </vt:variant>
      <vt:variant>
        <vt:i4>0</vt:i4>
      </vt:variant>
      <vt:variant>
        <vt:i4>5</vt:i4>
      </vt:variant>
      <vt:variant>
        <vt:lpwstr/>
      </vt:variant>
      <vt:variant>
        <vt:lpwstr>_ENREF_47</vt:lpwstr>
      </vt:variant>
      <vt:variant>
        <vt:i4>7733306</vt:i4>
      </vt:variant>
      <vt:variant>
        <vt:i4>3694</vt:i4>
      </vt:variant>
      <vt:variant>
        <vt:i4>0</vt:i4>
      </vt:variant>
      <vt:variant>
        <vt:i4>5</vt:i4>
      </vt:variant>
      <vt:variant>
        <vt:lpwstr/>
      </vt:variant>
      <vt:variant>
        <vt:lpwstr>_ENREF_215</vt:lpwstr>
      </vt:variant>
      <vt:variant>
        <vt:i4>7733310</vt:i4>
      </vt:variant>
      <vt:variant>
        <vt:i4>3691</vt:i4>
      </vt:variant>
      <vt:variant>
        <vt:i4>0</vt:i4>
      </vt:variant>
      <vt:variant>
        <vt:i4>5</vt:i4>
      </vt:variant>
      <vt:variant>
        <vt:lpwstr/>
      </vt:variant>
      <vt:variant>
        <vt:lpwstr>_ENREF_156</vt:lpwstr>
      </vt:variant>
      <vt:variant>
        <vt:i4>4456459</vt:i4>
      </vt:variant>
      <vt:variant>
        <vt:i4>3688</vt:i4>
      </vt:variant>
      <vt:variant>
        <vt:i4>0</vt:i4>
      </vt:variant>
      <vt:variant>
        <vt:i4>5</vt:i4>
      </vt:variant>
      <vt:variant>
        <vt:lpwstr/>
      </vt:variant>
      <vt:variant>
        <vt:lpwstr>_ENREF_51</vt:lpwstr>
      </vt:variant>
      <vt:variant>
        <vt:i4>4521995</vt:i4>
      </vt:variant>
      <vt:variant>
        <vt:i4>3678</vt:i4>
      </vt:variant>
      <vt:variant>
        <vt:i4>0</vt:i4>
      </vt:variant>
      <vt:variant>
        <vt:i4>5</vt:i4>
      </vt:variant>
      <vt:variant>
        <vt:lpwstr/>
      </vt:variant>
      <vt:variant>
        <vt:lpwstr>_ENREF_47</vt:lpwstr>
      </vt:variant>
      <vt:variant>
        <vt:i4>7340082</vt:i4>
      </vt:variant>
      <vt:variant>
        <vt:i4>3672</vt:i4>
      </vt:variant>
      <vt:variant>
        <vt:i4>0</vt:i4>
      </vt:variant>
      <vt:variant>
        <vt:i4>5</vt:i4>
      </vt:variant>
      <vt:variant>
        <vt:lpwstr/>
      </vt:variant>
      <vt:variant>
        <vt:lpwstr>_ENREF_190</vt:lpwstr>
      </vt:variant>
      <vt:variant>
        <vt:i4>4718603</vt:i4>
      </vt:variant>
      <vt:variant>
        <vt:i4>3666</vt:i4>
      </vt:variant>
      <vt:variant>
        <vt:i4>0</vt:i4>
      </vt:variant>
      <vt:variant>
        <vt:i4>5</vt:i4>
      </vt:variant>
      <vt:variant>
        <vt:lpwstr/>
      </vt:variant>
      <vt:variant>
        <vt:lpwstr>_ENREF_94</vt:lpwstr>
      </vt:variant>
      <vt:variant>
        <vt:i4>4521995</vt:i4>
      </vt:variant>
      <vt:variant>
        <vt:i4>3639</vt:i4>
      </vt:variant>
      <vt:variant>
        <vt:i4>0</vt:i4>
      </vt:variant>
      <vt:variant>
        <vt:i4>5</vt:i4>
      </vt:variant>
      <vt:variant>
        <vt:lpwstr/>
      </vt:variant>
      <vt:variant>
        <vt:lpwstr>_ENREF_43</vt:lpwstr>
      </vt:variant>
      <vt:variant>
        <vt:i4>4653067</vt:i4>
      </vt:variant>
      <vt:variant>
        <vt:i4>3633</vt:i4>
      </vt:variant>
      <vt:variant>
        <vt:i4>0</vt:i4>
      </vt:variant>
      <vt:variant>
        <vt:i4>5</vt:i4>
      </vt:variant>
      <vt:variant>
        <vt:lpwstr/>
      </vt:variant>
      <vt:variant>
        <vt:lpwstr>_ENREF_64</vt:lpwstr>
      </vt:variant>
      <vt:variant>
        <vt:i4>7471163</vt:i4>
      </vt:variant>
      <vt:variant>
        <vt:i4>3620</vt:i4>
      </vt:variant>
      <vt:variant>
        <vt:i4>0</vt:i4>
      </vt:variant>
      <vt:variant>
        <vt:i4>5</vt:i4>
      </vt:variant>
      <vt:variant>
        <vt:lpwstr/>
      </vt:variant>
      <vt:variant>
        <vt:lpwstr>_ENREF_102</vt:lpwstr>
      </vt:variant>
      <vt:variant>
        <vt:i4>4456459</vt:i4>
      </vt:variant>
      <vt:variant>
        <vt:i4>3617</vt:i4>
      </vt:variant>
      <vt:variant>
        <vt:i4>0</vt:i4>
      </vt:variant>
      <vt:variant>
        <vt:i4>5</vt:i4>
      </vt:variant>
      <vt:variant>
        <vt:lpwstr/>
      </vt:variant>
      <vt:variant>
        <vt:lpwstr>_ENREF_5</vt:lpwstr>
      </vt:variant>
      <vt:variant>
        <vt:i4>4194315</vt:i4>
      </vt:variant>
      <vt:variant>
        <vt:i4>3606</vt:i4>
      </vt:variant>
      <vt:variant>
        <vt:i4>0</vt:i4>
      </vt:variant>
      <vt:variant>
        <vt:i4>5</vt:i4>
      </vt:variant>
      <vt:variant>
        <vt:lpwstr/>
      </vt:variant>
      <vt:variant>
        <vt:lpwstr>_ENREF_13</vt:lpwstr>
      </vt:variant>
      <vt:variant>
        <vt:i4>4653067</vt:i4>
      </vt:variant>
      <vt:variant>
        <vt:i4>3602</vt:i4>
      </vt:variant>
      <vt:variant>
        <vt:i4>0</vt:i4>
      </vt:variant>
      <vt:variant>
        <vt:i4>5</vt:i4>
      </vt:variant>
      <vt:variant>
        <vt:lpwstr/>
      </vt:variant>
      <vt:variant>
        <vt:lpwstr>_ENREF_64</vt:lpwstr>
      </vt:variant>
      <vt:variant>
        <vt:i4>4325387</vt:i4>
      </vt:variant>
      <vt:variant>
        <vt:i4>3599</vt:i4>
      </vt:variant>
      <vt:variant>
        <vt:i4>0</vt:i4>
      </vt:variant>
      <vt:variant>
        <vt:i4>5</vt:i4>
      </vt:variant>
      <vt:variant>
        <vt:lpwstr/>
      </vt:variant>
      <vt:variant>
        <vt:lpwstr>_ENREF_39</vt:lpwstr>
      </vt:variant>
      <vt:variant>
        <vt:i4>4194315</vt:i4>
      </vt:variant>
      <vt:variant>
        <vt:i4>3580</vt:i4>
      </vt:variant>
      <vt:variant>
        <vt:i4>0</vt:i4>
      </vt:variant>
      <vt:variant>
        <vt:i4>5</vt:i4>
      </vt:variant>
      <vt:variant>
        <vt:lpwstr/>
      </vt:variant>
      <vt:variant>
        <vt:lpwstr>_ENREF_13</vt:lpwstr>
      </vt:variant>
      <vt:variant>
        <vt:i4>4653067</vt:i4>
      </vt:variant>
      <vt:variant>
        <vt:i4>3576</vt:i4>
      </vt:variant>
      <vt:variant>
        <vt:i4>0</vt:i4>
      </vt:variant>
      <vt:variant>
        <vt:i4>5</vt:i4>
      </vt:variant>
      <vt:variant>
        <vt:lpwstr/>
      </vt:variant>
      <vt:variant>
        <vt:lpwstr>_ENREF_64</vt:lpwstr>
      </vt:variant>
      <vt:variant>
        <vt:i4>4325387</vt:i4>
      </vt:variant>
      <vt:variant>
        <vt:i4>3573</vt:i4>
      </vt:variant>
      <vt:variant>
        <vt:i4>0</vt:i4>
      </vt:variant>
      <vt:variant>
        <vt:i4>5</vt:i4>
      </vt:variant>
      <vt:variant>
        <vt:lpwstr/>
      </vt:variant>
      <vt:variant>
        <vt:lpwstr>_ENREF_39</vt:lpwstr>
      </vt:variant>
      <vt:variant>
        <vt:i4>7667771</vt:i4>
      </vt:variant>
      <vt:variant>
        <vt:i4>3539</vt:i4>
      </vt:variant>
      <vt:variant>
        <vt:i4>0</vt:i4>
      </vt:variant>
      <vt:variant>
        <vt:i4>5</vt:i4>
      </vt:variant>
      <vt:variant>
        <vt:lpwstr/>
      </vt:variant>
      <vt:variant>
        <vt:lpwstr>_ENREF_105</vt:lpwstr>
      </vt:variant>
      <vt:variant>
        <vt:i4>7340090</vt:i4>
      </vt:variant>
      <vt:variant>
        <vt:i4>3535</vt:i4>
      </vt:variant>
      <vt:variant>
        <vt:i4>0</vt:i4>
      </vt:variant>
      <vt:variant>
        <vt:i4>5</vt:i4>
      </vt:variant>
      <vt:variant>
        <vt:lpwstr/>
      </vt:variant>
      <vt:variant>
        <vt:lpwstr>_ENREF_110</vt:lpwstr>
      </vt:variant>
      <vt:variant>
        <vt:i4>4718603</vt:i4>
      </vt:variant>
      <vt:variant>
        <vt:i4>3532</vt:i4>
      </vt:variant>
      <vt:variant>
        <vt:i4>0</vt:i4>
      </vt:variant>
      <vt:variant>
        <vt:i4>5</vt:i4>
      </vt:variant>
      <vt:variant>
        <vt:lpwstr/>
      </vt:variant>
      <vt:variant>
        <vt:lpwstr>_ENREF_93</vt:lpwstr>
      </vt:variant>
      <vt:variant>
        <vt:i4>4194315</vt:i4>
      </vt:variant>
      <vt:variant>
        <vt:i4>3529</vt:i4>
      </vt:variant>
      <vt:variant>
        <vt:i4>0</vt:i4>
      </vt:variant>
      <vt:variant>
        <vt:i4>5</vt:i4>
      </vt:variant>
      <vt:variant>
        <vt:lpwstr/>
      </vt:variant>
      <vt:variant>
        <vt:lpwstr>_ENREF_10</vt:lpwstr>
      </vt:variant>
      <vt:variant>
        <vt:i4>7929914</vt:i4>
      </vt:variant>
      <vt:variant>
        <vt:i4>3494</vt:i4>
      </vt:variant>
      <vt:variant>
        <vt:i4>0</vt:i4>
      </vt:variant>
      <vt:variant>
        <vt:i4>5</vt:i4>
      </vt:variant>
      <vt:variant>
        <vt:lpwstr/>
      </vt:variant>
      <vt:variant>
        <vt:lpwstr>_ENREF_119</vt:lpwstr>
      </vt:variant>
      <vt:variant>
        <vt:i4>4325387</vt:i4>
      </vt:variant>
      <vt:variant>
        <vt:i4>3491</vt:i4>
      </vt:variant>
      <vt:variant>
        <vt:i4>0</vt:i4>
      </vt:variant>
      <vt:variant>
        <vt:i4>5</vt:i4>
      </vt:variant>
      <vt:variant>
        <vt:lpwstr/>
      </vt:variant>
      <vt:variant>
        <vt:lpwstr>_ENREF_3</vt:lpwstr>
      </vt:variant>
      <vt:variant>
        <vt:i4>7340090</vt:i4>
      </vt:variant>
      <vt:variant>
        <vt:i4>3471</vt:i4>
      </vt:variant>
      <vt:variant>
        <vt:i4>0</vt:i4>
      </vt:variant>
      <vt:variant>
        <vt:i4>5</vt:i4>
      </vt:variant>
      <vt:variant>
        <vt:lpwstr/>
      </vt:variant>
      <vt:variant>
        <vt:lpwstr>_ENREF_110</vt:lpwstr>
      </vt:variant>
      <vt:variant>
        <vt:i4>4194315</vt:i4>
      </vt:variant>
      <vt:variant>
        <vt:i4>3468</vt:i4>
      </vt:variant>
      <vt:variant>
        <vt:i4>0</vt:i4>
      </vt:variant>
      <vt:variant>
        <vt:i4>5</vt:i4>
      </vt:variant>
      <vt:variant>
        <vt:lpwstr/>
      </vt:variant>
      <vt:variant>
        <vt:lpwstr>_ENREF_10</vt:lpwstr>
      </vt:variant>
      <vt:variant>
        <vt:i4>7929914</vt:i4>
      </vt:variant>
      <vt:variant>
        <vt:i4>3462</vt:i4>
      </vt:variant>
      <vt:variant>
        <vt:i4>0</vt:i4>
      </vt:variant>
      <vt:variant>
        <vt:i4>5</vt:i4>
      </vt:variant>
      <vt:variant>
        <vt:lpwstr/>
      </vt:variant>
      <vt:variant>
        <vt:lpwstr>_ENREF_119</vt:lpwstr>
      </vt:variant>
      <vt:variant>
        <vt:i4>4325387</vt:i4>
      </vt:variant>
      <vt:variant>
        <vt:i4>3459</vt:i4>
      </vt:variant>
      <vt:variant>
        <vt:i4>0</vt:i4>
      </vt:variant>
      <vt:variant>
        <vt:i4>5</vt:i4>
      </vt:variant>
      <vt:variant>
        <vt:lpwstr/>
      </vt:variant>
      <vt:variant>
        <vt:lpwstr>_ENREF_3</vt:lpwstr>
      </vt:variant>
      <vt:variant>
        <vt:i4>4325387</vt:i4>
      </vt:variant>
      <vt:variant>
        <vt:i4>3449</vt:i4>
      </vt:variant>
      <vt:variant>
        <vt:i4>0</vt:i4>
      </vt:variant>
      <vt:variant>
        <vt:i4>5</vt:i4>
      </vt:variant>
      <vt:variant>
        <vt:lpwstr/>
      </vt:variant>
      <vt:variant>
        <vt:lpwstr>_ENREF_30</vt:lpwstr>
      </vt:variant>
      <vt:variant>
        <vt:i4>7602233</vt:i4>
      </vt:variant>
      <vt:variant>
        <vt:i4>3443</vt:i4>
      </vt:variant>
      <vt:variant>
        <vt:i4>0</vt:i4>
      </vt:variant>
      <vt:variant>
        <vt:i4>5</vt:i4>
      </vt:variant>
      <vt:variant>
        <vt:lpwstr/>
      </vt:variant>
      <vt:variant>
        <vt:lpwstr>_ENREF_227</vt:lpwstr>
      </vt:variant>
      <vt:variant>
        <vt:i4>7602233</vt:i4>
      </vt:variant>
      <vt:variant>
        <vt:i4>3434</vt:i4>
      </vt:variant>
      <vt:variant>
        <vt:i4>0</vt:i4>
      </vt:variant>
      <vt:variant>
        <vt:i4>5</vt:i4>
      </vt:variant>
      <vt:variant>
        <vt:lpwstr/>
      </vt:variant>
      <vt:variant>
        <vt:lpwstr>_ENREF_227</vt:lpwstr>
      </vt:variant>
      <vt:variant>
        <vt:i4>4718603</vt:i4>
      </vt:variant>
      <vt:variant>
        <vt:i4>3428</vt:i4>
      </vt:variant>
      <vt:variant>
        <vt:i4>0</vt:i4>
      </vt:variant>
      <vt:variant>
        <vt:i4>5</vt:i4>
      </vt:variant>
      <vt:variant>
        <vt:lpwstr/>
      </vt:variant>
      <vt:variant>
        <vt:lpwstr>_ENREF_93</vt:lpwstr>
      </vt:variant>
      <vt:variant>
        <vt:i4>7602233</vt:i4>
      </vt:variant>
      <vt:variant>
        <vt:i4>3419</vt:i4>
      </vt:variant>
      <vt:variant>
        <vt:i4>0</vt:i4>
      </vt:variant>
      <vt:variant>
        <vt:i4>5</vt:i4>
      </vt:variant>
      <vt:variant>
        <vt:lpwstr/>
      </vt:variant>
      <vt:variant>
        <vt:lpwstr>_ENREF_227</vt:lpwstr>
      </vt:variant>
      <vt:variant>
        <vt:i4>4718603</vt:i4>
      </vt:variant>
      <vt:variant>
        <vt:i4>3413</vt:i4>
      </vt:variant>
      <vt:variant>
        <vt:i4>0</vt:i4>
      </vt:variant>
      <vt:variant>
        <vt:i4>5</vt:i4>
      </vt:variant>
      <vt:variant>
        <vt:lpwstr/>
      </vt:variant>
      <vt:variant>
        <vt:lpwstr>_ENREF_93</vt:lpwstr>
      </vt:variant>
      <vt:variant>
        <vt:i4>4718603</vt:i4>
      </vt:variant>
      <vt:variant>
        <vt:i4>3407</vt:i4>
      </vt:variant>
      <vt:variant>
        <vt:i4>0</vt:i4>
      </vt:variant>
      <vt:variant>
        <vt:i4>5</vt:i4>
      </vt:variant>
      <vt:variant>
        <vt:lpwstr/>
      </vt:variant>
      <vt:variant>
        <vt:lpwstr>_ENREF_93</vt:lpwstr>
      </vt:variant>
      <vt:variant>
        <vt:i4>7405625</vt:i4>
      </vt:variant>
      <vt:variant>
        <vt:i4>3398</vt:i4>
      </vt:variant>
      <vt:variant>
        <vt:i4>0</vt:i4>
      </vt:variant>
      <vt:variant>
        <vt:i4>5</vt:i4>
      </vt:variant>
      <vt:variant>
        <vt:lpwstr/>
      </vt:variant>
      <vt:variant>
        <vt:lpwstr>_ENREF_222</vt:lpwstr>
      </vt:variant>
      <vt:variant>
        <vt:i4>7405625</vt:i4>
      </vt:variant>
      <vt:variant>
        <vt:i4>3392</vt:i4>
      </vt:variant>
      <vt:variant>
        <vt:i4>0</vt:i4>
      </vt:variant>
      <vt:variant>
        <vt:i4>5</vt:i4>
      </vt:variant>
      <vt:variant>
        <vt:lpwstr/>
      </vt:variant>
      <vt:variant>
        <vt:lpwstr>_ENREF_222</vt:lpwstr>
      </vt:variant>
      <vt:variant>
        <vt:i4>7405625</vt:i4>
      </vt:variant>
      <vt:variant>
        <vt:i4>3383</vt:i4>
      </vt:variant>
      <vt:variant>
        <vt:i4>0</vt:i4>
      </vt:variant>
      <vt:variant>
        <vt:i4>5</vt:i4>
      </vt:variant>
      <vt:variant>
        <vt:lpwstr/>
      </vt:variant>
      <vt:variant>
        <vt:lpwstr>_ENREF_222</vt:lpwstr>
      </vt:variant>
      <vt:variant>
        <vt:i4>7864380</vt:i4>
      </vt:variant>
      <vt:variant>
        <vt:i4>3377</vt:i4>
      </vt:variant>
      <vt:variant>
        <vt:i4>0</vt:i4>
      </vt:variant>
      <vt:variant>
        <vt:i4>5</vt:i4>
      </vt:variant>
      <vt:variant>
        <vt:lpwstr/>
      </vt:variant>
      <vt:variant>
        <vt:lpwstr>_ENREF_178</vt:lpwstr>
      </vt:variant>
      <vt:variant>
        <vt:i4>7929916</vt:i4>
      </vt:variant>
      <vt:variant>
        <vt:i4>3302</vt:i4>
      </vt:variant>
      <vt:variant>
        <vt:i4>0</vt:i4>
      </vt:variant>
      <vt:variant>
        <vt:i4>5</vt:i4>
      </vt:variant>
      <vt:variant>
        <vt:lpwstr/>
      </vt:variant>
      <vt:variant>
        <vt:lpwstr>_ENREF_179</vt:lpwstr>
      </vt:variant>
      <vt:variant>
        <vt:i4>4456459</vt:i4>
      </vt:variant>
      <vt:variant>
        <vt:i4>3281</vt:i4>
      </vt:variant>
      <vt:variant>
        <vt:i4>0</vt:i4>
      </vt:variant>
      <vt:variant>
        <vt:i4>5</vt:i4>
      </vt:variant>
      <vt:variant>
        <vt:lpwstr/>
      </vt:variant>
      <vt:variant>
        <vt:lpwstr>_ENREF_56</vt:lpwstr>
      </vt:variant>
      <vt:variant>
        <vt:i4>4456459</vt:i4>
      </vt:variant>
      <vt:variant>
        <vt:i4>3275</vt:i4>
      </vt:variant>
      <vt:variant>
        <vt:i4>0</vt:i4>
      </vt:variant>
      <vt:variant>
        <vt:i4>5</vt:i4>
      </vt:variant>
      <vt:variant>
        <vt:lpwstr/>
      </vt:variant>
      <vt:variant>
        <vt:lpwstr>_ENREF_54</vt:lpwstr>
      </vt:variant>
      <vt:variant>
        <vt:i4>4456459</vt:i4>
      </vt:variant>
      <vt:variant>
        <vt:i4>3269</vt:i4>
      </vt:variant>
      <vt:variant>
        <vt:i4>0</vt:i4>
      </vt:variant>
      <vt:variant>
        <vt:i4>5</vt:i4>
      </vt:variant>
      <vt:variant>
        <vt:lpwstr/>
      </vt:variant>
      <vt:variant>
        <vt:lpwstr>_ENREF_53</vt:lpwstr>
      </vt:variant>
      <vt:variant>
        <vt:i4>4456459</vt:i4>
      </vt:variant>
      <vt:variant>
        <vt:i4>3263</vt:i4>
      </vt:variant>
      <vt:variant>
        <vt:i4>0</vt:i4>
      </vt:variant>
      <vt:variant>
        <vt:i4>5</vt:i4>
      </vt:variant>
      <vt:variant>
        <vt:lpwstr/>
      </vt:variant>
      <vt:variant>
        <vt:lpwstr>_ENREF_55</vt:lpwstr>
      </vt:variant>
      <vt:variant>
        <vt:i4>7864380</vt:i4>
      </vt:variant>
      <vt:variant>
        <vt:i4>3257</vt:i4>
      </vt:variant>
      <vt:variant>
        <vt:i4>0</vt:i4>
      </vt:variant>
      <vt:variant>
        <vt:i4>5</vt:i4>
      </vt:variant>
      <vt:variant>
        <vt:lpwstr/>
      </vt:variant>
      <vt:variant>
        <vt:lpwstr>_ENREF_178</vt:lpwstr>
      </vt:variant>
      <vt:variant>
        <vt:i4>7864380</vt:i4>
      </vt:variant>
      <vt:variant>
        <vt:i4>3251</vt:i4>
      </vt:variant>
      <vt:variant>
        <vt:i4>0</vt:i4>
      </vt:variant>
      <vt:variant>
        <vt:i4>5</vt:i4>
      </vt:variant>
      <vt:variant>
        <vt:lpwstr/>
      </vt:variant>
      <vt:variant>
        <vt:lpwstr>_ENREF_178</vt:lpwstr>
      </vt:variant>
      <vt:variant>
        <vt:i4>7864380</vt:i4>
      </vt:variant>
      <vt:variant>
        <vt:i4>3245</vt:i4>
      </vt:variant>
      <vt:variant>
        <vt:i4>0</vt:i4>
      </vt:variant>
      <vt:variant>
        <vt:i4>5</vt:i4>
      </vt:variant>
      <vt:variant>
        <vt:lpwstr/>
      </vt:variant>
      <vt:variant>
        <vt:lpwstr>_ENREF_178</vt:lpwstr>
      </vt:variant>
      <vt:variant>
        <vt:i4>7864380</vt:i4>
      </vt:variant>
      <vt:variant>
        <vt:i4>3239</vt:i4>
      </vt:variant>
      <vt:variant>
        <vt:i4>0</vt:i4>
      </vt:variant>
      <vt:variant>
        <vt:i4>5</vt:i4>
      </vt:variant>
      <vt:variant>
        <vt:lpwstr/>
      </vt:variant>
      <vt:variant>
        <vt:lpwstr>_ENREF_178</vt:lpwstr>
      </vt:variant>
      <vt:variant>
        <vt:i4>7733310</vt:i4>
      </vt:variant>
      <vt:variant>
        <vt:i4>3230</vt:i4>
      </vt:variant>
      <vt:variant>
        <vt:i4>0</vt:i4>
      </vt:variant>
      <vt:variant>
        <vt:i4>5</vt:i4>
      </vt:variant>
      <vt:variant>
        <vt:lpwstr/>
      </vt:variant>
      <vt:variant>
        <vt:lpwstr>_ENREF_156</vt:lpwstr>
      </vt:variant>
      <vt:variant>
        <vt:i4>4653067</vt:i4>
      </vt:variant>
      <vt:variant>
        <vt:i4>3166</vt:i4>
      </vt:variant>
      <vt:variant>
        <vt:i4>0</vt:i4>
      </vt:variant>
      <vt:variant>
        <vt:i4>5</vt:i4>
      </vt:variant>
      <vt:variant>
        <vt:lpwstr/>
      </vt:variant>
      <vt:variant>
        <vt:lpwstr>_ENREF_60</vt:lpwstr>
      </vt:variant>
      <vt:variant>
        <vt:i4>4325387</vt:i4>
      </vt:variant>
      <vt:variant>
        <vt:i4>3163</vt:i4>
      </vt:variant>
      <vt:variant>
        <vt:i4>0</vt:i4>
      </vt:variant>
      <vt:variant>
        <vt:i4>5</vt:i4>
      </vt:variant>
      <vt:variant>
        <vt:lpwstr/>
      </vt:variant>
      <vt:variant>
        <vt:lpwstr>_ENREF_39</vt:lpwstr>
      </vt:variant>
      <vt:variant>
        <vt:i4>4653067</vt:i4>
      </vt:variant>
      <vt:variant>
        <vt:i4>3157</vt:i4>
      </vt:variant>
      <vt:variant>
        <vt:i4>0</vt:i4>
      </vt:variant>
      <vt:variant>
        <vt:i4>5</vt:i4>
      </vt:variant>
      <vt:variant>
        <vt:lpwstr/>
      </vt:variant>
      <vt:variant>
        <vt:lpwstr>_ENREF_62</vt:lpwstr>
      </vt:variant>
      <vt:variant>
        <vt:i4>4325387</vt:i4>
      </vt:variant>
      <vt:variant>
        <vt:i4>3154</vt:i4>
      </vt:variant>
      <vt:variant>
        <vt:i4>0</vt:i4>
      </vt:variant>
      <vt:variant>
        <vt:i4>5</vt:i4>
      </vt:variant>
      <vt:variant>
        <vt:lpwstr/>
      </vt:variant>
      <vt:variant>
        <vt:lpwstr>_ENREF_39</vt:lpwstr>
      </vt:variant>
      <vt:variant>
        <vt:i4>7929916</vt:i4>
      </vt:variant>
      <vt:variant>
        <vt:i4>3135</vt:i4>
      </vt:variant>
      <vt:variant>
        <vt:i4>0</vt:i4>
      </vt:variant>
      <vt:variant>
        <vt:i4>5</vt:i4>
      </vt:variant>
      <vt:variant>
        <vt:lpwstr/>
      </vt:variant>
      <vt:variant>
        <vt:lpwstr>_ENREF_179</vt:lpwstr>
      </vt:variant>
      <vt:variant>
        <vt:i4>7798847</vt:i4>
      </vt:variant>
      <vt:variant>
        <vt:i4>3131</vt:i4>
      </vt:variant>
      <vt:variant>
        <vt:i4>0</vt:i4>
      </vt:variant>
      <vt:variant>
        <vt:i4>5</vt:i4>
      </vt:variant>
      <vt:variant>
        <vt:lpwstr/>
      </vt:variant>
      <vt:variant>
        <vt:lpwstr>_ENREF_147</vt:lpwstr>
      </vt:variant>
      <vt:variant>
        <vt:i4>7340082</vt:i4>
      </vt:variant>
      <vt:variant>
        <vt:i4>3128</vt:i4>
      </vt:variant>
      <vt:variant>
        <vt:i4>0</vt:i4>
      </vt:variant>
      <vt:variant>
        <vt:i4>5</vt:i4>
      </vt:variant>
      <vt:variant>
        <vt:lpwstr/>
      </vt:variant>
      <vt:variant>
        <vt:lpwstr>_ENREF_190</vt:lpwstr>
      </vt:variant>
      <vt:variant>
        <vt:i4>7667775</vt:i4>
      </vt:variant>
      <vt:variant>
        <vt:i4>3125</vt:i4>
      </vt:variant>
      <vt:variant>
        <vt:i4>0</vt:i4>
      </vt:variant>
      <vt:variant>
        <vt:i4>5</vt:i4>
      </vt:variant>
      <vt:variant>
        <vt:lpwstr/>
      </vt:variant>
      <vt:variant>
        <vt:lpwstr>_ENREF_145</vt:lpwstr>
      </vt:variant>
      <vt:variant>
        <vt:i4>7471160</vt:i4>
      </vt:variant>
      <vt:variant>
        <vt:i4>3115</vt:i4>
      </vt:variant>
      <vt:variant>
        <vt:i4>0</vt:i4>
      </vt:variant>
      <vt:variant>
        <vt:i4>5</vt:i4>
      </vt:variant>
      <vt:variant>
        <vt:lpwstr/>
      </vt:variant>
      <vt:variant>
        <vt:lpwstr>_ENREF_231</vt:lpwstr>
      </vt:variant>
      <vt:variant>
        <vt:i4>7667774</vt:i4>
      </vt:variant>
      <vt:variant>
        <vt:i4>3109</vt:i4>
      </vt:variant>
      <vt:variant>
        <vt:i4>0</vt:i4>
      </vt:variant>
      <vt:variant>
        <vt:i4>5</vt:i4>
      </vt:variant>
      <vt:variant>
        <vt:lpwstr/>
      </vt:variant>
      <vt:variant>
        <vt:lpwstr>_ENREF_256</vt:lpwstr>
      </vt:variant>
      <vt:variant>
        <vt:i4>4718603</vt:i4>
      </vt:variant>
      <vt:variant>
        <vt:i4>3103</vt:i4>
      </vt:variant>
      <vt:variant>
        <vt:i4>0</vt:i4>
      </vt:variant>
      <vt:variant>
        <vt:i4>5</vt:i4>
      </vt:variant>
      <vt:variant>
        <vt:lpwstr/>
      </vt:variant>
      <vt:variant>
        <vt:lpwstr>_ENREF_90</vt:lpwstr>
      </vt:variant>
      <vt:variant>
        <vt:i4>4521995</vt:i4>
      </vt:variant>
      <vt:variant>
        <vt:i4>3097</vt:i4>
      </vt:variant>
      <vt:variant>
        <vt:i4>0</vt:i4>
      </vt:variant>
      <vt:variant>
        <vt:i4>5</vt:i4>
      </vt:variant>
      <vt:variant>
        <vt:lpwstr/>
      </vt:variant>
      <vt:variant>
        <vt:lpwstr>_ENREF_46</vt:lpwstr>
      </vt:variant>
      <vt:variant>
        <vt:i4>7340082</vt:i4>
      </vt:variant>
      <vt:variant>
        <vt:i4>3091</vt:i4>
      </vt:variant>
      <vt:variant>
        <vt:i4>0</vt:i4>
      </vt:variant>
      <vt:variant>
        <vt:i4>5</vt:i4>
      </vt:variant>
      <vt:variant>
        <vt:lpwstr/>
      </vt:variant>
      <vt:variant>
        <vt:lpwstr>_ENREF_190</vt:lpwstr>
      </vt:variant>
      <vt:variant>
        <vt:i4>7733299</vt:i4>
      </vt:variant>
      <vt:variant>
        <vt:i4>3064</vt:i4>
      </vt:variant>
      <vt:variant>
        <vt:i4>0</vt:i4>
      </vt:variant>
      <vt:variant>
        <vt:i4>5</vt:i4>
      </vt:variant>
      <vt:variant>
        <vt:lpwstr/>
      </vt:variant>
      <vt:variant>
        <vt:lpwstr>_ENREF_186</vt:lpwstr>
      </vt:variant>
      <vt:variant>
        <vt:i4>7340090</vt:i4>
      </vt:variant>
      <vt:variant>
        <vt:i4>3060</vt:i4>
      </vt:variant>
      <vt:variant>
        <vt:i4>0</vt:i4>
      </vt:variant>
      <vt:variant>
        <vt:i4>5</vt:i4>
      </vt:variant>
      <vt:variant>
        <vt:lpwstr/>
      </vt:variant>
      <vt:variant>
        <vt:lpwstr>_ENREF_110</vt:lpwstr>
      </vt:variant>
      <vt:variant>
        <vt:i4>4194315</vt:i4>
      </vt:variant>
      <vt:variant>
        <vt:i4>3057</vt:i4>
      </vt:variant>
      <vt:variant>
        <vt:i4>0</vt:i4>
      </vt:variant>
      <vt:variant>
        <vt:i4>5</vt:i4>
      </vt:variant>
      <vt:variant>
        <vt:lpwstr/>
      </vt:variant>
      <vt:variant>
        <vt:lpwstr>_ENREF_10</vt:lpwstr>
      </vt:variant>
      <vt:variant>
        <vt:i4>7405627</vt:i4>
      </vt:variant>
      <vt:variant>
        <vt:i4>3052</vt:i4>
      </vt:variant>
      <vt:variant>
        <vt:i4>0</vt:i4>
      </vt:variant>
      <vt:variant>
        <vt:i4>5</vt:i4>
      </vt:variant>
      <vt:variant>
        <vt:lpwstr/>
      </vt:variant>
      <vt:variant>
        <vt:lpwstr>_ENREF_101</vt:lpwstr>
      </vt:variant>
      <vt:variant>
        <vt:i4>4325387</vt:i4>
      </vt:variant>
      <vt:variant>
        <vt:i4>3046</vt:i4>
      </vt:variant>
      <vt:variant>
        <vt:i4>0</vt:i4>
      </vt:variant>
      <vt:variant>
        <vt:i4>5</vt:i4>
      </vt:variant>
      <vt:variant>
        <vt:lpwstr/>
      </vt:variant>
      <vt:variant>
        <vt:lpwstr>_ENREF_3</vt:lpwstr>
      </vt:variant>
      <vt:variant>
        <vt:i4>4456459</vt:i4>
      </vt:variant>
      <vt:variant>
        <vt:i4>3042</vt:i4>
      </vt:variant>
      <vt:variant>
        <vt:i4>0</vt:i4>
      </vt:variant>
      <vt:variant>
        <vt:i4>5</vt:i4>
      </vt:variant>
      <vt:variant>
        <vt:lpwstr/>
      </vt:variant>
      <vt:variant>
        <vt:lpwstr>_ENREF_59</vt:lpwstr>
      </vt:variant>
      <vt:variant>
        <vt:i4>4325387</vt:i4>
      </vt:variant>
      <vt:variant>
        <vt:i4>3039</vt:i4>
      </vt:variant>
      <vt:variant>
        <vt:i4>0</vt:i4>
      </vt:variant>
      <vt:variant>
        <vt:i4>5</vt:i4>
      </vt:variant>
      <vt:variant>
        <vt:lpwstr/>
      </vt:variant>
      <vt:variant>
        <vt:lpwstr>_ENREF_34</vt:lpwstr>
      </vt:variant>
      <vt:variant>
        <vt:i4>7929914</vt:i4>
      </vt:variant>
      <vt:variant>
        <vt:i4>3036</vt:i4>
      </vt:variant>
      <vt:variant>
        <vt:i4>0</vt:i4>
      </vt:variant>
      <vt:variant>
        <vt:i4>5</vt:i4>
      </vt:variant>
      <vt:variant>
        <vt:lpwstr/>
      </vt:variant>
      <vt:variant>
        <vt:lpwstr>_ENREF_119</vt:lpwstr>
      </vt:variant>
      <vt:variant>
        <vt:i4>4325387</vt:i4>
      </vt:variant>
      <vt:variant>
        <vt:i4>3033</vt:i4>
      </vt:variant>
      <vt:variant>
        <vt:i4>0</vt:i4>
      </vt:variant>
      <vt:variant>
        <vt:i4>5</vt:i4>
      </vt:variant>
      <vt:variant>
        <vt:lpwstr/>
      </vt:variant>
      <vt:variant>
        <vt:lpwstr>_ENREF_3</vt:lpwstr>
      </vt:variant>
      <vt:variant>
        <vt:i4>4456459</vt:i4>
      </vt:variant>
      <vt:variant>
        <vt:i4>3017</vt:i4>
      </vt:variant>
      <vt:variant>
        <vt:i4>0</vt:i4>
      </vt:variant>
      <vt:variant>
        <vt:i4>5</vt:i4>
      </vt:variant>
      <vt:variant>
        <vt:lpwstr/>
      </vt:variant>
      <vt:variant>
        <vt:lpwstr>_ENREF_58</vt:lpwstr>
      </vt:variant>
      <vt:variant>
        <vt:i4>4456459</vt:i4>
      </vt:variant>
      <vt:variant>
        <vt:i4>3011</vt:i4>
      </vt:variant>
      <vt:variant>
        <vt:i4>0</vt:i4>
      </vt:variant>
      <vt:variant>
        <vt:i4>5</vt:i4>
      </vt:variant>
      <vt:variant>
        <vt:lpwstr/>
      </vt:variant>
      <vt:variant>
        <vt:lpwstr>_ENREF_58</vt:lpwstr>
      </vt:variant>
      <vt:variant>
        <vt:i4>7798843</vt:i4>
      </vt:variant>
      <vt:variant>
        <vt:i4>3005</vt:i4>
      </vt:variant>
      <vt:variant>
        <vt:i4>0</vt:i4>
      </vt:variant>
      <vt:variant>
        <vt:i4>5</vt:i4>
      </vt:variant>
      <vt:variant>
        <vt:lpwstr/>
      </vt:variant>
      <vt:variant>
        <vt:lpwstr>_ENREF_204</vt:lpwstr>
      </vt:variant>
      <vt:variant>
        <vt:i4>7602238</vt:i4>
      </vt:variant>
      <vt:variant>
        <vt:i4>2999</vt:i4>
      </vt:variant>
      <vt:variant>
        <vt:i4>0</vt:i4>
      </vt:variant>
      <vt:variant>
        <vt:i4>5</vt:i4>
      </vt:variant>
      <vt:variant>
        <vt:lpwstr/>
      </vt:variant>
      <vt:variant>
        <vt:lpwstr>_ENREF_257</vt:lpwstr>
      </vt:variant>
      <vt:variant>
        <vt:i4>4456459</vt:i4>
      </vt:variant>
      <vt:variant>
        <vt:i4>2993</vt:i4>
      </vt:variant>
      <vt:variant>
        <vt:i4>0</vt:i4>
      </vt:variant>
      <vt:variant>
        <vt:i4>5</vt:i4>
      </vt:variant>
      <vt:variant>
        <vt:lpwstr/>
      </vt:variant>
      <vt:variant>
        <vt:lpwstr>_ENREF_58</vt:lpwstr>
      </vt:variant>
      <vt:variant>
        <vt:i4>4784139</vt:i4>
      </vt:variant>
      <vt:variant>
        <vt:i4>2978</vt:i4>
      </vt:variant>
      <vt:variant>
        <vt:i4>0</vt:i4>
      </vt:variant>
      <vt:variant>
        <vt:i4>5</vt:i4>
      </vt:variant>
      <vt:variant>
        <vt:lpwstr/>
      </vt:variant>
      <vt:variant>
        <vt:lpwstr>_ENREF_89</vt:lpwstr>
      </vt:variant>
      <vt:variant>
        <vt:i4>7536700</vt:i4>
      </vt:variant>
      <vt:variant>
        <vt:i4>2972</vt:i4>
      </vt:variant>
      <vt:variant>
        <vt:i4>0</vt:i4>
      </vt:variant>
      <vt:variant>
        <vt:i4>5</vt:i4>
      </vt:variant>
      <vt:variant>
        <vt:lpwstr/>
      </vt:variant>
      <vt:variant>
        <vt:lpwstr>_ENREF_173</vt:lpwstr>
      </vt:variant>
      <vt:variant>
        <vt:i4>4784139</vt:i4>
      </vt:variant>
      <vt:variant>
        <vt:i4>2966</vt:i4>
      </vt:variant>
      <vt:variant>
        <vt:i4>0</vt:i4>
      </vt:variant>
      <vt:variant>
        <vt:i4>5</vt:i4>
      </vt:variant>
      <vt:variant>
        <vt:lpwstr/>
      </vt:variant>
      <vt:variant>
        <vt:lpwstr>_ENREF_89</vt:lpwstr>
      </vt:variant>
      <vt:variant>
        <vt:i4>7798845</vt:i4>
      </vt:variant>
      <vt:variant>
        <vt:i4>2957</vt:i4>
      </vt:variant>
      <vt:variant>
        <vt:i4>0</vt:i4>
      </vt:variant>
      <vt:variant>
        <vt:i4>5</vt:i4>
      </vt:variant>
      <vt:variant>
        <vt:lpwstr/>
      </vt:variant>
      <vt:variant>
        <vt:lpwstr>_ENREF_264</vt:lpwstr>
      </vt:variant>
      <vt:variant>
        <vt:i4>7798845</vt:i4>
      </vt:variant>
      <vt:variant>
        <vt:i4>2951</vt:i4>
      </vt:variant>
      <vt:variant>
        <vt:i4>0</vt:i4>
      </vt:variant>
      <vt:variant>
        <vt:i4>5</vt:i4>
      </vt:variant>
      <vt:variant>
        <vt:lpwstr/>
      </vt:variant>
      <vt:variant>
        <vt:lpwstr>_ENREF_264</vt:lpwstr>
      </vt:variant>
      <vt:variant>
        <vt:i4>7536698</vt:i4>
      </vt:variant>
      <vt:variant>
        <vt:i4>2945</vt:i4>
      </vt:variant>
      <vt:variant>
        <vt:i4>0</vt:i4>
      </vt:variant>
      <vt:variant>
        <vt:i4>5</vt:i4>
      </vt:variant>
      <vt:variant>
        <vt:lpwstr/>
      </vt:variant>
      <vt:variant>
        <vt:lpwstr>_ENREF_210</vt:lpwstr>
      </vt:variant>
      <vt:variant>
        <vt:i4>7340093</vt:i4>
      </vt:variant>
      <vt:variant>
        <vt:i4>2939</vt:i4>
      </vt:variant>
      <vt:variant>
        <vt:i4>0</vt:i4>
      </vt:variant>
      <vt:variant>
        <vt:i4>5</vt:i4>
      </vt:variant>
      <vt:variant>
        <vt:lpwstr/>
      </vt:variant>
      <vt:variant>
        <vt:lpwstr>_ENREF_263</vt:lpwstr>
      </vt:variant>
      <vt:variant>
        <vt:i4>7798845</vt:i4>
      </vt:variant>
      <vt:variant>
        <vt:i4>2933</vt:i4>
      </vt:variant>
      <vt:variant>
        <vt:i4>0</vt:i4>
      </vt:variant>
      <vt:variant>
        <vt:i4>5</vt:i4>
      </vt:variant>
      <vt:variant>
        <vt:lpwstr/>
      </vt:variant>
      <vt:variant>
        <vt:lpwstr>_ENREF_264</vt:lpwstr>
      </vt:variant>
      <vt:variant>
        <vt:i4>4456459</vt:i4>
      </vt:variant>
      <vt:variant>
        <vt:i4>2927</vt:i4>
      </vt:variant>
      <vt:variant>
        <vt:i4>0</vt:i4>
      </vt:variant>
      <vt:variant>
        <vt:i4>5</vt:i4>
      </vt:variant>
      <vt:variant>
        <vt:lpwstr/>
      </vt:variant>
      <vt:variant>
        <vt:lpwstr>_ENREF_57</vt:lpwstr>
      </vt:variant>
      <vt:variant>
        <vt:i4>7471167</vt:i4>
      </vt:variant>
      <vt:variant>
        <vt:i4>2921</vt:i4>
      </vt:variant>
      <vt:variant>
        <vt:i4>0</vt:i4>
      </vt:variant>
      <vt:variant>
        <vt:i4>5</vt:i4>
      </vt:variant>
      <vt:variant>
        <vt:lpwstr/>
      </vt:variant>
      <vt:variant>
        <vt:lpwstr>_ENREF_142</vt:lpwstr>
      </vt:variant>
      <vt:variant>
        <vt:i4>4390923</vt:i4>
      </vt:variant>
      <vt:variant>
        <vt:i4>2915</vt:i4>
      </vt:variant>
      <vt:variant>
        <vt:i4>0</vt:i4>
      </vt:variant>
      <vt:variant>
        <vt:i4>5</vt:i4>
      </vt:variant>
      <vt:variant>
        <vt:lpwstr/>
      </vt:variant>
      <vt:variant>
        <vt:lpwstr>_ENREF_28</vt:lpwstr>
      </vt:variant>
      <vt:variant>
        <vt:i4>7340091</vt:i4>
      </vt:variant>
      <vt:variant>
        <vt:i4>2909</vt:i4>
      </vt:variant>
      <vt:variant>
        <vt:i4>0</vt:i4>
      </vt:variant>
      <vt:variant>
        <vt:i4>5</vt:i4>
      </vt:variant>
      <vt:variant>
        <vt:lpwstr/>
      </vt:variant>
      <vt:variant>
        <vt:lpwstr>_ENREF_203</vt:lpwstr>
      </vt:variant>
      <vt:variant>
        <vt:i4>4390923</vt:i4>
      </vt:variant>
      <vt:variant>
        <vt:i4>2903</vt:i4>
      </vt:variant>
      <vt:variant>
        <vt:i4>0</vt:i4>
      </vt:variant>
      <vt:variant>
        <vt:i4>5</vt:i4>
      </vt:variant>
      <vt:variant>
        <vt:lpwstr/>
      </vt:variant>
      <vt:variant>
        <vt:lpwstr>_ENREF_28</vt:lpwstr>
      </vt:variant>
      <vt:variant>
        <vt:i4>7405629</vt:i4>
      </vt:variant>
      <vt:variant>
        <vt:i4>2897</vt:i4>
      </vt:variant>
      <vt:variant>
        <vt:i4>0</vt:i4>
      </vt:variant>
      <vt:variant>
        <vt:i4>5</vt:i4>
      </vt:variant>
      <vt:variant>
        <vt:lpwstr/>
      </vt:variant>
      <vt:variant>
        <vt:lpwstr>_ENREF_262</vt:lpwstr>
      </vt:variant>
      <vt:variant>
        <vt:i4>7733311</vt:i4>
      </vt:variant>
      <vt:variant>
        <vt:i4>2891</vt:i4>
      </vt:variant>
      <vt:variant>
        <vt:i4>0</vt:i4>
      </vt:variant>
      <vt:variant>
        <vt:i4>5</vt:i4>
      </vt:variant>
      <vt:variant>
        <vt:lpwstr/>
      </vt:variant>
      <vt:variant>
        <vt:lpwstr>_ENREF_146</vt:lpwstr>
      </vt:variant>
      <vt:variant>
        <vt:i4>7405629</vt:i4>
      </vt:variant>
      <vt:variant>
        <vt:i4>2887</vt:i4>
      </vt:variant>
      <vt:variant>
        <vt:i4>0</vt:i4>
      </vt:variant>
      <vt:variant>
        <vt:i4>5</vt:i4>
      </vt:variant>
      <vt:variant>
        <vt:lpwstr/>
      </vt:variant>
      <vt:variant>
        <vt:lpwstr>_ENREF_262</vt:lpwstr>
      </vt:variant>
      <vt:variant>
        <vt:i4>4587531</vt:i4>
      </vt:variant>
      <vt:variant>
        <vt:i4>2884</vt:i4>
      </vt:variant>
      <vt:variant>
        <vt:i4>0</vt:i4>
      </vt:variant>
      <vt:variant>
        <vt:i4>5</vt:i4>
      </vt:variant>
      <vt:variant>
        <vt:lpwstr/>
      </vt:variant>
      <vt:variant>
        <vt:lpwstr>_ENREF_71</vt:lpwstr>
      </vt:variant>
      <vt:variant>
        <vt:i4>7471166</vt:i4>
      </vt:variant>
      <vt:variant>
        <vt:i4>2873</vt:i4>
      </vt:variant>
      <vt:variant>
        <vt:i4>0</vt:i4>
      </vt:variant>
      <vt:variant>
        <vt:i4>5</vt:i4>
      </vt:variant>
      <vt:variant>
        <vt:lpwstr/>
      </vt:variant>
      <vt:variant>
        <vt:lpwstr>_ENREF_251</vt:lpwstr>
      </vt:variant>
      <vt:variant>
        <vt:i4>4325387</vt:i4>
      </vt:variant>
      <vt:variant>
        <vt:i4>2869</vt:i4>
      </vt:variant>
      <vt:variant>
        <vt:i4>0</vt:i4>
      </vt:variant>
      <vt:variant>
        <vt:i4>5</vt:i4>
      </vt:variant>
      <vt:variant>
        <vt:lpwstr/>
      </vt:variant>
      <vt:variant>
        <vt:lpwstr>_ENREF_39</vt:lpwstr>
      </vt:variant>
      <vt:variant>
        <vt:i4>4390923</vt:i4>
      </vt:variant>
      <vt:variant>
        <vt:i4>2866</vt:i4>
      </vt:variant>
      <vt:variant>
        <vt:i4>0</vt:i4>
      </vt:variant>
      <vt:variant>
        <vt:i4>5</vt:i4>
      </vt:variant>
      <vt:variant>
        <vt:lpwstr/>
      </vt:variant>
      <vt:variant>
        <vt:lpwstr>_ENREF_20</vt:lpwstr>
      </vt:variant>
      <vt:variant>
        <vt:i4>7667768</vt:i4>
      </vt:variant>
      <vt:variant>
        <vt:i4>2863</vt:i4>
      </vt:variant>
      <vt:variant>
        <vt:i4>0</vt:i4>
      </vt:variant>
      <vt:variant>
        <vt:i4>5</vt:i4>
      </vt:variant>
      <vt:variant>
        <vt:lpwstr/>
      </vt:variant>
      <vt:variant>
        <vt:lpwstr>_ENREF_236</vt:lpwstr>
      </vt:variant>
      <vt:variant>
        <vt:i4>4718603</vt:i4>
      </vt:variant>
      <vt:variant>
        <vt:i4>2860</vt:i4>
      </vt:variant>
      <vt:variant>
        <vt:i4>0</vt:i4>
      </vt:variant>
      <vt:variant>
        <vt:i4>5</vt:i4>
      </vt:variant>
      <vt:variant>
        <vt:lpwstr/>
      </vt:variant>
      <vt:variant>
        <vt:lpwstr>_ENREF_98</vt:lpwstr>
      </vt:variant>
      <vt:variant>
        <vt:i4>7667771</vt:i4>
      </vt:variant>
      <vt:variant>
        <vt:i4>2850</vt:i4>
      </vt:variant>
      <vt:variant>
        <vt:i4>0</vt:i4>
      </vt:variant>
      <vt:variant>
        <vt:i4>5</vt:i4>
      </vt:variant>
      <vt:variant>
        <vt:lpwstr/>
      </vt:variant>
      <vt:variant>
        <vt:lpwstr>_ENREF_206</vt:lpwstr>
      </vt:variant>
      <vt:variant>
        <vt:i4>7471166</vt:i4>
      </vt:variant>
      <vt:variant>
        <vt:i4>2844</vt:i4>
      </vt:variant>
      <vt:variant>
        <vt:i4>0</vt:i4>
      </vt:variant>
      <vt:variant>
        <vt:i4>5</vt:i4>
      </vt:variant>
      <vt:variant>
        <vt:lpwstr/>
      </vt:variant>
      <vt:variant>
        <vt:lpwstr>_ENREF_251</vt:lpwstr>
      </vt:variant>
      <vt:variant>
        <vt:i4>7602227</vt:i4>
      </vt:variant>
      <vt:variant>
        <vt:i4>2838</vt:i4>
      </vt:variant>
      <vt:variant>
        <vt:i4>0</vt:i4>
      </vt:variant>
      <vt:variant>
        <vt:i4>5</vt:i4>
      </vt:variant>
      <vt:variant>
        <vt:lpwstr/>
      </vt:variant>
      <vt:variant>
        <vt:lpwstr>_ENREF_184</vt:lpwstr>
      </vt:variant>
      <vt:variant>
        <vt:i4>7340093</vt:i4>
      </vt:variant>
      <vt:variant>
        <vt:i4>2826</vt:i4>
      </vt:variant>
      <vt:variant>
        <vt:i4>0</vt:i4>
      </vt:variant>
      <vt:variant>
        <vt:i4>5</vt:i4>
      </vt:variant>
      <vt:variant>
        <vt:lpwstr/>
      </vt:variant>
      <vt:variant>
        <vt:lpwstr>_ENREF_160</vt:lpwstr>
      </vt:variant>
      <vt:variant>
        <vt:i4>7864383</vt:i4>
      </vt:variant>
      <vt:variant>
        <vt:i4>2820</vt:i4>
      </vt:variant>
      <vt:variant>
        <vt:i4>0</vt:i4>
      </vt:variant>
      <vt:variant>
        <vt:i4>5</vt:i4>
      </vt:variant>
      <vt:variant>
        <vt:lpwstr/>
      </vt:variant>
      <vt:variant>
        <vt:lpwstr>_ENREF_148</vt:lpwstr>
      </vt:variant>
      <vt:variant>
        <vt:i4>7864383</vt:i4>
      </vt:variant>
      <vt:variant>
        <vt:i4>2814</vt:i4>
      </vt:variant>
      <vt:variant>
        <vt:i4>0</vt:i4>
      </vt:variant>
      <vt:variant>
        <vt:i4>5</vt:i4>
      </vt:variant>
      <vt:variant>
        <vt:lpwstr/>
      </vt:variant>
      <vt:variant>
        <vt:lpwstr>_ENREF_148</vt:lpwstr>
      </vt:variant>
      <vt:variant>
        <vt:i4>4784139</vt:i4>
      </vt:variant>
      <vt:variant>
        <vt:i4>2808</vt:i4>
      </vt:variant>
      <vt:variant>
        <vt:i4>0</vt:i4>
      </vt:variant>
      <vt:variant>
        <vt:i4>5</vt:i4>
      </vt:variant>
      <vt:variant>
        <vt:lpwstr/>
      </vt:variant>
      <vt:variant>
        <vt:lpwstr>_ENREF_84</vt:lpwstr>
      </vt:variant>
      <vt:variant>
        <vt:i4>4521995</vt:i4>
      </vt:variant>
      <vt:variant>
        <vt:i4>2802</vt:i4>
      </vt:variant>
      <vt:variant>
        <vt:i4>0</vt:i4>
      </vt:variant>
      <vt:variant>
        <vt:i4>5</vt:i4>
      </vt:variant>
      <vt:variant>
        <vt:lpwstr/>
      </vt:variant>
      <vt:variant>
        <vt:lpwstr>_ENREF_43</vt:lpwstr>
      </vt:variant>
      <vt:variant>
        <vt:i4>4653067</vt:i4>
      </vt:variant>
      <vt:variant>
        <vt:i4>2796</vt:i4>
      </vt:variant>
      <vt:variant>
        <vt:i4>0</vt:i4>
      </vt:variant>
      <vt:variant>
        <vt:i4>5</vt:i4>
      </vt:variant>
      <vt:variant>
        <vt:lpwstr/>
      </vt:variant>
      <vt:variant>
        <vt:lpwstr>_ENREF_64</vt:lpwstr>
      </vt:variant>
      <vt:variant>
        <vt:i4>4653067</vt:i4>
      </vt:variant>
      <vt:variant>
        <vt:i4>2790</vt:i4>
      </vt:variant>
      <vt:variant>
        <vt:i4>0</vt:i4>
      </vt:variant>
      <vt:variant>
        <vt:i4>5</vt:i4>
      </vt:variant>
      <vt:variant>
        <vt:lpwstr/>
      </vt:variant>
      <vt:variant>
        <vt:lpwstr>_ENREF_63</vt:lpwstr>
      </vt:variant>
      <vt:variant>
        <vt:i4>4456459</vt:i4>
      </vt:variant>
      <vt:variant>
        <vt:i4>2784</vt:i4>
      </vt:variant>
      <vt:variant>
        <vt:i4>0</vt:i4>
      </vt:variant>
      <vt:variant>
        <vt:i4>5</vt:i4>
      </vt:variant>
      <vt:variant>
        <vt:lpwstr/>
      </vt:variant>
      <vt:variant>
        <vt:lpwstr>_ENREF_5</vt:lpwstr>
      </vt:variant>
      <vt:variant>
        <vt:i4>7471164</vt:i4>
      </vt:variant>
      <vt:variant>
        <vt:i4>2769</vt:i4>
      </vt:variant>
      <vt:variant>
        <vt:i4>0</vt:i4>
      </vt:variant>
      <vt:variant>
        <vt:i4>5</vt:i4>
      </vt:variant>
      <vt:variant>
        <vt:lpwstr/>
      </vt:variant>
      <vt:variant>
        <vt:lpwstr>_ENREF_172</vt:lpwstr>
      </vt:variant>
      <vt:variant>
        <vt:i4>4325387</vt:i4>
      </vt:variant>
      <vt:variant>
        <vt:i4>2765</vt:i4>
      </vt:variant>
      <vt:variant>
        <vt:i4>0</vt:i4>
      </vt:variant>
      <vt:variant>
        <vt:i4>5</vt:i4>
      </vt:variant>
      <vt:variant>
        <vt:lpwstr/>
      </vt:variant>
      <vt:variant>
        <vt:lpwstr>_ENREF_35</vt:lpwstr>
      </vt:variant>
      <vt:variant>
        <vt:i4>7733307</vt:i4>
      </vt:variant>
      <vt:variant>
        <vt:i4>2762</vt:i4>
      </vt:variant>
      <vt:variant>
        <vt:i4>0</vt:i4>
      </vt:variant>
      <vt:variant>
        <vt:i4>5</vt:i4>
      </vt:variant>
      <vt:variant>
        <vt:lpwstr/>
      </vt:variant>
      <vt:variant>
        <vt:lpwstr>_ENREF_205</vt:lpwstr>
      </vt:variant>
      <vt:variant>
        <vt:i4>4194315</vt:i4>
      </vt:variant>
      <vt:variant>
        <vt:i4>2756</vt:i4>
      </vt:variant>
      <vt:variant>
        <vt:i4>0</vt:i4>
      </vt:variant>
      <vt:variant>
        <vt:i4>5</vt:i4>
      </vt:variant>
      <vt:variant>
        <vt:lpwstr/>
      </vt:variant>
      <vt:variant>
        <vt:lpwstr>_ENREF_14</vt:lpwstr>
      </vt:variant>
      <vt:variant>
        <vt:i4>7471163</vt:i4>
      </vt:variant>
      <vt:variant>
        <vt:i4>2753</vt:i4>
      </vt:variant>
      <vt:variant>
        <vt:i4>0</vt:i4>
      </vt:variant>
      <vt:variant>
        <vt:i4>5</vt:i4>
      </vt:variant>
      <vt:variant>
        <vt:lpwstr/>
      </vt:variant>
      <vt:variant>
        <vt:lpwstr>_ENREF_201</vt:lpwstr>
      </vt:variant>
      <vt:variant>
        <vt:i4>7733304</vt:i4>
      </vt:variant>
      <vt:variant>
        <vt:i4>2750</vt:i4>
      </vt:variant>
      <vt:variant>
        <vt:i4>0</vt:i4>
      </vt:variant>
      <vt:variant>
        <vt:i4>5</vt:i4>
      </vt:variant>
      <vt:variant>
        <vt:lpwstr/>
      </vt:variant>
      <vt:variant>
        <vt:lpwstr>_ENREF_235</vt:lpwstr>
      </vt:variant>
      <vt:variant>
        <vt:i4>4390923</vt:i4>
      </vt:variant>
      <vt:variant>
        <vt:i4>2747</vt:i4>
      </vt:variant>
      <vt:variant>
        <vt:i4>0</vt:i4>
      </vt:variant>
      <vt:variant>
        <vt:i4>5</vt:i4>
      </vt:variant>
      <vt:variant>
        <vt:lpwstr/>
      </vt:variant>
      <vt:variant>
        <vt:lpwstr>_ENREF_22</vt:lpwstr>
      </vt:variant>
      <vt:variant>
        <vt:i4>7340095</vt:i4>
      </vt:variant>
      <vt:variant>
        <vt:i4>2739</vt:i4>
      </vt:variant>
      <vt:variant>
        <vt:i4>0</vt:i4>
      </vt:variant>
      <vt:variant>
        <vt:i4>5</vt:i4>
      </vt:variant>
      <vt:variant>
        <vt:lpwstr/>
      </vt:variant>
      <vt:variant>
        <vt:lpwstr>_ENREF_243</vt:lpwstr>
      </vt:variant>
      <vt:variant>
        <vt:i4>7798842</vt:i4>
      </vt:variant>
      <vt:variant>
        <vt:i4>2736</vt:i4>
      </vt:variant>
      <vt:variant>
        <vt:i4>0</vt:i4>
      </vt:variant>
      <vt:variant>
        <vt:i4>5</vt:i4>
      </vt:variant>
      <vt:variant>
        <vt:lpwstr/>
      </vt:variant>
      <vt:variant>
        <vt:lpwstr>_ENREF_214</vt:lpwstr>
      </vt:variant>
      <vt:variant>
        <vt:i4>7405626</vt:i4>
      </vt:variant>
      <vt:variant>
        <vt:i4>2733</vt:i4>
      </vt:variant>
      <vt:variant>
        <vt:i4>0</vt:i4>
      </vt:variant>
      <vt:variant>
        <vt:i4>5</vt:i4>
      </vt:variant>
      <vt:variant>
        <vt:lpwstr/>
      </vt:variant>
      <vt:variant>
        <vt:lpwstr>_ENREF_111</vt:lpwstr>
      </vt:variant>
      <vt:variant>
        <vt:i4>7471167</vt:i4>
      </vt:variant>
      <vt:variant>
        <vt:i4>2730</vt:i4>
      </vt:variant>
      <vt:variant>
        <vt:i4>0</vt:i4>
      </vt:variant>
      <vt:variant>
        <vt:i4>5</vt:i4>
      </vt:variant>
      <vt:variant>
        <vt:lpwstr/>
      </vt:variant>
      <vt:variant>
        <vt:lpwstr>_ENREF_241</vt:lpwstr>
      </vt:variant>
      <vt:variant>
        <vt:i4>7798846</vt:i4>
      </vt:variant>
      <vt:variant>
        <vt:i4>2727</vt:i4>
      </vt:variant>
      <vt:variant>
        <vt:i4>0</vt:i4>
      </vt:variant>
      <vt:variant>
        <vt:i4>5</vt:i4>
      </vt:variant>
      <vt:variant>
        <vt:lpwstr/>
      </vt:variant>
      <vt:variant>
        <vt:lpwstr>_ENREF_254</vt:lpwstr>
      </vt:variant>
      <vt:variant>
        <vt:i4>7405631</vt:i4>
      </vt:variant>
      <vt:variant>
        <vt:i4>2724</vt:i4>
      </vt:variant>
      <vt:variant>
        <vt:i4>0</vt:i4>
      </vt:variant>
      <vt:variant>
        <vt:i4>5</vt:i4>
      </vt:variant>
      <vt:variant>
        <vt:lpwstr/>
      </vt:variant>
      <vt:variant>
        <vt:lpwstr>_ENREF_242</vt:lpwstr>
      </vt:variant>
      <vt:variant>
        <vt:i4>7798841</vt:i4>
      </vt:variant>
      <vt:variant>
        <vt:i4>2721</vt:i4>
      </vt:variant>
      <vt:variant>
        <vt:i4>0</vt:i4>
      </vt:variant>
      <vt:variant>
        <vt:i4>5</vt:i4>
      </vt:variant>
      <vt:variant>
        <vt:lpwstr/>
      </vt:variant>
      <vt:variant>
        <vt:lpwstr>_ENREF_224</vt:lpwstr>
      </vt:variant>
      <vt:variant>
        <vt:i4>4390923</vt:i4>
      </vt:variant>
      <vt:variant>
        <vt:i4>2711</vt:i4>
      </vt:variant>
      <vt:variant>
        <vt:i4>0</vt:i4>
      </vt:variant>
      <vt:variant>
        <vt:i4>5</vt:i4>
      </vt:variant>
      <vt:variant>
        <vt:lpwstr/>
      </vt:variant>
      <vt:variant>
        <vt:lpwstr>_ENREF_21</vt:lpwstr>
      </vt:variant>
      <vt:variant>
        <vt:i4>7602227</vt:i4>
      </vt:variant>
      <vt:variant>
        <vt:i4>2705</vt:i4>
      </vt:variant>
      <vt:variant>
        <vt:i4>0</vt:i4>
      </vt:variant>
      <vt:variant>
        <vt:i4>5</vt:i4>
      </vt:variant>
      <vt:variant>
        <vt:lpwstr/>
      </vt:variant>
      <vt:variant>
        <vt:lpwstr>_ENREF_184</vt:lpwstr>
      </vt:variant>
      <vt:variant>
        <vt:i4>7798843</vt:i4>
      </vt:variant>
      <vt:variant>
        <vt:i4>2701</vt:i4>
      </vt:variant>
      <vt:variant>
        <vt:i4>0</vt:i4>
      </vt:variant>
      <vt:variant>
        <vt:i4>5</vt:i4>
      </vt:variant>
      <vt:variant>
        <vt:lpwstr/>
      </vt:variant>
      <vt:variant>
        <vt:lpwstr>_ENREF_107</vt:lpwstr>
      </vt:variant>
      <vt:variant>
        <vt:i4>7929914</vt:i4>
      </vt:variant>
      <vt:variant>
        <vt:i4>2698</vt:i4>
      </vt:variant>
      <vt:variant>
        <vt:i4>0</vt:i4>
      </vt:variant>
      <vt:variant>
        <vt:i4>5</vt:i4>
      </vt:variant>
      <vt:variant>
        <vt:lpwstr/>
      </vt:variant>
      <vt:variant>
        <vt:lpwstr>_ENREF_119</vt:lpwstr>
      </vt:variant>
      <vt:variant>
        <vt:i4>4259873</vt:i4>
      </vt:variant>
      <vt:variant>
        <vt:i4>2688</vt:i4>
      </vt:variant>
      <vt:variant>
        <vt:i4>0</vt:i4>
      </vt:variant>
      <vt:variant>
        <vt:i4>5</vt:i4>
      </vt:variant>
      <vt:variant>
        <vt:lpwstr>http://en.wikipedia.org/wiki/Isotopic_signature</vt:lpwstr>
      </vt:variant>
      <vt:variant>
        <vt:lpwstr/>
      </vt:variant>
      <vt:variant>
        <vt:i4>4784175</vt:i4>
      </vt:variant>
      <vt:variant>
        <vt:i4>2685</vt:i4>
      </vt:variant>
      <vt:variant>
        <vt:i4>0</vt:i4>
      </vt:variant>
      <vt:variant>
        <vt:i4>5</vt:i4>
      </vt:variant>
      <vt:variant>
        <vt:lpwstr>http://en.wikipedia.org/wiki/Stable_isotope</vt:lpwstr>
      </vt:variant>
      <vt:variant>
        <vt:lpwstr/>
      </vt:variant>
      <vt:variant>
        <vt:i4>7340095</vt:i4>
      </vt:variant>
      <vt:variant>
        <vt:i4>2679</vt:i4>
      </vt:variant>
      <vt:variant>
        <vt:i4>0</vt:i4>
      </vt:variant>
      <vt:variant>
        <vt:i4>5</vt:i4>
      </vt:variant>
      <vt:variant>
        <vt:lpwstr/>
      </vt:variant>
      <vt:variant>
        <vt:lpwstr>_ENREF_140</vt:lpwstr>
      </vt:variant>
      <vt:variant>
        <vt:i4>4587531</vt:i4>
      </vt:variant>
      <vt:variant>
        <vt:i4>2675</vt:i4>
      </vt:variant>
      <vt:variant>
        <vt:i4>0</vt:i4>
      </vt:variant>
      <vt:variant>
        <vt:i4>5</vt:i4>
      </vt:variant>
      <vt:variant>
        <vt:lpwstr/>
      </vt:variant>
      <vt:variant>
        <vt:lpwstr>_ENREF_75</vt:lpwstr>
      </vt:variant>
      <vt:variant>
        <vt:i4>4390923</vt:i4>
      </vt:variant>
      <vt:variant>
        <vt:i4>2672</vt:i4>
      </vt:variant>
      <vt:variant>
        <vt:i4>0</vt:i4>
      </vt:variant>
      <vt:variant>
        <vt:i4>5</vt:i4>
      </vt:variant>
      <vt:variant>
        <vt:lpwstr/>
      </vt:variant>
      <vt:variant>
        <vt:lpwstr>_ENREF_2</vt:lpwstr>
      </vt:variant>
      <vt:variant>
        <vt:i4>4784139</vt:i4>
      </vt:variant>
      <vt:variant>
        <vt:i4>2669</vt:i4>
      </vt:variant>
      <vt:variant>
        <vt:i4>0</vt:i4>
      </vt:variant>
      <vt:variant>
        <vt:i4>5</vt:i4>
      </vt:variant>
      <vt:variant>
        <vt:lpwstr/>
      </vt:variant>
      <vt:variant>
        <vt:lpwstr>_ENREF_85</vt:lpwstr>
      </vt:variant>
      <vt:variant>
        <vt:i4>7667775</vt:i4>
      </vt:variant>
      <vt:variant>
        <vt:i4>2666</vt:i4>
      </vt:variant>
      <vt:variant>
        <vt:i4>0</vt:i4>
      </vt:variant>
      <vt:variant>
        <vt:i4>5</vt:i4>
      </vt:variant>
      <vt:variant>
        <vt:lpwstr/>
      </vt:variant>
      <vt:variant>
        <vt:lpwstr>_ENREF_246</vt:lpwstr>
      </vt:variant>
      <vt:variant>
        <vt:i4>7602239</vt:i4>
      </vt:variant>
      <vt:variant>
        <vt:i4>2663</vt:i4>
      </vt:variant>
      <vt:variant>
        <vt:i4>0</vt:i4>
      </vt:variant>
      <vt:variant>
        <vt:i4>5</vt:i4>
      </vt:variant>
      <vt:variant>
        <vt:lpwstr/>
      </vt:variant>
      <vt:variant>
        <vt:lpwstr>_ENREF_144</vt:lpwstr>
      </vt:variant>
      <vt:variant>
        <vt:i4>7733311</vt:i4>
      </vt:variant>
      <vt:variant>
        <vt:i4>2653</vt:i4>
      </vt:variant>
      <vt:variant>
        <vt:i4>0</vt:i4>
      </vt:variant>
      <vt:variant>
        <vt:i4>5</vt:i4>
      </vt:variant>
      <vt:variant>
        <vt:lpwstr/>
      </vt:variant>
      <vt:variant>
        <vt:lpwstr>_ENREF_245</vt:lpwstr>
      </vt:variant>
      <vt:variant>
        <vt:i4>4587531</vt:i4>
      </vt:variant>
      <vt:variant>
        <vt:i4>2647</vt:i4>
      </vt:variant>
      <vt:variant>
        <vt:i4>0</vt:i4>
      </vt:variant>
      <vt:variant>
        <vt:i4>5</vt:i4>
      </vt:variant>
      <vt:variant>
        <vt:lpwstr/>
      </vt:variant>
      <vt:variant>
        <vt:lpwstr>_ENREF_73</vt:lpwstr>
      </vt:variant>
      <vt:variant>
        <vt:i4>7798841</vt:i4>
      </vt:variant>
      <vt:variant>
        <vt:i4>2641</vt:i4>
      </vt:variant>
      <vt:variant>
        <vt:i4>0</vt:i4>
      </vt:variant>
      <vt:variant>
        <vt:i4>5</vt:i4>
      </vt:variant>
      <vt:variant>
        <vt:lpwstr/>
      </vt:variant>
      <vt:variant>
        <vt:lpwstr>_ENREF_127</vt:lpwstr>
      </vt:variant>
      <vt:variant>
        <vt:i4>7733299</vt:i4>
      </vt:variant>
      <vt:variant>
        <vt:i4>2632</vt:i4>
      </vt:variant>
      <vt:variant>
        <vt:i4>0</vt:i4>
      </vt:variant>
      <vt:variant>
        <vt:i4>5</vt:i4>
      </vt:variant>
      <vt:variant>
        <vt:lpwstr/>
      </vt:variant>
      <vt:variant>
        <vt:lpwstr>_ENREF_186</vt:lpwstr>
      </vt:variant>
      <vt:variant>
        <vt:i4>7733299</vt:i4>
      </vt:variant>
      <vt:variant>
        <vt:i4>2626</vt:i4>
      </vt:variant>
      <vt:variant>
        <vt:i4>0</vt:i4>
      </vt:variant>
      <vt:variant>
        <vt:i4>5</vt:i4>
      </vt:variant>
      <vt:variant>
        <vt:lpwstr/>
      </vt:variant>
      <vt:variant>
        <vt:lpwstr>_ENREF_186</vt:lpwstr>
      </vt:variant>
      <vt:variant>
        <vt:i4>4194315</vt:i4>
      </vt:variant>
      <vt:variant>
        <vt:i4>2620</vt:i4>
      </vt:variant>
      <vt:variant>
        <vt:i4>0</vt:i4>
      </vt:variant>
      <vt:variant>
        <vt:i4>5</vt:i4>
      </vt:variant>
      <vt:variant>
        <vt:lpwstr/>
      </vt:variant>
      <vt:variant>
        <vt:lpwstr>_ENREF_10</vt:lpwstr>
      </vt:variant>
      <vt:variant>
        <vt:i4>7667771</vt:i4>
      </vt:variant>
      <vt:variant>
        <vt:i4>2614</vt:i4>
      </vt:variant>
      <vt:variant>
        <vt:i4>0</vt:i4>
      </vt:variant>
      <vt:variant>
        <vt:i4>5</vt:i4>
      </vt:variant>
      <vt:variant>
        <vt:lpwstr/>
      </vt:variant>
      <vt:variant>
        <vt:lpwstr>_ENREF_105</vt:lpwstr>
      </vt:variant>
      <vt:variant>
        <vt:i4>7340090</vt:i4>
      </vt:variant>
      <vt:variant>
        <vt:i4>2608</vt:i4>
      </vt:variant>
      <vt:variant>
        <vt:i4>0</vt:i4>
      </vt:variant>
      <vt:variant>
        <vt:i4>5</vt:i4>
      </vt:variant>
      <vt:variant>
        <vt:lpwstr/>
      </vt:variant>
      <vt:variant>
        <vt:lpwstr>_ENREF_110</vt:lpwstr>
      </vt:variant>
      <vt:variant>
        <vt:i4>4718603</vt:i4>
      </vt:variant>
      <vt:variant>
        <vt:i4>2602</vt:i4>
      </vt:variant>
      <vt:variant>
        <vt:i4>0</vt:i4>
      </vt:variant>
      <vt:variant>
        <vt:i4>5</vt:i4>
      </vt:variant>
      <vt:variant>
        <vt:lpwstr/>
      </vt:variant>
      <vt:variant>
        <vt:lpwstr>_ENREF_93</vt:lpwstr>
      </vt:variant>
      <vt:variant>
        <vt:i4>4194315</vt:i4>
      </vt:variant>
      <vt:variant>
        <vt:i4>2596</vt:i4>
      </vt:variant>
      <vt:variant>
        <vt:i4>0</vt:i4>
      </vt:variant>
      <vt:variant>
        <vt:i4>5</vt:i4>
      </vt:variant>
      <vt:variant>
        <vt:lpwstr/>
      </vt:variant>
      <vt:variant>
        <vt:lpwstr>_ENREF_10</vt:lpwstr>
      </vt:variant>
      <vt:variant>
        <vt:i4>7667771</vt:i4>
      </vt:variant>
      <vt:variant>
        <vt:i4>2590</vt:i4>
      </vt:variant>
      <vt:variant>
        <vt:i4>0</vt:i4>
      </vt:variant>
      <vt:variant>
        <vt:i4>5</vt:i4>
      </vt:variant>
      <vt:variant>
        <vt:lpwstr/>
      </vt:variant>
      <vt:variant>
        <vt:lpwstr>_ENREF_105</vt:lpwstr>
      </vt:variant>
      <vt:variant>
        <vt:i4>7864379</vt:i4>
      </vt:variant>
      <vt:variant>
        <vt:i4>2584</vt:i4>
      </vt:variant>
      <vt:variant>
        <vt:i4>0</vt:i4>
      </vt:variant>
      <vt:variant>
        <vt:i4>5</vt:i4>
      </vt:variant>
      <vt:variant>
        <vt:lpwstr/>
      </vt:variant>
      <vt:variant>
        <vt:lpwstr>_ENREF_108</vt:lpwstr>
      </vt:variant>
      <vt:variant>
        <vt:i4>4194315</vt:i4>
      </vt:variant>
      <vt:variant>
        <vt:i4>2578</vt:i4>
      </vt:variant>
      <vt:variant>
        <vt:i4>0</vt:i4>
      </vt:variant>
      <vt:variant>
        <vt:i4>5</vt:i4>
      </vt:variant>
      <vt:variant>
        <vt:lpwstr/>
      </vt:variant>
      <vt:variant>
        <vt:lpwstr>_ENREF_10</vt:lpwstr>
      </vt:variant>
      <vt:variant>
        <vt:i4>7995450</vt:i4>
      </vt:variant>
      <vt:variant>
        <vt:i4>2572</vt:i4>
      </vt:variant>
      <vt:variant>
        <vt:i4>0</vt:i4>
      </vt:variant>
      <vt:variant>
        <vt:i4>5</vt:i4>
      </vt:variant>
      <vt:variant>
        <vt:lpwstr/>
      </vt:variant>
      <vt:variant>
        <vt:lpwstr>_ENREF_219</vt:lpwstr>
      </vt:variant>
      <vt:variant>
        <vt:i4>4456459</vt:i4>
      </vt:variant>
      <vt:variant>
        <vt:i4>2566</vt:i4>
      </vt:variant>
      <vt:variant>
        <vt:i4>0</vt:i4>
      </vt:variant>
      <vt:variant>
        <vt:i4>5</vt:i4>
      </vt:variant>
      <vt:variant>
        <vt:lpwstr/>
      </vt:variant>
      <vt:variant>
        <vt:lpwstr>_ENREF_59</vt:lpwstr>
      </vt:variant>
      <vt:variant>
        <vt:i4>4325387</vt:i4>
      </vt:variant>
      <vt:variant>
        <vt:i4>2560</vt:i4>
      </vt:variant>
      <vt:variant>
        <vt:i4>0</vt:i4>
      </vt:variant>
      <vt:variant>
        <vt:i4>5</vt:i4>
      </vt:variant>
      <vt:variant>
        <vt:lpwstr/>
      </vt:variant>
      <vt:variant>
        <vt:lpwstr>_ENREF_34</vt:lpwstr>
      </vt:variant>
      <vt:variant>
        <vt:i4>7340091</vt:i4>
      </vt:variant>
      <vt:variant>
        <vt:i4>2557</vt:i4>
      </vt:variant>
      <vt:variant>
        <vt:i4>0</vt:i4>
      </vt:variant>
      <vt:variant>
        <vt:i4>5</vt:i4>
      </vt:variant>
      <vt:variant>
        <vt:lpwstr/>
      </vt:variant>
      <vt:variant>
        <vt:lpwstr>_ENREF_100</vt:lpwstr>
      </vt:variant>
      <vt:variant>
        <vt:i4>7929914</vt:i4>
      </vt:variant>
      <vt:variant>
        <vt:i4>2553</vt:i4>
      </vt:variant>
      <vt:variant>
        <vt:i4>0</vt:i4>
      </vt:variant>
      <vt:variant>
        <vt:i4>5</vt:i4>
      </vt:variant>
      <vt:variant>
        <vt:lpwstr/>
      </vt:variant>
      <vt:variant>
        <vt:lpwstr>_ENREF_119</vt:lpwstr>
      </vt:variant>
      <vt:variant>
        <vt:i4>4325387</vt:i4>
      </vt:variant>
      <vt:variant>
        <vt:i4>2550</vt:i4>
      </vt:variant>
      <vt:variant>
        <vt:i4>0</vt:i4>
      </vt:variant>
      <vt:variant>
        <vt:i4>5</vt:i4>
      </vt:variant>
      <vt:variant>
        <vt:lpwstr/>
      </vt:variant>
      <vt:variant>
        <vt:lpwstr>_ENREF_3</vt:lpwstr>
      </vt:variant>
      <vt:variant>
        <vt:i4>4718603</vt:i4>
      </vt:variant>
      <vt:variant>
        <vt:i4>2540</vt:i4>
      </vt:variant>
      <vt:variant>
        <vt:i4>0</vt:i4>
      </vt:variant>
      <vt:variant>
        <vt:i4>5</vt:i4>
      </vt:variant>
      <vt:variant>
        <vt:lpwstr/>
      </vt:variant>
      <vt:variant>
        <vt:lpwstr>_ENREF_93</vt:lpwstr>
      </vt:variant>
      <vt:variant>
        <vt:i4>4194315</vt:i4>
      </vt:variant>
      <vt:variant>
        <vt:i4>2534</vt:i4>
      </vt:variant>
      <vt:variant>
        <vt:i4>0</vt:i4>
      </vt:variant>
      <vt:variant>
        <vt:i4>5</vt:i4>
      </vt:variant>
      <vt:variant>
        <vt:lpwstr/>
      </vt:variant>
      <vt:variant>
        <vt:lpwstr>_ENREF_10</vt:lpwstr>
      </vt:variant>
      <vt:variant>
        <vt:i4>4718603</vt:i4>
      </vt:variant>
      <vt:variant>
        <vt:i4>2528</vt:i4>
      </vt:variant>
      <vt:variant>
        <vt:i4>0</vt:i4>
      </vt:variant>
      <vt:variant>
        <vt:i4>5</vt:i4>
      </vt:variant>
      <vt:variant>
        <vt:lpwstr/>
      </vt:variant>
      <vt:variant>
        <vt:lpwstr>_ENREF_93</vt:lpwstr>
      </vt:variant>
      <vt:variant>
        <vt:i4>4718603</vt:i4>
      </vt:variant>
      <vt:variant>
        <vt:i4>2522</vt:i4>
      </vt:variant>
      <vt:variant>
        <vt:i4>0</vt:i4>
      </vt:variant>
      <vt:variant>
        <vt:i4>5</vt:i4>
      </vt:variant>
      <vt:variant>
        <vt:lpwstr/>
      </vt:variant>
      <vt:variant>
        <vt:lpwstr>_ENREF_93</vt:lpwstr>
      </vt:variant>
      <vt:variant>
        <vt:i4>4194315</vt:i4>
      </vt:variant>
      <vt:variant>
        <vt:i4>2516</vt:i4>
      </vt:variant>
      <vt:variant>
        <vt:i4>0</vt:i4>
      </vt:variant>
      <vt:variant>
        <vt:i4>5</vt:i4>
      </vt:variant>
      <vt:variant>
        <vt:lpwstr/>
      </vt:variant>
      <vt:variant>
        <vt:lpwstr>_ENREF_10</vt:lpwstr>
      </vt:variant>
      <vt:variant>
        <vt:i4>7995450</vt:i4>
      </vt:variant>
      <vt:variant>
        <vt:i4>2510</vt:i4>
      </vt:variant>
      <vt:variant>
        <vt:i4>0</vt:i4>
      </vt:variant>
      <vt:variant>
        <vt:i4>5</vt:i4>
      </vt:variant>
      <vt:variant>
        <vt:lpwstr/>
      </vt:variant>
      <vt:variant>
        <vt:lpwstr>_ENREF_219</vt:lpwstr>
      </vt:variant>
      <vt:variant>
        <vt:i4>7602227</vt:i4>
      </vt:variant>
      <vt:variant>
        <vt:i4>2504</vt:i4>
      </vt:variant>
      <vt:variant>
        <vt:i4>0</vt:i4>
      </vt:variant>
      <vt:variant>
        <vt:i4>5</vt:i4>
      </vt:variant>
      <vt:variant>
        <vt:lpwstr/>
      </vt:variant>
      <vt:variant>
        <vt:lpwstr>_ENREF_184</vt:lpwstr>
      </vt:variant>
      <vt:variant>
        <vt:i4>4390923</vt:i4>
      </vt:variant>
      <vt:variant>
        <vt:i4>2498</vt:i4>
      </vt:variant>
      <vt:variant>
        <vt:i4>0</vt:i4>
      </vt:variant>
      <vt:variant>
        <vt:i4>5</vt:i4>
      </vt:variant>
      <vt:variant>
        <vt:lpwstr/>
      </vt:variant>
      <vt:variant>
        <vt:lpwstr>_ENREF_23</vt:lpwstr>
      </vt:variant>
      <vt:variant>
        <vt:i4>7602226</vt:i4>
      </vt:variant>
      <vt:variant>
        <vt:i4>2492</vt:i4>
      </vt:variant>
      <vt:variant>
        <vt:i4>0</vt:i4>
      </vt:variant>
      <vt:variant>
        <vt:i4>5</vt:i4>
      </vt:variant>
      <vt:variant>
        <vt:lpwstr/>
      </vt:variant>
      <vt:variant>
        <vt:lpwstr>_ENREF_194</vt:lpwstr>
      </vt:variant>
      <vt:variant>
        <vt:i4>7602227</vt:i4>
      </vt:variant>
      <vt:variant>
        <vt:i4>2480</vt:i4>
      </vt:variant>
      <vt:variant>
        <vt:i4>0</vt:i4>
      </vt:variant>
      <vt:variant>
        <vt:i4>5</vt:i4>
      </vt:variant>
      <vt:variant>
        <vt:lpwstr/>
      </vt:variant>
      <vt:variant>
        <vt:lpwstr>_ENREF_184</vt:lpwstr>
      </vt:variant>
      <vt:variant>
        <vt:i4>7798840</vt:i4>
      </vt:variant>
      <vt:variant>
        <vt:i4>2471</vt:i4>
      </vt:variant>
      <vt:variant>
        <vt:i4>0</vt:i4>
      </vt:variant>
      <vt:variant>
        <vt:i4>5</vt:i4>
      </vt:variant>
      <vt:variant>
        <vt:lpwstr/>
      </vt:variant>
      <vt:variant>
        <vt:lpwstr>_ENREF_137</vt:lpwstr>
      </vt:variant>
      <vt:variant>
        <vt:i4>4521995</vt:i4>
      </vt:variant>
      <vt:variant>
        <vt:i4>2465</vt:i4>
      </vt:variant>
      <vt:variant>
        <vt:i4>0</vt:i4>
      </vt:variant>
      <vt:variant>
        <vt:i4>5</vt:i4>
      </vt:variant>
      <vt:variant>
        <vt:lpwstr/>
      </vt:variant>
      <vt:variant>
        <vt:lpwstr>_ENREF_41</vt:lpwstr>
      </vt:variant>
      <vt:variant>
        <vt:i4>4194315</vt:i4>
      </vt:variant>
      <vt:variant>
        <vt:i4>2444</vt:i4>
      </vt:variant>
      <vt:variant>
        <vt:i4>0</vt:i4>
      </vt:variant>
      <vt:variant>
        <vt:i4>5</vt:i4>
      </vt:variant>
      <vt:variant>
        <vt:lpwstr/>
      </vt:variant>
      <vt:variant>
        <vt:lpwstr>_ENREF_18</vt:lpwstr>
      </vt:variant>
      <vt:variant>
        <vt:i4>7798835</vt:i4>
      </vt:variant>
      <vt:variant>
        <vt:i4>2438</vt:i4>
      </vt:variant>
      <vt:variant>
        <vt:i4>0</vt:i4>
      </vt:variant>
      <vt:variant>
        <vt:i4>5</vt:i4>
      </vt:variant>
      <vt:variant>
        <vt:lpwstr/>
      </vt:variant>
      <vt:variant>
        <vt:lpwstr>_ENREF_187</vt:lpwstr>
      </vt:variant>
      <vt:variant>
        <vt:i4>4325387</vt:i4>
      </vt:variant>
      <vt:variant>
        <vt:i4>2432</vt:i4>
      </vt:variant>
      <vt:variant>
        <vt:i4>0</vt:i4>
      </vt:variant>
      <vt:variant>
        <vt:i4>5</vt:i4>
      </vt:variant>
      <vt:variant>
        <vt:lpwstr/>
      </vt:variant>
      <vt:variant>
        <vt:lpwstr>_ENREF_36</vt:lpwstr>
      </vt:variant>
      <vt:variant>
        <vt:i4>7471161</vt:i4>
      </vt:variant>
      <vt:variant>
        <vt:i4>2423</vt:i4>
      </vt:variant>
      <vt:variant>
        <vt:i4>0</vt:i4>
      </vt:variant>
      <vt:variant>
        <vt:i4>5</vt:i4>
      </vt:variant>
      <vt:variant>
        <vt:lpwstr/>
      </vt:variant>
      <vt:variant>
        <vt:lpwstr>_ENREF_122</vt:lpwstr>
      </vt:variant>
      <vt:variant>
        <vt:i4>7667770</vt:i4>
      </vt:variant>
      <vt:variant>
        <vt:i4>2417</vt:i4>
      </vt:variant>
      <vt:variant>
        <vt:i4>0</vt:i4>
      </vt:variant>
      <vt:variant>
        <vt:i4>5</vt:i4>
      </vt:variant>
      <vt:variant>
        <vt:lpwstr/>
      </vt:variant>
      <vt:variant>
        <vt:lpwstr>_ENREF_216</vt:lpwstr>
      </vt:variant>
      <vt:variant>
        <vt:i4>4784139</vt:i4>
      </vt:variant>
      <vt:variant>
        <vt:i4>2411</vt:i4>
      </vt:variant>
      <vt:variant>
        <vt:i4>0</vt:i4>
      </vt:variant>
      <vt:variant>
        <vt:i4>5</vt:i4>
      </vt:variant>
      <vt:variant>
        <vt:lpwstr/>
      </vt:variant>
      <vt:variant>
        <vt:lpwstr>_ENREF_80</vt:lpwstr>
      </vt:variant>
      <vt:variant>
        <vt:i4>4521995</vt:i4>
      </vt:variant>
      <vt:variant>
        <vt:i4>2405</vt:i4>
      </vt:variant>
      <vt:variant>
        <vt:i4>0</vt:i4>
      </vt:variant>
      <vt:variant>
        <vt:i4>5</vt:i4>
      </vt:variant>
      <vt:variant>
        <vt:lpwstr/>
      </vt:variant>
      <vt:variant>
        <vt:lpwstr>_ENREF_41</vt:lpwstr>
      </vt:variant>
      <vt:variant>
        <vt:i4>4587531</vt:i4>
      </vt:variant>
      <vt:variant>
        <vt:i4>2399</vt:i4>
      </vt:variant>
      <vt:variant>
        <vt:i4>0</vt:i4>
      </vt:variant>
      <vt:variant>
        <vt:i4>5</vt:i4>
      </vt:variant>
      <vt:variant>
        <vt:lpwstr/>
      </vt:variant>
      <vt:variant>
        <vt:lpwstr>_ENREF_72</vt:lpwstr>
      </vt:variant>
      <vt:variant>
        <vt:i4>7340089</vt:i4>
      </vt:variant>
      <vt:variant>
        <vt:i4>2395</vt:i4>
      </vt:variant>
      <vt:variant>
        <vt:i4>0</vt:i4>
      </vt:variant>
      <vt:variant>
        <vt:i4>5</vt:i4>
      </vt:variant>
      <vt:variant>
        <vt:lpwstr/>
      </vt:variant>
      <vt:variant>
        <vt:lpwstr>_ENREF_120</vt:lpwstr>
      </vt:variant>
      <vt:variant>
        <vt:i4>7405629</vt:i4>
      </vt:variant>
      <vt:variant>
        <vt:i4>2392</vt:i4>
      </vt:variant>
      <vt:variant>
        <vt:i4>0</vt:i4>
      </vt:variant>
      <vt:variant>
        <vt:i4>5</vt:i4>
      </vt:variant>
      <vt:variant>
        <vt:lpwstr/>
      </vt:variant>
      <vt:variant>
        <vt:lpwstr>_ENREF_161</vt:lpwstr>
      </vt:variant>
      <vt:variant>
        <vt:i4>7405629</vt:i4>
      </vt:variant>
      <vt:variant>
        <vt:i4>2384</vt:i4>
      </vt:variant>
      <vt:variant>
        <vt:i4>0</vt:i4>
      </vt:variant>
      <vt:variant>
        <vt:i4>5</vt:i4>
      </vt:variant>
      <vt:variant>
        <vt:lpwstr/>
      </vt:variant>
      <vt:variant>
        <vt:lpwstr>_ENREF_161</vt:lpwstr>
      </vt:variant>
      <vt:variant>
        <vt:i4>7602234</vt:i4>
      </vt:variant>
      <vt:variant>
        <vt:i4>2378</vt:i4>
      </vt:variant>
      <vt:variant>
        <vt:i4>0</vt:i4>
      </vt:variant>
      <vt:variant>
        <vt:i4>5</vt:i4>
      </vt:variant>
      <vt:variant>
        <vt:lpwstr/>
      </vt:variant>
      <vt:variant>
        <vt:lpwstr>_ENREF_114</vt:lpwstr>
      </vt:variant>
      <vt:variant>
        <vt:i4>7536701</vt:i4>
      </vt:variant>
      <vt:variant>
        <vt:i4>2372</vt:i4>
      </vt:variant>
      <vt:variant>
        <vt:i4>0</vt:i4>
      </vt:variant>
      <vt:variant>
        <vt:i4>5</vt:i4>
      </vt:variant>
      <vt:variant>
        <vt:lpwstr/>
      </vt:variant>
      <vt:variant>
        <vt:lpwstr>_ENREF_260</vt:lpwstr>
      </vt:variant>
      <vt:variant>
        <vt:i4>7536703</vt:i4>
      </vt:variant>
      <vt:variant>
        <vt:i4>2366</vt:i4>
      </vt:variant>
      <vt:variant>
        <vt:i4>0</vt:i4>
      </vt:variant>
      <vt:variant>
        <vt:i4>5</vt:i4>
      </vt:variant>
      <vt:variant>
        <vt:lpwstr/>
      </vt:variant>
      <vt:variant>
        <vt:lpwstr>_ENREF_143</vt:lpwstr>
      </vt:variant>
      <vt:variant>
        <vt:i4>7405628</vt:i4>
      </vt:variant>
      <vt:variant>
        <vt:i4>2360</vt:i4>
      </vt:variant>
      <vt:variant>
        <vt:i4>0</vt:i4>
      </vt:variant>
      <vt:variant>
        <vt:i4>5</vt:i4>
      </vt:variant>
      <vt:variant>
        <vt:lpwstr/>
      </vt:variant>
      <vt:variant>
        <vt:lpwstr>_ENREF_171</vt:lpwstr>
      </vt:variant>
      <vt:variant>
        <vt:i4>7602236</vt:i4>
      </vt:variant>
      <vt:variant>
        <vt:i4>2354</vt:i4>
      </vt:variant>
      <vt:variant>
        <vt:i4>0</vt:i4>
      </vt:variant>
      <vt:variant>
        <vt:i4>5</vt:i4>
      </vt:variant>
      <vt:variant>
        <vt:lpwstr/>
      </vt:variant>
      <vt:variant>
        <vt:lpwstr>_ENREF_174</vt:lpwstr>
      </vt:variant>
      <vt:variant>
        <vt:i4>7405631</vt:i4>
      </vt:variant>
      <vt:variant>
        <vt:i4>2333</vt:i4>
      </vt:variant>
      <vt:variant>
        <vt:i4>0</vt:i4>
      </vt:variant>
      <vt:variant>
        <vt:i4>5</vt:i4>
      </vt:variant>
      <vt:variant>
        <vt:lpwstr/>
      </vt:variant>
      <vt:variant>
        <vt:lpwstr>_ENREF_141</vt:lpwstr>
      </vt:variant>
      <vt:variant>
        <vt:i4>4521995</vt:i4>
      </vt:variant>
      <vt:variant>
        <vt:i4>2321</vt:i4>
      </vt:variant>
      <vt:variant>
        <vt:i4>0</vt:i4>
      </vt:variant>
      <vt:variant>
        <vt:i4>5</vt:i4>
      </vt:variant>
      <vt:variant>
        <vt:lpwstr/>
      </vt:variant>
      <vt:variant>
        <vt:lpwstr>_ENREF_4</vt:lpwstr>
      </vt:variant>
      <vt:variant>
        <vt:i4>7536691</vt:i4>
      </vt:variant>
      <vt:variant>
        <vt:i4>2315</vt:i4>
      </vt:variant>
      <vt:variant>
        <vt:i4>0</vt:i4>
      </vt:variant>
      <vt:variant>
        <vt:i4>5</vt:i4>
      </vt:variant>
      <vt:variant>
        <vt:lpwstr/>
      </vt:variant>
      <vt:variant>
        <vt:lpwstr>_ENREF_183</vt:lpwstr>
      </vt:variant>
      <vt:variant>
        <vt:i4>7340094</vt:i4>
      </vt:variant>
      <vt:variant>
        <vt:i4>2309</vt:i4>
      </vt:variant>
      <vt:variant>
        <vt:i4>0</vt:i4>
      </vt:variant>
      <vt:variant>
        <vt:i4>5</vt:i4>
      </vt:variant>
      <vt:variant>
        <vt:lpwstr/>
      </vt:variant>
      <vt:variant>
        <vt:lpwstr>_ENREF_150</vt:lpwstr>
      </vt:variant>
      <vt:variant>
        <vt:i4>7667773</vt:i4>
      </vt:variant>
      <vt:variant>
        <vt:i4>2303</vt:i4>
      </vt:variant>
      <vt:variant>
        <vt:i4>0</vt:i4>
      </vt:variant>
      <vt:variant>
        <vt:i4>5</vt:i4>
      </vt:variant>
      <vt:variant>
        <vt:lpwstr/>
      </vt:variant>
      <vt:variant>
        <vt:lpwstr>_ENREF_165</vt:lpwstr>
      </vt:variant>
      <vt:variant>
        <vt:i4>4521995</vt:i4>
      </vt:variant>
      <vt:variant>
        <vt:i4>2297</vt:i4>
      </vt:variant>
      <vt:variant>
        <vt:i4>0</vt:i4>
      </vt:variant>
      <vt:variant>
        <vt:i4>5</vt:i4>
      </vt:variant>
      <vt:variant>
        <vt:lpwstr/>
      </vt:variant>
      <vt:variant>
        <vt:lpwstr>_ENREF_41</vt:lpwstr>
      </vt:variant>
      <vt:variant>
        <vt:i4>4718603</vt:i4>
      </vt:variant>
      <vt:variant>
        <vt:i4>2291</vt:i4>
      </vt:variant>
      <vt:variant>
        <vt:i4>0</vt:i4>
      </vt:variant>
      <vt:variant>
        <vt:i4>5</vt:i4>
      </vt:variant>
      <vt:variant>
        <vt:lpwstr/>
      </vt:variant>
      <vt:variant>
        <vt:lpwstr>_ENREF_95</vt:lpwstr>
      </vt:variant>
      <vt:variant>
        <vt:i4>4456459</vt:i4>
      </vt:variant>
      <vt:variant>
        <vt:i4>2284</vt:i4>
      </vt:variant>
      <vt:variant>
        <vt:i4>0</vt:i4>
      </vt:variant>
      <vt:variant>
        <vt:i4>5</vt:i4>
      </vt:variant>
      <vt:variant>
        <vt:lpwstr/>
      </vt:variant>
      <vt:variant>
        <vt:lpwstr>_ENREF_56</vt:lpwstr>
      </vt:variant>
      <vt:variant>
        <vt:i4>4456459</vt:i4>
      </vt:variant>
      <vt:variant>
        <vt:i4>2281</vt:i4>
      </vt:variant>
      <vt:variant>
        <vt:i4>0</vt:i4>
      </vt:variant>
      <vt:variant>
        <vt:i4>5</vt:i4>
      </vt:variant>
      <vt:variant>
        <vt:lpwstr/>
      </vt:variant>
      <vt:variant>
        <vt:lpwstr>_ENREF_54</vt:lpwstr>
      </vt:variant>
      <vt:variant>
        <vt:i4>4456459</vt:i4>
      </vt:variant>
      <vt:variant>
        <vt:i4>2278</vt:i4>
      </vt:variant>
      <vt:variant>
        <vt:i4>0</vt:i4>
      </vt:variant>
      <vt:variant>
        <vt:i4>5</vt:i4>
      </vt:variant>
      <vt:variant>
        <vt:lpwstr/>
      </vt:variant>
      <vt:variant>
        <vt:lpwstr>_ENREF_55</vt:lpwstr>
      </vt:variant>
      <vt:variant>
        <vt:i4>4456459</vt:i4>
      </vt:variant>
      <vt:variant>
        <vt:i4>2275</vt:i4>
      </vt:variant>
      <vt:variant>
        <vt:i4>0</vt:i4>
      </vt:variant>
      <vt:variant>
        <vt:i4>5</vt:i4>
      </vt:variant>
      <vt:variant>
        <vt:lpwstr/>
      </vt:variant>
      <vt:variant>
        <vt:lpwstr>_ENREF_53</vt:lpwstr>
      </vt:variant>
      <vt:variant>
        <vt:i4>4390923</vt:i4>
      </vt:variant>
      <vt:variant>
        <vt:i4>2265</vt:i4>
      </vt:variant>
      <vt:variant>
        <vt:i4>0</vt:i4>
      </vt:variant>
      <vt:variant>
        <vt:i4>5</vt:i4>
      </vt:variant>
      <vt:variant>
        <vt:lpwstr/>
      </vt:variant>
      <vt:variant>
        <vt:lpwstr>_ENREF_27</vt:lpwstr>
      </vt:variant>
      <vt:variant>
        <vt:i4>7929918</vt:i4>
      </vt:variant>
      <vt:variant>
        <vt:i4>2261</vt:i4>
      </vt:variant>
      <vt:variant>
        <vt:i4>0</vt:i4>
      </vt:variant>
      <vt:variant>
        <vt:i4>5</vt:i4>
      </vt:variant>
      <vt:variant>
        <vt:lpwstr/>
      </vt:variant>
      <vt:variant>
        <vt:lpwstr>_ENREF_159</vt:lpwstr>
      </vt:variant>
      <vt:variant>
        <vt:i4>7602226</vt:i4>
      </vt:variant>
      <vt:variant>
        <vt:i4>2258</vt:i4>
      </vt:variant>
      <vt:variant>
        <vt:i4>0</vt:i4>
      </vt:variant>
      <vt:variant>
        <vt:i4>5</vt:i4>
      </vt:variant>
      <vt:variant>
        <vt:lpwstr/>
      </vt:variant>
      <vt:variant>
        <vt:lpwstr>_ENREF_194</vt:lpwstr>
      </vt:variant>
      <vt:variant>
        <vt:i4>7405618</vt:i4>
      </vt:variant>
      <vt:variant>
        <vt:i4>2255</vt:i4>
      </vt:variant>
      <vt:variant>
        <vt:i4>0</vt:i4>
      </vt:variant>
      <vt:variant>
        <vt:i4>5</vt:i4>
      </vt:variant>
      <vt:variant>
        <vt:lpwstr/>
      </vt:variant>
      <vt:variant>
        <vt:lpwstr>_ENREF_191</vt:lpwstr>
      </vt:variant>
      <vt:variant>
        <vt:i4>7864382</vt:i4>
      </vt:variant>
      <vt:variant>
        <vt:i4>2252</vt:i4>
      </vt:variant>
      <vt:variant>
        <vt:i4>0</vt:i4>
      </vt:variant>
      <vt:variant>
        <vt:i4>5</vt:i4>
      </vt:variant>
      <vt:variant>
        <vt:lpwstr/>
      </vt:variant>
      <vt:variant>
        <vt:lpwstr>_ENREF_158</vt:lpwstr>
      </vt:variant>
      <vt:variant>
        <vt:i4>7733298</vt:i4>
      </vt:variant>
      <vt:variant>
        <vt:i4>2249</vt:i4>
      </vt:variant>
      <vt:variant>
        <vt:i4>0</vt:i4>
      </vt:variant>
      <vt:variant>
        <vt:i4>5</vt:i4>
      </vt:variant>
      <vt:variant>
        <vt:lpwstr/>
      </vt:variant>
      <vt:variant>
        <vt:lpwstr>_ENREF_196</vt:lpwstr>
      </vt:variant>
      <vt:variant>
        <vt:i4>4325387</vt:i4>
      </vt:variant>
      <vt:variant>
        <vt:i4>2246</vt:i4>
      </vt:variant>
      <vt:variant>
        <vt:i4>0</vt:i4>
      </vt:variant>
      <vt:variant>
        <vt:i4>5</vt:i4>
      </vt:variant>
      <vt:variant>
        <vt:lpwstr/>
      </vt:variant>
      <vt:variant>
        <vt:lpwstr>_ENREF_38</vt:lpwstr>
      </vt:variant>
      <vt:variant>
        <vt:i4>7667762</vt:i4>
      </vt:variant>
      <vt:variant>
        <vt:i4>2243</vt:i4>
      </vt:variant>
      <vt:variant>
        <vt:i4>0</vt:i4>
      </vt:variant>
      <vt:variant>
        <vt:i4>5</vt:i4>
      </vt:variant>
      <vt:variant>
        <vt:lpwstr/>
      </vt:variant>
      <vt:variant>
        <vt:lpwstr>_ENREF_195</vt:lpwstr>
      </vt:variant>
      <vt:variant>
        <vt:i4>4325387</vt:i4>
      </vt:variant>
      <vt:variant>
        <vt:i4>2240</vt:i4>
      </vt:variant>
      <vt:variant>
        <vt:i4>0</vt:i4>
      </vt:variant>
      <vt:variant>
        <vt:i4>5</vt:i4>
      </vt:variant>
      <vt:variant>
        <vt:lpwstr/>
      </vt:variant>
      <vt:variant>
        <vt:lpwstr>_ENREF_37</vt:lpwstr>
      </vt:variant>
      <vt:variant>
        <vt:i4>7602232</vt:i4>
      </vt:variant>
      <vt:variant>
        <vt:i4>2237</vt:i4>
      </vt:variant>
      <vt:variant>
        <vt:i4>0</vt:i4>
      </vt:variant>
      <vt:variant>
        <vt:i4>5</vt:i4>
      </vt:variant>
      <vt:variant>
        <vt:lpwstr/>
      </vt:variant>
      <vt:variant>
        <vt:lpwstr>_ENREF_134</vt:lpwstr>
      </vt:variant>
      <vt:variant>
        <vt:i4>7667769</vt:i4>
      </vt:variant>
      <vt:variant>
        <vt:i4>2234</vt:i4>
      </vt:variant>
      <vt:variant>
        <vt:i4>0</vt:i4>
      </vt:variant>
      <vt:variant>
        <vt:i4>5</vt:i4>
      </vt:variant>
      <vt:variant>
        <vt:lpwstr/>
      </vt:variant>
      <vt:variant>
        <vt:lpwstr>_ENREF_125</vt:lpwstr>
      </vt:variant>
      <vt:variant>
        <vt:i4>7602239</vt:i4>
      </vt:variant>
      <vt:variant>
        <vt:i4>2231</vt:i4>
      </vt:variant>
      <vt:variant>
        <vt:i4>0</vt:i4>
      </vt:variant>
      <vt:variant>
        <vt:i4>5</vt:i4>
      </vt:variant>
      <vt:variant>
        <vt:lpwstr/>
      </vt:variant>
      <vt:variant>
        <vt:lpwstr>_ENREF_247</vt:lpwstr>
      </vt:variant>
      <vt:variant>
        <vt:i4>7536703</vt:i4>
      </vt:variant>
      <vt:variant>
        <vt:i4>2228</vt:i4>
      </vt:variant>
      <vt:variant>
        <vt:i4>0</vt:i4>
      </vt:variant>
      <vt:variant>
        <vt:i4>5</vt:i4>
      </vt:variant>
      <vt:variant>
        <vt:lpwstr/>
      </vt:variant>
      <vt:variant>
        <vt:lpwstr>_ENREF_240</vt:lpwstr>
      </vt:variant>
      <vt:variant>
        <vt:i4>4784139</vt:i4>
      </vt:variant>
      <vt:variant>
        <vt:i4>2225</vt:i4>
      </vt:variant>
      <vt:variant>
        <vt:i4>0</vt:i4>
      </vt:variant>
      <vt:variant>
        <vt:i4>5</vt:i4>
      </vt:variant>
      <vt:variant>
        <vt:lpwstr/>
      </vt:variant>
      <vt:variant>
        <vt:lpwstr>_ENREF_87</vt:lpwstr>
      </vt:variant>
      <vt:variant>
        <vt:i4>7798842</vt:i4>
      </vt:variant>
      <vt:variant>
        <vt:i4>2215</vt:i4>
      </vt:variant>
      <vt:variant>
        <vt:i4>0</vt:i4>
      </vt:variant>
      <vt:variant>
        <vt:i4>5</vt:i4>
      </vt:variant>
      <vt:variant>
        <vt:lpwstr/>
      </vt:variant>
      <vt:variant>
        <vt:lpwstr>_ENREF_117</vt:lpwstr>
      </vt:variant>
      <vt:variant>
        <vt:i4>4521995</vt:i4>
      </vt:variant>
      <vt:variant>
        <vt:i4>2209</vt:i4>
      </vt:variant>
      <vt:variant>
        <vt:i4>0</vt:i4>
      </vt:variant>
      <vt:variant>
        <vt:i4>5</vt:i4>
      </vt:variant>
      <vt:variant>
        <vt:lpwstr/>
      </vt:variant>
      <vt:variant>
        <vt:lpwstr>_ENREF_40</vt:lpwstr>
      </vt:variant>
      <vt:variant>
        <vt:i4>7602234</vt:i4>
      </vt:variant>
      <vt:variant>
        <vt:i4>2203</vt:i4>
      </vt:variant>
      <vt:variant>
        <vt:i4>0</vt:i4>
      </vt:variant>
      <vt:variant>
        <vt:i4>5</vt:i4>
      </vt:variant>
      <vt:variant>
        <vt:lpwstr/>
      </vt:variant>
      <vt:variant>
        <vt:lpwstr>_ENREF_217</vt:lpwstr>
      </vt:variant>
      <vt:variant>
        <vt:i4>7405619</vt:i4>
      </vt:variant>
      <vt:variant>
        <vt:i4>2197</vt:i4>
      </vt:variant>
      <vt:variant>
        <vt:i4>0</vt:i4>
      </vt:variant>
      <vt:variant>
        <vt:i4>5</vt:i4>
      </vt:variant>
      <vt:variant>
        <vt:lpwstr/>
      </vt:variant>
      <vt:variant>
        <vt:lpwstr>_ENREF_181</vt:lpwstr>
      </vt:variant>
      <vt:variant>
        <vt:i4>7667774</vt:i4>
      </vt:variant>
      <vt:variant>
        <vt:i4>2191</vt:i4>
      </vt:variant>
      <vt:variant>
        <vt:i4>0</vt:i4>
      </vt:variant>
      <vt:variant>
        <vt:i4>5</vt:i4>
      </vt:variant>
      <vt:variant>
        <vt:lpwstr/>
      </vt:variant>
      <vt:variant>
        <vt:lpwstr>_ENREF_155</vt:lpwstr>
      </vt:variant>
      <vt:variant>
        <vt:i4>7536702</vt:i4>
      </vt:variant>
      <vt:variant>
        <vt:i4>2185</vt:i4>
      </vt:variant>
      <vt:variant>
        <vt:i4>0</vt:i4>
      </vt:variant>
      <vt:variant>
        <vt:i4>5</vt:i4>
      </vt:variant>
      <vt:variant>
        <vt:lpwstr/>
      </vt:variant>
      <vt:variant>
        <vt:lpwstr>_ENREF_153</vt:lpwstr>
      </vt:variant>
      <vt:variant>
        <vt:i4>7733310</vt:i4>
      </vt:variant>
      <vt:variant>
        <vt:i4>2179</vt:i4>
      </vt:variant>
      <vt:variant>
        <vt:i4>0</vt:i4>
      </vt:variant>
      <vt:variant>
        <vt:i4>5</vt:i4>
      </vt:variant>
      <vt:variant>
        <vt:lpwstr/>
      </vt:variant>
      <vt:variant>
        <vt:lpwstr>_ENREF_156</vt:lpwstr>
      </vt:variant>
      <vt:variant>
        <vt:i4>4784139</vt:i4>
      </vt:variant>
      <vt:variant>
        <vt:i4>2173</vt:i4>
      </vt:variant>
      <vt:variant>
        <vt:i4>0</vt:i4>
      </vt:variant>
      <vt:variant>
        <vt:i4>5</vt:i4>
      </vt:variant>
      <vt:variant>
        <vt:lpwstr/>
      </vt:variant>
      <vt:variant>
        <vt:lpwstr>_ENREF_82</vt:lpwstr>
      </vt:variant>
      <vt:variant>
        <vt:i4>7471154</vt:i4>
      </vt:variant>
      <vt:variant>
        <vt:i4>2167</vt:i4>
      </vt:variant>
      <vt:variant>
        <vt:i4>0</vt:i4>
      </vt:variant>
      <vt:variant>
        <vt:i4>5</vt:i4>
      </vt:variant>
      <vt:variant>
        <vt:lpwstr/>
      </vt:variant>
      <vt:variant>
        <vt:lpwstr>_ENREF_192</vt:lpwstr>
      </vt:variant>
      <vt:variant>
        <vt:i4>7471154</vt:i4>
      </vt:variant>
      <vt:variant>
        <vt:i4>2161</vt:i4>
      </vt:variant>
      <vt:variant>
        <vt:i4>0</vt:i4>
      </vt:variant>
      <vt:variant>
        <vt:i4>5</vt:i4>
      </vt:variant>
      <vt:variant>
        <vt:lpwstr/>
      </vt:variant>
      <vt:variant>
        <vt:lpwstr>_ENREF_192</vt:lpwstr>
      </vt:variant>
      <vt:variant>
        <vt:i4>8060990</vt:i4>
      </vt:variant>
      <vt:variant>
        <vt:i4>2146</vt:i4>
      </vt:variant>
      <vt:variant>
        <vt:i4>0</vt:i4>
      </vt:variant>
      <vt:variant>
        <vt:i4>5</vt:i4>
      </vt:variant>
      <vt:variant>
        <vt:lpwstr/>
      </vt:variant>
      <vt:variant>
        <vt:lpwstr>_ENREF_258</vt:lpwstr>
      </vt:variant>
      <vt:variant>
        <vt:i4>8060990</vt:i4>
      </vt:variant>
      <vt:variant>
        <vt:i4>2142</vt:i4>
      </vt:variant>
      <vt:variant>
        <vt:i4>0</vt:i4>
      </vt:variant>
      <vt:variant>
        <vt:i4>5</vt:i4>
      </vt:variant>
      <vt:variant>
        <vt:lpwstr/>
      </vt:variant>
      <vt:variant>
        <vt:lpwstr>_ENREF_258</vt:lpwstr>
      </vt:variant>
      <vt:variant>
        <vt:i4>7929912</vt:i4>
      </vt:variant>
      <vt:variant>
        <vt:i4>2139</vt:i4>
      </vt:variant>
      <vt:variant>
        <vt:i4>0</vt:i4>
      </vt:variant>
      <vt:variant>
        <vt:i4>5</vt:i4>
      </vt:variant>
      <vt:variant>
        <vt:lpwstr/>
      </vt:variant>
      <vt:variant>
        <vt:lpwstr>_ENREF_139</vt:lpwstr>
      </vt:variant>
      <vt:variant>
        <vt:i4>7929912</vt:i4>
      </vt:variant>
      <vt:variant>
        <vt:i4>2129</vt:i4>
      </vt:variant>
      <vt:variant>
        <vt:i4>0</vt:i4>
      </vt:variant>
      <vt:variant>
        <vt:i4>5</vt:i4>
      </vt:variant>
      <vt:variant>
        <vt:lpwstr/>
      </vt:variant>
      <vt:variant>
        <vt:lpwstr>_ENREF_139</vt:lpwstr>
      </vt:variant>
      <vt:variant>
        <vt:i4>4784139</vt:i4>
      </vt:variant>
      <vt:variant>
        <vt:i4>2123</vt:i4>
      </vt:variant>
      <vt:variant>
        <vt:i4>0</vt:i4>
      </vt:variant>
      <vt:variant>
        <vt:i4>5</vt:i4>
      </vt:variant>
      <vt:variant>
        <vt:lpwstr/>
      </vt:variant>
      <vt:variant>
        <vt:lpwstr>_ENREF_86</vt:lpwstr>
      </vt:variant>
      <vt:variant>
        <vt:i4>4653067</vt:i4>
      </vt:variant>
      <vt:variant>
        <vt:i4>2119</vt:i4>
      </vt:variant>
      <vt:variant>
        <vt:i4>0</vt:i4>
      </vt:variant>
      <vt:variant>
        <vt:i4>5</vt:i4>
      </vt:variant>
      <vt:variant>
        <vt:lpwstr/>
      </vt:variant>
      <vt:variant>
        <vt:lpwstr>_ENREF_61</vt:lpwstr>
      </vt:variant>
      <vt:variant>
        <vt:i4>8060990</vt:i4>
      </vt:variant>
      <vt:variant>
        <vt:i4>2116</vt:i4>
      </vt:variant>
      <vt:variant>
        <vt:i4>0</vt:i4>
      </vt:variant>
      <vt:variant>
        <vt:i4>5</vt:i4>
      </vt:variant>
      <vt:variant>
        <vt:lpwstr/>
      </vt:variant>
      <vt:variant>
        <vt:lpwstr>_ENREF_258</vt:lpwstr>
      </vt:variant>
      <vt:variant>
        <vt:i4>7667769</vt:i4>
      </vt:variant>
      <vt:variant>
        <vt:i4>2102</vt:i4>
      </vt:variant>
      <vt:variant>
        <vt:i4>0</vt:i4>
      </vt:variant>
      <vt:variant>
        <vt:i4>5</vt:i4>
      </vt:variant>
      <vt:variant>
        <vt:lpwstr/>
      </vt:variant>
      <vt:variant>
        <vt:lpwstr>_ENREF_226</vt:lpwstr>
      </vt:variant>
      <vt:variant>
        <vt:i4>4390923</vt:i4>
      </vt:variant>
      <vt:variant>
        <vt:i4>2096</vt:i4>
      </vt:variant>
      <vt:variant>
        <vt:i4>0</vt:i4>
      </vt:variant>
      <vt:variant>
        <vt:i4>5</vt:i4>
      </vt:variant>
      <vt:variant>
        <vt:lpwstr/>
      </vt:variant>
      <vt:variant>
        <vt:lpwstr>_ENREF_25</vt:lpwstr>
      </vt:variant>
      <vt:variant>
        <vt:i4>7471161</vt:i4>
      </vt:variant>
      <vt:variant>
        <vt:i4>2092</vt:i4>
      </vt:variant>
      <vt:variant>
        <vt:i4>0</vt:i4>
      </vt:variant>
      <vt:variant>
        <vt:i4>5</vt:i4>
      </vt:variant>
      <vt:variant>
        <vt:lpwstr/>
      </vt:variant>
      <vt:variant>
        <vt:lpwstr>_ENREF_221</vt:lpwstr>
      </vt:variant>
      <vt:variant>
        <vt:i4>4784139</vt:i4>
      </vt:variant>
      <vt:variant>
        <vt:i4>2089</vt:i4>
      </vt:variant>
      <vt:variant>
        <vt:i4>0</vt:i4>
      </vt:variant>
      <vt:variant>
        <vt:i4>5</vt:i4>
      </vt:variant>
      <vt:variant>
        <vt:lpwstr/>
      </vt:variant>
      <vt:variant>
        <vt:lpwstr>_ENREF_81</vt:lpwstr>
      </vt:variant>
      <vt:variant>
        <vt:i4>7864377</vt:i4>
      </vt:variant>
      <vt:variant>
        <vt:i4>2077</vt:i4>
      </vt:variant>
      <vt:variant>
        <vt:i4>0</vt:i4>
      </vt:variant>
      <vt:variant>
        <vt:i4>5</vt:i4>
      </vt:variant>
      <vt:variant>
        <vt:lpwstr/>
      </vt:variant>
      <vt:variant>
        <vt:lpwstr>_ENREF_128</vt:lpwstr>
      </vt:variant>
      <vt:variant>
        <vt:i4>7995455</vt:i4>
      </vt:variant>
      <vt:variant>
        <vt:i4>2073</vt:i4>
      </vt:variant>
      <vt:variant>
        <vt:i4>0</vt:i4>
      </vt:variant>
      <vt:variant>
        <vt:i4>5</vt:i4>
      </vt:variant>
      <vt:variant>
        <vt:lpwstr/>
      </vt:variant>
      <vt:variant>
        <vt:lpwstr>_ENREF_249</vt:lpwstr>
      </vt:variant>
      <vt:variant>
        <vt:i4>7733307</vt:i4>
      </vt:variant>
      <vt:variant>
        <vt:i4>2070</vt:i4>
      </vt:variant>
      <vt:variant>
        <vt:i4>0</vt:i4>
      </vt:variant>
      <vt:variant>
        <vt:i4>5</vt:i4>
      </vt:variant>
      <vt:variant>
        <vt:lpwstr/>
      </vt:variant>
      <vt:variant>
        <vt:lpwstr>_ENREF_106</vt:lpwstr>
      </vt:variant>
      <vt:variant>
        <vt:i4>8060991</vt:i4>
      </vt:variant>
      <vt:variant>
        <vt:i4>2060</vt:i4>
      </vt:variant>
      <vt:variant>
        <vt:i4>0</vt:i4>
      </vt:variant>
      <vt:variant>
        <vt:i4>5</vt:i4>
      </vt:variant>
      <vt:variant>
        <vt:lpwstr/>
      </vt:variant>
      <vt:variant>
        <vt:lpwstr>_ENREF_248</vt:lpwstr>
      </vt:variant>
      <vt:variant>
        <vt:i4>7995454</vt:i4>
      </vt:variant>
      <vt:variant>
        <vt:i4>2054</vt:i4>
      </vt:variant>
      <vt:variant>
        <vt:i4>0</vt:i4>
      </vt:variant>
      <vt:variant>
        <vt:i4>5</vt:i4>
      </vt:variant>
      <vt:variant>
        <vt:lpwstr/>
      </vt:variant>
      <vt:variant>
        <vt:lpwstr>_ENREF_259</vt:lpwstr>
      </vt:variant>
      <vt:variant>
        <vt:i4>7995455</vt:i4>
      </vt:variant>
      <vt:variant>
        <vt:i4>2050</vt:i4>
      </vt:variant>
      <vt:variant>
        <vt:i4>0</vt:i4>
      </vt:variant>
      <vt:variant>
        <vt:i4>5</vt:i4>
      </vt:variant>
      <vt:variant>
        <vt:lpwstr/>
      </vt:variant>
      <vt:variant>
        <vt:lpwstr>_ENREF_249</vt:lpwstr>
      </vt:variant>
      <vt:variant>
        <vt:i4>7733307</vt:i4>
      </vt:variant>
      <vt:variant>
        <vt:i4>2047</vt:i4>
      </vt:variant>
      <vt:variant>
        <vt:i4>0</vt:i4>
      </vt:variant>
      <vt:variant>
        <vt:i4>5</vt:i4>
      </vt:variant>
      <vt:variant>
        <vt:lpwstr/>
      </vt:variant>
      <vt:variant>
        <vt:lpwstr>_ENREF_106</vt:lpwstr>
      </vt:variant>
      <vt:variant>
        <vt:i4>4587531</vt:i4>
      </vt:variant>
      <vt:variant>
        <vt:i4>2037</vt:i4>
      </vt:variant>
      <vt:variant>
        <vt:i4>0</vt:i4>
      </vt:variant>
      <vt:variant>
        <vt:i4>5</vt:i4>
      </vt:variant>
      <vt:variant>
        <vt:lpwstr/>
      </vt:variant>
      <vt:variant>
        <vt:lpwstr>_ENREF_72</vt:lpwstr>
      </vt:variant>
      <vt:variant>
        <vt:i4>4587531</vt:i4>
      </vt:variant>
      <vt:variant>
        <vt:i4>2033</vt:i4>
      </vt:variant>
      <vt:variant>
        <vt:i4>0</vt:i4>
      </vt:variant>
      <vt:variant>
        <vt:i4>5</vt:i4>
      </vt:variant>
      <vt:variant>
        <vt:lpwstr/>
      </vt:variant>
      <vt:variant>
        <vt:lpwstr>_ENREF_78</vt:lpwstr>
      </vt:variant>
      <vt:variant>
        <vt:i4>4456459</vt:i4>
      </vt:variant>
      <vt:variant>
        <vt:i4>2030</vt:i4>
      </vt:variant>
      <vt:variant>
        <vt:i4>0</vt:i4>
      </vt:variant>
      <vt:variant>
        <vt:i4>5</vt:i4>
      </vt:variant>
      <vt:variant>
        <vt:lpwstr/>
      </vt:variant>
      <vt:variant>
        <vt:lpwstr>_ENREF_52</vt:lpwstr>
      </vt:variant>
      <vt:variant>
        <vt:i4>4521995</vt:i4>
      </vt:variant>
      <vt:variant>
        <vt:i4>2020</vt:i4>
      </vt:variant>
      <vt:variant>
        <vt:i4>0</vt:i4>
      </vt:variant>
      <vt:variant>
        <vt:i4>5</vt:i4>
      </vt:variant>
      <vt:variant>
        <vt:lpwstr/>
      </vt:variant>
      <vt:variant>
        <vt:lpwstr>_ENREF_41</vt:lpwstr>
      </vt:variant>
      <vt:variant>
        <vt:i4>7602237</vt:i4>
      </vt:variant>
      <vt:variant>
        <vt:i4>2016</vt:i4>
      </vt:variant>
      <vt:variant>
        <vt:i4>0</vt:i4>
      </vt:variant>
      <vt:variant>
        <vt:i4>5</vt:i4>
      </vt:variant>
      <vt:variant>
        <vt:lpwstr/>
      </vt:variant>
      <vt:variant>
        <vt:lpwstr>_ENREF_164</vt:lpwstr>
      </vt:variant>
      <vt:variant>
        <vt:i4>4718603</vt:i4>
      </vt:variant>
      <vt:variant>
        <vt:i4>2013</vt:i4>
      </vt:variant>
      <vt:variant>
        <vt:i4>0</vt:i4>
      </vt:variant>
      <vt:variant>
        <vt:i4>5</vt:i4>
      </vt:variant>
      <vt:variant>
        <vt:lpwstr/>
      </vt:variant>
      <vt:variant>
        <vt:lpwstr>_ENREF_9</vt:lpwstr>
      </vt:variant>
      <vt:variant>
        <vt:i4>8060986</vt:i4>
      </vt:variant>
      <vt:variant>
        <vt:i4>2010</vt:i4>
      </vt:variant>
      <vt:variant>
        <vt:i4>0</vt:i4>
      </vt:variant>
      <vt:variant>
        <vt:i4>5</vt:i4>
      </vt:variant>
      <vt:variant>
        <vt:lpwstr/>
      </vt:variant>
      <vt:variant>
        <vt:lpwstr>_ENREF_218</vt:lpwstr>
      </vt:variant>
      <vt:variant>
        <vt:i4>4587531</vt:i4>
      </vt:variant>
      <vt:variant>
        <vt:i4>2000</vt:i4>
      </vt:variant>
      <vt:variant>
        <vt:i4>0</vt:i4>
      </vt:variant>
      <vt:variant>
        <vt:i4>5</vt:i4>
      </vt:variant>
      <vt:variant>
        <vt:lpwstr/>
      </vt:variant>
      <vt:variant>
        <vt:lpwstr>_ENREF_78</vt:lpwstr>
      </vt:variant>
      <vt:variant>
        <vt:i4>4325387</vt:i4>
      </vt:variant>
      <vt:variant>
        <vt:i4>1993</vt:i4>
      </vt:variant>
      <vt:variant>
        <vt:i4>0</vt:i4>
      </vt:variant>
      <vt:variant>
        <vt:i4>5</vt:i4>
      </vt:variant>
      <vt:variant>
        <vt:lpwstr/>
      </vt:variant>
      <vt:variant>
        <vt:lpwstr>_ENREF_38</vt:lpwstr>
      </vt:variant>
      <vt:variant>
        <vt:i4>4194315</vt:i4>
      </vt:variant>
      <vt:variant>
        <vt:i4>1990</vt:i4>
      </vt:variant>
      <vt:variant>
        <vt:i4>0</vt:i4>
      </vt:variant>
      <vt:variant>
        <vt:i4>5</vt:i4>
      </vt:variant>
      <vt:variant>
        <vt:lpwstr/>
      </vt:variant>
      <vt:variant>
        <vt:lpwstr>_ENREF_18</vt:lpwstr>
      </vt:variant>
      <vt:variant>
        <vt:i4>7536702</vt:i4>
      </vt:variant>
      <vt:variant>
        <vt:i4>1982</vt:i4>
      </vt:variant>
      <vt:variant>
        <vt:i4>0</vt:i4>
      </vt:variant>
      <vt:variant>
        <vt:i4>5</vt:i4>
      </vt:variant>
      <vt:variant>
        <vt:lpwstr/>
      </vt:variant>
      <vt:variant>
        <vt:lpwstr>_ENREF_250</vt:lpwstr>
      </vt:variant>
      <vt:variant>
        <vt:i4>4194315</vt:i4>
      </vt:variant>
      <vt:variant>
        <vt:i4>1979</vt:i4>
      </vt:variant>
      <vt:variant>
        <vt:i4>0</vt:i4>
      </vt:variant>
      <vt:variant>
        <vt:i4>5</vt:i4>
      </vt:variant>
      <vt:variant>
        <vt:lpwstr/>
      </vt:variant>
      <vt:variant>
        <vt:lpwstr>_ENREF_16</vt:lpwstr>
      </vt:variant>
      <vt:variant>
        <vt:i4>7536702</vt:i4>
      </vt:variant>
      <vt:variant>
        <vt:i4>1975</vt:i4>
      </vt:variant>
      <vt:variant>
        <vt:i4>0</vt:i4>
      </vt:variant>
      <vt:variant>
        <vt:i4>5</vt:i4>
      </vt:variant>
      <vt:variant>
        <vt:lpwstr/>
      </vt:variant>
      <vt:variant>
        <vt:lpwstr>_ENREF_250</vt:lpwstr>
      </vt:variant>
      <vt:variant>
        <vt:i4>4194315</vt:i4>
      </vt:variant>
      <vt:variant>
        <vt:i4>1972</vt:i4>
      </vt:variant>
      <vt:variant>
        <vt:i4>0</vt:i4>
      </vt:variant>
      <vt:variant>
        <vt:i4>5</vt:i4>
      </vt:variant>
      <vt:variant>
        <vt:lpwstr/>
      </vt:variant>
      <vt:variant>
        <vt:lpwstr>_ENREF_17</vt:lpwstr>
      </vt:variant>
      <vt:variant>
        <vt:i4>7536699</vt:i4>
      </vt:variant>
      <vt:variant>
        <vt:i4>1969</vt:i4>
      </vt:variant>
      <vt:variant>
        <vt:i4>0</vt:i4>
      </vt:variant>
      <vt:variant>
        <vt:i4>5</vt:i4>
      </vt:variant>
      <vt:variant>
        <vt:lpwstr/>
      </vt:variant>
      <vt:variant>
        <vt:lpwstr>_ENREF_103</vt:lpwstr>
      </vt:variant>
      <vt:variant>
        <vt:i4>7536690</vt:i4>
      </vt:variant>
      <vt:variant>
        <vt:i4>1959</vt:i4>
      </vt:variant>
      <vt:variant>
        <vt:i4>0</vt:i4>
      </vt:variant>
      <vt:variant>
        <vt:i4>5</vt:i4>
      </vt:variant>
      <vt:variant>
        <vt:lpwstr/>
      </vt:variant>
      <vt:variant>
        <vt:lpwstr>_ENREF_193</vt:lpwstr>
      </vt:variant>
      <vt:variant>
        <vt:i4>1114172</vt:i4>
      </vt:variant>
      <vt:variant>
        <vt:i4>1952</vt:i4>
      </vt:variant>
      <vt:variant>
        <vt:i4>0</vt:i4>
      </vt:variant>
      <vt:variant>
        <vt:i4>5</vt:i4>
      </vt:variant>
      <vt:variant>
        <vt:lpwstr/>
      </vt:variant>
      <vt:variant>
        <vt:lpwstr>_Toc431494054</vt:lpwstr>
      </vt:variant>
      <vt:variant>
        <vt:i4>1114172</vt:i4>
      </vt:variant>
      <vt:variant>
        <vt:i4>1946</vt:i4>
      </vt:variant>
      <vt:variant>
        <vt:i4>0</vt:i4>
      </vt:variant>
      <vt:variant>
        <vt:i4>5</vt:i4>
      </vt:variant>
      <vt:variant>
        <vt:lpwstr/>
      </vt:variant>
      <vt:variant>
        <vt:lpwstr>_Toc431494053</vt:lpwstr>
      </vt:variant>
      <vt:variant>
        <vt:i4>1114172</vt:i4>
      </vt:variant>
      <vt:variant>
        <vt:i4>1940</vt:i4>
      </vt:variant>
      <vt:variant>
        <vt:i4>0</vt:i4>
      </vt:variant>
      <vt:variant>
        <vt:i4>5</vt:i4>
      </vt:variant>
      <vt:variant>
        <vt:lpwstr/>
      </vt:variant>
      <vt:variant>
        <vt:lpwstr>_Toc431494052</vt:lpwstr>
      </vt:variant>
      <vt:variant>
        <vt:i4>1114172</vt:i4>
      </vt:variant>
      <vt:variant>
        <vt:i4>1934</vt:i4>
      </vt:variant>
      <vt:variant>
        <vt:i4>0</vt:i4>
      </vt:variant>
      <vt:variant>
        <vt:i4>5</vt:i4>
      </vt:variant>
      <vt:variant>
        <vt:lpwstr/>
      </vt:variant>
      <vt:variant>
        <vt:lpwstr>_Toc431494051</vt:lpwstr>
      </vt:variant>
      <vt:variant>
        <vt:i4>1114172</vt:i4>
      </vt:variant>
      <vt:variant>
        <vt:i4>1928</vt:i4>
      </vt:variant>
      <vt:variant>
        <vt:i4>0</vt:i4>
      </vt:variant>
      <vt:variant>
        <vt:i4>5</vt:i4>
      </vt:variant>
      <vt:variant>
        <vt:lpwstr/>
      </vt:variant>
      <vt:variant>
        <vt:lpwstr>_Toc431494050</vt:lpwstr>
      </vt:variant>
      <vt:variant>
        <vt:i4>1048636</vt:i4>
      </vt:variant>
      <vt:variant>
        <vt:i4>1922</vt:i4>
      </vt:variant>
      <vt:variant>
        <vt:i4>0</vt:i4>
      </vt:variant>
      <vt:variant>
        <vt:i4>5</vt:i4>
      </vt:variant>
      <vt:variant>
        <vt:lpwstr/>
      </vt:variant>
      <vt:variant>
        <vt:lpwstr>_Toc431494049</vt:lpwstr>
      </vt:variant>
      <vt:variant>
        <vt:i4>1048636</vt:i4>
      </vt:variant>
      <vt:variant>
        <vt:i4>1916</vt:i4>
      </vt:variant>
      <vt:variant>
        <vt:i4>0</vt:i4>
      </vt:variant>
      <vt:variant>
        <vt:i4>5</vt:i4>
      </vt:variant>
      <vt:variant>
        <vt:lpwstr/>
      </vt:variant>
      <vt:variant>
        <vt:lpwstr>_Toc431494048</vt:lpwstr>
      </vt:variant>
      <vt:variant>
        <vt:i4>1048636</vt:i4>
      </vt:variant>
      <vt:variant>
        <vt:i4>1910</vt:i4>
      </vt:variant>
      <vt:variant>
        <vt:i4>0</vt:i4>
      </vt:variant>
      <vt:variant>
        <vt:i4>5</vt:i4>
      </vt:variant>
      <vt:variant>
        <vt:lpwstr/>
      </vt:variant>
      <vt:variant>
        <vt:lpwstr>_Toc431494047</vt:lpwstr>
      </vt:variant>
      <vt:variant>
        <vt:i4>1048636</vt:i4>
      </vt:variant>
      <vt:variant>
        <vt:i4>1904</vt:i4>
      </vt:variant>
      <vt:variant>
        <vt:i4>0</vt:i4>
      </vt:variant>
      <vt:variant>
        <vt:i4>5</vt:i4>
      </vt:variant>
      <vt:variant>
        <vt:lpwstr/>
      </vt:variant>
      <vt:variant>
        <vt:lpwstr>_Toc431494046</vt:lpwstr>
      </vt:variant>
      <vt:variant>
        <vt:i4>1048636</vt:i4>
      </vt:variant>
      <vt:variant>
        <vt:i4>1898</vt:i4>
      </vt:variant>
      <vt:variant>
        <vt:i4>0</vt:i4>
      </vt:variant>
      <vt:variant>
        <vt:i4>5</vt:i4>
      </vt:variant>
      <vt:variant>
        <vt:lpwstr/>
      </vt:variant>
      <vt:variant>
        <vt:lpwstr>_Toc431494045</vt:lpwstr>
      </vt:variant>
      <vt:variant>
        <vt:i4>1048636</vt:i4>
      </vt:variant>
      <vt:variant>
        <vt:i4>1892</vt:i4>
      </vt:variant>
      <vt:variant>
        <vt:i4>0</vt:i4>
      </vt:variant>
      <vt:variant>
        <vt:i4>5</vt:i4>
      </vt:variant>
      <vt:variant>
        <vt:lpwstr/>
      </vt:variant>
      <vt:variant>
        <vt:lpwstr>_Toc431494044</vt:lpwstr>
      </vt:variant>
      <vt:variant>
        <vt:i4>1048636</vt:i4>
      </vt:variant>
      <vt:variant>
        <vt:i4>1886</vt:i4>
      </vt:variant>
      <vt:variant>
        <vt:i4>0</vt:i4>
      </vt:variant>
      <vt:variant>
        <vt:i4>5</vt:i4>
      </vt:variant>
      <vt:variant>
        <vt:lpwstr/>
      </vt:variant>
      <vt:variant>
        <vt:lpwstr>_Toc431494043</vt:lpwstr>
      </vt:variant>
      <vt:variant>
        <vt:i4>1048636</vt:i4>
      </vt:variant>
      <vt:variant>
        <vt:i4>1880</vt:i4>
      </vt:variant>
      <vt:variant>
        <vt:i4>0</vt:i4>
      </vt:variant>
      <vt:variant>
        <vt:i4>5</vt:i4>
      </vt:variant>
      <vt:variant>
        <vt:lpwstr/>
      </vt:variant>
      <vt:variant>
        <vt:lpwstr>_Toc431494042</vt:lpwstr>
      </vt:variant>
      <vt:variant>
        <vt:i4>1048636</vt:i4>
      </vt:variant>
      <vt:variant>
        <vt:i4>1874</vt:i4>
      </vt:variant>
      <vt:variant>
        <vt:i4>0</vt:i4>
      </vt:variant>
      <vt:variant>
        <vt:i4>5</vt:i4>
      </vt:variant>
      <vt:variant>
        <vt:lpwstr/>
      </vt:variant>
      <vt:variant>
        <vt:lpwstr>_Toc431494041</vt:lpwstr>
      </vt:variant>
      <vt:variant>
        <vt:i4>1048636</vt:i4>
      </vt:variant>
      <vt:variant>
        <vt:i4>1868</vt:i4>
      </vt:variant>
      <vt:variant>
        <vt:i4>0</vt:i4>
      </vt:variant>
      <vt:variant>
        <vt:i4>5</vt:i4>
      </vt:variant>
      <vt:variant>
        <vt:lpwstr/>
      </vt:variant>
      <vt:variant>
        <vt:lpwstr>_Toc431494040</vt:lpwstr>
      </vt:variant>
      <vt:variant>
        <vt:i4>1507388</vt:i4>
      </vt:variant>
      <vt:variant>
        <vt:i4>1862</vt:i4>
      </vt:variant>
      <vt:variant>
        <vt:i4>0</vt:i4>
      </vt:variant>
      <vt:variant>
        <vt:i4>5</vt:i4>
      </vt:variant>
      <vt:variant>
        <vt:lpwstr/>
      </vt:variant>
      <vt:variant>
        <vt:lpwstr>_Toc431494039</vt:lpwstr>
      </vt:variant>
      <vt:variant>
        <vt:i4>1507388</vt:i4>
      </vt:variant>
      <vt:variant>
        <vt:i4>1856</vt:i4>
      </vt:variant>
      <vt:variant>
        <vt:i4>0</vt:i4>
      </vt:variant>
      <vt:variant>
        <vt:i4>5</vt:i4>
      </vt:variant>
      <vt:variant>
        <vt:lpwstr/>
      </vt:variant>
      <vt:variant>
        <vt:lpwstr>_Toc431494038</vt:lpwstr>
      </vt:variant>
      <vt:variant>
        <vt:i4>1507388</vt:i4>
      </vt:variant>
      <vt:variant>
        <vt:i4>1850</vt:i4>
      </vt:variant>
      <vt:variant>
        <vt:i4>0</vt:i4>
      </vt:variant>
      <vt:variant>
        <vt:i4>5</vt:i4>
      </vt:variant>
      <vt:variant>
        <vt:lpwstr/>
      </vt:variant>
      <vt:variant>
        <vt:lpwstr>_Toc431494037</vt:lpwstr>
      </vt:variant>
      <vt:variant>
        <vt:i4>1507388</vt:i4>
      </vt:variant>
      <vt:variant>
        <vt:i4>1844</vt:i4>
      </vt:variant>
      <vt:variant>
        <vt:i4>0</vt:i4>
      </vt:variant>
      <vt:variant>
        <vt:i4>5</vt:i4>
      </vt:variant>
      <vt:variant>
        <vt:lpwstr/>
      </vt:variant>
      <vt:variant>
        <vt:lpwstr>_Toc431494036</vt:lpwstr>
      </vt:variant>
      <vt:variant>
        <vt:i4>1507388</vt:i4>
      </vt:variant>
      <vt:variant>
        <vt:i4>1838</vt:i4>
      </vt:variant>
      <vt:variant>
        <vt:i4>0</vt:i4>
      </vt:variant>
      <vt:variant>
        <vt:i4>5</vt:i4>
      </vt:variant>
      <vt:variant>
        <vt:lpwstr/>
      </vt:variant>
      <vt:variant>
        <vt:lpwstr>_Toc431494035</vt:lpwstr>
      </vt:variant>
      <vt:variant>
        <vt:i4>1507388</vt:i4>
      </vt:variant>
      <vt:variant>
        <vt:i4>1832</vt:i4>
      </vt:variant>
      <vt:variant>
        <vt:i4>0</vt:i4>
      </vt:variant>
      <vt:variant>
        <vt:i4>5</vt:i4>
      </vt:variant>
      <vt:variant>
        <vt:lpwstr/>
      </vt:variant>
      <vt:variant>
        <vt:lpwstr>_Toc431494034</vt:lpwstr>
      </vt:variant>
      <vt:variant>
        <vt:i4>1507388</vt:i4>
      </vt:variant>
      <vt:variant>
        <vt:i4>1826</vt:i4>
      </vt:variant>
      <vt:variant>
        <vt:i4>0</vt:i4>
      </vt:variant>
      <vt:variant>
        <vt:i4>5</vt:i4>
      </vt:variant>
      <vt:variant>
        <vt:lpwstr/>
      </vt:variant>
      <vt:variant>
        <vt:lpwstr>_Toc431494033</vt:lpwstr>
      </vt:variant>
      <vt:variant>
        <vt:i4>1507388</vt:i4>
      </vt:variant>
      <vt:variant>
        <vt:i4>1820</vt:i4>
      </vt:variant>
      <vt:variant>
        <vt:i4>0</vt:i4>
      </vt:variant>
      <vt:variant>
        <vt:i4>5</vt:i4>
      </vt:variant>
      <vt:variant>
        <vt:lpwstr/>
      </vt:variant>
      <vt:variant>
        <vt:lpwstr>_Toc431494032</vt:lpwstr>
      </vt:variant>
      <vt:variant>
        <vt:i4>1507388</vt:i4>
      </vt:variant>
      <vt:variant>
        <vt:i4>1814</vt:i4>
      </vt:variant>
      <vt:variant>
        <vt:i4>0</vt:i4>
      </vt:variant>
      <vt:variant>
        <vt:i4>5</vt:i4>
      </vt:variant>
      <vt:variant>
        <vt:lpwstr/>
      </vt:variant>
      <vt:variant>
        <vt:lpwstr>_Toc431494031</vt:lpwstr>
      </vt:variant>
      <vt:variant>
        <vt:i4>1507388</vt:i4>
      </vt:variant>
      <vt:variant>
        <vt:i4>1808</vt:i4>
      </vt:variant>
      <vt:variant>
        <vt:i4>0</vt:i4>
      </vt:variant>
      <vt:variant>
        <vt:i4>5</vt:i4>
      </vt:variant>
      <vt:variant>
        <vt:lpwstr/>
      </vt:variant>
      <vt:variant>
        <vt:lpwstr>_Toc431494030</vt:lpwstr>
      </vt:variant>
      <vt:variant>
        <vt:i4>1441852</vt:i4>
      </vt:variant>
      <vt:variant>
        <vt:i4>1802</vt:i4>
      </vt:variant>
      <vt:variant>
        <vt:i4>0</vt:i4>
      </vt:variant>
      <vt:variant>
        <vt:i4>5</vt:i4>
      </vt:variant>
      <vt:variant>
        <vt:lpwstr/>
      </vt:variant>
      <vt:variant>
        <vt:lpwstr>_Toc431494029</vt:lpwstr>
      </vt:variant>
      <vt:variant>
        <vt:i4>1441852</vt:i4>
      </vt:variant>
      <vt:variant>
        <vt:i4>1796</vt:i4>
      </vt:variant>
      <vt:variant>
        <vt:i4>0</vt:i4>
      </vt:variant>
      <vt:variant>
        <vt:i4>5</vt:i4>
      </vt:variant>
      <vt:variant>
        <vt:lpwstr/>
      </vt:variant>
      <vt:variant>
        <vt:lpwstr>_Toc431494028</vt:lpwstr>
      </vt:variant>
      <vt:variant>
        <vt:i4>1441852</vt:i4>
      </vt:variant>
      <vt:variant>
        <vt:i4>1790</vt:i4>
      </vt:variant>
      <vt:variant>
        <vt:i4>0</vt:i4>
      </vt:variant>
      <vt:variant>
        <vt:i4>5</vt:i4>
      </vt:variant>
      <vt:variant>
        <vt:lpwstr/>
      </vt:variant>
      <vt:variant>
        <vt:lpwstr>_Toc431494027</vt:lpwstr>
      </vt:variant>
      <vt:variant>
        <vt:i4>1441852</vt:i4>
      </vt:variant>
      <vt:variant>
        <vt:i4>1784</vt:i4>
      </vt:variant>
      <vt:variant>
        <vt:i4>0</vt:i4>
      </vt:variant>
      <vt:variant>
        <vt:i4>5</vt:i4>
      </vt:variant>
      <vt:variant>
        <vt:lpwstr/>
      </vt:variant>
      <vt:variant>
        <vt:lpwstr>_Toc431494026</vt:lpwstr>
      </vt:variant>
      <vt:variant>
        <vt:i4>1441852</vt:i4>
      </vt:variant>
      <vt:variant>
        <vt:i4>1778</vt:i4>
      </vt:variant>
      <vt:variant>
        <vt:i4>0</vt:i4>
      </vt:variant>
      <vt:variant>
        <vt:i4>5</vt:i4>
      </vt:variant>
      <vt:variant>
        <vt:lpwstr/>
      </vt:variant>
      <vt:variant>
        <vt:lpwstr>_Toc431494025</vt:lpwstr>
      </vt:variant>
      <vt:variant>
        <vt:i4>1441852</vt:i4>
      </vt:variant>
      <vt:variant>
        <vt:i4>1772</vt:i4>
      </vt:variant>
      <vt:variant>
        <vt:i4>0</vt:i4>
      </vt:variant>
      <vt:variant>
        <vt:i4>5</vt:i4>
      </vt:variant>
      <vt:variant>
        <vt:lpwstr/>
      </vt:variant>
      <vt:variant>
        <vt:lpwstr>_Toc431494024</vt:lpwstr>
      </vt:variant>
      <vt:variant>
        <vt:i4>1441852</vt:i4>
      </vt:variant>
      <vt:variant>
        <vt:i4>1766</vt:i4>
      </vt:variant>
      <vt:variant>
        <vt:i4>0</vt:i4>
      </vt:variant>
      <vt:variant>
        <vt:i4>5</vt:i4>
      </vt:variant>
      <vt:variant>
        <vt:lpwstr/>
      </vt:variant>
      <vt:variant>
        <vt:lpwstr>_Toc431494023</vt:lpwstr>
      </vt:variant>
      <vt:variant>
        <vt:i4>1441852</vt:i4>
      </vt:variant>
      <vt:variant>
        <vt:i4>1760</vt:i4>
      </vt:variant>
      <vt:variant>
        <vt:i4>0</vt:i4>
      </vt:variant>
      <vt:variant>
        <vt:i4>5</vt:i4>
      </vt:variant>
      <vt:variant>
        <vt:lpwstr/>
      </vt:variant>
      <vt:variant>
        <vt:lpwstr>_Toc431494022</vt:lpwstr>
      </vt:variant>
      <vt:variant>
        <vt:i4>1441852</vt:i4>
      </vt:variant>
      <vt:variant>
        <vt:i4>1754</vt:i4>
      </vt:variant>
      <vt:variant>
        <vt:i4>0</vt:i4>
      </vt:variant>
      <vt:variant>
        <vt:i4>5</vt:i4>
      </vt:variant>
      <vt:variant>
        <vt:lpwstr/>
      </vt:variant>
      <vt:variant>
        <vt:lpwstr>_Toc431494021</vt:lpwstr>
      </vt:variant>
      <vt:variant>
        <vt:i4>1441852</vt:i4>
      </vt:variant>
      <vt:variant>
        <vt:i4>1748</vt:i4>
      </vt:variant>
      <vt:variant>
        <vt:i4>0</vt:i4>
      </vt:variant>
      <vt:variant>
        <vt:i4>5</vt:i4>
      </vt:variant>
      <vt:variant>
        <vt:lpwstr/>
      </vt:variant>
      <vt:variant>
        <vt:lpwstr>_Toc431494020</vt:lpwstr>
      </vt:variant>
      <vt:variant>
        <vt:i4>1376316</vt:i4>
      </vt:variant>
      <vt:variant>
        <vt:i4>1742</vt:i4>
      </vt:variant>
      <vt:variant>
        <vt:i4>0</vt:i4>
      </vt:variant>
      <vt:variant>
        <vt:i4>5</vt:i4>
      </vt:variant>
      <vt:variant>
        <vt:lpwstr/>
      </vt:variant>
      <vt:variant>
        <vt:lpwstr>_Toc431494019</vt:lpwstr>
      </vt:variant>
      <vt:variant>
        <vt:i4>1376316</vt:i4>
      </vt:variant>
      <vt:variant>
        <vt:i4>1736</vt:i4>
      </vt:variant>
      <vt:variant>
        <vt:i4>0</vt:i4>
      </vt:variant>
      <vt:variant>
        <vt:i4>5</vt:i4>
      </vt:variant>
      <vt:variant>
        <vt:lpwstr/>
      </vt:variant>
      <vt:variant>
        <vt:lpwstr>_Toc431494018</vt:lpwstr>
      </vt:variant>
      <vt:variant>
        <vt:i4>1376316</vt:i4>
      </vt:variant>
      <vt:variant>
        <vt:i4>1730</vt:i4>
      </vt:variant>
      <vt:variant>
        <vt:i4>0</vt:i4>
      </vt:variant>
      <vt:variant>
        <vt:i4>5</vt:i4>
      </vt:variant>
      <vt:variant>
        <vt:lpwstr/>
      </vt:variant>
      <vt:variant>
        <vt:lpwstr>_Toc431494017</vt:lpwstr>
      </vt:variant>
      <vt:variant>
        <vt:i4>1376316</vt:i4>
      </vt:variant>
      <vt:variant>
        <vt:i4>1724</vt:i4>
      </vt:variant>
      <vt:variant>
        <vt:i4>0</vt:i4>
      </vt:variant>
      <vt:variant>
        <vt:i4>5</vt:i4>
      </vt:variant>
      <vt:variant>
        <vt:lpwstr/>
      </vt:variant>
      <vt:variant>
        <vt:lpwstr>_Toc431494016</vt:lpwstr>
      </vt:variant>
      <vt:variant>
        <vt:i4>1376316</vt:i4>
      </vt:variant>
      <vt:variant>
        <vt:i4>1718</vt:i4>
      </vt:variant>
      <vt:variant>
        <vt:i4>0</vt:i4>
      </vt:variant>
      <vt:variant>
        <vt:i4>5</vt:i4>
      </vt:variant>
      <vt:variant>
        <vt:lpwstr/>
      </vt:variant>
      <vt:variant>
        <vt:lpwstr>_Toc431494015</vt:lpwstr>
      </vt:variant>
      <vt:variant>
        <vt:i4>1376316</vt:i4>
      </vt:variant>
      <vt:variant>
        <vt:i4>1712</vt:i4>
      </vt:variant>
      <vt:variant>
        <vt:i4>0</vt:i4>
      </vt:variant>
      <vt:variant>
        <vt:i4>5</vt:i4>
      </vt:variant>
      <vt:variant>
        <vt:lpwstr/>
      </vt:variant>
      <vt:variant>
        <vt:lpwstr>_Toc431494014</vt:lpwstr>
      </vt:variant>
      <vt:variant>
        <vt:i4>1376316</vt:i4>
      </vt:variant>
      <vt:variant>
        <vt:i4>1703</vt:i4>
      </vt:variant>
      <vt:variant>
        <vt:i4>0</vt:i4>
      </vt:variant>
      <vt:variant>
        <vt:i4>5</vt:i4>
      </vt:variant>
      <vt:variant>
        <vt:lpwstr/>
      </vt:variant>
      <vt:variant>
        <vt:lpwstr>_Toc431494013</vt:lpwstr>
      </vt:variant>
      <vt:variant>
        <vt:i4>1376316</vt:i4>
      </vt:variant>
      <vt:variant>
        <vt:i4>1697</vt:i4>
      </vt:variant>
      <vt:variant>
        <vt:i4>0</vt:i4>
      </vt:variant>
      <vt:variant>
        <vt:i4>5</vt:i4>
      </vt:variant>
      <vt:variant>
        <vt:lpwstr/>
      </vt:variant>
      <vt:variant>
        <vt:lpwstr>_Toc431494012</vt:lpwstr>
      </vt:variant>
      <vt:variant>
        <vt:i4>1376316</vt:i4>
      </vt:variant>
      <vt:variant>
        <vt:i4>1691</vt:i4>
      </vt:variant>
      <vt:variant>
        <vt:i4>0</vt:i4>
      </vt:variant>
      <vt:variant>
        <vt:i4>5</vt:i4>
      </vt:variant>
      <vt:variant>
        <vt:lpwstr/>
      </vt:variant>
      <vt:variant>
        <vt:lpwstr>_Toc431494011</vt:lpwstr>
      </vt:variant>
      <vt:variant>
        <vt:i4>1376316</vt:i4>
      </vt:variant>
      <vt:variant>
        <vt:i4>1685</vt:i4>
      </vt:variant>
      <vt:variant>
        <vt:i4>0</vt:i4>
      </vt:variant>
      <vt:variant>
        <vt:i4>5</vt:i4>
      </vt:variant>
      <vt:variant>
        <vt:lpwstr/>
      </vt:variant>
      <vt:variant>
        <vt:lpwstr>_Toc431494010</vt:lpwstr>
      </vt:variant>
      <vt:variant>
        <vt:i4>1310780</vt:i4>
      </vt:variant>
      <vt:variant>
        <vt:i4>1679</vt:i4>
      </vt:variant>
      <vt:variant>
        <vt:i4>0</vt:i4>
      </vt:variant>
      <vt:variant>
        <vt:i4>5</vt:i4>
      </vt:variant>
      <vt:variant>
        <vt:lpwstr/>
      </vt:variant>
      <vt:variant>
        <vt:lpwstr>_Toc431494009</vt:lpwstr>
      </vt:variant>
      <vt:variant>
        <vt:i4>1310780</vt:i4>
      </vt:variant>
      <vt:variant>
        <vt:i4>1673</vt:i4>
      </vt:variant>
      <vt:variant>
        <vt:i4>0</vt:i4>
      </vt:variant>
      <vt:variant>
        <vt:i4>5</vt:i4>
      </vt:variant>
      <vt:variant>
        <vt:lpwstr/>
      </vt:variant>
      <vt:variant>
        <vt:lpwstr>_Toc431494008</vt:lpwstr>
      </vt:variant>
      <vt:variant>
        <vt:i4>1310780</vt:i4>
      </vt:variant>
      <vt:variant>
        <vt:i4>1667</vt:i4>
      </vt:variant>
      <vt:variant>
        <vt:i4>0</vt:i4>
      </vt:variant>
      <vt:variant>
        <vt:i4>5</vt:i4>
      </vt:variant>
      <vt:variant>
        <vt:lpwstr/>
      </vt:variant>
      <vt:variant>
        <vt:lpwstr>_Toc431494007</vt:lpwstr>
      </vt:variant>
      <vt:variant>
        <vt:i4>1310780</vt:i4>
      </vt:variant>
      <vt:variant>
        <vt:i4>1661</vt:i4>
      </vt:variant>
      <vt:variant>
        <vt:i4>0</vt:i4>
      </vt:variant>
      <vt:variant>
        <vt:i4>5</vt:i4>
      </vt:variant>
      <vt:variant>
        <vt:lpwstr/>
      </vt:variant>
      <vt:variant>
        <vt:lpwstr>_Toc431494006</vt:lpwstr>
      </vt:variant>
      <vt:variant>
        <vt:i4>1310780</vt:i4>
      </vt:variant>
      <vt:variant>
        <vt:i4>1655</vt:i4>
      </vt:variant>
      <vt:variant>
        <vt:i4>0</vt:i4>
      </vt:variant>
      <vt:variant>
        <vt:i4>5</vt:i4>
      </vt:variant>
      <vt:variant>
        <vt:lpwstr/>
      </vt:variant>
      <vt:variant>
        <vt:lpwstr>_Toc431494005</vt:lpwstr>
      </vt:variant>
      <vt:variant>
        <vt:i4>1310780</vt:i4>
      </vt:variant>
      <vt:variant>
        <vt:i4>1649</vt:i4>
      </vt:variant>
      <vt:variant>
        <vt:i4>0</vt:i4>
      </vt:variant>
      <vt:variant>
        <vt:i4>5</vt:i4>
      </vt:variant>
      <vt:variant>
        <vt:lpwstr/>
      </vt:variant>
      <vt:variant>
        <vt:lpwstr>_Toc431494004</vt:lpwstr>
      </vt:variant>
      <vt:variant>
        <vt:i4>1310780</vt:i4>
      </vt:variant>
      <vt:variant>
        <vt:i4>1643</vt:i4>
      </vt:variant>
      <vt:variant>
        <vt:i4>0</vt:i4>
      </vt:variant>
      <vt:variant>
        <vt:i4>5</vt:i4>
      </vt:variant>
      <vt:variant>
        <vt:lpwstr/>
      </vt:variant>
      <vt:variant>
        <vt:lpwstr>_Toc431494003</vt:lpwstr>
      </vt:variant>
      <vt:variant>
        <vt:i4>1310780</vt:i4>
      </vt:variant>
      <vt:variant>
        <vt:i4>1637</vt:i4>
      </vt:variant>
      <vt:variant>
        <vt:i4>0</vt:i4>
      </vt:variant>
      <vt:variant>
        <vt:i4>5</vt:i4>
      </vt:variant>
      <vt:variant>
        <vt:lpwstr/>
      </vt:variant>
      <vt:variant>
        <vt:lpwstr>_Toc431494002</vt:lpwstr>
      </vt:variant>
      <vt:variant>
        <vt:i4>1310780</vt:i4>
      </vt:variant>
      <vt:variant>
        <vt:i4>1631</vt:i4>
      </vt:variant>
      <vt:variant>
        <vt:i4>0</vt:i4>
      </vt:variant>
      <vt:variant>
        <vt:i4>5</vt:i4>
      </vt:variant>
      <vt:variant>
        <vt:lpwstr/>
      </vt:variant>
      <vt:variant>
        <vt:lpwstr>_Toc431494001</vt:lpwstr>
      </vt:variant>
      <vt:variant>
        <vt:i4>1310780</vt:i4>
      </vt:variant>
      <vt:variant>
        <vt:i4>1625</vt:i4>
      </vt:variant>
      <vt:variant>
        <vt:i4>0</vt:i4>
      </vt:variant>
      <vt:variant>
        <vt:i4>5</vt:i4>
      </vt:variant>
      <vt:variant>
        <vt:lpwstr/>
      </vt:variant>
      <vt:variant>
        <vt:lpwstr>_Toc431494000</vt:lpwstr>
      </vt:variant>
      <vt:variant>
        <vt:i4>1703989</vt:i4>
      </vt:variant>
      <vt:variant>
        <vt:i4>1619</vt:i4>
      </vt:variant>
      <vt:variant>
        <vt:i4>0</vt:i4>
      </vt:variant>
      <vt:variant>
        <vt:i4>5</vt:i4>
      </vt:variant>
      <vt:variant>
        <vt:lpwstr/>
      </vt:variant>
      <vt:variant>
        <vt:lpwstr>_Toc431493999</vt:lpwstr>
      </vt:variant>
      <vt:variant>
        <vt:i4>1703989</vt:i4>
      </vt:variant>
      <vt:variant>
        <vt:i4>1613</vt:i4>
      </vt:variant>
      <vt:variant>
        <vt:i4>0</vt:i4>
      </vt:variant>
      <vt:variant>
        <vt:i4>5</vt:i4>
      </vt:variant>
      <vt:variant>
        <vt:lpwstr/>
      </vt:variant>
      <vt:variant>
        <vt:lpwstr>_Toc431493998</vt:lpwstr>
      </vt:variant>
      <vt:variant>
        <vt:i4>1703989</vt:i4>
      </vt:variant>
      <vt:variant>
        <vt:i4>1607</vt:i4>
      </vt:variant>
      <vt:variant>
        <vt:i4>0</vt:i4>
      </vt:variant>
      <vt:variant>
        <vt:i4>5</vt:i4>
      </vt:variant>
      <vt:variant>
        <vt:lpwstr/>
      </vt:variant>
      <vt:variant>
        <vt:lpwstr>_Toc431493997</vt:lpwstr>
      </vt:variant>
      <vt:variant>
        <vt:i4>1703989</vt:i4>
      </vt:variant>
      <vt:variant>
        <vt:i4>1601</vt:i4>
      </vt:variant>
      <vt:variant>
        <vt:i4>0</vt:i4>
      </vt:variant>
      <vt:variant>
        <vt:i4>5</vt:i4>
      </vt:variant>
      <vt:variant>
        <vt:lpwstr/>
      </vt:variant>
      <vt:variant>
        <vt:lpwstr>_Toc431493996</vt:lpwstr>
      </vt:variant>
      <vt:variant>
        <vt:i4>1703989</vt:i4>
      </vt:variant>
      <vt:variant>
        <vt:i4>1595</vt:i4>
      </vt:variant>
      <vt:variant>
        <vt:i4>0</vt:i4>
      </vt:variant>
      <vt:variant>
        <vt:i4>5</vt:i4>
      </vt:variant>
      <vt:variant>
        <vt:lpwstr/>
      </vt:variant>
      <vt:variant>
        <vt:lpwstr>_Toc431493995</vt:lpwstr>
      </vt:variant>
      <vt:variant>
        <vt:i4>1703989</vt:i4>
      </vt:variant>
      <vt:variant>
        <vt:i4>1589</vt:i4>
      </vt:variant>
      <vt:variant>
        <vt:i4>0</vt:i4>
      </vt:variant>
      <vt:variant>
        <vt:i4>5</vt:i4>
      </vt:variant>
      <vt:variant>
        <vt:lpwstr/>
      </vt:variant>
      <vt:variant>
        <vt:lpwstr>_Toc431493994</vt:lpwstr>
      </vt:variant>
      <vt:variant>
        <vt:i4>1703989</vt:i4>
      </vt:variant>
      <vt:variant>
        <vt:i4>1583</vt:i4>
      </vt:variant>
      <vt:variant>
        <vt:i4>0</vt:i4>
      </vt:variant>
      <vt:variant>
        <vt:i4>5</vt:i4>
      </vt:variant>
      <vt:variant>
        <vt:lpwstr/>
      </vt:variant>
      <vt:variant>
        <vt:lpwstr>_Toc431493993</vt:lpwstr>
      </vt:variant>
      <vt:variant>
        <vt:i4>1703989</vt:i4>
      </vt:variant>
      <vt:variant>
        <vt:i4>1577</vt:i4>
      </vt:variant>
      <vt:variant>
        <vt:i4>0</vt:i4>
      </vt:variant>
      <vt:variant>
        <vt:i4>5</vt:i4>
      </vt:variant>
      <vt:variant>
        <vt:lpwstr/>
      </vt:variant>
      <vt:variant>
        <vt:lpwstr>_Toc431493992</vt:lpwstr>
      </vt:variant>
      <vt:variant>
        <vt:i4>1703989</vt:i4>
      </vt:variant>
      <vt:variant>
        <vt:i4>1571</vt:i4>
      </vt:variant>
      <vt:variant>
        <vt:i4>0</vt:i4>
      </vt:variant>
      <vt:variant>
        <vt:i4>5</vt:i4>
      </vt:variant>
      <vt:variant>
        <vt:lpwstr/>
      </vt:variant>
      <vt:variant>
        <vt:lpwstr>_Toc431493991</vt:lpwstr>
      </vt:variant>
      <vt:variant>
        <vt:i4>1703989</vt:i4>
      </vt:variant>
      <vt:variant>
        <vt:i4>1565</vt:i4>
      </vt:variant>
      <vt:variant>
        <vt:i4>0</vt:i4>
      </vt:variant>
      <vt:variant>
        <vt:i4>5</vt:i4>
      </vt:variant>
      <vt:variant>
        <vt:lpwstr/>
      </vt:variant>
      <vt:variant>
        <vt:lpwstr>_Toc431493990</vt:lpwstr>
      </vt:variant>
      <vt:variant>
        <vt:i4>1769525</vt:i4>
      </vt:variant>
      <vt:variant>
        <vt:i4>1559</vt:i4>
      </vt:variant>
      <vt:variant>
        <vt:i4>0</vt:i4>
      </vt:variant>
      <vt:variant>
        <vt:i4>5</vt:i4>
      </vt:variant>
      <vt:variant>
        <vt:lpwstr/>
      </vt:variant>
      <vt:variant>
        <vt:lpwstr>_Toc431493989</vt:lpwstr>
      </vt:variant>
      <vt:variant>
        <vt:i4>1769525</vt:i4>
      </vt:variant>
      <vt:variant>
        <vt:i4>1553</vt:i4>
      </vt:variant>
      <vt:variant>
        <vt:i4>0</vt:i4>
      </vt:variant>
      <vt:variant>
        <vt:i4>5</vt:i4>
      </vt:variant>
      <vt:variant>
        <vt:lpwstr/>
      </vt:variant>
      <vt:variant>
        <vt:lpwstr>_Toc431493988</vt:lpwstr>
      </vt:variant>
      <vt:variant>
        <vt:i4>1769525</vt:i4>
      </vt:variant>
      <vt:variant>
        <vt:i4>1547</vt:i4>
      </vt:variant>
      <vt:variant>
        <vt:i4>0</vt:i4>
      </vt:variant>
      <vt:variant>
        <vt:i4>5</vt:i4>
      </vt:variant>
      <vt:variant>
        <vt:lpwstr/>
      </vt:variant>
      <vt:variant>
        <vt:lpwstr>_Toc431493987</vt:lpwstr>
      </vt:variant>
      <vt:variant>
        <vt:i4>1769525</vt:i4>
      </vt:variant>
      <vt:variant>
        <vt:i4>1541</vt:i4>
      </vt:variant>
      <vt:variant>
        <vt:i4>0</vt:i4>
      </vt:variant>
      <vt:variant>
        <vt:i4>5</vt:i4>
      </vt:variant>
      <vt:variant>
        <vt:lpwstr/>
      </vt:variant>
      <vt:variant>
        <vt:lpwstr>_Toc431493986</vt:lpwstr>
      </vt:variant>
      <vt:variant>
        <vt:i4>1769525</vt:i4>
      </vt:variant>
      <vt:variant>
        <vt:i4>1535</vt:i4>
      </vt:variant>
      <vt:variant>
        <vt:i4>0</vt:i4>
      </vt:variant>
      <vt:variant>
        <vt:i4>5</vt:i4>
      </vt:variant>
      <vt:variant>
        <vt:lpwstr/>
      </vt:variant>
      <vt:variant>
        <vt:lpwstr>_Toc431493985</vt:lpwstr>
      </vt:variant>
      <vt:variant>
        <vt:i4>1769525</vt:i4>
      </vt:variant>
      <vt:variant>
        <vt:i4>1529</vt:i4>
      </vt:variant>
      <vt:variant>
        <vt:i4>0</vt:i4>
      </vt:variant>
      <vt:variant>
        <vt:i4>5</vt:i4>
      </vt:variant>
      <vt:variant>
        <vt:lpwstr/>
      </vt:variant>
      <vt:variant>
        <vt:lpwstr>_Toc431493984</vt:lpwstr>
      </vt:variant>
      <vt:variant>
        <vt:i4>1769525</vt:i4>
      </vt:variant>
      <vt:variant>
        <vt:i4>1523</vt:i4>
      </vt:variant>
      <vt:variant>
        <vt:i4>0</vt:i4>
      </vt:variant>
      <vt:variant>
        <vt:i4>5</vt:i4>
      </vt:variant>
      <vt:variant>
        <vt:lpwstr/>
      </vt:variant>
      <vt:variant>
        <vt:lpwstr>_Toc431493983</vt:lpwstr>
      </vt:variant>
      <vt:variant>
        <vt:i4>1769525</vt:i4>
      </vt:variant>
      <vt:variant>
        <vt:i4>1517</vt:i4>
      </vt:variant>
      <vt:variant>
        <vt:i4>0</vt:i4>
      </vt:variant>
      <vt:variant>
        <vt:i4>5</vt:i4>
      </vt:variant>
      <vt:variant>
        <vt:lpwstr/>
      </vt:variant>
      <vt:variant>
        <vt:lpwstr>_Toc431493982</vt:lpwstr>
      </vt:variant>
      <vt:variant>
        <vt:i4>1769525</vt:i4>
      </vt:variant>
      <vt:variant>
        <vt:i4>1511</vt:i4>
      </vt:variant>
      <vt:variant>
        <vt:i4>0</vt:i4>
      </vt:variant>
      <vt:variant>
        <vt:i4>5</vt:i4>
      </vt:variant>
      <vt:variant>
        <vt:lpwstr/>
      </vt:variant>
      <vt:variant>
        <vt:lpwstr>_Toc431493981</vt:lpwstr>
      </vt:variant>
      <vt:variant>
        <vt:i4>1769525</vt:i4>
      </vt:variant>
      <vt:variant>
        <vt:i4>1505</vt:i4>
      </vt:variant>
      <vt:variant>
        <vt:i4>0</vt:i4>
      </vt:variant>
      <vt:variant>
        <vt:i4>5</vt:i4>
      </vt:variant>
      <vt:variant>
        <vt:lpwstr/>
      </vt:variant>
      <vt:variant>
        <vt:lpwstr>_Toc431493980</vt:lpwstr>
      </vt:variant>
      <vt:variant>
        <vt:i4>1310773</vt:i4>
      </vt:variant>
      <vt:variant>
        <vt:i4>1499</vt:i4>
      </vt:variant>
      <vt:variant>
        <vt:i4>0</vt:i4>
      </vt:variant>
      <vt:variant>
        <vt:i4>5</vt:i4>
      </vt:variant>
      <vt:variant>
        <vt:lpwstr/>
      </vt:variant>
      <vt:variant>
        <vt:lpwstr>_Toc431493979</vt:lpwstr>
      </vt:variant>
      <vt:variant>
        <vt:i4>1310773</vt:i4>
      </vt:variant>
      <vt:variant>
        <vt:i4>1493</vt:i4>
      </vt:variant>
      <vt:variant>
        <vt:i4>0</vt:i4>
      </vt:variant>
      <vt:variant>
        <vt:i4>5</vt:i4>
      </vt:variant>
      <vt:variant>
        <vt:lpwstr/>
      </vt:variant>
      <vt:variant>
        <vt:lpwstr>_Toc431493978</vt:lpwstr>
      </vt:variant>
      <vt:variant>
        <vt:i4>1310773</vt:i4>
      </vt:variant>
      <vt:variant>
        <vt:i4>1487</vt:i4>
      </vt:variant>
      <vt:variant>
        <vt:i4>0</vt:i4>
      </vt:variant>
      <vt:variant>
        <vt:i4>5</vt:i4>
      </vt:variant>
      <vt:variant>
        <vt:lpwstr/>
      </vt:variant>
      <vt:variant>
        <vt:lpwstr>_Toc431493977</vt:lpwstr>
      </vt:variant>
      <vt:variant>
        <vt:i4>1310773</vt:i4>
      </vt:variant>
      <vt:variant>
        <vt:i4>1481</vt:i4>
      </vt:variant>
      <vt:variant>
        <vt:i4>0</vt:i4>
      </vt:variant>
      <vt:variant>
        <vt:i4>5</vt:i4>
      </vt:variant>
      <vt:variant>
        <vt:lpwstr/>
      </vt:variant>
      <vt:variant>
        <vt:lpwstr>_Toc431493976</vt:lpwstr>
      </vt:variant>
      <vt:variant>
        <vt:i4>1310773</vt:i4>
      </vt:variant>
      <vt:variant>
        <vt:i4>1475</vt:i4>
      </vt:variant>
      <vt:variant>
        <vt:i4>0</vt:i4>
      </vt:variant>
      <vt:variant>
        <vt:i4>5</vt:i4>
      </vt:variant>
      <vt:variant>
        <vt:lpwstr/>
      </vt:variant>
      <vt:variant>
        <vt:lpwstr>_Toc431493975</vt:lpwstr>
      </vt:variant>
      <vt:variant>
        <vt:i4>1310773</vt:i4>
      </vt:variant>
      <vt:variant>
        <vt:i4>1469</vt:i4>
      </vt:variant>
      <vt:variant>
        <vt:i4>0</vt:i4>
      </vt:variant>
      <vt:variant>
        <vt:i4>5</vt:i4>
      </vt:variant>
      <vt:variant>
        <vt:lpwstr/>
      </vt:variant>
      <vt:variant>
        <vt:lpwstr>_Toc431493974</vt:lpwstr>
      </vt:variant>
      <vt:variant>
        <vt:i4>1310773</vt:i4>
      </vt:variant>
      <vt:variant>
        <vt:i4>1463</vt:i4>
      </vt:variant>
      <vt:variant>
        <vt:i4>0</vt:i4>
      </vt:variant>
      <vt:variant>
        <vt:i4>5</vt:i4>
      </vt:variant>
      <vt:variant>
        <vt:lpwstr/>
      </vt:variant>
      <vt:variant>
        <vt:lpwstr>_Toc431493973</vt:lpwstr>
      </vt:variant>
      <vt:variant>
        <vt:i4>1310773</vt:i4>
      </vt:variant>
      <vt:variant>
        <vt:i4>1457</vt:i4>
      </vt:variant>
      <vt:variant>
        <vt:i4>0</vt:i4>
      </vt:variant>
      <vt:variant>
        <vt:i4>5</vt:i4>
      </vt:variant>
      <vt:variant>
        <vt:lpwstr/>
      </vt:variant>
      <vt:variant>
        <vt:lpwstr>_Toc431493972</vt:lpwstr>
      </vt:variant>
      <vt:variant>
        <vt:i4>1310773</vt:i4>
      </vt:variant>
      <vt:variant>
        <vt:i4>1451</vt:i4>
      </vt:variant>
      <vt:variant>
        <vt:i4>0</vt:i4>
      </vt:variant>
      <vt:variant>
        <vt:i4>5</vt:i4>
      </vt:variant>
      <vt:variant>
        <vt:lpwstr/>
      </vt:variant>
      <vt:variant>
        <vt:lpwstr>_Toc431493971</vt:lpwstr>
      </vt:variant>
      <vt:variant>
        <vt:i4>1310773</vt:i4>
      </vt:variant>
      <vt:variant>
        <vt:i4>1445</vt:i4>
      </vt:variant>
      <vt:variant>
        <vt:i4>0</vt:i4>
      </vt:variant>
      <vt:variant>
        <vt:i4>5</vt:i4>
      </vt:variant>
      <vt:variant>
        <vt:lpwstr/>
      </vt:variant>
      <vt:variant>
        <vt:lpwstr>_Toc431493970</vt:lpwstr>
      </vt:variant>
      <vt:variant>
        <vt:i4>1376309</vt:i4>
      </vt:variant>
      <vt:variant>
        <vt:i4>1439</vt:i4>
      </vt:variant>
      <vt:variant>
        <vt:i4>0</vt:i4>
      </vt:variant>
      <vt:variant>
        <vt:i4>5</vt:i4>
      </vt:variant>
      <vt:variant>
        <vt:lpwstr/>
      </vt:variant>
      <vt:variant>
        <vt:lpwstr>_Toc431493969</vt:lpwstr>
      </vt:variant>
      <vt:variant>
        <vt:i4>1376309</vt:i4>
      </vt:variant>
      <vt:variant>
        <vt:i4>1433</vt:i4>
      </vt:variant>
      <vt:variant>
        <vt:i4>0</vt:i4>
      </vt:variant>
      <vt:variant>
        <vt:i4>5</vt:i4>
      </vt:variant>
      <vt:variant>
        <vt:lpwstr/>
      </vt:variant>
      <vt:variant>
        <vt:lpwstr>_Toc431493968</vt:lpwstr>
      </vt:variant>
      <vt:variant>
        <vt:i4>1376309</vt:i4>
      </vt:variant>
      <vt:variant>
        <vt:i4>1427</vt:i4>
      </vt:variant>
      <vt:variant>
        <vt:i4>0</vt:i4>
      </vt:variant>
      <vt:variant>
        <vt:i4>5</vt:i4>
      </vt:variant>
      <vt:variant>
        <vt:lpwstr/>
      </vt:variant>
      <vt:variant>
        <vt:lpwstr>_Toc431493967</vt:lpwstr>
      </vt:variant>
      <vt:variant>
        <vt:i4>1376309</vt:i4>
      </vt:variant>
      <vt:variant>
        <vt:i4>1421</vt:i4>
      </vt:variant>
      <vt:variant>
        <vt:i4>0</vt:i4>
      </vt:variant>
      <vt:variant>
        <vt:i4>5</vt:i4>
      </vt:variant>
      <vt:variant>
        <vt:lpwstr/>
      </vt:variant>
      <vt:variant>
        <vt:lpwstr>_Toc431493966</vt:lpwstr>
      </vt:variant>
      <vt:variant>
        <vt:i4>1376309</vt:i4>
      </vt:variant>
      <vt:variant>
        <vt:i4>1415</vt:i4>
      </vt:variant>
      <vt:variant>
        <vt:i4>0</vt:i4>
      </vt:variant>
      <vt:variant>
        <vt:i4>5</vt:i4>
      </vt:variant>
      <vt:variant>
        <vt:lpwstr/>
      </vt:variant>
      <vt:variant>
        <vt:lpwstr>_Toc431493965</vt:lpwstr>
      </vt:variant>
      <vt:variant>
        <vt:i4>1376309</vt:i4>
      </vt:variant>
      <vt:variant>
        <vt:i4>1409</vt:i4>
      </vt:variant>
      <vt:variant>
        <vt:i4>0</vt:i4>
      </vt:variant>
      <vt:variant>
        <vt:i4>5</vt:i4>
      </vt:variant>
      <vt:variant>
        <vt:lpwstr/>
      </vt:variant>
      <vt:variant>
        <vt:lpwstr>_Toc431493964</vt:lpwstr>
      </vt:variant>
      <vt:variant>
        <vt:i4>1376309</vt:i4>
      </vt:variant>
      <vt:variant>
        <vt:i4>1403</vt:i4>
      </vt:variant>
      <vt:variant>
        <vt:i4>0</vt:i4>
      </vt:variant>
      <vt:variant>
        <vt:i4>5</vt:i4>
      </vt:variant>
      <vt:variant>
        <vt:lpwstr/>
      </vt:variant>
      <vt:variant>
        <vt:lpwstr>_Toc431493963</vt:lpwstr>
      </vt:variant>
      <vt:variant>
        <vt:i4>1376309</vt:i4>
      </vt:variant>
      <vt:variant>
        <vt:i4>1397</vt:i4>
      </vt:variant>
      <vt:variant>
        <vt:i4>0</vt:i4>
      </vt:variant>
      <vt:variant>
        <vt:i4>5</vt:i4>
      </vt:variant>
      <vt:variant>
        <vt:lpwstr/>
      </vt:variant>
      <vt:variant>
        <vt:lpwstr>_Toc431493962</vt:lpwstr>
      </vt:variant>
      <vt:variant>
        <vt:i4>1376309</vt:i4>
      </vt:variant>
      <vt:variant>
        <vt:i4>1391</vt:i4>
      </vt:variant>
      <vt:variant>
        <vt:i4>0</vt:i4>
      </vt:variant>
      <vt:variant>
        <vt:i4>5</vt:i4>
      </vt:variant>
      <vt:variant>
        <vt:lpwstr/>
      </vt:variant>
      <vt:variant>
        <vt:lpwstr>_Toc431493961</vt:lpwstr>
      </vt:variant>
      <vt:variant>
        <vt:i4>1376309</vt:i4>
      </vt:variant>
      <vt:variant>
        <vt:i4>1385</vt:i4>
      </vt:variant>
      <vt:variant>
        <vt:i4>0</vt:i4>
      </vt:variant>
      <vt:variant>
        <vt:i4>5</vt:i4>
      </vt:variant>
      <vt:variant>
        <vt:lpwstr/>
      </vt:variant>
      <vt:variant>
        <vt:lpwstr>_Toc431493960</vt:lpwstr>
      </vt:variant>
      <vt:variant>
        <vt:i4>1441845</vt:i4>
      </vt:variant>
      <vt:variant>
        <vt:i4>1379</vt:i4>
      </vt:variant>
      <vt:variant>
        <vt:i4>0</vt:i4>
      </vt:variant>
      <vt:variant>
        <vt:i4>5</vt:i4>
      </vt:variant>
      <vt:variant>
        <vt:lpwstr/>
      </vt:variant>
      <vt:variant>
        <vt:lpwstr>_Toc431493959</vt:lpwstr>
      </vt:variant>
      <vt:variant>
        <vt:i4>1441845</vt:i4>
      </vt:variant>
      <vt:variant>
        <vt:i4>1373</vt:i4>
      </vt:variant>
      <vt:variant>
        <vt:i4>0</vt:i4>
      </vt:variant>
      <vt:variant>
        <vt:i4>5</vt:i4>
      </vt:variant>
      <vt:variant>
        <vt:lpwstr/>
      </vt:variant>
      <vt:variant>
        <vt:lpwstr>_Toc431493958</vt:lpwstr>
      </vt:variant>
      <vt:variant>
        <vt:i4>1441845</vt:i4>
      </vt:variant>
      <vt:variant>
        <vt:i4>1367</vt:i4>
      </vt:variant>
      <vt:variant>
        <vt:i4>0</vt:i4>
      </vt:variant>
      <vt:variant>
        <vt:i4>5</vt:i4>
      </vt:variant>
      <vt:variant>
        <vt:lpwstr/>
      </vt:variant>
      <vt:variant>
        <vt:lpwstr>_Toc431493957</vt:lpwstr>
      </vt:variant>
      <vt:variant>
        <vt:i4>1441845</vt:i4>
      </vt:variant>
      <vt:variant>
        <vt:i4>1361</vt:i4>
      </vt:variant>
      <vt:variant>
        <vt:i4>0</vt:i4>
      </vt:variant>
      <vt:variant>
        <vt:i4>5</vt:i4>
      </vt:variant>
      <vt:variant>
        <vt:lpwstr/>
      </vt:variant>
      <vt:variant>
        <vt:lpwstr>_Toc431493956</vt:lpwstr>
      </vt:variant>
      <vt:variant>
        <vt:i4>1441845</vt:i4>
      </vt:variant>
      <vt:variant>
        <vt:i4>1355</vt:i4>
      </vt:variant>
      <vt:variant>
        <vt:i4>0</vt:i4>
      </vt:variant>
      <vt:variant>
        <vt:i4>5</vt:i4>
      </vt:variant>
      <vt:variant>
        <vt:lpwstr/>
      </vt:variant>
      <vt:variant>
        <vt:lpwstr>_Toc431493955</vt:lpwstr>
      </vt:variant>
      <vt:variant>
        <vt:i4>1441845</vt:i4>
      </vt:variant>
      <vt:variant>
        <vt:i4>1349</vt:i4>
      </vt:variant>
      <vt:variant>
        <vt:i4>0</vt:i4>
      </vt:variant>
      <vt:variant>
        <vt:i4>5</vt:i4>
      </vt:variant>
      <vt:variant>
        <vt:lpwstr/>
      </vt:variant>
      <vt:variant>
        <vt:lpwstr>_Toc431493954</vt:lpwstr>
      </vt:variant>
      <vt:variant>
        <vt:i4>1441845</vt:i4>
      </vt:variant>
      <vt:variant>
        <vt:i4>1343</vt:i4>
      </vt:variant>
      <vt:variant>
        <vt:i4>0</vt:i4>
      </vt:variant>
      <vt:variant>
        <vt:i4>5</vt:i4>
      </vt:variant>
      <vt:variant>
        <vt:lpwstr/>
      </vt:variant>
      <vt:variant>
        <vt:lpwstr>_Toc431493953</vt:lpwstr>
      </vt:variant>
      <vt:variant>
        <vt:i4>1441845</vt:i4>
      </vt:variant>
      <vt:variant>
        <vt:i4>1337</vt:i4>
      </vt:variant>
      <vt:variant>
        <vt:i4>0</vt:i4>
      </vt:variant>
      <vt:variant>
        <vt:i4>5</vt:i4>
      </vt:variant>
      <vt:variant>
        <vt:lpwstr/>
      </vt:variant>
      <vt:variant>
        <vt:lpwstr>_Toc431493952</vt:lpwstr>
      </vt:variant>
      <vt:variant>
        <vt:i4>1441845</vt:i4>
      </vt:variant>
      <vt:variant>
        <vt:i4>1331</vt:i4>
      </vt:variant>
      <vt:variant>
        <vt:i4>0</vt:i4>
      </vt:variant>
      <vt:variant>
        <vt:i4>5</vt:i4>
      </vt:variant>
      <vt:variant>
        <vt:lpwstr/>
      </vt:variant>
      <vt:variant>
        <vt:lpwstr>_Toc431493951</vt:lpwstr>
      </vt:variant>
      <vt:variant>
        <vt:i4>1441845</vt:i4>
      </vt:variant>
      <vt:variant>
        <vt:i4>1325</vt:i4>
      </vt:variant>
      <vt:variant>
        <vt:i4>0</vt:i4>
      </vt:variant>
      <vt:variant>
        <vt:i4>5</vt:i4>
      </vt:variant>
      <vt:variant>
        <vt:lpwstr/>
      </vt:variant>
      <vt:variant>
        <vt:lpwstr>_Toc431493950</vt:lpwstr>
      </vt:variant>
      <vt:variant>
        <vt:i4>1507381</vt:i4>
      </vt:variant>
      <vt:variant>
        <vt:i4>1319</vt:i4>
      </vt:variant>
      <vt:variant>
        <vt:i4>0</vt:i4>
      </vt:variant>
      <vt:variant>
        <vt:i4>5</vt:i4>
      </vt:variant>
      <vt:variant>
        <vt:lpwstr/>
      </vt:variant>
      <vt:variant>
        <vt:lpwstr>_Toc431493949</vt:lpwstr>
      </vt:variant>
      <vt:variant>
        <vt:i4>1507381</vt:i4>
      </vt:variant>
      <vt:variant>
        <vt:i4>1313</vt:i4>
      </vt:variant>
      <vt:variant>
        <vt:i4>0</vt:i4>
      </vt:variant>
      <vt:variant>
        <vt:i4>5</vt:i4>
      </vt:variant>
      <vt:variant>
        <vt:lpwstr/>
      </vt:variant>
      <vt:variant>
        <vt:lpwstr>_Toc431493948</vt:lpwstr>
      </vt:variant>
      <vt:variant>
        <vt:i4>1507381</vt:i4>
      </vt:variant>
      <vt:variant>
        <vt:i4>1307</vt:i4>
      </vt:variant>
      <vt:variant>
        <vt:i4>0</vt:i4>
      </vt:variant>
      <vt:variant>
        <vt:i4>5</vt:i4>
      </vt:variant>
      <vt:variant>
        <vt:lpwstr/>
      </vt:variant>
      <vt:variant>
        <vt:lpwstr>_Toc431493947</vt:lpwstr>
      </vt:variant>
      <vt:variant>
        <vt:i4>1507381</vt:i4>
      </vt:variant>
      <vt:variant>
        <vt:i4>1301</vt:i4>
      </vt:variant>
      <vt:variant>
        <vt:i4>0</vt:i4>
      </vt:variant>
      <vt:variant>
        <vt:i4>5</vt:i4>
      </vt:variant>
      <vt:variant>
        <vt:lpwstr/>
      </vt:variant>
      <vt:variant>
        <vt:lpwstr>_Toc431493946</vt:lpwstr>
      </vt:variant>
      <vt:variant>
        <vt:i4>1507381</vt:i4>
      </vt:variant>
      <vt:variant>
        <vt:i4>1295</vt:i4>
      </vt:variant>
      <vt:variant>
        <vt:i4>0</vt:i4>
      </vt:variant>
      <vt:variant>
        <vt:i4>5</vt:i4>
      </vt:variant>
      <vt:variant>
        <vt:lpwstr/>
      </vt:variant>
      <vt:variant>
        <vt:lpwstr>_Toc431493945</vt:lpwstr>
      </vt:variant>
      <vt:variant>
        <vt:i4>1507381</vt:i4>
      </vt:variant>
      <vt:variant>
        <vt:i4>1289</vt:i4>
      </vt:variant>
      <vt:variant>
        <vt:i4>0</vt:i4>
      </vt:variant>
      <vt:variant>
        <vt:i4>5</vt:i4>
      </vt:variant>
      <vt:variant>
        <vt:lpwstr/>
      </vt:variant>
      <vt:variant>
        <vt:lpwstr>_Toc431493944</vt:lpwstr>
      </vt:variant>
      <vt:variant>
        <vt:i4>1507381</vt:i4>
      </vt:variant>
      <vt:variant>
        <vt:i4>1283</vt:i4>
      </vt:variant>
      <vt:variant>
        <vt:i4>0</vt:i4>
      </vt:variant>
      <vt:variant>
        <vt:i4>5</vt:i4>
      </vt:variant>
      <vt:variant>
        <vt:lpwstr/>
      </vt:variant>
      <vt:variant>
        <vt:lpwstr>_Toc431493943</vt:lpwstr>
      </vt:variant>
      <vt:variant>
        <vt:i4>1507381</vt:i4>
      </vt:variant>
      <vt:variant>
        <vt:i4>1277</vt:i4>
      </vt:variant>
      <vt:variant>
        <vt:i4>0</vt:i4>
      </vt:variant>
      <vt:variant>
        <vt:i4>5</vt:i4>
      </vt:variant>
      <vt:variant>
        <vt:lpwstr/>
      </vt:variant>
      <vt:variant>
        <vt:lpwstr>_Toc431493942</vt:lpwstr>
      </vt:variant>
      <vt:variant>
        <vt:i4>1507381</vt:i4>
      </vt:variant>
      <vt:variant>
        <vt:i4>1271</vt:i4>
      </vt:variant>
      <vt:variant>
        <vt:i4>0</vt:i4>
      </vt:variant>
      <vt:variant>
        <vt:i4>5</vt:i4>
      </vt:variant>
      <vt:variant>
        <vt:lpwstr/>
      </vt:variant>
      <vt:variant>
        <vt:lpwstr>_Toc431493941</vt:lpwstr>
      </vt:variant>
      <vt:variant>
        <vt:i4>1507381</vt:i4>
      </vt:variant>
      <vt:variant>
        <vt:i4>1265</vt:i4>
      </vt:variant>
      <vt:variant>
        <vt:i4>0</vt:i4>
      </vt:variant>
      <vt:variant>
        <vt:i4>5</vt:i4>
      </vt:variant>
      <vt:variant>
        <vt:lpwstr/>
      </vt:variant>
      <vt:variant>
        <vt:lpwstr>_Toc431493940</vt:lpwstr>
      </vt:variant>
      <vt:variant>
        <vt:i4>1048629</vt:i4>
      </vt:variant>
      <vt:variant>
        <vt:i4>1259</vt:i4>
      </vt:variant>
      <vt:variant>
        <vt:i4>0</vt:i4>
      </vt:variant>
      <vt:variant>
        <vt:i4>5</vt:i4>
      </vt:variant>
      <vt:variant>
        <vt:lpwstr/>
      </vt:variant>
      <vt:variant>
        <vt:lpwstr>_Toc431493939</vt:lpwstr>
      </vt:variant>
      <vt:variant>
        <vt:i4>1048629</vt:i4>
      </vt:variant>
      <vt:variant>
        <vt:i4>1253</vt:i4>
      </vt:variant>
      <vt:variant>
        <vt:i4>0</vt:i4>
      </vt:variant>
      <vt:variant>
        <vt:i4>5</vt:i4>
      </vt:variant>
      <vt:variant>
        <vt:lpwstr/>
      </vt:variant>
      <vt:variant>
        <vt:lpwstr>_Toc431493938</vt:lpwstr>
      </vt:variant>
      <vt:variant>
        <vt:i4>1048629</vt:i4>
      </vt:variant>
      <vt:variant>
        <vt:i4>1247</vt:i4>
      </vt:variant>
      <vt:variant>
        <vt:i4>0</vt:i4>
      </vt:variant>
      <vt:variant>
        <vt:i4>5</vt:i4>
      </vt:variant>
      <vt:variant>
        <vt:lpwstr/>
      </vt:variant>
      <vt:variant>
        <vt:lpwstr>_Toc431493937</vt:lpwstr>
      </vt:variant>
      <vt:variant>
        <vt:i4>1048629</vt:i4>
      </vt:variant>
      <vt:variant>
        <vt:i4>1241</vt:i4>
      </vt:variant>
      <vt:variant>
        <vt:i4>0</vt:i4>
      </vt:variant>
      <vt:variant>
        <vt:i4>5</vt:i4>
      </vt:variant>
      <vt:variant>
        <vt:lpwstr/>
      </vt:variant>
      <vt:variant>
        <vt:lpwstr>_Toc431493936</vt:lpwstr>
      </vt:variant>
      <vt:variant>
        <vt:i4>1048629</vt:i4>
      </vt:variant>
      <vt:variant>
        <vt:i4>1235</vt:i4>
      </vt:variant>
      <vt:variant>
        <vt:i4>0</vt:i4>
      </vt:variant>
      <vt:variant>
        <vt:i4>5</vt:i4>
      </vt:variant>
      <vt:variant>
        <vt:lpwstr/>
      </vt:variant>
      <vt:variant>
        <vt:lpwstr>_Toc431493935</vt:lpwstr>
      </vt:variant>
      <vt:variant>
        <vt:i4>1048629</vt:i4>
      </vt:variant>
      <vt:variant>
        <vt:i4>1229</vt:i4>
      </vt:variant>
      <vt:variant>
        <vt:i4>0</vt:i4>
      </vt:variant>
      <vt:variant>
        <vt:i4>5</vt:i4>
      </vt:variant>
      <vt:variant>
        <vt:lpwstr/>
      </vt:variant>
      <vt:variant>
        <vt:lpwstr>_Toc431493934</vt:lpwstr>
      </vt:variant>
      <vt:variant>
        <vt:i4>1048629</vt:i4>
      </vt:variant>
      <vt:variant>
        <vt:i4>1223</vt:i4>
      </vt:variant>
      <vt:variant>
        <vt:i4>0</vt:i4>
      </vt:variant>
      <vt:variant>
        <vt:i4>5</vt:i4>
      </vt:variant>
      <vt:variant>
        <vt:lpwstr/>
      </vt:variant>
      <vt:variant>
        <vt:lpwstr>_Toc431493933</vt:lpwstr>
      </vt:variant>
      <vt:variant>
        <vt:i4>1048629</vt:i4>
      </vt:variant>
      <vt:variant>
        <vt:i4>1217</vt:i4>
      </vt:variant>
      <vt:variant>
        <vt:i4>0</vt:i4>
      </vt:variant>
      <vt:variant>
        <vt:i4>5</vt:i4>
      </vt:variant>
      <vt:variant>
        <vt:lpwstr/>
      </vt:variant>
      <vt:variant>
        <vt:lpwstr>_Toc431493932</vt:lpwstr>
      </vt:variant>
      <vt:variant>
        <vt:i4>1048629</vt:i4>
      </vt:variant>
      <vt:variant>
        <vt:i4>1211</vt:i4>
      </vt:variant>
      <vt:variant>
        <vt:i4>0</vt:i4>
      </vt:variant>
      <vt:variant>
        <vt:i4>5</vt:i4>
      </vt:variant>
      <vt:variant>
        <vt:lpwstr/>
      </vt:variant>
      <vt:variant>
        <vt:lpwstr>_Toc431493931</vt:lpwstr>
      </vt:variant>
      <vt:variant>
        <vt:i4>1048629</vt:i4>
      </vt:variant>
      <vt:variant>
        <vt:i4>1205</vt:i4>
      </vt:variant>
      <vt:variant>
        <vt:i4>0</vt:i4>
      </vt:variant>
      <vt:variant>
        <vt:i4>5</vt:i4>
      </vt:variant>
      <vt:variant>
        <vt:lpwstr/>
      </vt:variant>
      <vt:variant>
        <vt:lpwstr>_Toc431493930</vt:lpwstr>
      </vt:variant>
      <vt:variant>
        <vt:i4>1114165</vt:i4>
      </vt:variant>
      <vt:variant>
        <vt:i4>1199</vt:i4>
      </vt:variant>
      <vt:variant>
        <vt:i4>0</vt:i4>
      </vt:variant>
      <vt:variant>
        <vt:i4>5</vt:i4>
      </vt:variant>
      <vt:variant>
        <vt:lpwstr/>
      </vt:variant>
      <vt:variant>
        <vt:lpwstr>_Toc431493929</vt:lpwstr>
      </vt:variant>
      <vt:variant>
        <vt:i4>1114165</vt:i4>
      </vt:variant>
      <vt:variant>
        <vt:i4>1193</vt:i4>
      </vt:variant>
      <vt:variant>
        <vt:i4>0</vt:i4>
      </vt:variant>
      <vt:variant>
        <vt:i4>5</vt:i4>
      </vt:variant>
      <vt:variant>
        <vt:lpwstr/>
      </vt:variant>
      <vt:variant>
        <vt:lpwstr>_Toc431493928</vt:lpwstr>
      </vt:variant>
      <vt:variant>
        <vt:i4>1114165</vt:i4>
      </vt:variant>
      <vt:variant>
        <vt:i4>1187</vt:i4>
      </vt:variant>
      <vt:variant>
        <vt:i4>0</vt:i4>
      </vt:variant>
      <vt:variant>
        <vt:i4>5</vt:i4>
      </vt:variant>
      <vt:variant>
        <vt:lpwstr/>
      </vt:variant>
      <vt:variant>
        <vt:lpwstr>_Toc431493927</vt:lpwstr>
      </vt:variant>
      <vt:variant>
        <vt:i4>1114165</vt:i4>
      </vt:variant>
      <vt:variant>
        <vt:i4>1181</vt:i4>
      </vt:variant>
      <vt:variant>
        <vt:i4>0</vt:i4>
      </vt:variant>
      <vt:variant>
        <vt:i4>5</vt:i4>
      </vt:variant>
      <vt:variant>
        <vt:lpwstr/>
      </vt:variant>
      <vt:variant>
        <vt:lpwstr>_Toc431493926</vt:lpwstr>
      </vt:variant>
      <vt:variant>
        <vt:i4>1114165</vt:i4>
      </vt:variant>
      <vt:variant>
        <vt:i4>1175</vt:i4>
      </vt:variant>
      <vt:variant>
        <vt:i4>0</vt:i4>
      </vt:variant>
      <vt:variant>
        <vt:i4>5</vt:i4>
      </vt:variant>
      <vt:variant>
        <vt:lpwstr/>
      </vt:variant>
      <vt:variant>
        <vt:lpwstr>_Toc431493925</vt:lpwstr>
      </vt:variant>
      <vt:variant>
        <vt:i4>1114165</vt:i4>
      </vt:variant>
      <vt:variant>
        <vt:i4>1169</vt:i4>
      </vt:variant>
      <vt:variant>
        <vt:i4>0</vt:i4>
      </vt:variant>
      <vt:variant>
        <vt:i4>5</vt:i4>
      </vt:variant>
      <vt:variant>
        <vt:lpwstr/>
      </vt:variant>
      <vt:variant>
        <vt:lpwstr>_Toc431493924</vt:lpwstr>
      </vt:variant>
      <vt:variant>
        <vt:i4>1114165</vt:i4>
      </vt:variant>
      <vt:variant>
        <vt:i4>1163</vt:i4>
      </vt:variant>
      <vt:variant>
        <vt:i4>0</vt:i4>
      </vt:variant>
      <vt:variant>
        <vt:i4>5</vt:i4>
      </vt:variant>
      <vt:variant>
        <vt:lpwstr/>
      </vt:variant>
      <vt:variant>
        <vt:lpwstr>_Toc431493923</vt:lpwstr>
      </vt:variant>
      <vt:variant>
        <vt:i4>1114165</vt:i4>
      </vt:variant>
      <vt:variant>
        <vt:i4>1157</vt:i4>
      </vt:variant>
      <vt:variant>
        <vt:i4>0</vt:i4>
      </vt:variant>
      <vt:variant>
        <vt:i4>5</vt:i4>
      </vt:variant>
      <vt:variant>
        <vt:lpwstr/>
      </vt:variant>
      <vt:variant>
        <vt:lpwstr>_Toc431493922</vt:lpwstr>
      </vt:variant>
      <vt:variant>
        <vt:i4>1114165</vt:i4>
      </vt:variant>
      <vt:variant>
        <vt:i4>1151</vt:i4>
      </vt:variant>
      <vt:variant>
        <vt:i4>0</vt:i4>
      </vt:variant>
      <vt:variant>
        <vt:i4>5</vt:i4>
      </vt:variant>
      <vt:variant>
        <vt:lpwstr/>
      </vt:variant>
      <vt:variant>
        <vt:lpwstr>_Toc431493921</vt:lpwstr>
      </vt:variant>
      <vt:variant>
        <vt:i4>1114165</vt:i4>
      </vt:variant>
      <vt:variant>
        <vt:i4>1145</vt:i4>
      </vt:variant>
      <vt:variant>
        <vt:i4>0</vt:i4>
      </vt:variant>
      <vt:variant>
        <vt:i4>5</vt:i4>
      </vt:variant>
      <vt:variant>
        <vt:lpwstr/>
      </vt:variant>
      <vt:variant>
        <vt:lpwstr>_Toc431493920</vt:lpwstr>
      </vt:variant>
      <vt:variant>
        <vt:i4>1179701</vt:i4>
      </vt:variant>
      <vt:variant>
        <vt:i4>1139</vt:i4>
      </vt:variant>
      <vt:variant>
        <vt:i4>0</vt:i4>
      </vt:variant>
      <vt:variant>
        <vt:i4>5</vt:i4>
      </vt:variant>
      <vt:variant>
        <vt:lpwstr/>
      </vt:variant>
      <vt:variant>
        <vt:lpwstr>_Toc431493919</vt:lpwstr>
      </vt:variant>
      <vt:variant>
        <vt:i4>1179701</vt:i4>
      </vt:variant>
      <vt:variant>
        <vt:i4>1133</vt:i4>
      </vt:variant>
      <vt:variant>
        <vt:i4>0</vt:i4>
      </vt:variant>
      <vt:variant>
        <vt:i4>5</vt:i4>
      </vt:variant>
      <vt:variant>
        <vt:lpwstr/>
      </vt:variant>
      <vt:variant>
        <vt:lpwstr>_Toc431493918</vt:lpwstr>
      </vt:variant>
      <vt:variant>
        <vt:i4>1179701</vt:i4>
      </vt:variant>
      <vt:variant>
        <vt:i4>1127</vt:i4>
      </vt:variant>
      <vt:variant>
        <vt:i4>0</vt:i4>
      </vt:variant>
      <vt:variant>
        <vt:i4>5</vt:i4>
      </vt:variant>
      <vt:variant>
        <vt:lpwstr/>
      </vt:variant>
      <vt:variant>
        <vt:lpwstr>_Toc431493917</vt:lpwstr>
      </vt:variant>
      <vt:variant>
        <vt:i4>1179701</vt:i4>
      </vt:variant>
      <vt:variant>
        <vt:i4>1121</vt:i4>
      </vt:variant>
      <vt:variant>
        <vt:i4>0</vt:i4>
      </vt:variant>
      <vt:variant>
        <vt:i4>5</vt:i4>
      </vt:variant>
      <vt:variant>
        <vt:lpwstr/>
      </vt:variant>
      <vt:variant>
        <vt:lpwstr>_Toc431493916</vt:lpwstr>
      </vt:variant>
      <vt:variant>
        <vt:i4>1179701</vt:i4>
      </vt:variant>
      <vt:variant>
        <vt:i4>1115</vt:i4>
      </vt:variant>
      <vt:variant>
        <vt:i4>0</vt:i4>
      </vt:variant>
      <vt:variant>
        <vt:i4>5</vt:i4>
      </vt:variant>
      <vt:variant>
        <vt:lpwstr/>
      </vt:variant>
      <vt:variant>
        <vt:lpwstr>_Toc431493915</vt:lpwstr>
      </vt:variant>
      <vt:variant>
        <vt:i4>1179701</vt:i4>
      </vt:variant>
      <vt:variant>
        <vt:i4>1109</vt:i4>
      </vt:variant>
      <vt:variant>
        <vt:i4>0</vt:i4>
      </vt:variant>
      <vt:variant>
        <vt:i4>5</vt:i4>
      </vt:variant>
      <vt:variant>
        <vt:lpwstr/>
      </vt:variant>
      <vt:variant>
        <vt:lpwstr>_Toc431493914</vt:lpwstr>
      </vt:variant>
      <vt:variant>
        <vt:i4>1179701</vt:i4>
      </vt:variant>
      <vt:variant>
        <vt:i4>1103</vt:i4>
      </vt:variant>
      <vt:variant>
        <vt:i4>0</vt:i4>
      </vt:variant>
      <vt:variant>
        <vt:i4>5</vt:i4>
      </vt:variant>
      <vt:variant>
        <vt:lpwstr/>
      </vt:variant>
      <vt:variant>
        <vt:lpwstr>_Toc431493913</vt:lpwstr>
      </vt:variant>
      <vt:variant>
        <vt:i4>1179701</vt:i4>
      </vt:variant>
      <vt:variant>
        <vt:i4>1097</vt:i4>
      </vt:variant>
      <vt:variant>
        <vt:i4>0</vt:i4>
      </vt:variant>
      <vt:variant>
        <vt:i4>5</vt:i4>
      </vt:variant>
      <vt:variant>
        <vt:lpwstr/>
      </vt:variant>
      <vt:variant>
        <vt:lpwstr>_Toc431493912</vt:lpwstr>
      </vt:variant>
      <vt:variant>
        <vt:i4>1179701</vt:i4>
      </vt:variant>
      <vt:variant>
        <vt:i4>1091</vt:i4>
      </vt:variant>
      <vt:variant>
        <vt:i4>0</vt:i4>
      </vt:variant>
      <vt:variant>
        <vt:i4>5</vt:i4>
      </vt:variant>
      <vt:variant>
        <vt:lpwstr/>
      </vt:variant>
      <vt:variant>
        <vt:lpwstr>_Toc431493911</vt:lpwstr>
      </vt:variant>
      <vt:variant>
        <vt:i4>1179701</vt:i4>
      </vt:variant>
      <vt:variant>
        <vt:i4>1085</vt:i4>
      </vt:variant>
      <vt:variant>
        <vt:i4>0</vt:i4>
      </vt:variant>
      <vt:variant>
        <vt:i4>5</vt:i4>
      </vt:variant>
      <vt:variant>
        <vt:lpwstr/>
      </vt:variant>
      <vt:variant>
        <vt:lpwstr>_Toc431493910</vt:lpwstr>
      </vt:variant>
      <vt:variant>
        <vt:i4>1245237</vt:i4>
      </vt:variant>
      <vt:variant>
        <vt:i4>1079</vt:i4>
      </vt:variant>
      <vt:variant>
        <vt:i4>0</vt:i4>
      </vt:variant>
      <vt:variant>
        <vt:i4>5</vt:i4>
      </vt:variant>
      <vt:variant>
        <vt:lpwstr/>
      </vt:variant>
      <vt:variant>
        <vt:lpwstr>_Toc431493909</vt:lpwstr>
      </vt:variant>
      <vt:variant>
        <vt:i4>1245237</vt:i4>
      </vt:variant>
      <vt:variant>
        <vt:i4>1073</vt:i4>
      </vt:variant>
      <vt:variant>
        <vt:i4>0</vt:i4>
      </vt:variant>
      <vt:variant>
        <vt:i4>5</vt:i4>
      </vt:variant>
      <vt:variant>
        <vt:lpwstr/>
      </vt:variant>
      <vt:variant>
        <vt:lpwstr>_Toc431493908</vt:lpwstr>
      </vt:variant>
      <vt:variant>
        <vt:i4>1245237</vt:i4>
      </vt:variant>
      <vt:variant>
        <vt:i4>1067</vt:i4>
      </vt:variant>
      <vt:variant>
        <vt:i4>0</vt:i4>
      </vt:variant>
      <vt:variant>
        <vt:i4>5</vt:i4>
      </vt:variant>
      <vt:variant>
        <vt:lpwstr/>
      </vt:variant>
      <vt:variant>
        <vt:lpwstr>_Toc431493907</vt:lpwstr>
      </vt:variant>
      <vt:variant>
        <vt:i4>1245237</vt:i4>
      </vt:variant>
      <vt:variant>
        <vt:i4>1061</vt:i4>
      </vt:variant>
      <vt:variant>
        <vt:i4>0</vt:i4>
      </vt:variant>
      <vt:variant>
        <vt:i4>5</vt:i4>
      </vt:variant>
      <vt:variant>
        <vt:lpwstr/>
      </vt:variant>
      <vt:variant>
        <vt:lpwstr>_Toc431493906</vt:lpwstr>
      </vt:variant>
      <vt:variant>
        <vt:i4>1245237</vt:i4>
      </vt:variant>
      <vt:variant>
        <vt:i4>1055</vt:i4>
      </vt:variant>
      <vt:variant>
        <vt:i4>0</vt:i4>
      </vt:variant>
      <vt:variant>
        <vt:i4>5</vt:i4>
      </vt:variant>
      <vt:variant>
        <vt:lpwstr/>
      </vt:variant>
      <vt:variant>
        <vt:lpwstr>_Toc431493905</vt:lpwstr>
      </vt:variant>
      <vt:variant>
        <vt:i4>1245237</vt:i4>
      </vt:variant>
      <vt:variant>
        <vt:i4>1049</vt:i4>
      </vt:variant>
      <vt:variant>
        <vt:i4>0</vt:i4>
      </vt:variant>
      <vt:variant>
        <vt:i4>5</vt:i4>
      </vt:variant>
      <vt:variant>
        <vt:lpwstr/>
      </vt:variant>
      <vt:variant>
        <vt:lpwstr>_Toc431493904</vt:lpwstr>
      </vt:variant>
      <vt:variant>
        <vt:i4>1245237</vt:i4>
      </vt:variant>
      <vt:variant>
        <vt:i4>1043</vt:i4>
      </vt:variant>
      <vt:variant>
        <vt:i4>0</vt:i4>
      </vt:variant>
      <vt:variant>
        <vt:i4>5</vt:i4>
      </vt:variant>
      <vt:variant>
        <vt:lpwstr/>
      </vt:variant>
      <vt:variant>
        <vt:lpwstr>_Toc431493903</vt:lpwstr>
      </vt:variant>
      <vt:variant>
        <vt:i4>1245237</vt:i4>
      </vt:variant>
      <vt:variant>
        <vt:i4>1037</vt:i4>
      </vt:variant>
      <vt:variant>
        <vt:i4>0</vt:i4>
      </vt:variant>
      <vt:variant>
        <vt:i4>5</vt:i4>
      </vt:variant>
      <vt:variant>
        <vt:lpwstr/>
      </vt:variant>
      <vt:variant>
        <vt:lpwstr>_Toc431493902</vt:lpwstr>
      </vt:variant>
      <vt:variant>
        <vt:i4>1245237</vt:i4>
      </vt:variant>
      <vt:variant>
        <vt:i4>1031</vt:i4>
      </vt:variant>
      <vt:variant>
        <vt:i4>0</vt:i4>
      </vt:variant>
      <vt:variant>
        <vt:i4>5</vt:i4>
      </vt:variant>
      <vt:variant>
        <vt:lpwstr/>
      </vt:variant>
      <vt:variant>
        <vt:lpwstr>_Toc431493901</vt:lpwstr>
      </vt:variant>
      <vt:variant>
        <vt:i4>1245237</vt:i4>
      </vt:variant>
      <vt:variant>
        <vt:i4>1025</vt:i4>
      </vt:variant>
      <vt:variant>
        <vt:i4>0</vt:i4>
      </vt:variant>
      <vt:variant>
        <vt:i4>5</vt:i4>
      </vt:variant>
      <vt:variant>
        <vt:lpwstr/>
      </vt:variant>
      <vt:variant>
        <vt:lpwstr>_Toc431493900</vt:lpwstr>
      </vt:variant>
      <vt:variant>
        <vt:i4>1703988</vt:i4>
      </vt:variant>
      <vt:variant>
        <vt:i4>1019</vt:i4>
      </vt:variant>
      <vt:variant>
        <vt:i4>0</vt:i4>
      </vt:variant>
      <vt:variant>
        <vt:i4>5</vt:i4>
      </vt:variant>
      <vt:variant>
        <vt:lpwstr/>
      </vt:variant>
      <vt:variant>
        <vt:lpwstr>_Toc431493899</vt:lpwstr>
      </vt:variant>
      <vt:variant>
        <vt:i4>1703988</vt:i4>
      </vt:variant>
      <vt:variant>
        <vt:i4>1013</vt:i4>
      </vt:variant>
      <vt:variant>
        <vt:i4>0</vt:i4>
      </vt:variant>
      <vt:variant>
        <vt:i4>5</vt:i4>
      </vt:variant>
      <vt:variant>
        <vt:lpwstr/>
      </vt:variant>
      <vt:variant>
        <vt:lpwstr>_Toc431493898</vt:lpwstr>
      </vt:variant>
      <vt:variant>
        <vt:i4>1703988</vt:i4>
      </vt:variant>
      <vt:variant>
        <vt:i4>1007</vt:i4>
      </vt:variant>
      <vt:variant>
        <vt:i4>0</vt:i4>
      </vt:variant>
      <vt:variant>
        <vt:i4>5</vt:i4>
      </vt:variant>
      <vt:variant>
        <vt:lpwstr/>
      </vt:variant>
      <vt:variant>
        <vt:lpwstr>_Toc431493897</vt:lpwstr>
      </vt:variant>
      <vt:variant>
        <vt:i4>1703988</vt:i4>
      </vt:variant>
      <vt:variant>
        <vt:i4>1001</vt:i4>
      </vt:variant>
      <vt:variant>
        <vt:i4>0</vt:i4>
      </vt:variant>
      <vt:variant>
        <vt:i4>5</vt:i4>
      </vt:variant>
      <vt:variant>
        <vt:lpwstr/>
      </vt:variant>
      <vt:variant>
        <vt:lpwstr>_Toc431493896</vt:lpwstr>
      </vt:variant>
      <vt:variant>
        <vt:i4>1703988</vt:i4>
      </vt:variant>
      <vt:variant>
        <vt:i4>995</vt:i4>
      </vt:variant>
      <vt:variant>
        <vt:i4>0</vt:i4>
      </vt:variant>
      <vt:variant>
        <vt:i4>5</vt:i4>
      </vt:variant>
      <vt:variant>
        <vt:lpwstr/>
      </vt:variant>
      <vt:variant>
        <vt:lpwstr>_Toc431493895</vt:lpwstr>
      </vt:variant>
      <vt:variant>
        <vt:i4>1703988</vt:i4>
      </vt:variant>
      <vt:variant>
        <vt:i4>989</vt:i4>
      </vt:variant>
      <vt:variant>
        <vt:i4>0</vt:i4>
      </vt:variant>
      <vt:variant>
        <vt:i4>5</vt:i4>
      </vt:variant>
      <vt:variant>
        <vt:lpwstr/>
      </vt:variant>
      <vt:variant>
        <vt:lpwstr>_Toc431493894</vt:lpwstr>
      </vt:variant>
      <vt:variant>
        <vt:i4>1703988</vt:i4>
      </vt:variant>
      <vt:variant>
        <vt:i4>983</vt:i4>
      </vt:variant>
      <vt:variant>
        <vt:i4>0</vt:i4>
      </vt:variant>
      <vt:variant>
        <vt:i4>5</vt:i4>
      </vt:variant>
      <vt:variant>
        <vt:lpwstr/>
      </vt:variant>
      <vt:variant>
        <vt:lpwstr>_Toc431493893</vt:lpwstr>
      </vt:variant>
      <vt:variant>
        <vt:i4>1703988</vt:i4>
      </vt:variant>
      <vt:variant>
        <vt:i4>977</vt:i4>
      </vt:variant>
      <vt:variant>
        <vt:i4>0</vt:i4>
      </vt:variant>
      <vt:variant>
        <vt:i4>5</vt:i4>
      </vt:variant>
      <vt:variant>
        <vt:lpwstr/>
      </vt:variant>
      <vt:variant>
        <vt:lpwstr>_Toc431493892</vt:lpwstr>
      </vt:variant>
      <vt:variant>
        <vt:i4>1703988</vt:i4>
      </vt:variant>
      <vt:variant>
        <vt:i4>971</vt:i4>
      </vt:variant>
      <vt:variant>
        <vt:i4>0</vt:i4>
      </vt:variant>
      <vt:variant>
        <vt:i4>5</vt:i4>
      </vt:variant>
      <vt:variant>
        <vt:lpwstr/>
      </vt:variant>
      <vt:variant>
        <vt:lpwstr>_Toc431493891</vt:lpwstr>
      </vt:variant>
      <vt:variant>
        <vt:i4>1703988</vt:i4>
      </vt:variant>
      <vt:variant>
        <vt:i4>965</vt:i4>
      </vt:variant>
      <vt:variant>
        <vt:i4>0</vt:i4>
      </vt:variant>
      <vt:variant>
        <vt:i4>5</vt:i4>
      </vt:variant>
      <vt:variant>
        <vt:lpwstr/>
      </vt:variant>
      <vt:variant>
        <vt:lpwstr>_Toc431493890</vt:lpwstr>
      </vt:variant>
      <vt:variant>
        <vt:i4>1769524</vt:i4>
      </vt:variant>
      <vt:variant>
        <vt:i4>959</vt:i4>
      </vt:variant>
      <vt:variant>
        <vt:i4>0</vt:i4>
      </vt:variant>
      <vt:variant>
        <vt:i4>5</vt:i4>
      </vt:variant>
      <vt:variant>
        <vt:lpwstr/>
      </vt:variant>
      <vt:variant>
        <vt:lpwstr>_Toc431493889</vt:lpwstr>
      </vt:variant>
      <vt:variant>
        <vt:i4>1769524</vt:i4>
      </vt:variant>
      <vt:variant>
        <vt:i4>953</vt:i4>
      </vt:variant>
      <vt:variant>
        <vt:i4>0</vt:i4>
      </vt:variant>
      <vt:variant>
        <vt:i4>5</vt:i4>
      </vt:variant>
      <vt:variant>
        <vt:lpwstr/>
      </vt:variant>
      <vt:variant>
        <vt:lpwstr>_Toc431493888</vt:lpwstr>
      </vt:variant>
      <vt:variant>
        <vt:i4>1769524</vt:i4>
      </vt:variant>
      <vt:variant>
        <vt:i4>947</vt:i4>
      </vt:variant>
      <vt:variant>
        <vt:i4>0</vt:i4>
      </vt:variant>
      <vt:variant>
        <vt:i4>5</vt:i4>
      </vt:variant>
      <vt:variant>
        <vt:lpwstr/>
      </vt:variant>
      <vt:variant>
        <vt:lpwstr>_Toc431493887</vt:lpwstr>
      </vt:variant>
      <vt:variant>
        <vt:i4>1769524</vt:i4>
      </vt:variant>
      <vt:variant>
        <vt:i4>941</vt:i4>
      </vt:variant>
      <vt:variant>
        <vt:i4>0</vt:i4>
      </vt:variant>
      <vt:variant>
        <vt:i4>5</vt:i4>
      </vt:variant>
      <vt:variant>
        <vt:lpwstr/>
      </vt:variant>
      <vt:variant>
        <vt:lpwstr>_Toc431493886</vt:lpwstr>
      </vt:variant>
      <vt:variant>
        <vt:i4>1769524</vt:i4>
      </vt:variant>
      <vt:variant>
        <vt:i4>935</vt:i4>
      </vt:variant>
      <vt:variant>
        <vt:i4>0</vt:i4>
      </vt:variant>
      <vt:variant>
        <vt:i4>5</vt:i4>
      </vt:variant>
      <vt:variant>
        <vt:lpwstr/>
      </vt:variant>
      <vt:variant>
        <vt:lpwstr>_Toc431493885</vt:lpwstr>
      </vt:variant>
      <vt:variant>
        <vt:i4>1769524</vt:i4>
      </vt:variant>
      <vt:variant>
        <vt:i4>929</vt:i4>
      </vt:variant>
      <vt:variant>
        <vt:i4>0</vt:i4>
      </vt:variant>
      <vt:variant>
        <vt:i4>5</vt:i4>
      </vt:variant>
      <vt:variant>
        <vt:lpwstr/>
      </vt:variant>
      <vt:variant>
        <vt:lpwstr>_Toc431493884</vt:lpwstr>
      </vt:variant>
      <vt:variant>
        <vt:i4>1769524</vt:i4>
      </vt:variant>
      <vt:variant>
        <vt:i4>923</vt:i4>
      </vt:variant>
      <vt:variant>
        <vt:i4>0</vt:i4>
      </vt:variant>
      <vt:variant>
        <vt:i4>5</vt:i4>
      </vt:variant>
      <vt:variant>
        <vt:lpwstr/>
      </vt:variant>
      <vt:variant>
        <vt:lpwstr>_Toc431493883</vt:lpwstr>
      </vt:variant>
      <vt:variant>
        <vt:i4>1769524</vt:i4>
      </vt:variant>
      <vt:variant>
        <vt:i4>917</vt:i4>
      </vt:variant>
      <vt:variant>
        <vt:i4>0</vt:i4>
      </vt:variant>
      <vt:variant>
        <vt:i4>5</vt:i4>
      </vt:variant>
      <vt:variant>
        <vt:lpwstr/>
      </vt:variant>
      <vt:variant>
        <vt:lpwstr>_Toc431493882</vt:lpwstr>
      </vt:variant>
      <vt:variant>
        <vt:i4>1769524</vt:i4>
      </vt:variant>
      <vt:variant>
        <vt:i4>911</vt:i4>
      </vt:variant>
      <vt:variant>
        <vt:i4>0</vt:i4>
      </vt:variant>
      <vt:variant>
        <vt:i4>5</vt:i4>
      </vt:variant>
      <vt:variant>
        <vt:lpwstr/>
      </vt:variant>
      <vt:variant>
        <vt:lpwstr>_Toc431493881</vt:lpwstr>
      </vt:variant>
      <vt:variant>
        <vt:i4>1769524</vt:i4>
      </vt:variant>
      <vt:variant>
        <vt:i4>905</vt:i4>
      </vt:variant>
      <vt:variant>
        <vt:i4>0</vt:i4>
      </vt:variant>
      <vt:variant>
        <vt:i4>5</vt:i4>
      </vt:variant>
      <vt:variant>
        <vt:lpwstr/>
      </vt:variant>
      <vt:variant>
        <vt:lpwstr>_Toc431493880</vt:lpwstr>
      </vt:variant>
      <vt:variant>
        <vt:i4>1310772</vt:i4>
      </vt:variant>
      <vt:variant>
        <vt:i4>899</vt:i4>
      </vt:variant>
      <vt:variant>
        <vt:i4>0</vt:i4>
      </vt:variant>
      <vt:variant>
        <vt:i4>5</vt:i4>
      </vt:variant>
      <vt:variant>
        <vt:lpwstr/>
      </vt:variant>
      <vt:variant>
        <vt:lpwstr>_Toc431493879</vt:lpwstr>
      </vt:variant>
      <vt:variant>
        <vt:i4>1310772</vt:i4>
      </vt:variant>
      <vt:variant>
        <vt:i4>893</vt:i4>
      </vt:variant>
      <vt:variant>
        <vt:i4>0</vt:i4>
      </vt:variant>
      <vt:variant>
        <vt:i4>5</vt:i4>
      </vt:variant>
      <vt:variant>
        <vt:lpwstr/>
      </vt:variant>
      <vt:variant>
        <vt:lpwstr>_Toc431493878</vt:lpwstr>
      </vt:variant>
      <vt:variant>
        <vt:i4>1310772</vt:i4>
      </vt:variant>
      <vt:variant>
        <vt:i4>887</vt:i4>
      </vt:variant>
      <vt:variant>
        <vt:i4>0</vt:i4>
      </vt:variant>
      <vt:variant>
        <vt:i4>5</vt:i4>
      </vt:variant>
      <vt:variant>
        <vt:lpwstr/>
      </vt:variant>
      <vt:variant>
        <vt:lpwstr>_Toc431493877</vt:lpwstr>
      </vt:variant>
      <vt:variant>
        <vt:i4>1310772</vt:i4>
      </vt:variant>
      <vt:variant>
        <vt:i4>881</vt:i4>
      </vt:variant>
      <vt:variant>
        <vt:i4>0</vt:i4>
      </vt:variant>
      <vt:variant>
        <vt:i4>5</vt:i4>
      </vt:variant>
      <vt:variant>
        <vt:lpwstr/>
      </vt:variant>
      <vt:variant>
        <vt:lpwstr>_Toc431493876</vt:lpwstr>
      </vt:variant>
      <vt:variant>
        <vt:i4>1310772</vt:i4>
      </vt:variant>
      <vt:variant>
        <vt:i4>875</vt:i4>
      </vt:variant>
      <vt:variant>
        <vt:i4>0</vt:i4>
      </vt:variant>
      <vt:variant>
        <vt:i4>5</vt:i4>
      </vt:variant>
      <vt:variant>
        <vt:lpwstr/>
      </vt:variant>
      <vt:variant>
        <vt:lpwstr>_Toc431493875</vt:lpwstr>
      </vt:variant>
      <vt:variant>
        <vt:i4>1310772</vt:i4>
      </vt:variant>
      <vt:variant>
        <vt:i4>869</vt:i4>
      </vt:variant>
      <vt:variant>
        <vt:i4>0</vt:i4>
      </vt:variant>
      <vt:variant>
        <vt:i4>5</vt:i4>
      </vt:variant>
      <vt:variant>
        <vt:lpwstr/>
      </vt:variant>
      <vt:variant>
        <vt:lpwstr>_Toc431493874</vt:lpwstr>
      </vt:variant>
      <vt:variant>
        <vt:i4>1310772</vt:i4>
      </vt:variant>
      <vt:variant>
        <vt:i4>863</vt:i4>
      </vt:variant>
      <vt:variant>
        <vt:i4>0</vt:i4>
      </vt:variant>
      <vt:variant>
        <vt:i4>5</vt:i4>
      </vt:variant>
      <vt:variant>
        <vt:lpwstr/>
      </vt:variant>
      <vt:variant>
        <vt:lpwstr>_Toc431493873</vt:lpwstr>
      </vt:variant>
      <vt:variant>
        <vt:i4>1310772</vt:i4>
      </vt:variant>
      <vt:variant>
        <vt:i4>857</vt:i4>
      </vt:variant>
      <vt:variant>
        <vt:i4>0</vt:i4>
      </vt:variant>
      <vt:variant>
        <vt:i4>5</vt:i4>
      </vt:variant>
      <vt:variant>
        <vt:lpwstr/>
      </vt:variant>
      <vt:variant>
        <vt:lpwstr>_Toc431493872</vt:lpwstr>
      </vt:variant>
      <vt:variant>
        <vt:i4>1310772</vt:i4>
      </vt:variant>
      <vt:variant>
        <vt:i4>851</vt:i4>
      </vt:variant>
      <vt:variant>
        <vt:i4>0</vt:i4>
      </vt:variant>
      <vt:variant>
        <vt:i4>5</vt:i4>
      </vt:variant>
      <vt:variant>
        <vt:lpwstr/>
      </vt:variant>
      <vt:variant>
        <vt:lpwstr>_Toc431493871</vt:lpwstr>
      </vt:variant>
      <vt:variant>
        <vt:i4>1310772</vt:i4>
      </vt:variant>
      <vt:variant>
        <vt:i4>845</vt:i4>
      </vt:variant>
      <vt:variant>
        <vt:i4>0</vt:i4>
      </vt:variant>
      <vt:variant>
        <vt:i4>5</vt:i4>
      </vt:variant>
      <vt:variant>
        <vt:lpwstr/>
      </vt:variant>
      <vt:variant>
        <vt:lpwstr>_Toc431493870</vt:lpwstr>
      </vt:variant>
      <vt:variant>
        <vt:i4>1376308</vt:i4>
      </vt:variant>
      <vt:variant>
        <vt:i4>839</vt:i4>
      </vt:variant>
      <vt:variant>
        <vt:i4>0</vt:i4>
      </vt:variant>
      <vt:variant>
        <vt:i4>5</vt:i4>
      </vt:variant>
      <vt:variant>
        <vt:lpwstr/>
      </vt:variant>
      <vt:variant>
        <vt:lpwstr>_Toc431493869</vt:lpwstr>
      </vt:variant>
      <vt:variant>
        <vt:i4>1376308</vt:i4>
      </vt:variant>
      <vt:variant>
        <vt:i4>833</vt:i4>
      </vt:variant>
      <vt:variant>
        <vt:i4>0</vt:i4>
      </vt:variant>
      <vt:variant>
        <vt:i4>5</vt:i4>
      </vt:variant>
      <vt:variant>
        <vt:lpwstr/>
      </vt:variant>
      <vt:variant>
        <vt:lpwstr>_Toc431493868</vt:lpwstr>
      </vt:variant>
      <vt:variant>
        <vt:i4>1376308</vt:i4>
      </vt:variant>
      <vt:variant>
        <vt:i4>827</vt:i4>
      </vt:variant>
      <vt:variant>
        <vt:i4>0</vt:i4>
      </vt:variant>
      <vt:variant>
        <vt:i4>5</vt:i4>
      </vt:variant>
      <vt:variant>
        <vt:lpwstr/>
      </vt:variant>
      <vt:variant>
        <vt:lpwstr>_Toc431493867</vt:lpwstr>
      </vt:variant>
      <vt:variant>
        <vt:i4>1376308</vt:i4>
      </vt:variant>
      <vt:variant>
        <vt:i4>821</vt:i4>
      </vt:variant>
      <vt:variant>
        <vt:i4>0</vt:i4>
      </vt:variant>
      <vt:variant>
        <vt:i4>5</vt:i4>
      </vt:variant>
      <vt:variant>
        <vt:lpwstr/>
      </vt:variant>
      <vt:variant>
        <vt:lpwstr>_Toc431493866</vt:lpwstr>
      </vt:variant>
      <vt:variant>
        <vt:i4>1376308</vt:i4>
      </vt:variant>
      <vt:variant>
        <vt:i4>815</vt:i4>
      </vt:variant>
      <vt:variant>
        <vt:i4>0</vt:i4>
      </vt:variant>
      <vt:variant>
        <vt:i4>5</vt:i4>
      </vt:variant>
      <vt:variant>
        <vt:lpwstr/>
      </vt:variant>
      <vt:variant>
        <vt:lpwstr>_Toc431493865</vt:lpwstr>
      </vt:variant>
      <vt:variant>
        <vt:i4>1376308</vt:i4>
      </vt:variant>
      <vt:variant>
        <vt:i4>809</vt:i4>
      </vt:variant>
      <vt:variant>
        <vt:i4>0</vt:i4>
      </vt:variant>
      <vt:variant>
        <vt:i4>5</vt:i4>
      </vt:variant>
      <vt:variant>
        <vt:lpwstr/>
      </vt:variant>
      <vt:variant>
        <vt:lpwstr>_Toc431493864</vt:lpwstr>
      </vt:variant>
      <vt:variant>
        <vt:i4>1376308</vt:i4>
      </vt:variant>
      <vt:variant>
        <vt:i4>803</vt:i4>
      </vt:variant>
      <vt:variant>
        <vt:i4>0</vt:i4>
      </vt:variant>
      <vt:variant>
        <vt:i4>5</vt:i4>
      </vt:variant>
      <vt:variant>
        <vt:lpwstr/>
      </vt:variant>
      <vt:variant>
        <vt:lpwstr>_Toc431493863</vt:lpwstr>
      </vt:variant>
      <vt:variant>
        <vt:i4>1376308</vt:i4>
      </vt:variant>
      <vt:variant>
        <vt:i4>797</vt:i4>
      </vt:variant>
      <vt:variant>
        <vt:i4>0</vt:i4>
      </vt:variant>
      <vt:variant>
        <vt:i4>5</vt:i4>
      </vt:variant>
      <vt:variant>
        <vt:lpwstr/>
      </vt:variant>
      <vt:variant>
        <vt:lpwstr>_Toc431493862</vt:lpwstr>
      </vt:variant>
      <vt:variant>
        <vt:i4>1376308</vt:i4>
      </vt:variant>
      <vt:variant>
        <vt:i4>791</vt:i4>
      </vt:variant>
      <vt:variant>
        <vt:i4>0</vt:i4>
      </vt:variant>
      <vt:variant>
        <vt:i4>5</vt:i4>
      </vt:variant>
      <vt:variant>
        <vt:lpwstr/>
      </vt:variant>
      <vt:variant>
        <vt:lpwstr>_Toc431493861</vt:lpwstr>
      </vt:variant>
      <vt:variant>
        <vt:i4>1376308</vt:i4>
      </vt:variant>
      <vt:variant>
        <vt:i4>785</vt:i4>
      </vt:variant>
      <vt:variant>
        <vt:i4>0</vt:i4>
      </vt:variant>
      <vt:variant>
        <vt:i4>5</vt:i4>
      </vt:variant>
      <vt:variant>
        <vt:lpwstr/>
      </vt:variant>
      <vt:variant>
        <vt:lpwstr>_Toc431493860</vt:lpwstr>
      </vt:variant>
      <vt:variant>
        <vt:i4>1441844</vt:i4>
      </vt:variant>
      <vt:variant>
        <vt:i4>779</vt:i4>
      </vt:variant>
      <vt:variant>
        <vt:i4>0</vt:i4>
      </vt:variant>
      <vt:variant>
        <vt:i4>5</vt:i4>
      </vt:variant>
      <vt:variant>
        <vt:lpwstr/>
      </vt:variant>
      <vt:variant>
        <vt:lpwstr>_Toc431493859</vt:lpwstr>
      </vt:variant>
      <vt:variant>
        <vt:i4>1441844</vt:i4>
      </vt:variant>
      <vt:variant>
        <vt:i4>773</vt:i4>
      </vt:variant>
      <vt:variant>
        <vt:i4>0</vt:i4>
      </vt:variant>
      <vt:variant>
        <vt:i4>5</vt:i4>
      </vt:variant>
      <vt:variant>
        <vt:lpwstr/>
      </vt:variant>
      <vt:variant>
        <vt:lpwstr>_Toc431493858</vt:lpwstr>
      </vt:variant>
      <vt:variant>
        <vt:i4>1441844</vt:i4>
      </vt:variant>
      <vt:variant>
        <vt:i4>767</vt:i4>
      </vt:variant>
      <vt:variant>
        <vt:i4>0</vt:i4>
      </vt:variant>
      <vt:variant>
        <vt:i4>5</vt:i4>
      </vt:variant>
      <vt:variant>
        <vt:lpwstr/>
      </vt:variant>
      <vt:variant>
        <vt:lpwstr>_Toc431493857</vt:lpwstr>
      </vt:variant>
      <vt:variant>
        <vt:i4>1441844</vt:i4>
      </vt:variant>
      <vt:variant>
        <vt:i4>761</vt:i4>
      </vt:variant>
      <vt:variant>
        <vt:i4>0</vt:i4>
      </vt:variant>
      <vt:variant>
        <vt:i4>5</vt:i4>
      </vt:variant>
      <vt:variant>
        <vt:lpwstr/>
      </vt:variant>
      <vt:variant>
        <vt:lpwstr>_Toc431493856</vt:lpwstr>
      </vt:variant>
      <vt:variant>
        <vt:i4>1441844</vt:i4>
      </vt:variant>
      <vt:variant>
        <vt:i4>755</vt:i4>
      </vt:variant>
      <vt:variant>
        <vt:i4>0</vt:i4>
      </vt:variant>
      <vt:variant>
        <vt:i4>5</vt:i4>
      </vt:variant>
      <vt:variant>
        <vt:lpwstr/>
      </vt:variant>
      <vt:variant>
        <vt:lpwstr>_Toc431493855</vt:lpwstr>
      </vt:variant>
      <vt:variant>
        <vt:i4>1441844</vt:i4>
      </vt:variant>
      <vt:variant>
        <vt:i4>749</vt:i4>
      </vt:variant>
      <vt:variant>
        <vt:i4>0</vt:i4>
      </vt:variant>
      <vt:variant>
        <vt:i4>5</vt:i4>
      </vt:variant>
      <vt:variant>
        <vt:lpwstr/>
      </vt:variant>
      <vt:variant>
        <vt:lpwstr>_Toc431493854</vt:lpwstr>
      </vt:variant>
      <vt:variant>
        <vt:i4>1441844</vt:i4>
      </vt:variant>
      <vt:variant>
        <vt:i4>743</vt:i4>
      </vt:variant>
      <vt:variant>
        <vt:i4>0</vt:i4>
      </vt:variant>
      <vt:variant>
        <vt:i4>5</vt:i4>
      </vt:variant>
      <vt:variant>
        <vt:lpwstr/>
      </vt:variant>
      <vt:variant>
        <vt:lpwstr>_Toc431493853</vt:lpwstr>
      </vt:variant>
      <vt:variant>
        <vt:i4>1441844</vt:i4>
      </vt:variant>
      <vt:variant>
        <vt:i4>737</vt:i4>
      </vt:variant>
      <vt:variant>
        <vt:i4>0</vt:i4>
      </vt:variant>
      <vt:variant>
        <vt:i4>5</vt:i4>
      </vt:variant>
      <vt:variant>
        <vt:lpwstr/>
      </vt:variant>
      <vt:variant>
        <vt:lpwstr>_Toc431493852</vt:lpwstr>
      </vt:variant>
      <vt:variant>
        <vt:i4>1441844</vt:i4>
      </vt:variant>
      <vt:variant>
        <vt:i4>731</vt:i4>
      </vt:variant>
      <vt:variant>
        <vt:i4>0</vt:i4>
      </vt:variant>
      <vt:variant>
        <vt:i4>5</vt:i4>
      </vt:variant>
      <vt:variant>
        <vt:lpwstr/>
      </vt:variant>
      <vt:variant>
        <vt:lpwstr>_Toc431493851</vt:lpwstr>
      </vt:variant>
      <vt:variant>
        <vt:i4>1441844</vt:i4>
      </vt:variant>
      <vt:variant>
        <vt:i4>725</vt:i4>
      </vt:variant>
      <vt:variant>
        <vt:i4>0</vt:i4>
      </vt:variant>
      <vt:variant>
        <vt:i4>5</vt:i4>
      </vt:variant>
      <vt:variant>
        <vt:lpwstr/>
      </vt:variant>
      <vt:variant>
        <vt:lpwstr>_Toc431493850</vt:lpwstr>
      </vt:variant>
      <vt:variant>
        <vt:i4>1507380</vt:i4>
      </vt:variant>
      <vt:variant>
        <vt:i4>719</vt:i4>
      </vt:variant>
      <vt:variant>
        <vt:i4>0</vt:i4>
      </vt:variant>
      <vt:variant>
        <vt:i4>5</vt:i4>
      </vt:variant>
      <vt:variant>
        <vt:lpwstr/>
      </vt:variant>
      <vt:variant>
        <vt:lpwstr>_Toc431493849</vt:lpwstr>
      </vt:variant>
      <vt:variant>
        <vt:i4>1507380</vt:i4>
      </vt:variant>
      <vt:variant>
        <vt:i4>713</vt:i4>
      </vt:variant>
      <vt:variant>
        <vt:i4>0</vt:i4>
      </vt:variant>
      <vt:variant>
        <vt:i4>5</vt:i4>
      </vt:variant>
      <vt:variant>
        <vt:lpwstr/>
      </vt:variant>
      <vt:variant>
        <vt:lpwstr>_Toc431493848</vt:lpwstr>
      </vt:variant>
      <vt:variant>
        <vt:i4>1507380</vt:i4>
      </vt:variant>
      <vt:variant>
        <vt:i4>707</vt:i4>
      </vt:variant>
      <vt:variant>
        <vt:i4>0</vt:i4>
      </vt:variant>
      <vt:variant>
        <vt:i4>5</vt:i4>
      </vt:variant>
      <vt:variant>
        <vt:lpwstr/>
      </vt:variant>
      <vt:variant>
        <vt:lpwstr>_Toc431493847</vt:lpwstr>
      </vt:variant>
      <vt:variant>
        <vt:i4>1507380</vt:i4>
      </vt:variant>
      <vt:variant>
        <vt:i4>701</vt:i4>
      </vt:variant>
      <vt:variant>
        <vt:i4>0</vt:i4>
      </vt:variant>
      <vt:variant>
        <vt:i4>5</vt:i4>
      </vt:variant>
      <vt:variant>
        <vt:lpwstr/>
      </vt:variant>
      <vt:variant>
        <vt:lpwstr>_Toc431493846</vt:lpwstr>
      </vt:variant>
      <vt:variant>
        <vt:i4>1507380</vt:i4>
      </vt:variant>
      <vt:variant>
        <vt:i4>695</vt:i4>
      </vt:variant>
      <vt:variant>
        <vt:i4>0</vt:i4>
      </vt:variant>
      <vt:variant>
        <vt:i4>5</vt:i4>
      </vt:variant>
      <vt:variant>
        <vt:lpwstr/>
      </vt:variant>
      <vt:variant>
        <vt:lpwstr>_Toc431493845</vt:lpwstr>
      </vt:variant>
      <vt:variant>
        <vt:i4>1507380</vt:i4>
      </vt:variant>
      <vt:variant>
        <vt:i4>689</vt:i4>
      </vt:variant>
      <vt:variant>
        <vt:i4>0</vt:i4>
      </vt:variant>
      <vt:variant>
        <vt:i4>5</vt:i4>
      </vt:variant>
      <vt:variant>
        <vt:lpwstr/>
      </vt:variant>
      <vt:variant>
        <vt:lpwstr>_Toc431493844</vt:lpwstr>
      </vt:variant>
      <vt:variant>
        <vt:i4>1507380</vt:i4>
      </vt:variant>
      <vt:variant>
        <vt:i4>683</vt:i4>
      </vt:variant>
      <vt:variant>
        <vt:i4>0</vt:i4>
      </vt:variant>
      <vt:variant>
        <vt:i4>5</vt:i4>
      </vt:variant>
      <vt:variant>
        <vt:lpwstr/>
      </vt:variant>
      <vt:variant>
        <vt:lpwstr>_Toc431493843</vt:lpwstr>
      </vt:variant>
      <vt:variant>
        <vt:i4>1507380</vt:i4>
      </vt:variant>
      <vt:variant>
        <vt:i4>677</vt:i4>
      </vt:variant>
      <vt:variant>
        <vt:i4>0</vt:i4>
      </vt:variant>
      <vt:variant>
        <vt:i4>5</vt:i4>
      </vt:variant>
      <vt:variant>
        <vt:lpwstr/>
      </vt:variant>
      <vt:variant>
        <vt:lpwstr>_Toc431493842</vt:lpwstr>
      </vt:variant>
      <vt:variant>
        <vt:i4>1507380</vt:i4>
      </vt:variant>
      <vt:variant>
        <vt:i4>671</vt:i4>
      </vt:variant>
      <vt:variant>
        <vt:i4>0</vt:i4>
      </vt:variant>
      <vt:variant>
        <vt:i4>5</vt:i4>
      </vt:variant>
      <vt:variant>
        <vt:lpwstr/>
      </vt:variant>
      <vt:variant>
        <vt:lpwstr>_Toc431493841</vt:lpwstr>
      </vt:variant>
      <vt:variant>
        <vt:i4>1507380</vt:i4>
      </vt:variant>
      <vt:variant>
        <vt:i4>665</vt:i4>
      </vt:variant>
      <vt:variant>
        <vt:i4>0</vt:i4>
      </vt:variant>
      <vt:variant>
        <vt:i4>5</vt:i4>
      </vt:variant>
      <vt:variant>
        <vt:lpwstr/>
      </vt:variant>
      <vt:variant>
        <vt:lpwstr>_Toc431493840</vt:lpwstr>
      </vt:variant>
      <vt:variant>
        <vt:i4>1048628</vt:i4>
      </vt:variant>
      <vt:variant>
        <vt:i4>659</vt:i4>
      </vt:variant>
      <vt:variant>
        <vt:i4>0</vt:i4>
      </vt:variant>
      <vt:variant>
        <vt:i4>5</vt:i4>
      </vt:variant>
      <vt:variant>
        <vt:lpwstr/>
      </vt:variant>
      <vt:variant>
        <vt:lpwstr>_Toc431493839</vt:lpwstr>
      </vt:variant>
      <vt:variant>
        <vt:i4>1048628</vt:i4>
      </vt:variant>
      <vt:variant>
        <vt:i4>653</vt:i4>
      </vt:variant>
      <vt:variant>
        <vt:i4>0</vt:i4>
      </vt:variant>
      <vt:variant>
        <vt:i4>5</vt:i4>
      </vt:variant>
      <vt:variant>
        <vt:lpwstr/>
      </vt:variant>
      <vt:variant>
        <vt:lpwstr>_Toc431493838</vt:lpwstr>
      </vt:variant>
      <vt:variant>
        <vt:i4>1048628</vt:i4>
      </vt:variant>
      <vt:variant>
        <vt:i4>647</vt:i4>
      </vt:variant>
      <vt:variant>
        <vt:i4>0</vt:i4>
      </vt:variant>
      <vt:variant>
        <vt:i4>5</vt:i4>
      </vt:variant>
      <vt:variant>
        <vt:lpwstr/>
      </vt:variant>
      <vt:variant>
        <vt:lpwstr>_Toc431493837</vt:lpwstr>
      </vt:variant>
      <vt:variant>
        <vt:i4>1048628</vt:i4>
      </vt:variant>
      <vt:variant>
        <vt:i4>641</vt:i4>
      </vt:variant>
      <vt:variant>
        <vt:i4>0</vt:i4>
      </vt:variant>
      <vt:variant>
        <vt:i4>5</vt:i4>
      </vt:variant>
      <vt:variant>
        <vt:lpwstr/>
      </vt:variant>
      <vt:variant>
        <vt:lpwstr>_Toc431493836</vt:lpwstr>
      </vt:variant>
      <vt:variant>
        <vt:i4>1048628</vt:i4>
      </vt:variant>
      <vt:variant>
        <vt:i4>635</vt:i4>
      </vt:variant>
      <vt:variant>
        <vt:i4>0</vt:i4>
      </vt:variant>
      <vt:variant>
        <vt:i4>5</vt:i4>
      </vt:variant>
      <vt:variant>
        <vt:lpwstr/>
      </vt:variant>
      <vt:variant>
        <vt:lpwstr>_Toc431493835</vt:lpwstr>
      </vt:variant>
      <vt:variant>
        <vt:i4>1048628</vt:i4>
      </vt:variant>
      <vt:variant>
        <vt:i4>629</vt:i4>
      </vt:variant>
      <vt:variant>
        <vt:i4>0</vt:i4>
      </vt:variant>
      <vt:variant>
        <vt:i4>5</vt:i4>
      </vt:variant>
      <vt:variant>
        <vt:lpwstr/>
      </vt:variant>
      <vt:variant>
        <vt:lpwstr>_Toc431493834</vt:lpwstr>
      </vt:variant>
      <vt:variant>
        <vt:i4>1048628</vt:i4>
      </vt:variant>
      <vt:variant>
        <vt:i4>623</vt:i4>
      </vt:variant>
      <vt:variant>
        <vt:i4>0</vt:i4>
      </vt:variant>
      <vt:variant>
        <vt:i4>5</vt:i4>
      </vt:variant>
      <vt:variant>
        <vt:lpwstr/>
      </vt:variant>
      <vt:variant>
        <vt:lpwstr>_Toc431493833</vt:lpwstr>
      </vt:variant>
      <vt:variant>
        <vt:i4>1048628</vt:i4>
      </vt:variant>
      <vt:variant>
        <vt:i4>617</vt:i4>
      </vt:variant>
      <vt:variant>
        <vt:i4>0</vt:i4>
      </vt:variant>
      <vt:variant>
        <vt:i4>5</vt:i4>
      </vt:variant>
      <vt:variant>
        <vt:lpwstr/>
      </vt:variant>
      <vt:variant>
        <vt:lpwstr>_Toc431493832</vt:lpwstr>
      </vt:variant>
      <vt:variant>
        <vt:i4>1048628</vt:i4>
      </vt:variant>
      <vt:variant>
        <vt:i4>611</vt:i4>
      </vt:variant>
      <vt:variant>
        <vt:i4>0</vt:i4>
      </vt:variant>
      <vt:variant>
        <vt:i4>5</vt:i4>
      </vt:variant>
      <vt:variant>
        <vt:lpwstr/>
      </vt:variant>
      <vt:variant>
        <vt:lpwstr>_Toc431493831</vt:lpwstr>
      </vt:variant>
      <vt:variant>
        <vt:i4>1048628</vt:i4>
      </vt:variant>
      <vt:variant>
        <vt:i4>605</vt:i4>
      </vt:variant>
      <vt:variant>
        <vt:i4>0</vt:i4>
      </vt:variant>
      <vt:variant>
        <vt:i4>5</vt:i4>
      </vt:variant>
      <vt:variant>
        <vt:lpwstr/>
      </vt:variant>
      <vt:variant>
        <vt:lpwstr>_Toc431493830</vt:lpwstr>
      </vt:variant>
      <vt:variant>
        <vt:i4>1114164</vt:i4>
      </vt:variant>
      <vt:variant>
        <vt:i4>599</vt:i4>
      </vt:variant>
      <vt:variant>
        <vt:i4>0</vt:i4>
      </vt:variant>
      <vt:variant>
        <vt:i4>5</vt:i4>
      </vt:variant>
      <vt:variant>
        <vt:lpwstr/>
      </vt:variant>
      <vt:variant>
        <vt:lpwstr>_Toc431493829</vt:lpwstr>
      </vt:variant>
      <vt:variant>
        <vt:i4>1114164</vt:i4>
      </vt:variant>
      <vt:variant>
        <vt:i4>593</vt:i4>
      </vt:variant>
      <vt:variant>
        <vt:i4>0</vt:i4>
      </vt:variant>
      <vt:variant>
        <vt:i4>5</vt:i4>
      </vt:variant>
      <vt:variant>
        <vt:lpwstr/>
      </vt:variant>
      <vt:variant>
        <vt:lpwstr>_Toc431493828</vt:lpwstr>
      </vt:variant>
      <vt:variant>
        <vt:i4>1114164</vt:i4>
      </vt:variant>
      <vt:variant>
        <vt:i4>587</vt:i4>
      </vt:variant>
      <vt:variant>
        <vt:i4>0</vt:i4>
      </vt:variant>
      <vt:variant>
        <vt:i4>5</vt:i4>
      </vt:variant>
      <vt:variant>
        <vt:lpwstr/>
      </vt:variant>
      <vt:variant>
        <vt:lpwstr>_Toc431493827</vt:lpwstr>
      </vt:variant>
      <vt:variant>
        <vt:i4>1114164</vt:i4>
      </vt:variant>
      <vt:variant>
        <vt:i4>581</vt:i4>
      </vt:variant>
      <vt:variant>
        <vt:i4>0</vt:i4>
      </vt:variant>
      <vt:variant>
        <vt:i4>5</vt:i4>
      </vt:variant>
      <vt:variant>
        <vt:lpwstr/>
      </vt:variant>
      <vt:variant>
        <vt:lpwstr>_Toc431493826</vt:lpwstr>
      </vt:variant>
      <vt:variant>
        <vt:i4>1114164</vt:i4>
      </vt:variant>
      <vt:variant>
        <vt:i4>575</vt:i4>
      </vt:variant>
      <vt:variant>
        <vt:i4>0</vt:i4>
      </vt:variant>
      <vt:variant>
        <vt:i4>5</vt:i4>
      </vt:variant>
      <vt:variant>
        <vt:lpwstr/>
      </vt:variant>
      <vt:variant>
        <vt:lpwstr>_Toc431493825</vt:lpwstr>
      </vt:variant>
      <vt:variant>
        <vt:i4>1114164</vt:i4>
      </vt:variant>
      <vt:variant>
        <vt:i4>569</vt:i4>
      </vt:variant>
      <vt:variant>
        <vt:i4>0</vt:i4>
      </vt:variant>
      <vt:variant>
        <vt:i4>5</vt:i4>
      </vt:variant>
      <vt:variant>
        <vt:lpwstr/>
      </vt:variant>
      <vt:variant>
        <vt:lpwstr>_Toc431493824</vt:lpwstr>
      </vt:variant>
      <vt:variant>
        <vt:i4>1114164</vt:i4>
      </vt:variant>
      <vt:variant>
        <vt:i4>563</vt:i4>
      </vt:variant>
      <vt:variant>
        <vt:i4>0</vt:i4>
      </vt:variant>
      <vt:variant>
        <vt:i4>5</vt:i4>
      </vt:variant>
      <vt:variant>
        <vt:lpwstr/>
      </vt:variant>
      <vt:variant>
        <vt:lpwstr>_Toc431493823</vt:lpwstr>
      </vt:variant>
      <vt:variant>
        <vt:i4>1114164</vt:i4>
      </vt:variant>
      <vt:variant>
        <vt:i4>557</vt:i4>
      </vt:variant>
      <vt:variant>
        <vt:i4>0</vt:i4>
      </vt:variant>
      <vt:variant>
        <vt:i4>5</vt:i4>
      </vt:variant>
      <vt:variant>
        <vt:lpwstr/>
      </vt:variant>
      <vt:variant>
        <vt:lpwstr>_Toc431493822</vt:lpwstr>
      </vt:variant>
      <vt:variant>
        <vt:i4>1114164</vt:i4>
      </vt:variant>
      <vt:variant>
        <vt:i4>551</vt:i4>
      </vt:variant>
      <vt:variant>
        <vt:i4>0</vt:i4>
      </vt:variant>
      <vt:variant>
        <vt:i4>5</vt:i4>
      </vt:variant>
      <vt:variant>
        <vt:lpwstr/>
      </vt:variant>
      <vt:variant>
        <vt:lpwstr>_Toc431493821</vt:lpwstr>
      </vt:variant>
      <vt:variant>
        <vt:i4>1114164</vt:i4>
      </vt:variant>
      <vt:variant>
        <vt:i4>545</vt:i4>
      </vt:variant>
      <vt:variant>
        <vt:i4>0</vt:i4>
      </vt:variant>
      <vt:variant>
        <vt:i4>5</vt:i4>
      </vt:variant>
      <vt:variant>
        <vt:lpwstr/>
      </vt:variant>
      <vt:variant>
        <vt:lpwstr>_Toc431493820</vt:lpwstr>
      </vt:variant>
      <vt:variant>
        <vt:i4>1179700</vt:i4>
      </vt:variant>
      <vt:variant>
        <vt:i4>539</vt:i4>
      </vt:variant>
      <vt:variant>
        <vt:i4>0</vt:i4>
      </vt:variant>
      <vt:variant>
        <vt:i4>5</vt:i4>
      </vt:variant>
      <vt:variant>
        <vt:lpwstr/>
      </vt:variant>
      <vt:variant>
        <vt:lpwstr>_Toc431493819</vt:lpwstr>
      </vt:variant>
      <vt:variant>
        <vt:i4>1179700</vt:i4>
      </vt:variant>
      <vt:variant>
        <vt:i4>533</vt:i4>
      </vt:variant>
      <vt:variant>
        <vt:i4>0</vt:i4>
      </vt:variant>
      <vt:variant>
        <vt:i4>5</vt:i4>
      </vt:variant>
      <vt:variant>
        <vt:lpwstr/>
      </vt:variant>
      <vt:variant>
        <vt:lpwstr>_Toc431493818</vt:lpwstr>
      </vt:variant>
      <vt:variant>
        <vt:i4>1179700</vt:i4>
      </vt:variant>
      <vt:variant>
        <vt:i4>527</vt:i4>
      </vt:variant>
      <vt:variant>
        <vt:i4>0</vt:i4>
      </vt:variant>
      <vt:variant>
        <vt:i4>5</vt:i4>
      </vt:variant>
      <vt:variant>
        <vt:lpwstr/>
      </vt:variant>
      <vt:variant>
        <vt:lpwstr>_Toc431493817</vt:lpwstr>
      </vt:variant>
      <vt:variant>
        <vt:i4>1179700</vt:i4>
      </vt:variant>
      <vt:variant>
        <vt:i4>521</vt:i4>
      </vt:variant>
      <vt:variant>
        <vt:i4>0</vt:i4>
      </vt:variant>
      <vt:variant>
        <vt:i4>5</vt:i4>
      </vt:variant>
      <vt:variant>
        <vt:lpwstr/>
      </vt:variant>
      <vt:variant>
        <vt:lpwstr>_Toc431493816</vt:lpwstr>
      </vt:variant>
      <vt:variant>
        <vt:i4>1179700</vt:i4>
      </vt:variant>
      <vt:variant>
        <vt:i4>515</vt:i4>
      </vt:variant>
      <vt:variant>
        <vt:i4>0</vt:i4>
      </vt:variant>
      <vt:variant>
        <vt:i4>5</vt:i4>
      </vt:variant>
      <vt:variant>
        <vt:lpwstr/>
      </vt:variant>
      <vt:variant>
        <vt:lpwstr>_Toc431493815</vt:lpwstr>
      </vt:variant>
      <vt:variant>
        <vt:i4>1179700</vt:i4>
      </vt:variant>
      <vt:variant>
        <vt:i4>509</vt:i4>
      </vt:variant>
      <vt:variant>
        <vt:i4>0</vt:i4>
      </vt:variant>
      <vt:variant>
        <vt:i4>5</vt:i4>
      </vt:variant>
      <vt:variant>
        <vt:lpwstr/>
      </vt:variant>
      <vt:variant>
        <vt:lpwstr>_Toc431493814</vt:lpwstr>
      </vt:variant>
      <vt:variant>
        <vt:i4>1179700</vt:i4>
      </vt:variant>
      <vt:variant>
        <vt:i4>503</vt:i4>
      </vt:variant>
      <vt:variant>
        <vt:i4>0</vt:i4>
      </vt:variant>
      <vt:variant>
        <vt:i4>5</vt:i4>
      </vt:variant>
      <vt:variant>
        <vt:lpwstr/>
      </vt:variant>
      <vt:variant>
        <vt:lpwstr>_Toc431493813</vt:lpwstr>
      </vt:variant>
      <vt:variant>
        <vt:i4>1179700</vt:i4>
      </vt:variant>
      <vt:variant>
        <vt:i4>497</vt:i4>
      </vt:variant>
      <vt:variant>
        <vt:i4>0</vt:i4>
      </vt:variant>
      <vt:variant>
        <vt:i4>5</vt:i4>
      </vt:variant>
      <vt:variant>
        <vt:lpwstr/>
      </vt:variant>
      <vt:variant>
        <vt:lpwstr>_Toc431493812</vt:lpwstr>
      </vt:variant>
      <vt:variant>
        <vt:i4>1179700</vt:i4>
      </vt:variant>
      <vt:variant>
        <vt:i4>491</vt:i4>
      </vt:variant>
      <vt:variant>
        <vt:i4>0</vt:i4>
      </vt:variant>
      <vt:variant>
        <vt:i4>5</vt:i4>
      </vt:variant>
      <vt:variant>
        <vt:lpwstr/>
      </vt:variant>
      <vt:variant>
        <vt:lpwstr>_Toc431493811</vt:lpwstr>
      </vt:variant>
      <vt:variant>
        <vt:i4>1179700</vt:i4>
      </vt:variant>
      <vt:variant>
        <vt:i4>485</vt:i4>
      </vt:variant>
      <vt:variant>
        <vt:i4>0</vt:i4>
      </vt:variant>
      <vt:variant>
        <vt:i4>5</vt:i4>
      </vt:variant>
      <vt:variant>
        <vt:lpwstr/>
      </vt:variant>
      <vt:variant>
        <vt:lpwstr>_Toc431493810</vt:lpwstr>
      </vt:variant>
      <vt:variant>
        <vt:i4>1245236</vt:i4>
      </vt:variant>
      <vt:variant>
        <vt:i4>479</vt:i4>
      </vt:variant>
      <vt:variant>
        <vt:i4>0</vt:i4>
      </vt:variant>
      <vt:variant>
        <vt:i4>5</vt:i4>
      </vt:variant>
      <vt:variant>
        <vt:lpwstr/>
      </vt:variant>
      <vt:variant>
        <vt:lpwstr>_Toc431493809</vt:lpwstr>
      </vt:variant>
      <vt:variant>
        <vt:i4>1245236</vt:i4>
      </vt:variant>
      <vt:variant>
        <vt:i4>473</vt:i4>
      </vt:variant>
      <vt:variant>
        <vt:i4>0</vt:i4>
      </vt:variant>
      <vt:variant>
        <vt:i4>5</vt:i4>
      </vt:variant>
      <vt:variant>
        <vt:lpwstr/>
      </vt:variant>
      <vt:variant>
        <vt:lpwstr>_Toc431493808</vt:lpwstr>
      </vt:variant>
      <vt:variant>
        <vt:i4>1245236</vt:i4>
      </vt:variant>
      <vt:variant>
        <vt:i4>467</vt:i4>
      </vt:variant>
      <vt:variant>
        <vt:i4>0</vt:i4>
      </vt:variant>
      <vt:variant>
        <vt:i4>5</vt:i4>
      </vt:variant>
      <vt:variant>
        <vt:lpwstr/>
      </vt:variant>
      <vt:variant>
        <vt:lpwstr>_Toc431493807</vt:lpwstr>
      </vt:variant>
      <vt:variant>
        <vt:i4>1245236</vt:i4>
      </vt:variant>
      <vt:variant>
        <vt:i4>461</vt:i4>
      </vt:variant>
      <vt:variant>
        <vt:i4>0</vt:i4>
      </vt:variant>
      <vt:variant>
        <vt:i4>5</vt:i4>
      </vt:variant>
      <vt:variant>
        <vt:lpwstr/>
      </vt:variant>
      <vt:variant>
        <vt:lpwstr>_Toc431493806</vt:lpwstr>
      </vt:variant>
      <vt:variant>
        <vt:i4>1245236</vt:i4>
      </vt:variant>
      <vt:variant>
        <vt:i4>455</vt:i4>
      </vt:variant>
      <vt:variant>
        <vt:i4>0</vt:i4>
      </vt:variant>
      <vt:variant>
        <vt:i4>5</vt:i4>
      </vt:variant>
      <vt:variant>
        <vt:lpwstr/>
      </vt:variant>
      <vt:variant>
        <vt:lpwstr>_Toc431493805</vt:lpwstr>
      </vt:variant>
      <vt:variant>
        <vt:i4>1245236</vt:i4>
      </vt:variant>
      <vt:variant>
        <vt:i4>449</vt:i4>
      </vt:variant>
      <vt:variant>
        <vt:i4>0</vt:i4>
      </vt:variant>
      <vt:variant>
        <vt:i4>5</vt:i4>
      </vt:variant>
      <vt:variant>
        <vt:lpwstr/>
      </vt:variant>
      <vt:variant>
        <vt:lpwstr>_Toc431493804</vt:lpwstr>
      </vt:variant>
      <vt:variant>
        <vt:i4>1245236</vt:i4>
      </vt:variant>
      <vt:variant>
        <vt:i4>443</vt:i4>
      </vt:variant>
      <vt:variant>
        <vt:i4>0</vt:i4>
      </vt:variant>
      <vt:variant>
        <vt:i4>5</vt:i4>
      </vt:variant>
      <vt:variant>
        <vt:lpwstr/>
      </vt:variant>
      <vt:variant>
        <vt:lpwstr>_Toc431493803</vt:lpwstr>
      </vt:variant>
      <vt:variant>
        <vt:i4>1245236</vt:i4>
      </vt:variant>
      <vt:variant>
        <vt:i4>437</vt:i4>
      </vt:variant>
      <vt:variant>
        <vt:i4>0</vt:i4>
      </vt:variant>
      <vt:variant>
        <vt:i4>5</vt:i4>
      </vt:variant>
      <vt:variant>
        <vt:lpwstr/>
      </vt:variant>
      <vt:variant>
        <vt:lpwstr>_Toc431493802</vt:lpwstr>
      </vt:variant>
      <vt:variant>
        <vt:i4>1245236</vt:i4>
      </vt:variant>
      <vt:variant>
        <vt:i4>431</vt:i4>
      </vt:variant>
      <vt:variant>
        <vt:i4>0</vt:i4>
      </vt:variant>
      <vt:variant>
        <vt:i4>5</vt:i4>
      </vt:variant>
      <vt:variant>
        <vt:lpwstr/>
      </vt:variant>
      <vt:variant>
        <vt:lpwstr>_Toc431493801</vt:lpwstr>
      </vt:variant>
      <vt:variant>
        <vt:i4>1245236</vt:i4>
      </vt:variant>
      <vt:variant>
        <vt:i4>425</vt:i4>
      </vt:variant>
      <vt:variant>
        <vt:i4>0</vt:i4>
      </vt:variant>
      <vt:variant>
        <vt:i4>5</vt:i4>
      </vt:variant>
      <vt:variant>
        <vt:lpwstr/>
      </vt:variant>
      <vt:variant>
        <vt:lpwstr>_Toc431493800</vt:lpwstr>
      </vt:variant>
      <vt:variant>
        <vt:i4>1703995</vt:i4>
      </vt:variant>
      <vt:variant>
        <vt:i4>419</vt:i4>
      </vt:variant>
      <vt:variant>
        <vt:i4>0</vt:i4>
      </vt:variant>
      <vt:variant>
        <vt:i4>5</vt:i4>
      </vt:variant>
      <vt:variant>
        <vt:lpwstr/>
      </vt:variant>
      <vt:variant>
        <vt:lpwstr>_Toc431493799</vt:lpwstr>
      </vt:variant>
      <vt:variant>
        <vt:i4>1703995</vt:i4>
      </vt:variant>
      <vt:variant>
        <vt:i4>413</vt:i4>
      </vt:variant>
      <vt:variant>
        <vt:i4>0</vt:i4>
      </vt:variant>
      <vt:variant>
        <vt:i4>5</vt:i4>
      </vt:variant>
      <vt:variant>
        <vt:lpwstr/>
      </vt:variant>
      <vt:variant>
        <vt:lpwstr>_Toc431493798</vt:lpwstr>
      </vt:variant>
      <vt:variant>
        <vt:i4>1703995</vt:i4>
      </vt:variant>
      <vt:variant>
        <vt:i4>407</vt:i4>
      </vt:variant>
      <vt:variant>
        <vt:i4>0</vt:i4>
      </vt:variant>
      <vt:variant>
        <vt:i4>5</vt:i4>
      </vt:variant>
      <vt:variant>
        <vt:lpwstr/>
      </vt:variant>
      <vt:variant>
        <vt:lpwstr>_Toc431493797</vt:lpwstr>
      </vt:variant>
      <vt:variant>
        <vt:i4>1703995</vt:i4>
      </vt:variant>
      <vt:variant>
        <vt:i4>401</vt:i4>
      </vt:variant>
      <vt:variant>
        <vt:i4>0</vt:i4>
      </vt:variant>
      <vt:variant>
        <vt:i4>5</vt:i4>
      </vt:variant>
      <vt:variant>
        <vt:lpwstr/>
      </vt:variant>
      <vt:variant>
        <vt:lpwstr>_Toc431493796</vt:lpwstr>
      </vt:variant>
      <vt:variant>
        <vt:i4>1703995</vt:i4>
      </vt:variant>
      <vt:variant>
        <vt:i4>395</vt:i4>
      </vt:variant>
      <vt:variant>
        <vt:i4>0</vt:i4>
      </vt:variant>
      <vt:variant>
        <vt:i4>5</vt:i4>
      </vt:variant>
      <vt:variant>
        <vt:lpwstr/>
      </vt:variant>
      <vt:variant>
        <vt:lpwstr>_Toc431493795</vt:lpwstr>
      </vt:variant>
      <vt:variant>
        <vt:i4>1703995</vt:i4>
      </vt:variant>
      <vt:variant>
        <vt:i4>389</vt:i4>
      </vt:variant>
      <vt:variant>
        <vt:i4>0</vt:i4>
      </vt:variant>
      <vt:variant>
        <vt:i4>5</vt:i4>
      </vt:variant>
      <vt:variant>
        <vt:lpwstr/>
      </vt:variant>
      <vt:variant>
        <vt:lpwstr>_Toc431493794</vt:lpwstr>
      </vt:variant>
      <vt:variant>
        <vt:i4>1703995</vt:i4>
      </vt:variant>
      <vt:variant>
        <vt:i4>383</vt:i4>
      </vt:variant>
      <vt:variant>
        <vt:i4>0</vt:i4>
      </vt:variant>
      <vt:variant>
        <vt:i4>5</vt:i4>
      </vt:variant>
      <vt:variant>
        <vt:lpwstr/>
      </vt:variant>
      <vt:variant>
        <vt:lpwstr>_Toc431493793</vt:lpwstr>
      </vt:variant>
      <vt:variant>
        <vt:i4>1703995</vt:i4>
      </vt:variant>
      <vt:variant>
        <vt:i4>374</vt:i4>
      </vt:variant>
      <vt:variant>
        <vt:i4>0</vt:i4>
      </vt:variant>
      <vt:variant>
        <vt:i4>5</vt:i4>
      </vt:variant>
      <vt:variant>
        <vt:lpwstr/>
      </vt:variant>
      <vt:variant>
        <vt:lpwstr>_Toc431493792</vt:lpwstr>
      </vt:variant>
      <vt:variant>
        <vt:i4>1703995</vt:i4>
      </vt:variant>
      <vt:variant>
        <vt:i4>368</vt:i4>
      </vt:variant>
      <vt:variant>
        <vt:i4>0</vt:i4>
      </vt:variant>
      <vt:variant>
        <vt:i4>5</vt:i4>
      </vt:variant>
      <vt:variant>
        <vt:lpwstr/>
      </vt:variant>
      <vt:variant>
        <vt:lpwstr>_Toc431493791</vt:lpwstr>
      </vt:variant>
      <vt:variant>
        <vt:i4>1703995</vt:i4>
      </vt:variant>
      <vt:variant>
        <vt:i4>362</vt:i4>
      </vt:variant>
      <vt:variant>
        <vt:i4>0</vt:i4>
      </vt:variant>
      <vt:variant>
        <vt:i4>5</vt:i4>
      </vt:variant>
      <vt:variant>
        <vt:lpwstr/>
      </vt:variant>
      <vt:variant>
        <vt:lpwstr>_Toc431493790</vt:lpwstr>
      </vt:variant>
      <vt:variant>
        <vt:i4>1769531</vt:i4>
      </vt:variant>
      <vt:variant>
        <vt:i4>356</vt:i4>
      </vt:variant>
      <vt:variant>
        <vt:i4>0</vt:i4>
      </vt:variant>
      <vt:variant>
        <vt:i4>5</vt:i4>
      </vt:variant>
      <vt:variant>
        <vt:lpwstr/>
      </vt:variant>
      <vt:variant>
        <vt:lpwstr>_Toc431493789</vt:lpwstr>
      </vt:variant>
      <vt:variant>
        <vt:i4>1769531</vt:i4>
      </vt:variant>
      <vt:variant>
        <vt:i4>350</vt:i4>
      </vt:variant>
      <vt:variant>
        <vt:i4>0</vt:i4>
      </vt:variant>
      <vt:variant>
        <vt:i4>5</vt:i4>
      </vt:variant>
      <vt:variant>
        <vt:lpwstr/>
      </vt:variant>
      <vt:variant>
        <vt:lpwstr>_Toc431493788</vt:lpwstr>
      </vt:variant>
      <vt:variant>
        <vt:i4>1769531</vt:i4>
      </vt:variant>
      <vt:variant>
        <vt:i4>344</vt:i4>
      </vt:variant>
      <vt:variant>
        <vt:i4>0</vt:i4>
      </vt:variant>
      <vt:variant>
        <vt:i4>5</vt:i4>
      </vt:variant>
      <vt:variant>
        <vt:lpwstr/>
      </vt:variant>
      <vt:variant>
        <vt:lpwstr>_Toc431493787</vt:lpwstr>
      </vt:variant>
      <vt:variant>
        <vt:i4>1769531</vt:i4>
      </vt:variant>
      <vt:variant>
        <vt:i4>338</vt:i4>
      </vt:variant>
      <vt:variant>
        <vt:i4>0</vt:i4>
      </vt:variant>
      <vt:variant>
        <vt:i4>5</vt:i4>
      </vt:variant>
      <vt:variant>
        <vt:lpwstr/>
      </vt:variant>
      <vt:variant>
        <vt:lpwstr>_Toc431493786</vt:lpwstr>
      </vt:variant>
      <vt:variant>
        <vt:i4>1769531</vt:i4>
      </vt:variant>
      <vt:variant>
        <vt:i4>332</vt:i4>
      </vt:variant>
      <vt:variant>
        <vt:i4>0</vt:i4>
      </vt:variant>
      <vt:variant>
        <vt:i4>5</vt:i4>
      </vt:variant>
      <vt:variant>
        <vt:lpwstr/>
      </vt:variant>
      <vt:variant>
        <vt:lpwstr>_Toc431493785</vt:lpwstr>
      </vt:variant>
      <vt:variant>
        <vt:i4>1769531</vt:i4>
      </vt:variant>
      <vt:variant>
        <vt:i4>326</vt:i4>
      </vt:variant>
      <vt:variant>
        <vt:i4>0</vt:i4>
      </vt:variant>
      <vt:variant>
        <vt:i4>5</vt:i4>
      </vt:variant>
      <vt:variant>
        <vt:lpwstr/>
      </vt:variant>
      <vt:variant>
        <vt:lpwstr>_Toc431493784</vt:lpwstr>
      </vt:variant>
      <vt:variant>
        <vt:i4>1769531</vt:i4>
      </vt:variant>
      <vt:variant>
        <vt:i4>320</vt:i4>
      </vt:variant>
      <vt:variant>
        <vt:i4>0</vt:i4>
      </vt:variant>
      <vt:variant>
        <vt:i4>5</vt:i4>
      </vt:variant>
      <vt:variant>
        <vt:lpwstr/>
      </vt:variant>
      <vt:variant>
        <vt:lpwstr>_Toc431493783</vt:lpwstr>
      </vt:variant>
      <vt:variant>
        <vt:i4>1769531</vt:i4>
      </vt:variant>
      <vt:variant>
        <vt:i4>314</vt:i4>
      </vt:variant>
      <vt:variant>
        <vt:i4>0</vt:i4>
      </vt:variant>
      <vt:variant>
        <vt:i4>5</vt:i4>
      </vt:variant>
      <vt:variant>
        <vt:lpwstr/>
      </vt:variant>
      <vt:variant>
        <vt:lpwstr>_Toc431493782</vt:lpwstr>
      </vt:variant>
      <vt:variant>
        <vt:i4>1769531</vt:i4>
      </vt:variant>
      <vt:variant>
        <vt:i4>308</vt:i4>
      </vt:variant>
      <vt:variant>
        <vt:i4>0</vt:i4>
      </vt:variant>
      <vt:variant>
        <vt:i4>5</vt:i4>
      </vt:variant>
      <vt:variant>
        <vt:lpwstr/>
      </vt:variant>
      <vt:variant>
        <vt:lpwstr>_Toc431493781</vt:lpwstr>
      </vt:variant>
      <vt:variant>
        <vt:i4>1769531</vt:i4>
      </vt:variant>
      <vt:variant>
        <vt:i4>302</vt:i4>
      </vt:variant>
      <vt:variant>
        <vt:i4>0</vt:i4>
      </vt:variant>
      <vt:variant>
        <vt:i4>5</vt:i4>
      </vt:variant>
      <vt:variant>
        <vt:lpwstr/>
      </vt:variant>
      <vt:variant>
        <vt:lpwstr>_Toc431493780</vt:lpwstr>
      </vt:variant>
      <vt:variant>
        <vt:i4>1310779</vt:i4>
      </vt:variant>
      <vt:variant>
        <vt:i4>296</vt:i4>
      </vt:variant>
      <vt:variant>
        <vt:i4>0</vt:i4>
      </vt:variant>
      <vt:variant>
        <vt:i4>5</vt:i4>
      </vt:variant>
      <vt:variant>
        <vt:lpwstr/>
      </vt:variant>
      <vt:variant>
        <vt:lpwstr>_Toc431493779</vt:lpwstr>
      </vt:variant>
      <vt:variant>
        <vt:i4>1310779</vt:i4>
      </vt:variant>
      <vt:variant>
        <vt:i4>290</vt:i4>
      </vt:variant>
      <vt:variant>
        <vt:i4>0</vt:i4>
      </vt:variant>
      <vt:variant>
        <vt:i4>5</vt:i4>
      </vt:variant>
      <vt:variant>
        <vt:lpwstr/>
      </vt:variant>
      <vt:variant>
        <vt:lpwstr>_Toc431493778</vt:lpwstr>
      </vt:variant>
      <vt:variant>
        <vt:i4>1310779</vt:i4>
      </vt:variant>
      <vt:variant>
        <vt:i4>284</vt:i4>
      </vt:variant>
      <vt:variant>
        <vt:i4>0</vt:i4>
      </vt:variant>
      <vt:variant>
        <vt:i4>5</vt:i4>
      </vt:variant>
      <vt:variant>
        <vt:lpwstr/>
      </vt:variant>
      <vt:variant>
        <vt:lpwstr>_Toc431493777</vt:lpwstr>
      </vt:variant>
      <vt:variant>
        <vt:i4>1310779</vt:i4>
      </vt:variant>
      <vt:variant>
        <vt:i4>278</vt:i4>
      </vt:variant>
      <vt:variant>
        <vt:i4>0</vt:i4>
      </vt:variant>
      <vt:variant>
        <vt:i4>5</vt:i4>
      </vt:variant>
      <vt:variant>
        <vt:lpwstr/>
      </vt:variant>
      <vt:variant>
        <vt:lpwstr>_Toc431493776</vt:lpwstr>
      </vt:variant>
      <vt:variant>
        <vt:i4>1310779</vt:i4>
      </vt:variant>
      <vt:variant>
        <vt:i4>272</vt:i4>
      </vt:variant>
      <vt:variant>
        <vt:i4>0</vt:i4>
      </vt:variant>
      <vt:variant>
        <vt:i4>5</vt:i4>
      </vt:variant>
      <vt:variant>
        <vt:lpwstr/>
      </vt:variant>
      <vt:variant>
        <vt:lpwstr>_Toc431493775</vt:lpwstr>
      </vt:variant>
      <vt:variant>
        <vt:i4>1310779</vt:i4>
      </vt:variant>
      <vt:variant>
        <vt:i4>266</vt:i4>
      </vt:variant>
      <vt:variant>
        <vt:i4>0</vt:i4>
      </vt:variant>
      <vt:variant>
        <vt:i4>5</vt:i4>
      </vt:variant>
      <vt:variant>
        <vt:lpwstr/>
      </vt:variant>
      <vt:variant>
        <vt:lpwstr>_Toc431493774</vt:lpwstr>
      </vt:variant>
      <vt:variant>
        <vt:i4>1310779</vt:i4>
      </vt:variant>
      <vt:variant>
        <vt:i4>260</vt:i4>
      </vt:variant>
      <vt:variant>
        <vt:i4>0</vt:i4>
      </vt:variant>
      <vt:variant>
        <vt:i4>5</vt:i4>
      </vt:variant>
      <vt:variant>
        <vt:lpwstr/>
      </vt:variant>
      <vt:variant>
        <vt:lpwstr>_Toc431493773</vt:lpwstr>
      </vt:variant>
      <vt:variant>
        <vt:i4>1310779</vt:i4>
      </vt:variant>
      <vt:variant>
        <vt:i4>254</vt:i4>
      </vt:variant>
      <vt:variant>
        <vt:i4>0</vt:i4>
      </vt:variant>
      <vt:variant>
        <vt:i4>5</vt:i4>
      </vt:variant>
      <vt:variant>
        <vt:lpwstr/>
      </vt:variant>
      <vt:variant>
        <vt:lpwstr>_Toc431493772</vt:lpwstr>
      </vt:variant>
      <vt:variant>
        <vt:i4>1310779</vt:i4>
      </vt:variant>
      <vt:variant>
        <vt:i4>248</vt:i4>
      </vt:variant>
      <vt:variant>
        <vt:i4>0</vt:i4>
      </vt:variant>
      <vt:variant>
        <vt:i4>5</vt:i4>
      </vt:variant>
      <vt:variant>
        <vt:lpwstr/>
      </vt:variant>
      <vt:variant>
        <vt:lpwstr>_Toc431493771</vt:lpwstr>
      </vt:variant>
      <vt:variant>
        <vt:i4>1310779</vt:i4>
      </vt:variant>
      <vt:variant>
        <vt:i4>242</vt:i4>
      </vt:variant>
      <vt:variant>
        <vt:i4>0</vt:i4>
      </vt:variant>
      <vt:variant>
        <vt:i4>5</vt:i4>
      </vt:variant>
      <vt:variant>
        <vt:lpwstr/>
      </vt:variant>
      <vt:variant>
        <vt:lpwstr>_Toc431493770</vt:lpwstr>
      </vt:variant>
      <vt:variant>
        <vt:i4>1376315</vt:i4>
      </vt:variant>
      <vt:variant>
        <vt:i4>236</vt:i4>
      </vt:variant>
      <vt:variant>
        <vt:i4>0</vt:i4>
      </vt:variant>
      <vt:variant>
        <vt:i4>5</vt:i4>
      </vt:variant>
      <vt:variant>
        <vt:lpwstr/>
      </vt:variant>
      <vt:variant>
        <vt:lpwstr>_Toc431493769</vt:lpwstr>
      </vt:variant>
      <vt:variant>
        <vt:i4>1376315</vt:i4>
      </vt:variant>
      <vt:variant>
        <vt:i4>230</vt:i4>
      </vt:variant>
      <vt:variant>
        <vt:i4>0</vt:i4>
      </vt:variant>
      <vt:variant>
        <vt:i4>5</vt:i4>
      </vt:variant>
      <vt:variant>
        <vt:lpwstr/>
      </vt:variant>
      <vt:variant>
        <vt:lpwstr>_Toc431493768</vt:lpwstr>
      </vt:variant>
      <vt:variant>
        <vt:i4>1376315</vt:i4>
      </vt:variant>
      <vt:variant>
        <vt:i4>224</vt:i4>
      </vt:variant>
      <vt:variant>
        <vt:i4>0</vt:i4>
      </vt:variant>
      <vt:variant>
        <vt:i4>5</vt:i4>
      </vt:variant>
      <vt:variant>
        <vt:lpwstr/>
      </vt:variant>
      <vt:variant>
        <vt:lpwstr>_Toc431493767</vt:lpwstr>
      </vt:variant>
      <vt:variant>
        <vt:i4>1376315</vt:i4>
      </vt:variant>
      <vt:variant>
        <vt:i4>218</vt:i4>
      </vt:variant>
      <vt:variant>
        <vt:i4>0</vt:i4>
      </vt:variant>
      <vt:variant>
        <vt:i4>5</vt:i4>
      </vt:variant>
      <vt:variant>
        <vt:lpwstr/>
      </vt:variant>
      <vt:variant>
        <vt:lpwstr>_Toc431493766</vt:lpwstr>
      </vt:variant>
      <vt:variant>
        <vt:i4>1376315</vt:i4>
      </vt:variant>
      <vt:variant>
        <vt:i4>212</vt:i4>
      </vt:variant>
      <vt:variant>
        <vt:i4>0</vt:i4>
      </vt:variant>
      <vt:variant>
        <vt:i4>5</vt:i4>
      </vt:variant>
      <vt:variant>
        <vt:lpwstr/>
      </vt:variant>
      <vt:variant>
        <vt:lpwstr>_Toc431493765</vt:lpwstr>
      </vt:variant>
      <vt:variant>
        <vt:i4>1376315</vt:i4>
      </vt:variant>
      <vt:variant>
        <vt:i4>206</vt:i4>
      </vt:variant>
      <vt:variant>
        <vt:i4>0</vt:i4>
      </vt:variant>
      <vt:variant>
        <vt:i4>5</vt:i4>
      </vt:variant>
      <vt:variant>
        <vt:lpwstr/>
      </vt:variant>
      <vt:variant>
        <vt:lpwstr>_Toc431493764</vt:lpwstr>
      </vt:variant>
      <vt:variant>
        <vt:i4>1376315</vt:i4>
      </vt:variant>
      <vt:variant>
        <vt:i4>200</vt:i4>
      </vt:variant>
      <vt:variant>
        <vt:i4>0</vt:i4>
      </vt:variant>
      <vt:variant>
        <vt:i4>5</vt:i4>
      </vt:variant>
      <vt:variant>
        <vt:lpwstr/>
      </vt:variant>
      <vt:variant>
        <vt:lpwstr>_Toc431493763</vt:lpwstr>
      </vt:variant>
      <vt:variant>
        <vt:i4>1376315</vt:i4>
      </vt:variant>
      <vt:variant>
        <vt:i4>194</vt:i4>
      </vt:variant>
      <vt:variant>
        <vt:i4>0</vt:i4>
      </vt:variant>
      <vt:variant>
        <vt:i4>5</vt:i4>
      </vt:variant>
      <vt:variant>
        <vt:lpwstr/>
      </vt:variant>
      <vt:variant>
        <vt:lpwstr>_Toc431493762</vt:lpwstr>
      </vt:variant>
      <vt:variant>
        <vt:i4>1376315</vt:i4>
      </vt:variant>
      <vt:variant>
        <vt:i4>188</vt:i4>
      </vt:variant>
      <vt:variant>
        <vt:i4>0</vt:i4>
      </vt:variant>
      <vt:variant>
        <vt:i4>5</vt:i4>
      </vt:variant>
      <vt:variant>
        <vt:lpwstr/>
      </vt:variant>
      <vt:variant>
        <vt:lpwstr>_Toc431493761</vt:lpwstr>
      </vt:variant>
      <vt:variant>
        <vt:i4>1376315</vt:i4>
      </vt:variant>
      <vt:variant>
        <vt:i4>182</vt:i4>
      </vt:variant>
      <vt:variant>
        <vt:i4>0</vt:i4>
      </vt:variant>
      <vt:variant>
        <vt:i4>5</vt:i4>
      </vt:variant>
      <vt:variant>
        <vt:lpwstr/>
      </vt:variant>
      <vt:variant>
        <vt:lpwstr>_Toc431493760</vt:lpwstr>
      </vt:variant>
      <vt:variant>
        <vt:i4>1441851</vt:i4>
      </vt:variant>
      <vt:variant>
        <vt:i4>176</vt:i4>
      </vt:variant>
      <vt:variant>
        <vt:i4>0</vt:i4>
      </vt:variant>
      <vt:variant>
        <vt:i4>5</vt:i4>
      </vt:variant>
      <vt:variant>
        <vt:lpwstr/>
      </vt:variant>
      <vt:variant>
        <vt:lpwstr>_Toc431493759</vt:lpwstr>
      </vt:variant>
      <vt:variant>
        <vt:i4>1441851</vt:i4>
      </vt:variant>
      <vt:variant>
        <vt:i4>170</vt:i4>
      </vt:variant>
      <vt:variant>
        <vt:i4>0</vt:i4>
      </vt:variant>
      <vt:variant>
        <vt:i4>5</vt:i4>
      </vt:variant>
      <vt:variant>
        <vt:lpwstr/>
      </vt:variant>
      <vt:variant>
        <vt:lpwstr>_Toc431493758</vt:lpwstr>
      </vt:variant>
      <vt:variant>
        <vt:i4>1441851</vt:i4>
      </vt:variant>
      <vt:variant>
        <vt:i4>164</vt:i4>
      </vt:variant>
      <vt:variant>
        <vt:i4>0</vt:i4>
      </vt:variant>
      <vt:variant>
        <vt:i4>5</vt:i4>
      </vt:variant>
      <vt:variant>
        <vt:lpwstr/>
      </vt:variant>
      <vt:variant>
        <vt:lpwstr>_Toc431493757</vt:lpwstr>
      </vt:variant>
      <vt:variant>
        <vt:i4>1441851</vt:i4>
      </vt:variant>
      <vt:variant>
        <vt:i4>158</vt:i4>
      </vt:variant>
      <vt:variant>
        <vt:i4>0</vt:i4>
      </vt:variant>
      <vt:variant>
        <vt:i4>5</vt:i4>
      </vt:variant>
      <vt:variant>
        <vt:lpwstr/>
      </vt:variant>
      <vt:variant>
        <vt:lpwstr>_Toc431493756</vt:lpwstr>
      </vt:variant>
      <vt:variant>
        <vt:i4>1441851</vt:i4>
      </vt:variant>
      <vt:variant>
        <vt:i4>152</vt:i4>
      </vt:variant>
      <vt:variant>
        <vt:i4>0</vt:i4>
      </vt:variant>
      <vt:variant>
        <vt:i4>5</vt:i4>
      </vt:variant>
      <vt:variant>
        <vt:lpwstr/>
      </vt:variant>
      <vt:variant>
        <vt:lpwstr>_Toc431493755</vt:lpwstr>
      </vt:variant>
      <vt:variant>
        <vt:i4>1441851</vt:i4>
      </vt:variant>
      <vt:variant>
        <vt:i4>146</vt:i4>
      </vt:variant>
      <vt:variant>
        <vt:i4>0</vt:i4>
      </vt:variant>
      <vt:variant>
        <vt:i4>5</vt:i4>
      </vt:variant>
      <vt:variant>
        <vt:lpwstr/>
      </vt:variant>
      <vt:variant>
        <vt:lpwstr>_Toc431493754</vt:lpwstr>
      </vt:variant>
      <vt:variant>
        <vt:i4>1441851</vt:i4>
      </vt:variant>
      <vt:variant>
        <vt:i4>140</vt:i4>
      </vt:variant>
      <vt:variant>
        <vt:i4>0</vt:i4>
      </vt:variant>
      <vt:variant>
        <vt:i4>5</vt:i4>
      </vt:variant>
      <vt:variant>
        <vt:lpwstr/>
      </vt:variant>
      <vt:variant>
        <vt:lpwstr>_Toc431493753</vt:lpwstr>
      </vt:variant>
      <vt:variant>
        <vt:i4>1441851</vt:i4>
      </vt:variant>
      <vt:variant>
        <vt:i4>134</vt:i4>
      </vt:variant>
      <vt:variant>
        <vt:i4>0</vt:i4>
      </vt:variant>
      <vt:variant>
        <vt:i4>5</vt:i4>
      </vt:variant>
      <vt:variant>
        <vt:lpwstr/>
      </vt:variant>
      <vt:variant>
        <vt:lpwstr>_Toc431493752</vt:lpwstr>
      </vt:variant>
      <vt:variant>
        <vt:i4>1441851</vt:i4>
      </vt:variant>
      <vt:variant>
        <vt:i4>128</vt:i4>
      </vt:variant>
      <vt:variant>
        <vt:i4>0</vt:i4>
      </vt:variant>
      <vt:variant>
        <vt:i4>5</vt:i4>
      </vt:variant>
      <vt:variant>
        <vt:lpwstr/>
      </vt:variant>
      <vt:variant>
        <vt:lpwstr>_Toc431493751</vt:lpwstr>
      </vt:variant>
      <vt:variant>
        <vt:i4>1441851</vt:i4>
      </vt:variant>
      <vt:variant>
        <vt:i4>122</vt:i4>
      </vt:variant>
      <vt:variant>
        <vt:i4>0</vt:i4>
      </vt:variant>
      <vt:variant>
        <vt:i4>5</vt:i4>
      </vt:variant>
      <vt:variant>
        <vt:lpwstr/>
      </vt:variant>
      <vt:variant>
        <vt:lpwstr>_Toc431493750</vt:lpwstr>
      </vt:variant>
      <vt:variant>
        <vt:i4>1507387</vt:i4>
      </vt:variant>
      <vt:variant>
        <vt:i4>116</vt:i4>
      </vt:variant>
      <vt:variant>
        <vt:i4>0</vt:i4>
      </vt:variant>
      <vt:variant>
        <vt:i4>5</vt:i4>
      </vt:variant>
      <vt:variant>
        <vt:lpwstr/>
      </vt:variant>
      <vt:variant>
        <vt:lpwstr>_Toc431493749</vt:lpwstr>
      </vt:variant>
      <vt:variant>
        <vt:i4>1507387</vt:i4>
      </vt:variant>
      <vt:variant>
        <vt:i4>110</vt:i4>
      </vt:variant>
      <vt:variant>
        <vt:i4>0</vt:i4>
      </vt:variant>
      <vt:variant>
        <vt:i4>5</vt:i4>
      </vt:variant>
      <vt:variant>
        <vt:lpwstr/>
      </vt:variant>
      <vt:variant>
        <vt:lpwstr>_Toc431493748</vt:lpwstr>
      </vt:variant>
      <vt:variant>
        <vt:i4>1507387</vt:i4>
      </vt:variant>
      <vt:variant>
        <vt:i4>104</vt:i4>
      </vt:variant>
      <vt:variant>
        <vt:i4>0</vt:i4>
      </vt:variant>
      <vt:variant>
        <vt:i4>5</vt:i4>
      </vt:variant>
      <vt:variant>
        <vt:lpwstr/>
      </vt:variant>
      <vt:variant>
        <vt:lpwstr>_Toc431493747</vt:lpwstr>
      </vt:variant>
      <vt:variant>
        <vt:i4>1507387</vt:i4>
      </vt:variant>
      <vt:variant>
        <vt:i4>98</vt:i4>
      </vt:variant>
      <vt:variant>
        <vt:i4>0</vt:i4>
      </vt:variant>
      <vt:variant>
        <vt:i4>5</vt:i4>
      </vt:variant>
      <vt:variant>
        <vt:lpwstr/>
      </vt:variant>
      <vt:variant>
        <vt:lpwstr>_Toc431493746</vt:lpwstr>
      </vt:variant>
      <vt:variant>
        <vt:i4>1507387</vt:i4>
      </vt:variant>
      <vt:variant>
        <vt:i4>92</vt:i4>
      </vt:variant>
      <vt:variant>
        <vt:i4>0</vt:i4>
      </vt:variant>
      <vt:variant>
        <vt:i4>5</vt:i4>
      </vt:variant>
      <vt:variant>
        <vt:lpwstr/>
      </vt:variant>
      <vt:variant>
        <vt:lpwstr>_Toc431493745</vt:lpwstr>
      </vt:variant>
      <vt:variant>
        <vt:i4>1507387</vt:i4>
      </vt:variant>
      <vt:variant>
        <vt:i4>86</vt:i4>
      </vt:variant>
      <vt:variant>
        <vt:i4>0</vt:i4>
      </vt:variant>
      <vt:variant>
        <vt:i4>5</vt:i4>
      </vt:variant>
      <vt:variant>
        <vt:lpwstr/>
      </vt:variant>
      <vt:variant>
        <vt:lpwstr>_Toc431493744</vt:lpwstr>
      </vt:variant>
      <vt:variant>
        <vt:i4>1507387</vt:i4>
      </vt:variant>
      <vt:variant>
        <vt:i4>80</vt:i4>
      </vt:variant>
      <vt:variant>
        <vt:i4>0</vt:i4>
      </vt:variant>
      <vt:variant>
        <vt:i4>5</vt:i4>
      </vt:variant>
      <vt:variant>
        <vt:lpwstr/>
      </vt:variant>
      <vt:variant>
        <vt:lpwstr>_Toc431493743</vt:lpwstr>
      </vt:variant>
      <vt:variant>
        <vt:i4>1507387</vt:i4>
      </vt:variant>
      <vt:variant>
        <vt:i4>74</vt:i4>
      </vt:variant>
      <vt:variant>
        <vt:i4>0</vt:i4>
      </vt:variant>
      <vt:variant>
        <vt:i4>5</vt:i4>
      </vt:variant>
      <vt:variant>
        <vt:lpwstr/>
      </vt:variant>
      <vt:variant>
        <vt:lpwstr>_Toc431493742</vt:lpwstr>
      </vt:variant>
      <vt:variant>
        <vt:i4>1507387</vt:i4>
      </vt:variant>
      <vt:variant>
        <vt:i4>68</vt:i4>
      </vt:variant>
      <vt:variant>
        <vt:i4>0</vt:i4>
      </vt:variant>
      <vt:variant>
        <vt:i4>5</vt:i4>
      </vt:variant>
      <vt:variant>
        <vt:lpwstr/>
      </vt:variant>
      <vt:variant>
        <vt:lpwstr>_Toc431493741</vt:lpwstr>
      </vt:variant>
      <vt:variant>
        <vt:i4>1507387</vt:i4>
      </vt:variant>
      <vt:variant>
        <vt:i4>62</vt:i4>
      </vt:variant>
      <vt:variant>
        <vt:i4>0</vt:i4>
      </vt:variant>
      <vt:variant>
        <vt:i4>5</vt:i4>
      </vt:variant>
      <vt:variant>
        <vt:lpwstr/>
      </vt:variant>
      <vt:variant>
        <vt:lpwstr>_Toc431493740</vt:lpwstr>
      </vt:variant>
      <vt:variant>
        <vt:i4>1048635</vt:i4>
      </vt:variant>
      <vt:variant>
        <vt:i4>56</vt:i4>
      </vt:variant>
      <vt:variant>
        <vt:i4>0</vt:i4>
      </vt:variant>
      <vt:variant>
        <vt:i4>5</vt:i4>
      </vt:variant>
      <vt:variant>
        <vt:lpwstr/>
      </vt:variant>
      <vt:variant>
        <vt:lpwstr>_Toc431493739</vt:lpwstr>
      </vt:variant>
      <vt:variant>
        <vt:i4>1048635</vt:i4>
      </vt:variant>
      <vt:variant>
        <vt:i4>50</vt:i4>
      </vt:variant>
      <vt:variant>
        <vt:i4>0</vt:i4>
      </vt:variant>
      <vt:variant>
        <vt:i4>5</vt:i4>
      </vt:variant>
      <vt:variant>
        <vt:lpwstr/>
      </vt:variant>
      <vt:variant>
        <vt:lpwstr>_Toc431493738</vt:lpwstr>
      </vt:variant>
      <vt:variant>
        <vt:i4>1048635</vt:i4>
      </vt:variant>
      <vt:variant>
        <vt:i4>44</vt:i4>
      </vt:variant>
      <vt:variant>
        <vt:i4>0</vt:i4>
      </vt:variant>
      <vt:variant>
        <vt:i4>5</vt:i4>
      </vt:variant>
      <vt:variant>
        <vt:lpwstr/>
      </vt:variant>
      <vt:variant>
        <vt:lpwstr>_Toc431493737</vt:lpwstr>
      </vt:variant>
      <vt:variant>
        <vt:i4>1048635</vt:i4>
      </vt:variant>
      <vt:variant>
        <vt:i4>38</vt:i4>
      </vt:variant>
      <vt:variant>
        <vt:i4>0</vt:i4>
      </vt:variant>
      <vt:variant>
        <vt:i4>5</vt:i4>
      </vt:variant>
      <vt:variant>
        <vt:lpwstr/>
      </vt:variant>
      <vt:variant>
        <vt:lpwstr>_Toc431493736</vt:lpwstr>
      </vt:variant>
      <vt:variant>
        <vt:i4>1048635</vt:i4>
      </vt:variant>
      <vt:variant>
        <vt:i4>32</vt:i4>
      </vt:variant>
      <vt:variant>
        <vt:i4>0</vt:i4>
      </vt:variant>
      <vt:variant>
        <vt:i4>5</vt:i4>
      </vt:variant>
      <vt:variant>
        <vt:lpwstr/>
      </vt:variant>
      <vt:variant>
        <vt:lpwstr>_Toc431493735</vt:lpwstr>
      </vt:variant>
      <vt:variant>
        <vt:i4>1048635</vt:i4>
      </vt:variant>
      <vt:variant>
        <vt:i4>26</vt:i4>
      </vt:variant>
      <vt:variant>
        <vt:i4>0</vt:i4>
      </vt:variant>
      <vt:variant>
        <vt:i4>5</vt:i4>
      </vt:variant>
      <vt:variant>
        <vt:lpwstr/>
      </vt:variant>
      <vt:variant>
        <vt:lpwstr>_Toc431493734</vt:lpwstr>
      </vt:variant>
      <vt:variant>
        <vt:i4>1048635</vt:i4>
      </vt:variant>
      <vt:variant>
        <vt:i4>20</vt:i4>
      </vt:variant>
      <vt:variant>
        <vt:i4>0</vt:i4>
      </vt:variant>
      <vt:variant>
        <vt:i4>5</vt:i4>
      </vt:variant>
      <vt:variant>
        <vt:lpwstr/>
      </vt:variant>
      <vt:variant>
        <vt:lpwstr>_Toc431493733</vt:lpwstr>
      </vt:variant>
      <vt:variant>
        <vt:i4>1048635</vt:i4>
      </vt:variant>
      <vt:variant>
        <vt:i4>14</vt:i4>
      </vt:variant>
      <vt:variant>
        <vt:i4>0</vt:i4>
      </vt:variant>
      <vt:variant>
        <vt:i4>5</vt:i4>
      </vt:variant>
      <vt:variant>
        <vt:lpwstr/>
      </vt:variant>
      <vt:variant>
        <vt:lpwstr>_Toc431493732</vt:lpwstr>
      </vt:variant>
      <vt:variant>
        <vt:i4>1048635</vt:i4>
      </vt:variant>
      <vt:variant>
        <vt:i4>8</vt:i4>
      </vt:variant>
      <vt:variant>
        <vt:i4>0</vt:i4>
      </vt:variant>
      <vt:variant>
        <vt:i4>5</vt:i4>
      </vt:variant>
      <vt:variant>
        <vt:lpwstr/>
      </vt:variant>
      <vt:variant>
        <vt:lpwstr>_Toc431493731</vt:lpwstr>
      </vt:variant>
      <vt:variant>
        <vt:i4>1048635</vt:i4>
      </vt:variant>
      <vt:variant>
        <vt:i4>2</vt:i4>
      </vt:variant>
      <vt:variant>
        <vt:i4>0</vt:i4>
      </vt:variant>
      <vt:variant>
        <vt:i4>5</vt:i4>
      </vt:variant>
      <vt:variant>
        <vt:lpwstr/>
      </vt:variant>
      <vt:variant>
        <vt:lpwstr>_Toc431493730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 Monitoring Program Inshore seagrass 2018-19</dc:title>
  <dc:subject/>
  <dc:creator/>
  <cp:keywords>OFFICIAL</cp:keywords>
  <dc:description/>
  <cp:lastModifiedBy/>
  <cp:revision>1</cp:revision>
  <dcterms:created xsi:type="dcterms:W3CDTF">2020-04-21T02:46:00Z</dcterms:created>
  <dcterms:modified xsi:type="dcterms:W3CDTF">2021-01-28T04:41:00Z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0x010100441936E5D27A4AF2935B3316DA024CF20099EC44274A21C14AB4E4B4AC8EB06ABC</vt:lpwstr>
  </property>
  <property fmtid="{D5CDD505-2E9C-101B-9397-08002B2CF9AE}" pid="3" name="_dlc_DocIdItemGuid">
    <vt:lpwstr>5a90ec1e-23a6-4c46-87fc-9d477573a01e</vt:lpwstr>
  </property>
  <property fmtid="{D5CDD505-2E9C-101B-9397-08002B2CF9AE}" pid="4" name="ProjectPhase">
    <vt:lpwstr>1;#Implement|62d382d8-9615-4fb9-9171-542b0baa426a</vt:lpwstr>
  </property>
  <property fmtid="{D5CDD505-2E9C-101B-9397-08002B2CF9AE}" pid="5" name="RecordPoint_WorkflowType">
    <vt:lpwstr>ActiveSubmit</vt:lpwstr>
  </property>
  <property fmtid="{D5CDD505-2E9C-101B-9397-08002B2CF9AE}" pid="6" name="RecordPoint_ActiveItemUniqueId">
    <vt:lpwstr>{5a90ec1e-23a6-4c46-87fc-9d477573a01e}</vt:lpwstr>
  </property>
  <property fmtid="{D5CDD505-2E9C-101B-9397-08002B2CF9AE}" pid="7" name="RecordPoint_RecordNumberSubmitted">
    <vt:lpwstr>R0000693005</vt:lpwstr>
  </property>
  <property fmtid="{D5CDD505-2E9C-101B-9397-08002B2CF9AE}" pid="8" name="RecordPoint_SubmissionCompleted">
    <vt:lpwstr>2020-12-10T10:12:33.3181622+10:00</vt:lpwstr>
  </property>
  <property fmtid="{D5CDD505-2E9C-101B-9397-08002B2CF9AE}" pid="9" name="DocumentSetDescription">
    <vt:lpwstr>documents developing to finalizing the annual reports_x000d_
includes reviewers comments and tracking to and fro</vt:lpwstr>
  </property>
  <property fmtid="{D5CDD505-2E9C-101B-9397-08002B2CF9AE}" pid="10" name="RecordPoint_SubmissionDate">
    <vt:lpwstr/>
  </property>
  <property fmtid="{D5CDD505-2E9C-101B-9397-08002B2CF9AE}" pid="11" name="RecordPoint_ActiveItemSiteId">
    <vt:lpwstr>{8ce9eba2-d4a5-4da0-9276-1d47a92e9210}</vt:lpwstr>
  </property>
  <property fmtid="{D5CDD505-2E9C-101B-9397-08002B2CF9AE}" pid="12" name="RecordPoint_ActiveItemListId">
    <vt:lpwstr>{4002bfb1-c390-4c44-aed9-c0f467baaffd}</vt:lpwstr>
  </property>
  <property fmtid="{D5CDD505-2E9C-101B-9397-08002B2CF9AE}" pid="13" name="RecordPoint_ActiveItemMoved">
    <vt:lpwstr/>
  </property>
  <property fmtid="{D5CDD505-2E9C-101B-9397-08002B2CF9AE}" pid="14" name="RecordPoint_RecordFormat">
    <vt:lpwstr/>
  </property>
  <property fmtid="{D5CDD505-2E9C-101B-9397-08002B2CF9AE}" pid="15" name="RecordPoint_ActiveItemWebId">
    <vt:lpwstr>{e7821751-c451-45dc-b45e-82cfe574dc6e}</vt:lpwstr>
  </property>
  <property fmtid="{D5CDD505-2E9C-101B-9397-08002B2CF9AE}" pid="16" name="TitusGUID">
    <vt:lpwstr>f09125b8-12ec-4134-b0a3-58512ea12da8</vt:lpwstr>
  </property>
  <property fmtid="{D5CDD505-2E9C-101B-9397-08002B2CF9AE}" pid="17" name="a2118650a77a4a97b805ceb1a6b3e3dc">
    <vt:lpwstr>Implement|62d382d8-9615-4fb9-9171-542b0baa426a</vt:lpwstr>
  </property>
  <property fmtid="{D5CDD505-2E9C-101B-9397-08002B2CF9AE}" pid="18" name="TaxCatchAll">
    <vt:lpwstr>1;#Implement|62d382d8-9615-4fb9-9171-542b0baa426a</vt:lpwstr>
  </property>
  <property fmtid="{D5CDD505-2E9C-101B-9397-08002B2CF9AE}" pid="19" name="DLM">
    <vt:lpwstr>No DLM</vt:lpwstr>
  </property>
  <property fmtid="{D5CDD505-2E9C-101B-9397-08002B2CF9AE}" pid="20" name="SEC">
    <vt:lpwstr>OFFICIAL</vt:lpwstr>
  </property>
</Properties>
</file>